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54FF1">
      <w:pPr>
        <w:pStyle w:val="46"/>
        <w:spacing w:before="0" w:beforeAutospacing="0" w:after="0" w:afterAutospacing="0" w:line="400" w:lineRule="exact"/>
        <w:ind w:firstLine="420" w:firstLineChars="200"/>
        <w:rPr>
          <w:rFonts w:hAnsi="宋体"/>
          <w:sz w:val="21"/>
          <w:szCs w:val="21"/>
        </w:rPr>
      </w:pPr>
    </w:p>
    <w:p w14:paraId="528EB4D0">
      <w:pPr>
        <w:pStyle w:val="46"/>
        <w:spacing w:before="0" w:beforeAutospacing="0" w:after="0" w:afterAutospacing="0" w:line="400" w:lineRule="exact"/>
        <w:ind w:firstLine="420" w:firstLineChars="200"/>
        <w:rPr>
          <w:rFonts w:hAnsi="宋体"/>
          <w:sz w:val="21"/>
          <w:szCs w:val="21"/>
        </w:rPr>
      </w:pPr>
    </w:p>
    <w:p w14:paraId="416FE218">
      <w:pPr>
        <w:spacing w:after="120" w:line="900" w:lineRule="exact"/>
        <w:jc w:val="center"/>
        <w:rPr>
          <w:rFonts w:ascii="宋体" w:hAnsi="宋体" w:cs="宋体"/>
          <w:b/>
          <w:sz w:val="40"/>
          <w:szCs w:val="40"/>
        </w:rPr>
      </w:pPr>
      <w:r>
        <w:rPr>
          <w:rFonts w:hint="eastAsia" w:ascii="宋体" w:hAnsi="宋体" w:cs="宋体"/>
          <w:b/>
          <w:sz w:val="40"/>
          <w:szCs w:val="40"/>
        </w:rPr>
        <w:t>宁波大学鼎秀古籍全文数据库等采购项目</w:t>
      </w:r>
    </w:p>
    <w:p w14:paraId="3F6EB2B8">
      <w:pPr>
        <w:pStyle w:val="46"/>
        <w:spacing w:before="0" w:beforeAutospacing="0" w:after="0" w:afterAutospacing="0" w:line="400" w:lineRule="exact"/>
        <w:ind w:firstLine="420" w:firstLineChars="200"/>
        <w:rPr>
          <w:rFonts w:hAnsi="宋体"/>
          <w:sz w:val="21"/>
          <w:szCs w:val="21"/>
        </w:rPr>
      </w:pPr>
    </w:p>
    <w:p w14:paraId="4D07C595">
      <w:pPr>
        <w:pStyle w:val="46"/>
        <w:spacing w:before="0" w:beforeAutospacing="0" w:after="0" w:afterAutospacing="0" w:line="400" w:lineRule="exact"/>
        <w:ind w:firstLine="420" w:firstLineChars="200"/>
        <w:rPr>
          <w:rFonts w:hAnsi="宋体"/>
          <w:sz w:val="21"/>
          <w:szCs w:val="21"/>
        </w:rPr>
      </w:pPr>
    </w:p>
    <w:p w14:paraId="19568A5F">
      <w:pPr>
        <w:spacing w:after="120" w:line="900" w:lineRule="exact"/>
        <w:jc w:val="center"/>
        <w:rPr>
          <w:rFonts w:ascii="宋体" w:hAnsi="宋体" w:cs="宋体"/>
          <w:b/>
          <w:sz w:val="40"/>
          <w:szCs w:val="40"/>
        </w:rPr>
      </w:pPr>
      <w:r>
        <w:rPr>
          <w:rFonts w:hint="eastAsia" w:ascii="宋体" w:hAnsi="宋体" w:cs="宋体"/>
          <w:b/>
          <w:sz w:val="40"/>
          <w:szCs w:val="40"/>
        </w:rPr>
        <w:t>政府采购</w:t>
      </w:r>
    </w:p>
    <w:p w14:paraId="1961ED40">
      <w:pPr>
        <w:pStyle w:val="46"/>
        <w:spacing w:before="0" w:beforeAutospacing="0" w:after="0" w:afterAutospacing="0" w:line="400" w:lineRule="exact"/>
        <w:ind w:firstLine="800" w:firstLineChars="200"/>
        <w:rPr>
          <w:rFonts w:hAnsi="宋体"/>
          <w:sz w:val="40"/>
          <w:szCs w:val="40"/>
        </w:rPr>
      </w:pPr>
    </w:p>
    <w:p w14:paraId="058985B8">
      <w:pPr>
        <w:spacing w:after="120" w:line="800" w:lineRule="exact"/>
        <w:jc w:val="center"/>
        <w:rPr>
          <w:rFonts w:ascii="宋体" w:hAnsi="宋体" w:cs="宋体"/>
          <w:b/>
          <w:sz w:val="40"/>
          <w:szCs w:val="40"/>
        </w:rPr>
      </w:pPr>
      <w:r>
        <w:rPr>
          <w:rFonts w:hint="eastAsia" w:ascii="宋体" w:hAnsi="宋体" w:cs="宋体"/>
          <w:b/>
          <w:sz w:val="40"/>
          <w:szCs w:val="40"/>
        </w:rPr>
        <w:t>公</w:t>
      </w:r>
    </w:p>
    <w:p w14:paraId="660D5F49">
      <w:pPr>
        <w:spacing w:after="120" w:line="800" w:lineRule="exact"/>
        <w:jc w:val="center"/>
        <w:rPr>
          <w:rFonts w:ascii="宋体" w:hAnsi="宋体" w:cs="宋体"/>
          <w:b/>
          <w:sz w:val="40"/>
          <w:szCs w:val="40"/>
        </w:rPr>
      </w:pPr>
      <w:r>
        <w:rPr>
          <w:rFonts w:hint="eastAsia" w:ascii="宋体" w:hAnsi="宋体" w:cs="宋体"/>
          <w:b/>
          <w:sz w:val="40"/>
          <w:szCs w:val="40"/>
        </w:rPr>
        <w:t>开</w:t>
      </w:r>
    </w:p>
    <w:p w14:paraId="1520E6AF">
      <w:pPr>
        <w:spacing w:after="120" w:line="800" w:lineRule="exact"/>
        <w:jc w:val="center"/>
        <w:rPr>
          <w:rFonts w:ascii="宋体" w:hAnsi="宋体" w:cs="宋体"/>
          <w:b/>
          <w:sz w:val="40"/>
          <w:szCs w:val="40"/>
        </w:rPr>
      </w:pPr>
      <w:r>
        <w:rPr>
          <w:rFonts w:hint="eastAsia" w:ascii="宋体" w:hAnsi="宋体" w:cs="宋体"/>
          <w:b/>
          <w:sz w:val="40"/>
          <w:szCs w:val="40"/>
        </w:rPr>
        <w:t>招</w:t>
      </w:r>
    </w:p>
    <w:p w14:paraId="36DDF76E">
      <w:pPr>
        <w:spacing w:after="120" w:line="800" w:lineRule="exact"/>
        <w:jc w:val="center"/>
        <w:rPr>
          <w:rFonts w:ascii="宋体" w:hAnsi="宋体" w:cs="宋体"/>
          <w:b/>
          <w:sz w:val="40"/>
          <w:szCs w:val="40"/>
        </w:rPr>
      </w:pPr>
      <w:r>
        <w:rPr>
          <w:rFonts w:hint="eastAsia" w:ascii="宋体" w:hAnsi="宋体" w:cs="宋体"/>
          <w:b/>
          <w:sz w:val="40"/>
          <w:szCs w:val="40"/>
        </w:rPr>
        <w:t>标</w:t>
      </w:r>
    </w:p>
    <w:p w14:paraId="532A5E25">
      <w:pPr>
        <w:spacing w:after="120" w:line="800" w:lineRule="exact"/>
        <w:jc w:val="center"/>
        <w:rPr>
          <w:rFonts w:ascii="宋体" w:hAnsi="宋体" w:cs="宋体"/>
          <w:b/>
          <w:sz w:val="40"/>
          <w:szCs w:val="40"/>
        </w:rPr>
      </w:pPr>
      <w:r>
        <w:rPr>
          <w:rFonts w:hint="eastAsia" w:ascii="宋体" w:hAnsi="宋体" w:cs="宋体"/>
          <w:b/>
          <w:sz w:val="40"/>
          <w:szCs w:val="40"/>
        </w:rPr>
        <w:t>文</w:t>
      </w:r>
    </w:p>
    <w:p w14:paraId="0F62B2FE">
      <w:pPr>
        <w:spacing w:after="120" w:line="800" w:lineRule="exact"/>
        <w:jc w:val="center"/>
        <w:rPr>
          <w:rFonts w:ascii="宋体" w:hAnsi="宋体" w:cs="宋体"/>
          <w:b/>
          <w:sz w:val="48"/>
          <w:szCs w:val="48"/>
        </w:rPr>
      </w:pPr>
      <w:r>
        <w:rPr>
          <w:rFonts w:hint="eastAsia" w:ascii="宋体" w:hAnsi="宋体" w:cs="宋体"/>
          <w:b/>
          <w:sz w:val="40"/>
          <w:szCs w:val="40"/>
        </w:rPr>
        <w:t>件</w:t>
      </w:r>
    </w:p>
    <w:p w14:paraId="365F8417">
      <w:pPr>
        <w:pStyle w:val="46"/>
        <w:spacing w:before="0" w:beforeAutospacing="0" w:after="0" w:afterAutospacing="0" w:line="400" w:lineRule="exact"/>
        <w:ind w:firstLine="420" w:firstLineChars="200"/>
        <w:rPr>
          <w:rFonts w:hAnsi="宋体"/>
          <w:sz w:val="21"/>
          <w:szCs w:val="21"/>
        </w:rPr>
      </w:pPr>
    </w:p>
    <w:p w14:paraId="26ABFC53">
      <w:pPr>
        <w:spacing w:line="600" w:lineRule="exact"/>
        <w:rPr>
          <w:rFonts w:ascii="宋体" w:hAnsi="宋体" w:cs="宋体"/>
          <w:b/>
          <w:sz w:val="28"/>
          <w:szCs w:val="28"/>
        </w:rPr>
      </w:pPr>
      <w:r>
        <w:rPr>
          <w:rFonts w:hint="eastAsia" w:ascii="宋体" w:hAnsi="宋体" w:cs="宋体"/>
          <w:b/>
          <w:sz w:val="28"/>
          <w:szCs w:val="28"/>
        </w:rPr>
        <w:t>项目编号：NBITC-202530421G</w:t>
      </w:r>
    </w:p>
    <w:p w14:paraId="0B0246E2">
      <w:pPr>
        <w:spacing w:line="600" w:lineRule="exact"/>
        <w:ind w:left="1405" w:hanging="1405" w:hangingChars="500"/>
        <w:rPr>
          <w:rFonts w:ascii="宋体" w:hAnsi="宋体" w:cs="宋体"/>
          <w:b/>
          <w:sz w:val="28"/>
          <w:szCs w:val="28"/>
        </w:rPr>
      </w:pPr>
      <w:r>
        <w:rPr>
          <w:rFonts w:hint="eastAsia" w:ascii="宋体" w:hAnsi="宋体" w:cs="宋体"/>
          <w:b/>
          <w:sz w:val="28"/>
          <w:szCs w:val="28"/>
        </w:rPr>
        <w:t>采 购 人：宁波大学</w:t>
      </w:r>
    </w:p>
    <w:p w14:paraId="138D3F5F">
      <w:pPr>
        <w:spacing w:line="600" w:lineRule="exact"/>
        <w:rPr>
          <w:rFonts w:ascii="宋体" w:hAnsi="宋体" w:cs="宋体"/>
          <w:b/>
          <w:sz w:val="28"/>
          <w:szCs w:val="28"/>
        </w:rPr>
      </w:pPr>
      <w:r>
        <w:rPr>
          <w:rFonts w:hint="eastAsia" w:ascii="宋体" w:hAnsi="宋体" w:cs="宋体"/>
          <w:b/>
          <w:sz w:val="28"/>
          <w:szCs w:val="28"/>
        </w:rPr>
        <w:t>代理机构：宁波市国际招标有限公司</w:t>
      </w:r>
    </w:p>
    <w:p w14:paraId="3B202548">
      <w:pPr>
        <w:spacing w:line="600" w:lineRule="exact"/>
        <w:rPr>
          <w:rFonts w:ascii="宋体" w:hAnsi="宋体" w:cs="宋体"/>
          <w:b/>
          <w:sz w:val="28"/>
          <w:szCs w:val="28"/>
        </w:rPr>
        <w:sectPr>
          <w:headerReference r:id="rId3" w:type="default"/>
          <w:footerReference r:id="rId4" w:type="default"/>
          <w:footerReference r:id="rId5" w:type="even"/>
          <w:type w:val="nextColumn"/>
          <w:pgSz w:w="11905" w:h="16838"/>
          <w:pgMar w:top="1474" w:right="1474" w:bottom="1474" w:left="1474" w:header="907" w:footer="850" w:gutter="0"/>
          <w:pgBorders>
            <w:top w:val="none" w:sz="0" w:space="0"/>
            <w:left w:val="none" w:sz="0" w:space="0"/>
            <w:bottom w:val="none" w:sz="0" w:space="0"/>
            <w:right w:val="none" w:sz="0" w:space="0"/>
          </w:pgBorders>
          <w:pgNumType w:start="1"/>
          <w:cols w:space="0" w:num="1"/>
          <w:docGrid w:type="lines" w:linePitch="289" w:charSpace="0"/>
        </w:sectPr>
      </w:pPr>
      <w:r>
        <w:rPr>
          <w:rFonts w:hint="eastAsia" w:ascii="宋体" w:hAnsi="宋体" w:cs="宋体"/>
          <w:b/>
          <w:sz w:val="28"/>
          <w:szCs w:val="28"/>
        </w:rPr>
        <w:t>编制日期：2025年</w:t>
      </w:r>
      <w:r>
        <w:rPr>
          <w:rFonts w:hint="eastAsia" w:ascii="宋体" w:hAnsi="宋体" w:cs="宋体"/>
          <w:b/>
          <w:sz w:val="28"/>
          <w:szCs w:val="28"/>
          <w:lang w:val="en-US" w:eastAsia="zh-CN"/>
        </w:rPr>
        <w:t>7</w:t>
      </w:r>
      <w:r>
        <w:rPr>
          <w:rFonts w:hint="eastAsia" w:ascii="宋体" w:hAnsi="宋体" w:cs="宋体"/>
          <w:b/>
          <w:sz w:val="28"/>
          <w:szCs w:val="28"/>
        </w:rPr>
        <w:t>月</w:t>
      </w:r>
    </w:p>
    <w:p w14:paraId="34223CA3">
      <w:pPr>
        <w:spacing w:line="480" w:lineRule="auto"/>
        <w:jc w:val="center"/>
        <w:rPr>
          <w:rFonts w:ascii="宋体" w:hAnsi="宋体" w:cs="宋体"/>
          <w:b/>
          <w:sz w:val="52"/>
          <w:szCs w:val="52"/>
        </w:rPr>
      </w:pPr>
    </w:p>
    <w:p w14:paraId="4458956B">
      <w:pPr>
        <w:spacing w:line="1200" w:lineRule="exact"/>
        <w:jc w:val="center"/>
        <w:rPr>
          <w:rFonts w:ascii="宋体" w:hAnsi="宋体" w:cs="宋体"/>
          <w:b/>
          <w:sz w:val="56"/>
          <w:szCs w:val="56"/>
        </w:rPr>
      </w:pPr>
      <w:r>
        <w:rPr>
          <w:rFonts w:hint="eastAsia" w:ascii="宋体" w:hAnsi="宋体" w:cs="宋体"/>
          <w:b/>
          <w:sz w:val="56"/>
          <w:szCs w:val="56"/>
        </w:rPr>
        <w:t>温馨提醒</w:t>
      </w:r>
    </w:p>
    <w:p w14:paraId="2704A65B">
      <w:pPr>
        <w:spacing w:line="1000" w:lineRule="exact"/>
        <w:jc w:val="left"/>
        <w:rPr>
          <w:rFonts w:ascii="宋体" w:hAnsi="宋体" w:cs="宋体"/>
          <w:b/>
          <w:sz w:val="30"/>
          <w:szCs w:val="30"/>
        </w:rPr>
      </w:pPr>
      <w:r>
        <w:rPr>
          <w:rFonts w:hint="eastAsia" w:ascii="宋体" w:hAnsi="宋体" w:cs="宋体"/>
          <w:b/>
          <w:sz w:val="30"/>
          <w:szCs w:val="30"/>
        </w:rPr>
        <w:t>1.投标文件应按招标文件要求将“资格文件”、“商务和技术文件”、“报价文件”分别编制。</w:t>
      </w:r>
    </w:p>
    <w:p w14:paraId="2AD3C64B">
      <w:pPr>
        <w:spacing w:line="1000" w:lineRule="exact"/>
        <w:jc w:val="left"/>
        <w:rPr>
          <w:rFonts w:ascii="宋体" w:hAnsi="宋体" w:cs="宋体"/>
          <w:b/>
          <w:sz w:val="30"/>
          <w:szCs w:val="30"/>
        </w:rPr>
      </w:pPr>
      <w:r>
        <w:rPr>
          <w:rFonts w:hint="eastAsia" w:ascii="宋体" w:hAnsi="宋体" w:cs="宋体"/>
          <w:b/>
          <w:sz w:val="30"/>
          <w:szCs w:val="30"/>
        </w:rPr>
        <w:t>2.采购人可以对已发出的招标文件进行必要的澄清或者修改，将以“更正公告”的形式发布在政采云平台，供应商应及时登录政采云平台，进行浏览并下载，未及时浏览下载的责任自负。</w:t>
      </w:r>
    </w:p>
    <w:p w14:paraId="1E3AFC55">
      <w:pPr>
        <w:pStyle w:val="46"/>
        <w:spacing w:before="0" w:beforeAutospacing="0" w:after="0" w:afterAutospacing="0" w:line="400" w:lineRule="exact"/>
        <w:ind w:firstLine="420" w:firstLineChars="200"/>
        <w:rPr>
          <w:rFonts w:hAnsi="宋体"/>
          <w:sz w:val="21"/>
          <w:szCs w:val="21"/>
        </w:rPr>
      </w:pPr>
    </w:p>
    <w:p w14:paraId="7642FCDF">
      <w:pPr>
        <w:tabs>
          <w:tab w:val="center" w:pos="4365"/>
        </w:tabs>
        <w:spacing w:line="480" w:lineRule="auto"/>
        <w:jc w:val="center"/>
        <w:rPr>
          <w:rFonts w:ascii="宋体" w:hAnsi="宋体" w:cs="宋体"/>
          <w:b/>
          <w:bCs/>
          <w:sz w:val="32"/>
          <w:szCs w:val="32"/>
        </w:rPr>
      </w:pPr>
      <w:r>
        <w:rPr>
          <w:rFonts w:hint="eastAsia" w:ascii="宋体" w:hAnsi="宋体" w:cs="宋体"/>
          <w:b/>
          <w:bCs/>
          <w:sz w:val="32"/>
          <w:szCs w:val="32"/>
        </w:rPr>
        <w:br w:type="page"/>
      </w:r>
    </w:p>
    <w:p w14:paraId="3E879B06">
      <w:pPr>
        <w:tabs>
          <w:tab w:val="center" w:pos="4365"/>
        </w:tabs>
        <w:spacing w:line="480" w:lineRule="auto"/>
        <w:jc w:val="center"/>
        <w:rPr>
          <w:rFonts w:ascii="宋体" w:hAnsi="宋体" w:cs="宋体"/>
          <w:b/>
          <w:sz w:val="28"/>
          <w:szCs w:val="28"/>
        </w:rPr>
      </w:pPr>
    </w:p>
    <w:p w14:paraId="3F11ECE2">
      <w:pPr>
        <w:tabs>
          <w:tab w:val="center" w:pos="4365"/>
        </w:tabs>
        <w:spacing w:line="360" w:lineRule="auto"/>
        <w:jc w:val="center"/>
        <w:rPr>
          <w:rFonts w:ascii="宋体" w:hAnsi="宋体" w:cs="宋体"/>
          <w:b/>
          <w:sz w:val="28"/>
          <w:szCs w:val="28"/>
        </w:rPr>
      </w:pPr>
      <w:r>
        <w:rPr>
          <w:rFonts w:hint="eastAsia" w:ascii="宋体" w:hAnsi="宋体" w:cs="宋体"/>
          <w:b/>
          <w:sz w:val="28"/>
          <w:szCs w:val="28"/>
        </w:rPr>
        <w:t>目  录</w:t>
      </w:r>
    </w:p>
    <w:p w14:paraId="454F12AC">
      <w:pPr>
        <w:pStyle w:val="34"/>
        <w:tabs>
          <w:tab w:val="right" w:leader="dot" w:pos="8957"/>
          <w:tab w:val="clear" w:pos="8721"/>
        </w:tabs>
        <w:spacing w:line="360" w:lineRule="auto"/>
        <w:rPr>
          <w:sz w:val="28"/>
          <w:szCs w:val="28"/>
        </w:rPr>
      </w:pPr>
      <w:r>
        <w:rPr>
          <w:rFonts w:hint="eastAsia" w:hAnsi="宋体" w:cs="宋体"/>
          <w:color w:val="auto"/>
          <w:sz w:val="28"/>
          <w:szCs w:val="28"/>
        </w:rPr>
        <w:fldChar w:fldCharType="begin"/>
      </w:r>
      <w:r>
        <w:rPr>
          <w:rFonts w:hint="eastAsia" w:hAnsi="宋体" w:cs="宋体"/>
          <w:color w:val="auto"/>
          <w:sz w:val="28"/>
          <w:szCs w:val="28"/>
        </w:rPr>
        <w:instrText xml:space="preserve"> TOC \o "1-3" \h \z \u </w:instrText>
      </w:r>
      <w:r>
        <w:rPr>
          <w:rFonts w:hint="eastAsia" w:hAnsi="宋体" w:cs="宋体"/>
          <w:color w:val="auto"/>
          <w:sz w:val="28"/>
          <w:szCs w:val="28"/>
        </w:rPr>
        <w:fldChar w:fldCharType="separate"/>
      </w:r>
      <w:r>
        <w:rPr>
          <w:rFonts w:hint="eastAsia" w:hAnsi="宋体" w:cs="宋体"/>
          <w:color w:val="auto"/>
          <w:sz w:val="28"/>
          <w:szCs w:val="28"/>
        </w:rPr>
        <w:fldChar w:fldCharType="begin"/>
      </w:r>
      <w:r>
        <w:rPr>
          <w:rFonts w:hint="eastAsia" w:hAnsi="宋体" w:cs="宋体"/>
          <w:sz w:val="28"/>
          <w:szCs w:val="28"/>
        </w:rPr>
        <w:instrText xml:space="preserve"> HYPERLINK \l _Toc21226 </w:instrText>
      </w:r>
      <w:r>
        <w:rPr>
          <w:rFonts w:hint="eastAsia" w:hAnsi="宋体" w:cs="宋体"/>
          <w:sz w:val="28"/>
          <w:szCs w:val="28"/>
        </w:rPr>
        <w:fldChar w:fldCharType="separate"/>
      </w:r>
      <w:r>
        <w:rPr>
          <w:rFonts w:hint="eastAsia" w:ascii="宋体" w:hAnsi="宋体" w:cs="宋体"/>
          <w:sz w:val="28"/>
          <w:szCs w:val="28"/>
        </w:rPr>
        <w:t>第一章  采购公告</w:t>
      </w:r>
      <w:r>
        <w:rPr>
          <w:sz w:val="28"/>
          <w:szCs w:val="28"/>
        </w:rPr>
        <w:tab/>
      </w:r>
      <w:r>
        <w:rPr>
          <w:sz w:val="28"/>
          <w:szCs w:val="28"/>
        </w:rPr>
        <w:fldChar w:fldCharType="begin"/>
      </w:r>
      <w:r>
        <w:rPr>
          <w:sz w:val="28"/>
          <w:szCs w:val="28"/>
        </w:rPr>
        <w:instrText xml:space="preserve"> PAGEREF _Toc21226 \h </w:instrText>
      </w:r>
      <w:r>
        <w:rPr>
          <w:sz w:val="28"/>
          <w:szCs w:val="28"/>
        </w:rPr>
        <w:fldChar w:fldCharType="separate"/>
      </w:r>
      <w:r>
        <w:rPr>
          <w:sz w:val="28"/>
          <w:szCs w:val="28"/>
        </w:rPr>
        <w:t>1</w:t>
      </w:r>
      <w:r>
        <w:rPr>
          <w:sz w:val="28"/>
          <w:szCs w:val="28"/>
        </w:rPr>
        <w:fldChar w:fldCharType="end"/>
      </w:r>
      <w:r>
        <w:rPr>
          <w:rFonts w:hint="eastAsia" w:hAnsi="宋体" w:cs="宋体"/>
          <w:color w:val="auto"/>
          <w:sz w:val="28"/>
          <w:szCs w:val="28"/>
        </w:rPr>
        <w:fldChar w:fldCharType="end"/>
      </w:r>
    </w:p>
    <w:p w14:paraId="4EC04DC3">
      <w:pPr>
        <w:pStyle w:val="34"/>
        <w:tabs>
          <w:tab w:val="right" w:leader="dot" w:pos="8957"/>
          <w:tab w:val="clear" w:pos="8721"/>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_Toc3567 </w:instrText>
      </w:r>
      <w:r>
        <w:rPr>
          <w:rFonts w:hint="eastAsia" w:ascii="宋体" w:hAnsi="宋体" w:cs="宋体"/>
          <w:sz w:val="28"/>
          <w:szCs w:val="28"/>
        </w:rPr>
        <w:fldChar w:fldCharType="separate"/>
      </w:r>
      <w:r>
        <w:rPr>
          <w:rFonts w:hint="eastAsia" w:ascii="宋体" w:hAnsi="宋体" w:cs="宋体"/>
          <w:sz w:val="28"/>
          <w:szCs w:val="28"/>
        </w:rPr>
        <w:t>第二章  投标须知</w:t>
      </w:r>
      <w:r>
        <w:rPr>
          <w:sz w:val="28"/>
          <w:szCs w:val="28"/>
        </w:rPr>
        <w:tab/>
      </w:r>
      <w:r>
        <w:rPr>
          <w:sz w:val="28"/>
          <w:szCs w:val="28"/>
        </w:rPr>
        <w:fldChar w:fldCharType="begin"/>
      </w:r>
      <w:r>
        <w:rPr>
          <w:sz w:val="28"/>
          <w:szCs w:val="28"/>
        </w:rPr>
        <w:instrText xml:space="preserve"> PAGEREF _Toc3567 \h </w:instrText>
      </w:r>
      <w:r>
        <w:rPr>
          <w:sz w:val="28"/>
          <w:szCs w:val="28"/>
        </w:rPr>
        <w:fldChar w:fldCharType="separate"/>
      </w:r>
      <w:r>
        <w:rPr>
          <w:sz w:val="28"/>
          <w:szCs w:val="28"/>
        </w:rPr>
        <w:t>10</w:t>
      </w:r>
      <w:r>
        <w:rPr>
          <w:sz w:val="28"/>
          <w:szCs w:val="28"/>
        </w:rPr>
        <w:fldChar w:fldCharType="end"/>
      </w:r>
      <w:r>
        <w:rPr>
          <w:rFonts w:hint="eastAsia" w:ascii="宋体" w:hAnsi="宋体" w:cs="宋体"/>
          <w:sz w:val="28"/>
          <w:szCs w:val="28"/>
        </w:rPr>
        <w:fldChar w:fldCharType="end"/>
      </w:r>
    </w:p>
    <w:p w14:paraId="2807A9F1">
      <w:pPr>
        <w:pStyle w:val="34"/>
        <w:tabs>
          <w:tab w:val="right" w:leader="dot" w:pos="8957"/>
          <w:tab w:val="clear" w:pos="8721"/>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_Toc31762 </w:instrText>
      </w:r>
      <w:r>
        <w:rPr>
          <w:rFonts w:hint="eastAsia" w:ascii="宋体" w:hAnsi="宋体" w:cs="宋体"/>
          <w:sz w:val="28"/>
          <w:szCs w:val="28"/>
        </w:rPr>
        <w:fldChar w:fldCharType="separate"/>
      </w:r>
      <w:r>
        <w:rPr>
          <w:rFonts w:hint="eastAsia" w:ascii="宋体" w:hAnsi="宋体" w:cs="宋体"/>
          <w:sz w:val="28"/>
          <w:szCs w:val="28"/>
        </w:rPr>
        <w:t>第三章  招标内容与服务需求</w:t>
      </w:r>
      <w:r>
        <w:rPr>
          <w:sz w:val="28"/>
          <w:szCs w:val="28"/>
        </w:rPr>
        <w:tab/>
      </w:r>
      <w:r>
        <w:rPr>
          <w:sz w:val="28"/>
          <w:szCs w:val="28"/>
        </w:rPr>
        <w:fldChar w:fldCharType="begin"/>
      </w:r>
      <w:r>
        <w:rPr>
          <w:sz w:val="28"/>
          <w:szCs w:val="28"/>
        </w:rPr>
        <w:instrText xml:space="preserve"> PAGEREF _Toc31762 \h </w:instrText>
      </w:r>
      <w:r>
        <w:rPr>
          <w:sz w:val="28"/>
          <w:szCs w:val="28"/>
        </w:rPr>
        <w:fldChar w:fldCharType="separate"/>
      </w:r>
      <w:r>
        <w:rPr>
          <w:sz w:val="28"/>
          <w:szCs w:val="28"/>
        </w:rPr>
        <w:t>24</w:t>
      </w:r>
      <w:r>
        <w:rPr>
          <w:sz w:val="28"/>
          <w:szCs w:val="28"/>
        </w:rPr>
        <w:fldChar w:fldCharType="end"/>
      </w:r>
      <w:r>
        <w:rPr>
          <w:rFonts w:hint="eastAsia" w:ascii="宋体" w:hAnsi="宋体" w:cs="宋体"/>
          <w:sz w:val="28"/>
          <w:szCs w:val="28"/>
        </w:rPr>
        <w:fldChar w:fldCharType="end"/>
      </w:r>
    </w:p>
    <w:p w14:paraId="3A33D8F1">
      <w:pPr>
        <w:pStyle w:val="34"/>
        <w:tabs>
          <w:tab w:val="right" w:leader="dot" w:pos="8957"/>
          <w:tab w:val="clear" w:pos="8721"/>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_Toc21193 </w:instrText>
      </w:r>
      <w:r>
        <w:rPr>
          <w:rFonts w:hint="eastAsia" w:ascii="宋体" w:hAnsi="宋体" w:cs="宋体"/>
          <w:sz w:val="28"/>
          <w:szCs w:val="28"/>
        </w:rPr>
        <w:fldChar w:fldCharType="separate"/>
      </w:r>
      <w:r>
        <w:rPr>
          <w:rFonts w:hint="eastAsia" w:ascii="宋体" w:hAnsi="宋体" w:cs="宋体"/>
          <w:sz w:val="28"/>
          <w:szCs w:val="28"/>
        </w:rPr>
        <w:t>第四章  商务条款</w:t>
      </w:r>
      <w:r>
        <w:rPr>
          <w:sz w:val="28"/>
          <w:szCs w:val="28"/>
        </w:rPr>
        <w:tab/>
      </w:r>
      <w:r>
        <w:rPr>
          <w:sz w:val="28"/>
          <w:szCs w:val="28"/>
        </w:rPr>
        <w:fldChar w:fldCharType="begin"/>
      </w:r>
      <w:r>
        <w:rPr>
          <w:sz w:val="28"/>
          <w:szCs w:val="28"/>
        </w:rPr>
        <w:instrText xml:space="preserve"> PAGEREF _Toc21193 \h </w:instrText>
      </w:r>
      <w:r>
        <w:rPr>
          <w:sz w:val="28"/>
          <w:szCs w:val="28"/>
        </w:rPr>
        <w:fldChar w:fldCharType="separate"/>
      </w:r>
      <w:r>
        <w:rPr>
          <w:sz w:val="28"/>
          <w:szCs w:val="28"/>
        </w:rPr>
        <w:t>136</w:t>
      </w:r>
      <w:r>
        <w:rPr>
          <w:sz w:val="28"/>
          <w:szCs w:val="28"/>
        </w:rPr>
        <w:fldChar w:fldCharType="end"/>
      </w:r>
      <w:r>
        <w:rPr>
          <w:rFonts w:hint="eastAsia" w:ascii="宋体" w:hAnsi="宋体" w:cs="宋体"/>
          <w:sz w:val="28"/>
          <w:szCs w:val="28"/>
        </w:rPr>
        <w:fldChar w:fldCharType="end"/>
      </w:r>
    </w:p>
    <w:p w14:paraId="15E27183">
      <w:pPr>
        <w:pStyle w:val="34"/>
        <w:tabs>
          <w:tab w:val="right" w:leader="dot" w:pos="8957"/>
          <w:tab w:val="clear" w:pos="8721"/>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_Toc12082 </w:instrText>
      </w:r>
      <w:r>
        <w:rPr>
          <w:rFonts w:hint="eastAsia" w:ascii="宋体" w:hAnsi="宋体" w:cs="宋体"/>
          <w:sz w:val="28"/>
          <w:szCs w:val="28"/>
        </w:rPr>
        <w:fldChar w:fldCharType="separate"/>
      </w:r>
      <w:r>
        <w:rPr>
          <w:rFonts w:hint="eastAsia" w:ascii="宋体" w:hAnsi="宋体" w:cs="宋体"/>
          <w:sz w:val="28"/>
          <w:szCs w:val="28"/>
        </w:rPr>
        <w:t>第五章  评标办法及标准</w:t>
      </w:r>
      <w:r>
        <w:rPr>
          <w:sz w:val="28"/>
          <w:szCs w:val="28"/>
        </w:rPr>
        <w:tab/>
      </w:r>
      <w:r>
        <w:rPr>
          <w:sz w:val="28"/>
          <w:szCs w:val="28"/>
        </w:rPr>
        <w:fldChar w:fldCharType="begin"/>
      </w:r>
      <w:r>
        <w:rPr>
          <w:sz w:val="28"/>
          <w:szCs w:val="28"/>
        </w:rPr>
        <w:instrText xml:space="preserve"> PAGEREF _Toc12082 \h </w:instrText>
      </w:r>
      <w:r>
        <w:rPr>
          <w:sz w:val="28"/>
          <w:szCs w:val="28"/>
        </w:rPr>
        <w:fldChar w:fldCharType="separate"/>
      </w:r>
      <w:r>
        <w:rPr>
          <w:sz w:val="28"/>
          <w:szCs w:val="28"/>
        </w:rPr>
        <w:t>137</w:t>
      </w:r>
      <w:r>
        <w:rPr>
          <w:sz w:val="28"/>
          <w:szCs w:val="28"/>
        </w:rPr>
        <w:fldChar w:fldCharType="end"/>
      </w:r>
      <w:r>
        <w:rPr>
          <w:rFonts w:hint="eastAsia" w:ascii="宋体" w:hAnsi="宋体" w:cs="宋体"/>
          <w:sz w:val="28"/>
          <w:szCs w:val="28"/>
        </w:rPr>
        <w:fldChar w:fldCharType="end"/>
      </w:r>
    </w:p>
    <w:p w14:paraId="5BFE1E5B">
      <w:pPr>
        <w:pStyle w:val="34"/>
        <w:tabs>
          <w:tab w:val="right" w:leader="dot" w:pos="8957"/>
          <w:tab w:val="clear" w:pos="8721"/>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_Toc27769 </w:instrText>
      </w:r>
      <w:r>
        <w:rPr>
          <w:rFonts w:hint="eastAsia" w:ascii="宋体" w:hAnsi="宋体" w:cs="宋体"/>
          <w:sz w:val="28"/>
          <w:szCs w:val="28"/>
        </w:rPr>
        <w:fldChar w:fldCharType="separate"/>
      </w:r>
      <w:r>
        <w:rPr>
          <w:rFonts w:hint="eastAsia" w:ascii="宋体" w:hAnsi="宋体" w:cs="宋体"/>
          <w:sz w:val="28"/>
          <w:szCs w:val="28"/>
        </w:rPr>
        <w:t>第六章  采购合同样本</w:t>
      </w:r>
      <w:r>
        <w:rPr>
          <w:sz w:val="28"/>
          <w:szCs w:val="28"/>
        </w:rPr>
        <w:tab/>
      </w:r>
      <w:r>
        <w:rPr>
          <w:sz w:val="28"/>
          <w:szCs w:val="28"/>
        </w:rPr>
        <w:fldChar w:fldCharType="begin"/>
      </w:r>
      <w:r>
        <w:rPr>
          <w:sz w:val="28"/>
          <w:szCs w:val="28"/>
        </w:rPr>
        <w:instrText xml:space="preserve"> PAGEREF _Toc27769 \h </w:instrText>
      </w:r>
      <w:r>
        <w:rPr>
          <w:sz w:val="28"/>
          <w:szCs w:val="28"/>
        </w:rPr>
        <w:fldChar w:fldCharType="separate"/>
      </w:r>
      <w:r>
        <w:rPr>
          <w:sz w:val="28"/>
          <w:szCs w:val="28"/>
        </w:rPr>
        <w:t>148</w:t>
      </w:r>
      <w:r>
        <w:rPr>
          <w:sz w:val="28"/>
          <w:szCs w:val="28"/>
        </w:rPr>
        <w:fldChar w:fldCharType="end"/>
      </w:r>
      <w:r>
        <w:rPr>
          <w:rFonts w:hint="eastAsia" w:ascii="宋体" w:hAnsi="宋体" w:cs="宋体"/>
          <w:sz w:val="28"/>
          <w:szCs w:val="28"/>
        </w:rPr>
        <w:fldChar w:fldCharType="end"/>
      </w:r>
    </w:p>
    <w:p w14:paraId="432237EA">
      <w:pPr>
        <w:pStyle w:val="34"/>
        <w:tabs>
          <w:tab w:val="right" w:leader="dot" w:pos="8957"/>
          <w:tab w:val="clear" w:pos="8721"/>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_Toc8334 </w:instrText>
      </w:r>
      <w:r>
        <w:rPr>
          <w:rFonts w:hint="eastAsia" w:ascii="宋体" w:hAnsi="宋体" w:cs="宋体"/>
          <w:sz w:val="28"/>
          <w:szCs w:val="28"/>
        </w:rPr>
        <w:fldChar w:fldCharType="separate"/>
      </w:r>
      <w:r>
        <w:rPr>
          <w:rFonts w:hint="eastAsia" w:ascii="宋体" w:hAnsi="宋体" w:cs="宋体"/>
          <w:sz w:val="28"/>
          <w:szCs w:val="28"/>
        </w:rPr>
        <w:t>第七章  附件</w:t>
      </w:r>
      <w:r>
        <w:rPr>
          <w:sz w:val="28"/>
          <w:szCs w:val="28"/>
        </w:rPr>
        <w:tab/>
      </w:r>
      <w:r>
        <w:rPr>
          <w:sz w:val="28"/>
          <w:szCs w:val="28"/>
        </w:rPr>
        <w:fldChar w:fldCharType="begin"/>
      </w:r>
      <w:r>
        <w:rPr>
          <w:sz w:val="28"/>
          <w:szCs w:val="28"/>
        </w:rPr>
        <w:instrText xml:space="preserve"> PAGEREF _Toc8334 \h </w:instrText>
      </w:r>
      <w:r>
        <w:rPr>
          <w:sz w:val="28"/>
          <w:szCs w:val="28"/>
        </w:rPr>
        <w:fldChar w:fldCharType="separate"/>
      </w:r>
      <w:r>
        <w:rPr>
          <w:sz w:val="28"/>
          <w:szCs w:val="28"/>
        </w:rPr>
        <w:t>151</w:t>
      </w:r>
      <w:r>
        <w:rPr>
          <w:sz w:val="28"/>
          <w:szCs w:val="28"/>
        </w:rPr>
        <w:fldChar w:fldCharType="end"/>
      </w:r>
      <w:r>
        <w:rPr>
          <w:rFonts w:hint="eastAsia" w:ascii="宋体" w:hAnsi="宋体" w:cs="宋体"/>
          <w:sz w:val="28"/>
          <w:szCs w:val="28"/>
        </w:rPr>
        <w:fldChar w:fldCharType="end"/>
      </w:r>
    </w:p>
    <w:p w14:paraId="235B7642">
      <w:pPr>
        <w:spacing w:line="360" w:lineRule="auto"/>
        <w:jc w:val="center"/>
        <w:rPr>
          <w:rFonts w:ascii="宋体" w:hAnsi="宋体" w:cs="宋体"/>
          <w:b/>
          <w:sz w:val="32"/>
        </w:rPr>
      </w:pPr>
      <w:r>
        <w:rPr>
          <w:rFonts w:hint="eastAsia" w:ascii="宋体" w:hAnsi="宋体" w:cs="宋体"/>
          <w:sz w:val="28"/>
          <w:szCs w:val="28"/>
        </w:rPr>
        <w:fldChar w:fldCharType="end"/>
      </w:r>
    </w:p>
    <w:p w14:paraId="36364443">
      <w:pPr>
        <w:spacing w:line="400" w:lineRule="exact"/>
        <w:jc w:val="center"/>
        <w:rPr>
          <w:rFonts w:ascii="宋体" w:hAnsi="宋体" w:cs="宋体"/>
          <w:b/>
          <w:sz w:val="32"/>
        </w:rPr>
        <w:sectPr>
          <w:headerReference r:id="rId6" w:type="default"/>
          <w:type w:val="nextColumn"/>
          <w:pgSz w:w="11905" w:h="16838"/>
          <w:pgMar w:top="1474" w:right="1474" w:bottom="1474" w:left="1474" w:header="907" w:footer="850" w:gutter="0"/>
          <w:pgBorders>
            <w:top w:val="none" w:sz="0" w:space="0"/>
            <w:left w:val="none" w:sz="0" w:space="0"/>
            <w:bottom w:val="none" w:sz="0" w:space="0"/>
            <w:right w:val="none" w:sz="0" w:space="0"/>
          </w:pgBorders>
          <w:cols w:space="0" w:num="1"/>
          <w:docGrid w:type="lines" w:linePitch="289" w:charSpace="0"/>
        </w:sectPr>
      </w:pPr>
    </w:p>
    <w:p w14:paraId="41D8CBEB">
      <w:pPr>
        <w:spacing w:line="400" w:lineRule="exact"/>
        <w:jc w:val="center"/>
        <w:outlineLvl w:val="0"/>
        <w:rPr>
          <w:rFonts w:ascii="宋体" w:hAnsi="宋体" w:cs="宋体"/>
          <w:b/>
          <w:sz w:val="32"/>
        </w:rPr>
      </w:pPr>
      <w:bookmarkStart w:id="0" w:name="_Toc21226"/>
      <w:r>
        <w:rPr>
          <w:rFonts w:hint="eastAsia" w:ascii="宋体" w:hAnsi="宋体" w:cs="宋体"/>
          <w:b/>
          <w:sz w:val="32"/>
        </w:rPr>
        <w:t>第一章  采购公告</w:t>
      </w:r>
      <w:bookmarkEnd w:id="0"/>
    </w:p>
    <w:p w14:paraId="56A445A4">
      <w:pPr>
        <w:pStyle w:val="46"/>
        <w:spacing w:before="0" w:beforeAutospacing="0" w:after="0" w:afterAutospacing="0" w:line="400" w:lineRule="exact"/>
        <w:rPr>
          <w:rFonts w:hAnsi="宋体"/>
          <w:sz w:val="21"/>
          <w:szCs w:val="21"/>
        </w:rPr>
      </w:pPr>
      <w:r>
        <w:rPr>
          <w:rFonts w:hint="eastAsia" w:hAnsi="宋体"/>
          <w:sz w:val="21"/>
          <w:szCs w:val="21"/>
        </w:rPr>
        <w:t>项目概况</w:t>
      </w:r>
    </w:p>
    <w:p w14:paraId="5A39673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宁波大学鼎秀古籍全文数据库等采购项目的潜在供应商应在政府采购云平台（</w:t>
      </w:r>
      <w:r>
        <w:fldChar w:fldCharType="begin"/>
      </w:r>
      <w:r>
        <w:instrText xml:space="preserve"> HYPERLINK "http://www.zcygov.cn）获取（下载）招标文件，并于2022年9月" </w:instrText>
      </w:r>
      <w:r>
        <w:fldChar w:fldCharType="separate"/>
      </w:r>
      <w:r>
        <w:rPr>
          <w:rFonts w:hint="eastAsia" w:hAnsi="宋体"/>
          <w:sz w:val="21"/>
          <w:szCs w:val="21"/>
        </w:rPr>
        <w:t>www.zcygov.cn）获取（下载）招标文件，并于2025年</w:t>
      </w:r>
      <w:r>
        <w:rPr>
          <w:rFonts w:hint="eastAsia" w:hAnsi="宋体"/>
          <w:sz w:val="21"/>
          <w:szCs w:val="21"/>
          <w:lang w:val="en-US" w:eastAsia="zh-CN"/>
        </w:rPr>
        <w:t>8</w:t>
      </w:r>
      <w:r>
        <w:rPr>
          <w:rFonts w:hint="eastAsia" w:hAnsi="宋体"/>
          <w:sz w:val="21"/>
          <w:szCs w:val="21"/>
        </w:rPr>
        <w:t>月</w:t>
      </w:r>
      <w:r>
        <w:rPr>
          <w:rFonts w:hint="eastAsia" w:hAnsi="宋体"/>
          <w:sz w:val="21"/>
          <w:szCs w:val="21"/>
        </w:rPr>
        <w:fldChar w:fldCharType="end"/>
      </w:r>
      <w:r>
        <w:rPr>
          <w:rFonts w:hint="eastAsia" w:hAnsi="宋体"/>
          <w:sz w:val="21"/>
          <w:szCs w:val="21"/>
          <w:lang w:val="en-US" w:eastAsia="zh-CN"/>
        </w:rPr>
        <w:t>5</w:t>
      </w:r>
      <w:r>
        <w:rPr>
          <w:rFonts w:hint="eastAsia" w:hAnsi="宋体"/>
          <w:sz w:val="21"/>
          <w:szCs w:val="21"/>
        </w:rPr>
        <w:t>日09:</w:t>
      </w:r>
      <w:r>
        <w:rPr>
          <w:rFonts w:hint="eastAsia" w:hAnsi="宋体"/>
          <w:sz w:val="21"/>
          <w:szCs w:val="21"/>
          <w:lang w:val="en-US" w:eastAsia="zh-CN"/>
        </w:rPr>
        <w:t>0</w:t>
      </w:r>
      <w:r>
        <w:rPr>
          <w:rFonts w:hint="eastAsia" w:hAnsi="宋体"/>
          <w:sz w:val="21"/>
          <w:szCs w:val="21"/>
        </w:rPr>
        <w:t>0（北京时间）前递交（上传）投标文件。</w:t>
      </w:r>
    </w:p>
    <w:p w14:paraId="182EACFA">
      <w:pPr>
        <w:pStyle w:val="46"/>
        <w:spacing w:before="0" w:beforeAutospacing="0" w:after="0" w:afterAutospacing="0" w:line="400" w:lineRule="exact"/>
        <w:jc w:val="both"/>
        <w:rPr>
          <w:rFonts w:hAnsi="宋体"/>
          <w:sz w:val="21"/>
          <w:szCs w:val="21"/>
        </w:rPr>
      </w:pPr>
      <w:r>
        <w:rPr>
          <w:rStyle w:val="55"/>
          <w:rFonts w:hint="eastAsia" w:hAnsi="宋体"/>
          <w:sz w:val="21"/>
          <w:szCs w:val="21"/>
        </w:rPr>
        <w:t>一、项目基本情况</w:t>
      </w:r>
    </w:p>
    <w:p w14:paraId="4120FAC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项目编号：NBITC-202530421G</w:t>
      </w:r>
    </w:p>
    <w:p w14:paraId="0F494B9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项目名称：宁波大学鼎秀古籍全文数据库等采购项目</w:t>
      </w:r>
    </w:p>
    <w:p w14:paraId="3886CC2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预算金额（元）：7503287.22</w:t>
      </w:r>
    </w:p>
    <w:p w14:paraId="7E53F0F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最高限价（元）：</w:t>
      </w:r>
    </w:p>
    <w:p w14:paraId="2B15287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200000,200000,128430,175100,166100,688613.76,199420.26,115000,375000,300000,83000,102600,194202.08,61000,21000,59000,100000,113000,110000,100000,90000,45000,109000,101000,122500,45000,57792,42000,110000,135000,150000,184000,100000,140000,736000,67000,200000,45100,72000,589802.04,33000,109736,100000,141000,136209,87939.6,147000,115742.48</w:t>
      </w:r>
    </w:p>
    <w:p w14:paraId="4CF8BDE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采购需求：详见“第三章  招标内容与服务需求”。</w:t>
      </w:r>
    </w:p>
    <w:p w14:paraId="4F1FD51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标项一：</w:t>
      </w:r>
    </w:p>
    <w:p w14:paraId="0BDF940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标项名称：鼎秀古籍全文检索平台-第三辑</w:t>
      </w:r>
    </w:p>
    <w:p w14:paraId="6C2760E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6E22655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预算金额（元）：200000</w:t>
      </w:r>
    </w:p>
    <w:p w14:paraId="28B6125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w:t>
      </w:r>
    </w:p>
    <w:p w14:paraId="1A6C20F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标项名称：RESSET金融研究数据库</w:t>
      </w:r>
    </w:p>
    <w:p w14:paraId="0927F2D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3CFAB0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预算金额（元）：200000</w:t>
      </w:r>
    </w:p>
    <w:p w14:paraId="2F7831D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w:t>
      </w:r>
    </w:p>
    <w:p w14:paraId="115527A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标项名称：EPS全球统计数据分析数据库</w:t>
      </w:r>
    </w:p>
    <w:p w14:paraId="0FD2D3B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37C97B8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预算金额（元）：128430</w:t>
      </w:r>
    </w:p>
    <w:p w14:paraId="228815D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w:t>
      </w:r>
    </w:p>
    <w:p w14:paraId="3ECF755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标项名称：CEIC全球经济金融数据库</w:t>
      </w:r>
    </w:p>
    <w:p w14:paraId="5D3F571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FBC279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预算金额（元）：175100</w:t>
      </w:r>
    </w:p>
    <w:p w14:paraId="1C67350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标项五：</w:t>
      </w:r>
    </w:p>
    <w:p w14:paraId="4CD192B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标项名称：读秀知识库</w:t>
      </w:r>
    </w:p>
    <w:p w14:paraId="1E1D077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454EE19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预算金额（元）：166100</w:t>
      </w:r>
    </w:p>
    <w:p w14:paraId="43F3F7F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标项六：</w:t>
      </w:r>
    </w:p>
    <w:p w14:paraId="2C001CF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标项名称：Springer期刊</w:t>
      </w:r>
    </w:p>
    <w:p w14:paraId="60CEC3F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604B97A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预算金额（元）：688613.76</w:t>
      </w:r>
    </w:p>
    <w:p w14:paraId="62E848D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标项七：</w:t>
      </w:r>
    </w:p>
    <w:p w14:paraId="3D95582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标项名称：SCOPUS</w:t>
      </w:r>
    </w:p>
    <w:p w14:paraId="45F421C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1ED2C11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预算金额（元）：199420.26</w:t>
      </w:r>
    </w:p>
    <w:p w14:paraId="13DEF53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标项八：</w:t>
      </w:r>
    </w:p>
    <w:p w14:paraId="5B40EA9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标项名称：EBSCO主题数据库</w:t>
      </w:r>
    </w:p>
    <w:p w14:paraId="43DD297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70DA4C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预算金额（元）：115000</w:t>
      </w:r>
    </w:p>
    <w:p w14:paraId="70D79EE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标项九：</w:t>
      </w:r>
    </w:p>
    <w:p w14:paraId="2DD652E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标项名称：中华经典古籍库</w:t>
      </w:r>
    </w:p>
    <w:p w14:paraId="41DF394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5A03E8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预算金额（元）：375000</w:t>
      </w:r>
    </w:p>
    <w:p w14:paraId="2A4C575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w:t>
      </w:r>
    </w:p>
    <w:p w14:paraId="1579467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标项名称：智慧之光-知识产权一体化管理</w:t>
      </w:r>
    </w:p>
    <w:p w14:paraId="7600836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6F9BC0C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预算金额（元）：300000</w:t>
      </w:r>
    </w:p>
    <w:p w14:paraId="01D5D7F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标项十一：</w:t>
      </w:r>
    </w:p>
    <w:p w14:paraId="6901E29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标项名称：燕递</w:t>
      </w:r>
    </w:p>
    <w:p w14:paraId="578085E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43537C9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预算金额（元）：83000</w:t>
      </w:r>
    </w:p>
    <w:p w14:paraId="47A5DA3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标项十二：</w:t>
      </w:r>
    </w:p>
    <w:p w14:paraId="0E55E12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标项名称：未来学堂</w:t>
      </w:r>
    </w:p>
    <w:p w14:paraId="21541EE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3488B9C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预算金额（元）：102600</w:t>
      </w:r>
    </w:p>
    <w:p w14:paraId="2CCB3DF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标项十三：</w:t>
      </w:r>
    </w:p>
    <w:p w14:paraId="52C10EF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标项名称：ProQuest Central</w:t>
      </w:r>
    </w:p>
    <w:p w14:paraId="666D435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D51C3F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预算金额（元）：194202.08</w:t>
      </w:r>
    </w:p>
    <w:p w14:paraId="3AF1E11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标项十四：</w:t>
      </w:r>
    </w:p>
    <w:p w14:paraId="43BA482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标项名称：世界艺术鉴赏库</w:t>
      </w:r>
    </w:p>
    <w:p w14:paraId="363F5F2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6F231E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预算金额（元）：61000</w:t>
      </w:r>
    </w:p>
    <w:p w14:paraId="3E273FE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标项十五：</w:t>
      </w:r>
    </w:p>
    <w:p w14:paraId="0366171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标项名称：智慧芽AI技术分析Eureka2.0</w:t>
      </w:r>
    </w:p>
    <w:p w14:paraId="6859D33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86F08B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预算金额（元）：21000</w:t>
      </w:r>
    </w:p>
    <w:p w14:paraId="58BC454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标项十六：</w:t>
      </w:r>
    </w:p>
    <w:p w14:paraId="5FF9D25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标项名称：华知·文鉴</w:t>
      </w:r>
    </w:p>
    <w:p w14:paraId="1D9A8B4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3E8F28C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预算金额（元）：59000</w:t>
      </w:r>
    </w:p>
    <w:p w14:paraId="5D407F1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标项十七：</w:t>
      </w:r>
    </w:p>
    <w:p w14:paraId="342A6F2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标项名称：大为全球专利检索分析系统</w:t>
      </w:r>
    </w:p>
    <w:p w14:paraId="6BE906B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3567F67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预算金额（元）：100000</w:t>
      </w:r>
    </w:p>
    <w:p w14:paraId="207FDE3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标项十八：</w:t>
      </w:r>
    </w:p>
    <w:p w14:paraId="6356E58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标项名称：泛研全球科研项目数据库</w:t>
      </w:r>
    </w:p>
    <w:p w14:paraId="77D2C5A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433655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预算金额（元）：113000</w:t>
      </w:r>
    </w:p>
    <w:p w14:paraId="0066B87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标项十九：</w:t>
      </w:r>
    </w:p>
    <w:p w14:paraId="09FF096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标项名称：Ai HUB</w:t>
      </w:r>
    </w:p>
    <w:p w14:paraId="3FFF119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45B9BF3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预算金额（元）：110000</w:t>
      </w:r>
    </w:p>
    <w:p w14:paraId="634080F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w:t>
      </w:r>
    </w:p>
    <w:p w14:paraId="7B010A7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标项名称：ERS资源利用绩效分析平台</w:t>
      </w:r>
    </w:p>
    <w:p w14:paraId="3811FA5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057B2B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预算金额（元）：100000</w:t>
      </w:r>
    </w:p>
    <w:p w14:paraId="7B3BE7A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标项二十一：</w:t>
      </w:r>
    </w:p>
    <w:p w14:paraId="11DB4E1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标项名称：雅乐经典视频数据库</w:t>
      </w:r>
    </w:p>
    <w:p w14:paraId="2B5C701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1888AC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预算金额（元）：90000</w:t>
      </w:r>
    </w:p>
    <w:p w14:paraId="49392A8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标项二十二：</w:t>
      </w:r>
    </w:p>
    <w:p w14:paraId="22F7F0E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标项名称：NoteExpress</w:t>
      </w:r>
    </w:p>
    <w:p w14:paraId="5622B9A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0A14BCB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预算金额（元）：45000</w:t>
      </w:r>
    </w:p>
    <w:p w14:paraId="51C314F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标项二十三：</w:t>
      </w:r>
    </w:p>
    <w:p w14:paraId="04B9EFD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标项名称：京东读书</w:t>
      </w:r>
    </w:p>
    <w:p w14:paraId="3152E6E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2C94B1E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预算金额（元）：109000</w:t>
      </w:r>
    </w:p>
    <w:p w14:paraId="121DAB6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标项二十四：</w:t>
      </w:r>
    </w:p>
    <w:p w14:paraId="1CE7AD6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标项名称：MeTel多媒体教学资源</w:t>
      </w:r>
    </w:p>
    <w:p w14:paraId="27A871F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43C64E1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预算金额（元）：101000</w:t>
      </w:r>
    </w:p>
    <w:p w14:paraId="1618A0F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标项二十五：</w:t>
      </w:r>
    </w:p>
    <w:p w14:paraId="0C9D7C2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标项名称：智慧芽专利数据库</w:t>
      </w:r>
    </w:p>
    <w:p w14:paraId="12CDBBE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0B1E230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预算金额（元）：122500</w:t>
      </w:r>
    </w:p>
    <w:p w14:paraId="20EBE16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标项二十六：</w:t>
      </w:r>
    </w:p>
    <w:p w14:paraId="46FE26D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标项名称：科研人事论文诚信档案管理系统</w:t>
      </w:r>
    </w:p>
    <w:p w14:paraId="77343C3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850986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预算金额（元）：45000</w:t>
      </w:r>
    </w:p>
    <w:p w14:paraId="7947680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标项二十七：</w:t>
      </w:r>
    </w:p>
    <w:p w14:paraId="0F84A70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标项名称：incoPat专利数据库</w:t>
      </w:r>
    </w:p>
    <w:p w14:paraId="46A9EE2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8D5532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预算金额（元）：57792</w:t>
      </w:r>
    </w:p>
    <w:p w14:paraId="5A6C550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标项二十八：</w:t>
      </w:r>
    </w:p>
    <w:p w14:paraId="14260A3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标项名称：爱读宝微书房</w:t>
      </w:r>
    </w:p>
    <w:p w14:paraId="48420B1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4157D3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预算金额（元）：42000</w:t>
      </w:r>
    </w:p>
    <w:p w14:paraId="0D2E508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标项二十九：</w:t>
      </w:r>
    </w:p>
    <w:p w14:paraId="0592DF9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标项名称：正保多媒体数据库</w:t>
      </w:r>
    </w:p>
    <w:p w14:paraId="3B7C2C3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4549A12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预算金额（元）：110000</w:t>
      </w:r>
    </w:p>
    <w:p w14:paraId="2807A25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w:t>
      </w:r>
    </w:p>
    <w:p w14:paraId="38C91F6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标项名称：壹专利数据库</w:t>
      </w:r>
    </w:p>
    <w:p w14:paraId="632AB79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6D2D51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预算金额（元）：135000</w:t>
      </w:r>
    </w:p>
    <w:p w14:paraId="0E3D1F4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标项三十一：</w:t>
      </w:r>
    </w:p>
    <w:p w14:paraId="6B6123E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标项名称：新东方多媒体学习库</w:t>
      </w:r>
    </w:p>
    <w:p w14:paraId="003419E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C9CF00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预算金额（元）：150000</w:t>
      </w:r>
    </w:p>
    <w:p w14:paraId="0EF2D2F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标项三十二：</w:t>
      </w:r>
    </w:p>
    <w:p w14:paraId="714E366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标项名称：智图知识资源整合数据库</w:t>
      </w:r>
    </w:p>
    <w:p w14:paraId="17D883A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239742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预算金额（元）：184000</w:t>
      </w:r>
    </w:p>
    <w:p w14:paraId="16B3FEE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标项三十三：</w:t>
      </w:r>
    </w:p>
    <w:p w14:paraId="5C7E28B9">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标项名称：网上报告厅</w:t>
      </w:r>
    </w:p>
    <w:p w14:paraId="2AA9AAE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1949696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预算金额（元）：100000</w:t>
      </w:r>
    </w:p>
    <w:p w14:paraId="56ED307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标项三十四：</w:t>
      </w:r>
    </w:p>
    <w:p w14:paraId="524BE55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标项名称：万方数据库</w:t>
      </w:r>
    </w:p>
    <w:p w14:paraId="4579A8E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301EF8A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预算金额（元）：140000</w:t>
      </w:r>
    </w:p>
    <w:p w14:paraId="26D2351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标项三十五：</w:t>
      </w:r>
    </w:p>
    <w:p w14:paraId="3670A4D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标项名称：知网CNKI总库</w:t>
      </w:r>
    </w:p>
    <w:p w14:paraId="2F5982C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06D089F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预算金额（元）：736000</w:t>
      </w:r>
    </w:p>
    <w:p w14:paraId="47BE4EC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标项三十六：</w:t>
      </w:r>
    </w:p>
    <w:p w14:paraId="26B63B1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标项名称：人大报刊复印资料</w:t>
      </w:r>
    </w:p>
    <w:p w14:paraId="1631E36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CDBE3D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预算金额（元）：67000</w:t>
      </w:r>
    </w:p>
    <w:p w14:paraId="5BF2A1B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标项三十七：</w:t>
      </w:r>
    </w:p>
    <w:p w14:paraId="1B2EF42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标项名称：经纶元数据服务平台</w:t>
      </w:r>
    </w:p>
    <w:p w14:paraId="4E4FA42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4656F70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预算金额（元）：200000</w:t>
      </w:r>
    </w:p>
    <w:p w14:paraId="2CFDE1D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标项三十八：</w:t>
      </w:r>
    </w:p>
    <w:p w14:paraId="2FF2E6D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标项名称：中文社会科学引文索引</w:t>
      </w:r>
    </w:p>
    <w:p w14:paraId="53A2307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1D2064D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预算金额（元）：45100</w:t>
      </w:r>
    </w:p>
    <w:p w14:paraId="2B7C42A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标项三十九：</w:t>
      </w:r>
    </w:p>
    <w:p w14:paraId="2EEA4E9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标项名称：超星期刊</w:t>
      </w:r>
    </w:p>
    <w:p w14:paraId="1A29909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4896624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预算金额（元）：72000</w:t>
      </w:r>
    </w:p>
    <w:p w14:paraId="4691C95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标项四十：</w:t>
      </w:r>
    </w:p>
    <w:p w14:paraId="5D55170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标项名称：Scival</w:t>
      </w:r>
    </w:p>
    <w:p w14:paraId="76AD175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10BCD92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预算金额（元）：589802.04</w:t>
      </w:r>
    </w:p>
    <w:p w14:paraId="4AFEE3F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标项四十一：</w:t>
      </w:r>
    </w:p>
    <w:p w14:paraId="4EACA7B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标项名称：知衣</w:t>
      </w:r>
    </w:p>
    <w:p w14:paraId="75BAAA5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650B45A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预算金额（元）：33000</w:t>
      </w:r>
    </w:p>
    <w:p w14:paraId="2D972ED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标项四十二：</w:t>
      </w:r>
    </w:p>
    <w:p w14:paraId="7B70177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标项名称：德古意特语言学文学期刊库（现刊）</w:t>
      </w:r>
    </w:p>
    <w:p w14:paraId="5CB55CE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046F0D3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预算金额（元）：109736</w:t>
      </w:r>
    </w:p>
    <w:p w14:paraId="196665A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标项四十三：</w:t>
      </w:r>
    </w:p>
    <w:p w14:paraId="3FA7C65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标项名称：中华医学期刊全文数据库</w:t>
      </w:r>
    </w:p>
    <w:p w14:paraId="05D3FC5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5C65E16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预算金额（元）：100000</w:t>
      </w:r>
    </w:p>
    <w:p w14:paraId="22FDCA2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标项四十四：</w:t>
      </w:r>
    </w:p>
    <w:p w14:paraId="0E1DC01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标项名称：北大法宝</w:t>
      </w:r>
    </w:p>
    <w:p w14:paraId="53891F0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03DCDA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预算金额（元）：141000</w:t>
      </w:r>
    </w:p>
    <w:p w14:paraId="74CD140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标项四十五：</w:t>
      </w:r>
    </w:p>
    <w:p w14:paraId="074CA7A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标项名称：MathSciNet数学评论＋AMS</w:t>
      </w:r>
    </w:p>
    <w:p w14:paraId="24E16B5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39B5781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预算金额（元）：136209</w:t>
      </w:r>
    </w:p>
    <w:p w14:paraId="74E5349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标项四十六：</w:t>
      </w:r>
    </w:p>
    <w:p w14:paraId="7EB5450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标项名称：John Benjamins（本杰明）期刊数据库</w:t>
      </w:r>
    </w:p>
    <w:p w14:paraId="1B42156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3308BF6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预算金额（元）：87939.6</w:t>
      </w:r>
    </w:p>
    <w:p w14:paraId="4B2EB4A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标项四十七：</w:t>
      </w:r>
    </w:p>
    <w:p w14:paraId="4A79A0B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标项名称：Heinonline</w:t>
      </w:r>
    </w:p>
    <w:p w14:paraId="2F91A7F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4A22EB3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预算金额（元）：147000</w:t>
      </w:r>
    </w:p>
    <w:p w14:paraId="67AF616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标项四十八：</w:t>
      </w:r>
    </w:p>
    <w:p w14:paraId="573E244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标项名称：Cairn法语数据库</w:t>
      </w:r>
    </w:p>
    <w:p w14:paraId="7143A43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数量：1</w:t>
      </w:r>
    </w:p>
    <w:p w14:paraId="708A0CE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预算金额（元）：115742.48</w:t>
      </w:r>
    </w:p>
    <w:p w14:paraId="0E2CE68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简要规格描述或项目基本概况介绍、用途：详见招标文件“第三章  招标内容与服务需求”。</w:t>
      </w:r>
    </w:p>
    <w:p w14:paraId="14A02B4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备注：详细招标内容与服务需求详见招标文件“第三章  招标内容与服务需求”。</w:t>
      </w:r>
    </w:p>
    <w:p w14:paraId="18E5AF7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合同履约期限：自合同生效之日起至合同全部权利义务履行完毕之日止。</w:t>
      </w:r>
    </w:p>
    <w:p w14:paraId="2E1F222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本项目（否）接受联合体投标。</w:t>
      </w:r>
    </w:p>
    <w:p w14:paraId="4C1F292B">
      <w:pPr>
        <w:pStyle w:val="46"/>
        <w:spacing w:before="0" w:beforeAutospacing="0" w:after="0" w:afterAutospacing="0" w:line="400" w:lineRule="exact"/>
        <w:jc w:val="both"/>
        <w:rPr>
          <w:rFonts w:hAnsi="宋体"/>
          <w:sz w:val="21"/>
          <w:szCs w:val="21"/>
        </w:rPr>
      </w:pPr>
      <w:r>
        <w:rPr>
          <w:rStyle w:val="55"/>
          <w:rFonts w:hint="eastAsia" w:hAnsi="宋体"/>
          <w:sz w:val="21"/>
          <w:szCs w:val="21"/>
        </w:rPr>
        <w:t>二、申请人的资格要求</w:t>
      </w:r>
    </w:p>
    <w:p w14:paraId="2584296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06BB67D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2.落实政府采购政策需满足的资格要求：标项1,2,3,4,5,6,7,8,9,10,11,12,13,14,15,16,17,</w:t>
      </w:r>
    </w:p>
    <w:p w14:paraId="61F084DD">
      <w:pPr>
        <w:pStyle w:val="46"/>
        <w:spacing w:before="0" w:beforeAutospacing="0" w:after="0" w:afterAutospacing="0" w:line="400" w:lineRule="exact"/>
        <w:jc w:val="both"/>
        <w:rPr>
          <w:rFonts w:hAnsi="宋体"/>
          <w:sz w:val="21"/>
          <w:szCs w:val="21"/>
        </w:rPr>
      </w:pPr>
      <w:r>
        <w:rPr>
          <w:rFonts w:hint="eastAsia" w:hAnsi="宋体"/>
          <w:sz w:val="21"/>
          <w:szCs w:val="21"/>
        </w:rPr>
        <w:t>18,19,20,21,22,23,24,25,26,27,28,29,30,31,32,33,34,35,36,37,38,39,40,41,42,43,44,45,46,47,48：无。</w:t>
      </w:r>
    </w:p>
    <w:p w14:paraId="5CCD12C3">
      <w:pPr>
        <w:pStyle w:val="46"/>
        <w:numPr>
          <w:ilvl w:val="0"/>
          <w:numId w:val="0"/>
        </w:numPr>
        <w:spacing w:before="0" w:beforeAutospacing="0" w:after="0" w:afterAutospacing="0" w:line="400" w:lineRule="exact"/>
        <w:ind w:firstLine="420" w:firstLineChars="200"/>
        <w:jc w:val="both"/>
        <w:rPr>
          <w:rFonts w:hint="eastAsia" w:hAnsi="宋体"/>
          <w:sz w:val="21"/>
          <w:szCs w:val="21"/>
        </w:rPr>
      </w:pPr>
      <w:r>
        <w:rPr>
          <w:rFonts w:hint="eastAsia" w:hAnsi="宋体"/>
          <w:sz w:val="21"/>
          <w:szCs w:val="21"/>
          <w:lang w:val="en-US" w:eastAsia="zh-CN"/>
        </w:rPr>
        <w:t>3.</w:t>
      </w:r>
      <w:r>
        <w:rPr>
          <w:rFonts w:hint="eastAsia" w:hAnsi="宋体"/>
          <w:sz w:val="21"/>
          <w:szCs w:val="21"/>
        </w:rPr>
        <w:t>本项目的特定资格要求：</w:t>
      </w:r>
      <w:r>
        <w:rPr>
          <w:rFonts w:hint="eastAsia" w:hAnsi="宋体"/>
          <w:sz w:val="21"/>
          <w:szCs w:val="21"/>
          <w:lang w:eastAsia="zh-CN"/>
        </w:rPr>
        <w:t>标项</w:t>
      </w:r>
      <w:r>
        <w:rPr>
          <w:rFonts w:hint="eastAsia" w:hAnsi="宋体"/>
          <w:sz w:val="21"/>
          <w:szCs w:val="21"/>
          <w:lang w:val="en-US" w:eastAsia="zh-CN"/>
        </w:rPr>
        <w:t>12,28</w:t>
      </w:r>
      <w:r>
        <w:rPr>
          <w:rFonts w:hint="eastAsia" w:hAnsi="宋体"/>
          <w:sz w:val="21"/>
          <w:szCs w:val="21"/>
        </w:rPr>
        <w:t>,39</w:t>
      </w:r>
      <w:r>
        <w:rPr>
          <w:rFonts w:hint="eastAsia" w:hAnsi="宋体"/>
          <w:sz w:val="21"/>
          <w:szCs w:val="21"/>
          <w:lang w:val="en-US" w:eastAsia="zh-CN"/>
        </w:rPr>
        <w:t>：供应商须具有有效期内的出版物经营许可证；</w:t>
      </w:r>
      <w:r>
        <w:rPr>
          <w:rFonts w:hint="eastAsia" w:hAnsi="宋体"/>
          <w:sz w:val="21"/>
          <w:szCs w:val="21"/>
        </w:rPr>
        <w:t>标项</w:t>
      </w:r>
      <w:r>
        <w:rPr>
          <w:rFonts w:hint="eastAsia" w:hAnsi="宋体"/>
          <w:sz w:val="21"/>
          <w:szCs w:val="21"/>
          <w:lang w:val="en-US" w:eastAsia="zh-CN"/>
        </w:rPr>
        <w:t>1</w:t>
      </w:r>
      <w:r>
        <w:rPr>
          <w:rFonts w:hint="eastAsia" w:hAnsi="宋体"/>
          <w:sz w:val="21"/>
          <w:szCs w:val="21"/>
        </w:rPr>
        <w:t>,2,3,4,5,6,7,8,9,10,11,13,14,15,16,17,18,19,20,21,22,23,24,25,26,27,29,30,31,32,</w:t>
      </w:r>
    </w:p>
    <w:p w14:paraId="0FC7E6C0">
      <w:pPr>
        <w:pStyle w:val="46"/>
        <w:numPr>
          <w:ilvl w:val="0"/>
          <w:numId w:val="0"/>
        </w:numPr>
        <w:spacing w:before="0" w:beforeAutospacing="0" w:after="0" w:afterAutospacing="0" w:line="400" w:lineRule="exact"/>
        <w:jc w:val="both"/>
        <w:rPr>
          <w:rFonts w:hAnsi="宋体"/>
          <w:sz w:val="21"/>
          <w:szCs w:val="21"/>
        </w:rPr>
      </w:pPr>
      <w:r>
        <w:rPr>
          <w:rFonts w:hint="eastAsia" w:hAnsi="宋体"/>
          <w:sz w:val="21"/>
          <w:szCs w:val="21"/>
        </w:rPr>
        <w:t>33,34,35,36,37,38,40,41,42,43,44,45,46,47,48：无。</w:t>
      </w:r>
    </w:p>
    <w:p w14:paraId="65DB22E6">
      <w:pPr>
        <w:pStyle w:val="46"/>
        <w:spacing w:before="0" w:beforeAutospacing="0" w:after="0" w:afterAutospacing="0" w:line="400" w:lineRule="exact"/>
        <w:jc w:val="both"/>
        <w:rPr>
          <w:rFonts w:hAnsi="宋体"/>
          <w:sz w:val="21"/>
          <w:szCs w:val="21"/>
        </w:rPr>
      </w:pPr>
      <w:r>
        <w:rPr>
          <w:rStyle w:val="55"/>
          <w:rFonts w:hint="eastAsia" w:hAnsi="宋体"/>
          <w:sz w:val="21"/>
          <w:szCs w:val="21"/>
        </w:rPr>
        <w:t>三、获取招标文件</w:t>
      </w:r>
    </w:p>
    <w:p w14:paraId="7C8BF8E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时间：2025年</w:t>
      </w:r>
      <w:r>
        <w:rPr>
          <w:rFonts w:hint="eastAsia" w:hAnsi="宋体"/>
          <w:sz w:val="21"/>
          <w:szCs w:val="21"/>
          <w:lang w:val="en-US" w:eastAsia="zh-CN"/>
        </w:rPr>
        <w:t>7</w:t>
      </w:r>
      <w:r>
        <w:rPr>
          <w:rFonts w:hint="eastAsia" w:hAnsi="宋体"/>
          <w:sz w:val="21"/>
          <w:szCs w:val="21"/>
        </w:rPr>
        <w:t>月</w:t>
      </w:r>
      <w:r>
        <w:rPr>
          <w:rFonts w:hint="eastAsia" w:hAnsi="宋体"/>
          <w:sz w:val="21"/>
          <w:szCs w:val="21"/>
          <w:lang w:val="en-US" w:eastAsia="zh-CN"/>
        </w:rPr>
        <w:t>15</w:t>
      </w:r>
      <w:r>
        <w:rPr>
          <w:rFonts w:hint="eastAsia" w:hAnsi="宋体"/>
          <w:sz w:val="21"/>
          <w:szCs w:val="21"/>
        </w:rPr>
        <w:t>日至2025年</w:t>
      </w:r>
      <w:r>
        <w:rPr>
          <w:rFonts w:hint="eastAsia" w:hAnsi="宋体"/>
          <w:sz w:val="21"/>
          <w:szCs w:val="21"/>
          <w:lang w:val="en-US" w:eastAsia="zh-CN"/>
        </w:rPr>
        <w:t>7</w:t>
      </w:r>
      <w:r>
        <w:rPr>
          <w:rFonts w:hint="eastAsia" w:hAnsi="宋体"/>
          <w:sz w:val="21"/>
          <w:szCs w:val="21"/>
        </w:rPr>
        <w:t>月</w:t>
      </w:r>
      <w:r>
        <w:rPr>
          <w:rFonts w:hint="eastAsia" w:hAnsi="宋体"/>
          <w:sz w:val="21"/>
          <w:szCs w:val="21"/>
          <w:lang w:val="en-US" w:eastAsia="zh-CN"/>
        </w:rPr>
        <w:t>22</w:t>
      </w:r>
      <w:r>
        <w:rPr>
          <w:rFonts w:hint="eastAsia" w:hAnsi="宋体"/>
          <w:sz w:val="21"/>
          <w:szCs w:val="21"/>
        </w:rPr>
        <w:t>日，每天上午00:00至12:00，下午12:00至23:59（北京时间，线上获取法定节假日均可，线下获取文件法定节假日除外）</w:t>
      </w:r>
    </w:p>
    <w:p w14:paraId="1959F82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地点（网址）：政府采购云平台（www.zcygov.cn）</w:t>
      </w:r>
    </w:p>
    <w:p w14:paraId="284DFE2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方式：供应商登录政府采购云平台（www.zcygov.cn）的注册账号后，进入政采云系统“项目采购”模块“获取招标文件”菜单，进行网上获取招标文件。如有疑问请及时咨询网站客服，咨询电话：95763。获取招标文件前，供应商应按照《浙江省政府采购供应商注册及诚信管理暂行办法》的规定在“浙江政府采购网（zfcg.czt.zj.gov.cn）”上进行供应商注册申请，并通过财政部门的终审后登记加入到“浙江省政府采购供应商库”。中标供应商必须注册并登记加入“浙江省政府采购供应商库”。具体要求及注册申请流程详见《浙江省政府采购供应商注册及诚信管理暂行办法》（浙财采监字{2009}28号）和浙江政府采购网“网上办事指南”的“供应商注册申请”。注册咨询电话：95763，如未注册的供应商，请注意注册所需时间。本采购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6C4AE057">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售价（元）：0</w:t>
      </w:r>
    </w:p>
    <w:p w14:paraId="31BFE0FE">
      <w:pPr>
        <w:pStyle w:val="46"/>
        <w:spacing w:before="0" w:beforeAutospacing="0" w:after="0" w:afterAutospacing="0" w:line="400" w:lineRule="exact"/>
        <w:jc w:val="both"/>
        <w:rPr>
          <w:rFonts w:hAnsi="宋体"/>
          <w:sz w:val="21"/>
          <w:szCs w:val="21"/>
        </w:rPr>
      </w:pPr>
      <w:r>
        <w:rPr>
          <w:rStyle w:val="55"/>
          <w:rFonts w:hint="eastAsia" w:hAnsi="宋体"/>
          <w:sz w:val="21"/>
          <w:szCs w:val="21"/>
        </w:rPr>
        <w:t>四、提交投标文件截止时间、开标时间和地点</w:t>
      </w:r>
    </w:p>
    <w:p w14:paraId="74F6A35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提交投标文件截止时间：2025年</w:t>
      </w:r>
      <w:r>
        <w:rPr>
          <w:rFonts w:hint="eastAsia" w:hAnsi="宋体"/>
          <w:sz w:val="21"/>
          <w:szCs w:val="21"/>
          <w:lang w:val="en-US" w:eastAsia="zh-CN"/>
        </w:rPr>
        <w:t>8</w:t>
      </w:r>
      <w:r>
        <w:rPr>
          <w:rFonts w:hint="eastAsia" w:hAnsi="宋体"/>
          <w:sz w:val="21"/>
          <w:szCs w:val="21"/>
        </w:rPr>
        <w:t>月</w:t>
      </w:r>
      <w:r>
        <w:rPr>
          <w:rFonts w:hint="eastAsia" w:hAnsi="宋体"/>
          <w:sz w:val="21"/>
          <w:szCs w:val="21"/>
          <w:lang w:val="en-US" w:eastAsia="zh-CN"/>
        </w:rPr>
        <w:t>5</w:t>
      </w:r>
      <w:r>
        <w:rPr>
          <w:rFonts w:hint="eastAsia" w:hAnsi="宋体"/>
          <w:sz w:val="21"/>
          <w:szCs w:val="21"/>
        </w:rPr>
        <w:t>日09:</w:t>
      </w:r>
      <w:r>
        <w:rPr>
          <w:rFonts w:hint="eastAsia" w:hAnsi="宋体"/>
          <w:sz w:val="21"/>
          <w:szCs w:val="21"/>
          <w:lang w:val="en-US" w:eastAsia="zh-CN"/>
        </w:rPr>
        <w:t>0</w:t>
      </w:r>
      <w:r>
        <w:rPr>
          <w:rFonts w:hint="eastAsia" w:hAnsi="宋体"/>
          <w:sz w:val="21"/>
          <w:szCs w:val="21"/>
        </w:rPr>
        <w:t>0（北京时间）</w:t>
      </w:r>
    </w:p>
    <w:p w14:paraId="7E18E70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投标地点（网址）：政府采购云平台（http://www.zcygov.cn/）</w:t>
      </w:r>
    </w:p>
    <w:p w14:paraId="2F54BC9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开标时间：2025年</w:t>
      </w:r>
      <w:r>
        <w:rPr>
          <w:rFonts w:hint="eastAsia" w:hAnsi="宋体"/>
          <w:sz w:val="21"/>
          <w:szCs w:val="21"/>
          <w:lang w:val="en-US" w:eastAsia="zh-CN"/>
        </w:rPr>
        <w:t>8</w:t>
      </w:r>
      <w:r>
        <w:rPr>
          <w:rFonts w:hint="eastAsia" w:hAnsi="宋体"/>
          <w:sz w:val="21"/>
          <w:szCs w:val="21"/>
        </w:rPr>
        <w:t>月</w:t>
      </w:r>
      <w:r>
        <w:rPr>
          <w:rFonts w:hint="eastAsia" w:hAnsi="宋体"/>
          <w:sz w:val="21"/>
          <w:szCs w:val="21"/>
          <w:lang w:val="en-US" w:eastAsia="zh-CN"/>
        </w:rPr>
        <w:t>5</w:t>
      </w:r>
      <w:r>
        <w:rPr>
          <w:rFonts w:hint="eastAsia" w:hAnsi="宋体"/>
          <w:sz w:val="21"/>
          <w:szCs w:val="21"/>
        </w:rPr>
        <w:t>日09:</w:t>
      </w:r>
      <w:r>
        <w:rPr>
          <w:rFonts w:hint="eastAsia" w:hAnsi="宋体"/>
          <w:sz w:val="21"/>
          <w:szCs w:val="21"/>
          <w:lang w:val="en-US" w:eastAsia="zh-CN"/>
        </w:rPr>
        <w:t>0</w:t>
      </w:r>
      <w:r>
        <w:rPr>
          <w:rFonts w:hint="eastAsia" w:hAnsi="宋体"/>
          <w:sz w:val="21"/>
          <w:szCs w:val="21"/>
        </w:rPr>
        <w:t>0（北京时间）</w:t>
      </w:r>
    </w:p>
    <w:p w14:paraId="2FA8C37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开标地点（网址）：政府采购云平台（http://www.zcygov.cn/）</w:t>
      </w:r>
    </w:p>
    <w:p w14:paraId="13EA1E89">
      <w:pPr>
        <w:pStyle w:val="46"/>
        <w:spacing w:before="0" w:beforeAutospacing="0" w:after="0" w:afterAutospacing="0" w:line="400" w:lineRule="exact"/>
        <w:jc w:val="both"/>
        <w:rPr>
          <w:rFonts w:hAnsi="宋体"/>
          <w:sz w:val="21"/>
          <w:szCs w:val="21"/>
        </w:rPr>
      </w:pPr>
      <w:r>
        <w:rPr>
          <w:rStyle w:val="55"/>
          <w:rFonts w:hint="eastAsia" w:hAnsi="宋体"/>
          <w:sz w:val="21"/>
          <w:szCs w:val="21"/>
        </w:rPr>
        <w:t>五、公告期限</w:t>
      </w:r>
    </w:p>
    <w:p w14:paraId="306CD54E">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自本公告发布之日起5个工作日。</w:t>
      </w:r>
    </w:p>
    <w:p w14:paraId="153AC3F5">
      <w:pPr>
        <w:pStyle w:val="46"/>
        <w:spacing w:before="0" w:beforeAutospacing="0" w:after="0" w:afterAutospacing="0" w:line="400" w:lineRule="exact"/>
        <w:jc w:val="both"/>
        <w:rPr>
          <w:rFonts w:hAnsi="宋体"/>
          <w:sz w:val="21"/>
          <w:szCs w:val="21"/>
        </w:rPr>
      </w:pPr>
      <w:r>
        <w:rPr>
          <w:rStyle w:val="55"/>
          <w:rFonts w:hint="eastAsia" w:hAnsi="宋体"/>
          <w:sz w:val="21"/>
          <w:szCs w:val="21"/>
        </w:rPr>
        <w:t>六、其他补充事宜</w:t>
      </w:r>
    </w:p>
    <w:p w14:paraId="11F0926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82B0D0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CC20F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3.供应商认为招标文件使自己的权益受到损害的，可以自获取招标文件之日或者招标文件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E309A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4.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036DFFE0">
      <w:pPr>
        <w:pStyle w:val="46"/>
        <w:spacing w:before="0" w:beforeAutospacing="0" w:after="0" w:afterAutospacing="0" w:line="400" w:lineRule="exact"/>
        <w:jc w:val="both"/>
        <w:rPr>
          <w:rFonts w:hAnsi="宋体"/>
          <w:sz w:val="21"/>
          <w:szCs w:val="21"/>
        </w:rPr>
      </w:pPr>
      <w:r>
        <w:rPr>
          <w:rStyle w:val="55"/>
          <w:rFonts w:hint="eastAsia" w:hAnsi="宋体"/>
          <w:sz w:val="21"/>
          <w:szCs w:val="21"/>
        </w:rPr>
        <w:t>七、对本次采购提出询问、质疑、投诉，请按以下方式联系</w:t>
      </w:r>
    </w:p>
    <w:p w14:paraId="39BAA5F3">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1.采购人信息</w:t>
      </w:r>
    </w:p>
    <w:p w14:paraId="0411C82C">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名    称：宁波大学</w:t>
      </w:r>
    </w:p>
    <w:p w14:paraId="597611A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地    址：宁波市江北区风华路818号</w:t>
      </w:r>
    </w:p>
    <w:p w14:paraId="6C67BBA2">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传    真：/</w:t>
      </w:r>
    </w:p>
    <w:p w14:paraId="49268F4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项目联系人（询问）：王老师</w:t>
      </w:r>
    </w:p>
    <w:p w14:paraId="39546044">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项目联系方式（询问）：0574-87600062</w:t>
      </w:r>
    </w:p>
    <w:p w14:paraId="539890BB">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质疑联系人：丁老师</w:t>
      </w:r>
    </w:p>
    <w:p w14:paraId="0821B07D">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质疑联系方式：0574-87609011</w:t>
      </w:r>
    </w:p>
    <w:p w14:paraId="0462E84D">
      <w:pPr>
        <w:pStyle w:val="46"/>
        <w:spacing w:before="0" w:beforeAutospacing="0" w:after="0" w:afterAutospacing="0" w:line="400" w:lineRule="exact"/>
        <w:jc w:val="both"/>
        <w:rPr>
          <w:rFonts w:hAnsi="宋体"/>
          <w:sz w:val="21"/>
          <w:szCs w:val="21"/>
        </w:rPr>
      </w:pPr>
      <w:r>
        <w:rPr>
          <w:rFonts w:hint="eastAsia" w:hAnsi="宋体"/>
          <w:sz w:val="21"/>
          <w:szCs w:val="21"/>
        </w:rPr>
        <w:t xml:space="preserve">   </w:t>
      </w:r>
    </w:p>
    <w:p w14:paraId="09F1F2CB">
      <w:pPr>
        <w:pStyle w:val="46"/>
        <w:spacing w:before="0" w:beforeAutospacing="0" w:after="0" w:afterAutospacing="0" w:line="400" w:lineRule="exact"/>
        <w:jc w:val="both"/>
        <w:rPr>
          <w:rFonts w:hAnsi="宋体"/>
          <w:sz w:val="21"/>
          <w:szCs w:val="21"/>
        </w:rPr>
      </w:pPr>
      <w:r>
        <w:rPr>
          <w:rFonts w:hint="eastAsia" w:hAnsi="宋体"/>
          <w:sz w:val="21"/>
          <w:szCs w:val="21"/>
        </w:rPr>
        <w:t xml:space="preserve">    2.采购代理机构信息</w:t>
      </w:r>
    </w:p>
    <w:p w14:paraId="7F1375B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名    称：宁波市国际招标有限公司</w:t>
      </w:r>
    </w:p>
    <w:p w14:paraId="7A1AEF8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地    址：浙江省宁波市江北区环城北路西段207弄19号世茂茂悦商业中心1号楼8楼</w:t>
      </w:r>
    </w:p>
    <w:p w14:paraId="2C9B9B9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传    真：0574-87388460</w:t>
      </w:r>
    </w:p>
    <w:p w14:paraId="3C149825">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项目联系人（询问）：陈洋、房逸楠、严锋、张敏恒、曹晓琪</w:t>
      </w:r>
    </w:p>
    <w:p w14:paraId="6121D5C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项目联系方式（询问）：0574-87295348、0574-87629230</w:t>
      </w:r>
    </w:p>
    <w:p w14:paraId="2B8837D1">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质疑联系人：夏伟立</w:t>
      </w:r>
    </w:p>
    <w:p w14:paraId="25A56F2F">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质疑联系方式：0574-87128864</w:t>
      </w:r>
    </w:p>
    <w:p w14:paraId="4B5600B4">
      <w:pPr>
        <w:pStyle w:val="46"/>
        <w:spacing w:before="0" w:beforeAutospacing="0" w:after="0" w:afterAutospacing="0" w:line="400" w:lineRule="exact"/>
        <w:jc w:val="both"/>
        <w:rPr>
          <w:rFonts w:hAnsi="宋体"/>
          <w:sz w:val="21"/>
          <w:szCs w:val="21"/>
        </w:rPr>
      </w:pPr>
      <w:r>
        <w:rPr>
          <w:rFonts w:hint="eastAsia" w:hAnsi="宋体"/>
          <w:sz w:val="21"/>
          <w:szCs w:val="21"/>
        </w:rPr>
        <w:t xml:space="preserve">   </w:t>
      </w:r>
    </w:p>
    <w:p w14:paraId="7ED89D70">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3.同级政府采购监督管理部门</w:t>
      </w:r>
    </w:p>
    <w:p w14:paraId="1C5B234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名     称：宁波市财政局政府采购监管处</w:t>
      </w:r>
    </w:p>
    <w:p w14:paraId="76A06EC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地     址：宁波市海曙区中山西路19号</w:t>
      </w:r>
    </w:p>
    <w:p w14:paraId="0BFF252A">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传     真：/</w:t>
      </w:r>
    </w:p>
    <w:p w14:paraId="25A91526">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联 系 人 ：李老师</w:t>
      </w:r>
    </w:p>
    <w:p w14:paraId="121BDCD8">
      <w:pPr>
        <w:pStyle w:val="46"/>
        <w:spacing w:before="0" w:beforeAutospacing="0" w:after="0" w:afterAutospacing="0" w:line="400" w:lineRule="exact"/>
        <w:ind w:firstLine="420" w:firstLineChars="200"/>
        <w:jc w:val="both"/>
        <w:rPr>
          <w:rFonts w:hAnsi="宋体"/>
          <w:sz w:val="21"/>
          <w:szCs w:val="21"/>
        </w:rPr>
      </w:pPr>
      <w:r>
        <w:rPr>
          <w:rFonts w:hint="eastAsia" w:hAnsi="宋体"/>
          <w:sz w:val="21"/>
          <w:szCs w:val="21"/>
        </w:rPr>
        <w:t>监督投诉电话：0574-89388042</w:t>
      </w:r>
    </w:p>
    <w:p w14:paraId="593C252D">
      <w:pPr>
        <w:widowControl/>
        <w:spacing w:line="400" w:lineRule="exact"/>
        <w:rPr>
          <w:rFonts w:ascii="宋体" w:hAnsi="宋体" w:cs="宋体"/>
          <w:szCs w:val="21"/>
        </w:rPr>
      </w:pPr>
    </w:p>
    <w:p w14:paraId="47AA99FE">
      <w:pPr>
        <w:widowControl/>
        <w:spacing w:line="400" w:lineRule="exact"/>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04D0EF66">
      <w:pPr>
        <w:widowControl/>
        <w:spacing w:line="400" w:lineRule="exact"/>
        <w:ind w:firstLine="420" w:firstLineChars="200"/>
        <w:rPr>
          <w:rFonts w:ascii="宋体" w:hAnsi="宋体" w:cs="宋体"/>
          <w:b/>
          <w:sz w:val="32"/>
        </w:rPr>
      </w:pPr>
      <w:r>
        <w:rPr>
          <w:rFonts w:hint="eastAsia" w:ascii="宋体" w:hAnsi="宋体" w:cs="宋体"/>
          <w:szCs w:val="21"/>
        </w:rPr>
        <w:t>CA问题联系电话（人工）：汇信CA400-888-4636；天谷CA400-087-8198。</w:t>
      </w:r>
      <w:r>
        <w:rPr>
          <w:rFonts w:hint="eastAsia" w:ascii="宋体" w:hAnsi="宋体" w:cs="宋体"/>
          <w:b/>
          <w:sz w:val="32"/>
        </w:rPr>
        <w:br w:type="page"/>
      </w:r>
    </w:p>
    <w:p w14:paraId="2CD80B54">
      <w:pPr>
        <w:spacing w:line="400" w:lineRule="exact"/>
        <w:jc w:val="center"/>
        <w:outlineLvl w:val="0"/>
        <w:rPr>
          <w:rFonts w:ascii="宋体" w:hAnsi="宋体" w:cs="宋体"/>
          <w:b/>
          <w:sz w:val="32"/>
        </w:rPr>
      </w:pPr>
      <w:bookmarkStart w:id="1" w:name="_Toc3567"/>
      <w:r>
        <w:rPr>
          <w:rFonts w:hint="eastAsia" w:ascii="宋体" w:hAnsi="宋体" w:cs="宋体"/>
          <w:b/>
          <w:sz w:val="32"/>
        </w:rPr>
        <w:t>第二章  投标须知</w:t>
      </w:r>
      <w:bookmarkEnd w:id="1"/>
    </w:p>
    <w:p w14:paraId="6C8BD53F">
      <w:pPr>
        <w:spacing w:line="400" w:lineRule="exact"/>
        <w:jc w:val="center"/>
        <w:rPr>
          <w:rFonts w:ascii="宋体" w:hAnsi="宋体" w:cs="宋体"/>
          <w:b/>
          <w:bCs/>
          <w:sz w:val="24"/>
          <w:szCs w:val="24"/>
        </w:rPr>
      </w:pPr>
      <w:r>
        <w:rPr>
          <w:rFonts w:hint="eastAsia" w:ascii="宋体" w:hAnsi="宋体" w:cs="宋体"/>
          <w:b/>
          <w:bCs/>
          <w:sz w:val="24"/>
          <w:szCs w:val="24"/>
        </w:rPr>
        <w:t>前附表</w:t>
      </w:r>
    </w:p>
    <w:p w14:paraId="5BCC3717">
      <w:pPr>
        <w:spacing w:line="400" w:lineRule="exact"/>
        <w:rPr>
          <w:rFonts w:ascii="宋体" w:hAnsi="宋体" w:cs="宋体"/>
          <w:b/>
          <w:bCs/>
          <w:sz w:val="24"/>
          <w:szCs w:val="24"/>
        </w:rPr>
      </w:pPr>
      <w:r>
        <w:rPr>
          <w:rFonts w:hint="eastAsia" w:ascii="宋体" w:hAnsi="宋体" w:cs="宋体"/>
          <w:b/>
          <w:bCs/>
          <w:sz w:val="24"/>
          <w:szCs w:val="24"/>
        </w:rPr>
        <w:t>本部分各条款是关于本次公开招标的具体说明和要求，如与招标文件</w:t>
      </w:r>
      <w:r>
        <w:rPr>
          <w:rFonts w:hint="eastAsia" w:ascii="宋体" w:hAnsi="宋体" w:cs="宋体"/>
          <w:b/>
          <w:bCs/>
          <w:sz w:val="24"/>
          <w:szCs w:val="24"/>
          <w:lang w:eastAsia="zh-CN"/>
        </w:rPr>
        <w:t>其他部分</w:t>
      </w:r>
      <w:r>
        <w:rPr>
          <w:rFonts w:hint="eastAsia" w:ascii="宋体" w:hAnsi="宋体" w:cs="宋体"/>
          <w:b/>
          <w:bCs/>
          <w:sz w:val="24"/>
          <w:szCs w:val="24"/>
        </w:rPr>
        <w:t>有矛盾的，应以此前附表为准。</w:t>
      </w:r>
    </w:p>
    <w:tbl>
      <w:tblPr>
        <w:tblStyle w:val="52"/>
        <w:tblW w:w="91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8241"/>
      </w:tblGrid>
      <w:tr w14:paraId="5125D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21E63C1">
            <w:pPr>
              <w:spacing w:line="400" w:lineRule="exact"/>
              <w:jc w:val="center"/>
              <w:rPr>
                <w:rFonts w:ascii="宋体" w:hAnsi="宋体" w:cs="宋体"/>
                <w:szCs w:val="21"/>
              </w:rPr>
            </w:pPr>
            <w:r>
              <w:rPr>
                <w:rFonts w:hint="eastAsia" w:ascii="宋体" w:hAnsi="宋体" w:cs="宋体"/>
                <w:szCs w:val="21"/>
              </w:rPr>
              <w:t>序号</w:t>
            </w:r>
          </w:p>
        </w:tc>
        <w:tc>
          <w:tcPr>
            <w:tcW w:w="8241" w:type="dxa"/>
            <w:tcBorders>
              <w:top w:val="single" w:color="auto" w:sz="4" w:space="0"/>
              <w:left w:val="single" w:color="auto" w:sz="4" w:space="0"/>
              <w:bottom w:val="single" w:color="auto" w:sz="4" w:space="0"/>
              <w:right w:val="single" w:color="auto" w:sz="4" w:space="0"/>
            </w:tcBorders>
            <w:vAlign w:val="center"/>
          </w:tcPr>
          <w:p w14:paraId="08D672A7">
            <w:pPr>
              <w:spacing w:line="400" w:lineRule="exact"/>
              <w:jc w:val="center"/>
              <w:rPr>
                <w:rFonts w:ascii="宋体" w:hAnsi="宋体" w:cs="宋体"/>
                <w:szCs w:val="21"/>
              </w:rPr>
            </w:pPr>
            <w:r>
              <w:rPr>
                <w:rFonts w:hint="eastAsia" w:ascii="宋体" w:hAnsi="宋体" w:cs="宋体"/>
                <w:szCs w:val="21"/>
              </w:rPr>
              <w:t>内容、要求</w:t>
            </w:r>
          </w:p>
        </w:tc>
      </w:tr>
      <w:tr w14:paraId="3FF10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FB250E6">
            <w:pPr>
              <w:spacing w:line="400" w:lineRule="exact"/>
              <w:jc w:val="center"/>
              <w:rPr>
                <w:rFonts w:ascii="宋体" w:hAnsi="宋体" w:cs="宋体"/>
                <w:szCs w:val="21"/>
              </w:rPr>
            </w:pPr>
            <w:r>
              <w:rPr>
                <w:rFonts w:hint="eastAsia" w:ascii="宋体" w:hAnsi="宋体" w:cs="宋体"/>
                <w:szCs w:val="21"/>
              </w:rPr>
              <w:t>1</w:t>
            </w:r>
          </w:p>
        </w:tc>
        <w:tc>
          <w:tcPr>
            <w:tcW w:w="8241" w:type="dxa"/>
            <w:tcBorders>
              <w:top w:val="single" w:color="auto" w:sz="4" w:space="0"/>
              <w:left w:val="single" w:color="auto" w:sz="4" w:space="0"/>
              <w:bottom w:val="single" w:color="auto" w:sz="4" w:space="0"/>
              <w:right w:val="single" w:color="auto" w:sz="4" w:space="0"/>
            </w:tcBorders>
            <w:vAlign w:val="center"/>
          </w:tcPr>
          <w:p w14:paraId="6F3C108E">
            <w:pPr>
              <w:spacing w:line="400" w:lineRule="exact"/>
              <w:rPr>
                <w:rFonts w:ascii="宋体" w:hAnsi="宋体" w:cs="宋体"/>
                <w:szCs w:val="21"/>
              </w:rPr>
            </w:pPr>
            <w:r>
              <w:rPr>
                <w:rFonts w:hint="eastAsia" w:ascii="宋体" w:hAnsi="宋体" w:cs="宋体"/>
                <w:szCs w:val="21"/>
              </w:rPr>
              <w:t>采购人信息：</w:t>
            </w:r>
          </w:p>
          <w:p w14:paraId="1FE19F9F">
            <w:pPr>
              <w:spacing w:line="400" w:lineRule="exact"/>
              <w:rPr>
                <w:rFonts w:ascii="宋体" w:hAnsi="宋体" w:cs="宋体"/>
                <w:szCs w:val="21"/>
              </w:rPr>
            </w:pPr>
            <w:r>
              <w:rPr>
                <w:rFonts w:hint="eastAsia" w:ascii="宋体" w:hAnsi="宋体" w:cs="宋体"/>
                <w:szCs w:val="21"/>
              </w:rPr>
              <w:t>名    称：宁波大学</w:t>
            </w:r>
          </w:p>
          <w:p w14:paraId="68598316">
            <w:pPr>
              <w:spacing w:line="400" w:lineRule="exact"/>
              <w:rPr>
                <w:rFonts w:ascii="宋体" w:hAnsi="宋体" w:cs="宋体"/>
                <w:szCs w:val="21"/>
              </w:rPr>
            </w:pPr>
            <w:r>
              <w:rPr>
                <w:rFonts w:hint="eastAsia" w:ascii="宋体" w:hAnsi="宋体" w:cs="宋体"/>
                <w:szCs w:val="21"/>
              </w:rPr>
              <w:t>地    址：宁波市江北区风华路818号</w:t>
            </w:r>
          </w:p>
          <w:p w14:paraId="08892E95">
            <w:pPr>
              <w:spacing w:line="400" w:lineRule="exact"/>
              <w:rPr>
                <w:rFonts w:ascii="宋体" w:hAnsi="宋体" w:cs="宋体"/>
                <w:szCs w:val="21"/>
              </w:rPr>
            </w:pPr>
            <w:r>
              <w:rPr>
                <w:rFonts w:hint="eastAsia" w:ascii="宋体" w:hAnsi="宋体" w:cs="宋体"/>
                <w:szCs w:val="21"/>
              </w:rPr>
              <w:t>传    真：/</w:t>
            </w:r>
          </w:p>
          <w:p w14:paraId="38D15B0F">
            <w:pPr>
              <w:spacing w:line="400" w:lineRule="exact"/>
              <w:rPr>
                <w:rFonts w:ascii="宋体" w:hAnsi="宋体" w:cs="宋体"/>
                <w:szCs w:val="21"/>
              </w:rPr>
            </w:pPr>
            <w:r>
              <w:rPr>
                <w:rFonts w:hint="eastAsia" w:ascii="宋体" w:hAnsi="宋体" w:cs="宋体"/>
                <w:szCs w:val="21"/>
              </w:rPr>
              <w:t>项目联系人（询问）：王老师</w:t>
            </w:r>
          </w:p>
          <w:p w14:paraId="3E5F376B">
            <w:pPr>
              <w:spacing w:line="400" w:lineRule="exact"/>
              <w:rPr>
                <w:rFonts w:ascii="宋体" w:hAnsi="宋体" w:cs="宋体"/>
                <w:szCs w:val="21"/>
              </w:rPr>
            </w:pPr>
            <w:r>
              <w:rPr>
                <w:rFonts w:hint="eastAsia" w:ascii="宋体" w:hAnsi="宋体" w:cs="宋体"/>
                <w:szCs w:val="21"/>
              </w:rPr>
              <w:t>项目联系方式（询问）：0574-87600062</w:t>
            </w:r>
          </w:p>
          <w:p w14:paraId="17880FB2">
            <w:pPr>
              <w:spacing w:line="400" w:lineRule="exact"/>
              <w:rPr>
                <w:rFonts w:ascii="宋体" w:hAnsi="宋体" w:cs="宋体"/>
                <w:szCs w:val="21"/>
              </w:rPr>
            </w:pPr>
            <w:r>
              <w:rPr>
                <w:rFonts w:hint="eastAsia" w:ascii="宋体" w:hAnsi="宋体" w:cs="宋体"/>
                <w:szCs w:val="21"/>
              </w:rPr>
              <w:t>质疑联系人：丁老师</w:t>
            </w:r>
          </w:p>
          <w:p w14:paraId="087A204D">
            <w:pPr>
              <w:spacing w:line="400" w:lineRule="exact"/>
              <w:rPr>
                <w:rFonts w:ascii="宋体" w:hAnsi="宋体" w:cs="宋体"/>
                <w:szCs w:val="21"/>
              </w:rPr>
            </w:pPr>
            <w:r>
              <w:rPr>
                <w:rFonts w:hint="eastAsia" w:ascii="宋体" w:hAnsi="宋体" w:cs="宋体"/>
                <w:szCs w:val="21"/>
              </w:rPr>
              <w:t>质疑联系方式：0574-87609011</w:t>
            </w:r>
          </w:p>
        </w:tc>
      </w:tr>
      <w:tr w14:paraId="0A1F3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E7115CF">
            <w:pPr>
              <w:spacing w:line="400" w:lineRule="exact"/>
              <w:jc w:val="center"/>
              <w:rPr>
                <w:rFonts w:ascii="宋体" w:hAnsi="宋体" w:cs="宋体"/>
                <w:szCs w:val="21"/>
              </w:rPr>
            </w:pPr>
            <w:r>
              <w:rPr>
                <w:rFonts w:hint="eastAsia" w:ascii="宋体" w:hAnsi="宋体" w:cs="宋体"/>
                <w:szCs w:val="21"/>
              </w:rPr>
              <w:t>2</w:t>
            </w:r>
          </w:p>
        </w:tc>
        <w:tc>
          <w:tcPr>
            <w:tcW w:w="8241" w:type="dxa"/>
            <w:tcBorders>
              <w:top w:val="single" w:color="auto" w:sz="4" w:space="0"/>
              <w:left w:val="single" w:color="auto" w:sz="4" w:space="0"/>
              <w:bottom w:val="single" w:color="auto" w:sz="4" w:space="0"/>
              <w:right w:val="single" w:color="auto" w:sz="4" w:space="0"/>
            </w:tcBorders>
            <w:vAlign w:val="center"/>
          </w:tcPr>
          <w:p w14:paraId="5BBF5B90">
            <w:pPr>
              <w:spacing w:line="400" w:lineRule="exact"/>
              <w:rPr>
                <w:rFonts w:ascii="宋体" w:hAnsi="宋体" w:cs="宋体"/>
                <w:szCs w:val="21"/>
              </w:rPr>
            </w:pPr>
            <w:r>
              <w:rPr>
                <w:rFonts w:hint="eastAsia" w:ascii="宋体" w:hAnsi="宋体" w:cs="宋体"/>
                <w:szCs w:val="21"/>
              </w:rPr>
              <w:t>采购代理机构信息：</w:t>
            </w:r>
          </w:p>
          <w:p w14:paraId="1FFCA746">
            <w:pPr>
              <w:spacing w:line="400" w:lineRule="exact"/>
              <w:rPr>
                <w:rFonts w:ascii="宋体" w:hAnsi="宋体" w:cs="宋体"/>
                <w:szCs w:val="21"/>
              </w:rPr>
            </w:pPr>
            <w:r>
              <w:rPr>
                <w:rFonts w:hint="eastAsia" w:ascii="宋体" w:hAnsi="宋体" w:cs="宋体"/>
                <w:szCs w:val="21"/>
              </w:rPr>
              <w:t>名    称：宁波市国际招标有限公司</w:t>
            </w:r>
          </w:p>
          <w:p w14:paraId="066E401C">
            <w:pPr>
              <w:spacing w:line="400" w:lineRule="exact"/>
              <w:rPr>
                <w:rFonts w:ascii="宋体" w:hAnsi="宋体" w:cs="宋体"/>
                <w:szCs w:val="21"/>
              </w:rPr>
            </w:pPr>
            <w:r>
              <w:rPr>
                <w:rFonts w:hint="eastAsia" w:ascii="宋体" w:hAnsi="宋体" w:cs="宋体"/>
                <w:szCs w:val="21"/>
              </w:rPr>
              <w:t>地    址：浙江省宁波市江北区环城北路西段207弄19号世茂茂悦商业中心1号楼8楼</w:t>
            </w:r>
          </w:p>
          <w:p w14:paraId="04B967DD">
            <w:pPr>
              <w:spacing w:line="400" w:lineRule="exact"/>
              <w:rPr>
                <w:rFonts w:ascii="宋体" w:hAnsi="宋体" w:cs="宋体"/>
                <w:szCs w:val="21"/>
              </w:rPr>
            </w:pPr>
            <w:r>
              <w:rPr>
                <w:rFonts w:hint="eastAsia" w:ascii="宋体" w:hAnsi="宋体" w:cs="宋体"/>
                <w:szCs w:val="21"/>
              </w:rPr>
              <w:t>传    真：0574-87388460</w:t>
            </w:r>
          </w:p>
          <w:p w14:paraId="75D0B603">
            <w:pPr>
              <w:spacing w:line="400" w:lineRule="exact"/>
              <w:rPr>
                <w:rFonts w:ascii="宋体" w:hAnsi="宋体" w:cs="宋体"/>
                <w:szCs w:val="21"/>
              </w:rPr>
            </w:pPr>
            <w:r>
              <w:rPr>
                <w:rFonts w:hint="eastAsia" w:ascii="宋体" w:hAnsi="宋体" w:cs="宋体"/>
                <w:szCs w:val="21"/>
              </w:rPr>
              <w:t>项目联系人（询问）：陈洋、房逸楠、严锋、张敏恒、曹晓琪</w:t>
            </w:r>
          </w:p>
          <w:p w14:paraId="66D1B6F2">
            <w:pPr>
              <w:spacing w:line="400" w:lineRule="exact"/>
              <w:rPr>
                <w:rFonts w:ascii="宋体" w:hAnsi="宋体" w:cs="宋体"/>
                <w:szCs w:val="21"/>
              </w:rPr>
            </w:pPr>
            <w:r>
              <w:rPr>
                <w:rFonts w:hint="eastAsia" w:ascii="宋体" w:hAnsi="宋体" w:cs="宋体"/>
                <w:szCs w:val="21"/>
              </w:rPr>
              <w:t>项目联系方式（询问）：0574-87295348、0574-87629230</w:t>
            </w:r>
          </w:p>
          <w:p w14:paraId="648DAB0C">
            <w:pPr>
              <w:spacing w:line="400" w:lineRule="exact"/>
              <w:rPr>
                <w:rFonts w:ascii="宋体" w:hAnsi="宋体" w:cs="宋体"/>
                <w:szCs w:val="21"/>
              </w:rPr>
            </w:pPr>
            <w:r>
              <w:rPr>
                <w:rFonts w:hint="eastAsia" w:ascii="宋体" w:hAnsi="宋体" w:cs="宋体"/>
                <w:szCs w:val="21"/>
              </w:rPr>
              <w:t>质疑联系人：夏伟立</w:t>
            </w:r>
          </w:p>
          <w:p w14:paraId="7F823503">
            <w:pPr>
              <w:spacing w:line="400" w:lineRule="exact"/>
              <w:rPr>
                <w:rFonts w:ascii="宋体" w:hAnsi="宋体" w:cs="宋体"/>
                <w:szCs w:val="21"/>
              </w:rPr>
            </w:pPr>
            <w:r>
              <w:rPr>
                <w:rFonts w:hint="eastAsia" w:ascii="宋体" w:hAnsi="宋体" w:cs="宋体"/>
                <w:szCs w:val="21"/>
              </w:rPr>
              <w:t>质疑联系方式：0574-87128864</w:t>
            </w:r>
          </w:p>
        </w:tc>
      </w:tr>
      <w:tr w14:paraId="4184C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8A480CB">
            <w:pPr>
              <w:spacing w:line="400" w:lineRule="exact"/>
              <w:jc w:val="center"/>
              <w:rPr>
                <w:rFonts w:ascii="宋体" w:hAnsi="宋体" w:cs="宋体"/>
                <w:szCs w:val="21"/>
              </w:rPr>
            </w:pPr>
            <w:r>
              <w:rPr>
                <w:rFonts w:hint="eastAsia" w:ascii="宋体" w:hAnsi="宋体" w:cs="宋体"/>
                <w:szCs w:val="21"/>
              </w:rPr>
              <w:t>3</w:t>
            </w:r>
          </w:p>
        </w:tc>
        <w:tc>
          <w:tcPr>
            <w:tcW w:w="8241" w:type="dxa"/>
            <w:tcBorders>
              <w:top w:val="single" w:color="auto" w:sz="4" w:space="0"/>
              <w:left w:val="single" w:color="auto" w:sz="4" w:space="0"/>
              <w:bottom w:val="single" w:color="auto" w:sz="4" w:space="0"/>
              <w:right w:val="single" w:color="auto" w:sz="4" w:space="0"/>
            </w:tcBorders>
            <w:vAlign w:val="center"/>
          </w:tcPr>
          <w:p w14:paraId="5C453A94">
            <w:pPr>
              <w:spacing w:line="400" w:lineRule="exact"/>
              <w:rPr>
                <w:rFonts w:ascii="宋体" w:hAnsi="宋体" w:cs="宋体"/>
                <w:szCs w:val="21"/>
              </w:rPr>
            </w:pPr>
            <w:r>
              <w:rPr>
                <w:rFonts w:hint="eastAsia" w:ascii="宋体" w:hAnsi="宋体" w:cs="宋体"/>
                <w:szCs w:val="21"/>
              </w:rPr>
              <w:t>发布媒体：</w:t>
            </w:r>
          </w:p>
          <w:p w14:paraId="5463AF6A">
            <w:pPr>
              <w:spacing w:line="400" w:lineRule="exact"/>
              <w:rPr>
                <w:rFonts w:ascii="宋体" w:hAnsi="宋体" w:cs="宋体"/>
                <w:szCs w:val="21"/>
              </w:rPr>
            </w:pPr>
            <w:r>
              <w:rPr>
                <w:rFonts w:hint="eastAsia" w:ascii="宋体" w:hAnsi="宋体" w:cs="宋体"/>
                <w:szCs w:val="21"/>
              </w:rPr>
              <w:t>浙江政府采购网                    https://zfcg.czt.zj.gov.cn/</w:t>
            </w:r>
          </w:p>
          <w:p w14:paraId="0F4D4A7B">
            <w:pPr>
              <w:spacing w:line="400" w:lineRule="exact"/>
              <w:rPr>
                <w:rFonts w:ascii="宋体" w:hAnsi="宋体" w:cs="宋体"/>
                <w:szCs w:val="21"/>
              </w:rPr>
            </w:pPr>
            <w:r>
              <w:rPr>
                <w:rFonts w:hint="eastAsia" w:ascii="宋体" w:hAnsi="宋体" w:cs="宋体"/>
                <w:szCs w:val="21"/>
              </w:rPr>
              <w:t>宁波政府采购网                    https://zfcg.czj.ningbo.gov.cn/</w:t>
            </w:r>
          </w:p>
          <w:p w14:paraId="304A9541">
            <w:pPr>
              <w:spacing w:line="400" w:lineRule="exact"/>
              <w:rPr>
                <w:rFonts w:ascii="宋体" w:hAnsi="宋体" w:cs="宋体"/>
                <w:szCs w:val="21"/>
              </w:rPr>
            </w:pPr>
            <w:r>
              <w:rPr>
                <w:rFonts w:hint="eastAsia" w:ascii="宋体" w:hAnsi="宋体" w:cs="宋体"/>
                <w:szCs w:val="21"/>
              </w:rPr>
              <w:t>宁波市国际招标有限公司网          http://www.nbbidding.com/</w:t>
            </w:r>
          </w:p>
        </w:tc>
      </w:tr>
      <w:tr w14:paraId="03F1B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F149985">
            <w:pPr>
              <w:spacing w:line="400" w:lineRule="exact"/>
              <w:jc w:val="center"/>
              <w:rPr>
                <w:rFonts w:ascii="宋体" w:hAnsi="宋体" w:cs="宋体"/>
                <w:szCs w:val="21"/>
              </w:rPr>
            </w:pPr>
            <w:r>
              <w:rPr>
                <w:rFonts w:hint="eastAsia" w:ascii="宋体" w:hAnsi="宋体" w:cs="宋体"/>
                <w:szCs w:val="21"/>
              </w:rPr>
              <w:t>★4</w:t>
            </w:r>
          </w:p>
        </w:tc>
        <w:tc>
          <w:tcPr>
            <w:tcW w:w="8241" w:type="dxa"/>
            <w:tcBorders>
              <w:top w:val="single" w:color="auto" w:sz="4" w:space="0"/>
              <w:left w:val="single" w:color="auto" w:sz="4" w:space="0"/>
              <w:bottom w:val="single" w:color="auto" w:sz="4" w:space="0"/>
              <w:right w:val="single" w:color="auto" w:sz="4" w:space="0"/>
            </w:tcBorders>
            <w:vAlign w:val="center"/>
          </w:tcPr>
          <w:p w14:paraId="1756BCE7">
            <w:pPr>
              <w:spacing w:line="400" w:lineRule="exact"/>
              <w:rPr>
                <w:rFonts w:ascii="宋体" w:hAnsi="宋体" w:cs="宋体"/>
                <w:szCs w:val="21"/>
                <w:u w:val="single"/>
              </w:rPr>
            </w:pPr>
            <w:r>
              <w:rPr>
                <w:rFonts w:hint="eastAsia" w:ascii="宋体" w:hAnsi="宋体" w:cs="宋体"/>
                <w:b/>
                <w:bCs/>
                <w:szCs w:val="21"/>
              </w:rPr>
              <w:t>合格的投标货物或服务来源：应该是中国境内生产的货物或提供的服务。</w:t>
            </w:r>
          </w:p>
        </w:tc>
      </w:tr>
      <w:tr w14:paraId="19DBF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DC807B5">
            <w:pPr>
              <w:spacing w:line="400" w:lineRule="exact"/>
              <w:jc w:val="center"/>
              <w:rPr>
                <w:rFonts w:ascii="宋体" w:hAnsi="宋体" w:cs="宋体"/>
                <w:szCs w:val="21"/>
              </w:rPr>
            </w:pPr>
            <w:r>
              <w:rPr>
                <w:rFonts w:hint="eastAsia" w:ascii="宋体" w:hAnsi="宋体" w:cs="宋体"/>
                <w:szCs w:val="21"/>
              </w:rPr>
              <w:t>5</w:t>
            </w:r>
          </w:p>
        </w:tc>
        <w:tc>
          <w:tcPr>
            <w:tcW w:w="8241" w:type="dxa"/>
            <w:tcBorders>
              <w:top w:val="single" w:color="auto" w:sz="4" w:space="0"/>
              <w:left w:val="single" w:color="auto" w:sz="4" w:space="0"/>
              <w:bottom w:val="single" w:color="auto" w:sz="4" w:space="0"/>
              <w:right w:val="single" w:color="auto" w:sz="4" w:space="0"/>
            </w:tcBorders>
            <w:vAlign w:val="center"/>
          </w:tcPr>
          <w:p w14:paraId="194F1FDC">
            <w:pPr>
              <w:spacing w:line="400" w:lineRule="exact"/>
              <w:rPr>
                <w:rFonts w:ascii="宋体" w:hAnsi="宋体" w:cs="宋体"/>
                <w:szCs w:val="21"/>
              </w:rPr>
            </w:pPr>
            <w:r>
              <w:rPr>
                <w:rFonts w:hint="eastAsia" w:ascii="宋体" w:hAnsi="宋体" w:cs="宋体"/>
                <w:szCs w:val="21"/>
              </w:rPr>
              <w:t>现场考察或开标前答疑会：不组织</w:t>
            </w:r>
          </w:p>
        </w:tc>
      </w:tr>
      <w:tr w14:paraId="6803E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35EFA07">
            <w:pPr>
              <w:spacing w:line="400" w:lineRule="exact"/>
              <w:jc w:val="center"/>
              <w:rPr>
                <w:rFonts w:ascii="宋体" w:hAnsi="宋体" w:cs="宋体"/>
                <w:szCs w:val="21"/>
              </w:rPr>
            </w:pPr>
            <w:r>
              <w:rPr>
                <w:rFonts w:hint="eastAsia" w:ascii="宋体" w:hAnsi="宋体" w:cs="宋体"/>
                <w:szCs w:val="21"/>
              </w:rPr>
              <w:t>6</w:t>
            </w:r>
          </w:p>
        </w:tc>
        <w:tc>
          <w:tcPr>
            <w:tcW w:w="8241" w:type="dxa"/>
            <w:tcBorders>
              <w:top w:val="single" w:color="auto" w:sz="4" w:space="0"/>
              <w:left w:val="single" w:color="auto" w:sz="4" w:space="0"/>
              <w:bottom w:val="single" w:color="auto" w:sz="4" w:space="0"/>
              <w:right w:val="single" w:color="auto" w:sz="4" w:space="0"/>
            </w:tcBorders>
            <w:vAlign w:val="center"/>
          </w:tcPr>
          <w:p w14:paraId="6A2B1108">
            <w:pPr>
              <w:spacing w:line="400" w:lineRule="exact"/>
              <w:rPr>
                <w:rFonts w:ascii="宋体" w:hAnsi="宋体" w:cs="宋体"/>
                <w:szCs w:val="21"/>
              </w:rPr>
            </w:pPr>
            <w:r>
              <w:rPr>
                <w:rFonts w:hint="eastAsia" w:ascii="宋体" w:hAnsi="宋体" w:cs="宋体"/>
                <w:szCs w:val="21"/>
              </w:rPr>
              <w:t>备选投标方案：</w:t>
            </w:r>
            <w:r>
              <w:rPr>
                <w:rFonts w:hint="eastAsia" w:ascii="宋体" w:hAnsi="宋体" w:cs="宋体"/>
                <w:iCs/>
                <w:szCs w:val="21"/>
              </w:rPr>
              <w:t>不允许</w:t>
            </w:r>
          </w:p>
        </w:tc>
      </w:tr>
      <w:tr w14:paraId="1ACD6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60595AA">
            <w:pPr>
              <w:spacing w:line="400" w:lineRule="exact"/>
              <w:jc w:val="center"/>
              <w:rPr>
                <w:rFonts w:ascii="宋体" w:hAnsi="宋体" w:cs="宋体"/>
                <w:szCs w:val="21"/>
              </w:rPr>
            </w:pPr>
            <w:r>
              <w:rPr>
                <w:rFonts w:hint="eastAsia" w:ascii="宋体" w:hAnsi="宋体" w:cs="宋体"/>
                <w:szCs w:val="21"/>
              </w:rPr>
              <w:t>★7</w:t>
            </w:r>
          </w:p>
        </w:tc>
        <w:tc>
          <w:tcPr>
            <w:tcW w:w="8241" w:type="dxa"/>
            <w:tcBorders>
              <w:top w:val="single" w:color="auto" w:sz="4" w:space="0"/>
              <w:left w:val="single" w:color="auto" w:sz="4" w:space="0"/>
              <w:bottom w:val="single" w:color="auto" w:sz="4" w:space="0"/>
              <w:right w:val="single" w:color="auto" w:sz="4" w:space="0"/>
            </w:tcBorders>
            <w:vAlign w:val="center"/>
          </w:tcPr>
          <w:p w14:paraId="0AC5D34D">
            <w:pPr>
              <w:spacing w:line="400" w:lineRule="exact"/>
              <w:rPr>
                <w:rFonts w:ascii="宋体" w:hAnsi="宋体" w:cs="宋体"/>
                <w:szCs w:val="21"/>
              </w:rPr>
            </w:pPr>
            <w:r>
              <w:rPr>
                <w:rFonts w:hint="eastAsia" w:ascii="宋体" w:hAnsi="宋体" w:cs="宋体"/>
                <w:szCs w:val="21"/>
              </w:rPr>
              <w:t>本项目设有预算金额（最高限价），投标报价超过对应标项预算金额（最高限价）的投标将作为无效投标。</w:t>
            </w:r>
          </w:p>
          <w:p w14:paraId="6A690CA8">
            <w:pPr>
              <w:spacing w:line="400" w:lineRule="exact"/>
              <w:rPr>
                <w:rFonts w:ascii="宋体" w:hAnsi="宋体" w:cs="宋体"/>
                <w:szCs w:val="21"/>
                <w:u w:val="single"/>
              </w:rPr>
            </w:pPr>
            <w:r>
              <w:rPr>
                <w:rFonts w:hint="eastAsia" w:ascii="宋体" w:hAnsi="宋体" w:cs="宋体"/>
                <w:szCs w:val="21"/>
              </w:rPr>
              <w:t>本项目预算金额（最高限价）详见招标文件第一章“采购公告”。</w:t>
            </w:r>
          </w:p>
        </w:tc>
      </w:tr>
      <w:tr w14:paraId="2CEBE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64128E7">
            <w:pPr>
              <w:spacing w:line="400" w:lineRule="exact"/>
              <w:jc w:val="center"/>
              <w:rPr>
                <w:rFonts w:ascii="宋体" w:hAnsi="宋体" w:cs="宋体"/>
                <w:szCs w:val="21"/>
              </w:rPr>
            </w:pPr>
            <w:r>
              <w:rPr>
                <w:rFonts w:hint="eastAsia" w:ascii="宋体" w:hAnsi="宋体" w:cs="宋体"/>
                <w:szCs w:val="21"/>
              </w:rPr>
              <w:t>8</w:t>
            </w:r>
          </w:p>
        </w:tc>
        <w:tc>
          <w:tcPr>
            <w:tcW w:w="8241" w:type="dxa"/>
            <w:tcBorders>
              <w:top w:val="single" w:color="auto" w:sz="4" w:space="0"/>
              <w:left w:val="single" w:color="auto" w:sz="4" w:space="0"/>
              <w:bottom w:val="single" w:color="auto" w:sz="4" w:space="0"/>
              <w:right w:val="single" w:color="auto" w:sz="4" w:space="0"/>
            </w:tcBorders>
            <w:vAlign w:val="center"/>
          </w:tcPr>
          <w:p w14:paraId="7606F30E">
            <w:pPr>
              <w:spacing w:line="400" w:lineRule="exact"/>
              <w:rPr>
                <w:rFonts w:ascii="宋体" w:hAnsi="宋体" w:cs="宋体"/>
                <w:b/>
                <w:bCs/>
                <w:szCs w:val="21"/>
              </w:rPr>
            </w:pPr>
            <w:r>
              <w:rPr>
                <w:rFonts w:hint="eastAsia" w:ascii="宋体" w:hAnsi="宋体" w:cs="宋体"/>
                <w:b/>
                <w:bCs/>
                <w:szCs w:val="21"/>
              </w:rPr>
              <w:t>投标报价：</w:t>
            </w:r>
          </w:p>
          <w:p w14:paraId="4765271C">
            <w:pPr>
              <w:spacing w:line="400" w:lineRule="exact"/>
              <w:rPr>
                <w:rFonts w:ascii="宋体" w:hAnsi="宋体" w:cs="宋体"/>
                <w:szCs w:val="21"/>
              </w:rPr>
            </w:pPr>
            <w:r>
              <w:rPr>
                <w:rFonts w:hint="eastAsia" w:ascii="宋体" w:hAnsi="宋体" w:cs="宋体"/>
                <w:szCs w:val="21"/>
              </w:rPr>
              <w:t>本项目为固定总价方式。</w:t>
            </w:r>
          </w:p>
          <w:p w14:paraId="34D2A567">
            <w:pPr>
              <w:spacing w:line="400" w:lineRule="exact"/>
              <w:rPr>
                <w:rFonts w:ascii="宋体" w:hAnsi="宋体" w:cs="宋体"/>
                <w:szCs w:val="21"/>
              </w:rPr>
            </w:pPr>
            <w:r>
              <w:rPr>
                <w:rFonts w:hint="eastAsia" w:ascii="宋体" w:hAnsi="宋体" w:cs="宋体"/>
                <w:szCs w:val="21"/>
              </w:rPr>
              <w:t>投标报价应包含按要求完成本项目采购内容的所有费用，包括成员人工费、安装、数据接入、调试运行、检测验收、不可预见费、第三方检验费（如有）、技术培训、保修及售后服务、保险、利润、所有税金、措施费、规费等一切费用。</w:t>
            </w:r>
          </w:p>
          <w:p w14:paraId="19155FA4">
            <w:pPr>
              <w:spacing w:line="400" w:lineRule="exact"/>
              <w:rPr>
                <w:rFonts w:ascii="宋体" w:hAnsi="宋体" w:cs="宋体"/>
                <w:szCs w:val="21"/>
              </w:rPr>
            </w:pPr>
            <w:r>
              <w:rPr>
                <w:rFonts w:hint="eastAsia" w:ascii="宋体" w:hAnsi="宋体" w:cs="宋体"/>
                <w:szCs w:val="21"/>
              </w:rPr>
              <w:t>供应商应承担其参加本招标活动自身所发生的费用。</w:t>
            </w:r>
          </w:p>
          <w:p w14:paraId="5413450B">
            <w:pPr>
              <w:spacing w:line="400" w:lineRule="exact"/>
              <w:rPr>
                <w:rFonts w:ascii="宋体" w:hAnsi="宋体" w:cs="宋体"/>
                <w:szCs w:val="21"/>
              </w:rPr>
            </w:pPr>
            <w:r>
              <w:rPr>
                <w:rFonts w:hint="eastAsia" w:ascii="宋体" w:hAnsi="宋体" w:cs="宋体"/>
                <w:szCs w:val="21"/>
              </w:rPr>
              <w:t>项目实施过程中可能发生的风险和费用均由中标供应商承担。</w:t>
            </w:r>
          </w:p>
        </w:tc>
      </w:tr>
      <w:tr w14:paraId="09443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D9E4ED2">
            <w:pPr>
              <w:spacing w:line="400" w:lineRule="exact"/>
              <w:jc w:val="center"/>
              <w:rPr>
                <w:rFonts w:ascii="宋体" w:hAnsi="宋体" w:cs="宋体"/>
                <w:szCs w:val="21"/>
              </w:rPr>
            </w:pPr>
            <w:r>
              <w:rPr>
                <w:rFonts w:hint="eastAsia" w:ascii="宋体" w:hAnsi="宋体" w:cs="宋体"/>
                <w:szCs w:val="21"/>
              </w:rPr>
              <w:t>9</w:t>
            </w:r>
          </w:p>
        </w:tc>
        <w:tc>
          <w:tcPr>
            <w:tcW w:w="8241" w:type="dxa"/>
            <w:tcBorders>
              <w:top w:val="single" w:color="auto" w:sz="4" w:space="0"/>
              <w:left w:val="single" w:color="auto" w:sz="4" w:space="0"/>
              <w:bottom w:val="single" w:color="auto" w:sz="4" w:space="0"/>
              <w:right w:val="single" w:color="auto" w:sz="4" w:space="0"/>
            </w:tcBorders>
            <w:vAlign w:val="center"/>
          </w:tcPr>
          <w:p w14:paraId="41E27881">
            <w:pPr>
              <w:spacing w:line="400" w:lineRule="exact"/>
              <w:rPr>
                <w:rFonts w:ascii="宋体" w:hAnsi="宋体" w:cs="宋体"/>
                <w:szCs w:val="21"/>
              </w:rPr>
            </w:pPr>
            <w:r>
              <w:rPr>
                <w:rFonts w:hint="eastAsia" w:ascii="宋体" w:hAnsi="宋体" w:cs="宋体"/>
                <w:szCs w:val="21"/>
              </w:rPr>
              <w:t>投标有效期：</w:t>
            </w:r>
          </w:p>
          <w:p w14:paraId="1C561EAA">
            <w:pPr>
              <w:spacing w:line="400" w:lineRule="exact"/>
              <w:rPr>
                <w:rFonts w:ascii="宋体" w:hAnsi="宋体" w:cs="宋体"/>
                <w:szCs w:val="21"/>
              </w:rPr>
            </w:pPr>
            <w:r>
              <w:rPr>
                <w:rFonts w:hint="eastAsia" w:ascii="宋体" w:hAnsi="宋体" w:cs="宋体"/>
                <w:szCs w:val="21"/>
              </w:rPr>
              <w:t>★1.投标文件从开标之日起，投标有效期为90个日历日。投标有效期不能小于招标文件的要求。</w:t>
            </w:r>
          </w:p>
          <w:p w14:paraId="07982FBA">
            <w:pPr>
              <w:spacing w:line="400" w:lineRule="exact"/>
              <w:rPr>
                <w:rFonts w:ascii="宋体" w:hAnsi="宋体" w:cs="宋体"/>
                <w:szCs w:val="21"/>
              </w:rPr>
            </w:pPr>
            <w:r>
              <w:rPr>
                <w:rFonts w:hint="eastAsia" w:ascii="宋体" w:hAnsi="宋体" w:cs="宋体"/>
                <w:szCs w:val="21"/>
              </w:rPr>
              <w:t>2.特殊情况下，采购人可与供应商协商延长投标文件的有效期，这种要求和答复均以书面形式进行。</w:t>
            </w:r>
          </w:p>
          <w:p w14:paraId="2B3D0101">
            <w:pPr>
              <w:spacing w:line="400" w:lineRule="exact"/>
              <w:rPr>
                <w:rFonts w:ascii="宋体" w:hAnsi="宋体" w:cs="宋体"/>
                <w:szCs w:val="21"/>
              </w:rPr>
            </w:pPr>
            <w:r>
              <w:rPr>
                <w:rFonts w:hint="eastAsia" w:ascii="宋体" w:hAnsi="宋体" w:cs="宋体"/>
                <w:szCs w:val="21"/>
              </w:rPr>
              <w:t>3.供应商可拒绝接受延期要求。同意延长有效期的供应商不能修改投标文件。</w:t>
            </w:r>
          </w:p>
        </w:tc>
      </w:tr>
      <w:tr w14:paraId="56D4C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138CCA5">
            <w:pPr>
              <w:spacing w:line="400" w:lineRule="exact"/>
              <w:jc w:val="center"/>
              <w:rPr>
                <w:rFonts w:ascii="宋体" w:hAnsi="宋体" w:cs="宋体"/>
                <w:szCs w:val="21"/>
              </w:rPr>
            </w:pPr>
            <w:r>
              <w:rPr>
                <w:rFonts w:hint="eastAsia" w:ascii="宋体" w:hAnsi="宋体" w:cs="宋体"/>
                <w:szCs w:val="21"/>
              </w:rPr>
              <w:t>10</w:t>
            </w:r>
          </w:p>
        </w:tc>
        <w:tc>
          <w:tcPr>
            <w:tcW w:w="8241" w:type="dxa"/>
            <w:tcBorders>
              <w:top w:val="single" w:color="auto" w:sz="4" w:space="0"/>
              <w:left w:val="single" w:color="auto" w:sz="4" w:space="0"/>
              <w:bottom w:val="single" w:color="auto" w:sz="4" w:space="0"/>
              <w:right w:val="single" w:color="auto" w:sz="4" w:space="0"/>
            </w:tcBorders>
            <w:vAlign w:val="center"/>
          </w:tcPr>
          <w:p w14:paraId="7DBEE8DE">
            <w:pPr>
              <w:spacing w:line="400" w:lineRule="exact"/>
              <w:rPr>
                <w:rFonts w:ascii="宋体" w:hAnsi="宋体" w:cs="宋体"/>
                <w:szCs w:val="21"/>
              </w:rPr>
            </w:pPr>
            <w:r>
              <w:rPr>
                <w:rFonts w:hint="eastAsia" w:ascii="宋体" w:hAnsi="宋体" w:cs="宋体"/>
                <w:szCs w:val="21"/>
              </w:rPr>
              <w:t>投标文件组成（适用于所有标项）：</w:t>
            </w:r>
          </w:p>
          <w:p w14:paraId="3CB390D6">
            <w:pPr>
              <w:spacing w:line="400" w:lineRule="exact"/>
              <w:rPr>
                <w:rFonts w:ascii="宋体" w:hAnsi="宋体" w:cs="宋体"/>
                <w:szCs w:val="21"/>
              </w:rPr>
            </w:pPr>
            <w:r>
              <w:rPr>
                <w:rFonts w:hint="eastAsia" w:ascii="宋体" w:hAnsi="宋体" w:cs="宋体"/>
                <w:b/>
                <w:bCs/>
                <w:szCs w:val="21"/>
              </w:rPr>
              <w:t>A.第一册：资格文件</w:t>
            </w:r>
          </w:p>
          <w:p w14:paraId="02F5E7FD">
            <w:pPr>
              <w:spacing w:line="400" w:lineRule="exact"/>
              <w:rPr>
                <w:rFonts w:ascii="宋体" w:hAnsi="宋体" w:cs="宋体"/>
                <w:szCs w:val="21"/>
              </w:rPr>
            </w:pPr>
            <w:r>
              <w:rPr>
                <w:rFonts w:hint="eastAsia" w:ascii="宋体" w:hAnsi="宋体" w:cs="宋体"/>
                <w:szCs w:val="21"/>
              </w:rPr>
              <w:t>★A1.关于资格的承诺函（格式见附件）；</w:t>
            </w:r>
          </w:p>
          <w:p w14:paraId="3CCD5720">
            <w:pPr>
              <w:spacing w:line="400" w:lineRule="exact"/>
              <w:rPr>
                <w:rFonts w:hint="eastAsia" w:ascii="宋体" w:hAnsi="宋体" w:cs="宋体"/>
                <w:szCs w:val="21"/>
                <w:lang w:eastAsia="zh-CN"/>
              </w:rPr>
            </w:pPr>
            <w:r>
              <w:rPr>
                <w:rFonts w:hint="eastAsia" w:ascii="宋体" w:hAnsi="宋体" w:cs="宋体"/>
                <w:szCs w:val="21"/>
              </w:rPr>
              <w:t>★A2.营业执照副本（或事业法人登记证副本或其他登记证明材料）复印件并加盖供应商公章（供应商如果有名称变更的，应提供由行政主管部门出具的变更证明文件复印件并加盖供应商公章）</w:t>
            </w:r>
            <w:r>
              <w:rPr>
                <w:rFonts w:hint="eastAsia" w:ascii="宋体" w:hAnsi="宋体" w:cs="宋体"/>
                <w:szCs w:val="21"/>
                <w:lang w:eastAsia="zh-CN"/>
              </w:rPr>
              <w:t>；</w:t>
            </w:r>
          </w:p>
          <w:p w14:paraId="26BF5BC3">
            <w:pPr>
              <w:spacing w:line="40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A3.</w:t>
            </w:r>
            <w:r>
              <w:rPr>
                <w:rFonts w:hint="eastAsia" w:hAnsi="宋体"/>
                <w:sz w:val="21"/>
                <w:szCs w:val="21"/>
                <w:lang w:val="en-US" w:eastAsia="zh-CN"/>
              </w:rPr>
              <w:t>供应商须具有有效期内的出版物经营许可证（投标文件中提供</w:t>
            </w:r>
            <w:r>
              <w:rPr>
                <w:rFonts w:hint="eastAsia" w:ascii="宋体" w:hAnsi="宋体" w:cs="宋体"/>
                <w:szCs w:val="21"/>
              </w:rPr>
              <w:t>复印件并加盖供应商公章</w:t>
            </w:r>
            <w:r>
              <w:rPr>
                <w:rFonts w:hint="eastAsia" w:hAnsi="宋体"/>
                <w:sz w:val="21"/>
                <w:szCs w:val="21"/>
                <w:lang w:val="en-US" w:eastAsia="zh-CN"/>
              </w:rPr>
              <w:t>）（</w:t>
            </w:r>
            <w:r>
              <w:rPr>
                <w:rFonts w:hint="eastAsia" w:ascii="宋体" w:hAnsi="宋体" w:eastAsia="宋体" w:cs="宋体"/>
                <w:sz w:val="21"/>
                <w:szCs w:val="21"/>
                <w:lang w:val="en-US" w:eastAsia="zh-CN"/>
              </w:rPr>
              <w:t>适用于标项12,28</w:t>
            </w:r>
            <w:r>
              <w:rPr>
                <w:rFonts w:hint="eastAsia" w:ascii="宋体" w:hAnsi="宋体" w:cs="宋体"/>
                <w:sz w:val="21"/>
                <w:szCs w:val="21"/>
                <w:lang w:val="en-US" w:eastAsia="zh-CN"/>
              </w:rPr>
              <w:t>,39</w:t>
            </w:r>
            <w:r>
              <w:rPr>
                <w:rFonts w:hint="eastAsia" w:hAnsi="宋体"/>
                <w:sz w:val="21"/>
                <w:szCs w:val="21"/>
                <w:lang w:val="en-US" w:eastAsia="zh-CN"/>
              </w:rPr>
              <w:t>）</w:t>
            </w:r>
            <w:r>
              <w:rPr>
                <w:rFonts w:hint="eastAsia" w:ascii="宋体" w:hAnsi="宋体" w:cs="宋体"/>
                <w:szCs w:val="21"/>
              </w:rPr>
              <w:t>。</w:t>
            </w:r>
          </w:p>
          <w:p w14:paraId="4B1D744E">
            <w:pPr>
              <w:spacing w:line="400" w:lineRule="exact"/>
              <w:rPr>
                <w:rFonts w:ascii="宋体" w:hAnsi="宋体" w:cs="宋体"/>
                <w:b/>
                <w:bCs/>
                <w:szCs w:val="21"/>
              </w:rPr>
            </w:pPr>
            <w:r>
              <w:rPr>
                <w:rFonts w:hint="eastAsia" w:ascii="宋体" w:hAnsi="宋体" w:cs="宋体"/>
                <w:b/>
                <w:bCs/>
                <w:szCs w:val="21"/>
              </w:rPr>
              <w:t>B.第二册：商务和技术文件</w:t>
            </w:r>
          </w:p>
          <w:p w14:paraId="0DD7CFC4">
            <w:pPr>
              <w:spacing w:line="400" w:lineRule="exact"/>
              <w:rPr>
                <w:rFonts w:ascii="宋体" w:hAnsi="宋体" w:cs="宋体"/>
                <w:szCs w:val="21"/>
              </w:rPr>
            </w:pPr>
            <w:r>
              <w:rPr>
                <w:rFonts w:hint="eastAsia" w:ascii="宋体" w:hAnsi="宋体" w:cs="宋体"/>
                <w:szCs w:val="21"/>
              </w:rPr>
              <w:t>★B1.投标书（格式见附件）；</w:t>
            </w:r>
          </w:p>
          <w:p w14:paraId="6D2AB831">
            <w:pPr>
              <w:spacing w:line="400" w:lineRule="exact"/>
              <w:rPr>
                <w:rFonts w:ascii="宋体" w:hAnsi="宋体" w:cs="宋体"/>
                <w:szCs w:val="21"/>
              </w:rPr>
            </w:pPr>
            <w:r>
              <w:rPr>
                <w:rFonts w:hint="eastAsia" w:ascii="宋体" w:hAnsi="宋体" w:cs="宋体"/>
                <w:szCs w:val="21"/>
              </w:rPr>
              <w:t>★B2.法定代表人身份证明（格式见附件）或B3.法定代表人授权书（投标文件由授权代表签字的须提供，格式见附件）；</w:t>
            </w:r>
          </w:p>
          <w:p w14:paraId="57B117E1">
            <w:pPr>
              <w:spacing w:line="400" w:lineRule="exact"/>
              <w:rPr>
                <w:rFonts w:ascii="宋体" w:hAnsi="宋体" w:cs="宋体"/>
                <w:szCs w:val="21"/>
              </w:rPr>
            </w:pPr>
            <w:r>
              <w:rPr>
                <w:rFonts w:hint="eastAsia" w:ascii="宋体" w:hAnsi="宋体" w:cs="宋体"/>
                <w:szCs w:val="21"/>
              </w:rPr>
              <w:t>B4.供应商一般情况表（格式见附件）；</w:t>
            </w:r>
          </w:p>
          <w:p w14:paraId="4CA9A54C">
            <w:pPr>
              <w:spacing w:line="400" w:lineRule="exact"/>
              <w:rPr>
                <w:rFonts w:ascii="宋体" w:hAnsi="宋体" w:cs="宋体"/>
                <w:szCs w:val="21"/>
              </w:rPr>
            </w:pPr>
            <w:r>
              <w:rPr>
                <w:rFonts w:hint="eastAsia" w:ascii="宋体" w:hAnsi="宋体" w:cs="宋体"/>
                <w:szCs w:val="21"/>
              </w:rPr>
              <w:t>B5.技术需求响应表（格式见附件）；</w:t>
            </w:r>
          </w:p>
          <w:p w14:paraId="752E0893">
            <w:pPr>
              <w:spacing w:line="400" w:lineRule="exact"/>
              <w:rPr>
                <w:rFonts w:ascii="宋体" w:hAnsi="宋体" w:cs="宋体"/>
                <w:szCs w:val="21"/>
              </w:rPr>
            </w:pPr>
            <w:r>
              <w:rPr>
                <w:rFonts w:hint="eastAsia" w:ascii="宋体" w:hAnsi="宋体" w:cs="宋体"/>
                <w:szCs w:val="21"/>
              </w:rPr>
              <w:t>B6.商务条款响应表（格式见附件）；</w:t>
            </w:r>
          </w:p>
          <w:p w14:paraId="289D426A">
            <w:pPr>
              <w:spacing w:line="400" w:lineRule="exact"/>
              <w:rPr>
                <w:rFonts w:ascii="宋体" w:hAnsi="宋体" w:cs="宋体"/>
                <w:szCs w:val="21"/>
              </w:rPr>
            </w:pPr>
            <w:r>
              <w:rPr>
                <w:rFonts w:hint="eastAsia" w:ascii="宋体" w:hAnsi="宋体" w:cs="宋体"/>
                <w:szCs w:val="21"/>
              </w:rPr>
              <w:t>B7.系统或数据库概况（自拟）；</w:t>
            </w:r>
          </w:p>
          <w:p w14:paraId="569E5301">
            <w:pPr>
              <w:spacing w:line="400" w:lineRule="exact"/>
              <w:rPr>
                <w:rFonts w:ascii="宋体" w:hAnsi="宋体" w:cs="宋体"/>
                <w:szCs w:val="21"/>
              </w:rPr>
            </w:pPr>
            <w:r>
              <w:rPr>
                <w:rFonts w:hint="eastAsia" w:ascii="宋体" w:hAnsi="宋体" w:cs="宋体"/>
                <w:szCs w:val="21"/>
              </w:rPr>
              <w:t>B8.响应方案（自拟）；</w:t>
            </w:r>
          </w:p>
          <w:p w14:paraId="0058EA01">
            <w:pPr>
              <w:spacing w:line="400" w:lineRule="exact"/>
              <w:rPr>
                <w:rFonts w:ascii="宋体" w:hAnsi="宋体" w:cs="宋体"/>
                <w:szCs w:val="21"/>
              </w:rPr>
            </w:pPr>
            <w:r>
              <w:rPr>
                <w:rFonts w:hint="eastAsia" w:ascii="宋体" w:hAnsi="宋体" w:cs="宋体"/>
                <w:szCs w:val="21"/>
              </w:rPr>
              <w:t>B9.售后服务、质量保障方案（自拟）；</w:t>
            </w:r>
          </w:p>
          <w:p w14:paraId="13E19E45">
            <w:pPr>
              <w:spacing w:line="400" w:lineRule="exact"/>
              <w:rPr>
                <w:rFonts w:ascii="宋体" w:hAnsi="宋体" w:cs="宋体"/>
                <w:szCs w:val="21"/>
              </w:rPr>
            </w:pPr>
            <w:r>
              <w:rPr>
                <w:rFonts w:hint="eastAsia" w:ascii="宋体" w:hAnsi="宋体" w:cs="宋体"/>
                <w:szCs w:val="21"/>
              </w:rPr>
              <w:t>B10.供应商与本项目类似的业绩情况（如有，自拟）；</w:t>
            </w:r>
          </w:p>
          <w:p w14:paraId="56B05D5B">
            <w:pPr>
              <w:spacing w:line="400" w:lineRule="exact"/>
              <w:rPr>
                <w:rFonts w:ascii="宋体" w:hAnsi="宋体" w:cs="宋体"/>
                <w:szCs w:val="21"/>
              </w:rPr>
            </w:pPr>
            <w:r>
              <w:rPr>
                <w:rFonts w:hint="eastAsia" w:ascii="宋体" w:hAnsi="宋体" w:cs="宋体"/>
                <w:szCs w:val="21"/>
              </w:rPr>
              <w:t>B11.第五章“评标办法及标准”中评分标准（兼评委打分表）要求提供的资料（如有，请提供）；</w:t>
            </w:r>
          </w:p>
          <w:p w14:paraId="41092803">
            <w:pPr>
              <w:spacing w:line="400" w:lineRule="exact"/>
              <w:rPr>
                <w:rFonts w:ascii="宋体" w:hAnsi="宋体" w:cs="宋体"/>
                <w:szCs w:val="21"/>
              </w:rPr>
            </w:pPr>
            <w:r>
              <w:rPr>
                <w:rFonts w:hint="eastAsia" w:ascii="宋体" w:hAnsi="宋体" w:cs="宋体"/>
                <w:szCs w:val="21"/>
              </w:rPr>
              <w:t>B12.招标文件要求提供的和供应商认为需要的其他资料（如有，请提供）。</w:t>
            </w:r>
          </w:p>
          <w:p w14:paraId="6A82BF13">
            <w:pPr>
              <w:spacing w:line="400" w:lineRule="exact"/>
              <w:rPr>
                <w:rFonts w:ascii="宋体" w:hAnsi="宋体" w:cs="宋体"/>
                <w:b/>
                <w:bCs/>
                <w:szCs w:val="21"/>
              </w:rPr>
            </w:pPr>
            <w:r>
              <w:rPr>
                <w:rFonts w:hint="eastAsia" w:ascii="宋体" w:hAnsi="宋体" w:cs="宋体"/>
                <w:b/>
                <w:bCs/>
                <w:szCs w:val="21"/>
              </w:rPr>
              <w:t>C.第三册：报价文件</w:t>
            </w:r>
          </w:p>
          <w:p w14:paraId="02749CF2">
            <w:pPr>
              <w:spacing w:line="400" w:lineRule="exact"/>
              <w:rPr>
                <w:rFonts w:ascii="宋体" w:hAnsi="宋体" w:cs="宋体"/>
                <w:szCs w:val="21"/>
              </w:rPr>
            </w:pPr>
            <w:r>
              <w:rPr>
                <w:rFonts w:hint="eastAsia" w:ascii="宋体" w:hAnsi="宋体" w:cs="宋体"/>
                <w:szCs w:val="21"/>
              </w:rPr>
              <w:t>★C1.开标一览表（格式见附件）；</w:t>
            </w:r>
          </w:p>
          <w:p w14:paraId="1B743C6B">
            <w:pPr>
              <w:spacing w:line="400" w:lineRule="exact"/>
              <w:rPr>
                <w:rFonts w:ascii="宋体" w:hAnsi="宋体" w:cs="宋体"/>
                <w:szCs w:val="21"/>
              </w:rPr>
            </w:pPr>
            <w:r>
              <w:rPr>
                <w:rFonts w:hint="eastAsia" w:ascii="宋体" w:hAnsi="宋体" w:cs="宋体"/>
                <w:szCs w:val="21"/>
              </w:rPr>
              <w:t>C2.分项报价表（格式见附件）；</w:t>
            </w:r>
          </w:p>
          <w:p w14:paraId="31531CDC">
            <w:pPr>
              <w:spacing w:line="400" w:lineRule="exact"/>
              <w:rPr>
                <w:rFonts w:ascii="宋体" w:hAnsi="宋体" w:cs="宋体"/>
                <w:szCs w:val="21"/>
              </w:rPr>
            </w:pPr>
            <w:r>
              <w:rPr>
                <w:rFonts w:hint="eastAsia" w:ascii="宋体" w:hAnsi="宋体" w:cs="宋体"/>
                <w:szCs w:val="21"/>
              </w:rPr>
              <w:t>C3.中小企业声明函（格式见附件）或C4.残疾人福利性单位声明函（如有，请提供）或C5.监狱企业证明文件（如有，请提供）；</w:t>
            </w:r>
          </w:p>
          <w:p w14:paraId="6BD7CE86">
            <w:pPr>
              <w:spacing w:line="400" w:lineRule="exact"/>
              <w:rPr>
                <w:rFonts w:ascii="宋体" w:hAnsi="宋体" w:cs="宋体"/>
                <w:szCs w:val="21"/>
              </w:rPr>
            </w:pPr>
            <w:r>
              <w:rPr>
                <w:rFonts w:hint="eastAsia" w:ascii="宋体" w:hAnsi="宋体" w:cs="宋体"/>
                <w:szCs w:val="21"/>
              </w:rPr>
              <w:t>C6.供应商认为需要的其他资料（如有，请提供）。</w:t>
            </w:r>
          </w:p>
          <w:p w14:paraId="064BA78F">
            <w:pPr>
              <w:spacing w:line="400" w:lineRule="exact"/>
              <w:rPr>
                <w:rFonts w:ascii="宋体" w:hAnsi="宋体" w:cs="宋体"/>
                <w:szCs w:val="21"/>
              </w:rPr>
            </w:pPr>
            <w:r>
              <w:rPr>
                <w:rFonts w:hint="eastAsia" w:ascii="宋体" w:hAnsi="宋体" w:cs="宋体"/>
                <w:b/>
                <w:bCs/>
                <w:szCs w:val="21"/>
              </w:rPr>
              <w:t>注：供应商应对投标文件编制目录和评分索引表以方便查询。</w:t>
            </w:r>
          </w:p>
        </w:tc>
      </w:tr>
      <w:tr w14:paraId="6DFB4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CC6BCE5">
            <w:pPr>
              <w:spacing w:line="400" w:lineRule="exact"/>
              <w:jc w:val="center"/>
              <w:rPr>
                <w:rFonts w:ascii="宋体" w:hAnsi="宋体" w:cs="宋体"/>
                <w:szCs w:val="21"/>
              </w:rPr>
            </w:pPr>
            <w:r>
              <w:rPr>
                <w:rFonts w:hint="eastAsia" w:ascii="宋体" w:hAnsi="宋体" w:cs="宋体"/>
                <w:szCs w:val="21"/>
              </w:rPr>
              <w:t>11</w:t>
            </w:r>
          </w:p>
        </w:tc>
        <w:tc>
          <w:tcPr>
            <w:tcW w:w="8241" w:type="dxa"/>
            <w:tcBorders>
              <w:top w:val="single" w:color="auto" w:sz="4" w:space="0"/>
              <w:left w:val="single" w:color="auto" w:sz="4" w:space="0"/>
              <w:bottom w:val="single" w:color="auto" w:sz="4" w:space="0"/>
              <w:right w:val="single" w:color="auto" w:sz="4" w:space="0"/>
            </w:tcBorders>
            <w:vAlign w:val="center"/>
          </w:tcPr>
          <w:p w14:paraId="7DE35FAD">
            <w:pPr>
              <w:spacing w:line="400" w:lineRule="exact"/>
              <w:rPr>
                <w:rFonts w:ascii="宋体" w:hAnsi="宋体" w:cs="宋体"/>
                <w:szCs w:val="21"/>
              </w:rPr>
            </w:pPr>
            <w:r>
              <w:rPr>
                <w:rFonts w:hint="eastAsia" w:ascii="宋体" w:hAnsi="宋体" w:cs="宋体"/>
                <w:szCs w:val="21"/>
              </w:rPr>
              <w:t>本项目实行网上投标，供应商应准备以下投标文件：</w:t>
            </w:r>
          </w:p>
          <w:p w14:paraId="15A813F5">
            <w:pPr>
              <w:spacing w:line="400" w:lineRule="exact"/>
              <w:rPr>
                <w:rFonts w:ascii="宋体" w:hAnsi="宋体" w:cs="宋体"/>
                <w:szCs w:val="21"/>
              </w:rPr>
            </w:pPr>
            <w:r>
              <w:rPr>
                <w:rFonts w:hint="eastAsia" w:ascii="宋体" w:hAnsi="宋体" w:cs="宋体"/>
                <w:szCs w:val="21"/>
              </w:rPr>
              <w:t>★1.上传到政府采购云平台的电子投标文件（含资格文件、商务和技术文件、报价文件）1份。</w:t>
            </w:r>
          </w:p>
          <w:p w14:paraId="7FD9E135">
            <w:pPr>
              <w:spacing w:line="400" w:lineRule="exact"/>
              <w:rPr>
                <w:rFonts w:ascii="宋体" w:hAnsi="宋体" w:cs="宋体"/>
                <w:szCs w:val="21"/>
              </w:rPr>
            </w:pPr>
            <w:r>
              <w:rPr>
                <w:rFonts w:hint="eastAsia" w:ascii="宋体" w:hAnsi="宋体" w:cs="宋体"/>
                <w:szCs w:val="21"/>
              </w:rPr>
              <w:t>2.以U盘存储的电子备份投标文件（含资格文件、商务和技术文件、报价文件）1份</w:t>
            </w:r>
            <w:r>
              <w:rPr>
                <w:rFonts w:hint="eastAsia" w:ascii="宋体" w:hAnsi="宋体" w:cs="宋体"/>
              </w:rPr>
              <w:t>（自愿提供，用于异常处理）</w:t>
            </w:r>
            <w:r>
              <w:rPr>
                <w:rFonts w:hint="eastAsia" w:ascii="宋体" w:hAnsi="宋体" w:cs="宋体"/>
                <w:szCs w:val="21"/>
              </w:rPr>
              <w:t>。</w:t>
            </w:r>
          </w:p>
          <w:p w14:paraId="12B708C3">
            <w:pPr>
              <w:spacing w:line="400" w:lineRule="exact"/>
              <w:rPr>
                <w:rFonts w:ascii="宋体" w:hAnsi="宋体" w:cs="宋体"/>
                <w:szCs w:val="21"/>
              </w:rPr>
            </w:pPr>
            <w:r>
              <w:rPr>
                <w:rFonts w:hint="eastAsia" w:ascii="宋体" w:hAnsi="宋体" w:cs="宋体"/>
                <w:szCs w:val="21"/>
              </w:rPr>
              <w:t>3.中标供应商在中标结果公示期结束后3天内向代理公司提供投标文件打印装订成册的纸质投标文件一份（须与电子投标文件一致）。中标供应商可采用邮寄（含快递）方式或现场方式递交装订成册的纸质投标文件，送达地址：宁波市国际招标有限公司（宁波市江北区环城北路西段207弄19号世茂茂悦商业中心1号楼八楼012室），联系方式：陈洋，0574-87295348。</w:t>
            </w:r>
          </w:p>
        </w:tc>
      </w:tr>
      <w:tr w14:paraId="4DCC2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D64CDB5">
            <w:pPr>
              <w:spacing w:line="400" w:lineRule="exact"/>
              <w:jc w:val="center"/>
              <w:rPr>
                <w:rFonts w:ascii="宋体" w:hAnsi="宋体" w:cs="宋体"/>
                <w:szCs w:val="21"/>
              </w:rPr>
            </w:pPr>
            <w:r>
              <w:rPr>
                <w:rFonts w:hint="eastAsia" w:ascii="宋体" w:hAnsi="宋体" w:cs="宋体"/>
                <w:szCs w:val="21"/>
              </w:rPr>
              <w:t>12</w:t>
            </w:r>
          </w:p>
        </w:tc>
        <w:tc>
          <w:tcPr>
            <w:tcW w:w="8241" w:type="dxa"/>
            <w:tcBorders>
              <w:top w:val="single" w:color="auto" w:sz="4" w:space="0"/>
              <w:left w:val="single" w:color="auto" w:sz="4" w:space="0"/>
              <w:bottom w:val="single" w:color="auto" w:sz="4" w:space="0"/>
              <w:right w:val="single" w:color="auto" w:sz="4" w:space="0"/>
            </w:tcBorders>
            <w:vAlign w:val="center"/>
          </w:tcPr>
          <w:p w14:paraId="6871443B">
            <w:pPr>
              <w:spacing w:line="400" w:lineRule="exact"/>
              <w:rPr>
                <w:rFonts w:ascii="宋体" w:hAnsi="宋体" w:cs="宋体"/>
                <w:szCs w:val="21"/>
              </w:rPr>
            </w:pPr>
            <w:r>
              <w:rPr>
                <w:rFonts w:hint="eastAsia" w:ascii="宋体" w:hAnsi="宋体" w:cs="宋体"/>
                <w:szCs w:val="21"/>
              </w:rPr>
              <w:t>投标截止时间及地点：2025年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日09:</w:t>
            </w:r>
            <w:r>
              <w:rPr>
                <w:rFonts w:hint="eastAsia" w:ascii="宋体" w:hAnsi="宋体" w:cs="宋体"/>
                <w:szCs w:val="21"/>
                <w:lang w:val="en-US" w:eastAsia="zh-CN"/>
              </w:rPr>
              <w:t>0</w:t>
            </w:r>
            <w:r>
              <w:rPr>
                <w:rFonts w:hint="eastAsia" w:ascii="宋体" w:hAnsi="宋体" w:cs="宋体"/>
                <w:szCs w:val="21"/>
              </w:rPr>
              <w:t>0（北京时间）</w:t>
            </w:r>
          </w:p>
          <w:p w14:paraId="5040A51D">
            <w:pPr>
              <w:spacing w:line="400" w:lineRule="exact"/>
              <w:rPr>
                <w:rFonts w:ascii="宋体" w:hAnsi="宋体" w:cs="宋体"/>
                <w:szCs w:val="21"/>
                <w:u w:val="single"/>
              </w:rPr>
            </w:pPr>
            <w:r>
              <w:rPr>
                <w:rFonts w:hint="eastAsia" w:ascii="宋体" w:hAnsi="宋体" w:cs="宋体"/>
                <w:szCs w:val="21"/>
              </w:rPr>
              <w:t>宁波市国际招标有限公司开标大厅（</w:t>
            </w:r>
            <w:r>
              <w:rPr>
                <w:rFonts w:hint="eastAsia" w:ascii="宋体" w:hAnsi="宋体" w:cs="宋体"/>
                <w:szCs w:val="21"/>
                <w:lang w:val="en-US" w:eastAsia="zh-CN"/>
              </w:rPr>
              <w:t>一</w:t>
            </w:r>
            <w:r>
              <w:rPr>
                <w:rFonts w:hint="eastAsia" w:ascii="宋体" w:hAnsi="宋体" w:cs="宋体"/>
                <w:szCs w:val="21"/>
              </w:rPr>
              <w:t xml:space="preserve">）（宁波市江北区环城北路西段207弄19号世茂茂悦商业中心1号楼七楼招投标会议中心），本项目通过“政府采购云平台（www.zcygov.cn）”实行在线制作并提交投标文件（电子投标）。 </w:t>
            </w:r>
          </w:p>
        </w:tc>
      </w:tr>
      <w:tr w14:paraId="52F05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74D0049">
            <w:pPr>
              <w:spacing w:line="400" w:lineRule="exact"/>
              <w:jc w:val="center"/>
              <w:rPr>
                <w:rFonts w:ascii="宋体" w:hAnsi="宋体" w:cs="宋体"/>
                <w:szCs w:val="21"/>
              </w:rPr>
            </w:pPr>
            <w:r>
              <w:rPr>
                <w:rFonts w:hint="eastAsia" w:ascii="宋体" w:hAnsi="宋体" w:cs="宋体"/>
                <w:szCs w:val="21"/>
              </w:rPr>
              <w:t>13</w:t>
            </w:r>
          </w:p>
        </w:tc>
        <w:tc>
          <w:tcPr>
            <w:tcW w:w="8241" w:type="dxa"/>
            <w:tcBorders>
              <w:top w:val="single" w:color="auto" w:sz="4" w:space="0"/>
              <w:left w:val="single" w:color="auto" w:sz="4" w:space="0"/>
              <w:bottom w:val="single" w:color="auto" w:sz="4" w:space="0"/>
              <w:right w:val="single" w:color="auto" w:sz="4" w:space="0"/>
            </w:tcBorders>
            <w:vAlign w:val="center"/>
          </w:tcPr>
          <w:p w14:paraId="121B9732">
            <w:pPr>
              <w:spacing w:line="400" w:lineRule="exact"/>
              <w:rPr>
                <w:rFonts w:ascii="宋体" w:hAnsi="宋体" w:cs="宋体"/>
                <w:szCs w:val="21"/>
              </w:rPr>
            </w:pPr>
            <w:r>
              <w:rPr>
                <w:rFonts w:hint="eastAsia" w:ascii="宋体" w:hAnsi="宋体" w:cs="宋体"/>
                <w:szCs w:val="21"/>
              </w:rPr>
              <w:t>开标时间及地点：2025年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日09:</w:t>
            </w:r>
            <w:r>
              <w:rPr>
                <w:rFonts w:hint="eastAsia" w:ascii="宋体" w:hAnsi="宋体" w:cs="宋体"/>
                <w:szCs w:val="21"/>
                <w:lang w:val="en-US" w:eastAsia="zh-CN"/>
              </w:rPr>
              <w:t>0</w:t>
            </w:r>
            <w:r>
              <w:rPr>
                <w:rFonts w:hint="eastAsia" w:ascii="宋体" w:hAnsi="宋体" w:cs="宋体"/>
                <w:szCs w:val="21"/>
              </w:rPr>
              <w:t>0（北京时间）</w:t>
            </w:r>
          </w:p>
          <w:p w14:paraId="09FBE9DC">
            <w:pPr>
              <w:spacing w:line="400" w:lineRule="exact"/>
              <w:rPr>
                <w:rFonts w:ascii="宋体" w:hAnsi="宋体" w:cs="宋体"/>
                <w:szCs w:val="21"/>
              </w:rPr>
            </w:pPr>
            <w:r>
              <w:rPr>
                <w:rFonts w:hint="eastAsia" w:ascii="宋体" w:hAnsi="宋体" w:cs="宋体"/>
                <w:szCs w:val="21"/>
              </w:rPr>
              <w:t>宁波市国际招标有限公司开标大厅（</w:t>
            </w:r>
            <w:r>
              <w:rPr>
                <w:rFonts w:hint="eastAsia" w:ascii="宋体" w:hAnsi="宋体" w:cs="宋体"/>
                <w:szCs w:val="21"/>
                <w:lang w:val="en-US" w:eastAsia="zh-CN"/>
              </w:rPr>
              <w:t>一</w:t>
            </w:r>
            <w:r>
              <w:rPr>
                <w:rFonts w:hint="eastAsia" w:ascii="宋体" w:hAnsi="宋体" w:cs="宋体"/>
                <w:szCs w:val="21"/>
              </w:rPr>
              <w:t xml:space="preserve">）（宁波市江北区环城北路西段207弄19号世茂茂悦商业中心1号楼七楼招投标会议中心），本项目通过“政府采购云平台（www.zcygov.cn）”实行在线开标。 </w:t>
            </w:r>
          </w:p>
        </w:tc>
      </w:tr>
      <w:tr w14:paraId="58E9B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4C1D502">
            <w:pPr>
              <w:spacing w:line="400" w:lineRule="exact"/>
              <w:jc w:val="center"/>
              <w:rPr>
                <w:rFonts w:ascii="宋体" w:hAnsi="宋体" w:cs="宋体"/>
                <w:szCs w:val="21"/>
              </w:rPr>
            </w:pPr>
            <w:r>
              <w:rPr>
                <w:rFonts w:hint="eastAsia" w:ascii="宋体" w:hAnsi="宋体" w:cs="宋体"/>
                <w:szCs w:val="21"/>
              </w:rPr>
              <w:t>★14</w:t>
            </w:r>
          </w:p>
        </w:tc>
        <w:tc>
          <w:tcPr>
            <w:tcW w:w="8241" w:type="dxa"/>
            <w:tcBorders>
              <w:top w:val="single" w:color="auto" w:sz="4" w:space="0"/>
              <w:left w:val="single" w:color="auto" w:sz="4" w:space="0"/>
              <w:bottom w:val="single" w:color="auto" w:sz="4" w:space="0"/>
              <w:right w:val="single" w:color="auto" w:sz="4" w:space="0"/>
            </w:tcBorders>
            <w:vAlign w:val="center"/>
          </w:tcPr>
          <w:p w14:paraId="27CAF006">
            <w:pPr>
              <w:spacing w:line="400" w:lineRule="exact"/>
              <w:rPr>
                <w:rFonts w:ascii="宋体" w:hAnsi="宋体" w:cs="宋体"/>
                <w:szCs w:val="21"/>
              </w:rPr>
            </w:pPr>
            <w:r>
              <w:rPr>
                <w:rFonts w:hint="eastAsia" w:ascii="宋体" w:hAnsi="宋体" w:cs="宋体"/>
                <w:szCs w:val="21"/>
              </w:rPr>
              <w:t>服务期限：详见各标项技术需求。</w:t>
            </w:r>
          </w:p>
        </w:tc>
      </w:tr>
      <w:tr w14:paraId="74955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6D747A00">
            <w:pPr>
              <w:spacing w:line="400" w:lineRule="exact"/>
              <w:jc w:val="center"/>
              <w:rPr>
                <w:rFonts w:ascii="宋体" w:hAnsi="宋体" w:cs="宋体"/>
                <w:szCs w:val="21"/>
              </w:rPr>
            </w:pPr>
            <w:r>
              <w:rPr>
                <w:rFonts w:hint="eastAsia" w:ascii="宋体" w:hAnsi="宋体" w:cs="宋体"/>
                <w:szCs w:val="21"/>
              </w:rPr>
              <w:t>★15</w:t>
            </w:r>
          </w:p>
        </w:tc>
        <w:tc>
          <w:tcPr>
            <w:tcW w:w="8241" w:type="dxa"/>
            <w:tcBorders>
              <w:top w:val="single" w:color="auto" w:sz="4" w:space="0"/>
              <w:left w:val="single" w:color="auto" w:sz="4" w:space="0"/>
              <w:bottom w:val="single" w:color="auto" w:sz="4" w:space="0"/>
              <w:right w:val="single" w:color="auto" w:sz="4" w:space="0"/>
            </w:tcBorders>
            <w:vAlign w:val="center"/>
          </w:tcPr>
          <w:p w14:paraId="42E07739">
            <w:pPr>
              <w:spacing w:line="400" w:lineRule="exact"/>
              <w:rPr>
                <w:rFonts w:ascii="宋体" w:hAnsi="宋体" w:cs="宋体"/>
                <w:szCs w:val="21"/>
              </w:rPr>
            </w:pPr>
            <w:r>
              <w:rPr>
                <w:rFonts w:hint="eastAsia" w:ascii="宋体" w:hAnsi="宋体" w:cs="宋体"/>
                <w:szCs w:val="21"/>
              </w:rPr>
              <w:t>服务地点：宁波大学（采购人指定地点）。</w:t>
            </w:r>
          </w:p>
        </w:tc>
      </w:tr>
      <w:tr w14:paraId="21983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0E6F5191">
            <w:pPr>
              <w:spacing w:line="400" w:lineRule="exact"/>
              <w:jc w:val="center"/>
              <w:rPr>
                <w:rFonts w:ascii="宋体" w:hAnsi="宋体" w:cs="宋体"/>
                <w:szCs w:val="21"/>
              </w:rPr>
            </w:pPr>
            <w:r>
              <w:rPr>
                <w:rFonts w:hint="eastAsia" w:ascii="宋体" w:hAnsi="宋体" w:cs="宋体"/>
                <w:szCs w:val="21"/>
              </w:rPr>
              <w:t>★16</w:t>
            </w:r>
          </w:p>
        </w:tc>
        <w:tc>
          <w:tcPr>
            <w:tcW w:w="8241" w:type="dxa"/>
            <w:tcBorders>
              <w:top w:val="single" w:color="auto" w:sz="4" w:space="0"/>
              <w:left w:val="single" w:color="auto" w:sz="4" w:space="0"/>
              <w:bottom w:val="single" w:color="auto" w:sz="4" w:space="0"/>
              <w:right w:val="single" w:color="auto" w:sz="4" w:space="0"/>
            </w:tcBorders>
            <w:vAlign w:val="center"/>
          </w:tcPr>
          <w:p w14:paraId="4B0EEDE2">
            <w:pPr>
              <w:spacing w:line="400" w:lineRule="exact"/>
              <w:rPr>
                <w:rFonts w:ascii="宋体" w:hAnsi="宋体" w:cs="宋体"/>
                <w:szCs w:val="21"/>
              </w:rPr>
            </w:pPr>
            <w:r>
              <w:rPr>
                <w:rFonts w:hint="eastAsia" w:ascii="宋体" w:hAnsi="宋体" w:cs="宋体"/>
                <w:szCs w:val="21"/>
              </w:rPr>
              <w:t>付款方式：</w:t>
            </w:r>
            <w:r>
              <w:rPr>
                <w:rFonts w:hint="eastAsia" w:ascii="宋体" w:hAnsi="宋体" w:cs="宋体"/>
                <w:szCs w:val="21"/>
                <w:lang w:eastAsia="zh-CN"/>
              </w:rPr>
              <w:t>合同签订生效且具备实施条件后7个工作日内，采购人凭中标供应商开具的发票支付合同金额的40%，服务期满前1个月采购人付清剩余款项。</w:t>
            </w:r>
          </w:p>
        </w:tc>
      </w:tr>
      <w:tr w14:paraId="51F53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598BDE4">
            <w:pPr>
              <w:spacing w:line="400" w:lineRule="exact"/>
              <w:jc w:val="center"/>
              <w:rPr>
                <w:rFonts w:ascii="宋体" w:hAnsi="宋体" w:cs="宋体"/>
                <w:szCs w:val="21"/>
              </w:rPr>
            </w:pPr>
            <w:r>
              <w:rPr>
                <w:rFonts w:hint="eastAsia" w:ascii="宋体" w:hAnsi="宋体" w:cs="宋体"/>
                <w:szCs w:val="21"/>
              </w:rPr>
              <w:t>17</w:t>
            </w:r>
          </w:p>
        </w:tc>
        <w:tc>
          <w:tcPr>
            <w:tcW w:w="8241" w:type="dxa"/>
            <w:tcBorders>
              <w:top w:val="single" w:color="auto" w:sz="4" w:space="0"/>
              <w:left w:val="single" w:color="auto" w:sz="4" w:space="0"/>
              <w:bottom w:val="single" w:color="auto" w:sz="4" w:space="0"/>
              <w:right w:val="single" w:color="auto" w:sz="4" w:space="0"/>
            </w:tcBorders>
            <w:vAlign w:val="center"/>
          </w:tcPr>
          <w:p w14:paraId="67258536">
            <w:pPr>
              <w:autoSpaceDE w:val="0"/>
              <w:autoSpaceDN w:val="0"/>
              <w:spacing w:line="400" w:lineRule="exact"/>
              <w:textAlignment w:val="bottom"/>
              <w:rPr>
                <w:rFonts w:ascii="宋体" w:hAnsi="宋体" w:cs="宋体"/>
                <w:szCs w:val="21"/>
              </w:rPr>
            </w:pPr>
            <w:r>
              <w:rPr>
                <w:rFonts w:hint="eastAsia" w:ascii="宋体" w:hAnsi="宋体" w:cs="宋体"/>
                <w:szCs w:val="21"/>
              </w:rPr>
              <w:t>履约保证金：无</w:t>
            </w:r>
          </w:p>
        </w:tc>
      </w:tr>
      <w:tr w14:paraId="3003B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78A6E7F">
            <w:pPr>
              <w:spacing w:line="400" w:lineRule="exact"/>
              <w:jc w:val="center"/>
              <w:rPr>
                <w:rFonts w:ascii="宋体" w:hAnsi="宋体" w:cs="宋体"/>
                <w:szCs w:val="21"/>
              </w:rPr>
            </w:pPr>
            <w:r>
              <w:rPr>
                <w:rFonts w:hint="eastAsia" w:ascii="宋体" w:hAnsi="宋体" w:cs="宋体"/>
                <w:szCs w:val="21"/>
              </w:rPr>
              <w:t>★18</w:t>
            </w:r>
          </w:p>
        </w:tc>
        <w:tc>
          <w:tcPr>
            <w:tcW w:w="8241" w:type="dxa"/>
            <w:tcBorders>
              <w:top w:val="single" w:color="auto" w:sz="4" w:space="0"/>
              <w:left w:val="single" w:color="auto" w:sz="4" w:space="0"/>
              <w:bottom w:val="single" w:color="auto" w:sz="4" w:space="0"/>
              <w:right w:val="single" w:color="auto" w:sz="4" w:space="0"/>
            </w:tcBorders>
            <w:vAlign w:val="center"/>
          </w:tcPr>
          <w:p w14:paraId="6B97E9AB">
            <w:pPr>
              <w:autoSpaceDE w:val="0"/>
              <w:autoSpaceDN w:val="0"/>
              <w:spacing w:line="400" w:lineRule="exact"/>
              <w:textAlignment w:val="bottom"/>
              <w:rPr>
                <w:rFonts w:ascii="宋体" w:hAnsi="宋体" w:cs="宋体"/>
                <w:szCs w:val="21"/>
              </w:rPr>
            </w:pPr>
            <w:r>
              <w:rPr>
                <w:rFonts w:hint="eastAsia" w:ascii="宋体" w:hAnsi="宋体" w:cs="宋体"/>
                <w:szCs w:val="21"/>
              </w:rPr>
              <w:t>验收标准：</w:t>
            </w:r>
          </w:p>
          <w:p w14:paraId="20E31A10">
            <w:pPr>
              <w:autoSpaceDE w:val="0"/>
              <w:autoSpaceDN w:val="0"/>
              <w:spacing w:line="400" w:lineRule="exact"/>
              <w:textAlignment w:val="bottom"/>
              <w:rPr>
                <w:rFonts w:ascii="宋体" w:hAnsi="宋体" w:cs="宋体"/>
                <w:szCs w:val="21"/>
              </w:rPr>
            </w:pPr>
            <w:r>
              <w:rPr>
                <w:rFonts w:hint="eastAsia" w:ascii="宋体" w:hAnsi="宋体" w:cs="宋体"/>
                <w:szCs w:val="21"/>
              </w:rPr>
              <w:t>1.应符合国家或行业有关的质量标准或验收规范并按照中标供应商提供的投标文件及中标供应商和采购人签订的采购合同为标准进行验收。</w:t>
            </w:r>
          </w:p>
          <w:p w14:paraId="4CB0A783">
            <w:pPr>
              <w:autoSpaceDE w:val="0"/>
              <w:autoSpaceDN w:val="0"/>
              <w:spacing w:line="400" w:lineRule="exact"/>
              <w:textAlignment w:val="bottom"/>
              <w:rPr>
                <w:rFonts w:ascii="宋体" w:hAnsi="宋体" w:cs="宋体"/>
                <w:szCs w:val="21"/>
              </w:rPr>
            </w:pPr>
            <w:r>
              <w:rPr>
                <w:rFonts w:hint="eastAsia" w:ascii="宋体" w:hAnsi="宋体" w:cs="宋体"/>
                <w:szCs w:val="21"/>
              </w:rPr>
              <w:t>2.具体要求详见招标文件技术需求。</w:t>
            </w:r>
          </w:p>
        </w:tc>
      </w:tr>
      <w:tr w14:paraId="32904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D89EF16">
            <w:pPr>
              <w:spacing w:line="400" w:lineRule="exact"/>
              <w:jc w:val="center"/>
              <w:rPr>
                <w:rFonts w:ascii="宋体" w:hAnsi="宋体" w:cs="宋体"/>
                <w:szCs w:val="21"/>
              </w:rPr>
            </w:pPr>
            <w:r>
              <w:rPr>
                <w:rFonts w:hint="eastAsia" w:ascii="宋体" w:hAnsi="宋体" w:cs="宋体"/>
                <w:szCs w:val="21"/>
              </w:rPr>
              <w:t>★19</w:t>
            </w:r>
          </w:p>
        </w:tc>
        <w:tc>
          <w:tcPr>
            <w:tcW w:w="8241" w:type="dxa"/>
            <w:tcBorders>
              <w:top w:val="single" w:color="auto" w:sz="4" w:space="0"/>
              <w:left w:val="single" w:color="auto" w:sz="4" w:space="0"/>
              <w:bottom w:val="single" w:color="auto" w:sz="4" w:space="0"/>
              <w:right w:val="single" w:color="auto" w:sz="4" w:space="0"/>
            </w:tcBorders>
            <w:vAlign w:val="center"/>
          </w:tcPr>
          <w:p w14:paraId="00B9A498">
            <w:pPr>
              <w:autoSpaceDE w:val="0"/>
              <w:autoSpaceDN w:val="0"/>
              <w:spacing w:line="400" w:lineRule="exact"/>
              <w:textAlignment w:val="bottom"/>
              <w:rPr>
                <w:rFonts w:ascii="宋体" w:hAnsi="宋体" w:cs="宋体"/>
                <w:szCs w:val="21"/>
              </w:rPr>
            </w:pPr>
            <w:r>
              <w:rPr>
                <w:rFonts w:hint="eastAsia" w:ascii="宋体" w:hAnsi="宋体" w:cs="宋体"/>
                <w:szCs w:val="21"/>
              </w:rPr>
              <w:t>其他要求：</w:t>
            </w:r>
          </w:p>
          <w:p w14:paraId="22C40C02">
            <w:pPr>
              <w:autoSpaceDE w:val="0"/>
              <w:autoSpaceDN w:val="0"/>
              <w:spacing w:line="400" w:lineRule="exact"/>
              <w:textAlignment w:val="bottom"/>
              <w:rPr>
                <w:rFonts w:ascii="宋体" w:hAnsi="宋体" w:cs="宋体"/>
                <w:szCs w:val="21"/>
              </w:rPr>
            </w:pPr>
            <w:r>
              <w:rPr>
                <w:rFonts w:hint="eastAsia" w:ascii="宋体" w:hAnsi="宋体" w:cs="宋体"/>
                <w:szCs w:val="21"/>
              </w:rPr>
              <w:t>1.供应商承诺提供的产品及相关服务符合法律规定，不存在知识产权、版权或其他任何纠纷。如出现任何法律问题、知识产权、版权问题，供应商承担一切责任，采购人不承担任何责任。</w:t>
            </w:r>
          </w:p>
          <w:p w14:paraId="75E8C2CD">
            <w:pPr>
              <w:autoSpaceDE w:val="0"/>
              <w:autoSpaceDN w:val="0"/>
              <w:spacing w:line="400" w:lineRule="exact"/>
              <w:textAlignment w:val="bottom"/>
              <w:rPr>
                <w:rFonts w:ascii="宋体" w:hAnsi="宋体" w:cs="宋体"/>
                <w:szCs w:val="21"/>
              </w:rPr>
            </w:pPr>
            <w:r>
              <w:rPr>
                <w:rFonts w:hint="eastAsia" w:ascii="宋体" w:hAnsi="宋体" w:cs="宋体"/>
                <w:szCs w:val="21"/>
              </w:rPr>
              <w:t>2.详见“第六章  采购合同样本”。</w:t>
            </w:r>
          </w:p>
        </w:tc>
      </w:tr>
      <w:tr w14:paraId="5A134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277A7316">
            <w:pPr>
              <w:spacing w:line="400" w:lineRule="exact"/>
              <w:jc w:val="center"/>
              <w:rPr>
                <w:rFonts w:ascii="宋体" w:hAnsi="宋体" w:cs="宋体"/>
                <w:szCs w:val="21"/>
              </w:rPr>
            </w:pPr>
            <w:r>
              <w:rPr>
                <w:rFonts w:hint="eastAsia" w:ascii="宋体" w:hAnsi="宋体" w:cs="宋体"/>
                <w:szCs w:val="21"/>
              </w:rPr>
              <w:t>20</w:t>
            </w:r>
          </w:p>
        </w:tc>
        <w:tc>
          <w:tcPr>
            <w:tcW w:w="8241" w:type="dxa"/>
            <w:tcBorders>
              <w:top w:val="single" w:color="auto" w:sz="4" w:space="0"/>
              <w:left w:val="single" w:color="auto" w:sz="4" w:space="0"/>
              <w:bottom w:val="single" w:color="auto" w:sz="4" w:space="0"/>
              <w:right w:val="single" w:color="auto" w:sz="4" w:space="0"/>
            </w:tcBorders>
            <w:vAlign w:val="center"/>
          </w:tcPr>
          <w:p w14:paraId="06470ED1">
            <w:pPr>
              <w:autoSpaceDE w:val="0"/>
              <w:autoSpaceDN w:val="0"/>
              <w:spacing w:line="400" w:lineRule="exact"/>
              <w:textAlignment w:val="bottom"/>
              <w:rPr>
                <w:rFonts w:ascii="宋体" w:hAnsi="宋体" w:cs="宋体"/>
                <w:szCs w:val="21"/>
              </w:rPr>
            </w:pPr>
            <w:r>
              <w:rPr>
                <w:rFonts w:hint="eastAsia" w:ascii="宋体" w:hAnsi="宋体" w:cs="宋体"/>
                <w:szCs w:val="21"/>
              </w:rPr>
              <w:t>签订合同时间：中标通知书发出之日起</w:t>
            </w:r>
            <w:r>
              <w:rPr>
                <w:rFonts w:hint="eastAsia" w:ascii="宋体" w:hAnsi="宋体" w:cs="宋体"/>
                <w:szCs w:val="21"/>
                <w:u w:val="single"/>
              </w:rPr>
              <w:t xml:space="preserve"> 30 </w:t>
            </w:r>
            <w:r>
              <w:rPr>
                <w:rFonts w:hint="eastAsia" w:ascii="宋体" w:hAnsi="宋体" w:cs="宋体"/>
                <w:szCs w:val="21"/>
              </w:rPr>
              <w:t>日内。</w:t>
            </w:r>
          </w:p>
        </w:tc>
      </w:tr>
      <w:tr w14:paraId="00A84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72F726A5">
            <w:pPr>
              <w:spacing w:line="400" w:lineRule="exact"/>
              <w:jc w:val="center"/>
              <w:rPr>
                <w:rFonts w:ascii="宋体" w:hAnsi="宋体" w:cs="宋体"/>
                <w:szCs w:val="21"/>
              </w:rPr>
            </w:pPr>
            <w:r>
              <w:rPr>
                <w:rFonts w:hint="eastAsia" w:ascii="宋体" w:hAnsi="宋体" w:cs="宋体"/>
                <w:szCs w:val="21"/>
              </w:rPr>
              <w:t>21</w:t>
            </w:r>
          </w:p>
        </w:tc>
        <w:tc>
          <w:tcPr>
            <w:tcW w:w="8241" w:type="dxa"/>
            <w:tcBorders>
              <w:top w:val="single" w:color="auto" w:sz="4" w:space="0"/>
              <w:left w:val="single" w:color="auto" w:sz="4" w:space="0"/>
              <w:bottom w:val="single" w:color="auto" w:sz="4" w:space="0"/>
              <w:right w:val="single" w:color="auto" w:sz="4" w:space="0"/>
            </w:tcBorders>
            <w:vAlign w:val="center"/>
          </w:tcPr>
          <w:p w14:paraId="5E0CCB78">
            <w:pPr>
              <w:autoSpaceDE w:val="0"/>
              <w:autoSpaceDN w:val="0"/>
              <w:spacing w:line="400" w:lineRule="exact"/>
              <w:textAlignment w:val="bottom"/>
              <w:rPr>
                <w:rFonts w:ascii="宋体" w:hAnsi="宋体" w:cs="宋体"/>
                <w:szCs w:val="21"/>
              </w:rPr>
            </w:pPr>
            <w:r>
              <w:rPr>
                <w:rFonts w:hint="eastAsia" w:ascii="宋体" w:hAnsi="宋体" w:cs="宋体"/>
                <w:szCs w:val="21"/>
              </w:rPr>
              <w:t>招标代理服务费：</w:t>
            </w:r>
          </w:p>
          <w:p w14:paraId="001850D9">
            <w:pPr>
              <w:spacing w:line="400" w:lineRule="exact"/>
              <w:jc w:val="left"/>
              <w:rPr>
                <w:rFonts w:ascii="宋体" w:hAnsi="宋体" w:cs="宋体"/>
                <w:szCs w:val="21"/>
              </w:rPr>
            </w:pPr>
            <w:r>
              <w:rPr>
                <w:rFonts w:hint="eastAsia" w:ascii="宋体" w:hAnsi="宋体" w:cs="宋体"/>
                <w:szCs w:val="21"/>
              </w:rPr>
              <w:t>1.本招标代理公司根据国家发改委发改办价格[2003]857号通知和原国家计委计价格[2002]1980号文件规定的招标代理服务收费标准下浮20%，按照中标总金额，向中标供应商收取招标服务费。单个标项代理服务费经计算不足3000元的按照3000元收取，最高不超过80000元。本项目收费类型为</w:t>
            </w:r>
            <w:r>
              <w:rPr>
                <w:rFonts w:hint="eastAsia" w:ascii="宋体" w:hAnsi="宋体" w:cs="宋体"/>
                <w:b/>
                <w:bCs/>
                <w:szCs w:val="21"/>
              </w:rPr>
              <w:t>服务</w:t>
            </w:r>
            <w:r>
              <w:rPr>
                <w:rFonts w:hint="eastAsia" w:ascii="宋体" w:hAnsi="宋体" w:cs="宋体"/>
                <w:szCs w:val="21"/>
              </w:rPr>
              <w:t>。</w:t>
            </w:r>
          </w:p>
          <w:tbl>
            <w:tblPr>
              <w:tblStyle w:val="52"/>
              <w:tblW w:w="8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1891"/>
              <w:gridCol w:w="1891"/>
              <w:gridCol w:w="1892"/>
            </w:tblGrid>
            <w:tr w14:paraId="5B05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38" w:type="dxa"/>
                  <w:vAlign w:val="center"/>
                </w:tcPr>
                <w:p w14:paraId="7E84E4B8">
                  <w:pPr>
                    <w:spacing w:line="400" w:lineRule="exact"/>
                    <w:jc w:val="right"/>
                    <w:rPr>
                      <w:rFonts w:ascii="宋体" w:hAnsi="宋体" w:cs="宋体"/>
                      <w:b/>
                      <w:sz w:val="18"/>
                      <w:szCs w:val="18"/>
                    </w:rPr>
                  </w:pPr>
                  <w:r>
                    <w:rPr>
                      <w:rFonts w:hint="eastAsia" w:ascii="宋体" w:hAnsi="宋体" w:cs="宋体"/>
                      <w:b/>
                      <w:sz w:val="18"/>
                      <w:szCs w:val="18"/>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D0pOcI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b/>
                      <w:sz w:val="18"/>
                      <w:szCs w:val="18"/>
                    </w:rPr>
                    <w:t>服务类型费率</w:t>
                  </w:r>
                </w:p>
                <w:p w14:paraId="0CDA1332">
                  <w:pPr>
                    <w:spacing w:line="400" w:lineRule="exact"/>
                    <w:rPr>
                      <w:rFonts w:ascii="宋体" w:hAnsi="宋体" w:cs="宋体"/>
                      <w:b/>
                      <w:sz w:val="18"/>
                      <w:szCs w:val="18"/>
                    </w:rPr>
                  </w:pPr>
                  <w:r>
                    <w:rPr>
                      <w:rFonts w:hint="eastAsia" w:ascii="宋体" w:hAnsi="宋体" w:cs="宋体"/>
                      <w:b/>
                      <w:sz w:val="18"/>
                      <w:szCs w:val="18"/>
                    </w:rPr>
                    <w:t>中标金额（万元）</w:t>
                  </w:r>
                </w:p>
              </w:tc>
              <w:tc>
                <w:tcPr>
                  <w:tcW w:w="1891" w:type="dxa"/>
                  <w:vAlign w:val="center"/>
                </w:tcPr>
                <w:p w14:paraId="5CEC40FF">
                  <w:pPr>
                    <w:spacing w:line="400" w:lineRule="exact"/>
                    <w:jc w:val="center"/>
                    <w:rPr>
                      <w:rFonts w:ascii="宋体" w:hAnsi="宋体" w:cs="宋体"/>
                      <w:b/>
                      <w:sz w:val="18"/>
                      <w:szCs w:val="18"/>
                    </w:rPr>
                  </w:pPr>
                  <w:r>
                    <w:rPr>
                      <w:rFonts w:hint="eastAsia" w:ascii="宋体" w:hAnsi="宋体" w:cs="宋体"/>
                      <w:b/>
                      <w:sz w:val="18"/>
                      <w:szCs w:val="18"/>
                    </w:rPr>
                    <w:t>货物招标</w:t>
                  </w:r>
                </w:p>
              </w:tc>
              <w:tc>
                <w:tcPr>
                  <w:tcW w:w="1891" w:type="dxa"/>
                  <w:vAlign w:val="center"/>
                </w:tcPr>
                <w:p w14:paraId="279622E0">
                  <w:pPr>
                    <w:spacing w:line="400" w:lineRule="exact"/>
                    <w:jc w:val="center"/>
                    <w:rPr>
                      <w:rFonts w:ascii="宋体" w:hAnsi="宋体" w:cs="宋体"/>
                      <w:b/>
                      <w:sz w:val="18"/>
                      <w:szCs w:val="18"/>
                    </w:rPr>
                  </w:pPr>
                  <w:r>
                    <w:rPr>
                      <w:rFonts w:hint="eastAsia" w:ascii="宋体" w:hAnsi="宋体" w:cs="宋体"/>
                      <w:b/>
                      <w:sz w:val="18"/>
                      <w:szCs w:val="18"/>
                    </w:rPr>
                    <w:t>服务招标</w:t>
                  </w:r>
                </w:p>
              </w:tc>
              <w:tc>
                <w:tcPr>
                  <w:tcW w:w="1892" w:type="dxa"/>
                  <w:vAlign w:val="center"/>
                </w:tcPr>
                <w:p w14:paraId="6ED139FC">
                  <w:pPr>
                    <w:spacing w:line="400" w:lineRule="exact"/>
                    <w:jc w:val="center"/>
                    <w:rPr>
                      <w:rFonts w:ascii="宋体" w:hAnsi="宋体" w:cs="宋体"/>
                      <w:b/>
                      <w:sz w:val="18"/>
                      <w:szCs w:val="18"/>
                    </w:rPr>
                  </w:pPr>
                  <w:r>
                    <w:rPr>
                      <w:rFonts w:hint="eastAsia" w:ascii="宋体" w:hAnsi="宋体" w:cs="宋体"/>
                      <w:b/>
                      <w:sz w:val="18"/>
                      <w:szCs w:val="18"/>
                    </w:rPr>
                    <w:t>工程招标</w:t>
                  </w:r>
                </w:p>
              </w:tc>
            </w:tr>
            <w:tr w14:paraId="6523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38" w:type="dxa"/>
                  <w:vAlign w:val="center"/>
                </w:tcPr>
                <w:p w14:paraId="2E52AE1C">
                  <w:pPr>
                    <w:spacing w:line="400" w:lineRule="exact"/>
                    <w:jc w:val="center"/>
                    <w:rPr>
                      <w:rFonts w:ascii="宋体" w:hAnsi="宋体" w:cs="宋体"/>
                      <w:bCs/>
                      <w:sz w:val="18"/>
                      <w:szCs w:val="18"/>
                    </w:rPr>
                  </w:pPr>
                  <w:r>
                    <w:rPr>
                      <w:rFonts w:hint="eastAsia" w:ascii="宋体" w:hAnsi="宋体" w:cs="宋体"/>
                      <w:bCs/>
                      <w:sz w:val="18"/>
                      <w:szCs w:val="18"/>
                    </w:rPr>
                    <w:t>100以下</w:t>
                  </w:r>
                </w:p>
              </w:tc>
              <w:tc>
                <w:tcPr>
                  <w:tcW w:w="1891" w:type="dxa"/>
                  <w:vAlign w:val="center"/>
                </w:tcPr>
                <w:p w14:paraId="587DBCBD">
                  <w:pPr>
                    <w:spacing w:line="400" w:lineRule="exact"/>
                    <w:jc w:val="center"/>
                    <w:rPr>
                      <w:rFonts w:ascii="宋体" w:hAnsi="宋体" w:cs="宋体"/>
                      <w:bCs/>
                      <w:sz w:val="18"/>
                      <w:szCs w:val="18"/>
                    </w:rPr>
                  </w:pPr>
                  <w:r>
                    <w:rPr>
                      <w:rFonts w:hint="eastAsia" w:ascii="宋体" w:hAnsi="宋体" w:cs="宋体"/>
                      <w:bCs/>
                      <w:sz w:val="18"/>
                      <w:szCs w:val="18"/>
                    </w:rPr>
                    <w:t>1.5%</w:t>
                  </w:r>
                </w:p>
              </w:tc>
              <w:tc>
                <w:tcPr>
                  <w:tcW w:w="1891" w:type="dxa"/>
                  <w:vAlign w:val="center"/>
                </w:tcPr>
                <w:p w14:paraId="6143D7CA">
                  <w:pPr>
                    <w:spacing w:line="400" w:lineRule="exact"/>
                    <w:jc w:val="center"/>
                    <w:rPr>
                      <w:rFonts w:ascii="宋体" w:hAnsi="宋体" w:cs="宋体"/>
                      <w:bCs/>
                      <w:sz w:val="18"/>
                      <w:szCs w:val="18"/>
                    </w:rPr>
                  </w:pPr>
                  <w:r>
                    <w:rPr>
                      <w:rFonts w:hint="eastAsia" w:ascii="宋体" w:hAnsi="宋体" w:cs="宋体"/>
                      <w:bCs/>
                      <w:sz w:val="18"/>
                      <w:szCs w:val="18"/>
                    </w:rPr>
                    <w:t>1.5%</w:t>
                  </w:r>
                </w:p>
              </w:tc>
              <w:tc>
                <w:tcPr>
                  <w:tcW w:w="1892" w:type="dxa"/>
                  <w:vAlign w:val="center"/>
                </w:tcPr>
                <w:p w14:paraId="1C44D5C1">
                  <w:pPr>
                    <w:spacing w:line="400" w:lineRule="exact"/>
                    <w:jc w:val="center"/>
                    <w:rPr>
                      <w:rFonts w:ascii="宋体" w:hAnsi="宋体" w:cs="宋体"/>
                      <w:bCs/>
                      <w:sz w:val="18"/>
                      <w:szCs w:val="18"/>
                    </w:rPr>
                  </w:pPr>
                  <w:r>
                    <w:rPr>
                      <w:rFonts w:hint="eastAsia" w:ascii="宋体" w:hAnsi="宋体" w:cs="宋体"/>
                      <w:bCs/>
                      <w:sz w:val="18"/>
                      <w:szCs w:val="18"/>
                    </w:rPr>
                    <w:t>1.0%</w:t>
                  </w:r>
                </w:p>
              </w:tc>
            </w:tr>
            <w:tr w14:paraId="1BB0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57813A1B">
                  <w:pPr>
                    <w:spacing w:line="400" w:lineRule="exact"/>
                    <w:jc w:val="center"/>
                    <w:rPr>
                      <w:rFonts w:ascii="宋体" w:hAnsi="宋体" w:cs="宋体"/>
                      <w:bCs/>
                      <w:sz w:val="18"/>
                      <w:szCs w:val="18"/>
                    </w:rPr>
                  </w:pPr>
                  <w:r>
                    <w:rPr>
                      <w:rFonts w:hint="eastAsia" w:ascii="宋体" w:hAnsi="宋体" w:cs="宋体"/>
                      <w:bCs/>
                      <w:sz w:val="18"/>
                      <w:szCs w:val="18"/>
                    </w:rPr>
                    <w:t>100-500</w:t>
                  </w:r>
                </w:p>
              </w:tc>
              <w:tc>
                <w:tcPr>
                  <w:tcW w:w="1891" w:type="dxa"/>
                  <w:vAlign w:val="center"/>
                </w:tcPr>
                <w:p w14:paraId="623A7B2F">
                  <w:pPr>
                    <w:spacing w:line="400" w:lineRule="exact"/>
                    <w:jc w:val="center"/>
                    <w:rPr>
                      <w:rFonts w:ascii="宋体" w:hAnsi="宋体" w:cs="宋体"/>
                      <w:bCs/>
                      <w:sz w:val="18"/>
                      <w:szCs w:val="18"/>
                    </w:rPr>
                  </w:pPr>
                  <w:r>
                    <w:rPr>
                      <w:rFonts w:hint="eastAsia" w:ascii="宋体" w:hAnsi="宋体" w:cs="宋体"/>
                      <w:bCs/>
                      <w:sz w:val="18"/>
                      <w:szCs w:val="18"/>
                    </w:rPr>
                    <w:t>1.1%</w:t>
                  </w:r>
                </w:p>
              </w:tc>
              <w:tc>
                <w:tcPr>
                  <w:tcW w:w="1891" w:type="dxa"/>
                  <w:vAlign w:val="center"/>
                </w:tcPr>
                <w:p w14:paraId="69ACDCD8">
                  <w:pPr>
                    <w:spacing w:line="400" w:lineRule="exact"/>
                    <w:jc w:val="center"/>
                    <w:rPr>
                      <w:rFonts w:ascii="宋体" w:hAnsi="宋体" w:cs="宋体"/>
                      <w:bCs/>
                      <w:sz w:val="18"/>
                      <w:szCs w:val="18"/>
                    </w:rPr>
                  </w:pPr>
                  <w:r>
                    <w:rPr>
                      <w:rFonts w:hint="eastAsia" w:ascii="宋体" w:hAnsi="宋体" w:cs="宋体"/>
                      <w:bCs/>
                      <w:sz w:val="18"/>
                      <w:szCs w:val="18"/>
                    </w:rPr>
                    <w:t>0.8%</w:t>
                  </w:r>
                </w:p>
              </w:tc>
              <w:tc>
                <w:tcPr>
                  <w:tcW w:w="1892" w:type="dxa"/>
                  <w:vAlign w:val="center"/>
                </w:tcPr>
                <w:p w14:paraId="73562AEE">
                  <w:pPr>
                    <w:spacing w:line="400" w:lineRule="exact"/>
                    <w:jc w:val="center"/>
                    <w:rPr>
                      <w:rFonts w:ascii="宋体" w:hAnsi="宋体" w:cs="宋体"/>
                      <w:bCs/>
                      <w:sz w:val="18"/>
                      <w:szCs w:val="18"/>
                    </w:rPr>
                  </w:pPr>
                  <w:r>
                    <w:rPr>
                      <w:rFonts w:hint="eastAsia" w:ascii="宋体" w:hAnsi="宋体" w:cs="宋体"/>
                      <w:bCs/>
                      <w:sz w:val="18"/>
                      <w:szCs w:val="18"/>
                    </w:rPr>
                    <w:t>0.7%</w:t>
                  </w:r>
                </w:p>
              </w:tc>
            </w:tr>
            <w:tr w14:paraId="0269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2DB28ED0">
                  <w:pPr>
                    <w:spacing w:line="400" w:lineRule="exact"/>
                    <w:jc w:val="center"/>
                    <w:rPr>
                      <w:rFonts w:ascii="宋体" w:hAnsi="宋体" w:cs="宋体"/>
                      <w:bCs/>
                      <w:sz w:val="18"/>
                      <w:szCs w:val="18"/>
                    </w:rPr>
                  </w:pPr>
                  <w:r>
                    <w:rPr>
                      <w:rFonts w:hint="eastAsia" w:ascii="宋体" w:hAnsi="宋体" w:cs="宋体"/>
                      <w:bCs/>
                      <w:sz w:val="18"/>
                      <w:szCs w:val="18"/>
                    </w:rPr>
                    <w:t>500-1000</w:t>
                  </w:r>
                </w:p>
              </w:tc>
              <w:tc>
                <w:tcPr>
                  <w:tcW w:w="1891" w:type="dxa"/>
                  <w:vAlign w:val="center"/>
                </w:tcPr>
                <w:p w14:paraId="62EAC947">
                  <w:pPr>
                    <w:spacing w:line="400" w:lineRule="exact"/>
                    <w:jc w:val="center"/>
                    <w:rPr>
                      <w:rFonts w:ascii="宋体" w:hAnsi="宋体" w:cs="宋体"/>
                      <w:bCs/>
                      <w:sz w:val="18"/>
                      <w:szCs w:val="18"/>
                    </w:rPr>
                  </w:pPr>
                  <w:r>
                    <w:rPr>
                      <w:rFonts w:hint="eastAsia" w:ascii="宋体" w:hAnsi="宋体" w:cs="宋体"/>
                      <w:bCs/>
                      <w:sz w:val="18"/>
                      <w:szCs w:val="18"/>
                    </w:rPr>
                    <w:t>0.8%</w:t>
                  </w:r>
                </w:p>
              </w:tc>
              <w:tc>
                <w:tcPr>
                  <w:tcW w:w="1891" w:type="dxa"/>
                  <w:vAlign w:val="center"/>
                </w:tcPr>
                <w:p w14:paraId="766887B8">
                  <w:pPr>
                    <w:spacing w:line="400" w:lineRule="exact"/>
                    <w:jc w:val="center"/>
                    <w:rPr>
                      <w:rFonts w:ascii="宋体" w:hAnsi="宋体" w:cs="宋体"/>
                      <w:bCs/>
                      <w:sz w:val="18"/>
                      <w:szCs w:val="18"/>
                    </w:rPr>
                  </w:pPr>
                  <w:r>
                    <w:rPr>
                      <w:rFonts w:hint="eastAsia" w:ascii="宋体" w:hAnsi="宋体" w:cs="宋体"/>
                      <w:bCs/>
                      <w:sz w:val="18"/>
                      <w:szCs w:val="18"/>
                    </w:rPr>
                    <w:t>0.45%</w:t>
                  </w:r>
                </w:p>
              </w:tc>
              <w:tc>
                <w:tcPr>
                  <w:tcW w:w="1892" w:type="dxa"/>
                  <w:vAlign w:val="center"/>
                </w:tcPr>
                <w:p w14:paraId="00243777">
                  <w:pPr>
                    <w:spacing w:line="400" w:lineRule="exact"/>
                    <w:jc w:val="center"/>
                    <w:rPr>
                      <w:rFonts w:ascii="宋体" w:hAnsi="宋体" w:cs="宋体"/>
                      <w:bCs/>
                      <w:sz w:val="18"/>
                      <w:szCs w:val="18"/>
                    </w:rPr>
                  </w:pPr>
                  <w:r>
                    <w:rPr>
                      <w:rFonts w:hint="eastAsia" w:ascii="宋体" w:hAnsi="宋体" w:cs="宋体"/>
                      <w:bCs/>
                      <w:sz w:val="18"/>
                      <w:szCs w:val="18"/>
                    </w:rPr>
                    <w:t>0.55%</w:t>
                  </w:r>
                </w:p>
              </w:tc>
            </w:tr>
            <w:tr w14:paraId="4678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624BA29C">
                  <w:pPr>
                    <w:spacing w:line="400" w:lineRule="exact"/>
                    <w:jc w:val="center"/>
                    <w:rPr>
                      <w:rFonts w:ascii="宋体" w:hAnsi="宋体" w:cs="宋体"/>
                      <w:bCs/>
                      <w:sz w:val="18"/>
                      <w:szCs w:val="18"/>
                    </w:rPr>
                  </w:pPr>
                  <w:r>
                    <w:rPr>
                      <w:rFonts w:hint="eastAsia" w:ascii="宋体" w:hAnsi="宋体" w:cs="宋体"/>
                      <w:bCs/>
                      <w:sz w:val="18"/>
                      <w:szCs w:val="18"/>
                    </w:rPr>
                    <w:t>1000-5000</w:t>
                  </w:r>
                </w:p>
              </w:tc>
              <w:tc>
                <w:tcPr>
                  <w:tcW w:w="1891" w:type="dxa"/>
                  <w:vAlign w:val="center"/>
                </w:tcPr>
                <w:p w14:paraId="5775C7BE">
                  <w:pPr>
                    <w:spacing w:line="400" w:lineRule="exact"/>
                    <w:jc w:val="center"/>
                    <w:rPr>
                      <w:rFonts w:ascii="宋体" w:hAnsi="宋体" w:cs="宋体"/>
                      <w:bCs/>
                      <w:sz w:val="18"/>
                      <w:szCs w:val="18"/>
                    </w:rPr>
                  </w:pPr>
                  <w:r>
                    <w:rPr>
                      <w:rFonts w:hint="eastAsia" w:ascii="宋体" w:hAnsi="宋体" w:cs="宋体"/>
                      <w:bCs/>
                      <w:sz w:val="18"/>
                      <w:szCs w:val="18"/>
                    </w:rPr>
                    <w:t>0.5%</w:t>
                  </w:r>
                </w:p>
              </w:tc>
              <w:tc>
                <w:tcPr>
                  <w:tcW w:w="1891" w:type="dxa"/>
                  <w:vAlign w:val="center"/>
                </w:tcPr>
                <w:p w14:paraId="1B3A59B2">
                  <w:pPr>
                    <w:spacing w:line="400" w:lineRule="exact"/>
                    <w:jc w:val="center"/>
                    <w:rPr>
                      <w:rFonts w:ascii="宋体" w:hAnsi="宋体" w:cs="宋体"/>
                      <w:bCs/>
                      <w:sz w:val="18"/>
                      <w:szCs w:val="18"/>
                    </w:rPr>
                  </w:pPr>
                  <w:r>
                    <w:rPr>
                      <w:rFonts w:hint="eastAsia" w:ascii="宋体" w:hAnsi="宋体" w:cs="宋体"/>
                      <w:bCs/>
                      <w:sz w:val="18"/>
                      <w:szCs w:val="18"/>
                    </w:rPr>
                    <w:t>0.25%</w:t>
                  </w:r>
                </w:p>
              </w:tc>
              <w:tc>
                <w:tcPr>
                  <w:tcW w:w="1892" w:type="dxa"/>
                  <w:vAlign w:val="center"/>
                </w:tcPr>
                <w:p w14:paraId="0567DE1D">
                  <w:pPr>
                    <w:spacing w:line="400" w:lineRule="exact"/>
                    <w:jc w:val="center"/>
                    <w:rPr>
                      <w:rFonts w:ascii="宋体" w:hAnsi="宋体" w:cs="宋体"/>
                      <w:bCs/>
                      <w:sz w:val="18"/>
                      <w:szCs w:val="18"/>
                    </w:rPr>
                  </w:pPr>
                  <w:r>
                    <w:rPr>
                      <w:rFonts w:hint="eastAsia" w:ascii="宋体" w:hAnsi="宋体" w:cs="宋体"/>
                      <w:bCs/>
                      <w:sz w:val="18"/>
                      <w:szCs w:val="18"/>
                    </w:rPr>
                    <w:t>0.35%</w:t>
                  </w:r>
                </w:p>
              </w:tc>
            </w:tr>
            <w:tr w14:paraId="0DF7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338" w:type="dxa"/>
                  <w:vAlign w:val="center"/>
                </w:tcPr>
                <w:p w14:paraId="628E28C0">
                  <w:pPr>
                    <w:spacing w:line="400" w:lineRule="exact"/>
                    <w:jc w:val="center"/>
                    <w:rPr>
                      <w:rFonts w:ascii="宋体" w:hAnsi="宋体" w:cs="宋体"/>
                      <w:bCs/>
                      <w:sz w:val="18"/>
                      <w:szCs w:val="18"/>
                    </w:rPr>
                  </w:pPr>
                  <w:r>
                    <w:rPr>
                      <w:rFonts w:hint="eastAsia" w:ascii="宋体" w:hAnsi="宋体" w:cs="宋体"/>
                      <w:bCs/>
                      <w:sz w:val="18"/>
                      <w:szCs w:val="18"/>
                    </w:rPr>
                    <w:t>5000-10000</w:t>
                  </w:r>
                </w:p>
              </w:tc>
              <w:tc>
                <w:tcPr>
                  <w:tcW w:w="1891" w:type="dxa"/>
                  <w:vAlign w:val="center"/>
                </w:tcPr>
                <w:p w14:paraId="79F658E2">
                  <w:pPr>
                    <w:spacing w:line="400" w:lineRule="exact"/>
                    <w:jc w:val="center"/>
                    <w:rPr>
                      <w:rFonts w:ascii="宋体" w:hAnsi="宋体" w:cs="宋体"/>
                      <w:bCs/>
                      <w:sz w:val="18"/>
                      <w:szCs w:val="18"/>
                    </w:rPr>
                  </w:pPr>
                  <w:r>
                    <w:rPr>
                      <w:rFonts w:hint="eastAsia" w:ascii="宋体" w:hAnsi="宋体" w:cs="宋体"/>
                      <w:bCs/>
                      <w:sz w:val="18"/>
                      <w:szCs w:val="18"/>
                    </w:rPr>
                    <w:t>0.25%</w:t>
                  </w:r>
                </w:p>
              </w:tc>
              <w:tc>
                <w:tcPr>
                  <w:tcW w:w="1891" w:type="dxa"/>
                  <w:vAlign w:val="center"/>
                </w:tcPr>
                <w:p w14:paraId="075D37AB">
                  <w:pPr>
                    <w:spacing w:line="400" w:lineRule="exact"/>
                    <w:jc w:val="center"/>
                    <w:rPr>
                      <w:rFonts w:ascii="宋体" w:hAnsi="宋体" w:cs="宋体"/>
                      <w:bCs/>
                      <w:sz w:val="18"/>
                      <w:szCs w:val="18"/>
                    </w:rPr>
                  </w:pPr>
                  <w:r>
                    <w:rPr>
                      <w:rFonts w:hint="eastAsia" w:ascii="宋体" w:hAnsi="宋体" w:cs="宋体"/>
                      <w:bCs/>
                      <w:sz w:val="18"/>
                      <w:szCs w:val="18"/>
                    </w:rPr>
                    <w:t>0.1%</w:t>
                  </w:r>
                </w:p>
              </w:tc>
              <w:tc>
                <w:tcPr>
                  <w:tcW w:w="1892" w:type="dxa"/>
                  <w:vAlign w:val="center"/>
                </w:tcPr>
                <w:p w14:paraId="79122B11">
                  <w:pPr>
                    <w:spacing w:line="400" w:lineRule="exact"/>
                    <w:jc w:val="center"/>
                    <w:rPr>
                      <w:rFonts w:ascii="宋体" w:hAnsi="宋体" w:cs="宋体"/>
                      <w:bCs/>
                      <w:sz w:val="18"/>
                      <w:szCs w:val="18"/>
                    </w:rPr>
                  </w:pPr>
                  <w:r>
                    <w:rPr>
                      <w:rFonts w:hint="eastAsia" w:ascii="宋体" w:hAnsi="宋体" w:cs="宋体"/>
                      <w:bCs/>
                      <w:sz w:val="18"/>
                      <w:szCs w:val="18"/>
                    </w:rPr>
                    <w:t>0.2%</w:t>
                  </w:r>
                </w:p>
              </w:tc>
            </w:tr>
          </w:tbl>
          <w:p w14:paraId="419E9199">
            <w:pPr>
              <w:spacing w:line="400" w:lineRule="exact"/>
              <w:jc w:val="left"/>
              <w:rPr>
                <w:rFonts w:ascii="宋体" w:hAnsi="宋体" w:cs="宋体"/>
                <w:szCs w:val="21"/>
              </w:rPr>
            </w:pPr>
            <w:r>
              <w:rPr>
                <w:rFonts w:hint="eastAsia" w:ascii="宋体" w:hAnsi="宋体" w:cs="宋体"/>
                <w:szCs w:val="21"/>
              </w:rPr>
              <w:t>收费采用差额定率累进计费方式，以中标金额为计算基数，分段累加。</w:t>
            </w:r>
          </w:p>
          <w:p w14:paraId="125E8DAB">
            <w:pPr>
              <w:spacing w:line="400" w:lineRule="exact"/>
              <w:jc w:val="left"/>
              <w:rPr>
                <w:rFonts w:ascii="宋体" w:hAnsi="宋体" w:cs="宋体"/>
                <w:szCs w:val="21"/>
              </w:rPr>
            </w:pPr>
            <w:r>
              <w:rPr>
                <w:rFonts w:hint="eastAsia" w:ascii="宋体" w:hAnsi="宋体" w:cs="宋体"/>
                <w:szCs w:val="21"/>
              </w:rPr>
              <w:t>2.中标供应商应在代理机构发出中标通知书5个工作日内向本代理机构支付招标代理服务费。</w:t>
            </w:r>
          </w:p>
          <w:p w14:paraId="61A4501C">
            <w:pPr>
              <w:spacing w:line="400" w:lineRule="exact"/>
              <w:jc w:val="left"/>
              <w:rPr>
                <w:rFonts w:ascii="宋体" w:hAnsi="宋体" w:cs="宋体"/>
                <w:szCs w:val="21"/>
              </w:rPr>
            </w:pPr>
            <w:r>
              <w:rPr>
                <w:rFonts w:hint="eastAsia" w:ascii="宋体" w:hAnsi="宋体" w:cs="宋体"/>
                <w:szCs w:val="21"/>
              </w:rPr>
              <w:t>3.招标代理服务费收取银行票汇款、电汇款。</w:t>
            </w:r>
          </w:p>
          <w:p w14:paraId="7FB9F99D">
            <w:pPr>
              <w:spacing w:line="400" w:lineRule="exact"/>
              <w:jc w:val="left"/>
              <w:rPr>
                <w:rFonts w:ascii="宋体" w:hAnsi="宋体" w:cs="宋体"/>
                <w:szCs w:val="21"/>
              </w:rPr>
            </w:pPr>
            <w:r>
              <w:rPr>
                <w:rFonts w:hint="eastAsia" w:ascii="宋体" w:hAnsi="宋体" w:cs="宋体"/>
                <w:szCs w:val="21"/>
              </w:rPr>
              <w:t>账户名称：宁波市国际招标有限公司</w:t>
            </w:r>
          </w:p>
          <w:p w14:paraId="3D50B6EF">
            <w:pPr>
              <w:spacing w:line="400" w:lineRule="exact"/>
              <w:jc w:val="left"/>
              <w:rPr>
                <w:rFonts w:ascii="宋体" w:hAnsi="宋体" w:cs="宋体"/>
                <w:szCs w:val="21"/>
              </w:rPr>
            </w:pPr>
            <w:r>
              <w:rPr>
                <w:rFonts w:hint="eastAsia" w:ascii="宋体" w:hAnsi="宋体" w:cs="宋体"/>
                <w:szCs w:val="21"/>
              </w:rPr>
              <w:t>开户银行：上海浦东发展银行宁波分行江北支行</w:t>
            </w:r>
          </w:p>
          <w:p w14:paraId="76B5CAA0">
            <w:pPr>
              <w:spacing w:line="400" w:lineRule="exact"/>
              <w:jc w:val="left"/>
              <w:rPr>
                <w:rFonts w:ascii="宋体" w:hAnsi="宋体" w:cs="宋体"/>
                <w:szCs w:val="21"/>
              </w:rPr>
            </w:pPr>
            <w:r>
              <w:rPr>
                <w:rFonts w:hint="eastAsia" w:ascii="宋体" w:hAnsi="宋体" w:cs="宋体"/>
                <w:szCs w:val="21"/>
              </w:rPr>
              <w:t>银行账号：94090154800000191</w:t>
            </w:r>
          </w:p>
        </w:tc>
      </w:tr>
      <w:tr w14:paraId="14714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58FFED53">
            <w:pPr>
              <w:spacing w:line="400" w:lineRule="exact"/>
              <w:jc w:val="center"/>
              <w:rPr>
                <w:rFonts w:ascii="宋体" w:hAnsi="宋体" w:cs="宋体"/>
                <w:szCs w:val="21"/>
              </w:rPr>
            </w:pPr>
            <w:r>
              <w:rPr>
                <w:rFonts w:hint="eastAsia" w:ascii="宋体" w:hAnsi="宋体" w:cs="宋体"/>
                <w:szCs w:val="21"/>
              </w:rPr>
              <w:t>22</w:t>
            </w:r>
          </w:p>
        </w:tc>
        <w:tc>
          <w:tcPr>
            <w:tcW w:w="8241" w:type="dxa"/>
            <w:tcBorders>
              <w:top w:val="single" w:color="auto" w:sz="4" w:space="0"/>
              <w:left w:val="single" w:color="auto" w:sz="4" w:space="0"/>
              <w:bottom w:val="single" w:color="auto" w:sz="4" w:space="0"/>
              <w:right w:val="single" w:color="auto" w:sz="4" w:space="0"/>
            </w:tcBorders>
            <w:vAlign w:val="center"/>
          </w:tcPr>
          <w:p w14:paraId="1FF1551F">
            <w:pPr>
              <w:spacing w:line="400" w:lineRule="exact"/>
              <w:jc w:val="left"/>
              <w:rPr>
                <w:rFonts w:ascii="宋体" w:hAnsi="宋体" w:cs="宋体"/>
                <w:szCs w:val="21"/>
              </w:rPr>
            </w:pPr>
            <w:r>
              <w:rPr>
                <w:rFonts w:hint="eastAsia" w:ascii="宋体" w:hAnsi="宋体" w:cs="宋体"/>
                <w:szCs w:val="21"/>
              </w:rPr>
              <w:t>其他注意事项：</w:t>
            </w:r>
          </w:p>
          <w:p w14:paraId="11000E21">
            <w:pPr>
              <w:spacing w:line="400" w:lineRule="exact"/>
              <w:jc w:val="left"/>
              <w:rPr>
                <w:rFonts w:ascii="宋体" w:hAnsi="宋体" w:cs="宋体"/>
                <w:szCs w:val="21"/>
              </w:rPr>
            </w:pPr>
            <w:r>
              <w:rPr>
                <w:rFonts w:hint="eastAsia" w:ascii="宋体" w:hAnsi="宋体" w:cs="宋体"/>
                <w:szCs w:val="21"/>
              </w:rPr>
              <w:t>供应商应遵循诚实信用原则在投标（响应）文件中提供真实材料。供应商应事先在公开官网查询、核对相关证书和报告内容，确保投标（响应）文件资料准确无误。</w:t>
            </w:r>
          </w:p>
          <w:p w14:paraId="4A2DAD2C">
            <w:pPr>
              <w:spacing w:line="400" w:lineRule="exact"/>
              <w:jc w:val="left"/>
              <w:rPr>
                <w:rFonts w:ascii="宋体" w:hAnsi="宋体" w:cs="宋体"/>
                <w:szCs w:val="21"/>
              </w:rPr>
            </w:pPr>
            <w:r>
              <w:rPr>
                <w:rFonts w:hint="eastAsia" w:ascii="宋体" w:hAnsi="宋体" w:cs="宋体"/>
                <w:szCs w:val="21"/>
              </w:rPr>
              <w:t>在评审结束后、合同签订前，采购人、采购代理机构将通过网站查询、原件核对等方式对中标（成交）供应商在投标（响应）文件中涉及客观分评审内容的检测报告、认证证书等资料的真实性进行复核。发现供应商提供虚假材料的，将及时书面报告本级财政部门，由财政部门依法进行处理</w:t>
            </w:r>
            <w:bookmarkStart w:id="196" w:name="_GoBack"/>
            <w:bookmarkEnd w:id="196"/>
            <w:r>
              <w:rPr>
                <w:rFonts w:hint="eastAsia" w:ascii="宋体" w:hAnsi="宋体" w:cs="宋体"/>
                <w:szCs w:val="21"/>
              </w:rPr>
              <w:t>。</w:t>
            </w:r>
          </w:p>
        </w:tc>
      </w:tr>
    </w:tbl>
    <w:p w14:paraId="2081DFA0">
      <w:pPr>
        <w:spacing w:line="400" w:lineRule="exact"/>
        <w:jc w:val="center"/>
        <w:rPr>
          <w:rFonts w:ascii="宋体" w:hAnsi="宋体" w:cs="宋体"/>
          <w:b/>
          <w:sz w:val="30"/>
          <w:szCs w:val="30"/>
        </w:rPr>
      </w:pPr>
      <w:r>
        <w:rPr>
          <w:rFonts w:hint="eastAsia" w:ascii="宋体" w:hAnsi="宋体" w:cs="宋体"/>
          <w:b/>
          <w:szCs w:val="21"/>
        </w:rPr>
        <w:br w:type="page"/>
      </w:r>
      <w:r>
        <w:rPr>
          <w:rFonts w:hint="eastAsia" w:ascii="宋体" w:hAnsi="宋体" w:cs="宋体"/>
          <w:b/>
          <w:sz w:val="30"/>
          <w:szCs w:val="30"/>
        </w:rPr>
        <w:t>供应商须知正文</w:t>
      </w:r>
    </w:p>
    <w:p w14:paraId="7CB71D20">
      <w:pPr>
        <w:spacing w:line="400" w:lineRule="exact"/>
        <w:rPr>
          <w:rFonts w:ascii="宋体" w:hAnsi="宋体" w:cs="宋体"/>
          <w:b/>
          <w:szCs w:val="21"/>
        </w:rPr>
      </w:pPr>
      <w:r>
        <w:rPr>
          <w:rFonts w:hint="eastAsia" w:ascii="宋体" w:hAnsi="宋体" w:cs="宋体"/>
          <w:b/>
          <w:szCs w:val="21"/>
        </w:rPr>
        <w:t>一、适用范围</w:t>
      </w:r>
    </w:p>
    <w:p w14:paraId="5F9DCB0D">
      <w:pPr>
        <w:spacing w:line="400" w:lineRule="exact"/>
        <w:ind w:firstLine="420" w:firstLineChars="200"/>
        <w:rPr>
          <w:rFonts w:ascii="宋体" w:hAnsi="宋体" w:cs="宋体"/>
          <w:szCs w:val="21"/>
        </w:rPr>
      </w:pPr>
      <w:r>
        <w:rPr>
          <w:rFonts w:hint="eastAsia" w:ascii="宋体" w:hAnsi="宋体" w:cs="宋体"/>
          <w:szCs w:val="21"/>
        </w:rPr>
        <w:t>本招标文件仅适用于本采购项目所叙述的货物和服务的招标、评标、定标、验收、合同履约、付款等（法律、法规另有规定的，从其规定）。</w:t>
      </w:r>
    </w:p>
    <w:p w14:paraId="7EFA1DF2">
      <w:pPr>
        <w:spacing w:line="400" w:lineRule="exact"/>
        <w:rPr>
          <w:rFonts w:ascii="宋体" w:hAnsi="宋体" w:cs="宋体"/>
          <w:b/>
          <w:szCs w:val="21"/>
        </w:rPr>
      </w:pPr>
      <w:r>
        <w:rPr>
          <w:rFonts w:hint="eastAsia" w:ascii="宋体" w:hAnsi="宋体" w:cs="宋体"/>
          <w:b/>
          <w:szCs w:val="21"/>
        </w:rPr>
        <w:t>二、定义</w:t>
      </w:r>
    </w:p>
    <w:p w14:paraId="6F7BD130">
      <w:pPr>
        <w:spacing w:line="400" w:lineRule="exact"/>
        <w:ind w:firstLine="420" w:firstLineChars="200"/>
        <w:rPr>
          <w:rFonts w:ascii="宋体" w:hAnsi="宋体" w:cs="宋体"/>
          <w:szCs w:val="21"/>
        </w:rPr>
      </w:pPr>
      <w:r>
        <w:rPr>
          <w:rFonts w:hint="eastAsia" w:ascii="宋体" w:hAnsi="宋体" w:cs="宋体"/>
          <w:szCs w:val="21"/>
        </w:rPr>
        <w:t>1.“采购人”系指宁波大学。</w:t>
      </w:r>
    </w:p>
    <w:p w14:paraId="4836C021">
      <w:pPr>
        <w:spacing w:line="400" w:lineRule="exact"/>
        <w:ind w:firstLine="420" w:firstLineChars="200"/>
        <w:rPr>
          <w:rFonts w:ascii="宋体" w:hAnsi="宋体" w:cs="宋体"/>
          <w:szCs w:val="21"/>
        </w:rPr>
      </w:pPr>
      <w:r>
        <w:rPr>
          <w:rFonts w:hint="eastAsia" w:ascii="宋体" w:hAnsi="宋体" w:cs="宋体"/>
          <w:szCs w:val="21"/>
        </w:rPr>
        <w:t>2.“代理机构”系指宁波市国际招标有限公司。</w:t>
      </w:r>
    </w:p>
    <w:p w14:paraId="70C3432A">
      <w:pPr>
        <w:spacing w:line="400" w:lineRule="exact"/>
        <w:ind w:firstLine="420" w:firstLineChars="200"/>
        <w:rPr>
          <w:rFonts w:ascii="宋体" w:hAnsi="宋体" w:cs="宋体"/>
          <w:szCs w:val="21"/>
        </w:rPr>
      </w:pPr>
      <w:r>
        <w:rPr>
          <w:rFonts w:hint="eastAsia" w:ascii="宋体" w:hAnsi="宋体" w:cs="宋体"/>
          <w:szCs w:val="21"/>
        </w:rPr>
        <w:t>3.“供应商”系指向采购人提交投标文件的供应商。</w:t>
      </w:r>
    </w:p>
    <w:p w14:paraId="322A9E06">
      <w:pPr>
        <w:spacing w:line="400" w:lineRule="exact"/>
        <w:ind w:firstLine="420" w:firstLineChars="200"/>
        <w:rPr>
          <w:rFonts w:ascii="宋体" w:hAnsi="宋体" w:cs="宋体"/>
        </w:rPr>
      </w:pPr>
      <w:r>
        <w:rPr>
          <w:rFonts w:hint="eastAsia" w:ascii="宋体" w:hAnsi="宋体" w:cs="宋体"/>
          <w:szCs w:val="21"/>
        </w:rPr>
        <w:t>4.“服务”系指招标文件规定供应商</w:t>
      </w:r>
      <w:r>
        <w:rPr>
          <w:rFonts w:hint="eastAsia" w:ascii="宋体" w:hAnsi="宋体" w:cs="宋体"/>
        </w:rPr>
        <w:t>须承担的宁波大学鼎秀古籍全文数据库等采购项目的义务。</w:t>
      </w:r>
    </w:p>
    <w:p w14:paraId="75A217E7">
      <w:pPr>
        <w:spacing w:line="400" w:lineRule="exact"/>
        <w:ind w:firstLine="420" w:firstLineChars="200"/>
        <w:rPr>
          <w:rFonts w:ascii="宋体" w:hAnsi="宋体" w:cs="宋体"/>
          <w:szCs w:val="21"/>
        </w:rPr>
      </w:pPr>
      <w:r>
        <w:rPr>
          <w:rFonts w:hint="eastAsia" w:ascii="宋体" w:hAnsi="宋体" w:cs="宋体"/>
          <w:szCs w:val="21"/>
        </w:rPr>
        <w:t>5.“同级政府采购监管部门”系指</w:t>
      </w:r>
      <w:r>
        <w:rPr>
          <w:rFonts w:hint="eastAsia" w:ascii="宋体" w:hAnsi="宋体" w:cs="宋体"/>
          <w:kern w:val="10"/>
          <w:szCs w:val="21"/>
          <w:lang w:val="zh-CN"/>
        </w:rPr>
        <w:t>宁波市财政局政府采购监管处。</w:t>
      </w:r>
    </w:p>
    <w:p w14:paraId="574D67BE">
      <w:pPr>
        <w:spacing w:line="400" w:lineRule="exact"/>
        <w:ind w:firstLine="420" w:firstLineChars="200"/>
        <w:rPr>
          <w:rFonts w:ascii="宋体" w:hAnsi="宋体" w:cs="宋体"/>
          <w:szCs w:val="21"/>
        </w:rPr>
      </w:pPr>
      <w:r>
        <w:rPr>
          <w:rFonts w:hint="eastAsia" w:ascii="宋体" w:hAnsi="宋体" w:cs="宋体"/>
          <w:szCs w:val="21"/>
        </w:rPr>
        <w:t>6.“★”系指实质性响应条款。</w:t>
      </w:r>
    </w:p>
    <w:p w14:paraId="0DA7A479">
      <w:pPr>
        <w:spacing w:line="400" w:lineRule="exact"/>
        <w:ind w:firstLine="420" w:firstLineChars="200"/>
        <w:rPr>
          <w:rFonts w:ascii="宋体" w:hAnsi="宋体" w:cs="宋体"/>
          <w:szCs w:val="21"/>
        </w:rPr>
      </w:pPr>
      <w:r>
        <w:rPr>
          <w:rFonts w:hint="eastAsia" w:ascii="宋体" w:hAnsi="宋体" w:cs="宋体"/>
          <w:szCs w:val="21"/>
        </w:rPr>
        <w:t>★7.合格的投标货物或服务：</w:t>
      </w:r>
    </w:p>
    <w:p w14:paraId="60C90AD6">
      <w:pPr>
        <w:spacing w:line="400" w:lineRule="exact"/>
        <w:ind w:firstLine="420" w:firstLineChars="200"/>
        <w:rPr>
          <w:rFonts w:ascii="宋体" w:hAnsi="宋体" w:cs="宋体"/>
          <w:szCs w:val="21"/>
        </w:rPr>
      </w:pPr>
      <w:r>
        <w:rPr>
          <w:rFonts w:hint="eastAsia" w:ascii="宋体" w:hAnsi="宋体" w:cs="宋体"/>
          <w:szCs w:val="21"/>
        </w:rPr>
        <w:t>（1）应该是中国境内生产的货物或提供的服务。</w:t>
      </w:r>
    </w:p>
    <w:p w14:paraId="27526D49">
      <w:pPr>
        <w:spacing w:line="400" w:lineRule="exact"/>
        <w:ind w:firstLine="420" w:firstLineChars="200"/>
        <w:rPr>
          <w:rFonts w:ascii="宋体" w:hAnsi="宋体" w:cs="宋体"/>
          <w:szCs w:val="21"/>
        </w:rPr>
      </w:pPr>
      <w:r>
        <w:rPr>
          <w:rFonts w:hint="eastAsia" w:ascii="宋体" w:hAnsi="宋体" w:cs="宋体"/>
          <w:szCs w:val="21"/>
        </w:rPr>
        <w:t>若投标货物或服务是国家实行许可证制度或生产注册证制度的产品或服务，则应具备相应有效的证书。</w:t>
      </w:r>
    </w:p>
    <w:p w14:paraId="148ADB34">
      <w:pPr>
        <w:spacing w:line="400" w:lineRule="exact"/>
        <w:ind w:firstLine="420" w:firstLineChars="200"/>
        <w:rPr>
          <w:rFonts w:ascii="宋体" w:hAnsi="宋体" w:cs="宋体"/>
          <w:szCs w:val="21"/>
        </w:rPr>
      </w:pPr>
      <w:r>
        <w:rPr>
          <w:rFonts w:hint="eastAsia" w:ascii="宋体" w:hAnsi="宋体" w:cs="宋体"/>
          <w:szCs w:val="21"/>
        </w:rPr>
        <w:t>招标文件允许采购进口产品的，若投标货物是进口产品，供应商应保证所投产品为可履行合法报通关手续进入中国关境内、在中国海关完税的可合法销售的货物。</w:t>
      </w:r>
    </w:p>
    <w:p w14:paraId="3D649833">
      <w:pPr>
        <w:spacing w:line="400" w:lineRule="exact"/>
        <w:ind w:firstLine="420" w:firstLineChars="200"/>
        <w:rPr>
          <w:rFonts w:ascii="宋体" w:hAnsi="宋体" w:cs="宋体"/>
          <w:szCs w:val="21"/>
        </w:rPr>
      </w:pPr>
      <w:r>
        <w:rPr>
          <w:rFonts w:hint="eastAsia" w:ascii="宋体" w:hAnsi="宋体" w:cs="宋体"/>
          <w:szCs w:val="21"/>
        </w:rPr>
        <w:t>（2）国家规定有标准及规范的，投标货物或服务应按有效的标准及规范执行，应符合国家及招标文件提出的有关技术、质量、安全标准。</w:t>
      </w:r>
    </w:p>
    <w:p w14:paraId="2D01C7CE">
      <w:pPr>
        <w:spacing w:line="400" w:lineRule="exact"/>
        <w:ind w:firstLine="420" w:firstLineChars="200"/>
        <w:rPr>
          <w:rFonts w:ascii="宋体" w:hAnsi="宋体" w:cs="宋体"/>
          <w:szCs w:val="21"/>
        </w:rPr>
      </w:pPr>
      <w:r>
        <w:rPr>
          <w:rFonts w:hint="eastAsia" w:ascii="宋体" w:hAnsi="宋体" w:cs="宋体"/>
          <w:szCs w:val="21"/>
        </w:rPr>
        <w:t>（3）供应商应保证所提供的产品或服务免受第三方提出侵犯其知识产权（专利权、商标权、工业设计权及使用权等）的索赔或起诉，否则，由此可能产生的一切法律责任和经济责任均由供应商承担。</w:t>
      </w:r>
    </w:p>
    <w:p w14:paraId="0ED70795">
      <w:pPr>
        <w:spacing w:line="400" w:lineRule="exact"/>
        <w:rPr>
          <w:rFonts w:ascii="宋体" w:hAnsi="宋体" w:cs="宋体"/>
          <w:b/>
          <w:szCs w:val="21"/>
        </w:rPr>
      </w:pPr>
      <w:r>
        <w:rPr>
          <w:rFonts w:hint="eastAsia" w:ascii="宋体" w:hAnsi="宋体" w:cs="宋体"/>
          <w:b/>
          <w:szCs w:val="21"/>
        </w:rPr>
        <w:t>★三、供应商的资格要求</w:t>
      </w:r>
    </w:p>
    <w:p w14:paraId="7986CD2D">
      <w:pPr>
        <w:spacing w:line="400" w:lineRule="exact"/>
        <w:ind w:firstLine="420" w:firstLineChars="200"/>
        <w:rPr>
          <w:rFonts w:ascii="宋体" w:hAnsi="宋体" w:cs="宋体"/>
          <w:szCs w:val="21"/>
        </w:rPr>
      </w:pPr>
      <w:r>
        <w:rPr>
          <w:rFonts w:hint="eastAsia" w:ascii="宋体" w:hAnsi="宋体" w:cs="宋体"/>
          <w:szCs w:val="21"/>
        </w:rPr>
        <w:t>详见采购公告。</w:t>
      </w:r>
    </w:p>
    <w:p w14:paraId="1039BF0F">
      <w:pPr>
        <w:spacing w:line="400" w:lineRule="exact"/>
        <w:rPr>
          <w:rFonts w:ascii="宋体" w:hAnsi="宋体" w:cs="宋体"/>
          <w:b/>
          <w:szCs w:val="21"/>
        </w:rPr>
      </w:pPr>
      <w:r>
        <w:rPr>
          <w:rFonts w:hint="eastAsia" w:ascii="宋体" w:hAnsi="宋体" w:cs="宋体"/>
          <w:b/>
          <w:szCs w:val="21"/>
        </w:rPr>
        <w:t>四、投标费用</w:t>
      </w:r>
    </w:p>
    <w:p w14:paraId="0F24B0C7">
      <w:pPr>
        <w:wordWrap w:val="0"/>
        <w:spacing w:line="400" w:lineRule="exact"/>
        <w:ind w:firstLine="422" w:firstLineChars="200"/>
        <w:jc w:val="left"/>
        <w:rPr>
          <w:rFonts w:ascii="宋体" w:hAnsi="宋体" w:cs="宋体"/>
          <w:b/>
          <w:szCs w:val="21"/>
        </w:rPr>
      </w:pPr>
      <w:r>
        <w:rPr>
          <w:rFonts w:hint="eastAsia" w:ascii="宋体" w:hAnsi="宋体" w:cs="宋体"/>
          <w:b/>
          <w:szCs w:val="21"/>
        </w:rPr>
        <w:t>（一）投标费用</w:t>
      </w:r>
    </w:p>
    <w:p w14:paraId="0D9E7566">
      <w:pPr>
        <w:wordWrap w:val="0"/>
        <w:spacing w:line="400" w:lineRule="exact"/>
        <w:ind w:firstLine="420" w:firstLineChars="200"/>
        <w:jc w:val="left"/>
        <w:rPr>
          <w:rFonts w:ascii="宋体" w:hAnsi="宋体" w:cs="宋体"/>
          <w:szCs w:val="21"/>
        </w:rPr>
      </w:pPr>
      <w:r>
        <w:rPr>
          <w:rFonts w:hint="eastAsia" w:ascii="宋体" w:hAnsi="宋体" w:cs="宋体"/>
          <w:szCs w:val="21"/>
        </w:rPr>
        <w:t>无论投标过程和结果如何，供应商自行承担与投标有关的全部费用。</w:t>
      </w:r>
    </w:p>
    <w:p w14:paraId="130A78E3">
      <w:pPr>
        <w:wordWrap w:val="0"/>
        <w:spacing w:line="400" w:lineRule="exact"/>
        <w:ind w:firstLine="422" w:firstLineChars="200"/>
        <w:jc w:val="left"/>
        <w:rPr>
          <w:rFonts w:ascii="宋体" w:hAnsi="宋体" w:cs="宋体"/>
          <w:b/>
          <w:szCs w:val="21"/>
        </w:rPr>
      </w:pPr>
      <w:r>
        <w:rPr>
          <w:rFonts w:hint="eastAsia" w:ascii="宋体" w:hAnsi="宋体" w:cs="宋体"/>
          <w:b/>
          <w:szCs w:val="21"/>
        </w:rPr>
        <w:t>（二）关于分公司投标</w:t>
      </w:r>
    </w:p>
    <w:p w14:paraId="13CC6419">
      <w:pPr>
        <w:wordWrap w:val="0"/>
        <w:spacing w:line="400" w:lineRule="exact"/>
        <w:ind w:firstLine="420" w:firstLineChars="200"/>
        <w:jc w:val="left"/>
        <w:rPr>
          <w:rFonts w:ascii="宋体" w:hAnsi="宋体" w:cs="宋体"/>
          <w:szCs w:val="21"/>
        </w:rPr>
      </w:pPr>
      <w:r>
        <w:rPr>
          <w:rFonts w:hint="eastAsia" w:ascii="宋体" w:hAnsi="宋体" w:cs="宋体"/>
          <w:szCs w:val="21"/>
        </w:rPr>
        <w:t>仅允许银行、保险、石油石化、电力、电信、移动、联通等行业分公司进行投标，分公司投标的，需提供具有法人资格的总公司的营业执照原件扫描件及授权书，授权书须加盖总公司公章。</w:t>
      </w:r>
    </w:p>
    <w:p w14:paraId="2328DF70">
      <w:pPr>
        <w:wordWrap w:val="0"/>
        <w:spacing w:line="400" w:lineRule="exact"/>
        <w:ind w:firstLine="422" w:firstLineChars="200"/>
        <w:jc w:val="left"/>
        <w:rPr>
          <w:rFonts w:ascii="宋体" w:hAnsi="宋体" w:cs="宋体"/>
          <w:b/>
          <w:szCs w:val="21"/>
        </w:rPr>
      </w:pPr>
      <w:bookmarkStart w:id="2" w:name="_Toc460857903"/>
      <w:bookmarkStart w:id="3" w:name="_Toc17707916"/>
      <w:bookmarkStart w:id="4" w:name="_Toc23497307"/>
      <w:r>
        <w:rPr>
          <w:rFonts w:hint="eastAsia" w:ascii="宋体" w:hAnsi="宋体" w:cs="宋体"/>
          <w:b/>
          <w:szCs w:val="21"/>
        </w:rPr>
        <w:t>（三）联合体投标</w:t>
      </w:r>
      <w:bookmarkEnd w:id="2"/>
      <w:bookmarkEnd w:id="3"/>
      <w:bookmarkEnd w:id="4"/>
    </w:p>
    <w:p w14:paraId="721082AF">
      <w:pPr>
        <w:wordWrap w:val="0"/>
        <w:spacing w:line="400" w:lineRule="exact"/>
        <w:ind w:firstLine="420" w:firstLineChars="200"/>
        <w:jc w:val="left"/>
        <w:rPr>
          <w:rFonts w:ascii="宋体" w:hAnsi="宋体" w:cs="宋体"/>
          <w:szCs w:val="21"/>
        </w:rPr>
      </w:pPr>
      <w:r>
        <w:rPr>
          <w:rFonts w:hint="eastAsia" w:ascii="宋体" w:hAnsi="宋体" w:cs="宋体"/>
          <w:szCs w:val="21"/>
        </w:rPr>
        <w:t>本项目不接受联合体投标。</w:t>
      </w:r>
    </w:p>
    <w:p w14:paraId="7E7259D9">
      <w:pPr>
        <w:wordWrap w:val="0"/>
        <w:spacing w:line="400" w:lineRule="exact"/>
        <w:ind w:firstLine="422" w:firstLineChars="200"/>
        <w:jc w:val="left"/>
        <w:rPr>
          <w:rFonts w:ascii="宋体" w:hAnsi="宋体" w:cs="宋体"/>
          <w:b/>
          <w:szCs w:val="21"/>
        </w:rPr>
      </w:pPr>
      <w:bookmarkStart w:id="5" w:name="_Toc17707917"/>
      <w:bookmarkStart w:id="6" w:name="_Toc23497308"/>
      <w:bookmarkStart w:id="7" w:name="_Toc460857904"/>
      <w:r>
        <w:rPr>
          <w:rFonts w:hint="eastAsia" w:ascii="宋体" w:hAnsi="宋体" w:cs="宋体"/>
          <w:b/>
          <w:szCs w:val="21"/>
        </w:rPr>
        <w:t>（四）转包与分包</w:t>
      </w:r>
      <w:bookmarkEnd w:id="5"/>
      <w:bookmarkEnd w:id="6"/>
      <w:bookmarkEnd w:id="7"/>
    </w:p>
    <w:p w14:paraId="03EDD7CA">
      <w:pPr>
        <w:wordWrap w:val="0"/>
        <w:spacing w:line="400" w:lineRule="exact"/>
        <w:ind w:firstLine="420" w:firstLineChars="200"/>
        <w:jc w:val="left"/>
        <w:rPr>
          <w:rFonts w:ascii="宋体" w:hAnsi="宋体" w:cs="宋体"/>
          <w:szCs w:val="21"/>
        </w:rPr>
      </w:pPr>
      <w:r>
        <w:rPr>
          <w:rFonts w:hint="eastAsia" w:ascii="宋体" w:hAnsi="宋体" w:cs="宋体"/>
          <w:szCs w:val="21"/>
        </w:rPr>
        <w:t>本项目不允许转包，未经采购人同意，不允许分包。</w:t>
      </w:r>
    </w:p>
    <w:p w14:paraId="567C20E5">
      <w:pPr>
        <w:wordWrap w:val="0"/>
        <w:spacing w:line="400" w:lineRule="exact"/>
        <w:ind w:firstLine="422" w:firstLineChars="200"/>
        <w:jc w:val="left"/>
        <w:rPr>
          <w:rFonts w:ascii="宋体" w:hAnsi="宋体" w:cs="宋体"/>
          <w:b/>
          <w:szCs w:val="21"/>
        </w:rPr>
      </w:pPr>
      <w:bookmarkStart w:id="8" w:name="_Toc460416601"/>
      <w:bookmarkStart w:id="9" w:name="_Toc460416345"/>
      <w:bookmarkStart w:id="10" w:name="_Toc460857905"/>
      <w:bookmarkStart w:id="11" w:name="_Toc17707918"/>
      <w:bookmarkStart w:id="12" w:name="_Toc460416650"/>
      <w:bookmarkStart w:id="13" w:name="_Toc23497309"/>
      <w:r>
        <w:rPr>
          <w:rFonts w:hint="eastAsia" w:ascii="宋体" w:hAnsi="宋体" w:cs="宋体"/>
          <w:b/>
          <w:szCs w:val="21"/>
        </w:rPr>
        <w:t>（五）特别说明</w:t>
      </w:r>
      <w:bookmarkEnd w:id="8"/>
      <w:bookmarkEnd w:id="9"/>
      <w:bookmarkEnd w:id="10"/>
      <w:bookmarkEnd w:id="11"/>
      <w:bookmarkEnd w:id="12"/>
      <w:bookmarkEnd w:id="13"/>
    </w:p>
    <w:p w14:paraId="7306DA17">
      <w:pPr>
        <w:wordWrap w:val="0"/>
        <w:spacing w:line="400" w:lineRule="exact"/>
        <w:ind w:firstLine="420" w:firstLineChars="200"/>
        <w:jc w:val="left"/>
        <w:rPr>
          <w:rFonts w:ascii="宋体" w:hAnsi="宋体" w:cs="宋体"/>
          <w:szCs w:val="21"/>
        </w:rPr>
      </w:pPr>
      <w:r>
        <w:rPr>
          <w:rFonts w:hint="eastAsia" w:ascii="宋体" w:hAnsi="宋体" w:cs="宋体"/>
          <w:szCs w:val="21"/>
        </w:rPr>
        <w:t>1.供应商应仔细阅读招标文件的所有内容，按照招标文件的要求提交投标文件，并对所提供的全部资料的真实性承担法律责任。</w:t>
      </w:r>
    </w:p>
    <w:p w14:paraId="126839AE">
      <w:pPr>
        <w:spacing w:line="400" w:lineRule="exact"/>
        <w:ind w:firstLine="420" w:firstLineChars="200"/>
        <w:rPr>
          <w:rFonts w:ascii="宋体" w:hAnsi="宋体" w:cs="宋体"/>
          <w:szCs w:val="21"/>
        </w:rPr>
      </w:pPr>
      <w:r>
        <w:rPr>
          <w:rFonts w:hint="eastAsia" w:ascii="宋体" w:hAnsi="宋体" w:cs="宋体"/>
          <w:szCs w:val="21"/>
        </w:rPr>
        <w:t>2.供应商在投标活动中提供任何虚假材料，其投标无效，并报监管部门查处；中标后发现的,中标供应商须依照《中华人民共和国消费者权益保护法》第55条之规定赔偿采购人，且民事赔偿并不免除违法供应商的行政与刑事责任。</w:t>
      </w:r>
    </w:p>
    <w:p w14:paraId="038E9719">
      <w:pPr>
        <w:spacing w:line="400" w:lineRule="exact"/>
        <w:rPr>
          <w:rFonts w:ascii="宋体" w:hAnsi="宋体" w:cs="宋体"/>
          <w:b/>
          <w:szCs w:val="21"/>
        </w:rPr>
      </w:pPr>
      <w:r>
        <w:rPr>
          <w:rFonts w:hint="eastAsia" w:ascii="宋体" w:hAnsi="宋体" w:cs="宋体"/>
          <w:b/>
          <w:szCs w:val="21"/>
        </w:rPr>
        <w:t>五、投标报价</w:t>
      </w:r>
    </w:p>
    <w:p w14:paraId="7D043C36">
      <w:pPr>
        <w:spacing w:line="400" w:lineRule="exact"/>
        <w:ind w:firstLine="420" w:firstLineChars="200"/>
        <w:rPr>
          <w:rFonts w:ascii="宋体" w:hAnsi="宋体" w:cs="宋体"/>
        </w:rPr>
      </w:pPr>
      <w:r>
        <w:rPr>
          <w:rFonts w:hint="eastAsia" w:ascii="宋体" w:hAnsi="宋体" w:cs="宋体"/>
          <w:szCs w:val="21"/>
        </w:rPr>
        <w:t>1.投标报价以人民币为结算货币，投标报价应包含按要求完成本项目采购内容的所有费用，包括人工费、安装、数据接入、调试运行、检测验收、不可预见费、第三方检验费（如有）、技术培训、保修及售后服务、保险、利润、所有税金、措施费、规费等一切费用。</w:t>
      </w:r>
      <w:r>
        <w:rPr>
          <w:rFonts w:hint="eastAsia" w:ascii="宋体" w:hAnsi="宋体" w:cs="宋体"/>
        </w:rPr>
        <w:t>供应商在报价时应考虑到所有报价项目，如果有遗漏，自行承担风险，采购人不再支付</w:t>
      </w:r>
      <w:r>
        <w:rPr>
          <w:rFonts w:hint="eastAsia" w:ascii="宋体" w:hAnsi="宋体" w:cs="宋体"/>
          <w:lang w:eastAsia="zh-CN"/>
        </w:rPr>
        <w:t>其他费用</w:t>
      </w:r>
      <w:r>
        <w:rPr>
          <w:rFonts w:hint="eastAsia" w:ascii="宋体" w:hAnsi="宋体" w:cs="宋体"/>
        </w:rPr>
        <w:t>。</w:t>
      </w:r>
    </w:p>
    <w:p w14:paraId="18C8B800">
      <w:pPr>
        <w:spacing w:line="400" w:lineRule="exact"/>
        <w:ind w:firstLine="420" w:firstLineChars="200"/>
        <w:rPr>
          <w:rFonts w:ascii="宋体" w:hAnsi="宋体" w:cs="宋体"/>
          <w:b/>
          <w:bCs/>
          <w:szCs w:val="21"/>
        </w:rPr>
      </w:pPr>
      <w:r>
        <w:rPr>
          <w:rFonts w:hint="eastAsia" w:ascii="宋体" w:hAnsi="宋体" w:cs="宋体"/>
          <w:szCs w:val="21"/>
        </w:rPr>
        <w:t>投标报价为最终报价，除非因特殊原因并经双方协商同意，供应商不得再要求追加任何费用。同时，除非合同条款中另有规定，否则，供应商所报价格在合同实施期间不因市场变化和政策因素而变动。</w:t>
      </w:r>
      <w:r>
        <w:rPr>
          <w:rFonts w:hint="eastAsia" w:ascii="宋体" w:hAnsi="宋体" w:cs="宋体"/>
          <w:b/>
          <w:bCs/>
          <w:szCs w:val="21"/>
        </w:rPr>
        <w:t>凡影响投标报价的所有相关费用应列入本次报价中。中标后，不得以不完全了解招标文件、建设现场和周围环境等情况为借口，而提出额外补偿或降低服务质量等的要求。</w:t>
      </w:r>
    </w:p>
    <w:p w14:paraId="43053E1D">
      <w:pPr>
        <w:spacing w:line="400" w:lineRule="exact"/>
        <w:ind w:firstLine="420" w:firstLineChars="200"/>
        <w:rPr>
          <w:rFonts w:ascii="宋体" w:hAnsi="宋体" w:cs="宋体"/>
          <w:szCs w:val="21"/>
        </w:rPr>
      </w:pPr>
      <w:r>
        <w:rPr>
          <w:rFonts w:hint="eastAsia" w:ascii="宋体" w:hAnsi="宋体" w:cs="宋体"/>
          <w:szCs w:val="21"/>
        </w:rPr>
        <w:t>2.供应商应按招标文件要求认真填写“开标一览表”和“分项报价表”。</w:t>
      </w:r>
    </w:p>
    <w:p w14:paraId="0A7F31CE">
      <w:pPr>
        <w:spacing w:line="400" w:lineRule="exact"/>
        <w:rPr>
          <w:rFonts w:ascii="宋体" w:hAnsi="宋体" w:cs="宋体"/>
          <w:b/>
          <w:szCs w:val="21"/>
        </w:rPr>
      </w:pPr>
      <w:r>
        <w:rPr>
          <w:rFonts w:hint="eastAsia" w:ascii="宋体" w:hAnsi="宋体" w:cs="宋体"/>
          <w:b/>
          <w:szCs w:val="21"/>
        </w:rPr>
        <w:t>六、投标有效期</w:t>
      </w:r>
    </w:p>
    <w:p w14:paraId="0804F745">
      <w:pPr>
        <w:spacing w:line="400" w:lineRule="exact"/>
        <w:ind w:firstLine="420" w:firstLineChars="200"/>
        <w:rPr>
          <w:rFonts w:ascii="宋体" w:hAnsi="宋体" w:cs="宋体"/>
          <w:szCs w:val="21"/>
        </w:rPr>
      </w:pPr>
      <w:r>
        <w:rPr>
          <w:rFonts w:hint="eastAsia" w:ascii="宋体" w:hAnsi="宋体" w:cs="宋体"/>
          <w:szCs w:val="21"/>
        </w:rPr>
        <w:t>★1.投标文件从开标之日起，投标有效期为90个日历日。投标有效期不能小于招标文件的要求。</w:t>
      </w:r>
    </w:p>
    <w:p w14:paraId="344FB2C6">
      <w:pPr>
        <w:spacing w:line="400" w:lineRule="exact"/>
        <w:ind w:firstLine="420" w:firstLineChars="200"/>
        <w:rPr>
          <w:rFonts w:ascii="宋体" w:hAnsi="宋体" w:cs="宋体"/>
          <w:b/>
          <w:szCs w:val="21"/>
        </w:rPr>
      </w:pPr>
      <w:r>
        <w:rPr>
          <w:rFonts w:hint="eastAsia" w:ascii="宋体" w:hAnsi="宋体" w:cs="宋体"/>
          <w:szCs w:val="21"/>
        </w:rPr>
        <w:t>2.特殊情况下，采购人可与供应商协商延长投标文件的有效期，这种要求和答复均以书面形式进行。</w:t>
      </w:r>
    </w:p>
    <w:p w14:paraId="3C8B26B5">
      <w:pPr>
        <w:spacing w:line="400" w:lineRule="exact"/>
        <w:ind w:firstLine="420" w:firstLineChars="200"/>
        <w:rPr>
          <w:rFonts w:ascii="宋体" w:hAnsi="宋体" w:cs="宋体"/>
          <w:szCs w:val="21"/>
        </w:rPr>
      </w:pPr>
      <w:r>
        <w:rPr>
          <w:rFonts w:hint="eastAsia" w:ascii="宋体" w:hAnsi="宋体" w:cs="宋体"/>
          <w:szCs w:val="21"/>
        </w:rPr>
        <w:t>3.供应商可拒绝接受延期要求。同意延长有效期的供应商不能修改投标文件。</w:t>
      </w:r>
    </w:p>
    <w:p w14:paraId="77C67170">
      <w:pPr>
        <w:spacing w:line="400" w:lineRule="exact"/>
        <w:rPr>
          <w:rFonts w:ascii="宋体" w:hAnsi="宋体" w:cs="宋体"/>
          <w:b/>
          <w:szCs w:val="21"/>
        </w:rPr>
      </w:pPr>
      <w:r>
        <w:rPr>
          <w:rFonts w:hint="eastAsia" w:ascii="宋体" w:hAnsi="宋体" w:cs="宋体"/>
          <w:b/>
          <w:szCs w:val="21"/>
        </w:rPr>
        <w:t>七、投标文件的形式和效力</w:t>
      </w:r>
    </w:p>
    <w:p w14:paraId="514E5203">
      <w:pPr>
        <w:spacing w:line="400" w:lineRule="exact"/>
        <w:ind w:firstLine="420" w:firstLineChars="200"/>
        <w:rPr>
          <w:rFonts w:ascii="宋体" w:hAnsi="宋体" w:cs="宋体"/>
          <w:szCs w:val="21"/>
        </w:rPr>
      </w:pPr>
      <w:r>
        <w:rPr>
          <w:rFonts w:hint="eastAsia" w:ascii="宋体" w:hAnsi="宋体" w:cs="宋体"/>
          <w:szCs w:val="21"/>
        </w:rPr>
        <w:t>1.投标文件分为电子投标文件以及备份投标文件，备份投标文件为以</w:t>
      </w:r>
      <w:r>
        <w:rPr>
          <w:rFonts w:hint="eastAsia" w:ascii="宋体" w:hAnsi="宋体" w:cs="宋体"/>
          <w:kern w:val="0"/>
          <w:szCs w:val="21"/>
        </w:rPr>
        <w:t>U盘存储的电子</w:t>
      </w:r>
      <w:r>
        <w:rPr>
          <w:rFonts w:hint="eastAsia" w:ascii="宋体" w:hAnsi="宋体" w:cs="宋体"/>
          <w:szCs w:val="21"/>
        </w:rPr>
        <w:t>备份投标文件。</w:t>
      </w:r>
    </w:p>
    <w:p w14:paraId="0FE1B0B1">
      <w:pPr>
        <w:spacing w:line="400" w:lineRule="exact"/>
        <w:ind w:firstLine="420" w:firstLineChars="200"/>
        <w:rPr>
          <w:rFonts w:ascii="宋体" w:hAnsi="宋体" w:cs="宋体"/>
          <w:szCs w:val="21"/>
        </w:rPr>
      </w:pPr>
      <w:r>
        <w:rPr>
          <w:rFonts w:hint="eastAsia" w:ascii="宋体" w:hAnsi="宋体" w:cs="宋体"/>
          <w:szCs w:val="21"/>
        </w:rPr>
        <w:t>2.电子投标文件，按“项目采购-电子招投标操作指南”及本招标文件要求制作，并加密。</w:t>
      </w:r>
    </w:p>
    <w:p w14:paraId="39D6831E">
      <w:pPr>
        <w:spacing w:line="400" w:lineRule="exact"/>
        <w:ind w:firstLine="420" w:firstLineChars="200"/>
        <w:rPr>
          <w:rFonts w:ascii="宋体" w:hAnsi="宋体" w:cs="宋体"/>
          <w:szCs w:val="21"/>
        </w:rPr>
      </w:pPr>
      <w:r>
        <w:rPr>
          <w:rFonts w:hint="eastAsia" w:ascii="宋体" w:hAnsi="宋体" w:cs="宋体"/>
          <w:szCs w:val="21"/>
        </w:rPr>
        <w:t>投标文件制作说明：</w:t>
      </w:r>
    </w:p>
    <w:p w14:paraId="18C2D324">
      <w:pPr>
        <w:spacing w:line="400" w:lineRule="exact"/>
        <w:ind w:firstLine="420" w:firstLineChars="200"/>
        <w:jc w:val="left"/>
        <w:rPr>
          <w:rFonts w:ascii="宋体" w:hAnsi="宋体" w:cs="宋体"/>
          <w:szCs w:val="21"/>
        </w:rPr>
      </w:pPr>
      <w:r>
        <w:rPr>
          <w:rFonts w:hint="eastAsia" w:ascii="宋体" w:hAnsi="宋体" w:cs="宋体"/>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64712F4B">
      <w:pPr>
        <w:spacing w:line="400" w:lineRule="exact"/>
        <w:ind w:firstLine="420" w:firstLineChars="200"/>
        <w:jc w:val="left"/>
        <w:rPr>
          <w:rFonts w:ascii="宋体" w:hAnsi="宋体" w:cs="宋体"/>
          <w:szCs w:val="21"/>
        </w:rPr>
      </w:pPr>
      <w:r>
        <w:rPr>
          <w:rFonts w:hint="eastAsia" w:ascii="宋体" w:hAnsi="宋体" w:cs="宋体"/>
          <w:szCs w:val="21"/>
        </w:rPr>
        <w:t>（2）供应商通过政府采购云平台电子投标工具制作投标文件。电子投标工具请供应商自行前往浙江政府采购网下载并安装http://zfcg.czt.zj.gov.cn/bidClientTemplate/2019-05-27/12946.html）。</w:t>
      </w:r>
    </w:p>
    <w:p w14:paraId="0412217C">
      <w:pPr>
        <w:spacing w:line="400" w:lineRule="exact"/>
        <w:ind w:firstLine="420" w:firstLineChars="200"/>
        <w:jc w:val="left"/>
        <w:rPr>
          <w:rFonts w:ascii="宋体" w:hAnsi="宋体" w:cs="宋体"/>
          <w:szCs w:val="21"/>
        </w:rPr>
      </w:pPr>
      <w:r>
        <w:rPr>
          <w:rFonts w:hint="eastAsia" w:ascii="宋体" w:hAnsi="宋体" w:cs="宋体"/>
          <w:szCs w:val="21"/>
        </w:rPr>
        <w:t>供应商投标文件制作及电子交易操作指南详见：</w:t>
      </w:r>
    </w:p>
    <w:p w14:paraId="2493C27E">
      <w:pPr>
        <w:spacing w:line="400" w:lineRule="exact"/>
        <w:ind w:firstLine="420" w:firstLineChars="200"/>
        <w:jc w:val="left"/>
        <w:rPr>
          <w:rFonts w:ascii="宋体" w:hAnsi="宋体" w:cs="宋体"/>
          <w:szCs w:val="21"/>
        </w:rPr>
      </w:pPr>
      <w:r>
        <w:rPr>
          <w:rFonts w:hint="eastAsia" w:ascii="宋体" w:hAnsi="宋体" w:cs="宋体"/>
          <w:szCs w:val="21"/>
        </w:rPr>
        <w:t>①政府采购项目电子交易管理操作指南（视频）https://service.zcygov.cn/#/knowledges/CW1EtGwBFdiHxlNd6I3m/7GyLXW0BXgMSmLUuYuPM（电脑登录账号观看）；</w:t>
      </w:r>
    </w:p>
    <w:p w14:paraId="7BA1DD01">
      <w:pPr>
        <w:spacing w:line="400" w:lineRule="exact"/>
        <w:ind w:firstLine="420" w:firstLineChars="200"/>
        <w:jc w:val="left"/>
        <w:rPr>
          <w:rFonts w:ascii="宋体" w:hAnsi="宋体" w:cs="宋体"/>
          <w:szCs w:val="21"/>
        </w:rPr>
      </w:pPr>
      <w:r>
        <w:rPr>
          <w:rFonts w:hint="eastAsia" w:ascii="宋体" w:hAnsi="宋体" w:cs="宋体"/>
          <w:szCs w:val="21"/>
        </w:rPr>
        <w:t>②政府采购项目电子交易管理操作指南（文本）https://service.zcygov.cn/#/knowledges/CW1EtGwBFdiHxlNd6I3m/6IMVAG0BFdiHxlNdQ8Na（电脑登录账号浏览）。</w:t>
      </w:r>
    </w:p>
    <w:p w14:paraId="450DFE33">
      <w:pPr>
        <w:spacing w:line="400" w:lineRule="exact"/>
        <w:ind w:firstLine="420" w:firstLineChars="200"/>
        <w:rPr>
          <w:rFonts w:ascii="宋体" w:hAnsi="宋体" w:cs="宋体"/>
          <w:szCs w:val="21"/>
        </w:rPr>
      </w:pPr>
      <w:r>
        <w:rPr>
          <w:rFonts w:hint="eastAsia" w:ascii="宋体" w:hAnsi="宋体" w:cs="宋体"/>
          <w:szCs w:val="21"/>
        </w:rPr>
        <w:t>（3）以U盘存储的电子备份投标文件1份，即按“项目采购-电子招投标操作指南”制作的电子备份文件，以用于异常情况处理。</w:t>
      </w:r>
    </w:p>
    <w:p w14:paraId="06A8A906">
      <w:pPr>
        <w:spacing w:line="400" w:lineRule="exact"/>
        <w:ind w:firstLine="420" w:firstLineChars="200"/>
        <w:rPr>
          <w:rFonts w:ascii="宋体" w:hAnsi="宋体" w:cs="宋体"/>
          <w:szCs w:val="21"/>
        </w:rPr>
      </w:pPr>
      <w:r>
        <w:rPr>
          <w:rFonts w:hint="eastAsia" w:ascii="宋体" w:hAnsi="宋体" w:cs="宋体"/>
          <w:szCs w:val="21"/>
        </w:rPr>
        <w:t>3.投标文件填写字迹必须清楚、工整，对不同文字文本投标文件的解释发生异议的，以中文文本为准。</w:t>
      </w:r>
    </w:p>
    <w:p w14:paraId="2F15B2C1">
      <w:pPr>
        <w:spacing w:line="400" w:lineRule="exact"/>
        <w:ind w:firstLine="420" w:firstLineChars="200"/>
        <w:rPr>
          <w:rFonts w:ascii="宋体" w:hAnsi="宋体" w:cs="宋体"/>
          <w:szCs w:val="21"/>
        </w:rPr>
      </w:pPr>
      <w:r>
        <w:rPr>
          <w:rFonts w:hint="eastAsia" w:ascii="宋体" w:hAnsi="宋体" w:cs="宋体"/>
          <w:szCs w:val="21"/>
        </w:rPr>
        <w:t>4.投标文件的效力</w:t>
      </w:r>
    </w:p>
    <w:p w14:paraId="6767260C">
      <w:pPr>
        <w:spacing w:line="400" w:lineRule="exact"/>
        <w:ind w:firstLine="420" w:firstLineChars="200"/>
        <w:rPr>
          <w:rFonts w:ascii="宋体" w:hAnsi="宋体" w:cs="宋体"/>
          <w:szCs w:val="21"/>
        </w:rPr>
      </w:pPr>
      <w:r>
        <w:rPr>
          <w:rFonts w:hint="eastAsia" w:ascii="宋体" w:hAnsi="宋体" w:cs="宋体"/>
          <w:szCs w:val="21"/>
        </w:rPr>
        <w:t>投标文件的启用，按先后顺位分别为电子投标文件、以U盘存储的电子备份投标文件。在下一顺位的投标文件启用时，前一顺位的投标文件自动失效。</w:t>
      </w:r>
    </w:p>
    <w:p w14:paraId="1E89EB9C">
      <w:pPr>
        <w:spacing w:line="400" w:lineRule="exact"/>
        <w:ind w:firstLine="420" w:firstLineChars="200"/>
        <w:rPr>
          <w:rFonts w:ascii="宋体" w:hAnsi="宋体" w:cs="宋体"/>
          <w:szCs w:val="21"/>
        </w:rPr>
      </w:pPr>
      <w:r>
        <w:rPr>
          <w:rFonts w:hint="eastAsia" w:ascii="宋体" w:hAnsi="宋体" w:cs="宋体"/>
          <w:szCs w:val="21"/>
        </w:rPr>
        <w:t>电子投标文件未能按时解密，供应商提供了电子备份投标文件的，以电子备份投标文件作为依据，否则视为投标文件撤回。电子投标文件已按时解密的，电子备份投标文件自动失效。</w:t>
      </w:r>
      <w:bookmarkStart w:id="14" w:name="_Hlk23147633"/>
      <w:bookmarkStart w:id="15" w:name="_Hlk23150950"/>
    </w:p>
    <w:p w14:paraId="658ACD17">
      <w:pPr>
        <w:spacing w:line="400" w:lineRule="exact"/>
        <w:rPr>
          <w:rFonts w:ascii="宋体" w:hAnsi="宋体" w:cs="宋体"/>
          <w:b/>
          <w:bCs/>
          <w:szCs w:val="21"/>
        </w:rPr>
      </w:pPr>
      <w:r>
        <w:rPr>
          <w:rFonts w:hint="eastAsia" w:ascii="宋体" w:hAnsi="宋体" w:cs="宋体"/>
          <w:b/>
          <w:bCs/>
          <w:szCs w:val="21"/>
        </w:rPr>
        <w:t>八、投标文件的组成和制作</w:t>
      </w:r>
    </w:p>
    <w:p w14:paraId="1A2D1A97">
      <w:pPr>
        <w:spacing w:line="400" w:lineRule="exact"/>
        <w:ind w:firstLine="420" w:firstLineChars="200"/>
        <w:rPr>
          <w:rFonts w:ascii="宋体" w:hAnsi="宋体" w:cs="宋体"/>
          <w:szCs w:val="21"/>
        </w:rPr>
      </w:pPr>
      <w:r>
        <w:rPr>
          <w:rFonts w:hint="eastAsia" w:ascii="宋体" w:hAnsi="宋体" w:cs="宋体"/>
          <w:szCs w:val="21"/>
        </w:rPr>
        <w:t>1.投标文件的组成：</w:t>
      </w:r>
    </w:p>
    <w:bookmarkEnd w:id="14"/>
    <w:p w14:paraId="0C3FDBF8">
      <w:pPr>
        <w:spacing w:line="400" w:lineRule="exact"/>
        <w:ind w:firstLine="422" w:firstLineChars="200"/>
        <w:rPr>
          <w:rFonts w:ascii="宋体" w:hAnsi="宋体" w:cs="宋体"/>
          <w:b/>
          <w:szCs w:val="21"/>
        </w:rPr>
      </w:pPr>
      <w:r>
        <w:rPr>
          <w:rFonts w:hint="eastAsia" w:ascii="宋体" w:hAnsi="宋体" w:cs="宋体"/>
          <w:b/>
          <w:szCs w:val="21"/>
        </w:rPr>
        <w:t>详见投标须知前附表。</w:t>
      </w:r>
    </w:p>
    <w:p w14:paraId="55ABE20F">
      <w:pPr>
        <w:spacing w:line="400" w:lineRule="exact"/>
        <w:ind w:firstLine="420" w:firstLineChars="200"/>
        <w:rPr>
          <w:rFonts w:ascii="宋体" w:hAnsi="宋体" w:cs="宋体"/>
          <w:bCs/>
          <w:szCs w:val="21"/>
        </w:rPr>
      </w:pPr>
      <w:r>
        <w:rPr>
          <w:rFonts w:hint="eastAsia" w:ascii="宋体" w:hAnsi="宋体" w:cs="宋体"/>
          <w:szCs w:val="21"/>
        </w:rPr>
        <w:t>2.</w:t>
      </w:r>
      <w:r>
        <w:rPr>
          <w:rFonts w:hint="eastAsia" w:ascii="宋体" w:hAnsi="宋体" w:cs="宋体"/>
          <w:bCs/>
          <w:szCs w:val="21"/>
        </w:rPr>
        <w:t>投标文件制作：</w:t>
      </w:r>
    </w:p>
    <w:p w14:paraId="2F907344">
      <w:pPr>
        <w:spacing w:line="400" w:lineRule="exact"/>
        <w:ind w:firstLine="420" w:firstLineChars="200"/>
        <w:rPr>
          <w:rFonts w:ascii="宋体" w:hAnsi="宋体" w:cs="宋体"/>
          <w:szCs w:val="21"/>
        </w:rPr>
      </w:pPr>
      <w:r>
        <w:rPr>
          <w:rFonts w:hint="eastAsia" w:ascii="宋体" w:hAnsi="宋体" w:cs="宋体"/>
          <w:szCs w:val="21"/>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304004AA">
      <w:pPr>
        <w:spacing w:line="400" w:lineRule="exact"/>
        <w:ind w:firstLine="420" w:firstLineChars="200"/>
        <w:rPr>
          <w:rFonts w:ascii="宋体" w:hAnsi="宋体" w:cs="宋体"/>
          <w:szCs w:val="21"/>
        </w:rPr>
      </w:pPr>
      <w:r>
        <w:rPr>
          <w:rFonts w:hint="eastAsia" w:ascii="宋体" w:hAnsi="宋体" w:cs="宋体"/>
          <w:szCs w:val="21"/>
        </w:rPr>
        <w:t>（2）供应商通过政府采购云平台电子投标工具制作投标文件。电子投标工具请供应商自行前往浙江政府采购网下载并安装。</w:t>
      </w:r>
    </w:p>
    <w:p w14:paraId="7A009956">
      <w:pPr>
        <w:spacing w:line="400" w:lineRule="exact"/>
        <w:ind w:firstLine="420" w:firstLineChars="200"/>
        <w:rPr>
          <w:rFonts w:ascii="宋体" w:hAnsi="宋体" w:cs="宋体"/>
          <w:szCs w:val="21"/>
        </w:rPr>
      </w:pPr>
      <w:r>
        <w:rPr>
          <w:rFonts w:hint="eastAsia" w:ascii="宋体" w:hAnsi="宋体" w:cs="宋体"/>
          <w:szCs w:val="21"/>
        </w:rPr>
        <w:t>（3）以U盘存储的电子备份投标文件1份，即按“项目采购-电子招投标操作指南”制作的电子备份文件，以用于异常情况处理。</w:t>
      </w:r>
    </w:p>
    <w:p w14:paraId="43896D5C">
      <w:pPr>
        <w:spacing w:line="400" w:lineRule="exact"/>
        <w:ind w:firstLine="420" w:firstLineChars="200"/>
        <w:rPr>
          <w:rFonts w:ascii="宋体" w:hAnsi="宋体" w:cs="宋体"/>
          <w:szCs w:val="21"/>
        </w:rPr>
      </w:pPr>
      <w:r>
        <w:rPr>
          <w:rFonts w:hint="eastAsia" w:ascii="宋体" w:hAnsi="宋体" w:cs="宋体"/>
          <w:szCs w:val="21"/>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宋体"/>
          <w:b/>
          <w:bCs/>
          <w:szCs w:val="21"/>
        </w:rPr>
        <w:t>完成CA数字证书办理预计一周左右，请供应商自行把握时间。</w:t>
      </w:r>
    </w:p>
    <w:bookmarkEnd w:id="15"/>
    <w:p w14:paraId="6D8A8AEA">
      <w:pPr>
        <w:spacing w:line="400" w:lineRule="exact"/>
        <w:rPr>
          <w:rFonts w:ascii="宋体" w:hAnsi="宋体" w:cs="宋体"/>
          <w:b/>
          <w:szCs w:val="21"/>
        </w:rPr>
      </w:pPr>
      <w:r>
        <w:rPr>
          <w:rFonts w:hint="eastAsia" w:ascii="宋体" w:hAnsi="宋体" w:cs="宋体"/>
          <w:b/>
          <w:szCs w:val="21"/>
        </w:rPr>
        <w:t>★九、投标文件的签署盖章</w:t>
      </w:r>
    </w:p>
    <w:p w14:paraId="4D1BD625">
      <w:pPr>
        <w:spacing w:line="400" w:lineRule="exact"/>
        <w:ind w:firstLine="420" w:firstLineChars="200"/>
        <w:rPr>
          <w:rFonts w:ascii="宋体" w:hAnsi="宋体" w:cs="宋体"/>
          <w:szCs w:val="21"/>
        </w:rPr>
      </w:pPr>
      <w:r>
        <w:rPr>
          <w:rFonts w:hint="eastAsia" w:ascii="宋体" w:hAnsi="宋体" w:cs="宋体"/>
          <w:szCs w:val="21"/>
        </w:rPr>
        <w:t>招标文件第七章“附件”中标明加盖公章或签字的，加盖公章部分可采用CA签章，也可采用加盖鲜章后扫描上传，签字部分由法定代表人或授权代表加盖CA签章，也可采用签字后扫描上传。授权代表签字的，还应附法定代表人签署的法定代表人授权书。</w:t>
      </w:r>
    </w:p>
    <w:p w14:paraId="48F7D06C">
      <w:pPr>
        <w:spacing w:line="400" w:lineRule="exact"/>
        <w:rPr>
          <w:rFonts w:ascii="宋体" w:hAnsi="宋体" w:cs="宋体"/>
          <w:b/>
          <w:szCs w:val="21"/>
        </w:rPr>
      </w:pPr>
      <w:r>
        <w:rPr>
          <w:rFonts w:hint="eastAsia" w:ascii="宋体" w:hAnsi="宋体" w:cs="宋体"/>
          <w:b/>
          <w:szCs w:val="21"/>
        </w:rPr>
        <w:t>十、投标文件的密封和标记</w:t>
      </w:r>
    </w:p>
    <w:p w14:paraId="5523CFAA">
      <w:pPr>
        <w:spacing w:line="400" w:lineRule="exact"/>
        <w:ind w:firstLine="420" w:firstLineChars="200"/>
        <w:rPr>
          <w:rFonts w:ascii="宋体" w:hAnsi="宋体" w:cs="宋体"/>
          <w:szCs w:val="21"/>
        </w:rPr>
      </w:pPr>
      <w:r>
        <w:rPr>
          <w:rFonts w:hint="eastAsia" w:ascii="宋体" w:hAnsi="宋体" w:cs="宋体"/>
          <w:szCs w:val="21"/>
        </w:rPr>
        <w:t>1.电子投标文件：供应商应根据“项目采购-电子招投标操作指南”及本招标文件规定的格式和顺序编制电子投标文件并进行关联定位。</w:t>
      </w:r>
    </w:p>
    <w:p w14:paraId="7B7D2C7B">
      <w:pPr>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kern w:val="0"/>
          <w:szCs w:val="21"/>
        </w:rPr>
        <w:t>以U盘存储的电子备份投标文件</w:t>
      </w:r>
      <w:r>
        <w:rPr>
          <w:rFonts w:hint="eastAsia" w:ascii="宋体" w:hAnsi="宋体" w:cs="宋体"/>
          <w:b/>
          <w:szCs w:val="21"/>
        </w:rPr>
        <w:t>用封袋密封后递交。</w:t>
      </w:r>
    </w:p>
    <w:p w14:paraId="05B01D86">
      <w:pPr>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kern w:val="0"/>
          <w:szCs w:val="21"/>
        </w:rPr>
        <w:t>电子备份投标文件须在</w:t>
      </w:r>
      <w:r>
        <w:rPr>
          <w:rFonts w:hint="eastAsia" w:ascii="宋体" w:hAnsi="宋体" w:cs="宋体"/>
          <w:szCs w:val="21"/>
        </w:rPr>
        <w:t>封袋上分别注明：</w:t>
      </w:r>
    </w:p>
    <w:p w14:paraId="764C83FD">
      <w:pPr>
        <w:tabs>
          <w:tab w:val="left" w:pos="900"/>
        </w:tabs>
        <w:spacing w:line="400" w:lineRule="exact"/>
        <w:ind w:firstLine="420" w:firstLineChars="200"/>
        <w:rPr>
          <w:rFonts w:ascii="宋体" w:hAnsi="宋体" w:cs="宋体"/>
          <w:szCs w:val="21"/>
          <w:u w:val="single"/>
        </w:rPr>
      </w:pPr>
      <w:r>
        <w:rPr>
          <w:rFonts w:hint="eastAsia" w:ascii="宋体" w:hAnsi="宋体" w:cs="宋体"/>
          <w:szCs w:val="21"/>
        </w:rPr>
        <w:t>（1）注    明：</w:t>
      </w:r>
      <w:r>
        <w:rPr>
          <w:rFonts w:hint="eastAsia" w:ascii="宋体" w:hAnsi="宋体" w:cs="宋体"/>
          <w:szCs w:val="21"/>
          <w:u w:val="single"/>
        </w:rPr>
        <w:t xml:space="preserve"> “电子备份投标文件” </w:t>
      </w:r>
      <w:r>
        <w:rPr>
          <w:rFonts w:hint="eastAsia" w:ascii="宋体" w:hAnsi="宋体" w:cs="宋体"/>
          <w:szCs w:val="21"/>
        </w:rPr>
        <w:t>；</w:t>
      </w:r>
    </w:p>
    <w:p w14:paraId="12C56E81">
      <w:pPr>
        <w:tabs>
          <w:tab w:val="left" w:pos="900"/>
        </w:tabs>
        <w:spacing w:line="400" w:lineRule="exact"/>
        <w:ind w:firstLine="420" w:firstLineChars="200"/>
        <w:rPr>
          <w:rFonts w:ascii="宋体" w:hAnsi="宋体" w:cs="宋体"/>
          <w:szCs w:val="21"/>
        </w:rPr>
      </w:pPr>
      <w:r>
        <w:rPr>
          <w:rFonts w:hint="eastAsia" w:ascii="宋体" w:hAnsi="宋体" w:cs="宋体"/>
          <w:szCs w:val="21"/>
        </w:rPr>
        <w:t>（2）项目编号：</w:t>
      </w:r>
      <w:r>
        <w:rPr>
          <w:rFonts w:hint="eastAsia" w:ascii="宋体" w:hAnsi="宋体" w:cs="宋体"/>
          <w:szCs w:val="21"/>
          <w:u w:val="single"/>
        </w:rPr>
        <w:t xml:space="preserve"> NBITC-202530421G     </w:t>
      </w:r>
      <w:r>
        <w:rPr>
          <w:rFonts w:hint="eastAsia" w:ascii="宋体" w:hAnsi="宋体" w:cs="宋体"/>
          <w:szCs w:val="21"/>
        </w:rPr>
        <w:t>；</w:t>
      </w:r>
    </w:p>
    <w:p w14:paraId="4C5321F4">
      <w:pPr>
        <w:tabs>
          <w:tab w:val="left" w:pos="900"/>
        </w:tabs>
        <w:spacing w:line="400" w:lineRule="exact"/>
        <w:ind w:firstLine="420" w:firstLineChars="200"/>
        <w:rPr>
          <w:rFonts w:ascii="宋体" w:hAnsi="宋体" w:cs="宋体"/>
          <w:szCs w:val="21"/>
        </w:rPr>
      </w:pPr>
      <w:r>
        <w:rPr>
          <w:rFonts w:hint="eastAsia" w:ascii="宋体" w:hAnsi="宋体" w:cs="宋体"/>
          <w:szCs w:val="21"/>
        </w:rPr>
        <w:t>（3）项目名称：</w:t>
      </w:r>
      <w:r>
        <w:rPr>
          <w:rFonts w:hint="eastAsia" w:ascii="宋体" w:hAnsi="宋体" w:cs="宋体"/>
          <w:szCs w:val="21"/>
          <w:u w:val="single"/>
        </w:rPr>
        <w:t xml:space="preserve"> 宁波大学鼎秀古籍全文数据库等采购项目 </w:t>
      </w:r>
      <w:r>
        <w:rPr>
          <w:rFonts w:hint="eastAsia" w:ascii="宋体" w:hAnsi="宋体" w:cs="宋体"/>
          <w:szCs w:val="21"/>
        </w:rPr>
        <w:t>；</w:t>
      </w:r>
    </w:p>
    <w:p w14:paraId="6166B108">
      <w:pPr>
        <w:tabs>
          <w:tab w:val="left" w:pos="900"/>
        </w:tabs>
        <w:spacing w:line="400" w:lineRule="exact"/>
        <w:ind w:firstLine="420" w:firstLineChars="200"/>
        <w:rPr>
          <w:rFonts w:ascii="宋体" w:hAnsi="宋体" w:cs="宋体"/>
          <w:szCs w:val="21"/>
        </w:rPr>
      </w:pPr>
      <w:r>
        <w:rPr>
          <w:rFonts w:hint="eastAsia" w:ascii="宋体" w:hAnsi="宋体" w:cs="宋体"/>
          <w:szCs w:val="21"/>
        </w:rPr>
        <w:t>（4）所投标项（如有多个标项须填写）：</w:t>
      </w:r>
      <w:r>
        <w:rPr>
          <w:rFonts w:hint="eastAsia" w:ascii="宋体" w:hAnsi="宋体" w:cs="宋体"/>
          <w:szCs w:val="21"/>
          <w:u w:val="single"/>
        </w:rPr>
        <w:t xml:space="preserve">                        </w:t>
      </w:r>
      <w:r>
        <w:rPr>
          <w:rFonts w:hint="eastAsia" w:ascii="宋体" w:hAnsi="宋体" w:cs="宋体"/>
          <w:szCs w:val="21"/>
        </w:rPr>
        <w:t>；</w:t>
      </w:r>
    </w:p>
    <w:p w14:paraId="18A139C9">
      <w:pPr>
        <w:tabs>
          <w:tab w:val="left" w:pos="900"/>
        </w:tabs>
        <w:spacing w:line="400" w:lineRule="exact"/>
        <w:ind w:firstLine="420" w:firstLineChars="200"/>
        <w:rPr>
          <w:rFonts w:ascii="宋体" w:hAnsi="宋体" w:cs="宋体"/>
          <w:szCs w:val="21"/>
        </w:rPr>
      </w:pPr>
      <w:r>
        <w:rPr>
          <w:rFonts w:hint="eastAsia" w:ascii="宋体" w:hAnsi="宋体" w:cs="宋体"/>
          <w:szCs w:val="21"/>
        </w:rPr>
        <w:t>（5）在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日（规定的开标日期和时间）前不准启封；</w:t>
      </w:r>
    </w:p>
    <w:p w14:paraId="147DA237">
      <w:pPr>
        <w:tabs>
          <w:tab w:val="left" w:pos="900"/>
        </w:tabs>
        <w:spacing w:line="400" w:lineRule="exact"/>
        <w:ind w:firstLine="420" w:firstLineChars="200"/>
        <w:rPr>
          <w:rFonts w:ascii="宋体" w:hAnsi="宋体" w:cs="宋体"/>
          <w:szCs w:val="21"/>
        </w:rPr>
      </w:pPr>
      <w:r>
        <w:rPr>
          <w:rFonts w:hint="eastAsia" w:ascii="宋体" w:hAnsi="宋体" w:cs="宋体"/>
          <w:szCs w:val="21"/>
        </w:rPr>
        <w:t>（6）供应商的名称：</w:t>
      </w:r>
      <w:r>
        <w:rPr>
          <w:rFonts w:hint="eastAsia" w:ascii="宋体" w:hAnsi="宋体" w:cs="宋体"/>
          <w:szCs w:val="21"/>
          <w:u w:val="single"/>
        </w:rPr>
        <w:t xml:space="preserve">                                          </w:t>
      </w:r>
      <w:r>
        <w:rPr>
          <w:rFonts w:hint="eastAsia" w:ascii="宋体" w:hAnsi="宋体" w:cs="宋体"/>
          <w:szCs w:val="21"/>
        </w:rPr>
        <w:t>。</w:t>
      </w:r>
    </w:p>
    <w:p w14:paraId="5B738847">
      <w:pPr>
        <w:spacing w:line="400" w:lineRule="exact"/>
        <w:ind w:firstLine="420" w:firstLineChars="200"/>
        <w:rPr>
          <w:rFonts w:ascii="宋体" w:hAnsi="宋体" w:cs="宋体"/>
          <w:szCs w:val="21"/>
        </w:rPr>
      </w:pPr>
      <w:r>
        <w:rPr>
          <w:rFonts w:hint="eastAsia" w:ascii="宋体" w:hAnsi="宋体" w:cs="宋体"/>
          <w:szCs w:val="21"/>
        </w:rPr>
        <w:t>供应商须在包封上加盖供应商公章或由其法定代表人（或授权代表）签字。</w:t>
      </w:r>
    </w:p>
    <w:p w14:paraId="44AFFC85">
      <w:pPr>
        <w:spacing w:line="400" w:lineRule="exact"/>
        <w:ind w:firstLine="420" w:firstLineChars="200"/>
        <w:rPr>
          <w:rFonts w:ascii="宋体" w:hAnsi="宋体" w:cs="宋体"/>
          <w:szCs w:val="21"/>
        </w:rPr>
      </w:pPr>
      <w:r>
        <w:rPr>
          <w:rFonts w:hint="eastAsia" w:ascii="宋体" w:hAnsi="宋体" w:cs="宋体"/>
          <w:szCs w:val="21"/>
        </w:rPr>
        <w:t>供应商未按上述要求标记的，采购人（代理机构）不承担错放或提前开封的责任。</w:t>
      </w:r>
    </w:p>
    <w:p w14:paraId="3038C48B">
      <w:pPr>
        <w:spacing w:line="400" w:lineRule="exact"/>
        <w:rPr>
          <w:rFonts w:ascii="宋体" w:hAnsi="宋体" w:cs="宋体"/>
          <w:b/>
          <w:szCs w:val="21"/>
        </w:rPr>
      </w:pPr>
      <w:r>
        <w:rPr>
          <w:rFonts w:hint="eastAsia" w:ascii="宋体" w:hAnsi="宋体" w:cs="宋体"/>
          <w:b/>
          <w:szCs w:val="21"/>
        </w:rPr>
        <w:t>十一、投标文件的递交</w:t>
      </w:r>
    </w:p>
    <w:p w14:paraId="2BDBDF12">
      <w:pPr>
        <w:spacing w:line="400" w:lineRule="exact"/>
        <w:ind w:firstLine="422" w:firstLineChars="200"/>
        <w:rPr>
          <w:rFonts w:ascii="宋体" w:hAnsi="宋体" w:cs="宋体"/>
          <w:kern w:val="0"/>
          <w:szCs w:val="21"/>
        </w:rPr>
      </w:pPr>
      <w:r>
        <w:rPr>
          <w:rFonts w:hint="eastAsia" w:ascii="宋体" w:hAnsi="宋体" w:cs="宋体"/>
          <w:b/>
          <w:bCs/>
          <w:szCs w:val="21"/>
        </w:rPr>
        <w:t>★1.电子投标文件：</w:t>
      </w:r>
      <w:r>
        <w:rPr>
          <w:rFonts w:hint="eastAsia" w:ascii="宋体" w:hAnsi="宋体" w:cs="宋体"/>
          <w:szCs w:val="21"/>
        </w:rPr>
        <w:t>供应商应于提交投标文件截止时间前将电子投标文件（含资格文件、商务和技术文件、报价文件）上传到政府采购云平台（www.zcygov.cn）。</w:t>
      </w:r>
    </w:p>
    <w:p w14:paraId="69BE8C06">
      <w:pPr>
        <w:spacing w:line="400" w:lineRule="exact"/>
        <w:ind w:firstLine="422" w:firstLineChars="200"/>
        <w:rPr>
          <w:rFonts w:ascii="宋体" w:hAnsi="宋体" w:cs="宋体"/>
          <w:kern w:val="0"/>
          <w:szCs w:val="21"/>
        </w:rPr>
      </w:pPr>
      <w:r>
        <w:rPr>
          <w:rFonts w:hint="eastAsia" w:ascii="宋体" w:hAnsi="宋体" w:cs="宋体"/>
          <w:b/>
          <w:bCs/>
          <w:kern w:val="0"/>
          <w:szCs w:val="21"/>
        </w:rPr>
        <w:t>2.电子备份投标文件：</w:t>
      </w:r>
      <w:r>
        <w:rPr>
          <w:rFonts w:hint="eastAsia" w:ascii="宋体" w:hAnsi="宋体" w:cs="宋体"/>
          <w:kern w:val="0"/>
          <w:szCs w:val="21"/>
        </w:rPr>
        <w:t>以U盘存储的电子备份投标文件（含资格文件、商务和技术文件、报价文件）1份（自愿提供，用于异常处理）。</w:t>
      </w:r>
    </w:p>
    <w:p w14:paraId="41D5B395">
      <w:pPr>
        <w:spacing w:line="400" w:lineRule="exact"/>
        <w:ind w:firstLine="420" w:firstLineChars="200"/>
        <w:rPr>
          <w:rFonts w:ascii="宋体" w:hAnsi="宋体" w:cs="宋体"/>
          <w:kern w:val="0"/>
          <w:szCs w:val="21"/>
        </w:rPr>
      </w:pPr>
      <w:r>
        <w:rPr>
          <w:rFonts w:hint="eastAsia" w:ascii="宋体" w:hAnsi="宋体" w:cs="宋体"/>
          <w:kern w:val="0"/>
          <w:szCs w:val="21"/>
        </w:rPr>
        <w:t>供应商可采用邮寄（含快递）方式或现场方式递交电子备份投标文件：</w:t>
      </w:r>
    </w:p>
    <w:p w14:paraId="38A04F46">
      <w:pPr>
        <w:spacing w:line="400" w:lineRule="exact"/>
        <w:ind w:firstLine="420" w:firstLineChars="200"/>
        <w:rPr>
          <w:rFonts w:ascii="宋体" w:hAnsi="宋体" w:cs="宋体"/>
          <w:kern w:val="0"/>
          <w:szCs w:val="21"/>
        </w:rPr>
      </w:pPr>
      <w:r>
        <w:rPr>
          <w:rFonts w:hint="eastAsia" w:ascii="宋体" w:hAnsi="宋体" w:cs="宋体"/>
          <w:kern w:val="0"/>
          <w:szCs w:val="21"/>
        </w:rPr>
        <w:t>供应商于提交投标文件截止时间前，将以U盘存储的电子备份投标文件（1份，含资格文件、商务和技术文件、报价文件）密封后通过EMS等邮寄或现场递交方式送达，送达地址：宁波市国际招标有限公司（宁波市江北区环城北路西段207弄19号世茂茂悦商业中心1号楼八楼012室），联系方式：陈洋，0574-87295348。供应商邮寄后须将邮件单号、联系电话发送至代理机构电子邮箱（电子邮箱：nbitc@126.com），并致电采购代理机构，以便采购代理机构查询物流记录。各供应商应当确保电子备份投标文件的密封包装在邮寄过</w:t>
      </w:r>
      <w:r>
        <w:rPr>
          <w:rFonts w:hint="eastAsia" w:ascii="宋体" w:hAnsi="宋体" w:cs="宋体"/>
          <w:kern w:val="0"/>
          <w:szCs w:val="21"/>
          <w:lang w:eastAsia="zh-CN"/>
        </w:rPr>
        <w:t>程中</w:t>
      </w:r>
      <w:r>
        <w:rPr>
          <w:rFonts w:hint="eastAsia" w:ascii="宋体" w:hAnsi="宋体" w:cs="宋体"/>
          <w:kern w:val="0"/>
          <w:szCs w:val="21"/>
        </w:rPr>
        <w:t>保持完好，并在邮寄包裹上注明项目名称、项目编号。</w:t>
      </w:r>
    </w:p>
    <w:p w14:paraId="7D7730E6">
      <w:pPr>
        <w:spacing w:line="400" w:lineRule="exact"/>
        <w:ind w:firstLine="420" w:firstLineChars="200"/>
        <w:rPr>
          <w:rFonts w:ascii="宋体" w:hAnsi="宋体" w:cs="宋体"/>
          <w:kern w:val="0"/>
          <w:szCs w:val="21"/>
        </w:rPr>
      </w:pPr>
      <w:r>
        <w:rPr>
          <w:rFonts w:hint="eastAsia" w:ascii="宋体" w:hAnsi="宋体" w:cs="宋体"/>
          <w:kern w:val="0"/>
          <w:szCs w:val="21"/>
        </w:rPr>
        <w:t>电子备份投标文件密封破损而不符合招标文件对电子备份投标文件的密封要求的</w:t>
      </w:r>
      <w:r>
        <w:rPr>
          <w:rFonts w:hint="eastAsia" w:ascii="宋体" w:hAnsi="宋体" w:cs="宋体"/>
          <w:kern w:val="0"/>
          <w:szCs w:val="21"/>
          <w:lang w:eastAsia="zh-CN"/>
        </w:rPr>
        <w:t>或</w:t>
      </w:r>
      <w:r>
        <w:rPr>
          <w:rFonts w:hint="eastAsia" w:ascii="宋体" w:hAnsi="宋体" w:cs="宋体"/>
          <w:kern w:val="0"/>
          <w:szCs w:val="21"/>
        </w:rPr>
        <w:t>电子备份投标文件未能在投标截止时间前送达的，代理机构将拒绝其电子备份投标文件。供应商自行考虑邮寄在途时间，电子备份投标文件送达时间以代理机构工作人员实际签收时间为准。</w:t>
      </w:r>
    </w:p>
    <w:p w14:paraId="378A6314">
      <w:pPr>
        <w:spacing w:line="400" w:lineRule="exact"/>
        <w:ind w:firstLine="420" w:firstLineChars="200"/>
        <w:rPr>
          <w:rFonts w:ascii="宋体" w:hAnsi="宋体" w:cs="宋体"/>
          <w:b/>
          <w:bCs/>
          <w:kern w:val="0"/>
          <w:szCs w:val="21"/>
        </w:rPr>
      </w:pPr>
      <w:r>
        <w:rPr>
          <w:rFonts w:hint="eastAsia" w:ascii="宋体" w:hAnsi="宋体" w:cs="宋体"/>
          <w:kern w:val="0"/>
          <w:szCs w:val="21"/>
        </w:rPr>
        <w:t>电子备份投标文件不强制要求提交，但因电子投标文件未能按时解密或解密失败，供应商又未提交电子备份投标文件的，将被视为投标文件撤回，投标无效。</w:t>
      </w:r>
    </w:p>
    <w:p w14:paraId="1DBD4728">
      <w:pPr>
        <w:spacing w:line="400" w:lineRule="exact"/>
        <w:ind w:firstLine="420" w:firstLineChars="200"/>
        <w:rPr>
          <w:rFonts w:ascii="宋体" w:hAnsi="宋体" w:cs="宋体"/>
          <w:szCs w:val="21"/>
        </w:rPr>
      </w:pPr>
      <w:r>
        <w:rPr>
          <w:rFonts w:hint="eastAsia" w:ascii="宋体" w:hAnsi="宋体" w:cs="宋体"/>
          <w:szCs w:val="21"/>
        </w:rPr>
        <w:t>3.逾期送达的或者未送达指定地点的</w:t>
      </w:r>
      <w:r>
        <w:rPr>
          <w:rFonts w:hint="eastAsia" w:ascii="宋体" w:hAnsi="宋体" w:cs="宋体"/>
          <w:b/>
          <w:bCs/>
          <w:kern w:val="0"/>
          <w:szCs w:val="21"/>
        </w:rPr>
        <w:t>电子备份投标文件</w:t>
      </w:r>
      <w:r>
        <w:rPr>
          <w:rFonts w:hint="eastAsia" w:ascii="宋体" w:hAnsi="宋体" w:cs="宋体"/>
          <w:szCs w:val="21"/>
        </w:rPr>
        <w:t>，代理机构不予受理。</w:t>
      </w:r>
    </w:p>
    <w:p w14:paraId="70773B1B">
      <w:pPr>
        <w:spacing w:line="400" w:lineRule="exact"/>
        <w:ind w:firstLine="420" w:firstLineChars="200"/>
        <w:rPr>
          <w:rFonts w:ascii="宋体" w:hAnsi="宋体" w:cs="宋体"/>
          <w:szCs w:val="21"/>
        </w:rPr>
      </w:pPr>
      <w:r>
        <w:rPr>
          <w:rFonts w:hint="eastAsia" w:ascii="宋体" w:hAnsi="宋体" w:cs="宋体"/>
          <w:szCs w:val="21"/>
        </w:rPr>
        <w:t>4.投标文件的补充、修改</w:t>
      </w:r>
    </w:p>
    <w:p w14:paraId="46618300">
      <w:pPr>
        <w:spacing w:line="400" w:lineRule="exact"/>
        <w:ind w:firstLine="420" w:firstLineChars="200"/>
        <w:rPr>
          <w:rFonts w:ascii="宋体" w:hAnsi="宋体" w:cs="宋体"/>
          <w:szCs w:val="21"/>
        </w:rPr>
      </w:pPr>
      <w:r>
        <w:rPr>
          <w:rFonts w:hint="eastAsia" w:ascii="宋体" w:hAnsi="宋体" w:cs="宋体"/>
          <w:szCs w:val="21"/>
        </w:rPr>
        <w:t>投标截止时间前，供应商可以对递交的投标文件进行补充、修改，</w:t>
      </w:r>
      <w:r>
        <w:rPr>
          <w:rFonts w:hint="eastAsia" w:ascii="宋体" w:hAnsi="宋体" w:cs="宋体"/>
          <w:szCs w:val="21"/>
          <w:lang w:val="en"/>
        </w:rPr>
        <w:t>补充、修改</w:t>
      </w:r>
      <w:r>
        <w:rPr>
          <w:rFonts w:hint="eastAsia" w:ascii="宋体" w:hAnsi="宋体" w:cs="宋体"/>
          <w:szCs w:val="21"/>
        </w:rPr>
        <w:t>电子投标文件</w:t>
      </w:r>
      <w:r>
        <w:rPr>
          <w:rFonts w:hint="eastAsia" w:ascii="宋体" w:hAnsi="宋体" w:cs="宋体"/>
          <w:szCs w:val="21"/>
          <w:lang w:val="en"/>
        </w:rPr>
        <w:t>的，应当先行撤回原文件，补充、修改后重新上传，电子备份投标文件也应重新制作。</w:t>
      </w:r>
      <w:r>
        <w:rPr>
          <w:rFonts w:hint="eastAsia" w:ascii="宋体" w:hAnsi="宋体" w:cs="宋体"/>
          <w:szCs w:val="21"/>
        </w:rPr>
        <w:t>在投标截止时间之后，供应商不得对其投标文件进行补充、修改。投标截止时间之后供应商要求撤销投标文件的，应向采购人提交正式文件。</w:t>
      </w:r>
    </w:p>
    <w:p w14:paraId="21060424">
      <w:pPr>
        <w:spacing w:line="400" w:lineRule="exact"/>
        <w:rPr>
          <w:rFonts w:ascii="宋体" w:hAnsi="宋体" w:cs="宋体"/>
          <w:b/>
          <w:szCs w:val="21"/>
        </w:rPr>
      </w:pPr>
      <w:r>
        <w:rPr>
          <w:rFonts w:hint="eastAsia" w:ascii="宋体" w:hAnsi="宋体" w:cs="宋体"/>
          <w:b/>
          <w:szCs w:val="21"/>
        </w:rPr>
        <w:t>十二、开标</w:t>
      </w:r>
    </w:p>
    <w:p w14:paraId="593158DE">
      <w:pPr>
        <w:spacing w:line="400" w:lineRule="exact"/>
        <w:ind w:firstLine="420" w:firstLineChars="200"/>
        <w:rPr>
          <w:rFonts w:ascii="宋体" w:hAnsi="宋体" w:cs="宋体"/>
          <w:szCs w:val="21"/>
        </w:rPr>
      </w:pPr>
      <w:r>
        <w:rPr>
          <w:rFonts w:hint="eastAsia" w:ascii="宋体" w:hAnsi="宋体" w:cs="宋体"/>
          <w:szCs w:val="21"/>
        </w:rPr>
        <w:t>1.代理机构在招标文件规定的时间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14:paraId="3728F1F0">
      <w:pPr>
        <w:spacing w:line="400" w:lineRule="exact"/>
        <w:ind w:firstLine="420" w:firstLineChars="200"/>
        <w:rPr>
          <w:rFonts w:ascii="宋体" w:hAnsi="宋体" w:cs="宋体"/>
          <w:szCs w:val="21"/>
        </w:rPr>
      </w:pPr>
      <w:r>
        <w:rPr>
          <w:rFonts w:hint="eastAsia" w:ascii="宋体" w:hAnsi="宋体" w:cs="宋体"/>
          <w:szCs w:val="21"/>
        </w:rPr>
        <w:t>2.电子投标开标及评审程序：同时开启所有供应商的“资格文件”、“商务和技术文件”、“报价文件”。</w:t>
      </w:r>
    </w:p>
    <w:p w14:paraId="15FF6D44">
      <w:pPr>
        <w:spacing w:line="400" w:lineRule="exact"/>
        <w:ind w:firstLine="420" w:firstLineChars="200"/>
        <w:rPr>
          <w:rFonts w:ascii="宋体" w:hAnsi="宋体" w:cs="宋体"/>
          <w:szCs w:val="21"/>
        </w:rPr>
      </w:pPr>
      <w:r>
        <w:rPr>
          <w:rFonts w:hint="eastAsia" w:ascii="宋体" w:hAnsi="宋体" w:cs="宋体"/>
          <w:szCs w:val="21"/>
        </w:rPr>
        <w:t>（1）宣布开标。</w:t>
      </w:r>
    </w:p>
    <w:p w14:paraId="2D0CAC86">
      <w:pPr>
        <w:spacing w:line="400" w:lineRule="exact"/>
        <w:ind w:firstLine="420" w:firstLineChars="200"/>
        <w:rPr>
          <w:rFonts w:ascii="宋体" w:hAnsi="宋体" w:cs="宋体"/>
          <w:szCs w:val="21"/>
        </w:rPr>
      </w:pPr>
      <w:r>
        <w:rPr>
          <w:rFonts w:hint="eastAsia" w:ascii="宋体" w:hAnsi="宋体" w:cs="宋体"/>
          <w:szCs w:val="21"/>
        </w:rPr>
        <w:t>（2）本项目实行网上投标，采用电子投标文件。投标截止时间后，供应商登录政府采购云平台，用“项目采购-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8F650D8">
      <w:pPr>
        <w:spacing w:line="400" w:lineRule="exact"/>
        <w:ind w:firstLine="420" w:firstLineChars="200"/>
        <w:rPr>
          <w:rFonts w:ascii="宋体" w:hAnsi="宋体" w:cs="宋体"/>
          <w:szCs w:val="21"/>
        </w:rPr>
      </w:pPr>
      <w:r>
        <w:rPr>
          <w:rFonts w:hint="eastAsia" w:ascii="宋体" w:hAnsi="宋体" w:cs="宋体"/>
          <w:szCs w:val="21"/>
        </w:rPr>
        <w:t>（3）介绍开标现场的人员情况。</w:t>
      </w:r>
    </w:p>
    <w:p w14:paraId="1587544A">
      <w:pPr>
        <w:spacing w:line="400" w:lineRule="exact"/>
        <w:ind w:firstLine="420" w:firstLineChars="200"/>
        <w:rPr>
          <w:rFonts w:ascii="宋体" w:hAnsi="宋体" w:cs="宋体"/>
          <w:szCs w:val="21"/>
        </w:rPr>
      </w:pPr>
      <w:r>
        <w:rPr>
          <w:rFonts w:hint="eastAsia" w:ascii="宋体" w:hAnsi="宋体" w:cs="宋体"/>
          <w:szCs w:val="21"/>
        </w:rPr>
        <w:t>（4）宣读递交投标文件的供应商名单、开标纪律、应当回避的情形等注意事项。</w:t>
      </w:r>
    </w:p>
    <w:p w14:paraId="1ACF297A">
      <w:pPr>
        <w:spacing w:line="400" w:lineRule="exact"/>
        <w:ind w:firstLine="420" w:firstLineChars="200"/>
        <w:rPr>
          <w:rFonts w:ascii="宋体" w:hAnsi="宋体" w:cs="宋体"/>
          <w:szCs w:val="21"/>
        </w:rPr>
      </w:pPr>
      <w:r>
        <w:rPr>
          <w:rFonts w:hint="eastAsia" w:ascii="宋体" w:hAnsi="宋体" w:cs="宋体"/>
          <w:szCs w:val="21"/>
        </w:rPr>
        <w:t>（5）供应商签署不存在影响公平竞争的《政府采购活动现场确认声明书》。</w:t>
      </w:r>
    </w:p>
    <w:p w14:paraId="6F166616">
      <w:pPr>
        <w:spacing w:line="400" w:lineRule="exact"/>
        <w:ind w:firstLine="420" w:firstLineChars="200"/>
        <w:rPr>
          <w:rFonts w:ascii="宋体" w:hAnsi="宋体" w:cs="宋体"/>
          <w:szCs w:val="21"/>
        </w:rPr>
      </w:pPr>
      <w:r>
        <w:rPr>
          <w:rFonts w:hint="eastAsia" w:ascii="宋体" w:hAnsi="宋体" w:cs="宋体"/>
          <w:szCs w:val="21"/>
        </w:rPr>
        <w:t>（6）在政府采购云平台开启供应商解密后的“资格文件”、“商务和技术文件”、“报价文件”，宣读供应商名称、报价文件中“开标一览表”内容，以及采购人认为必要的其他内容与记录，并做开标记录。</w:t>
      </w:r>
    </w:p>
    <w:p w14:paraId="7C0F239F">
      <w:pPr>
        <w:spacing w:line="400" w:lineRule="exact"/>
        <w:ind w:firstLine="420" w:firstLineChars="200"/>
        <w:rPr>
          <w:rFonts w:ascii="宋体" w:hAnsi="宋体" w:cs="宋体"/>
          <w:szCs w:val="21"/>
        </w:rPr>
      </w:pPr>
      <w:r>
        <w:rPr>
          <w:rFonts w:hint="eastAsia" w:ascii="宋体" w:hAnsi="宋体" w:cs="宋体"/>
          <w:szCs w:val="21"/>
        </w:rPr>
        <w:t>（7）开标记录在政采云网站确认。</w:t>
      </w:r>
    </w:p>
    <w:p w14:paraId="712004CE">
      <w:pPr>
        <w:spacing w:line="400" w:lineRule="exact"/>
        <w:ind w:firstLine="420" w:firstLineChars="200"/>
        <w:rPr>
          <w:rFonts w:ascii="宋体" w:hAnsi="宋体" w:cs="宋体"/>
          <w:szCs w:val="21"/>
        </w:rPr>
      </w:pPr>
      <w:r>
        <w:rPr>
          <w:rFonts w:hint="eastAsia" w:ascii="宋体" w:hAnsi="宋体" w:cs="宋体"/>
          <w:szCs w:val="21"/>
        </w:rPr>
        <w:t>（8）开标结束。休会，评标委员会对“资格文件”、“商务和技术文件”、“报价文件”进行评审。</w:t>
      </w:r>
    </w:p>
    <w:p w14:paraId="097380F4">
      <w:pPr>
        <w:spacing w:line="400" w:lineRule="exact"/>
        <w:ind w:firstLine="420" w:firstLineChars="200"/>
        <w:rPr>
          <w:rFonts w:ascii="宋体" w:hAnsi="宋体" w:cs="宋体"/>
          <w:szCs w:val="21"/>
        </w:rPr>
      </w:pPr>
      <w:r>
        <w:rPr>
          <w:rFonts w:hint="eastAsia" w:ascii="宋体" w:hAnsi="宋体" w:cs="宋体"/>
          <w:szCs w:val="21"/>
        </w:rPr>
        <w:t>（9）在政府采购云平台公布中标候选供应商名单及采购人最终确定中标供应商名单的时间和公告方式等。</w:t>
      </w:r>
    </w:p>
    <w:p w14:paraId="433EA7F0">
      <w:pPr>
        <w:spacing w:line="400" w:lineRule="exact"/>
        <w:ind w:firstLine="420" w:firstLineChars="200"/>
        <w:rPr>
          <w:rFonts w:ascii="宋体" w:hAnsi="宋体" w:cs="宋体"/>
          <w:szCs w:val="21"/>
        </w:rPr>
      </w:pPr>
      <w:r>
        <w:rPr>
          <w:rFonts w:hint="eastAsia" w:ascii="宋体" w:hAnsi="宋体" w:cs="宋体"/>
          <w:szCs w:val="21"/>
        </w:rPr>
        <w:t>3.特别说明：政府采购云平台如对电子化开标及评审程序有调整的，按调整后的程序操作。</w:t>
      </w:r>
    </w:p>
    <w:p w14:paraId="65820DC0">
      <w:pPr>
        <w:spacing w:line="400" w:lineRule="exact"/>
        <w:ind w:firstLine="420" w:firstLineChars="200"/>
        <w:rPr>
          <w:rFonts w:ascii="宋体" w:hAnsi="宋体" w:cs="宋体"/>
          <w:szCs w:val="21"/>
        </w:rPr>
      </w:pPr>
      <w:r>
        <w:rPr>
          <w:rFonts w:hint="eastAsia" w:ascii="宋体" w:hAnsi="宋体" w:cs="宋体"/>
          <w:szCs w:val="21"/>
        </w:rPr>
        <w:t>本项目原则上采用政采云电子投标开标及评审程序，但</w:t>
      </w:r>
      <w:r>
        <w:rPr>
          <w:rFonts w:hint="eastAsia" w:ascii="宋体" w:hAnsi="宋体" w:cs="宋体"/>
          <w:szCs w:val="21"/>
          <w:lang w:eastAsia="zh-CN"/>
        </w:rPr>
        <w:t>有以</w:t>
      </w:r>
      <w:r>
        <w:rPr>
          <w:rFonts w:hint="eastAsia" w:ascii="宋体" w:hAnsi="宋体" w:cs="宋体"/>
          <w:szCs w:val="21"/>
        </w:rPr>
        <w:t>下情形之一的，按以下情况处理：</w:t>
      </w:r>
    </w:p>
    <w:p w14:paraId="5BF3368F">
      <w:pPr>
        <w:spacing w:line="400" w:lineRule="exact"/>
        <w:ind w:firstLine="420" w:firstLineChars="200"/>
        <w:rPr>
          <w:rFonts w:ascii="宋体" w:hAnsi="宋体" w:cs="宋体"/>
          <w:szCs w:val="21"/>
        </w:rPr>
      </w:pPr>
      <w:r>
        <w:rPr>
          <w:rFonts w:hint="eastAsia" w:ascii="宋体" w:hAnsi="宋体" w:cs="宋体"/>
          <w:szCs w:val="21"/>
        </w:rPr>
        <w:t>（1）若供应商在规定时间内无法解密或解密失败，代理机构将开启上述供应商递交的以U盘存储的电子备份投标文件，上传至政采云平台项目采购模块，以完成开标，电子投标文件自动失效。</w:t>
      </w:r>
    </w:p>
    <w:p w14:paraId="32D08E04">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14:paraId="0AC74D3D">
      <w:pPr>
        <w:spacing w:line="400" w:lineRule="exact"/>
        <w:ind w:firstLine="420" w:firstLineChars="200"/>
        <w:rPr>
          <w:rFonts w:ascii="宋体" w:hAnsi="宋体" w:cs="宋体"/>
          <w:szCs w:val="21"/>
        </w:rPr>
      </w:pPr>
      <w:r>
        <w:rPr>
          <w:rFonts w:hint="eastAsia" w:ascii="宋体" w:hAnsi="宋体" w:cs="宋体"/>
          <w:szCs w:val="21"/>
        </w:rPr>
        <w:t>（2.1）电子交易平台发生故障而无法登录访问的；</w:t>
      </w:r>
    </w:p>
    <w:p w14:paraId="5192013E">
      <w:pPr>
        <w:spacing w:line="400" w:lineRule="exact"/>
        <w:ind w:firstLine="420" w:firstLineChars="200"/>
        <w:rPr>
          <w:rFonts w:ascii="宋体" w:hAnsi="宋体" w:cs="宋体"/>
          <w:szCs w:val="21"/>
        </w:rPr>
      </w:pPr>
      <w:r>
        <w:rPr>
          <w:rFonts w:hint="eastAsia" w:ascii="宋体" w:hAnsi="宋体" w:cs="宋体"/>
          <w:szCs w:val="21"/>
        </w:rPr>
        <w:t>（2.2）电子交易平台应用或数据库出现错误，不能进行正常操作的；</w:t>
      </w:r>
    </w:p>
    <w:p w14:paraId="5A19B211">
      <w:pPr>
        <w:spacing w:line="400" w:lineRule="exact"/>
        <w:ind w:firstLine="420" w:firstLineChars="200"/>
        <w:rPr>
          <w:rFonts w:ascii="宋体" w:hAnsi="宋体" w:cs="宋体"/>
          <w:szCs w:val="21"/>
        </w:rPr>
      </w:pPr>
      <w:r>
        <w:rPr>
          <w:rFonts w:hint="eastAsia" w:ascii="宋体" w:hAnsi="宋体" w:cs="宋体"/>
          <w:szCs w:val="21"/>
        </w:rPr>
        <w:t>（2.3）电子交易平台发现严重安全漏洞，有潜在泄密危险的；</w:t>
      </w:r>
    </w:p>
    <w:p w14:paraId="0F7C9AC5">
      <w:pPr>
        <w:spacing w:line="400" w:lineRule="exact"/>
        <w:ind w:firstLine="420" w:firstLineChars="200"/>
        <w:rPr>
          <w:rFonts w:ascii="宋体" w:hAnsi="宋体" w:cs="宋体"/>
          <w:szCs w:val="21"/>
        </w:rPr>
      </w:pPr>
      <w:r>
        <w:rPr>
          <w:rFonts w:hint="eastAsia" w:ascii="宋体" w:hAnsi="宋体" w:cs="宋体"/>
          <w:szCs w:val="21"/>
        </w:rPr>
        <w:t xml:space="preserve">（2.4）病毒发作导致不能进行正常操作的； </w:t>
      </w:r>
    </w:p>
    <w:p w14:paraId="5C664ED7">
      <w:pPr>
        <w:spacing w:line="400" w:lineRule="exact"/>
        <w:ind w:firstLine="420" w:firstLineChars="200"/>
        <w:rPr>
          <w:rFonts w:ascii="宋体" w:hAnsi="宋体" w:cs="宋体"/>
          <w:szCs w:val="21"/>
        </w:rPr>
      </w:pPr>
      <w:r>
        <w:rPr>
          <w:rFonts w:hint="eastAsia" w:ascii="宋体" w:hAnsi="宋体" w:cs="宋体"/>
          <w:szCs w:val="21"/>
        </w:rPr>
        <w:t>（2.5）其他无法保证电子交易的公平、公正和安全的情况。</w:t>
      </w:r>
    </w:p>
    <w:p w14:paraId="473375DF">
      <w:pPr>
        <w:spacing w:line="400" w:lineRule="exact"/>
        <w:ind w:firstLine="420" w:firstLineChars="200"/>
        <w:rPr>
          <w:rFonts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14:paraId="0B77A7F9">
      <w:pPr>
        <w:spacing w:line="400" w:lineRule="exact"/>
        <w:rPr>
          <w:rFonts w:ascii="宋体" w:hAnsi="宋体" w:cs="宋体"/>
          <w:b/>
          <w:szCs w:val="21"/>
        </w:rPr>
      </w:pPr>
      <w:r>
        <w:rPr>
          <w:rFonts w:hint="eastAsia" w:ascii="宋体" w:hAnsi="宋体" w:cs="宋体"/>
          <w:b/>
          <w:szCs w:val="21"/>
        </w:rPr>
        <w:t>十三、评标</w:t>
      </w:r>
    </w:p>
    <w:p w14:paraId="2CE13DA7">
      <w:pPr>
        <w:wordWrap w:val="0"/>
        <w:spacing w:line="400" w:lineRule="exact"/>
        <w:ind w:firstLine="422" w:firstLineChars="200"/>
        <w:jc w:val="left"/>
        <w:rPr>
          <w:rFonts w:ascii="宋体" w:hAnsi="宋体" w:cs="宋体"/>
          <w:b/>
          <w:szCs w:val="21"/>
        </w:rPr>
      </w:pPr>
      <w:bookmarkStart w:id="16" w:name="_Toc17884841"/>
      <w:bookmarkStart w:id="17" w:name="_Toc460857925"/>
      <w:r>
        <w:rPr>
          <w:rFonts w:hint="eastAsia" w:ascii="宋体" w:hAnsi="宋体" w:cs="宋体"/>
          <w:b/>
          <w:szCs w:val="21"/>
        </w:rPr>
        <w:t>（一）组建评标委员会</w:t>
      </w:r>
      <w:bookmarkEnd w:id="16"/>
      <w:bookmarkEnd w:id="17"/>
    </w:p>
    <w:p w14:paraId="580702EA">
      <w:pPr>
        <w:pStyle w:val="26"/>
        <w:wordWrap w:val="0"/>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采购人依据《中华人民共和国政府采购法》、《中华人民共和国政府采购法实施条例》等有关规定组建评标委员会。评标委员会由采购人代表和专家组成，负责本项目的评标工作。</w:t>
      </w:r>
    </w:p>
    <w:p w14:paraId="20079D48">
      <w:pPr>
        <w:wordWrap w:val="0"/>
        <w:spacing w:line="400" w:lineRule="exact"/>
        <w:ind w:firstLine="422" w:firstLineChars="200"/>
        <w:jc w:val="left"/>
        <w:rPr>
          <w:rFonts w:ascii="宋体" w:hAnsi="宋体" w:cs="宋体"/>
          <w:b/>
          <w:szCs w:val="21"/>
        </w:rPr>
      </w:pPr>
      <w:bookmarkStart w:id="18" w:name="_Toc460857926"/>
      <w:bookmarkStart w:id="19" w:name="_Toc17884842"/>
      <w:r>
        <w:rPr>
          <w:rFonts w:hint="eastAsia" w:ascii="宋体" w:hAnsi="宋体" w:cs="宋体"/>
          <w:b/>
          <w:szCs w:val="21"/>
        </w:rPr>
        <w:t>（二）评标的方式</w:t>
      </w:r>
      <w:bookmarkEnd w:id="18"/>
      <w:bookmarkEnd w:id="19"/>
    </w:p>
    <w:p w14:paraId="5F299790">
      <w:pPr>
        <w:pStyle w:val="26"/>
        <w:wordWrap w:val="0"/>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本项目采用不公开方式评标，评标的依据为招标文件和投标文件。评标活动遵循公开、公平、公正、科学和择优的原则。</w:t>
      </w:r>
    </w:p>
    <w:p w14:paraId="59A8694B">
      <w:pPr>
        <w:wordWrap w:val="0"/>
        <w:spacing w:line="400" w:lineRule="exact"/>
        <w:ind w:firstLine="422" w:firstLineChars="200"/>
        <w:jc w:val="left"/>
        <w:rPr>
          <w:rFonts w:ascii="宋体" w:hAnsi="宋体" w:cs="宋体"/>
          <w:b/>
          <w:szCs w:val="21"/>
        </w:rPr>
      </w:pPr>
      <w:bookmarkStart w:id="20" w:name="_Toc17884843"/>
      <w:bookmarkStart w:id="21" w:name="_Toc460857927"/>
      <w:r>
        <w:rPr>
          <w:rFonts w:hint="eastAsia" w:ascii="宋体" w:hAnsi="宋体" w:cs="宋体"/>
          <w:b/>
          <w:szCs w:val="21"/>
        </w:rPr>
        <w:t>（三）评标程序</w:t>
      </w:r>
      <w:bookmarkEnd w:id="20"/>
      <w:bookmarkEnd w:id="21"/>
    </w:p>
    <w:p w14:paraId="2CDC575C">
      <w:pPr>
        <w:wordWrap w:val="0"/>
        <w:snapToGrid w:val="0"/>
        <w:spacing w:line="400" w:lineRule="exact"/>
        <w:ind w:firstLine="413" w:firstLineChars="196"/>
        <w:jc w:val="left"/>
        <w:rPr>
          <w:rFonts w:ascii="宋体" w:hAnsi="宋体" w:cs="宋体"/>
          <w:b/>
          <w:bCs/>
          <w:szCs w:val="21"/>
        </w:rPr>
      </w:pPr>
      <w:r>
        <w:rPr>
          <w:rFonts w:hint="eastAsia" w:ascii="宋体" w:hAnsi="宋体" w:cs="宋体"/>
          <w:b/>
          <w:bCs/>
          <w:szCs w:val="21"/>
        </w:rPr>
        <w:t>1.资格审查</w:t>
      </w:r>
    </w:p>
    <w:p w14:paraId="1C103A98">
      <w:pPr>
        <w:wordWrap w:val="0"/>
        <w:snapToGrid w:val="0"/>
        <w:spacing w:line="400" w:lineRule="exact"/>
        <w:ind w:firstLine="420" w:firstLineChars="200"/>
        <w:rPr>
          <w:rFonts w:ascii="宋体" w:hAnsi="宋体" w:cs="宋体"/>
          <w:b/>
          <w:szCs w:val="21"/>
        </w:rPr>
      </w:pPr>
      <w:r>
        <w:rPr>
          <w:rFonts w:hint="eastAsia" w:ascii="宋体" w:hAnsi="宋体" w:cs="宋体"/>
          <w:szCs w:val="21"/>
        </w:rPr>
        <w:t>招标代理机构工作人员对供应商的资格进行审查。</w:t>
      </w:r>
    </w:p>
    <w:p w14:paraId="35A48859">
      <w:pPr>
        <w:wordWrap w:val="0"/>
        <w:snapToGrid w:val="0"/>
        <w:spacing w:line="400" w:lineRule="exact"/>
        <w:ind w:firstLine="413" w:firstLineChars="196"/>
        <w:jc w:val="left"/>
        <w:rPr>
          <w:rFonts w:ascii="宋体" w:hAnsi="宋体" w:cs="宋体"/>
          <w:b/>
          <w:bCs/>
          <w:szCs w:val="21"/>
        </w:rPr>
      </w:pPr>
      <w:r>
        <w:rPr>
          <w:rFonts w:hint="eastAsia" w:ascii="宋体" w:hAnsi="宋体" w:cs="宋体"/>
          <w:b/>
          <w:bCs/>
          <w:szCs w:val="21"/>
        </w:rPr>
        <w:t>2.符合性审查与比较</w:t>
      </w:r>
    </w:p>
    <w:p w14:paraId="040FA1D7">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（1）评标委员会审查投标文件的实质性内容是否符合招标文件的实质性要求。</w:t>
      </w:r>
    </w:p>
    <w:p w14:paraId="66C070F9">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（2）评标委员会将根据供应商的投标文件进行审查、核对，如有疑问，将对供应商进行询标，供应商要向评标委员会澄清有关问题，并最终在政采云平台上进行答复。</w:t>
      </w:r>
    </w:p>
    <w:p w14:paraId="7FBADF50">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供应商代表未到场或者拒绝澄清或者澄清的内容改变了投标文件的实质性内容的，评标委员会有权对该投标文件作出不利于供应商的评判。</w:t>
      </w:r>
    </w:p>
    <w:p w14:paraId="3F15FE9E">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（3）各供应商的技术商务报价得分为所有评委的有效评分的算术平均数，由指定专人进行计算复核。</w:t>
      </w:r>
    </w:p>
    <w:p w14:paraId="49D5C54B">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（4）招标代理机构工作人员协助评标委员会根据本项目的评分标准计算各供应商的报价得分。</w:t>
      </w:r>
    </w:p>
    <w:p w14:paraId="28FEBC8B">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（5）评标委员会完成评标后，评委对各部分得分汇总，计算出本项目最终得分。评标委员会按评标原则推荐中标候选供应商同时起草评标报告。</w:t>
      </w:r>
    </w:p>
    <w:p w14:paraId="4F93E25C">
      <w:pPr>
        <w:wordWrap w:val="0"/>
        <w:spacing w:line="400" w:lineRule="exact"/>
        <w:ind w:firstLine="422" w:firstLineChars="200"/>
        <w:jc w:val="left"/>
        <w:rPr>
          <w:rFonts w:ascii="宋体" w:hAnsi="宋体" w:cs="宋体"/>
          <w:b/>
          <w:szCs w:val="21"/>
        </w:rPr>
      </w:pPr>
      <w:bookmarkStart w:id="22" w:name="_Toc460857928"/>
      <w:bookmarkStart w:id="23" w:name="_Toc17884844"/>
      <w:r>
        <w:rPr>
          <w:rFonts w:hint="eastAsia" w:ascii="宋体" w:hAnsi="宋体" w:cs="宋体"/>
          <w:b/>
          <w:szCs w:val="21"/>
        </w:rPr>
        <w:t>（四）澄清问题的形式</w:t>
      </w:r>
      <w:bookmarkEnd w:id="22"/>
      <w:bookmarkEnd w:id="23"/>
    </w:p>
    <w:p w14:paraId="775FB04C">
      <w:pPr>
        <w:widowControl/>
        <w:wordWrap w:val="0"/>
        <w:spacing w:line="400" w:lineRule="exact"/>
        <w:ind w:firstLine="420" w:firstLineChars="200"/>
        <w:jc w:val="left"/>
        <w:rPr>
          <w:rFonts w:ascii="宋体" w:hAnsi="宋体" w:cs="宋体"/>
          <w:szCs w:val="21"/>
        </w:rPr>
      </w:pPr>
      <w:bookmarkStart w:id="24" w:name="_Toc497898868"/>
      <w:bookmarkStart w:id="25" w:name="_Toc17884845"/>
      <w:bookmarkStart w:id="26" w:name="_Toc460857930"/>
      <w:r>
        <w:rPr>
          <w:rFonts w:hint="eastAsia" w:ascii="宋体" w:hAnsi="宋体" w:cs="宋体"/>
          <w:szCs w:val="21"/>
        </w:rPr>
        <w:t>对于投标文件中含义不明确、同类问题表述不一致或者有明显文字和计算错误的内容，评标委员会可要求供应商以询标形式作出必要的澄清、说明或者补正。</w:t>
      </w:r>
      <w:bookmarkEnd w:id="24"/>
    </w:p>
    <w:p w14:paraId="2CFB3B63">
      <w:pPr>
        <w:widowControl/>
        <w:wordWrap w:val="0"/>
        <w:spacing w:line="400" w:lineRule="exact"/>
        <w:ind w:firstLine="420" w:firstLineChars="200"/>
        <w:jc w:val="left"/>
        <w:rPr>
          <w:rFonts w:ascii="宋体" w:hAnsi="宋体" w:cs="宋体"/>
          <w:szCs w:val="21"/>
        </w:rPr>
      </w:pPr>
      <w:bookmarkStart w:id="27" w:name="_Toc497898869"/>
      <w:r>
        <w:rPr>
          <w:rFonts w:hint="eastAsia" w:ascii="宋体" w:hAnsi="宋体" w:cs="宋体"/>
          <w:szCs w:val="21"/>
        </w:rPr>
        <w:t>供应商的澄清、说明或者补正应当在政采云平台进行答复，并加盖公章，或者由法定代表人或其授权代表签字确认，供应商的澄清、说明或者补正不得超出投标文件的范围或者改变投标文件的实质性内容。</w:t>
      </w:r>
      <w:bookmarkEnd w:id="27"/>
    </w:p>
    <w:p w14:paraId="3D220E78">
      <w:pPr>
        <w:wordWrap w:val="0"/>
        <w:spacing w:line="400" w:lineRule="exact"/>
        <w:ind w:firstLine="422" w:firstLineChars="200"/>
        <w:jc w:val="left"/>
        <w:rPr>
          <w:rFonts w:ascii="宋体" w:hAnsi="宋体" w:cs="宋体"/>
          <w:b/>
          <w:szCs w:val="21"/>
        </w:rPr>
      </w:pPr>
      <w:bookmarkStart w:id="28" w:name="_Toc497898870"/>
      <w:r>
        <w:rPr>
          <w:rFonts w:hint="eastAsia" w:ascii="宋体" w:hAnsi="宋体" w:cs="宋体"/>
          <w:b/>
          <w:szCs w:val="21"/>
        </w:rPr>
        <w:t>（五）错误修正</w:t>
      </w:r>
      <w:bookmarkEnd w:id="28"/>
    </w:p>
    <w:p w14:paraId="5E91F2B3">
      <w:pPr>
        <w:pStyle w:val="347"/>
        <w:widowControl/>
        <w:wordWrap w:val="0"/>
        <w:spacing w:line="400" w:lineRule="exact"/>
        <w:ind w:left="689" w:leftChars="228" w:hanging="210" w:hangingChars="100"/>
        <w:jc w:val="left"/>
        <w:rPr>
          <w:rFonts w:hAnsi="宋体" w:cs="宋体"/>
          <w:szCs w:val="21"/>
        </w:rPr>
      </w:pPr>
      <w:r>
        <w:rPr>
          <w:rFonts w:hint="eastAsia" w:hAnsi="宋体" w:cs="宋体"/>
          <w:szCs w:val="21"/>
        </w:rPr>
        <w:t>投标文件报价出现前后不一致的，除招标文件另有规定外，按照下列规定修正：</w:t>
      </w:r>
    </w:p>
    <w:p w14:paraId="2018A674">
      <w:pPr>
        <w:pStyle w:val="347"/>
        <w:widowControl/>
        <w:wordWrap w:val="0"/>
        <w:spacing w:line="400" w:lineRule="exact"/>
        <w:ind w:firstLine="420" w:firstLineChars="200"/>
        <w:jc w:val="left"/>
        <w:rPr>
          <w:rFonts w:hAnsi="宋体" w:cs="宋体"/>
          <w:kern w:val="0"/>
          <w:szCs w:val="21"/>
        </w:rPr>
      </w:pPr>
      <w:r>
        <w:rPr>
          <w:rFonts w:hint="eastAsia" w:hAnsi="宋体" w:cs="宋体"/>
          <w:kern w:val="0"/>
          <w:szCs w:val="21"/>
        </w:rPr>
        <w:t>（1）投标文件中开标一览表内容与投标文件中分项报价表内容不一致的，以开标一览表为准。</w:t>
      </w:r>
    </w:p>
    <w:p w14:paraId="6CB6796B">
      <w:pPr>
        <w:pStyle w:val="347"/>
        <w:widowControl/>
        <w:wordWrap w:val="0"/>
        <w:spacing w:line="400" w:lineRule="exact"/>
        <w:ind w:firstLine="420" w:firstLineChars="200"/>
        <w:jc w:val="left"/>
        <w:rPr>
          <w:rFonts w:hAnsi="宋体" w:cs="宋体"/>
          <w:kern w:val="0"/>
          <w:szCs w:val="21"/>
        </w:rPr>
      </w:pPr>
      <w:r>
        <w:rPr>
          <w:rFonts w:hint="eastAsia" w:hAnsi="宋体" w:cs="宋体"/>
          <w:kern w:val="0"/>
          <w:szCs w:val="21"/>
        </w:rPr>
        <w:t>（2）投标文件的大写金额和小写金额不一致的，以大写金额为准。</w:t>
      </w:r>
    </w:p>
    <w:p w14:paraId="2F5CF070">
      <w:pPr>
        <w:pStyle w:val="347"/>
        <w:widowControl/>
        <w:wordWrap w:val="0"/>
        <w:spacing w:line="400" w:lineRule="exact"/>
        <w:ind w:firstLine="420" w:firstLineChars="200"/>
        <w:jc w:val="left"/>
        <w:rPr>
          <w:rFonts w:hAnsi="宋体" w:cs="宋体"/>
          <w:kern w:val="0"/>
          <w:szCs w:val="21"/>
        </w:rPr>
      </w:pPr>
      <w:r>
        <w:rPr>
          <w:rFonts w:hint="eastAsia" w:hAnsi="宋体" w:cs="宋体"/>
          <w:kern w:val="0"/>
          <w:szCs w:val="21"/>
        </w:rPr>
        <w:t>（3）单价金额小数点或者百分比有明显错位的，以开标一览表的总价为准，并修改单价。</w:t>
      </w:r>
    </w:p>
    <w:p w14:paraId="1B80C830">
      <w:pPr>
        <w:pStyle w:val="347"/>
        <w:widowControl/>
        <w:wordWrap w:val="0"/>
        <w:spacing w:line="400" w:lineRule="exact"/>
        <w:ind w:firstLine="420" w:firstLineChars="200"/>
        <w:jc w:val="left"/>
        <w:rPr>
          <w:rFonts w:hAnsi="宋体" w:cs="宋体"/>
          <w:kern w:val="0"/>
          <w:szCs w:val="21"/>
        </w:rPr>
      </w:pPr>
      <w:r>
        <w:rPr>
          <w:rFonts w:hint="eastAsia" w:hAnsi="宋体" w:cs="宋体"/>
          <w:kern w:val="0"/>
          <w:szCs w:val="21"/>
        </w:rPr>
        <w:t>（4）总价金额与按单价汇总金额不一致的，以单价金额计算结果为准。</w:t>
      </w:r>
    </w:p>
    <w:p w14:paraId="368CA890">
      <w:pPr>
        <w:pStyle w:val="347"/>
        <w:widowControl/>
        <w:wordWrap w:val="0"/>
        <w:spacing w:line="400" w:lineRule="exact"/>
        <w:ind w:firstLine="422" w:firstLineChars="200"/>
        <w:jc w:val="left"/>
        <w:rPr>
          <w:rFonts w:hAnsi="宋体" w:cs="宋体"/>
          <w:b/>
          <w:bCs/>
          <w:szCs w:val="21"/>
        </w:rPr>
      </w:pPr>
      <w:r>
        <w:rPr>
          <w:rFonts w:hint="eastAsia" w:hAnsi="宋体" w:cs="宋体"/>
          <w:b/>
          <w:bCs/>
          <w:szCs w:val="21"/>
        </w:rPr>
        <w:t>同时出现两种以上不一致的，按照前款规定的顺序修正。修正后的报价经供应商确认后具有约束力，若供应商不确认的，则其投标无效。</w:t>
      </w:r>
    </w:p>
    <w:p w14:paraId="4D2B6EF5">
      <w:pPr>
        <w:pStyle w:val="347"/>
        <w:widowControl/>
        <w:wordWrap w:val="0"/>
        <w:spacing w:line="400" w:lineRule="exact"/>
        <w:ind w:firstLine="422" w:firstLineChars="200"/>
        <w:jc w:val="left"/>
        <w:rPr>
          <w:rFonts w:hAnsi="宋体" w:cs="宋体"/>
          <w:kern w:val="0"/>
          <w:szCs w:val="21"/>
        </w:rPr>
      </w:pPr>
      <w:r>
        <w:rPr>
          <w:rFonts w:hint="eastAsia" w:hAnsi="宋体" w:cs="宋体"/>
          <w:b/>
          <w:bCs/>
          <w:kern w:val="0"/>
          <w:szCs w:val="21"/>
        </w:rPr>
        <w:t>其他说明：投标文件中开标一览表内容与政采云系统“开标一览表”中录入的内容不一致的，以投标文件中开标一览表为准。</w:t>
      </w:r>
    </w:p>
    <w:p w14:paraId="164C9442">
      <w:pPr>
        <w:wordWrap w:val="0"/>
        <w:spacing w:line="400" w:lineRule="exact"/>
        <w:ind w:firstLine="422" w:firstLineChars="200"/>
        <w:jc w:val="left"/>
        <w:rPr>
          <w:rFonts w:ascii="宋体" w:hAnsi="宋体" w:cs="宋体"/>
          <w:b/>
          <w:szCs w:val="21"/>
        </w:rPr>
      </w:pPr>
      <w:r>
        <w:rPr>
          <w:rFonts w:hint="eastAsia" w:ascii="宋体" w:hAnsi="宋体" w:cs="宋体"/>
          <w:b/>
          <w:szCs w:val="21"/>
        </w:rPr>
        <w:t>（六）评标原则和评标办法</w:t>
      </w:r>
      <w:bookmarkEnd w:id="25"/>
      <w:bookmarkEnd w:id="26"/>
    </w:p>
    <w:p w14:paraId="12E066FF">
      <w:pPr>
        <w:pStyle w:val="26"/>
        <w:wordWrap w:val="0"/>
        <w:snapToGrid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5DBEEE5">
      <w:pPr>
        <w:spacing w:line="400" w:lineRule="exact"/>
        <w:ind w:firstLine="422" w:firstLineChars="200"/>
        <w:rPr>
          <w:rFonts w:ascii="宋体" w:hAnsi="宋体" w:cs="宋体"/>
          <w:szCs w:val="21"/>
        </w:rPr>
      </w:pPr>
      <w:r>
        <w:rPr>
          <w:rFonts w:hint="eastAsia" w:ascii="宋体" w:hAnsi="宋体" w:cs="宋体"/>
          <w:b/>
          <w:szCs w:val="21"/>
        </w:rPr>
        <w:t>2.评标办法。本项目评标办法是</w:t>
      </w:r>
      <w:r>
        <w:rPr>
          <w:rFonts w:hint="eastAsia" w:ascii="宋体" w:hAnsi="宋体" w:cs="宋体"/>
          <w:b/>
          <w:szCs w:val="21"/>
          <w:u w:val="single"/>
        </w:rPr>
        <w:t xml:space="preserve"> 综合评分法 </w:t>
      </w:r>
      <w:r>
        <w:rPr>
          <w:rFonts w:hint="eastAsia" w:ascii="宋体" w:hAnsi="宋体" w:cs="宋体"/>
          <w:b/>
          <w:szCs w:val="21"/>
        </w:rPr>
        <w:t>，具体评标内容及评分标准等详见“第五章 评标办法及评分标准”。</w:t>
      </w:r>
    </w:p>
    <w:p w14:paraId="2168B21E">
      <w:pPr>
        <w:wordWrap w:val="0"/>
        <w:spacing w:line="400" w:lineRule="exact"/>
        <w:rPr>
          <w:rFonts w:ascii="宋体" w:hAnsi="宋体" w:cs="宋体"/>
          <w:b/>
          <w:szCs w:val="21"/>
        </w:rPr>
      </w:pPr>
      <w:bookmarkStart w:id="29" w:name="_Toc17884846"/>
      <w:bookmarkStart w:id="30" w:name="_Toc460857931"/>
      <w:r>
        <w:rPr>
          <w:rFonts w:hint="eastAsia" w:ascii="宋体" w:hAnsi="宋体" w:cs="宋体"/>
          <w:b/>
          <w:szCs w:val="21"/>
        </w:rPr>
        <w:t>十四、</w:t>
      </w:r>
      <w:bookmarkEnd w:id="29"/>
      <w:bookmarkEnd w:id="30"/>
      <w:r>
        <w:rPr>
          <w:rFonts w:hint="eastAsia" w:ascii="宋体" w:hAnsi="宋体" w:cs="宋体"/>
          <w:b/>
          <w:szCs w:val="21"/>
        </w:rPr>
        <w:t>项目终止</w:t>
      </w:r>
    </w:p>
    <w:p w14:paraId="4885E417">
      <w:pPr>
        <w:wordWrap w:val="0"/>
        <w:snapToGrid w:val="0"/>
        <w:spacing w:line="400" w:lineRule="exact"/>
        <w:ind w:firstLine="420" w:firstLineChars="200"/>
        <w:jc w:val="left"/>
        <w:rPr>
          <w:rFonts w:ascii="宋体" w:hAnsi="宋体" w:cs="宋体"/>
          <w:szCs w:val="21"/>
        </w:rPr>
      </w:pPr>
      <w:bookmarkStart w:id="31" w:name="_Toc460857932"/>
      <w:r>
        <w:rPr>
          <w:rFonts w:hint="eastAsia" w:ascii="宋体" w:hAnsi="宋体" w:cs="宋体"/>
          <w:szCs w:val="21"/>
        </w:rPr>
        <w:t>政府采购的国内公开招标，采购响应截止时间或评审期间，出现参与采购响应或者对招标文件作出实质性响应的供应商不足3家的情况，本项目终止招标。</w:t>
      </w:r>
    </w:p>
    <w:p w14:paraId="538C333A">
      <w:pPr>
        <w:wordWrap w:val="0"/>
        <w:spacing w:line="400" w:lineRule="exact"/>
        <w:rPr>
          <w:rFonts w:ascii="宋体" w:hAnsi="宋体" w:cs="宋体"/>
          <w:b/>
          <w:szCs w:val="21"/>
        </w:rPr>
      </w:pPr>
      <w:bookmarkStart w:id="32" w:name="_Toc17884847"/>
      <w:r>
        <w:rPr>
          <w:rFonts w:hint="eastAsia" w:ascii="宋体" w:hAnsi="宋体" w:cs="宋体"/>
          <w:b/>
          <w:szCs w:val="21"/>
        </w:rPr>
        <w:t>十五、定标</w:t>
      </w:r>
      <w:bookmarkEnd w:id="31"/>
      <w:bookmarkEnd w:id="32"/>
    </w:p>
    <w:p w14:paraId="44960EFD">
      <w:pPr>
        <w:wordWrap w:val="0"/>
        <w:spacing w:line="400" w:lineRule="exact"/>
        <w:ind w:firstLine="422" w:firstLineChars="200"/>
        <w:rPr>
          <w:rFonts w:ascii="宋体" w:hAnsi="宋体" w:cs="宋体"/>
          <w:b/>
          <w:szCs w:val="21"/>
        </w:rPr>
      </w:pPr>
      <w:bookmarkStart w:id="33" w:name="_Toc17884848"/>
      <w:bookmarkStart w:id="34" w:name="_Toc460857933"/>
      <w:r>
        <w:rPr>
          <w:rFonts w:hint="eastAsia" w:ascii="宋体" w:hAnsi="宋体" w:cs="宋体"/>
          <w:b/>
          <w:szCs w:val="21"/>
        </w:rPr>
        <w:t>（一）确定</w:t>
      </w:r>
      <w:bookmarkEnd w:id="33"/>
      <w:bookmarkEnd w:id="34"/>
      <w:r>
        <w:rPr>
          <w:rFonts w:hint="eastAsia" w:ascii="宋体" w:hAnsi="宋体" w:cs="宋体"/>
          <w:b/>
          <w:szCs w:val="21"/>
        </w:rPr>
        <w:t>中标供应商</w:t>
      </w:r>
    </w:p>
    <w:p w14:paraId="4BC9CE5C">
      <w:pPr>
        <w:pStyle w:val="26"/>
        <w:wordWrap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1.确定中标供应商。本项目由评标委员会推荐中标候选供应商，采购人不得在评标委员会推荐的中标候选供应商以外确定中标供应商。</w:t>
      </w:r>
    </w:p>
    <w:p w14:paraId="17FE8015">
      <w:pPr>
        <w:pStyle w:val="26"/>
        <w:wordWrap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2.招标代理机构在评标结束后2个工作日内将评标报告交采购人确认，采购人在收到评标报告之日起5个工作日内在评标报告确定的中标候选供应商中按顺序确定中标供应商，采购人在收到评标报告之日起5个工作日内未按评标报告推荐的中标候选供应商排序确定中标供应商，又不能说明合法理由的，视同按评标报告推荐的顺序确定排名第一的中标候选供应商为中标供应商。</w:t>
      </w:r>
    </w:p>
    <w:p w14:paraId="1984653F">
      <w:pPr>
        <w:pStyle w:val="26"/>
        <w:wordWrap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3.招标代理机构自中标供应商确定之日起2个工作日内，在发布采购公告的网站上对中标结果进行公示，中标结果公告期限为1个工作日。</w:t>
      </w:r>
    </w:p>
    <w:p w14:paraId="072CDD89">
      <w:pPr>
        <w:pStyle w:val="26"/>
        <w:wordWrap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中标通知书领取方式：</w:t>
      </w:r>
      <w:r>
        <w:fldChar w:fldCharType="begin"/>
      </w:r>
      <w:r>
        <w:instrText xml:space="preserve"> HYPERLINK "mailto:邮寄或现场领取；如需邮寄的，请把开票信息及邮寄地址发送至采购代理机构邮箱nbitc@126.com。" </w:instrText>
      </w:r>
      <w:r>
        <w:fldChar w:fldCharType="separate"/>
      </w:r>
      <w:r>
        <w:rPr>
          <w:rFonts w:hint="eastAsia" w:hAnsi="宋体" w:cs="宋体"/>
          <w:sz w:val="21"/>
          <w:szCs w:val="21"/>
        </w:rPr>
        <w:t>邮寄或现场领取；如需邮寄的，请把开票信息及邮寄地址发送至招标代理机构邮箱nbitc@126.com。</w:t>
      </w:r>
      <w:r>
        <w:rPr>
          <w:rFonts w:hint="eastAsia" w:hAnsi="宋体" w:cs="宋体"/>
          <w:sz w:val="21"/>
          <w:szCs w:val="21"/>
        </w:rPr>
        <w:fldChar w:fldCharType="end"/>
      </w:r>
    </w:p>
    <w:p w14:paraId="5F3B745C">
      <w:pPr>
        <w:pStyle w:val="26"/>
        <w:wordWrap w:val="0"/>
        <w:spacing w:before="0" w:beforeAutospacing="0" w:after="0" w:afterAutospacing="0" w:line="400" w:lineRule="exact"/>
        <w:ind w:firstLine="420" w:firstLineChars="200"/>
        <w:rPr>
          <w:rFonts w:hAnsi="宋体" w:cs="宋体"/>
          <w:sz w:val="21"/>
          <w:szCs w:val="21"/>
        </w:rPr>
      </w:pPr>
      <w:r>
        <w:rPr>
          <w:rFonts w:hint="eastAsia" w:hAnsi="宋体" w:cs="宋体"/>
          <w:sz w:val="21"/>
          <w:szCs w:val="21"/>
        </w:rPr>
        <w:t>4.凡发现中标供应商有下列行为之一的，将移交政府采购监督管理部门依法处理：</w:t>
      </w:r>
    </w:p>
    <w:p w14:paraId="06EBD1FB">
      <w:pPr>
        <w:wordWrap w:val="0"/>
        <w:spacing w:line="400" w:lineRule="exact"/>
        <w:ind w:left="400"/>
        <w:rPr>
          <w:rFonts w:ascii="宋体" w:hAnsi="宋体" w:cs="宋体"/>
          <w:szCs w:val="21"/>
        </w:rPr>
      </w:pPr>
      <w:r>
        <w:rPr>
          <w:rFonts w:hint="eastAsia" w:ascii="宋体" w:hAnsi="宋体" w:cs="宋体"/>
          <w:szCs w:val="21"/>
        </w:rPr>
        <w:t>（1）提供虚假材料谋取中标的；</w:t>
      </w:r>
    </w:p>
    <w:p w14:paraId="1FE33485">
      <w:pPr>
        <w:wordWrap w:val="0"/>
        <w:spacing w:line="400" w:lineRule="exact"/>
        <w:ind w:left="400"/>
        <w:rPr>
          <w:rFonts w:ascii="宋体" w:hAnsi="宋体" w:cs="宋体"/>
          <w:szCs w:val="21"/>
        </w:rPr>
      </w:pPr>
      <w:r>
        <w:rPr>
          <w:rFonts w:hint="eastAsia" w:ascii="宋体" w:hAnsi="宋体" w:cs="宋体"/>
          <w:szCs w:val="21"/>
        </w:rPr>
        <w:t>（2）采取不正当手段诋毁、排挤其他供应商的；</w:t>
      </w:r>
    </w:p>
    <w:p w14:paraId="6A629DD8">
      <w:pPr>
        <w:wordWrap w:val="0"/>
        <w:spacing w:line="400" w:lineRule="exact"/>
        <w:ind w:left="400"/>
        <w:rPr>
          <w:rFonts w:ascii="宋体" w:hAnsi="宋体" w:cs="宋体"/>
          <w:szCs w:val="21"/>
        </w:rPr>
      </w:pPr>
      <w:r>
        <w:rPr>
          <w:rFonts w:hint="eastAsia" w:ascii="宋体" w:hAnsi="宋体" w:cs="宋体"/>
          <w:szCs w:val="21"/>
        </w:rPr>
        <w:t>（3）与采购人、其他供应商或者招标代理机构工作人员恶意串通的；</w:t>
      </w:r>
    </w:p>
    <w:p w14:paraId="644E44E7">
      <w:pPr>
        <w:wordWrap w:val="0"/>
        <w:spacing w:line="400" w:lineRule="exact"/>
        <w:ind w:left="400"/>
        <w:rPr>
          <w:rFonts w:ascii="宋体" w:hAnsi="宋体" w:cs="宋体"/>
          <w:szCs w:val="21"/>
        </w:rPr>
      </w:pPr>
      <w:r>
        <w:rPr>
          <w:rFonts w:hint="eastAsia" w:ascii="宋体" w:hAnsi="宋体" w:cs="宋体"/>
          <w:szCs w:val="21"/>
        </w:rPr>
        <w:t>（4）向采购人或招标代理机构人员行贿或者提供其他不正当利益的；</w:t>
      </w:r>
    </w:p>
    <w:p w14:paraId="29B63F2A">
      <w:pPr>
        <w:wordWrap w:val="0"/>
        <w:spacing w:line="400" w:lineRule="exact"/>
        <w:ind w:left="400"/>
        <w:rPr>
          <w:rFonts w:ascii="宋体" w:hAnsi="宋体" w:cs="宋体"/>
          <w:szCs w:val="21"/>
        </w:rPr>
      </w:pPr>
      <w:r>
        <w:rPr>
          <w:rFonts w:hint="eastAsia" w:ascii="宋体" w:hAnsi="宋体" w:cs="宋体"/>
          <w:szCs w:val="21"/>
        </w:rPr>
        <w:t>（5）拒绝有关部门监督检查或者提供虚假情况的；</w:t>
      </w:r>
    </w:p>
    <w:p w14:paraId="4FA201A7">
      <w:pPr>
        <w:wordWrap w:val="0"/>
        <w:spacing w:line="400" w:lineRule="exact"/>
        <w:ind w:left="400"/>
        <w:rPr>
          <w:rFonts w:ascii="宋体" w:hAnsi="宋体" w:cs="宋体"/>
          <w:szCs w:val="21"/>
        </w:rPr>
      </w:pPr>
      <w:r>
        <w:rPr>
          <w:rFonts w:hint="eastAsia" w:ascii="宋体" w:hAnsi="宋体" w:cs="宋体"/>
          <w:szCs w:val="21"/>
        </w:rPr>
        <w:t>（6）有法律、法规规定的其他损害采购人利益和社会公共利益情形的。</w:t>
      </w:r>
    </w:p>
    <w:p w14:paraId="152643E1">
      <w:pPr>
        <w:widowControl/>
        <w:wordWrap w:val="0"/>
        <w:spacing w:line="400" w:lineRule="exact"/>
        <w:jc w:val="left"/>
        <w:rPr>
          <w:rFonts w:ascii="宋体" w:hAnsi="宋体" w:cs="宋体"/>
          <w:b/>
          <w:szCs w:val="21"/>
        </w:rPr>
      </w:pPr>
      <w:bookmarkStart w:id="35" w:name="_Toc497898872"/>
      <w:r>
        <w:rPr>
          <w:rFonts w:hint="eastAsia" w:ascii="宋体" w:hAnsi="宋体" w:cs="宋体"/>
          <w:b/>
          <w:szCs w:val="21"/>
        </w:rPr>
        <w:t>十六、评标过程的监控</w:t>
      </w:r>
      <w:bookmarkEnd w:id="35"/>
    </w:p>
    <w:p w14:paraId="237AFC1C">
      <w:pPr>
        <w:spacing w:line="400" w:lineRule="exact"/>
        <w:ind w:firstLine="420" w:firstLineChars="200"/>
        <w:rPr>
          <w:rFonts w:ascii="宋体" w:hAnsi="宋体" w:cs="宋体"/>
          <w:szCs w:val="21"/>
        </w:rPr>
      </w:pPr>
      <w:bookmarkStart w:id="36" w:name="_Toc497898873"/>
      <w:r>
        <w:rPr>
          <w:rFonts w:hint="eastAsia" w:ascii="宋体" w:hAnsi="宋体" w:cs="宋体"/>
          <w:szCs w:val="21"/>
        </w:rPr>
        <w:t>本项目评标过程实行全程录音</w:t>
      </w:r>
      <w:r>
        <w:rPr>
          <w:rFonts w:hint="eastAsia" w:ascii="宋体" w:hAnsi="宋体" w:cs="宋体"/>
          <w:bCs/>
          <w:szCs w:val="21"/>
        </w:rPr>
        <w:t>、录像监控，供应商在评标过程中所进行的试图影响评标结果的不公正活动，可能导致其投标被拒绝。</w:t>
      </w:r>
      <w:bookmarkEnd w:id="36"/>
    </w:p>
    <w:p w14:paraId="33EA68CB">
      <w:pPr>
        <w:spacing w:line="400" w:lineRule="exact"/>
        <w:rPr>
          <w:rFonts w:ascii="宋体" w:hAnsi="宋体" w:cs="宋体"/>
          <w:b/>
          <w:szCs w:val="21"/>
        </w:rPr>
      </w:pPr>
      <w:r>
        <w:rPr>
          <w:rFonts w:hint="eastAsia" w:ascii="宋体" w:hAnsi="宋体" w:cs="宋体"/>
          <w:b/>
          <w:szCs w:val="21"/>
        </w:rPr>
        <w:t>十七、招标文件的澄清和修改</w:t>
      </w:r>
    </w:p>
    <w:p w14:paraId="473535ED">
      <w:p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s="宋体"/>
          <w:szCs w:val="21"/>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7CF9F98C">
      <w:pPr>
        <w:spacing w:line="400" w:lineRule="exact"/>
        <w:rPr>
          <w:rFonts w:ascii="宋体" w:hAnsi="宋体" w:cs="宋体"/>
          <w:b/>
          <w:szCs w:val="21"/>
        </w:rPr>
      </w:pPr>
      <w:r>
        <w:rPr>
          <w:rFonts w:hint="eastAsia" w:ascii="宋体" w:hAnsi="宋体" w:cs="宋体"/>
          <w:b/>
          <w:szCs w:val="21"/>
        </w:rPr>
        <w:t>十八、质疑与投诉</w:t>
      </w:r>
    </w:p>
    <w:p w14:paraId="6BC1DB6F">
      <w:pPr>
        <w:spacing w:line="400" w:lineRule="exact"/>
        <w:ind w:firstLine="420" w:firstLineChars="200"/>
        <w:rPr>
          <w:rFonts w:ascii="宋体" w:hAnsi="宋体" w:cs="宋体"/>
          <w:szCs w:val="21"/>
        </w:rPr>
      </w:pPr>
      <w:r>
        <w:rPr>
          <w:rFonts w:hint="eastAsia" w:ascii="宋体" w:hAnsi="宋体" w:cs="宋体"/>
          <w:szCs w:val="21"/>
        </w:rPr>
        <w:t>1.供应商认为招标文件、采购过程、中标或者成交结果使自己的权益受到损害的，可以在知道或者应知其权益受到损害之日起7个工作日内，以书面形式向采购人、代理机构提出质疑。供应商应当在法定质疑期内一次性提出针对采购公告、招标文件、开标评标、采购结果等同一采购程序环节的质疑，第二次提出的质疑视为质疑无效，采购人、代理机构将不予受理（对于采购人、代理机构作出的澄清或者修改的内容提出质疑的除外）。</w:t>
      </w:r>
    </w:p>
    <w:p w14:paraId="6801C71B">
      <w:pPr>
        <w:spacing w:line="400" w:lineRule="exact"/>
        <w:ind w:firstLine="420" w:firstLineChars="200"/>
        <w:rPr>
          <w:rFonts w:ascii="宋体" w:hAnsi="宋体" w:cs="宋体"/>
          <w:szCs w:val="21"/>
        </w:rPr>
      </w:pPr>
      <w:r>
        <w:rPr>
          <w:rFonts w:hint="eastAsia" w:ascii="宋体" w:hAnsi="宋体" w:cs="宋体"/>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14:paraId="33C920F0">
      <w:pPr>
        <w:spacing w:line="400" w:lineRule="exact"/>
        <w:ind w:firstLine="420" w:firstLineChars="200"/>
        <w:rPr>
          <w:rFonts w:ascii="宋体" w:hAnsi="宋体" w:cs="宋体"/>
          <w:szCs w:val="21"/>
        </w:rPr>
      </w:pPr>
      <w:r>
        <w:rPr>
          <w:rFonts w:hint="eastAsia" w:ascii="宋体" w:hAnsi="宋体" w:cs="宋体"/>
          <w:szCs w:val="21"/>
        </w:rPr>
        <w:t>3.供应商提出质疑应当提交质疑函和必要的证明材料，质疑函应当以书面形式提出，质疑函格式和内容须符合财政部《质疑函范本》、《投诉书范本》要求，供应商可到中国政府采购网自行下载财政部《质疑函范本》、《投诉书范本》。</w:t>
      </w:r>
    </w:p>
    <w:p w14:paraId="552AD932">
      <w:pPr>
        <w:spacing w:line="400" w:lineRule="exact"/>
        <w:ind w:firstLine="420" w:firstLineChars="200"/>
        <w:rPr>
          <w:rFonts w:ascii="宋体" w:hAnsi="宋体" w:cs="宋体"/>
          <w:szCs w:val="21"/>
        </w:rPr>
      </w:pPr>
      <w:r>
        <w:rPr>
          <w:rFonts w:hint="eastAsia" w:ascii="宋体" w:hAnsi="宋体" w:cs="宋体"/>
          <w:szCs w:val="21"/>
        </w:rPr>
        <w:t>4.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01AAAD9F">
      <w:pPr>
        <w:spacing w:line="400" w:lineRule="exact"/>
        <w:ind w:firstLine="420" w:firstLineChars="200"/>
        <w:rPr>
          <w:rFonts w:ascii="宋体" w:hAnsi="宋体" w:cs="宋体"/>
          <w:szCs w:val="21"/>
        </w:rPr>
      </w:pPr>
      <w:r>
        <w:rPr>
          <w:rFonts w:hint="eastAsia" w:ascii="宋体" w:hAnsi="宋体" w:cs="宋体"/>
          <w:szCs w:val="21"/>
        </w:rPr>
        <w:t>5.采购人、代理机构接收质疑函的方式：只接收供应商以当面递交、邮寄、传真或电子邮件方式提出的质疑函，以其他方式提出的质疑不予接收。</w:t>
      </w:r>
    </w:p>
    <w:p w14:paraId="58743E96">
      <w:pPr>
        <w:spacing w:line="400" w:lineRule="exact"/>
        <w:ind w:firstLine="420" w:firstLineChars="200"/>
        <w:rPr>
          <w:rFonts w:ascii="宋体" w:hAnsi="宋体" w:cs="宋体"/>
          <w:szCs w:val="21"/>
        </w:rPr>
      </w:pPr>
      <w:r>
        <w:rPr>
          <w:rFonts w:hint="eastAsia" w:ascii="宋体" w:hAnsi="宋体" w:cs="宋体"/>
          <w:szCs w:val="21"/>
        </w:rPr>
        <w:t>采取邮寄方式的，提出质疑的时间为质疑函原件交邮的时间（以邮戳时间或快递收件时间为准）。</w:t>
      </w:r>
    </w:p>
    <w:p w14:paraId="63CA4FC4">
      <w:pPr>
        <w:spacing w:line="400" w:lineRule="exact"/>
        <w:ind w:firstLine="420" w:firstLineChars="200"/>
        <w:rPr>
          <w:rFonts w:ascii="宋体" w:hAnsi="宋体" w:cs="宋体"/>
          <w:szCs w:val="21"/>
        </w:rPr>
      </w:pPr>
      <w:r>
        <w:rPr>
          <w:rFonts w:hint="eastAsia" w:ascii="宋体" w:hAnsi="宋体" w:cs="宋体"/>
          <w:szCs w:val="21"/>
        </w:rPr>
        <w:t>采取传真、电子邮件方式的，供应商应当在传真、电子邮件发出后将质疑函原件邮寄给被质疑人，提出质疑的时间为质疑函原件交邮的时间（以邮戳时间或快递收件时间为准）。</w:t>
      </w:r>
    </w:p>
    <w:p w14:paraId="700AE124">
      <w:pPr>
        <w:spacing w:line="400" w:lineRule="exact"/>
        <w:ind w:firstLine="420" w:firstLineChars="200"/>
        <w:rPr>
          <w:rFonts w:ascii="宋体" w:hAnsi="宋体" w:cs="宋体"/>
          <w:szCs w:val="21"/>
        </w:rPr>
      </w:pPr>
      <w:r>
        <w:rPr>
          <w:rFonts w:hint="eastAsia" w:ascii="宋体" w:hAnsi="宋体" w:cs="宋体"/>
          <w:szCs w:val="21"/>
        </w:rPr>
        <w:t>6.采购人、代理机构以实际收到质疑函原件之日作为收到质疑函的日期，将在收到质疑函后7个工作日内作出答复。</w:t>
      </w:r>
    </w:p>
    <w:p w14:paraId="1F51E4AA">
      <w:pPr>
        <w:spacing w:line="400" w:lineRule="exact"/>
        <w:ind w:firstLine="420" w:firstLineChars="200"/>
        <w:rPr>
          <w:rFonts w:ascii="宋体" w:hAnsi="宋体" w:cs="宋体"/>
          <w:szCs w:val="21"/>
        </w:rPr>
      </w:pPr>
      <w:r>
        <w:rPr>
          <w:rFonts w:hint="eastAsia" w:ascii="宋体" w:hAnsi="宋体" w:cs="宋体"/>
          <w:szCs w:val="21"/>
        </w:rPr>
        <w:t>7.采购人、代理机构接收质疑函的联系人、联系电话和通讯地址等信息详见采购公告。</w:t>
      </w:r>
    </w:p>
    <w:p w14:paraId="2E19F240">
      <w:pPr>
        <w:spacing w:line="400" w:lineRule="exact"/>
        <w:rPr>
          <w:rFonts w:ascii="宋体" w:hAnsi="宋体" w:cs="宋体"/>
          <w:szCs w:val="21"/>
        </w:rPr>
      </w:pPr>
      <w:r>
        <w:rPr>
          <w:rFonts w:hint="eastAsia" w:ascii="宋体" w:hAnsi="宋体" w:cs="宋体"/>
          <w:b/>
          <w:szCs w:val="21"/>
        </w:rPr>
        <w:t>★十九、预算金额（最高限价）</w:t>
      </w:r>
    </w:p>
    <w:p w14:paraId="7675DDCF">
      <w:pPr>
        <w:spacing w:line="400" w:lineRule="exact"/>
        <w:ind w:firstLine="420" w:firstLineChars="200"/>
        <w:rPr>
          <w:rFonts w:ascii="宋体" w:hAnsi="宋体" w:cs="宋体"/>
          <w:szCs w:val="21"/>
        </w:rPr>
      </w:pPr>
      <w:bookmarkStart w:id="37" w:name="_Hlk37142004"/>
      <w:r>
        <w:rPr>
          <w:rFonts w:hint="eastAsia" w:ascii="宋体" w:hAnsi="宋体" w:cs="宋体"/>
          <w:szCs w:val="21"/>
        </w:rPr>
        <w:t>1.本次公开招标设有预算金额（最高限价），投标报价超过对应标项预算金额（最高限价）的投标将作为无效投标。</w:t>
      </w:r>
    </w:p>
    <w:p w14:paraId="0BD27ADC">
      <w:pPr>
        <w:spacing w:line="400" w:lineRule="exact"/>
        <w:ind w:firstLine="420" w:firstLineChars="200"/>
        <w:rPr>
          <w:rFonts w:ascii="宋体" w:hAnsi="宋体" w:cs="宋体"/>
          <w:szCs w:val="21"/>
        </w:rPr>
      </w:pPr>
      <w:r>
        <w:rPr>
          <w:rFonts w:hint="eastAsia" w:ascii="宋体" w:hAnsi="宋体" w:cs="宋体"/>
          <w:szCs w:val="21"/>
        </w:rPr>
        <w:t>本项目预算金额（最高限价）详见招标文件第一章“采购公告”。</w:t>
      </w:r>
    </w:p>
    <w:p w14:paraId="3CB00AFD">
      <w:pPr>
        <w:spacing w:line="400" w:lineRule="exact"/>
        <w:rPr>
          <w:rFonts w:ascii="宋体" w:hAnsi="宋体" w:cs="宋体"/>
          <w:b/>
          <w:szCs w:val="21"/>
        </w:rPr>
      </w:pPr>
      <w:r>
        <w:rPr>
          <w:rFonts w:hint="eastAsia" w:ascii="宋体" w:hAnsi="宋体" w:cs="宋体"/>
          <w:b/>
          <w:szCs w:val="21"/>
        </w:rPr>
        <w:t>二十、招标代理服务费</w:t>
      </w:r>
    </w:p>
    <w:p w14:paraId="4331FBCD">
      <w:pPr>
        <w:spacing w:line="400" w:lineRule="exact"/>
        <w:ind w:firstLine="422" w:firstLineChars="200"/>
        <w:rPr>
          <w:rFonts w:ascii="宋体" w:hAnsi="宋体" w:cs="宋体"/>
          <w:szCs w:val="21"/>
        </w:rPr>
      </w:pPr>
      <w:r>
        <w:rPr>
          <w:rFonts w:hint="eastAsia" w:ascii="宋体" w:hAnsi="宋体" w:cs="宋体"/>
          <w:b/>
          <w:szCs w:val="21"/>
        </w:rPr>
        <w:t>详见投标须知前附表。</w:t>
      </w:r>
    </w:p>
    <w:bookmarkEnd w:id="37"/>
    <w:p w14:paraId="338B093A">
      <w:pPr>
        <w:wordWrap w:val="0"/>
        <w:spacing w:line="400" w:lineRule="exact"/>
        <w:rPr>
          <w:rFonts w:ascii="宋体" w:hAnsi="宋体" w:cs="宋体"/>
          <w:b/>
          <w:szCs w:val="21"/>
        </w:rPr>
      </w:pPr>
      <w:r>
        <w:rPr>
          <w:rFonts w:hint="eastAsia" w:ascii="宋体" w:hAnsi="宋体" w:cs="宋体"/>
          <w:b/>
          <w:szCs w:val="21"/>
        </w:rPr>
        <w:t>二十一、合同授予</w:t>
      </w:r>
    </w:p>
    <w:p w14:paraId="77EDB7B4">
      <w:pPr>
        <w:wordWrap w:val="0"/>
        <w:spacing w:line="400" w:lineRule="exact"/>
        <w:ind w:firstLine="422" w:firstLineChars="200"/>
        <w:rPr>
          <w:rFonts w:ascii="宋体" w:hAnsi="宋体" w:cs="宋体"/>
          <w:b/>
          <w:szCs w:val="21"/>
        </w:rPr>
      </w:pPr>
      <w:bookmarkStart w:id="38" w:name="_Toc460857935"/>
      <w:bookmarkStart w:id="39" w:name="_Toc17884850"/>
      <w:r>
        <w:rPr>
          <w:rFonts w:hint="eastAsia" w:ascii="宋体" w:hAnsi="宋体" w:cs="宋体"/>
          <w:b/>
          <w:szCs w:val="21"/>
        </w:rPr>
        <w:t>（一）签订合同</w:t>
      </w:r>
      <w:bookmarkEnd w:id="38"/>
      <w:bookmarkEnd w:id="39"/>
    </w:p>
    <w:p w14:paraId="75AD7916">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1.采购人与中标供应商应当在中标通知书发出之日起</w:t>
      </w:r>
      <w:r>
        <w:rPr>
          <w:rFonts w:hint="eastAsia" w:ascii="宋体" w:hAnsi="宋体" w:cs="宋体"/>
          <w:szCs w:val="21"/>
          <w:u w:val="single"/>
        </w:rPr>
        <w:t xml:space="preserve"> </w:t>
      </w:r>
      <w:r>
        <w:rPr>
          <w:rFonts w:hint="eastAsia" w:ascii="宋体" w:hAnsi="宋体" w:cs="宋体"/>
          <w:b/>
          <w:szCs w:val="21"/>
          <w:u w:val="single"/>
        </w:rPr>
        <w:t xml:space="preserve">30 </w:t>
      </w:r>
      <w:r>
        <w:rPr>
          <w:rFonts w:hint="eastAsia" w:ascii="宋体" w:hAnsi="宋体" w:cs="宋体"/>
          <w:szCs w:val="21"/>
        </w:rPr>
        <w:t>日内签订政府采购合同。</w:t>
      </w:r>
    </w:p>
    <w:p w14:paraId="1B0B3535">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2.合同签订形式：允许中标供应商采购合同盖章后送达或邮寄。</w:t>
      </w:r>
    </w:p>
    <w:p w14:paraId="1805019B">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邮寄方式：</w:t>
      </w:r>
    </w:p>
    <w:p w14:paraId="131B5880">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收件人：王老师    联系方式：0574-87600062</w:t>
      </w:r>
    </w:p>
    <w:p w14:paraId="1B1EDB07">
      <w:pPr>
        <w:wordWrap w:val="0"/>
        <w:snapToGrid w:val="0"/>
        <w:spacing w:line="400" w:lineRule="exact"/>
        <w:ind w:firstLine="420" w:firstLineChars="200"/>
        <w:jc w:val="left"/>
        <w:rPr>
          <w:rFonts w:ascii="宋体" w:hAnsi="宋体" w:cs="宋体"/>
          <w:szCs w:val="21"/>
        </w:rPr>
      </w:pPr>
      <w:r>
        <w:rPr>
          <w:rFonts w:hint="eastAsia" w:ascii="宋体" w:hAnsi="宋体" w:cs="宋体"/>
          <w:szCs w:val="21"/>
        </w:rPr>
        <w:t>地  址：宁波大学（宁波市江北区风华路818号）</w:t>
      </w:r>
    </w:p>
    <w:p w14:paraId="74BA6743">
      <w:pPr>
        <w:spacing w:line="400" w:lineRule="exact"/>
        <w:ind w:firstLine="420" w:firstLineChars="200"/>
        <w:rPr>
          <w:rFonts w:ascii="宋体" w:hAnsi="宋体" w:cs="宋体"/>
          <w:szCs w:val="21"/>
        </w:rPr>
      </w:pPr>
      <w:r>
        <w:rPr>
          <w:rFonts w:hint="eastAsia" w:ascii="宋体" w:hAnsi="宋体" w:cs="宋体"/>
          <w:szCs w:val="21"/>
        </w:rPr>
        <w:t>3.采购人应及时签订采购合同，并通过政采云平台录入公布合同信息，相关信息会自动同步到浙江政府采购网和宁波政府采购网，如有特殊原因，暂时无法签订采购合同的，可以在政采云平台提交合同缓签申请，经采购办审核确认后，该项目不列入“无感监测”统计范围（目前仍有效）。如有</w:t>
      </w:r>
      <w:r>
        <w:rPr>
          <w:rFonts w:hint="eastAsia" w:ascii="宋体" w:hAnsi="宋体" w:cs="宋体"/>
          <w:szCs w:val="21"/>
          <w:lang w:eastAsia="zh-CN"/>
        </w:rPr>
        <w:t>因</w:t>
      </w:r>
      <w:r>
        <w:rPr>
          <w:rFonts w:hint="eastAsia" w:ascii="宋体" w:hAnsi="宋体" w:cs="宋体"/>
          <w:szCs w:val="21"/>
        </w:rPr>
        <w:t>未按照招标文件和投标文件规定签订合同引发纠纷的，请第一时间联系政府采购监管部门。</w:t>
      </w:r>
    </w:p>
    <w:p w14:paraId="14D962A6">
      <w:pPr>
        <w:spacing w:line="400" w:lineRule="exact"/>
        <w:rPr>
          <w:rFonts w:ascii="宋体" w:hAnsi="宋体" w:cs="宋体"/>
          <w:b/>
          <w:szCs w:val="21"/>
        </w:rPr>
      </w:pPr>
      <w:r>
        <w:rPr>
          <w:rFonts w:hint="eastAsia" w:ascii="宋体" w:hAnsi="宋体" w:cs="宋体"/>
          <w:b/>
          <w:szCs w:val="21"/>
        </w:rPr>
        <w:t>二十二、特别说明</w:t>
      </w:r>
    </w:p>
    <w:p w14:paraId="24A3376B">
      <w:pPr>
        <w:spacing w:line="400" w:lineRule="exact"/>
        <w:ind w:firstLine="420" w:firstLineChars="200"/>
        <w:rPr>
          <w:rFonts w:ascii="宋体" w:hAnsi="宋体" w:cs="宋体"/>
        </w:rPr>
      </w:pPr>
      <w:bookmarkStart w:id="40" w:name="_Toc441316546"/>
      <w:bookmarkStart w:id="41" w:name="_Toc25472"/>
      <w:bookmarkStart w:id="42" w:name="_Toc436408700"/>
      <w:bookmarkStart w:id="43" w:name="_Toc21541007"/>
      <w:bookmarkStart w:id="44" w:name="_Toc44162140"/>
      <w:bookmarkStart w:id="45" w:name="_Toc419729150"/>
      <w:r>
        <w:rPr>
          <w:rFonts w:hint="eastAsia" w:ascii="宋体" w:hAnsi="宋体" w:cs="宋体"/>
        </w:rPr>
        <w:t>1</w:t>
      </w:r>
      <w:r>
        <w:rPr>
          <w:rFonts w:hint="eastAsia" w:ascii="宋体" w:hAnsi="宋体" w:cs="宋体"/>
          <w:lang w:eastAsia="zh-CN"/>
        </w:rPr>
        <w:t>.</w:t>
      </w:r>
      <w:r>
        <w:rPr>
          <w:rFonts w:hint="eastAsia" w:ascii="宋体" w:hAnsi="宋体" w:cs="宋体"/>
        </w:rPr>
        <w:t>执行财政部、工业和信息化部《政府采购促进中小企业发展管理办法》（财库〔2020〕46号）。政府采购活动中有关中小企业的相关规定如下：</w:t>
      </w:r>
      <w:bookmarkEnd w:id="40"/>
      <w:bookmarkEnd w:id="41"/>
      <w:bookmarkEnd w:id="42"/>
      <w:bookmarkEnd w:id="43"/>
      <w:bookmarkEnd w:id="44"/>
      <w:bookmarkEnd w:id="45"/>
    </w:p>
    <w:p w14:paraId="539458B5">
      <w:pPr>
        <w:spacing w:line="400" w:lineRule="exact"/>
        <w:ind w:firstLine="420" w:firstLineChars="200"/>
        <w:rPr>
          <w:rFonts w:ascii="宋体" w:hAnsi="宋体" w:cs="宋体"/>
        </w:rPr>
      </w:pPr>
      <w:r>
        <w:rPr>
          <w:rFonts w:hint="eastAsia" w:ascii="宋体" w:hAnsi="宋体" w:cs="宋体"/>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EEAD003">
      <w:pPr>
        <w:spacing w:line="400" w:lineRule="exact"/>
        <w:ind w:firstLine="420" w:firstLineChars="200"/>
        <w:rPr>
          <w:rFonts w:ascii="宋体" w:hAnsi="宋体" w:cs="宋体"/>
        </w:rPr>
      </w:pPr>
      <w:r>
        <w:rPr>
          <w:rFonts w:hint="eastAsia" w:ascii="宋体" w:hAnsi="宋体" w:cs="宋体"/>
        </w:rPr>
        <w:t>符合中小企业划分标准的个体工商户，在政府采购活动中视同中小企业。</w:t>
      </w:r>
    </w:p>
    <w:p w14:paraId="3936C52B">
      <w:pPr>
        <w:spacing w:line="400" w:lineRule="exact"/>
        <w:ind w:firstLine="420" w:firstLineChars="200"/>
        <w:rPr>
          <w:rFonts w:ascii="宋体" w:hAnsi="宋体" w:cs="宋体"/>
        </w:rPr>
      </w:pPr>
      <w:r>
        <w:rPr>
          <w:rFonts w:hint="eastAsia" w:ascii="宋体" w:hAnsi="宋体" w:cs="宋体"/>
        </w:rPr>
        <w:t>（2）在政府采购活动中，供应商提供的货物、工程或者服务符合下列情形的，享受《政府采购促进中小企业发展管理办法》规定的中小企业扶持政策：</w:t>
      </w:r>
    </w:p>
    <w:p w14:paraId="2431752D">
      <w:pPr>
        <w:spacing w:line="400" w:lineRule="exact"/>
        <w:ind w:firstLine="420" w:firstLineChars="200"/>
        <w:rPr>
          <w:rFonts w:ascii="宋体" w:hAnsi="宋体" w:cs="宋体"/>
        </w:rPr>
      </w:pPr>
      <w:r>
        <w:rPr>
          <w:rFonts w:hint="eastAsia" w:ascii="宋体" w:hAnsi="宋体" w:cs="宋体"/>
        </w:rPr>
        <w:t>（2.1）在货物采购项目中，货物由中小企业制造，即货物由中小企业生产且使用该中小企业商号或者注册商标；</w:t>
      </w:r>
    </w:p>
    <w:p w14:paraId="13767BE5">
      <w:pPr>
        <w:spacing w:line="400" w:lineRule="exact"/>
        <w:ind w:firstLine="420" w:firstLineChars="200"/>
        <w:rPr>
          <w:rFonts w:ascii="宋体" w:hAnsi="宋体" w:cs="宋体"/>
        </w:rPr>
      </w:pPr>
      <w:r>
        <w:rPr>
          <w:rFonts w:hint="eastAsia" w:ascii="宋体" w:hAnsi="宋体" w:cs="宋体"/>
        </w:rPr>
        <w:t>（2.2）在工程采购项目中，工程由中小企业承建，即工程施工单位为中小企业；</w:t>
      </w:r>
    </w:p>
    <w:p w14:paraId="3C86F47D">
      <w:pPr>
        <w:spacing w:line="400" w:lineRule="exact"/>
        <w:ind w:firstLine="420" w:firstLineChars="200"/>
        <w:rPr>
          <w:rFonts w:ascii="宋体" w:hAnsi="宋体" w:cs="宋体"/>
        </w:rPr>
      </w:pPr>
      <w:r>
        <w:rPr>
          <w:rFonts w:hint="eastAsia" w:ascii="宋体" w:hAnsi="宋体" w:cs="宋体"/>
        </w:rPr>
        <w:t>（2.3）在服务采购项目中，服务由中小企业承接，即提供服务的人员为中小企业依照《中华人民共和国民法典》订立劳动合同的从业人员。</w:t>
      </w:r>
    </w:p>
    <w:p w14:paraId="56EBE61E">
      <w:pPr>
        <w:spacing w:line="400" w:lineRule="exact"/>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在货物采购项目中，供应商提供的货物既有中小企业制造货物，也有大型企业制造货物的，不享受《政府采购促进中小企业发展管理办法》规定的中小企业扶持政策。</w:t>
      </w:r>
    </w:p>
    <w:p w14:paraId="092EBD2A">
      <w:pPr>
        <w:spacing w:line="400" w:lineRule="exact"/>
        <w:ind w:firstLine="420" w:firstLineChars="200"/>
        <w:rPr>
          <w:rFonts w:ascii="宋体" w:hAnsi="宋体" w:cs="宋体"/>
        </w:rPr>
      </w:pPr>
      <w:r>
        <w:rPr>
          <w:rFonts w:hint="eastAsia" w:ascii="宋体" w:hAnsi="宋体" w:cs="宋体"/>
        </w:rPr>
        <w:t>以联合体形式参加政府采购活动，联合体各方均为中小企业的，联合体视同中小企业。其中，联合体各方均为小微企业的，联合体视同小微企业。</w:t>
      </w:r>
    </w:p>
    <w:p w14:paraId="12C047CD">
      <w:pPr>
        <w:spacing w:line="400" w:lineRule="exact"/>
        <w:ind w:firstLine="420" w:firstLineChars="200"/>
        <w:rPr>
          <w:rFonts w:ascii="宋体" w:hAnsi="宋体" w:cs="宋体"/>
        </w:rPr>
      </w:pPr>
      <w:r>
        <w:rPr>
          <w:rFonts w:hint="eastAsia" w:ascii="宋体" w:hAnsi="宋体" w:cs="宋体"/>
        </w:rPr>
        <w:t>（3）中小企业参加政府采购活动，应当出具《政府采购促进中小企业发展管理办法》规定的《中小企业声明函》（格式见本招标文件附件），否则不得享受相关中小企业扶持政策。</w:t>
      </w:r>
    </w:p>
    <w:p w14:paraId="1920F6D0">
      <w:pPr>
        <w:spacing w:line="400" w:lineRule="exact"/>
        <w:ind w:firstLine="420" w:firstLineChars="200"/>
        <w:rPr>
          <w:rFonts w:ascii="宋体" w:hAnsi="宋体" w:cs="宋体"/>
        </w:rPr>
      </w:pPr>
      <w:r>
        <w:rPr>
          <w:rFonts w:hint="eastAsia" w:ascii="宋体" w:hAnsi="宋体" w:cs="宋体"/>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0FDE5D2E">
      <w:pPr>
        <w:spacing w:line="400" w:lineRule="exact"/>
        <w:ind w:firstLine="420" w:firstLineChars="200"/>
        <w:rPr>
          <w:rFonts w:ascii="宋体" w:hAnsi="宋体" w:cs="宋体"/>
        </w:rPr>
      </w:pPr>
      <w:r>
        <w:rPr>
          <w:rFonts w:hint="eastAsia" w:ascii="宋体" w:hAnsi="宋体" w:cs="宋体"/>
        </w:rPr>
        <w:t>供应商提</w:t>
      </w:r>
      <w:r>
        <w:rPr>
          <w:rFonts w:hint="eastAsia" w:ascii="宋体" w:hAnsi="宋体" w:cs="宋体"/>
          <w:lang w:eastAsia="zh-CN"/>
        </w:rPr>
        <w:t>供的</w:t>
      </w:r>
      <w:r>
        <w:rPr>
          <w:rFonts w:hint="eastAsia" w:ascii="宋体" w:hAnsi="宋体" w:cs="宋体"/>
        </w:rPr>
        <w:t>声明函内容不实的，属于提供虚假材料谋取中标、成交，依照《中华人民共和国政府采购法》等国家有关规定追究相应责任。</w:t>
      </w:r>
    </w:p>
    <w:p w14:paraId="36485FDB">
      <w:pPr>
        <w:spacing w:line="400" w:lineRule="exact"/>
        <w:ind w:firstLine="420" w:firstLineChars="200"/>
        <w:rPr>
          <w:rFonts w:ascii="宋体" w:hAnsi="宋体" w:cs="宋体"/>
        </w:rPr>
      </w:pPr>
      <w:r>
        <w:rPr>
          <w:rFonts w:hint="eastAsia" w:ascii="宋体" w:hAnsi="宋体" w:cs="宋体"/>
        </w:rPr>
        <w:t>适用招标投标法的政府采购工程建设项目，供应商提供声明函内容不实的，属于弄虚作假骗取中标，依照《中华人民共和国招标投标法》等国家有关规定追究相应责任。</w:t>
      </w:r>
    </w:p>
    <w:p w14:paraId="17ADBE4C">
      <w:pPr>
        <w:spacing w:line="400" w:lineRule="exact"/>
        <w:ind w:firstLine="420" w:firstLineChars="200"/>
        <w:rPr>
          <w:rFonts w:ascii="宋体" w:hAnsi="宋体" w:cs="宋体"/>
        </w:rPr>
      </w:pPr>
      <w:r>
        <w:rPr>
          <w:rFonts w:hint="eastAsia" w:ascii="宋体" w:hAnsi="宋体" w:cs="宋体"/>
        </w:rPr>
        <w:t>（5）《中小企业声明函》由参加投标的供应商提交，如供应商为代理商，须自行采集制造商的中小企业划分类型信息填入相应栏目并对其真实性负责。</w:t>
      </w:r>
    </w:p>
    <w:p w14:paraId="42E29C23">
      <w:pPr>
        <w:spacing w:line="400" w:lineRule="exact"/>
        <w:ind w:firstLine="420" w:firstLineChars="200"/>
        <w:rPr>
          <w:rFonts w:ascii="宋体" w:hAnsi="宋体" w:cs="宋体"/>
        </w:rPr>
      </w:pPr>
      <w:bookmarkStart w:id="46" w:name="_Toc495244277"/>
      <w:bookmarkStart w:id="47" w:name="_Toc21541015"/>
      <w:bookmarkStart w:id="48" w:name="_Toc44162148"/>
      <w:bookmarkStart w:id="49" w:name="_Toc26428"/>
      <w:r>
        <w:rPr>
          <w:rFonts w:hint="eastAsia" w:ascii="宋体" w:hAnsi="宋体" w:cs="宋体"/>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6"/>
      <w:bookmarkEnd w:id="47"/>
      <w:bookmarkEnd w:id="48"/>
      <w:bookmarkEnd w:id="49"/>
    </w:p>
    <w:p w14:paraId="6B9F32D6">
      <w:pPr>
        <w:spacing w:line="400" w:lineRule="exact"/>
        <w:ind w:firstLine="420" w:firstLineChars="200"/>
        <w:rPr>
          <w:rFonts w:ascii="宋体" w:hAnsi="宋体" w:cs="宋体"/>
        </w:rPr>
      </w:pPr>
      <w:bookmarkStart w:id="50" w:name="_Toc21541016"/>
      <w:bookmarkStart w:id="51" w:name="_Toc22421"/>
      <w:bookmarkStart w:id="52" w:name="_Toc44162149"/>
      <w:r>
        <w:rPr>
          <w:rFonts w:hint="eastAsia" w:ascii="宋体" w:hAnsi="宋体" w:cs="宋体"/>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50"/>
      <w:bookmarkEnd w:id="51"/>
      <w:bookmarkEnd w:id="52"/>
    </w:p>
    <w:p w14:paraId="34B73DAB">
      <w:pPr>
        <w:spacing w:line="400" w:lineRule="exact"/>
        <w:ind w:firstLine="420" w:firstLineChars="200"/>
        <w:rPr>
          <w:rFonts w:ascii="宋体" w:hAnsi="宋体" w:cs="宋体"/>
        </w:rPr>
      </w:pPr>
      <w:bookmarkStart w:id="53" w:name="_Toc21541017"/>
      <w:bookmarkStart w:id="54" w:name="_Toc14131"/>
      <w:bookmarkStart w:id="55" w:name="_Toc44162150"/>
      <w:bookmarkStart w:id="56" w:name="_Toc419729158"/>
      <w:r>
        <w:rPr>
          <w:rFonts w:hint="eastAsia" w:ascii="宋体" w:hAnsi="宋体" w:cs="宋体"/>
        </w:rPr>
        <w:t>4.本项目不组织潜在供应商现场考察或者召开开标前答疑。</w:t>
      </w:r>
      <w:bookmarkEnd w:id="53"/>
      <w:bookmarkEnd w:id="54"/>
      <w:bookmarkEnd w:id="55"/>
    </w:p>
    <w:p w14:paraId="753C7A25">
      <w:pPr>
        <w:spacing w:line="400" w:lineRule="exact"/>
        <w:ind w:firstLine="420" w:firstLineChars="200"/>
        <w:rPr>
          <w:rFonts w:ascii="宋体" w:hAnsi="宋体" w:cs="宋体"/>
        </w:rPr>
      </w:pPr>
      <w:bookmarkStart w:id="57" w:name="_Toc21541018"/>
      <w:bookmarkStart w:id="58" w:name="_Toc44162151"/>
      <w:bookmarkStart w:id="59" w:name="_Toc21897"/>
      <w:r>
        <w:rPr>
          <w:rFonts w:hint="eastAsia" w:ascii="宋体" w:hAnsi="宋体" w:cs="宋体"/>
        </w:rPr>
        <w:t>5.本文件未及事项，在签订合同时供需及使用方友好商定。</w:t>
      </w:r>
      <w:bookmarkEnd w:id="56"/>
      <w:bookmarkEnd w:id="57"/>
      <w:bookmarkEnd w:id="58"/>
      <w:bookmarkEnd w:id="59"/>
    </w:p>
    <w:p w14:paraId="098ECFB3">
      <w:pPr>
        <w:spacing w:line="400" w:lineRule="exact"/>
        <w:ind w:firstLine="420" w:firstLineChars="200"/>
        <w:rPr>
          <w:rFonts w:ascii="宋体" w:hAnsi="宋体" w:cs="宋体"/>
        </w:rPr>
      </w:pPr>
      <w:bookmarkStart w:id="60" w:name="_Toc419729159"/>
      <w:r>
        <w:rPr>
          <w:rFonts w:hint="eastAsia" w:ascii="宋体" w:hAnsi="宋体" w:cs="宋体"/>
        </w:rPr>
        <w:t>6.本招标文件解释权归采购人。</w:t>
      </w:r>
      <w:bookmarkEnd w:id="60"/>
    </w:p>
    <w:p w14:paraId="6E065730">
      <w:pPr>
        <w:spacing w:line="400" w:lineRule="exact"/>
        <w:jc w:val="center"/>
        <w:outlineLvl w:val="0"/>
        <w:rPr>
          <w:rFonts w:ascii="宋体" w:hAnsi="宋体" w:cs="宋体"/>
          <w:b/>
          <w:sz w:val="32"/>
        </w:rPr>
      </w:pPr>
      <w:r>
        <w:rPr>
          <w:rFonts w:hint="eastAsia" w:ascii="宋体" w:hAnsi="宋体" w:cs="宋体"/>
          <w:b/>
          <w:sz w:val="32"/>
        </w:rPr>
        <w:br w:type="page"/>
      </w:r>
      <w:bookmarkStart w:id="61" w:name="_Toc31762"/>
      <w:r>
        <w:rPr>
          <w:rFonts w:hint="eastAsia" w:ascii="宋体" w:hAnsi="宋体" w:cs="宋体"/>
          <w:b/>
          <w:sz w:val="32"/>
        </w:rPr>
        <w:t>第三章  招标内容与服务需求</w:t>
      </w:r>
      <w:bookmarkEnd w:id="61"/>
    </w:p>
    <w:p w14:paraId="315C57BC">
      <w:pPr>
        <w:spacing w:line="400" w:lineRule="exact"/>
        <w:jc w:val="left"/>
        <w:outlineLvl w:val="9"/>
        <w:rPr>
          <w:rFonts w:asciiTheme="minorEastAsia" w:hAnsiTheme="minorEastAsia" w:eastAsiaTheme="minorEastAsia" w:cstheme="minorEastAsia"/>
          <w:b/>
          <w:bCs/>
          <w:szCs w:val="21"/>
        </w:rPr>
      </w:pPr>
      <w:bookmarkStart w:id="62" w:name="_Toc11620"/>
      <w:r>
        <w:rPr>
          <w:rFonts w:hint="eastAsia" w:asciiTheme="minorEastAsia" w:hAnsiTheme="minorEastAsia" w:eastAsiaTheme="minorEastAsia" w:cstheme="minorEastAsia"/>
          <w:b/>
          <w:bCs/>
          <w:szCs w:val="21"/>
        </w:rPr>
        <w:t>一、</w:t>
      </w:r>
      <w:bookmarkEnd w:id="62"/>
      <w:r>
        <w:rPr>
          <w:rFonts w:hint="eastAsia" w:asciiTheme="minorEastAsia" w:hAnsiTheme="minorEastAsia" w:eastAsiaTheme="minorEastAsia" w:cstheme="minorEastAsia"/>
          <w:b/>
          <w:bCs/>
          <w:szCs w:val="21"/>
        </w:rPr>
        <w:t>技术需求</w:t>
      </w:r>
    </w:p>
    <w:p w14:paraId="4F17191E">
      <w:pPr>
        <w:pStyle w:val="18"/>
        <w:spacing w:line="400" w:lineRule="exact"/>
        <w:ind w:firstLine="422" w:firstLineChars="200"/>
        <w:rPr>
          <w:rFonts w:hAnsi="宋体" w:cs="宋体"/>
          <w:b/>
          <w:bCs/>
          <w:sz w:val="21"/>
          <w:szCs w:val="21"/>
        </w:rPr>
      </w:pPr>
      <w:bookmarkStart w:id="63" w:name="_Toc14746"/>
      <w:r>
        <w:rPr>
          <w:rFonts w:hint="eastAsia" w:hAnsi="宋体" w:cs="宋体"/>
          <w:b/>
          <w:bCs/>
          <w:sz w:val="21"/>
          <w:szCs w:val="21"/>
        </w:rPr>
        <w:t>标项一（鼎秀古籍全文检索平台-第三辑）：</w:t>
      </w:r>
    </w:p>
    <w:p w14:paraId="1A7B518B">
      <w:pPr>
        <w:spacing w:line="400" w:lineRule="exact"/>
        <w:ind w:firstLine="420" w:firstLineChars="200"/>
        <w:rPr>
          <w:rFonts w:ascii="宋体" w:hAnsi="宋体" w:cs="宋体"/>
          <w:bCs/>
          <w:szCs w:val="21"/>
        </w:rPr>
      </w:pPr>
      <w:r>
        <w:rPr>
          <w:rFonts w:hint="eastAsia" w:ascii="宋体" w:hAnsi="宋体" w:cs="宋体"/>
          <w:bCs/>
          <w:szCs w:val="21"/>
        </w:rPr>
        <w:t>1.IE直接阅读：数据库无需下载安装客户端，应使用IE直接浏览，绿色阅读，方便快捷。</w:t>
      </w:r>
    </w:p>
    <w:p w14:paraId="03BEC483">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2.服务架构：数据库应采取BS架构方式，无并发数限制，极大方便读者的阅读感受</w:t>
      </w:r>
      <w:r>
        <w:rPr>
          <w:rFonts w:hint="eastAsia" w:ascii="宋体" w:hAnsi="宋体" w:cs="宋体"/>
          <w:bCs/>
          <w:szCs w:val="21"/>
          <w:lang w:eastAsia="zh-CN"/>
        </w:rPr>
        <w:t>。</w:t>
      </w:r>
    </w:p>
    <w:p w14:paraId="3D298765">
      <w:pPr>
        <w:spacing w:line="400" w:lineRule="exact"/>
        <w:ind w:firstLine="420" w:firstLineChars="200"/>
        <w:rPr>
          <w:rFonts w:ascii="宋体" w:hAnsi="宋体" w:cs="宋体"/>
          <w:bCs/>
          <w:szCs w:val="21"/>
        </w:rPr>
      </w:pPr>
      <w:r>
        <w:rPr>
          <w:rFonts w:hint="eastAsia" w:ascii="宋体" w:hAnsi="宋体" w:cs="宋体"/>
          <w:bCs/>
          <w:szCs w:val="21"/>
        </w:rPr>
        <w:t>3.序+卷数：数据库应保留原书的“序”和原文“卷数”。阅读时“卷数”与页码同步对应。</w:t>
      </w:r>
    </w:p>
    <w:p w14:paraId="5A0A4010">
      <w:pPr>
        <w:spacing w:line="400" w:lineRule="exact"/>
        <w:ind w:firstLine="420" w:firstLineChars="200"/>
        <w:rPr>
          <w:rFonts w:ascii="宋体" w:hAnsi="宋体" w:cs="宋体"/>
          <w:bCs/>
          <w:szCs w:val="21"/>
        </w:rPr>
      </w:pPr>
      <w:r>
        <w:rPr>
          <w:rFonts w:hint="eastAsia" w:ascii="宋体" w:hAnsi="宋体" w:cs="宋体"/>
          <w:bCs/>
          <w:szCs w:val="21"/>
        </w:rPr>
        <w:t>4.全页显示:能够实现图像显示、文本显示、图像文本并排显示，并且图像翻页的时候，文本相应</w:t>
      </w:r>
      <w:r>
        <w:rPr>
          <w:rFonts w:hint="eastAsia" w:ascii="宋体" w:hAnsi="宋体" w:cs="宋体"/>
          <w:bCs/>
          <w:szCs w:val="21"/>
          <w:lang w:eastAsia="zh-CN"/>
        </w:rPr>
        <w:t>移</w:t>
      </w:r>
      <w:r>
        <w:rPr>
          <w:rFonts w:hint="eastAsia" w:ascii="宋体" w:hAnsi="宋体" w:cs="宋体"/>
          <w:bCs/>
          <w:szCs w:val="21"/>
        </w:rPr>
        <w:t>到相关页面。同时，要求，图像和文本都能够全页显示，不能半页显示。</w:t>
      </w:r>
    </w:p>
    <w:p w14:paraId="1E467F39">
      <w:pPr>
        <w:spacing w:line="400" w:lineRule="exact"/>
        <w:ind w:firstLine="420" w:firstLineChars="200"/>
        <w:rPr>
          <w:rFonts w:ascii="宋体" w:hAnsi="宋体" w:cs="宋体"/>
          <w:bCs/>
          <w:szCs w:val="21"/>
        </w:rPr>
      </w:pPr>
      <w:r>
        <w:rPr>
          <w:rFonts w:hint="eastAsia" w:ascii="宋体" w:hAnsi="宋体" w:cs="宋体"/>
          <w:bCs/>
          <w:szCs w:val="21"/>
        </w:rPr>
        <w:t>5.全文检索功能：数据库应实现所有古籍图书均做到书中字字可检。同时设置快速检索、高级检索、书内搜索等功能，可按照部、类、属、书名、著者、出版年代、卷数、版本等多种检索方式。</w:t>
      </w:r>
    </w:p>
    <w:p w14:paraId="7C5DBA85">
      <w:pPr>
        <w:spacing w:line="400" w:lineRule="exact"/>
        <w:ind w:firstLine="420" w:firstLineChars="200"/>
        <w:rPr>
          <w:rFonts w:ascii="宋体" w:hAnsi="宋体" w:cs="宋体"/>
          <w:bCs/>
          <w:szCs w:val="21"/>
        </w:rPr>
      </w:pPr>
      <w:r>
        <w:rPr>
          <w:rFonts w:hint="eastAsia" w:ascii="宋体" w:hAnsi="宋体" w:cs="宋体"/>
          <w:bCs/>
          <w:szCs w:val="21"/>
        </w:rPr>
        <w:t>6.图文对照功能：数据库应实现原图显示、文本显示、图文并排显示等不同显示方法，同时实现古籍原版图像和现代文字的逐字逐行对照。</w:t>
      </w:r>
    </w:p>
    <w:p w14:paraId="19E81FEB">
      <w:pPr>
        <w:spacing w:line="400" w:lineRule="exact"/>
        <w:ind w:firstLine="420" w:firstLineChars="200"/>
        <w:rPr>
          <w:rFonts w:ascii="宋体" w:hAnsi="宋体" w:cs="宋体"/>
          <w:bCs/>
          <w:szCs w:val="21"/>
        </w:rPr>
      </w:pPr>
      <w:r>
        <w:rPr>
          <w:rFonts w:hint="eastAsia" w:ascii="宋体" w:hAnsi="宋体" w:cs="宋体"/>
          <w:bCs/>
          <w:szCs w:val="21"/>
        </w:rPr>
        <w:t>7.文本标引功能：在文字拷贝使用时，会自动标引该段文字的书名、版本、著者、页码，方便读者开展古籍文献研究。</w:t>
      </w:r>
    </w:p>
    <w:p w14:paraId="507D6E18">
      <w:pPr>
        <w:spacing w:line="400" w:lineRule="exact"/>
        <w:ind w:firstLine="420" w:firstLineChars="200"/>
        <w:rPr>
          <w:rFonts w:ascii="宋体" w:hAnsi="宋体" w:cs="宋体"/>
          <w:bCs/>
          <w:szCs w:val="21"/>
        </w:rPr>
      </w:pPr>
      <w:r>
        <w:rPr>
          <w:rFonts w:hint="eastAsia" w:ascii="宋体" w:hAnsi="宋体" w:cs="宋体"/>
          <w:bCs/>
          <w:szCs w:val="21"/>
        </w:rPr>
        <w:t>8.特色功能：数据库应支持文字编辑、复制、粘贴、浏览历史、检索历史、阅读排行、图书收藏、读书笔记、笔记列表、阅读书签、书签列表等。文本复制时，可以自动标引出处。</w:t>
      </w:r>
    </w:p>
    <w:p w14:paraId="5C2A0CDD">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9.分类方式：数据库应采用经、史、子、集、丛五部分类法。全部古籍文献归纳在一个库中，配以超强的检索引擎，提供海量检索，无论是方志、谱牒还是辞书、类书、别集，所有内容均可以在经、史、子、集、丛的五部分类法中逐一展现</w:t>
      </w:r>
      <w:r>
        <w:rPr>
          <w:rFonts w:hint="eastAsia" w:ascii="宋体" w:hAnsi="宋体" w:cs="宋体"/>
          <w:bCs/>
          <w:szCs w:val="21"/>
          <w:lang w:eastAsia="zh-CN"/>
        </w:rPr>
        <w:t>。</w:t>
      </w:r>
    </w:p>
    <w:p w14:paraId="1C1B34CE">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10.全文检索数量：总古籍数量超3000册</w:t>
      </w:r>
      <w:r>
        <w:rPr>
          <w:rFonts w:hint="eastAsia" w:ascii="宋体" w:hAnsi="宋体" w:cs="宋体"/>
          <w:bCs/>
          <w:szCs w:val="21"/>
          <w:lang w:eastAsia="zh-CN"/>
        </w:rPr>
        <w:t>。</w:t>
      </w:r>
    </w:p>
    <w:p w14:paraId="3B367351">
      <w:pPr>
        <w:spacing w:line="400" w:lineRule="exact"/>
        <w:ind w:firstLine="420" w:firstLineChars="200"/>
        <w:rPr>
          <w:rFonts w:ascii="宋体" w:hAnsi="宋体" w:cs="宋体"/>
          <w:bCs/>
          <w:szCs w:val="21"/>
        </w:rPr>
      </w:pPr>
      <w:r>
        <w:rPr>
          <w:rFonts w:hint="eastAsia" w:ascii="宋体" w:hAnsi="宋体" w:cs="宋体"/>
          <w:bCs/>
          <w:szCs w:val="21"/>
        </w:rPr>
        <w:t>11.高速引擎：数据库采用超速文本检索引擎并配合分布式服务器集群，亿级文字检索只需1秒。可实现即翻即看，无等待翻頁。系统配合UNICODE编码和大字符集，能显示7万多汉字。</w:t>
      </w:r>
    </w:p>
    <w:p w14:paraId="223EEA02">
      <w:pPr>
        <w:spacing w:line="400" w:lineRule="exact"/>
        <w:ind w:firstLine="420" w:firstLineChars="200"/>
        <w:rPr>
          <w:rFonts w:ascii="宋体" w:hAnsi="宋体" w:cs="宋体"/>
          <w:bCs/>
          <w:szCs w:val="21"/>
        </w:rPr>
      </w:pPr>
      <w:r>
        <w:rPr>
          <w:rFonts w:hint="eastAsia" w:ascii="宋体" w:hAnsi="宋体" w:cs="宋体"/>
          <w:bCs/>
          <w:szCs w:val="21"/>
        </w:rPr>
        <w:t>12.保持原文原貌：应采用高分辨率整版扫描方式，保持真实原貌。文献典籍的图像数据不做任何删减，保留书上的题跋、批校、印章等，原样呈现图书信息。</w:t>
      </w:r>
    </w:p>
    <w:p w14:paraId="3A127EB8">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13.自定义特色：数据库需支持缩小、放大、页面跳转、背景色设定、文字颜色设定、文字字体设定、文字繁体简体转换、目录导航跳转、文本/图像/并排切换</w:t>
      </w:r>
      <w:r>
        <w:rPr>
          <w:rFonts w:hint="eastAsia" w:ascii="宋体" w:hAnsi="宋体" w:cs="宋体"/>
          <w:bCs/>
          <w:szCs w:val="21"/>
          <w:lang w:eastAsia="zh-CN"/>
        </w:rPr>
        <w:t>。</w:t>
      </w:r>
    </w:p>
    <w:p w14:paraId="5A477C7F">
      <w:pPr>
        <w:spacing w:line="400" w:lineRule="exact"/>
        <w:ind w:firstLine="420" w:firstLineChars="200"/>
        <w:rPr>
          <w:rFonts w:ascii="宋体" w:hAnsi="宋体" w:cs="宋体"/>
          <w:bCs/>
          <w:szCs w:val="21"/>
        </w:rPr>
      </w:pPr>
      <w:r>
        <w:rPr>
          <w:rFonts w:hint="eastAsia" w:ascii="宋体" w:hAnsi="宋体" w:cs="宋体"/>
          <w:bCs/>
          <w:szCs w:val="21"/>
        </w:rPr>
        <w:t>14.安装方式：本地镜像安装。校园IP范围内访问登录，支持VPN校外登录访问</w:t>
      </w:r>
      <w:r>
        <w:rPr>
          <w:rFonts w:hint="eastAsia" w:ascii="宋体" w:hAnsi="宋体" w:cs="宋体"/>
          <w:bCs/>
          <w:szCs w:val="21"/>
          <w:lang w:eastAsia="zh-CN"/>
        </w:rPr>
        <w:t>，</w:t>
      </w:r>
      <w:r>
        <w:rPr>
          <w:rFonts w:hint="eastAsia" w:ascii="宋体" w:hAnsi="宋体" w:cs="宋体"/>
          <w:bCs/>
          <w:szCs w:val="21"/>
        </w:rPr>
        <w:t>无并发数限制。</w:t>
      </w:r>
    </w:p>
    <w:p w14:paraId="2A2A6DAF">
      <w:pPr>
        <w:spacing w:line="400" w:lineRule="exact"/>
        <w:ind w:firstLine="420" w:firstLineChars="200"/>
        <w:rPr>
          <w:rFonts w:ascii="宋体" w:hAnsi="宋体" w:cs="宋体"/>
          <w:b/>
          <w:szCs w:val="21"/>
        </w:rPr>
      </w:pPr>
      <w:r>
        <w:rPr>
          <w:rFonts w:hint="eastAsia" w:ascii="宋体" w:hAnsi="宋体" w:cs="宋体"/>
          <w:bCs/>
          <w:szCs w:val="21"/>
        </w:rPr>
        <w:t>15.后续服务：在合作过程中，如出现数据损坏、丢失等情况，公司将在第一时间</w:t>
      </w:r>
      <w:r>
        <w:rPr>
          <w:rFonts w:hint="eastAsia" w:ascii="宋体" w:hAnsi="宋体" w:cs="宋体"/>
          <w:bCs/>
          <w:szCs w:val="21"/>
          <w:lang w:eastAsia="zh-CN"/>
        </w:rPr>
        <w:t>（维修响应时间：投标人负责向招标人提供网络、电话及EMAIL支持服务，响应时间不超过1小时，以保证数据库产品的正常使用；若远程支持无法解决问题的，投标人须承诺24小时内上门服务，3天内解决）</w:t>
      </w:r>
      <w:r>
        <w:rPr>
          <w:rFonts w:hint="eastAsia" w:ascii="宋体" w:hAnsi="宋体" w:cs="宋体"/>
          <w:bCs/>
          <w:szCs w:val="21"/>
        </w:rPr>
        <w:t>提供数据恢复。</w:t>
      </w:r>
    </w:p>
    <w:p w14:paraId="2B191137">
      <w:pPr>
        <w:numPr>
          <w:ilvl w:val="0"/>
          <w:numId w:val="0"/>
        </w:numPr>
        <w:spacing w:line="400" w:lineRule="exact"/>
        <w:ind w:firstLine="420" w:firstLineChars="200"/>
        <w:rPr>
          <w:rFonts w:hint="eastAsia" w:ascii="宋体" w:hAnsi="宋体" w:cs="宋体"/>
          <w:bCs/>
          <w:szCs w:val="21"/>
        </w:rPr>
      </w:pPr>
      <w:r>
        <w:rPr>
          <w:rFonts w:hint="eastAsia" w:ascii="宋体" w:hAnsi="宋体" w:cs="宋体"/>
          <w:bCs/>
          <w:szCs w:val="21"/>
          <w:lang w:val="en-US" w:eastAsia="zh-CN"/>
        </w:rPr>
        <w:t>16.</w:t>
      </w:r>
      <w:r>
        <w:rPr>
          <w:rFonts w:hint="eastAsia" w:ascii="宋体" w:hAnsi="宋体" w:cs="宋体"/>
          <w:bCs/>
          <w:szCs w:val="21"/>
        </w:rPr>
        <w:t>服务期内，配合</w:t>
      </w:r>
      <w:r>
        <w:rPr>
          <w:rFonts w:hint="eastAsia" w:ascii="宋体" w:hAnsi="宋体" w:cs="宋体"/>
          <w:bCs/>
          <w:szCs w:val="21"/>
          <w:lang w:eastAsia="zh-CN"/>
        </w:rPr>
        <w:t>采购人</w:t>
      </w:r>
      <w:r>
        <w:rPr>
          <w:rFonts w:hint="eastAsia" w:ascii="宋体" w:hAnsi="宋体" w:cs="宋体"/>
          <w:bCs/>
          <w:szCs w:val="21"/>
          <w:lang w:val="en-US" w:eastAsia="zh-CN"/>
        </w:rPr>
        <w:t>无条件</w:t>
      </w:r>
      <w:r>
        <w:rPr>
          <w:rFonts w:hint="eastAsia" w:ascii="宋体" w:hAnsi="宋体" w:cs="宋体"/>
          <w:bCs/>
          <w:szCs w:val="21"/>
        </w:rPr>
        <w:t>提供数据库培训等活动一年内不少于2次，具体时间和形式，双方协商确认。</w:t>
      </w:r>
    </w:p>
    <w:p w14:paraId="3C729C67">
      <w:pPr>
        <w:numPr>
          <w:ilvl w:val="0"/>
          <w:numId w:val="0"/>
        </w:numPr>
        <w:spacing w:line="400" w:lineRule="exact"/>
        <w:ind w:firstLine="422" w:firstLineChars="200"/>
        <w:rPr>
          <w:rFonts w:hint="default" w:ascii="宋体" w:hAnsi="宋体" w:cs="宋体"/>
          <w:b/>
          <w:bCs w:val="0"/>
          <w:szCs w:val="21"/>
          <w:lang w:val="en-US" w:eastAsia="zh-CN"/>
        </w:rPr>
      </w:pPr>
      <w:r>
        <w:rPr>
          <w:rFonts w:hint="eastAsia" w:ascii="宋体" w:hAnsi="宋体" w:cs="宋体"/>
          <w:b/>
          <w:bCs w:val="0"/>
          <w:szCs w:val="21"/>
        </w:rPr>
        <w:t>1</w:t>
      </w:r>
      <w:r>
        <w:rPr>
          <w:rFonts w:hint="eastAsia" w:ascii="宋体" w:hAnsi="宋体" w:cs="宋体"/>
          <w:b/>
          <w:bCs w:val="0"/>
          <w:szCs w:val="21"/>
          <w:lang w:val="en-US" w:eastAsia="zh-CN"/>
        </w:rPr>
        <w:t>7</w:t>
      </w:r>
      <w:r>
        <w:rPr>
          <w:rFonts w:hint="eastAsia" w:ascii="宋体" w:hAnsi="宋体" w:cs="宋体"/>
          <w:b/>
          <w:bCs w:val="0"/>
          <w:szCs w:val="21"/>
        </w:rPr>
        <w:t>.服务期限：永久使用。</w:t>
      </w:r>
    </w:p>
    <w:p w14:paraId="7D972585">
      <w:pPr>
        <w:pStyle w:val="18"/>
        <w:spacing w:line="400" w:lineRule="exact"/>
        <w:rPr>
          <w:rFonts w:hAnsi="宋体" w:cs="宋体"/>
          <w:b/>
          <w:sz w:val="21"/>
          <w:szCs w:val="21"/>
        </w:rPr>
      </w:pPr>
    </w:p>
    <w:p w14:paraId="01713020">
      <w:pPr>
        <w:spacing w:line="400" w:lineRule="exact"/>
        <w:rPr>
          <w:rFonts w:ascii="宋体" w:hAnsi="宋体" w:cs="宋体"/>
          <w:kern w:val="0"/>
          <w:szCs w:val="21"/>
        </w:rPr>
      </w:pPr>
      <w:r>
        <w:rPr>
          <w:rFonts w:hint="eastAsia" w:ascii="宋体" w:hAnsi="宋体" w:cs="宋体"/>
          <w:b/>
          <w:szCs w:val="21"/>
        </w:rPr>
        <w:br w:type="page"/>
      </w:r>
      <w:r>
        <w:rPr>
          <w:rFonts w:hint="eastAsia" w:ascii="宋体" w:hAnsi="宋体" w:cs="宋体"/>
          <w:b/>
          <w:szCs w:val="21"/>
        </w:rPr>
        <w:t xml:space="preserve">    标项二（RESSET金融研究数据库）：</w:t>
      </w:r>
    </w:p>
    <w:p w14:paraId="6FE73A4D">
      <w:pPr>
        <w:spacing w:line="400" w:lineRule="exact"/>
        <w:ind w:firstLine="420" w:firstLineChars="200"/>
        <w:rPr>
          <w:rFonts w:ascii="宋体" w:hAnsi="宋体" w:cs="宋体"/>
          <w:bCs/>
          <w:szCs w:val="21"/>
        </w:rPr>
      </w:pPr>
      <w:r>
        <w:rPr>
          <w:rFonts w:hint="eastAsia" w:ascii="宋体" w:hAnsi="宋体" w:cs="宋体"/>
          <w:bCs/>
          <w:szCs w:val="21"/>
        </w:rPr>
        <w:t>★1.提供教师教学、科研、学生毕业设计、毕业论文使用的数据平台，支持至少100位用户同时并发使用，支持CARSI等校外访问平台（</w:t>
      </w:r>
      <w:r>
        <w:rPr>
          <w:rFonts w:hint="eastAsia" w:ascii="宋体" w:hAnsi="宋体" w:cs="宋体"/>
          <w:bCs/>
          <w:szCs w:val="21"/>
          <w:lang w:eastAsia="zh-CN"/>
        </w:rPr>
        <w:t>投标文件</w:t>
      </w:r>
      <w:r>
        <w:rPr>
          <w:rFonts w:hint="eastAsia" w:ascii="宋体" w:hAnsi="宋体" w:cs="宋体"/>
          <w:bCs/>
          <w:szCs w:val="21"/>
        </w:rPr>
        <w:t>中提供完整功能截图并加盖供应商公章）。</w:t>
      </w:r>
    </w:p>
    <w:p w14:paraId="33BA79DC">
      <w:pPr>
        <w:spacing w:line="400" w:lineRule="exact"/>
        <w:ind w:firstLine="420" w:firstLineChars="200"/>
        <w:rPr>
          <w:rFonts w:ascii="宋体" w:hAnsi="宋体" w:cs="宋体"/>
          <w:bCs/>
          <w:szCs w:val="21"/>
        </w:rPr>
      </w:pPr>
      <w:r>
        <w:rPr>
          <w:rFonts w:hint="eastAsia" w:ascii="宋体" w:hAnsi="宋体" w:cs="宋体"/>
          <w:bCs/>
          <w:szCs w:val="21"/>
        </w:rPr>
        <w:t>★2.要求数据内容涵盖股票、债券、基金、研究报告、融资融券、宏观统计、行业统计、金融统计、外汇、期货、黄金等系列，相关内容须在同一个数据平台下以数据表多级目录的形式呈现，相关数据表必须包含ISIN编码（国际证券识别编码），并提供多种数据查询方式。数据内容如下：（</w:t>
      </w:r>
      <w:r>
        <w:rPr>
          <w:rFonts w:hint="eastAsia" w:ascii="宋体" w:hAnsi="宋体" w:cs="宋体"/>
          <w:bCs/>
          <w:szCs w:val="21"/>
          <w:lang w:eastAsia="zh-CN"/>
        </w:rPr>
        <w:t>投标文件</w:t>
      </w:r>
      <w:r>
        <w:rPr>
          <w:rFonts w:hint="eastAsia" w:ascii="宋体" w:hAnsi="宋体" w:cs="宋体"/>
          <w:bCs/>
          <w:szCs w:val="21"/>
        </w:rPr>
        <w:t>中提供完整功能截图并加盖供应商公章）。</w:t>
      </w:r>
    </w:p>
    <w:p w14:paraId="6FD65BE8">
      <w:pPr>
        <w:spacing w:line="400" w:lineRule="exact"/>
        <w:ind w:firstLine="420" w:firstLineChars="200"/>
        <w:rPr>
          <w:rFonts w:ascii="宋体" w:hAnsi="宋体" w:cs="宋体"/>
          <w:bCs/>
          <w:szCs w:val="21"/>
        </w:rPr>
      </w:pPr>
      <w:r>
        <w:rPr>
          <w:rFonts w:hint="eastAsia" w:ascii="宋体" w:hAnsi="宋体" w:cs="宋体"/>
          <w:bCs/>
          <w:szCs w:val="21"/>
        </w:rPr>
        <w:t>1）股票：股票综合数据、公司与证券信息、行业分类、名称与状态变更、融投资与分配、股东与股本、行情与分配、现金红利统计、证券资讯、估值指标、业绩预告、股东权益、股权分置、组织治理结构、公司重大事项、公司内部控制、财务报表、财务指标、财务报表附注、权证、指数、市盈率、换手率、市值、持有期收益、累积收益、三板市场收益、波动率、三因子、惯性因子、CAPM风险因子Beta。</w:t>
      </w:r>
    </w:p>
    <w:p w14:paraId="1E317B6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2）科创板：公司与证券信息、行业分类、名称与状态变更、科创板公司产品、融投资与分配、股东与股本、行情与分配、证券资讯、业绩预告、限售解禁、组织治理结构、财务报表、财务指标、财务报表附注、估值指标</w:t>
      </w:r>
      <w:r>
        <w:rPr>
          <w:rFonts w:hint="eastAsia" w:ascii="宋体" w:hAnsi="宋体" w:cs="宋体"/>
          <w:bCs/>
          <w:szCs w:val="21"/>
          <w:lang w:eastAsia="zh-CN"/>
        </w:rPr>
        <w:t>。</w:t>
      </w:r>
    </w:p>
    <w:p w14:paraId="52C53B52">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新三板：三板公司与证券信息、三板融资与分红、三板股东与股本、三板股权变动、三板财务报表、三板财务报表附注、三板组织治理结构、三板证券资讯、三板市场统计、三板中介机构、三板行情、三板指数、三板重大事项</w:t>
      </w:r>
      <w:r>
        <w:rPr>
          <w:rFonts w:hint="eastAsia" w:ascii="宋体" w:hAnsi="宋体" w:cs="宋体"/>
          <w:bCs/>
          <w:szCs w:val="21"/>
          <w:lang w:eastAsia="zh-CN"/>
        </w:rPr>
        <w:t>。</w:t>
      </w:r>
    </w:p>
    <w:p w14:paraId="5EEEFDA4">
      <w:pPr>
        <w:spacing w:line="400" w:lineRule="exact"/>
        <w:ind w:firstLine="420" w:firstLineChars="200"/>
        <w:rPr>
          <w:rFonts w:ascii="宋体" w:hAnsi="宋体" w:cs="宋体"/>
          <w:bCs/>
          <w:szCs w:val="21"/>
        </w:rPr>
      </w:pPr>
      <w:r>
        <w:rPr>
          <w:rFonts w:hint="eastAsia" w:ascii="宋体" w:hAnsi="宋体" w:cs="宋体"/>
          <w:bCs/>
          <w:szCs w:val="21"/>
        </w:rPr>
        <w:t>4）债券：债券标识与信息、货币市场数据、无风险收益、债券发行与承销、可转换债券、债券信用评级及担保、含权债信息、债券行情与估值、银行间拆借行情与统计、债券回购、债券指数、债券收益率曲线、发债公司财务报表、债券相关资讯、标准债券远期合约、债券市场上海清算所统计、央行公开市场操作、债券付息兑付、不更新数据。</w:t>
      </w:r>
    </w:p>
    <w:p w14:paraId="1EE714EE">
      <w:pPr>
        <w:spacing w:line="400" w:lineRule="exact"/>
        <w:ind w:firstLine="420" w:firstLineChars="200"/>
        <w:rPr>
          <w:rFonts w:ascii="宋体" w:hAnsi="宋体" w:cs="宋体"/>
          <w:bCs/>
          <w:szCs w:val="21"/>
        </w:rPr>
      </w:pPr>
      <w:r>
        <w:rPr>
          <w:rFonts w:hint="eastAsia" w:ascii="宋体" w:hAnsi="宋体" w:cs="宋体"/>
          <w:bCs/>
          <w:szCs w:val="21"/>
        </w:rPr>
        <w:t>5）基金：基金标识与信息、基金托管人与管理人、持有人及份额变动、基金发行与上市、基金净值、基金行情与表现、货币基金、开放式基金收益、基金投资组合、基金QDII投资组合、基金财务报表及分析、基金财务指标、基金评级、基金指数、基金公告新闻、ETF基金、分级基金、香港基金。</w:t>
      </w:r>
    </w:p>
    <w:p w14:paraId="37D2C54E">
      <w:pPr>
        <w:spacing w:line="400" w:lineRule="exact"/>
        <w:ind w:firstLine="420" w:firstLineChars="200"/>
        <w:rPr>
          <w:rFonts w:ascii="宋体" w:hAnsi="宋体" w:cs="宋体"/>
          <w:bCs/>
          <w:szCs w:val="21"/>
        </w:rPr>
      </w:pPr>
      <w:r>
        <w:rPr>
          <w:rFonts w:hint="eastAsia" w:ascii="宋体" w:hAnsi="宋体" w:cs="宋体"/>
          <w:bCs/>
          <w:szCs w:val="21"/>
        </w:rPr>
        <w:t>6）研究报告：盈利预测基础数据、盈利预测衍生数据、研究报告不更新数据。</w:t>
      </w:r>
    </w:p>
    <w:p w14:paraId="49DDD50B">
      <w:pPr>
        <w:spacing w:line="400" w:lineRule="exact"/>
        <w:ind w:firstLine="420" w:firstLineChars="200"/>
        <w:rPr>
          <w:rFonts w:ascii="宋体" w:hAnsi="宋体" w:cs="宋体"/>
          <w:bCs/>
          <w:szCs w:val="21"/>
        </w:rPr>
      </w:pPr>
      <w:r>
        <w:rPr>
          <w:rFonts w:hint="eastAsia" w:ascii="宋体" w:hAnsi="宋体" w:cs="宋体"/>
          <w:bCs/>
          <w:szCs w:val="21"/>
        </w:rPr>
        <w:t>7）融资融券：融资融券、融资融券不更新数据。</w:t>
      </w:r>
    </w:p>
    <w:p w14:paraId="11168072">
      <w:pPr>
        <w:spacing w:line="400" w:lineRule="exact"/>
        <w:ind w:firstLine="420" w:firstLineChars="200"/>
        <w:rPr>
          <w:rFonts w:ascii="宋体" w:hAnsi="宋体" w:cs="宋体"/>
          <w:bCs/>
          <w:szCs w:val="21"/>
        </w:rPr>
      </w:pPr>
      <w:r>
        <w:rPr>
          <w:rFonts w:hint="eastAsia" w:ascii="宋体" w:hAnsi="宋体" w:cs="宋体"/>
          <w:bCs/>
          <w:szCs w:val="21"/>
        </w:rPr>
        <w:t>8）宏观统计：宏观统计、宏观指数、宏观资讯。</w:t>
      </w:r>
    </w:p>
    <w:p w14:paraId="559C1C23">
      <w:pPr>
        <w:spacing w:line="400" w:lineRule="exact"/>
        <w:ind w:firstLine="420" w:firstLineChars="200"/>
        <w:rPr>
          <w:rFonts w:ascii="宋体" w:hAnsi="宋体" w:cs="宋体"/>
          <w:bCs/>
          <w:szCs w:val="21"/>
        </w:rPr>
      </w:pPr>
      <w:r>
        <w:rPr>
          <w:rFonts w:hint="eastAsia" w:ascii="宋体" w:hAnsi="宋体" w:cs="宋体"/>
          <w:bCs/>
          <w:szCs w:val="21"/>
        </w:rPr>
        <w:t>9）行业统计：行业统计、行业资讯。</w:t>
      </w:r>
    </w:p>
    <w:p w14:paraId="5F21AE3D">
      <w:pPr>
        <w:spacing w:line="400" w:lineRule="exact"/>
        <w:ind w:firstLine="420" w:firstLineChars="200"/>
        <w:rPr>
          <w:rFonts w:ascii="宋体" w:hAnsi="宋体" w:cs="宋体"/>
          <w:bCs/>
          <w:szCs w:val="21"/>
        </w:rPr>
      </w:pPr>
      <w:r>
        <w:rPr>
          <w:rFonts w:hint="eastAsia" w:ascii="宋体" w:hAnsi="宋体" w:cs="宋体"/>
          <w:bCs/>
          <w:szCs w:val="21"/>
        </w:rPr>
        <w:t>10）金融统计：央行数据、外汇与外债、财政收支与税率、交易额统计、保险、证券市场统计、社保基金、金融统计不更新数据。</w:t>
      </w:r>
    </w:p>
    <w:p w14:paraId="24723B4F">
      <w:pPr>
        <w:spacing w:line="400" w:lineRule="exact"/>
        <w:ind w:firstLine="420" w:firstLineChars="200"/>
        <w:rPr>
          <w:rFonts w:ascii="宋体" w:hAnsi="宋体" w:cs="宋体"/>
          <w:bCs/>
          <w:szCs w:val="21"/>
        </w:rPr>
      </w:pPr>
      <w:r>
        <w:rPr>
          <w:rFonts w:hint="eastAsia" w:ascii="宋体" w:hAnsi="宋体" w:cs="宋体"/>
          <w:bCs/>
          <w:szCs w:val="21"/>
        </w:rPr>
        <w:t>11）外汇：主要货币信息、人民币基准汇价、汇率代码对照表、汇率行情、各国官方汇率、外汇交易、中国银行外汇实时牌价、中国银行外汇牌价、各种货币对美元折算率、外汇不更新数据。</w:t>
      </w:r>
    </w:p>
    <w:p w14:paraId="79336BA9">
      <w:pPr>
        <w:spacing w:line="400" w:lineRule="exact"/>
        <w:ind w:firstLine="420" w:firstLineChars="200"/>
        <w:rPr>
          <w:rFonts w:ascii="宋体" w:hAnsi="宋体" w:cs="宋体"/>
          <w:bCs/>
          <w:szCs w:val="21"/>
        </w:rPr>
      </w:pPr>
      <w:r>
        <w:rPr>
          <w:rFonts w:hint="eastAsia" w:ascii="宋体" w:hAnsi="宋体" w:cs="宋体"/>
          <w:bCs/>
          <w:szCs w:val="21"/>
        </w:rPr>
        <w:t>12）期货：期货合约、期货交易行情、期货交易统计、期货市场资讯。</w:t>
      </w:r>
    </w:p>
    <w:p w14:paraId="630AA4AB">
      <w:pPr>
        <w:spacing w:line="400" w:lineRule="exact"/>
        <w:ind w:firstLine="420" w:firstLineChars="200"/>
        <w:rPr>
          <w:rFonts w:ascii="宋体" w:hAnsi="宋体" w:cs="宋体"/>
          <w:bCs/>
          <w:szCs w:val="21"/>
        </w:rPr>
      </w:pPr>
      <w:r>
        <w:rPr>
          <w:rFonts w:hint="eastAsia" w:ascii="宋体" w:hAnsi="宋体" w:cs="宋体"/>
          <w:bCs/>
          <w:szCs w:val="21"/>
        </w:rPr>
        <w:t>13）黄金：黄金交易品种信息、黄金交易行情、黄金市场信息、黄金行情资讯、境外现货交易行情黄金不更新数据。</w:t>
      </w:r>
    </w:p>
    <w:p w14:paraId="0AAC1208">
      <w:pPr>
        <w:spacing w:line="400" w:lineRule="exact"/>
        <w:ind w:firstLine="420" w:firstLineChars="200"/>
        <w:rPr>
          <w:rFonts w:ascii="宋体" w:hAnsi="宋体" w:cs="宋体"/>
          <w:bCs/>
          <w:szCs w:val="21"/>
        </w:rPr>
      </w:pPr>
      <w:r>
        <w:rPr>
          <w:rFonts w:hint="eastAsia" w:ascii="宋体" w:hAnsi="宋体" w:cs="宋体"/>
          <w:bCs/>
          <w:szCs w:val="21"/>
        </w:rPr>
        <w:t>3.财务报表数据须提供未调整与最新调整数据。</w:t>
      </w:r>
    </w:p>
    <w:p w14:paraId="716ED63C">
      <w:pPr>
        <w:spacing w:line="400" w:lineRule="exact"/>
        <w:ind w:firstLine="420" w:firstLineChars="200"/>
        <w:rPr>
          <w:rFonts w:ascii="宋体" w:hAnsi="宋体" w:cs="宋体"/>
          <w:bCs/>
          <w:szCs w:val="21"/>
        </w:rPr>
      </w:pPr>
      <w:r>
        <w:rPr>
          <w:rFonts w:hint="eastAsia" w:ascii="宋体" w:hAnsi="宋体" w:cs="宋体"/>
          <w:bCs/>
          <w:szCs w:val="21"/>
        </w:rPr>
        <w:t>4.能够提供专业处理后的衍生指标数据，如市盈率、换手率、市值、持有期收益、累积收益、三板市场收益、波动率、三因子模型、CAPM风险因子Beta等（</w:t>
      </w:r>
      <w:r>
        <w:rPr>
          <w:rFonts w:hint="eastAsia" w:ascii="宋体" w:hAnsi="宋体" w:cs="宋体"/>
          <w:bCs/>
          <w:szCs w:val="21"/>
          <w:lang w:eastAsia="zh-CN"/>
        </w:rPr>
        <w:t>投标文件</w:t>
      </w:r>
      <w:r>
        <w:rPr>
          <w:rFonts w:hint="eastAsia" w:ascii="宋体" w:hAnsi="宋体" w:cs="宋体"/>
          <w:bCs/>
          <w:szCs w:val="21"/>
        </w:rPr>
        <w:t>中提供完整功能截图并加盖供应商公章）。</w:t>
      </w:r>
    </w:p>
    <w:p w14:paraId="148127D8">
      <w:pPr>
        <w:spacing w:line="400" w:lineRule="exact"/>
        <w:ind w:firstLine="420" w:firstLineChars="200"/>
        <w:rPr>
          <w:rFonts w:ascii="宋体" w:hAnsi="宋体" w:cs="宋体"/>
          <w:bCs/>
          <w:szCs w:val="21"/>
        </w:rPr>
      </w:pPr>
      <w:r>
        <w:rPr>
          <w:rFonts w:hint="eastAsia" w:ascii="宋体" w:hAnsi="宋体" w:cs="宋体"/>
          <w:bCs/>
          <w:szCs w:val="21"/>
        </w:rPr>
        <w:t>5.提供查询字段、代码选择、概念板块等多种查询方式，代码选择中提供主创三板标识、中小创三板标识等常用查询条件，提供2012版证监会行业分类、中信行业分类、2014版申万行业分类等常用行业分类（</w:t>
      </w:r>
      <w:r>
        <w:rPr>
          <w:rFonts w:hint="eastAsia" w:ascii="宋体" w:hAnsi="宋体" w:cs="宋体"/>
          <w:bCs/>
          <w:szCs w:val="21"/>
          <w:lang w:eastAsia="zh-CN"/>
        </w:rPr>
        <w:t>投标文件</w:t>
      </w:r>
      <w:r>
        <w:rPr>
          <w:rFonts w:hint="eastAsia" w:ascii="宋体" w:hAnsi="宋体" w:cs="宋体"/>
          <w:bCs/>
          <w:szCs w:val="21"/>
        </w:rPr>
        <w:t>中提供完整功能截图并加盖供应商公章）。</w:t>
      </w:r>
    </w:p>
    <w:p w14:paraId="2BD3AFCE">
      <w:pPr>
        <w:spacing w:line="400" w:lineRule="exact"/>
        <w:ind w:firstLine="420" w:firstLineChars="200"/>
        <w:rPr>
          <w:rFonts w:ascii="宋体" w:hAnsi="宋体" w:cs="宋体"/>
          <w:bCs/>
          <w:szCs w:val="21"/>
        </w:rPr>
      </w:pPr>
      <w:r>
        <w:rPr>
          <w:rFonts w:hint="eastAsia" w:ascii="宋体" w:hAnsi="宋体" w:cs="宋体"/>
          <w:bCs/>
          <w:szCs w:val="21"/>
        </w:rPr>
        <w:t>6.提供高级搜索查询，可根据表名称、表字段、数据词典内容进行精确/模糊查询。</w:t>
      </w:r>
    </w:p>
    <w:p w14:paraId="7C4A39D4">
      <w:pPr>
        <w:spacing w:line="400" w:lineRule="exact"/>
        <w:ind w:firstLine="420" w:firstLineChars="200"/>
        <w:rPr>
          <w:rFonts w:ascii="宋体" w:hAnsi="宋体" w:cs="宋体"/>
          <w:bCs/>
          <w:szCs w:val="21"/>
        </w:rPr>
      </w:pPr>
      <w:r>
        <w:rPr>
          <w:rFonts w:hint="eastAsia" w:ascii="宋体" w:hAnsi="宋体" w:cs="宋体"/>
          <w:bCs/>
          <w:szCs w:val="21"/>
        </w:rPr>
        <w:t>7.提供下载查询时结果数据集大小的设定。</w:t>
      </w:r>
    </w:p>
    <w:p w14:paraId="10B2B1D5">
      <w:pPr>
        <w:spacing w:line="400" w:lineRule="exact"/>
        <w:ind w:firstLine="420" w:firstLineChars="200"/>
        <w:rPr>
          <w:rFonts w:ascii="宋体" w:hAnsi="宋体" w:cs="宋体"/>
          <w:bCs/>
          <w:szCs w:val="21"/>
        </w:rPr>
      </w:pPr>
      <w:r>
        <w:rPr>
          <w:rFonts w:hint="eastAsia" w:ascii="宋体" w:hAnsi="宋体" w:cs="宋体"/>
          <w:bCs/>
          <w:szCs w:val="21"/>
        </w:rPr>
        <w:t>8.提供下载地址发送至邮箱功能，下载</w:t>
      </w:r>
      <w:r>
        <w:rPr>
          <w:rFonts w:hint="eastAsia" w:ascii="宋体" w:hAnsi="宋体" w:cs="宋体"/>
          <w:bCs/>
          <w:szCs w:val="21"/>
          <w:lang w:eastAsia="zh-CN"/>
        </w:rPr>
        <w:t>链</w:t>
      </w:r>
      <w:r>
        <w:rPr>
          <w:rFonts w:hint="eastAsia" w:ascii="宋体" w:hAnsi="宋体" w:cs="宋体"/>
          <w:bCs/>
          <w:szCs w:val="21"/>
        </w:rPr>
        <w:t>接48小时有效。</w:t>
      </w:r>
    </w:p>
    <w:p w14:paraId="7C79B494">
      <w:pPr>
        <w:spacing w:line="400" w:lineRule="exact"/>
        <w:ind w:firstLine="420" w:firstLineChars="200"/>
        <w:rPr>
          <w:rFonts w:ascii="宋体" w:hAnsi="宋体" w:cs="宋体"/>
          <w:bCs/>
          <w:szCs w:val="21"/>
        </w:rPr>
      </w:pPr>
      <w:r>
        <w:rPr>
          <w:rFonts w:hint="eastAsia" w:ascii="宋体" w:hAnsi="宋体" w:cs="宋体"/>
          <w:bCs/>
          <w:szCs w:val="21"/>
        </w:rPr>
        <w:t>9.提供查询结果预览，显示符合条件总记录条数。</w:t>
      </w:r>
    </w:p>
    <w:p w14:paraId="317E23F2">
      <w:pPr>
        <w:spacing w:line="400" w:lineRule="exact"/>
        <w:ind w:firstLine="420" w:firstLineChars="200"/>
        <w:rPr>
          <w:rFonts w:ascii="宋体" w:hAnsi="宋体" w:cs="宋体"/>
          <w:bCs/>
          <w:szCs w:val="21"/>
        </w:rPr>
      </w:pPr>
      <w:r>
        <w:rPr>
          <w:rFonts w:hint="eastAsia" w:ascii="宋体" w:hAnsi="宋体" w:cs="宋体"/>
          <w:bCs/>
          <w:szCs w:val="21"/>
        </w:rPr>
        <w:t>10.支持教学研究，提供数据定制服务。</w:t>
      </w:r>
    </w:p>
    <w:p w14:paraId="1037A4BC">
      <w:pPr>
        <w:spacing w:line="400" w:lineRule="exact"/>
        <w:ind w:firstLine="420" w:firstLineChars="200"/>
        <w:rPr>
          <w:rFonts w:ascii="宋体" w:hAnsi="宋体" w:cs="宋体"/>
          <w:bCs/>
          <w:szCs w:val="21"/>
        </w:rPr>
      </w:pPr>
      <w:r>
        <w:rPr>
          <w:rFonts w:hint="eastAsia" w:ascii="宋体" w:hAnsi="宋体" w:cs="宋体"/>
          <w:bCs/>
          <w:szCs w:val="21"/>
        </w:rPr>
        <w:t>11.支持常用应用软件SAS，SPSS，Matlab, R, Python等的直接调用（</w:t>
      </w:r>
      <w:r>
        <w:rPr>
          <w:rFonts w:hint="eastAsia" w:ascii="宋体" w:hAnsi="宋体" w:cs="宋体"/>
          <w:bCs/>
          <w:szCs w:val="21"/>
          <w:lang w:eastAsia="zh-CN"/>
        </w:rPr>
        <w:t>投标文件</w:t>
      </w:r>
      <w:r>
        <w:rPr>
          <w:rFonts w:hint="eastAsia" w:ascii="宋体" w:hAnsi="宋体" w:cs="宋体"/>
          <w:bCs/>
          <w:szCs w:val="21"/>
        </w:rPr>
        <w:t>中提供完整功能截图并加盖供应商公章）。</w:t>
      </w:r>
    </w:p>
    <w:p w14:paraId="78317090">
      <w:pPr>
        <w:spacing w:line="400" w:lineRule="exact"/>
        <w:ind w:firstLine="420" w:firstLineChars="200"/>
        <w:rPr>
          <w:rFonts w:ascii="宋体" w:hAnsi="宋体" w:cs="宋体"/>
          <w:bCs/>
          <w:szCs w:val="21"/>
        </w:rPr>
      </w:pPr>
      <w:r>
        <w:rPr>
          <w:rFonts w:hint="eastAsia" w:ascii="宋体" w:hAnsi="宋体" w:cs="宋体"/>
          <w:bCs/>
          <w:szCs w:val="21"/>
        </w:rPr>
        <w:t>12.数据库平台为BS架构，无需额外安装</w:t>
      </w:r>
      <w:r>
        <w:rPr>
          <w:rFonts w:hint="eastAsia" w:ascii="宋体" w:hAnsi="宋体" w:cs="宋体"/>
          <w:bCs/>
          <w:szCs w:val="21"/>
          <w:lang w:eastAsia="zh-CN"/>
        </w:rPr>
        <w:t>其他</w:t>
      </w:r>
      <w:r>
        <w:rPr>
          <w:rFonts w:hint="eastAsia" w:ascii="宋体" w:hAnsi="宋体" w:cs="宋体"/>
          <w:bCs/>
          <w:szCs w:val="21"/>
        </w:rPr>
        <w:t>程序，即可支持在各种操作系统下访问、检索、下载（</w:t>
      </w:r>
      <w:r>
        <w:rPr>
          <w:rFonts w:hint="eastAsia" w:ascii="宋体" w:hAnsi="宋体" w:cs="宋体"/>
          <w:bCs/>
          <w:szCs w:val="21"/>
          <w:lang w:eastAsia="zh-CN"/>
        </w:rPr>
        <w:t>投标文件</w:t>
      </w:r>
      <w:r>
        <w:rPr>
          <w:rFonts w:hint="eastAsia" w:ascii="宋体" w:hAnsi="宋体" w:cs="宋体"/>
          <w:bCs/>
          <w:szCs w:val="21"/>
        </w:rPr>
        <w:t>中提供完整功能截图并加盖供应商公章）。</w:t>
      </w:r>
    </w:p>
    <w:p w14:paraId="3800F01E">
      <w:pPr>
        <w:spacing w:line="400" w:lineRule="exact"/>
        <w:ind w:firstLine="420" w:firstLineChars="200"/>
        <w:rPr>
          <w:rFonts w:ascii="宋体" w:hAnsi="宋体" w:cs="宋体"/>
          <w:bCs/>
          <w:szCs w:val="21"/>
        </w:rPr>
      </w:pPr>
      <w:r>
        <w:rPr>
          <w:rFonts w:hint="eastAsia" w:ascii="宋体" w:hAnsi="宋体" w:cs="宋体"/>
          <w:bCs/>
          <w:szCs w:val="21"/>
        </w:rPr>
        <w:t>13.详细的文档及数字词典，完全开放的模型和算法。</w:t>
      </w:r>
    </w:p>
    <w:p w14:paraId="10A4A8A2">
      <w:pPr>
        <w:spacing w:line="400" w:lineRule="exact"/>
        <w:ind w:firstLine="420" w:firstLineChars="200"/>
        <w:rPr>
          <w:rFonts w:ascii="宋体" w:hAnsi="宋体" w:cs="宋体"/>
          <w:bCs/>
          <w:szCs w:val="21"/>
        </w:rPr>
      </w:pPr>
      <w:r>
        <w:rPr>
          <w:rFonts w:hint="eastAsia" w:ascii="宋体" w:hAnsi="宋体" w:cs="宋体"/>
          <w:bCs/>
          <w:szCs w:val="21"/>
        </w:rPr>
        <w:t>14.可以一次性呈现全部查询结果集文件，支持下载中断或异常退出后重新进行连续下载。</w:t>
      </w:r>
    </w:p>
    <w:p w14:paraId="6505E2CD">
      <w:pPr>
        <w:spacing w:line="400" w:lineRule="exact"/>
        <w:ind w:firstLine="420" w:firstLineChars="200"/>
        <w:rPr>
          <w:rFonts w:ascii="宋体" w:hAnsi="宋体" w:cs="宋体"/>
          <w:bCs/>
          <w:szCs w:val="21"/>
        </w:rPr>
      </w:pPr>
      <w:r>
        <w:rPr>
          <w:rFonts w:hint="eastAsia" w:ascii="宋体" w:hAnsi="宋体" w:cs="宋体"/>
          <w:bCs/>
          <w:szCs w:val="21"/>
        </w:rPr>
        <w:t>15.可以记忆默认压缩格式。</w:t>
      </w:r>
    </w:p>
    <w:p w14:paraId="35453222">
      <w:pPr>
        <w:spacing w:line="400" w:lineRule="exact"/>
        <w:ind w:firstLine="420" w:firstLineChars="200"/>
        <w:rPr>
          <w:rFonts w:ascii="宋体" w:hAnsi="宋体" w:cs="宋体"/>
          <w:bCs/>
          <w:szCs w:val="21"/>
        </w:rPr>
      </w:pPr>
      <w:r>
        <w:rPr>
          <w:rFonts w:hint="eastAsia" w:ascii="宋体" w:hAnsi="宋体" w:cs="宋体"/>
          <w:bCs/>
          <w:szCs w:val="21"/>
        </w:rPr>
        <w:t>16.鼠标跟随显示详细数据字典功能。</w:t>
      </w:r>
    </w:p>
    <w:p w14:paraId="25AB6AAF">
      <w:pPr>
        <w:spacing w:line="400" w:lineRule="exact"/>
        <w:ind w:firstLine="420" w:firstLineChars="200"/>
        <w:rPr>
          <w:rFonts w:ascii="宋体" w:hAnsi="宋体" w:cs="宋体"/>
          <w:bCs/>
          <w:szCs w:val="21"/>
        </w:rPr>
      </w:pPr>
      <w:r>
        <w:rPr>
          <w:rFonts w:hint="eastAsia" w:ascii="宋体" w:hAnsi="宋体" w:cs="宋体"/>
          <w:bCs/>
          <w:szCs w:val="21"/>
        </w:rPr>
        <w:t>17.支持单次至少10万条的数据下载并支持连续下载，下载格式包括：Txt，Excel，Excel 2007, Dbf, SAS，SPSS，MATLAB，R, Stata，逗号分隔文本CSV，Tab键分隔文本TXT，HTML表格，XML文件等（</w:t>
      </w:r>
      <w:r>
        <w:rPr>
          <w:rFonts w:hint="eastAsia" w:ascii="宋体" w:hAnsi="宋体" w:cs="宋体"/>
          <w:bCs/>
          <w:szCs w:val="21"/>
          <w:lang w:eastAsia="zh-CN"/>
        </w:rPr>
        <w:t>投标文件</w:t>
      </w:r>
      <w:r>
        <w:rPr>
          <w:rFonts w:hint="eastAsia" w:ascii="宋体" w:hAnsi="宋体" w:cs="宋体"/>
          <w:bCs/>
          <w:szCs w:val="21"/>
        </w:rPr>
        <w:t>中提供完整功能截图并加盖供应商公章）。</w:t>
      </w:r>
    </w:p>
    <w:p w14:paraId="14CA52CF">
      <w:pPr>
        <w:spacing w:line="400" w:lineRule="exact"/>
        <w:ind w:firstLine="420" w:firstLineChars="200"/>
        <w:rPr>
          <w:rFonts w:ascii="宋体" w:hAnsi="宋体" w:cs="宋体"/>
          <w:bCs/>
          <w:szCs w:val="21"/>
        </w:rPr>
      </w:pPr>
      <w:r>
        <w:rPr>
          <w:rFonts w:hint="eastAsia" w:ascii="宋体" w:hAnsi="宋体" w:cs="宋体"/>
          <w:bCs/>
          <w:szCs w:val="21"/>
        </w:rPr>
        <w:t>18.支持跨平台，在Windows, Linux，Unix下使用。</w:t>
      </w:r>
    </w:p>
    <w:p w14:paraId="3B314D6E">
      <w:pPr>
        <w:spacing w:line="400" w:lineRule="exact"/>
        <w:ind w:firstLine="420" w:firstLineChars="200"/>
        <w:rPr>
          <w:rFonts w:ascii="宋体" w:hAnsi="宋体" w:cs="宋体"/>
          <w:bCs/>
          <w:szCs w:val="21"/>
        </w:rPr>
      </w:pPr>
      <w:r>
        <w:rPr>
          <w:rFonts w:hint="eastAsia" w:ascii="宋体" w:hAnsi="宋体" w:cs="宋体"/>
          <w:bCs/>
          <w:szCs w:val="21"/>
        </w:rPr>
        <w:t>19.全部中英文对照。提供每张表的中英文数据词典（</w:t>
      </w:r>
      <w:r>
        <w:rPr>
          <w:rFonts w:hint="eastAsia" w:ascii="宋体" w:hAnsi="宋体" w:cs="宋体"/>
          <w:bCs/>
          <w:szCs w:val="21"/>
          <w:lang w:eastAsia="zh-CN"/>
        </w:rPr>
        <w:t>投标文件</w:t>
      </w:r>
      <w:r>
        <w:rPr>
          <w:rFonts w:hint="eastAsia" w:ascii="宋体" w:hAnsi="宋体" w:cs="宋体"/>
          <w:bCs/>
          <w:szCs w:val="21"/>
        </w:rPr>
        <w:t>中提供完整功能截图并加盖供应商公章）。</w:t>
      </w:r>
    </w:p>
    <w:p w14:paraId="17D9F138">
      <w:pPr>
        <w:spacing w:line="400" w:lineRule="exact"/>
        <w:ind w:firstLine="420" w:firstLineChars="200"/>
        <w:rPr>
          <w:rFonts w:ascii="宋体" w:hAnsi="宋体" w:cs="宋体"/>
          <w:bCs/>
          <w:szCs w:val="21"/>
        </w:rPr>
      </w:pPr>
      <w:r>
        <w:rPr>
          <w:rFonts w:hint="eastAsia" w:ascii="宋体" w:hAnsi="宋体" w:cs="宋体"/>
          <w:bCs/>
          <w:szCs w:val="21"/>
        </w:rPr>
        <w:t>20.支持 SAS 并行计算平台，提供整套数据库的完整的SAS数据集，提供整套数据库的SAS并行计算解决方案。</w:t>
      </w:r>
    </w:p>
    <w:p w14:paraId="7CB56EC4">
      <w:pPr>
        <w:spacing w:line="400" w:lineRule="exact"/>
        <w:ind w:firstLine="420" w:firstLineChars="200"/>
        <w:rPr>
          <w:rFonts w:ascii="宋体" w:hAnsi="宋体" w:cs="宋体"/>
          <w:bCs/>
          <w:szCs w:val="21"/>
        </w:rPr>
      </w:pPr>
      <w:r>
        <w:rPr>
          <w:rFonts w:hint="eastAsia" w:ascii="宋体" w:hAnsi="宋体" w:cs="宋体"/>
          <w:bCs/>
          <w:szCs w:val="21"/>
        </w:rPr>
        <w:t>21.支持当前各种主流浏览器访问，支持多用户并发访问。</w:t>
      </w:r>
    </w:p>
    <w:p w14:paraId="2C1F93D4">
      <w:pPr>
        <w:spacing w:line="400" w:lineRule="exact"/>
        <w:ind w:firstLine="420" w:firstLineChars="200"/>
        <w:rPr>
          <w:rFonts w:ascii="宋体" w:hAnsi="宋体" w:cs="宋体"/>
          <w:bCs/>
          <w:szCs w:val="21"/>
        </w:rPr>
      </w:pPr>
      <w:r>
        <w:rPr>
          <w:rFonts w:hint="eastAsia" w:ascii="宋体" w:hAnsi="宋体" w:cs="宋体"/>
          <w:bCs/>
          <w:szCs w:val="21"/>
        </w:rPr>
        <w:t>22.提供基于本金融研究数据库的《财务分析》、《公司理财》、《金融工程》、《金融学》、《投资学》等实验指导书，以及《SAS编程技术教程》等由清华大学出版社出版的专业教材（供应商供货时提供1套完整的实验指导书及配套教材，</w:t>
      </w:r>
      <w:r>
        <w:rPr>
          <w:rFonts w:hint="eastAsia" w:ascii="宋体" w:hAnsi="宋体" w:cs="宋体"/>
          <w:bCs/>
          <w:szCs w:val="21"/>
          <w:lang w:eastAsia="zh-CN"/>
        </w:rPr>
        <w:t>投标文件</w:t>
      </w:r>
      <w:r>
        <w:rPr>
          <w:rFonts w:hint="eastAsia" w:ascii="宋体" w:hAnsi="宋体" w:cs="宋体"/>
          <w:bCs/>
          <w:szCs w:val="21"/>
        </w:rPr>
        <w:t>中提供承诺函）。</w:t>
      </w:r>
    </w:p>
    <w:p w14:paraId="26A6F0A9">
      <w:pPr>
        <w:spacing w:line="400" w:lineRule="exact"/>
        <w:ind w:firstLine="420" w:firstLineChars="200"/>
        <w:rPr>
          <w:rFonts w:ascii="宋体" w:hAnsi="宋体" w:cs="宋体"/>
          <w:bCs/>
          <w:szCs w:val="21"/>
        </w:rPr>
      </w:pPr>
      <w:r>
        <w:rPr>
          <w:rFonts w:hint="eastAsia" w:ascii="宋体" w:hAnsi="宋体" w:cs="宋体"/>
          <w:bCs/>
          <w:szCs w:val="21"/>
        </w:rPr>
        <w:t>★23.为保证数据的权威性，金融数据库的行情数据源需来自于国内各大交易所（供应商供货时提供不少于2家国内交易所网站关于行情许可单位的公示结果或授权证书，</w:t>
      </w:r>
      <w:r>
        <w:rPr>
          <w:rFonts w:hint="eastAsia" w:ascii="宋体" w:hAnsi="宋体" w:cs="宋体"/>
          <w:bCs/>
          <w:szCs w:val="21"/>
          <w:lang w:eastAsia="zh-CN"/>
        </w:rPr>
        <w:t>投标文件</w:t>
      </w:r>
      <w:r>
        <w:rPr>
          <w:rFonts w:hint="eastAsia" w:ascii="宋体" w:hAnsi="宋体" w:cs="宋体"/>
          <w:bCs/>
          <w:szCs w:val="21"/>
        </w:rPr>
        <w:t>中提供承诺函）。</w:t>
      </w:r>
    </w:p>
    <w:p w14:paraId="791F1AB6">
      <w:pPr>
        <w:spacing w:line="400" w:lineRule="exact"/>
        <w:ind w:firstLine="420" w:firstLineChars="200"/>
        <w:rPr>
          <w:rFonts w:ascii="宋体" w:hAnsi="宋体" w:cs="宋体"/>
          <w:bCs/>
          <w:szCs w:val="21"/>
        </w:rPr>
      </w:pPr>
      <w:r>
        <w:rPr>
          <w:rFonts w:hint="eastAsia" w:ascii="宋体" w:hAnsi="宋体" w:cs="宋体"/>
          <w:bCs/>
          <w:szCs w:val="21"/>
        </w:rPr>
        <w:t>★24.为保证所投软件产品来源合法性和有效性，</w:t>
      </w:r>
      <w:r>
        <w:rPr>
          <w:rFonts w:hint="eastAsia" w:ascii="宋体" w:hAnsi="宋体" w:cs="宋体"/>
          <w:bCs/>
          <w:szCs w:val="21"/>
          <w:lang w:eastAsia="zh-CN"/>
        </w:rPr>
        <w:t>投标产品</w:t>
      </w:r>
      <w:r>
        <w:rPr>
          <w:rFonts w:hint="eastAsia" w:ascii="宋体" w:hAnsi="宋体" w:cs="宋体"/>
          <w:bCs/>
          <w:szCs w:val="21"/>
        </w:rPr>
        <w:t>应具备《软件著作权证书》（</w:t>
      </w:r>
      <w:r>
        <w:rPr>
          <w:rFonts w:hint="eastAsia" w:ascii="宋体" w:hAnsi="宋体" w:cs="宋体"/>
          <w:bCs/>
          <w:szCs w:val="21"/>
          <w:lang w:eastAsia="zh-CN"/>
        </w:rPr>
        <w:t>投标文件</w:t>
      </w:r>
      <w:r>
        <w:rPr>
          <w:rFonts w:hint="eastAsia" w:ascii="宋体" w:hAnsi="宋体" w:cs="宋体"/>
          <w:bCs/>
          <w:szCs w:val="21"/>
        </w:rPr>
        <w:t>中提供证书复印件并加盖公章）。</w:t>
      </w:r>
    </w:p>
    <w:p w14:paraId="6A2E8704">
      <w:pPr>
        <w:spacing w:line="400" w:lineRule="exact"/>
        <w:ind w:firstLine="420" w:firstLineChars="200"/>
        <w:rPr>
          <w:rFonts w:ascii="宋体" w:hAnsi="宋体" w:cs="宋体"/>
          <w:bCs/>
          <w:szCs w:val="21"/>
        </w:rPr>
      </w:pPr>
      <w:r>
        <w:rPr>
          <w:rFonts w:hint="eastAsia" w:ascii="宋体" w:hAnsi="宋体" w:cs="宋体"/>
          <w:bCs/>
          <w:szCs w:val="21"/>
        </w:rPr>
        <w:t>★25.非制造商的供应商须在中标后提供制造商针对</w:t>
      </w:r>
      <w:r>
        <w:rPr>
          <w:rFonts w:hint="eastAsia" w:ascii="宋体" w:hAnsi="宋体" w:cs="宋体"/>
          <w:bCs/>
          <w:szCs w:val="21"/>
          <w:lang w:eastAsia="zh-CN"/>
        </w:rPr>
        <w:t>投标产品</w:t>
      </w:r>
      <w:r>
        <w:rPr>
          <w:rFonts w:hint="eastAsia" w:ascii="宋体" w:hAnsi="宋体" w:cs="宋体"/>
          <w:bCs/>
          <w:szCs w:val="21"/>
        </w:rPr>
        <w:t>的授权函和售后服务承诺书。</w:t>
      </w:r>
    </w:p>
    <w:p w14:paraId="6D6BF633">
      <w:pPr>
        <w:spacing w:line="400" w:lineRule="exact"/>
        <w:ind w:firstLine="420" w:firstLineChars="200"/>
        <w:rPr>
          <w:rFonts w:hint="eastAsia" w:ascii="宋体" w:hAnsi="宋体" w:cs="宋体"/>
          <w:bCs/>
          <w:szCs w:val="21"/>
        </w:rPr>
      </w:pPr>
      <w:r>
        <w:rPr>
          <w:rFonts w:hint="eastAsia" w:ascii="宋体" w:hAnsi="宋体" w:cs="宋体"/>
          <w:bCs/>
          <w:szCs w:val="21"/>
          <w:lang w:val="en-US" w:eastAsia="zh-CN"/>
        </w:rPr>
        <w:t>26.</w:t>
      </w:r>
      <w:r>
        <w:rPr>
          <w:rFonts w:hint="eastAsia" w:ascii="宋体" w:hAnsi="宋体" w:cs="宋体"/>
          <w:bCs/>
          <w:szCs w:val="21"/>
        </w:rPr>
        <w:t>维修响应时间</w:t>
      </w:r>
      <w:r>
        <w:rPr>
          <w:rFonts w:hint="eastAsia" w:ascii="宋体" w:hAnsi="宋体" w:cs="宋体"/>
          <w:bCs/>
          <w:szCs w:val="21"/>
          <w:lang w:eastAsia="zh-CN"/>
        </w:rPr>
        <w:t>：</w:t>
      </w:r>
      <w:r>
        <w:rPr>
          <w:rFonts w:hint="eastAsia" w:ascii="宋体" w:hAnsi="宋体" w:cs="宋体"/>
          <w:bCs/>
          <w:szCs w:val="21"/>
        </w:rPr>
        <w:t>供应商负责向采购</w:t>
      </w:r>
      <w:r>
        <w:rPr>
          <w:rFonts w:hint="eastAsia" w:ascii="宋体" w:hAnsi="宋体" w:cs="宋体"/>
          <w:bCs/>
          <w:szCs w:val="21"/>
          <w:lang w:eastAsia="zh-CN"/>
        </w:rPr>
        <w:t>人</w:t>
      </w:r>
      <w:r>
        <w:rPr>
          <w:rFonts w:hint="eastAsia" w:ascii="宋体" w:hAnsi="宋体" w:cs="宋体"/>
          <w:bCs/>
          <w:szCs w:val="21"/>
        </w:rPr>
        <w:t>提供网络、电话及EMAIL支持服务，响应时间不超过1小时，以保证数据库产品的正常使用；若远程支持无法解决问题的，供应商须承诺24小时内上门服务，3天内解决。</w:t>
      </w:r>
    </w:p>
    <w:p w14:paraId="0689329F">
      <w:pPr>
        <w:spacing w:line="400" w:lineRule="exact"/>
        <w:ind w:firstLine="420" w:firstLineChars="200"/>
        <w:rPr>
          <w:rFonts w:hint="eastAsia" w:ascii="宋体" w:hAnsi="宋体" w:cs="宋体"/>
          <w:bCs/>
          <w:szCs w:val="21"/>
        </w:rPr>
      </w:pPr>
      <w:r>
        <w:rPr>
          <w:rFonts w:hint="eastAsia" w:ascii="宋体" w:hAnsi="宋体" w:cs="宋体"/>
          <w:bCs/>
          <w:szCs w:val="21"/>
          <w:lang w:val="en-US" w:eastAsia="zh-CN"/>
        </w:rPr>
        <w:t>27.</w:t>
      </w:r>
      <w:r>
        <w:rPr>
          <w:rFonts w:hint="eastAsia" w:ascii="宋体" w:hAnsi="宋体" w:cs="宋体"/>
          <w:bCs/>
          <w:szCs w:val="21"/>
        </w:rPr>
        <w:t>服务期内，为采购</w:t>
      </w:r>
      <w:r>
        <w:rPr>
          <w:rFonts w:hint="eastAsia" w:ascii="宋体" w:hAnsi="宋体" w:cs="宋体"/>
          <w:bCs/>
          <w:szCs w:val="21"/>
          <w:lang w:eastAsia="zh-CN"/>
        </w:rPr>
        <w:t>人无条件</w:t>
      </w:r>
      <w:r>
        <w:rPr>
          <w:rFonts w:hint="eastAsia" w:ascii="宋体" w:hAnsi="宋体" w:cs="宋体"/>
          <w:bCs/>
          <w:szCs w:val="21"/>
        </w:rPr>
        <w:t>提供数据库培训等活动一年内不少于2次，具体时间和形式，双方协商确认。</w:t>
      </w:r>
    </w:p>
    <w:p w14:paraId="19FB172F">
      <w:pPr>
        <w:spacing w:line="400" w:lineRule="exact"/>
        <w:ind w:firstLine="420" w:firstLineChars="200"/>
        <w:rPr>
          <w:rFonts w:hint="eastAsia" w:ascii="宋体" w:hAnsi="宋体" w:cs="宋体"/>
          <w:bCs/>
          <w:szCs w:val="21"/>
        </w:rPr>
      </w:pPr>
      <w:r>
        <w:rPr>
          <w:rFonts w:hint="eastAsia" w:ascii="宋体" w:hAnsi="宋体" w:cs="宋体"/>
          <w:bCs/>
          <w:szCs w:val="21"/>
          <w:lang w:val="en-US" w:eastAsia="zh-CN"/>
        </w:rPr>
        <w:t>28</w:t>
      </w:r>
      <w:r>
        <w:rPr>
          <w:rFonts w:hint="eastAsia" w:ascii="宋体" w:hAnsi="宋体" w:cs="宋体"/>
          <w:bCs/>
          <w:szCs w:val="21"/>
        </w:rPr>
        <w:t>.定期提供数据库使用统计。</w:t>
      </w:r>
    </w:p>
    <w:p w14:paraId="64A0E94B">
      <w:pPr>
        <w:spacing w:line="400" w:lineRule="exact"/>
        <w:ind w:firstLine="420" w:firstLineChars="200"/>
        <w:rPr>
          <w:rFonts w:hint="eastAsia" w:ascii="宋体" w:hAnsi="宋体" w:cs="宋体"/>
          <w:bCs/>
          <w:szCs w:val="21"/>
        </w:rPr>
      </w:pPr>
      <w:r>
        <w:rPr>
          <w:rFonts w:hint="eastAsia" w:ascii="宋体" w:hAnsi="宋体" w:cs="宋体"/>
          <w:bCs/>
          <w:szCs w:val="21"/>
          <w:lang w:val="en-US" w:eastAsia="zh-CN"/>
        </w:rPr>
        <w:t>29</w:t>
      </w:r>
      <w:r>
        <w:rPr>
          <w:rFonts w:hint="eastAsia" w:ascii="宋体" w:hAnsi="宋体" w:cs="宋体"/>
          <w:bCs/>
          <w:szCs w:val="21"/>
        </w:rPr>
        <w:t>.服务期限：2026年1月1日至2026年12月31日。</w:t>
      </w:r>
    </w:p>
    <w:p w14:paraId="5E473956">
      <w:pPr>
        <w:spacing w:line="400" w:lineRule="exact"/>
        <w:rPr>
          <w:rFonts w:ascii="宋体" w:hAnsi="宋体" w:cs="宋体"/>
          <w:b/>
          <w:szCs w:val="21"/>
        </w:rPr>
      </w:pPr>
      <w:r>
        <w:rPr>
          <w:rFonts w:hint="eastAsia" w:ascii="宋体" w:hAnsi="宋体" w:cs="宋体"/>
          <w:bCs/>
          <w:szCs w:val="21"/>
        </w:rPr>
        <w:br w:type="page"/>
      </w:r>
      <w:r>
        <w:rPr>
          <w:rFonts w:hint="eastAsia" w:ascii="宋体" w:hAnsi="宋体" w:cs="宋体"/>
          <w:bCs/>
          <w:szCs w:val="21"/>
          <w:lang w:val="en-US" w:eastAsia="zh-CN"/>
        </w:rPr>
        <w:t xml:space="preserve">   </w:t>
      </w:r>
      <w:r>
        <w:rPr>
          <w:rFonts w:hint="eastAsia" w:ascii="宋体" w:hAnsi="宋体" w:cs="宋体"/>
          <w:kern w:val="0"/>
          <w:szCs w:val="21"/>
        </w:rPr>
        <w:t xml:space="preserve"> </w:t>
      </w:r>
      <w:r>
        <w:rPr>
          <w:rFonts w:hint="eastAsia" w:ascii="宋体" w:hAnsi="宋体" w:cs="宋体"/>
          <w:b/>
          <w:szCs w:val="21"/>
        </w:rPr>
        <w:t>标项三（EPS全球统计数据分析数据库）：</w:t>
      </w:r>
    </w:p>
    <w:p w14:paraId="6C08A5BA">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校园</w:t>
      </w:r>
      <w:r>
        <w:rPr>
          <w:rFonts w:hint="eastAsia" w:ascii="宋体" w:hAnsi="宋体" w:cs="宋体"/>
          <w:szCs w:val="21"/>
        </w:rPr>
        <w:t>IP</w:t>
      </w:r>
      <w:r>
        <w:rPr>
          <w:rFonts w:hint="eastAsia" w:ascii="宋体" w:hAnsi="宋体" w:cs="宋体"/>
          <w:szCs w:val="21"/>
          <w:lang w:val="en-US" w:eastAsia="zh-CN"/>
        </w:rPr>
        <w:t>范围内</w:t>
      </w:r>
      <w:r>
        <w:rPr>
          <w:rFonts w:hint="eastAsia" w:ascii="宋体" w:hAnsi="宋体" w:cs="宋体"/>
          <w:szCs w:val="21"/>
        </w:rPr>
        <w:t>访问登录</w:t>
      </w:r>
      <w:r>
        <w:rPr>
          <w:rFonts w:hint="eastAsia" w:ascii="宋体" w:hAnsi="宋体" w:cs="宋体"/>
          <w:szCs w:val="21"/>
          <w:lang w:eastAsia="zh-CN"/>
        </w:rPr>
        <w:t>，</w:t>
      </w:r>
      <w:r>
        <w:rPr>
          <w:rFonts w:hint="eastAsia" w:ascii="宋体" w:hAnsi="宋体" w:cs="宋体"/>
          <w:bCs/>
          <w:szCs w:val="21"/>
        </w:rPr>
        <w:t>支持</w:t>
      </w:r>
      <w:r>
        <w:rPr>
          <w:rFonts w:hint="eastAsia" w:ascii="宋体" w:hAnsi="宋体" w:cs="宋体"/>
          <w:bCs/>
          <w:szCs w:val="21"/>
          <w:lang w:val="en-US" w:eastAsia="zh-CN"/>
        </w:rPr>
        <w:t>VPN、</w:t>
      </w:r>
      <w:r>
        <w:rPr>
          <w:rFonts w:hint="eastAsia" w:ascii="宋体" w:hAnsi="宋体" w:cs="宋体"/>
          <w:bCs/>
          <w:szCs w:val="21"/>
        </w:rPr>
        <w:t>CARSI等校外</w:t>
      </w:r>
      <w:r>
        <w:rPr>
          <w:rFonts w:hint="eastAsia" w:ascii="宋体" w:hAnsi="宋体" w:cs="宋体"/>
          <w:bCs/>
          <w:szCs w:val="21"/>
          <w:lang w:val="en-US" w:eastAsia="zh-CN"/>
        </w:rPr>
        <w:t>登录</w:t>
      </w:r>
      <w:r>
        <w:rPr>
          <w:rFonts w:hint="eastAsia" w:ascii="宋体" w:hAnsi="宋体" w:cs="宋体"/>
          <w:bCs/>
          <w:szCs w:val="21"/>
        </w:rPr>
        <w:t>访问</w:t>
      </w:r>
      <w:r>
        <w:rPr>
          <w:rFonts w:hint="eastAsia" w:ascii="宋体" w:hAnsi="宋体" w:cs="宋体"/>
          <w:szCs w:val="21"/>
          <w:lang w:eastAsia="zh-CN"/>
        </w:rPr>
        <w:t>。</w:t>
      </w:r>
    </w:p>
    <w:p w14:paraId="210EA904">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2.访问无并发数</w:t>
      </w:r>
      <w:r>
        <w:rPr>
          <w:rFonts w:hint="eastAsia" w:ascii="宋体" w:hAnsi="宋体" w:cs="宋体"/>
          <w:szCs w:val="21"/>
          <w:lang w:val="en-US" w:eastAsia="zh-CN"/>
        </w:rPr>
        <w:t>限制。</w:t>
      </w:r>
    </w:p>
    <w:p w14:paraId="4AB92B51">
      <w:pPr>
        <w:spacing w:line="400" w:lineRule="exact"/>
        <w:ind w:firstLine="420" w:firstLineChars="200"/>
        <w:rPr>
          <w:rFonts w:ascii="宋体" w:hAnsi="宋体" w:cs="宋体"/>
          <w:szCs w:val="21"/>
        </w:rPr>
      </w:pPr>
      <w:r>
        <w:rPr>
          <w:rFonts w:hint="eastAsia" w:ascii="宋体" w:hAnsi="宋体" w:cs="宋体"/>
          <w:szCs w:val="21"/>
        </w:rPr>
        <w:t>3.技术指标：</w:t>
      </w:r>
    </w:p>
    <w:p w14:paraId="2F1E7304">
      <w:pPr>
        <w:spacing w:line="400" w:lineRule="exact"/>
        <w:ind w:firstLine="420" w:firstLineChars="200"/>
        <w:rPr>
          <w:rFonts w:ascii="宋体" w:hAnsi="宋体" w:cs="宋体"/>
          <w:szCs w:val="21"/>
        </w:rPr>
      </w:pPr>
      <w:r>
        <w:rPr>
          <w:rFonts w:hint="eastAsia" w:ascii="宋体" w:hAnsi="宋体" w:cs="宋体"/>
          <w:szCs w:val="21"/>
        </w:rPr>
        <w:t>3.1系统功能</w:t>
      </w:r>
    </w:p>
    <w:p w14:paraId="6B1907F7">
      <w:pPr>
        <w:spacing w:line="400" w:lineRule="exact"/>
        <w:ind w:firstLine="420" w:firstLineChars="200"/>
        <w:rPr>
          <w:rFonts w:ascii="宋体" w:hAnsi="宋体" w:cs="宋体"/>
          <w:szCs w:val="21"/>
        </w:rPr>
      </w:pPr>
      <w:r>
        <w:rPr>
          <w:rFonts w:hint="eastAsia" w:ascii="宋体" w:hAnsi="宋体" w:cs="宋体"/>
          <w:szCs w:val="21"/>
        </w:rPr>
        <w:t>3.1.1技术指标介绍：</w:t>
      </w:r>
    </w:p>
    <w:p w14:paraId="5C9F40BF">
      <w:pPr>
        <w:spacing w:line="400" w:lineRule="exact"/>
        <w:ind w:firstLine="420" w:firstLineChars="200"/>
        <w:rPr>
          <w:rFonts w:ascii="宋体" w:hAnsi="宋体" w:cs="宋体"/>
          <w:szCs w:val="21"/>
        </w:rPr>
      </w:pPr>
      <w:r>
        <w:rPr>
          <w:rFonts w:hint="eastAsia" w:ascii="宋体" w:hAnsi="宋体" w:cs="宋体"/>
          <w:szCs w:val="21"/>
        </w:rPr>
        <w:t>3.1.1.1集丰富的数值型数据资源和分析预测系统为一体的覆盖多学科、面向多领域的综合性数据服务平台，支持数据跨库检索、数据跨库分析，提供数据查询、数据处理、数据分析、可视化展现的一站式的数据服务。</w:t>
      </w:r>
    </w:p>
    <w:p w14:paraId="5CA41BF6">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3.1.1.2检索模块：跨库检索功能、库内检索功能、多维筛选功能（包括对数据频度、数据最新时间、区域、来源进行交叉筛选）</w:t>
      </w:r>
      <w:r>
        <w:rPr>
          <w:rFonts w:hint="eastAsia" w:ascii="宋体" w:hAnsi="宋体" w:cs="宋体"/>
          <w:szCs w:val="21"/>
          <w:lang w:eastAsia="zh-CN"/>
        </w:rPr>
        <w:t>。</w:t>
      </w:r>
    </w:p>
    <w:p w14:paraId="0D43E149">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3.1.1.3数据模块：表格转置功能、筛选功能、高亮显示功能、条件样式功能、指标解释功能、下载功能（支持excel、csv、txt格式）</w:t>
      </w:r>
      <w:r>
        <w:rPr>
          <w:rFonts w:hint="eastAsia" w:ascii="宋体" w:hAnsi="宋体" w:cs="宋体"/>
          <w:szCs w:val="21"/>
          <w:lang w:eastAsia="zh-CN"/>
        </w:rPr>
        <w:t>。</w:t>
      </w:r>
    </w:p>
    <w:p w14:paraId="7A9B3EC0">
      <w:pPr>
        <w:spacing w:line="400" w:lineRule="exact"/>
        <w:ind w:firstLine="420" w:firstLineChars="200"/>
        <w:rPr>
          <w:rFonts w:ascii="宋体" w:hAnsi="宋体" w:cs="宋体"/>
          <w:szCs w:val="21"/>
        </w:rPr>
      </w:pPr>
      <w:r>
        <w:rPr>
          <w:rFonts w:hint="eastAsia" w:ascii="宋体" w:hAnsi="宋体" w:cs="宋体"/>
          <w:szCs w:val="21"/>
        </w:rPr>
        <w:t>3.1.1.4维度转换功能：实现地区、行业、指标、时间等不同维度间通过拖拽维度栏的方式变换维度栏的位置，以组成需要的报表格式。</w:t>
      </w:r>
    </w:p>
    <w:p w14:paraId="2B6A8CC6">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3.1.1.5计算模块：合并计算功能（提供求和、均值、最大值、最小值、众数、中位数、方差、标准差、偏度、峰度、极差、平方和、上下四分位数等计算方法）、自定义函数功能、计算环比或同比增长率功能、80/20分析功能</w:t>
      </w:r>
      <w:r>
        <w:rPr>
          <w:rFonts w:hint="eastAsia" w:ascii="宋体" w:hAnsi="宋体" w:cs="宋体"/>
          <w:szCs w:val="21"/>
          <w:lang w:eastAsia="zh-CN"/>
        </w:rPr>
        <w:t>。</w:t>
      </w:r>
    </w:p>
    <w:p w14:paraId="14E03B9C">
      <w:pPr>
        <w:spacing w:line="400" w:lineRule="exact"/>
        <w:ind w:firstLine="420" w:firstLineChars="200"/>
        <w:rPr>
          <w:rFonts w:ascii="宋体" w:hAnsi="宋体" w:cs="宋体"/>
          <w:szCs w:val="21"/>
        </w:rPr>
      </w:pPr>
      <w:r>
        <w:rPr>
          <w:rFonts w:hint="eastAsia" w:ascii="宋体" w:hAnsi="宋体" w:cs="宋体"/>
          <w:szCs w:val="21"/>
        </w:rPr>
        <w:t>3.1.1.6可视化模块：折线图、条形图、柱形图、面积图、饼图、雷达图、散点图、自定义图表功能、数字地图功能。</w:t>
      </w:r>
    </w:p>
    <w:p w14:paraId="7FB23FF6">
      <w:pPr>
        <w:spacing w:line="400" w:lineRule="exact"/>
        <w:ind w:firstLine="420" w:firstLineChars="200"/>
        <w:rPr>
          <w:rFonts w:ascii="宋体" w:hAnsi="宋体" w:cs="宋体"/>
          <w:szCs w:val="21"/>
        </w:rPr>
      </w:pPr>
      <w:r>
        <w:rPr>
          <w:rFonts w:hint="eastAsia" w:ascii="宋体" w:hAnsi="宋体" w:cs="宋体"/>
          <w:szCs w:val="21"/>
        </w:rPr>
        <w:t>3.1.1.7云分析模块：通过“添加序列”功能将不同数据库中的时间序列指标添加到云分析。云分析中提供数据预处理功能，包括对数计算、差分计算、缺省值处理功能；相关性分析功能，包括双变量相关性分析、偏相关分析；回归分析功能，包括线性回归、曲线估计建模方法；时间序列分析功能，包括ARIMA、H-P滤波、指数平滑建模方法；计量工具箱功能，包括单位根检验、格兰杰因果检验VAR模型、Johansen协整检验、Engle-Granger协整分析、ARCH效应检验、GARCH模型建模方法；用户数据上传功能。</w:t>
      </w:r>
    </w:p>
    <w:p w14:paraId="1CDEE2B9">
      <w:pPr>
        <w:spacing w:line="400" w:lineRule="exact"/>
        <w:ind w:firstLine="420" w:firstLineChars="200"/>
        <w:rPr>
          <w:rFonts w:ascii="宋体" w:hAnsi="宋体" w:cs="宋体"/>
          <w:szCs w:val="21"/>
        </w:rPr>
      </w:pPr>
      <w:r>
        <w:rPr>
          <w:rFonts w:hint="eastAsia" w:ascii="宋体" w:hAnsi="宋体" w:cs="宋体"/>
          <w:szCs w:val="21"/>
        </w:rPr>
        <w:t>3.1.1.8个人数据中心模块：支持IP登</w:t>
      </w:r>
      <w:r>
        <w:rPr>
          <w:rFonts w:hint="eastAsia" w:ascii="宋体" w:hAnsi="宋体" w:cs="宋体"/>
          <w:szCs w:val="21"/>
          <w:lang w:eastAsia="zh-CN"/>
        </w:rPr>
        <w:t>录</w:t>
      </w:r>
      <w:r>
        <w:rPr>
          <w:rFonts w:hint="eastAsia" w:ascii="宋体" w:hAnsi="宋体" w:cs="宋体"/>
          <w:szCs w:val="21"/>
        </w:rPr>
        <w:t>下个人数据中心账号的创建，可收藏数据、可绑定手机功能。</w:t>
      </w:r>
    </w:p>
    <w:p w14:paraId="3A2F7200">
      <w:pPr>
        <w:spacing w:line="400" w:lineRule="exact"/>
        <w:ind w:firstLine="420" w:firstLineChars="200"/>
        <w:rPr>
          <w:rFonts w:ascii="宋体" w:hAnsi="宋体" w:cs="宋体"/>
          <w:szCs w:val="21"/>
        </w:rPr>
      </w:pPr>
      <w:r>
        <w:rPr>
          <w:rFonts w:hint="eastAsia" w:ascii="宋体" w:hAnsi="宋体" w:cs="宋体"/>
          <w:szCs w:val="21"/>
        </w:rPr>
        <w:t>3.1.1.9需具有中文和英文两种语言，读者可以根据需求选择中文或者英文操作界面。</w:t>
      </w:r>
    </w:p>
    <w:p w14:paraId="5A0B3765">
      <w:pPr>
        <w:spacing w:line="400" w:lineRule="exact"/>
        <w:ind w:firstLine="420" w:firstLineChars="200"/>
        <w:rPr>
          <w:rFonts w:ascii="宋体" w:hAnsi="宋体" w:cs="宋体"/>
          <w:szCs w:val="21"/>
        </w:rPr>
      </w:pPr>
      <w:r>
        <w:rPr>
          <w:rFonts w:hint="eastAsia" w:ascii="宋体" w:hAnsi="宋体" w:cs="宋体"/>
          <w:szCs w:val="21"/>
        </w:rPr>
        <w:t>3.1.1.10数据库提供完整的用户使用统计功能和日志功能，为用户提供专有后台。</w:t>
      </w:r>
    </w:p>
    <w:p w14:paraId="0FC79008">
      <w:pPr>
        <w:spacing w:line="400" w:lineRule="exact"/>
        <w:ind w:firstLine="420" w:firstLineChars="200"/>
        <w:rPr>
          <w:rFonts w:ascii="宋体" w:hAnsi="宋体" w:cs="宋体"/>
          <w:szCs w:val="21"/>
        </w:rPr>
      </w:pPr>
      <w:r>
        <w:rPr>
          <w:rFonts w:hint="eastAsia" w:ascii="宋体" w:hAnsi="宋体" w:cs="宋体"/>
          <w:szCs w:val="21"/>
        </w:rPr>
        <w:t>3.2数据资源</w:t>
      </w:r>
    </w:p>
    <w:p w14:paraId="5244C161">
      <w:pPr>
        <w:spacing w:line="400" w:lineRule="exact"/>
        <w:ind w:firstLine="420" w:firstLineChars="200"/>
        <w:rPr>
          <w:rFonts w:ascii="宋体" w:hAnsi="宋体" w:cs="宋体"/>
          <w:szCs w:val="21"/>
        </w:rPr>
      </w:pPr>
      <w:r>
        <w:rPr>
          <w:rFonts w:hint="eastAsia" w:ascii="宋体" w:hAnsi="宋体" w:cs="宋体"/>
          <w:szCs w:val="21"/>
        </w:rPr>
        <w:t>3.2.1技术指标介绍：</w:t>
      </w:r>
    </w:p>
    <w:p w14:paraId="743AA978">
      <w:pPr>
        <w:spacing w:line="400" w:lineRule="exact"/>
        <w:ind w:firstLine="420" w:firstLineChars="200"/>
        <w:rPr>
          <w:rFonts w:ascii="宋体" w:hAnsi="宋体" w:cs="宋体"/>
          <w:szCs w:val="21"/>
        </w:rPr>
      </w:pPr>
      <w:r>
        <w:rPr>
          <w:rFonts w:hint="eastAsia" w:ascii="宋体" w:hAnsi="宋体" w:cs="宋体"/>
          <w:szCs w:val="21"/>
        </w:rPr>
        <w:t>3.2.1.1数据库资源: 包含宏观经济、重点行业、产业经济、贸易外经、社会民生、金融市场、国内普查、全球经济及区域&amp;县域九大研究系列，其中包含中国教育数据库、中国卫生数据库、中国交通数据库、中国文化数据库、中国旅游数据库、中国民政数据库、中国金融数据库、中国上市公司数据库、中国宏观经济数据库、中国财政税收数据库、中国劳动经济数据库、中国固定资产投资数据库、中国国土资源数据库、中国科技数据库、中国能源数据库、中国建筑业数据库、中国房地产数据库、中国环境数据库、中国水利数据库、中国海洋数据库、中国农林数据库、中国农产品成本收益数据库、中国三农数据库、中国工业行业数据库、中国工业经济数据库、中国工业企业数据库、中国工业产品产量数据库、中国第三产业数据库、中国高技术产业数据库、中国商品贸易数据库、中国地区贸易数据库、中国行业贸易数据库、中国贸易指数数据库、中国对外经济数据库、中国商品交易市场数据库、中国第三产业普查数据库、世界贸易数据库、世界宏观经济数据库、世界主要经济体数据库、世界能源数据库、世界农林数据库、世界教育数据库、世界卫生数据库、世界经济发展数据库、中国区域经济数据库共计45个数据库。</w:t>
      </w:r>
    </w:p>
    <w:p w14:paraId="0FB12964">
      <w:pPr>
        <w:spacing w:line="400" w:lineRule="exact"/>
        <w:ind w:firstLine="420" w:firstLineChars="200"/>
        <w:rPr>
          <w:rFonts w:ascii="宋体" w:hAnsi="宋体" w:cs="宋体"/>
          <w:szCs w:val="21"/>
        </w:rPr>
      </w:pPr>
      <w:r>
        <w:rPr>
          <w:rFonts w:hint="eastAsia" w:ascii="宋体" w:hAnsi="宋体" w:cs="宋体"/>
          <w:szCs w:val="21"/>
        </w:rPr>
        <w:t>3.2.1.2收录范围：涵盖了教育、金融、贸易、能源、科技、汽车、卫生、农业、工业、财政、税收、旅游、第三产业、区域经济、房地产等方面涉及重点学科，覆盖重点行业的统计数据。其体系结构、数据质量、技术模式等均应达到国际先进水平，可为实证研究、学科与实验室建设提供强力支持。</w:t>
      </w:r>
    </w:p>
    <w:p w14:paraId="3A282864">
      <w:pPr>
        <w:spacing w:line="400" w:lineRule="exact"/>
        <w:ind w:firstLine="420" w:firstLineChars="200"/>
        <w:rPr>
          <w:rFonts w:ascii="宋体" w:hAnsi="宋体" w:cs="宋体"/>
          <w:szCs w:val="21"/>
        </w:rPr>
      </w:pPr>
      <w:r>
        <w:rPr>
          <w:rFonts w:hint="eastAsia" w:ascii="宋体" w:hAnsi="宋体" w:cs="宋体"/>
          <w:szCs w:val="21"/>
        </w:rPr>
        <w:t>3.2.1.3数据年更新总量不得少于10亿条。</w:t>
      </w:r>
    </w:p>
    <w:p w14:paraId="13231062">
      <w:pPr>
        <w:spacing w:line="400" w:lineRule="exact"/>
        <w:ind w:firstLine="420" w:firstLineChars="200"/>
        <w:rPr>
          <w:rFonts w:ascii="宋体" w:hAnsi="宋体" w:cs="宋体"/>
          <w:szCs w:val="21"/>
        </w:rPr>
      </w:pPr>
      <w:r>
        <w:rPr>
          <w:rFonts w:hint="eastAsia" w:ascii="宋体" w:hAnsi="宋体" w:cs="宋体"/>
          <w:szCs w:val="21"/>
        </w:rPr>
        <w:t>3.2.1.4数据量：时间序列统计数据总量达100亿条。</w:t>
      </w:r>
    </w:p>
    <w:p w14:paraId="7F7DBFE6">
      <w:pPr>
        <w:spacing w:line="400" w:lineRule="exact"/>
        <w:ind w:firstLine="420" w:firstLineChars="200"/>
        <w:rPr>
          <w:rFonts w:ascii="宋体" w:hAnsi="宋体" w:cs="宋体"/>
          <w:szCs w:val="21"/>
        </w:rPr>
      </w:pPr>
      <w:r>
        <w:rPr>
          <w:rFonts w:hint="eastAsia" w:ascii="宋体" w:hAnsi="宋体" w:cs="宋体"/>
          <w:szCs w:val="21"/>
        </w:rPr>
        <w:t>3.2.1.5覆盖地区：全方位涵盖全国31个省（自治区、直辖市）、280个地级城市、2000多个县三级，此外还囊括了全球200多个国家和地区的经济类数据。</w:t>
      </w:r>
    </w:p>
    <w:p w14:paraId="6B838EF8">
      <w:pPr>
        <w:spacing w:line="400" w:lineRule="exact"/>
        <w:ind w:firstLine="420" w:firstLineChars="200"/>
        <w:rPr>
          <w:rFonts w:ascii="宋体" w:hAnsi="宋体" w:cs="宋体"/>
          <w:szCs w:val="21"/>
        </w:rPr>
      </w:pPr>
      <w:r>
        <w:rPr>
          <w:rFonts w:hint="eastAsia" w:ascii="宋体" w:hAnsi="宋体" w:cs="宋体"/>
          <w:szCs w:val="21"/>
        </w:rPr>
        <w:t>3.2.1.6覆盖行业：覆盖了国民经济90个大类行业，400个中类行业，800个小类行业。</w:t>
      </w:r>
    </w:p>
    <w:p w14:paraId="0BBC5C90">
      <w:pPr>
        <w:spacing w:line="400" w:lineRule="exact"/>
        <w:ind w:firstLine="420" w:firstLineChars="200"/>
        <w:rPr>
          <w:rFonts w:ascii="宋体" w:hAnsi="宋体" w:cs="宋体"/>
          <w:szCs w:val="21"/>
        </w:rPr>
      </w:pPr>
      <w:r>
        <w:rPr>
          <w:rFonts w:hint="eastAsia" w:ascii="宋体" w:hAnsi="宋体" w:cs="宋体"/>
          <w:szCs w:val="21"/>
        </w:rPr>
        <w:t>3.2.1.7指标数量：全国数据统计指标10万个，省级数据统计指标15000个、市级数据统计指标1800个，县级数据统计指标200个。</w:t>
      </w:r>
    </w:p>
    <w:p w14:paraId="06DC4E5A">
      <w:pPr>
        <w:spacing w:line="400" w:lineRule="exact"/>
        <w:ind w:firstLine="420" w:firstLineChars="200"/>
        <w:rPr>
          <w:rFonts w:ascii="宋体" w:hAnsi="宋体" w:cs="宋体"/>
          <w:szCs w:val="21"/>
        </w:rPr>
      </w:pPr>
      <w:r>
        <w:rPr>
          <w:rFonts w:hint="eastAsia" w:ascii="宋体" w:hAnsi="宋体" w:cs="宋体"/>
          <w:bCs/>
          <w:szCs w:val="21"/>
        </w:rPr>
        <w:t>★</w:t>
      </w:r>
      <w:r>
        <w:rPr>
          <w:rFonts w:hint="eastAsia" w:ascii="宋体" w:hAnsi="宋体" w:cs="宋体"/>
          <w:szCs w:val="21"/>
        </w:rPr>
        <w:t>3.2.1.8数据库所包含的所有数据指标必须全部为连续时间序列数据。</w:t>
      </w:r>
    </w:p>
    <w:p w14:paraId="2452C121">
      <w:pPr>
        <w:spacing w:line="400" w:lineRule="exact"/>
        <w:ind w:left="420" w:leftChars="200"/>
        <w:rPr>
          <w:rFonts w:ascii="宋体" w:hAnsi="宋体" w:cs="宋体"/>
          <w:szCs w:val="21"/>
        </w:rPr>
      </w:pPr>
      <w:r>
        <w:rPr>
          <w:rFonts w:hint="eastAsia" w:ascii="宋体" w:hAnsi="宋体" w:cs="宋体"/>
          <w:szCs w:val="21"/>
        </w:rPr>
        <w:t>4.售后服务</w:t>
      </w:r>
    </w:p>
    <w:p w14:paraId="09F5296F">
      <w:pPr>
        <w:spacing w:line="400" w:lineRule="exact"/>
        <w:ind w:left="420" w:leftChars="200"/>
        <w:rPr>
          <w:rFonts w:ascii="宋体" w:hAnsi="宋体" w:cs="宋体"/>
          <w:szCs w:val="21"/>
        </w:rPr>
      </w:pPr>
      <w:r>
        <w:rPr>
          <w:rFonts w:hint="eastAsia" w:ascii="宋体" w:hAnsi="宋体" w:cs="宋体"/>
          <w:szCs w:val="21"/>
        </w:rPr>
        <w:t>4.1售后服务措施</w:t>
      </w:r>
    </w:p>
    <w:p w14:paraId="165064F4">
      <w:pPr>
        <w:spacing w:line="400" w:lineRule="exact"/>
        <w:ind w:left="420" w:leftChars="200"/>
        <w:rPr>
          <w:rFonts w:ascii="宋体" w:hAnsi="宋体" w:cs="宋体"/>
          <w:szCs w:val="21"/>
        </w:rPr>
      </w:pPr>
      <w:r>
        <w:rPr>
          <w:rFonts w:hint="eastAsia" w:ascii="宋体" w:hAnsi="宋体" w:cs="宋体"/>
          <w:szCs w:val="21"/>
        </w:rPr>
        <w:t>4.1.1售后服务</w:t>
      </w:r>
    </w:p>
    <w:p w14:paraId="63B370AE">
      <w:pPr>
        <w:spacing w:line="400" w:lineRule="exact"/>
        <w:ind w:left="420" w:leftChars="200"/>
        <w:rPr>
          <w:rFonts w:ascii="宋体" w:hAnsi="宋体" w:cs="宋体"/>
          <w:szCs w:val="21"/>
        </w:rPr>
      </w:pPr>
      <w:r>
        <w:rPr>
          <w:rFonts w:hint="eastAsia" w:ascii="宋体" w:hAnsi="宋体" w:cs="宋体"/>
          <w:szCs w:val="21"/>
        </w:rPr>
        <w:t>4.1.1.1服务期内供应商为用户提供</w:t>
      </w:r>
      <w:r>
        <w:rPr>
          <w:rFonts w:hint="eastAsia" w:ascii="宋体" w:hAnsi="宋体" w:cs="宋体"/>
          <w:szCs w:val="21"/>
          <w:lang w:eastAsia="zh-CN"/>
        </w:rPr>
        <w:t>无条件</w:t>
      </w:r>
      <w:r>
        <w:rPr>
          <w:rFonts w:hint="eastAsia" w:ascii="宋体" w:hAnsi="宋体" w:cs="宋体"/>
          <w:szCs w:val="21"/>
        </w:rPr>
        <w:t>的技术维护与支持服务。</w:t>
      </w:r>
    </w:p>
    <w:p w14:paraId="7D7769DD">
      <w:pPr>
        <w:spacing w:line="400" w:lineRule="exact"/>
        <w:ind w:firstLine="420" w:firstLineChars="200"/>
        <w:rPr>
          <w:rFonts w:ascii="宋体" w:hAnsi="宋体" w:cs="宋体"/>
          <w:szCs w:val="21"/>
        </w:rPr>
      </w:pPr>
      <w:r>
        <w:rPr>
          <w:rFonts w:hint="eastAsia" w:ascii="宋体" w:hAnsi="宋体" w:cs="宋体"/>
          <w:szCs w:val="21"/>
        </w:rPr>
        <w:t>4.1.1.2接收客户反馈：为用户提供多样的反馈渠道，设立售后追踪、客户回访等服务，及时了解用户需求及使用情况。</w:t>
      </w:r>
    </w:p>
    <w:p w14:paraId="283B7D2F">
      <w:pPr>
        <w:spacing w:line="400" w:lineRule="exact"/>
        <w:ind w:left="420" w:leftChars="200"/>
        <w:rPr>
          <w:rFonts w:ascii="宋体" w:hAnsi="宋体" w:cs="宋体"/>
          <w:szCs w:val="21"/>
        </w:rPr>
      </w:pPr>
      <w:r>
        <w:rPr>
          <w:rFonts w:hint="eastAsia" w:ascii="宋体" w:hAnsi="宋体" w:cs="宋体"/>
          <w:szCs w:val="21"/>
        </w:rPr>
        <w:t>4.1.1.3提供统计流量：为用户提供点击量、访问量、下载量等多种分类统计方法。</w:t>
      </w:r>
    </w:p>
    <w:p w14:paraId="4E16EF0C">
      <w:pPr>
        <w:spacing w:line="400" w:lineRule="exact"/>
        <w:ind w:firstLine="420" w:firstLineChars="200"/>
        <w:rPr>
          <w:rFonts w:ascii="宋体" w:hAnsi="宋体" w:cs="宋体"/>
          <w:szCs w:val="21"/>
        </w:rPr>
      </w:pPr>
      <w:r>
        <w:rPr>
          <w:rFonts w:hint="eastAsia" w:ascii="宋体" w:hAnsi="宋体" w:cs="宋体"/>
          <w:szCs w:val="21"/>
        </w:rPr>
        <w:t>4.1.1.4技术服务：接受用户关于数据库技术方面的相关咨询，并承诺在24小时之内给出技术解决方案。</w:t>
      </w:r>
    </w:p>
    <w:p w14:paraId="3D46D16F">
      <w:pPr>
        <w:spacing w:line="400" w:lineRule="exact"/>
        <w:ind w:left="420" w:leftChars="200"/>
        <w:rPr>
          <w:rFonts w:ascii="宋体" w:hAnsi="宋体" w:cs="宋体"/>
          <w:szCs w:val="21"/>
        </w:rPr>
      </w:pPr>
      <w:r>
        <w:rPr>
          <w:rFonts w:hint="eastAsia" w:ascii="宋体" w:hAnsi="宋体" w:cs="宋体"/>
          <w:szCs w:val="21"/>
        </w:rPr>
        <w:t>4.1.1.5在线咨询：设立网上客服，以最快的速度帮助用户解决使用过程中的相关问题。</w:t>
      </w:r>
    </w:p>
    <w:p w14:paraId="228A0470">
      <w:pPr>
        <w:spacing w:line="400" w:lineRule="exact"/>
        <w:ind w:left="420" w:leftChars="200"/>
        <w:rPr>
          <w:rFonts w:ascii="宋体" w:hAnsi="宋体" w:cs="宋体"/>
          <w:szCs w:val="21"/>
        </w:rPr>
      </w:pPr>
      <w:r>
        <w:rPr>
          <w:rFonts w:hint="eastAsia" w:ascii="宋体" w:hAnsi="宋体" w:cs="宋体"/>
          <w:szCs w:val="21"/>
        </w:rPr>
        <w:t>4.1.1.6购买用户享有所订购年份数据的永久在线（包库）使用权。</w:t>
      </w:r>
    </w:p>
    <w:p w14:paraId="3329D69F">
      <w:pPr>
        <w:spacing w:line="400" w:lineRule="exact"/>
        <w:ind w:firstLine="420" w:firstLineChars="200"/>
        <w:rPr>
          <w:rFonts w:ascii="宋体" w:hAnsi="宋体" w:cs="宋体"/>
          <w:szCs w:val="21"/>
        </w:rPr>
      </w:pPr>
      <w:r>
        <w:rPr>
          <w:rFonts w:hint="eastAsia" w:ascii="宋体" w:hAnsi="宋体" w:cs="宋体"/>
          <w:szCs w:val="21"/>
        </w:rPr>
        <w:t>4.2服务期内，为</w:t>
      </w:r>
      <w:r>
        <w:rPr>
          <w:rFonts w:hint="eastAsia" w:ascii="宋体" w:hAnsi="宋体" w:cs="宋体"/>
          <w:szCs w:val="21"/>
          <w:lang w:eastAsia="zh-CN"/>
        </w:rPr>
        <w:t>采购人无条件</w:t>
      </w:r>
      <w:r>
        <w:rPr>
          <w:rFonts w:hint="eastAsia" w:ascii="宋体" w:hAnsi="宋体" w:cs="宋体"/>
          <w:szCs w:val="21"/>
        </w:rPr>
        <w:t>提供数据库培训等活动一年内不少于2次，具体时间和形式，双方协商确认。</w:t>
      </w:r>
    </w:p>
    <w:p w14:paraId="61D95BCC">
      <w:pPr>
        <w:spacing w:line="400" w:lineRule="exact"/>
        <w:ind w:firstLine="420" w:firstLineChars="200"/>
        <w:rPr>
          <w:rFonts w:ascii="宋体" w:hAnsi="宋体" w:cs="宋体"/>
          <w:szCs w:val="21"/>
        </w:rPr>
      </w:pPr>
      <w:r>
        <w:rPr>
          <w:rFonts w:hint="eastAsia" w:ascii="宋体" w:hAnsi="宋体" w:cs="宋体"/>
          <w:szCs w:val="21"/>
        </w:rPr>
        <w:t>4.3定期提供数据库使用统计。</w:t>
      </w:r>
    </w:p>
    <w:p w14:paraId="0153BD63">
      <w:pPr>
        <w:spacing w:line="400" w:lineRule="exact"/>
        <w:ind w:firstLine="420" w:firstLineChars="200"/>
        <w:rPr>
          <w:rFonts w:ascii="宋体" w:hAnsi="宋体" w:cs="宋体"/>
          <w:szCs w:val="21"/>
        </w:rPr>
      </w:pPr>
      <w:r>
        <w:rPr>
          <w:rFonts w:hint="eastAsia" w:ascii="宋体" w:hAnsi="宋体" w:cs="宋体"/>
          <w:szCs w:val="21"/>
        </w:rPr>
        <w:t>4.4知识产权</w:t>
      </w:r>
    </w:p>
    <w:p w14:paraId="30CCB9F5">
      <w:pPr>
        <w:spacing w:line="400" w:lineRule="exact"/>
        <w:ind w:firstLine="420" w:firstLineChars="200"/>
        <w:rPr>
          <w:rFonts w:ascii="宋体" w:hAnsi="宋体" w:cs="宋体"/>
          <w:szCs w:val="21"/>
        </w:rPr>
      </w:pPr>
      <w:r>
        <w:rPr>
          <w:rFonts w:hint="eastAsia" w:ascii="宋体" w:hAnsi="宋体" w:cs="宋体"/>
          <w:szCs w:val="21"/>
        </w:rPr>
        <w:t>供应商需承诺所提供的数据库产品不存在著作权纠纷，在合同履行过程中，不侵犯第三人的合法权益。任何第三方如果提出侵权指控，由供应商负责与第三方交涉并承担由此而引起的一切法律责任和费用。</w:t>
      </w:r>
    </w:p>
    <w:p w14:paraId="5EEFF97F">
      <w:pPr>
        <w:spacing w:line="400" w:lineRule="exact"/>
        <w:ind w:left="420" w:leftChars="200"/>
        <w:rPr>
          <w:rFonts w:ascii="宋体" w:hAnsi="宋体" w:cs="宋体"/>
          <w:szCs w:val="21"/>
        </w:rPr>
      </w:pPr>
      <w:r>
        <w:rPr>
          <w:rFonts w:hint="eastAsia" w:ascii="宋体" w:hAnsi="宋体" w:cs="宋体"/>
          <w:szCs w:val="21"/>
        </w:rPr>
        <w:t>4.5培训保障</w:t>
      </w:r>
    </w:p>
    <w:p w14:paraId="5863DF8F">
      <w:pPr>
        <w:spacing w:line="400" w:lineRule="exact"/>
        <w:ind w:firstLine="420" w:firstLineChars="200"/>
        <w:rPr>
          <w:rFonts w:ascii="宋体" w:hAnsi="宋体" w:cs="宋体"/>
          <w:szCs w:val="21"/>
        </w:rPr>
      </w:pPr>
      <w:r>
        <w:rPr>
          <w:rFonts w:hint="eastAsia" w:ascii="宋体" w:hAnsi="宋体" w:cs="宋体"/>
          <w:szCs w:val="21"/>
        </w:rPr>
        <w:t>供应商须</w:t>
      </w:r>
      <w:r>
        <w:rPr>
          <w:rFonts w:hint="eastAsia" w:ascii="宋体" w:hAnsi="宋体" w:cs="宋体"/>
          <w:szCs w:val="21"/>
          <w:lang w:eastAsia="zh-CN"/>
        </w:rPr>
        <w:t>无条件</w:t>
      </w:r>
      <w:r>
        <w:rPr>
          <w:rFonts w:hint="eastAsia" w:ascii="宋体" w:hAnsi="宋体" w:cs="宋体"/>
          <w:szCs w:val="21"/>
        </w:rPr>
        <w:t>提供至少每年1次数据库使用和技术培训，积极配合学校开展的数据库宣传活动，提供宣传册等材料。</w:t>
      </w:r>
    </w:p>
    <w:p w14:paraId="7A625989">
      <w:pPr>
        <w:spacing w:line="400" w:lineRule="exact"/>
        <w:ind w:left="420" w:leftChars="200"/>
        <w:rPr>
          <w:rFonts w:ascii="宋体" w:hAnsi="宋体" w:cs="宋体"/>
          <w:szCs w:val="21"/>
        </w:rPr>
      </w:pPr>
      <w:r>
        <w:rPr>
          <w:rFonts w:hint="eastAsia" w:ascii="宋体" w:hAnsi="宋体" w:cs="宋体"/>
          <w:szCs w:val="21"/>
        </w:rPr>
        <w:t>4.6维修响应时间</w:t>
      </w:r>
    </w:p>
    <w:p w14:paraId="2C76E098">
      <w:pPr>
        <w:spacing w:line="400" w:lineRule="exact"/>
        <w:ind w:firstLine="420" w:firstLineChars="200"/>
        <w:rPr>
          <w:rFonts w:ascii="宋体" w:hAnsi="宋体" w:cs="宋体"/>
          <w:szCs w:val="21"/>
        </w:rPr>
      </w:pPr>
      <w:r>
        <w:rPr>
          <w:rFonts w:hint="eastAsia" w:ascii="宋体" w:hAnsi="宋体" w:cs="宋体"/>
          <w:szCs w:val="21"/>
          <w:lang w:eastAsia="zh-CN"/>
        </w:rPr>
        <w:t>供应商负责向采购人提供网络、电话及EMAIL支持服务，响应时间不超过1小时，以保证数据库产品的正常使用；若远程支持无法解决问题的，供应商须承诺24小时内上门服务，3天内解决</w:t>
      </w:r>
      <w:r>
        <w:rPr>
          <w:rFonts w:hint="eastAsia" w:ascii="宋体" w:hAnsi="宋体" w:cs="宋体"/>
          <w:szCs w:val="21"/>
        </w:rPr>
        <w:t>。</w:t>
      </w:r>
    </w:p>
    <w:p w14:paraId="38BC109C">
      <w:pPr>
        <w:spacing w:line="400" w:lineRule="exact"/>
        <w:ind w:firstLine="420" w:firstLineChars="200"/>
        <w:rPr>
          <w:rFonts w:hint="eastAsia" w:eastAsia="宋体"/>
          <w:lang w:eastAsia="zh-CN"/>
        </w:rPr>
      </w:pPr>
      <w:r>
        <w:rPr>
          <w:rFonts w:hint="eastAsia" w:ascii="宋体" w:hAnsi="宋体" w:cs="宋体"/>
          <w:szCs w:val="21"/>
          <w:lang w:val="en-US" w:eastAsia="zh-CN"/>
        </w:rPr>
        <w:t>5.</w:t>
      </w:r>
      <w:r>
        <w:rPr>
          <w:rFonts w:hint="eastAsia" w:ascii="宋体" w:hAnsi="宋体" w:cs="宋体"/>
          <w:szCs w:val="21"/>
        </w:rPr>
        <w:t>服务期限：2026年1月1日至2026年12月31日</w:t>
      </w:r>
      <w:r>
        <w:rPr>
          <w:rFonts w:hint="eastAsia" w:ascii="宋体" w:hAnsi="宋体" w:cs="宋体"/>
          <w:szCs w:val="21"/>
          <w:lang w:eastAsia="zh-CN"/>
        </w:rPr>
        <w:t>。</w:t>
      </w:r>
    </w:p>
    <w:p w14:paraId="44A21FFA">
      <w:pPr>
        <w:spacing w:line="400" w:lineRule="exact"/>
        <w:rPr>
          <w:rFonts w:ascii="宋体" w:hAnsi="宋体" w:cs="宋体"/>
          <w:szCs w:val="21"/>
        </w:rPr>
      </w:pPr>
      <w:r>
        <w:rPr>
          <w:rFonts w:hint="eastAsia" w:ascii="宋体" w:hAnsi="宋体" w:cs="宋体"/>
          <w:szCs w:val="21"/>
        </w:rPr>
        <w:br w:type="page"/>
      </w:r>
      <w:r>
        <w:rPr>
          <w:rFonts w:hint="eastAsia" w:ascii="宋体" w:hAnsi="宋体" w:cs="宋体"/>
          <w:szCs w:val="21"/>
        </w:rPr>
        <w:t xml:space="preserve">    </w:t>
      </w:r>
      <w:r>
        <w:rPr>
          <w:rFonts w:hint="eastAsia" w:ascii="宋体" w:hAnsi="宋体" w:cs="宋体"/>
          <w:b/>
          <w:bCs/>
          <w:szCs w:val="21"/>
        </w:rPr>
        <w:t>标项</w:t>
      </w:r>
      <w:r>
        <w:rPr>
          <w:rFonts w:hint="eastAsia" w:ascii="宋体" w:hAnsi="宋体" w:cs="宋体"/>
          <w:b/>
          <w:szCs w:val="21"/>
        </w:rPr>
        <w:t>四（CEIC全球经济金融数据库）：</w:t>
      </w:r>
    </w:p>
    <w:p w14:paraId="5619DC17">
      <w:pPr>
        <w:spacing w:line="400" w:lineRule="exact"/>
        <w:ind w:firstLine="420" w:firstLineChars="200"/>
        <w:rPr>
          <w:rFonts w:ascii="宋体" w:hAnsi="宋体" w:cs="宋体"/>
          <w:szCs w:val="21"/>
        </w:rPr>
      </w:pPr>
      <w:r>
        <w:rPr>
          <w:rFonts w:hint="eastAsia" w:ascii="宋体" w:hAnsi="宋体" w:cs="宋体"/>
          <w:szCs w:val="21"/>
        </w:rPr>
        <w:t>1.内容参数：</w:t>
      </w:r>
    </w:p>
    <w:p w14:paraId="1594482C">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1.1提供210+个国家、地区和国际统计机构以及数据发行机构的数据，800多万条时间序列数据</w:t>
      </w:r>
      <w:r>
        <w:rPr>
          <w:rFonts w:hint="eastAsia" w:ascii="宋体" w:hAnsi="宋体" w:cs="宋体"/>
          <w:szCs w:val="21"/>
          <w:lang w:eastAsia="zh-CN"/>
        </w:rPr>
        <w:t>。</w:t>
      </w:r>
    </w:p>
    <w:p w14:paraId="6DE84EE8">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1.2新兴市场回溯40年经济历史数据</w:t>
      </w:r>
      <w:r>
        <w:rPr>
          <w:rFonts w:hint="eastAsia" w:ascii="宋体" w:hAnsi="宋体" w:cs="宋体"/>
          <w:szCs w:val="21"/>
          <w:lang w:eastAsia="zh-CN"/>
        </w:rPr>
        <w:t>。</w:t>
      </w:r>
    </w:p>
    <w:p w14:paraId="2BBB7CC8">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1.3中国宏观数据</w:t>
      </w:r>
    </w:p>
    <w:p w14:paraId="4234C630">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1.3.1行业内最详细的同比和环比CPI细项指数</w:t>
      </w:r>
      <w:r>
        <w:rPr>
          <w:rFonts w:hint="eastAsia" w:ascii="宋体" w:hAnsi="宋体" w:cs="宋体"/>
          <w:szCs w:val="21"/>
          <w:lang w:eastAsia="zh-CN"/>
        </w:rPr>
        <w:t>。</w:t>
      </w:r>
    </w:p>
    <w:p w14:paraId="377882BA">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1.3.2两百多个城市的政府月收支数据</w:t>
      </w:r>
      <w:r>
        <w:rPr>
          <w:rFonts w:hint="eastAsia" w:ascii="宋体" w:hAnsi="宋体" w:cs="宋体"/>
          <w:szCs w:val="21"/>
          <w:lang w:eastAsia="zh-CN"/>
        </w:rPr>
        <w:t>。</w:t>
      </w:r>
    </w:p>
    <w:p w14:paraId="21C9B333">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1.3.3按城市列出的主要商品细目，及其系统的价格数据，涵盖了农业、工业、金属、能源、房地产、公用事业、消费品和服务等，并在不断增加</w:t>
      </w:r>
      <w:r>
        <w:rPr>
          <w:rFonts w:hint="eastAsia" w:ascii="宋体" w:hAnsi="宋体" w:cs="宋体"/>
          <w:szCs w:val="21"/>
          <w:lang w:eastAsia="zh-CN"/>
        </w:rPr>
        <w:t>。</w:t>
      </w:r>
    </w:p>
    <w:p w14:paraId="2EC6B1F8">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1.3.4按海关税则8位码划分的主要商品进口和出口，以及一些主要商品的分国别/地区进口和出口，如：石油、天然气、金属、汽车等</w:t>
      </w:r>
      <w:r>
        <w:rPr>
          <w:rFonts w:hint="eastAsia" w:ascii="宋体" w:hAnsi="宋体" w:cs="宋体"/>
          <w:szCs w:val="21"/>
          <w:lang w:eastAsia="zh-CN"/>
        </w:rPr>
        <w:t>。</w:t>
      </w:r>
    </w:p>
    <w:p w14:paraId="62CEA1C8">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1.3.5一百多种产品的销售量、销售率和库存</w:t>
      </w:r>
      <w:r>
        <w:rPr>
          <w:rFonts w:hint="eastAsia" w:ascii="宋体" w:hAnsi="宋体" w:cs="宋体"/>
          <w:szCs w:val="21"/>
          <w:lang w:eastAsia="zh-CN"/>
        </w:rPr>
        <w:t>。</w:t>
      </w:r>
    </w:p>
    <w:p w14:paraId="0E09240E">
      <w:pPr>
        <w:tabs>
          <w:tab w:val="left" w:pos="635"/>
        </w:tabs>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1.3.6全面的城市劳动力市场调查数据</w:t>
      </w:r>
      <w:r>
        <w:rPr>
          <w:rFonts w:hint="eastAsia" w:ascii="宋体" w:hAnsi="宋体" w:cs="宋体"/>
          <w:szCs w:val="21"/>
          <w:lang w:eastAsia="zh-CN"/>
        </w:rPr>
        <w:t>。</w:t>
      </w:r>
    </w:p>
    <w:p w14:paraId="570266AE">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1.3.7政府财政数据</w:t>
      </w:r>
      <w:r>
        <w:rPr>
          <w:rFonts w:hint="eastAsia" w:ascii="宋体" w:hAnsi="宋体" w:cs="宋体"/>
          <w:szCs w:val="21"/>
          <w:lang w:eastAsia="zh-CN"/>
        </w:rPr>
        <w:t>。</w:t>
      </w:r>
    </w:p>
    <w:p w14:paraId="49B24FCA">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1.3.8债券市场和商品期货市场汇总数据</w:t>
      </w:r>
      <w:r>
        <w:rPr>
          <w:rFonts w:hint="eastAsia" w:ascii="宋体" w:hAnsi="宋体" w:cs="宋体"/>
          <w:szCs w:val="21"/>
          <w:lang w:eastAsia="zh-CN"/>
        </w:rPr>
        <w:t>。</w:t>
      </w:r>
    </w:p>
    <w:p w14:paraId="2B14CFF5">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1.3.9 31个省市的存款，贷款及融资总量数据</w:t>
      </w:r>
      <w:r>
        <w:rPr>
          <w:rFonts w:hint="eastAsia" w:ascii="宋体" w:hAnsi="宋体" w:cs="宋体"/>
          <w:szCs w:val="21"/>
          <w:lang w:eastAsia="zh-CN"/>
        </w:rPr>
        <w:t>。</w:t>
      </w:r>
    </w:p>
    <w:p w14:paraId="5B1B9D34">
      <w:pPr>
        <w:spacing w:line="400" w:lineRule="exact"/>
        <w:ind w:firstLine="420" w:firstLineChars="200"/>
        <w:rPr>
          <w:rFonts w:ascii="宋体" w:hAnsi="宋体" w:cs="宋体"/>
          <w:szCs w:val="21"/>
        </w:rPr>
      </w:pPr>
      <w:r>
        <w:rPr>
          <w:rFonts w:hint="eastAsia" w:ascii="宋体" w:hAnsi="宋体" w:cs="宋体"/>
          <w:szCs w:val="21"/>
        </w:rPr>
        <w:t xml:space="preserve">1.3.10全面的监测指标系列数据，如；领先指标、企业和企业家问卷调查、银行业调查、消费者调查和PMI等。 </w:t>
      </w:r>
    </w:p>
    <w:p w14:paraId="57724139">
      <w:pPr>
        <w:spacing w:line="400" w:lineRule="exact"/>
        <w:ind w:firstLine="420" w:firstLineChars="200"/>
        <w:rPr>
          <w:rFonts w:ascii="宋体" w:hAnsi="宋体" w:cs="宋体"/>
          <w:szCs w:val="21"/>
        </w:rPr>
      </w:pPr>
      <w:r>
        <w:rPr>
          <w:rFonts w:hint="eastAsia" w:ascii="宋体" w:hAnsi="宋体" w:cs="宋体"/>
          <w:szCs w:val="21"/>
        </w:rPr>
        <w:t>1.4中国行业数据</w:t>
      </w:r>
    </w:p>
    <w:p w14:paraId="29AE354D">
      <w:pPr>
        <w:spacing w:line="400" w:lineRule="exact"/>
        <w:ind w:firstLine="420" w:firstLineChars="200"/>
        <w:rPr>
          <w:rFonts w:ascii="宋体" w:hAnsi="宋体" w:cs="宋体"/>
          <w:szCs w:val="21"/>
        </w:rPr>
      </w:pPr>
      <w:r>
        <w:rPr>
          <w:rFonts w:hint="eastAsia" w:ascii="宋体" w:hAnsi="宋体" w:cs="宋体"/>
          <w:szCs w:val="21"/>
        </w:rPr>
        <w:t>1.4.1根据国际标准行业分类 (ISIC)，清晰划分和组织了行业数据。</w:t>
      </w:r>
    </w:p>
    <w:p w14:paraId="136D8958">
      <w:pPr>
        <w:spacing w:line="400" w:lineRule="exact"/>
        <w:ind w:firstLine="420" w:firstLineChars="200"/>
        <w:rPr>
          <w:rFonts w:ascii="宋体" w:hAnsi="宋体" w:cs="宋体"/>
          <w:szCs w:val="21"/>
        </w:rPr>
      </w:pPr>
      <w:r>
        <w:rPr>
          <w:rFonts w:hint="eastAsia" w:ascii="宋体" w:hAnsi="宋体" w:cs="宋体"/>
          <w:szCs w:val="21"/>
        </w:rPr>
        <w:t xml:space="preserve">1.4.2行业内最详细的工业产品产出，覆盖500多个工业产品的月度产量。 </w:t>
      </w:r>
    </w:p>
    <w:p w14:paraId="51435E0C">
      <w:pPr>
        <w:spacing w:line="400" w:lineRule="exact"/>
        <w:ind w:firstLine="420" w:firstLineChars="200"/>
        <w:rPr>
          <w:rFonts w:ascii="宋体" w:hAnsi="宋体" w:cs="宋体"/>
          <w:szCs w:val="21"/>
        </w:rPr>
      </w:pPr>
      <w:r>
        <w:rPr>
          <w:rFonts w:hint="eastAsia" w:ascii="宋体" w:hAnsi="宋体" w:cs="宋体"/>
          <w:szCs w:val="21"/>
        </w:rPr>
        <w:t>1.4.3按照中国工业企业分类标准划分的行业营运数据，包含600多个行业。</w:t>
      </w:r>
    </w:p>
    <w:p w14:paraId="179C8CDC">
      <w:pPr>
        <w:spacing w:line="400" w:lineRule="exact"/>
        <w:ind w:firstLine="420" w:firstLineChars="200"/>
        <w:rPr>
          <w:rFonts w:ascii="宋体" w:hAnsi="宋体" w:cs="宋体"/>
          <w:szCs w:val="21"/>
        </w:rPr>
      </w:pPr>
      <w:r>
        <w:rPr>
          <w:rFonts w:hint="eastAsia" w:ascii="宋体" w:hAnsi="宋体" w:cs="宋体"/>
          <w:szCs w:val="21"/>
        </w:rPr>
        <w:t xml:space="preserve">1.4.4系统的连锁零售和连锁餐饮业营运数据，覆盖各零售业态，细分为31个省市。 </w:t>
      </w:r>
    </w:p>
    <w:p w14:paraId="32969D85">
      <w:pPr>
        <w:spacing w:line="400" w:lineRule="exact"/>
        <w:ind w:firstLine="420" w:firstLineChars="200"/>
        <w:rPr>
          <w:rFonts w:ascii="宋体" w:hAnsi="宋体" w:cs="宋体"/>
          <w:szCs w:val="21"/>
        </w:rPr>
      </w:pPr>
      <w:r>
        <w:rPr>
          <w:rFonts w:hint="eastAsia" w:ascii="宋体" w:hAnsi="宋体" w:cs="宋体"/>
          <w:szCs w:val="21"/>
        </w:rPr>
        <w:t xml:space="preserve">1.4.5房地产开发业财务数据，覆盖31个省市。 </w:t>
      </w:r>
    </w:p>
    <w:p w14:paraId="4853C16C">
      <w:pPr>
        <w:spacing w:line="400" w:lineRule="exact"/>
        <w:ind w:firstLine="420" w:firstLineChars="200"/>
        <w:rPr>
          <w:rFonts w:ascii="宋体" w:hAnsi="宋体" w:cs="宋体"/>
          <w:szCs w:val="21"/>
        </w:rPr>
      </w:pPr>
      <w:r>
        <w:rPr>
          <w:rFonts w:hint="eastAsia" w:ascii="宋体" w:hAnsi="宋体" w:cs="宋体"/>
          <w:szCs w:val="21"/>
        </w:rPr>
        <w:t xml:space="preserve">1.4.6 60个城市的每日房产交易数据。 </w:t>
      </w:r>
    </w:p>
    <w:p w14:paraId="6260E758">
      <w:pPr>
        <w:spacing w:line="400" w:lineRule="exact"/>
        <w:ind w:firstLine="420" w:firstLineChars="200"/>
        <w:rPr>
          <w:rFonts w:ascii="宋体" w:hAnsi="宋体" w:cs="宋体"/>
          <w:szCs w:val="21"/>
        </w:rPr>
      </w:pPr>
      <w:r>
        <w:rPr>
          <w:rFonts w:hint="eastAsia" w:ascii="宋体" w:hAnsi="宋体" w:cs="宋体"/>
          <w:szCs w:val="21"/>
        </w:rPr>
        <w:t xml:space="preserve">1.4.7电子商务涵盖的数据作为网上购物和网上支付。 </w:t>
      </w:r>
    </w:p>
    <w:p w14:paraId="7A0A78A1">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1.4.8 31个省市的系统的生产、加工、消费、进出口、库存等数据，按照能源类别分类</w:t>
      </w:r>
      <w:r>
        <w:rPr>
          <w:rFonts w:hint="eastAsia" w:ascii="宋体" w:hAnsi="宋体" w:cs="宋体"/>
          <w:szCs w:val="21"/>
          <w:lang w:eastAsia="zh-CN"/>
        </w:rPr>
        <w:t>。</w:t>
      </w:r>
    </w:p>
    <w:p w14:paraId="7B02E5D3">
      <w:pPr>
        <w:spacing w:line="400" w:lineRule="exact"/>
        <w:ind w:firstLine="420" w:firstLineChars="200"/>
        <w:rPr>
          <w:rFonts w:ascii="宋体" w:hAnsi="宋体" w:cs="宋体"/>
          <w:szCs w:val="21"/>
        </w:rPr>
      </w:pPr>
      <w:r>
        <w:rPr>
          <w:rFonts w:hint="eastAsia" w:ascii="宋体" w:hAnsi="宋体" w:cs="宋体"/>
          <w:szCs w:val="21"/>
        </w:rPr>
        <w:t>1.5中国区域数据</w:t>
      </w:r>
    </w:p>
    <w:p w14:paraId="3BF42CDD">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1.5.1城市数据：286个地级市，覆盖指标有：本地产值、贷款、存款、投资、政府财政、就业、收入和支出、零售、房地产市场和公用事业等</w:t>
      </w:r>
      <w:r>
        <w:rPr>
          <w:rFonts w:hint="eastAsia" w:ascii="宋体" w:hAnsi="宋体" w:cs="宋体"/>
          <w:szCs w:val="21"/>
          <w:lang w:eastAsia="zh-CN"/>
        </w:rPr>
        <w:t>。</w:t>
      </w:r>
    </w:p>
    <w:p w14:paraId="4C3C9270">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1.5.2县级数据库：2000多个县，覆盖指标有：工业产值、贷款、存款、投资、政府财政、就业、收入和支出及零售等</w:t>
      </w:r>
      <w:r>
        <w:rPr>
          <w:rFonts w:hint="eastAsia" w:ascii="宋体" w:hAnsi="宋体" w:cs="宋体"/>
          <w:szCs w:val="21"/>
          <w:lang w:eastAsia="zh-CN"/>
        </w:rPr>
        <w:t>。</w:t>
      </w:r>
    </w:p>
    <w:p w14:paraId="5EB09DE0">
      <w:pPr>
        <w:spacing w:line="400" w:lineRule="exact"/>
        <w:ind w:firstLine="420" w:firstLineChars="200"/>
        <w:rPr>
          <w:rFonts w:ascii="宋体" w:hAnsi="宋体" w:cs="宋体"/>
          <w:szCs w:val="21"/>
        </w:rPr>
      </w:pPr>
      <w:r>
        <w:rPr>
          <w:rFonts w:hint="eastAsia" w:ascii="宋体" w:hAnsi="宋体" w:cs="宋体"/>
          <w:szCs w:val="21"/>
        </w:rPr>
        <w:t>1.6全球行业数据</w:t>
      </w:r>
    </w:p>
    <w:p w14:paraId="5BC4C4CA">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1.6.1亚洲国家和其他地区国家最受关注行业的高频率年度数据</w:t>
      </w:r>
      <w:r>
        <w:rPr>
          <w:rFonts w:hint="eastAsia" w:ascii="宋体" w:hAnsi="宋体" w:cs="宋体"/>
          <w:szCs w:val="21"/>
          <w:lang w:eastAsia="zh-CN"/>
        </w:rPr>
        <w:t>。</w:t>
      </w:r>
    </w:p>
    <w:p w14:paraId="0FD6065E">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1.6.2主要公司财务、深度行业财务以及运营信息，以及来自权威行业协会的统计数字</w:t>
      </w:r>
      <w:r>
        <w:rPr>
          <w:rFonts w:hint="eastAsia" w:ascii="宋体" w:hAnsi="宋体" w:cs="宋体"/>
          <w:szCs w:val="21"/>
          <w:lang w:eastAsia="zh-CN"/>
        </w:rPr>
        <w:t>。</w:t>
      </w:r>
    </w:p>
    <w:p w14:paraId="1545E66D">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1.6.3相同行业范围中不同公司的可比数据集</w:t>
      </w:r>
      <w:r>
        <w:rPr>
          <w:rFonts w:hint="eastAsia" w:ascii="宋体" w:hAnsi="宋体" w:cs="宋体"/>
          <w:szCs w:val="21"/>
          <w:lang w:eastAsia="zh-CN"/>
        </w:rPr>
        <w:t>。</w:t>
      </w:r>
    </w:p>
    <w:p w14:paraId="6E2B335E">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1.6.4提供的行业包括：汽车、保险、房地产、航空、钢铁、半导体、银行、金属、航运及港口、化学、石油与天然气、电信、电子、医药与生物科技</w:t>
      </w:r>
      <w:r>
        <w:rPr>
          <w:rFonts w:hint="eastAsia" w:ascii="宋体" w:hAnsi="宋体" w:cs="宋体"/>
          <w:szCs w:val="21"/>
          <w:lang w:eastAsia="zh-CN"/>
        </w:rPr>
        <w:t>。</w:t>
      </w:r>
    </w:p>
    <w:p w14:paraId="2742F4D7">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1.6.5专门为从事行业分析的金融分析人员和研究人员而开发</w:t>
      </w:r>
      <w:r>
        <w:rPr>
          <w:rFonts w:hint="eastAsia" w:ascii="宋体" w:hAnsi="宋体" w:cs="宋体"/>
          <w:szCs w:val="21"/>
          <w:lang w:eastAsia="zh-CN"/>
        </w:rPr>
        <w:t>。</w:t>
      </w:r>
    </w:p>
    <w:p w14:paraId="39E67F8A">
      <w:pPr>
        <w:spacing w:line="400" w:lineRule="exact"/>
        <w:ind w:firstLine="420" w:firstLineChars="200"/>
        <w:rPr>
          <w:rFonts w:ascii="宋体" w:hAnsi="宋体" w:cs="宋体"/>
          <w:szCs w:val="21"/>
        </w:rPr>
      </w:pPr>
      <w:r>
        <w:rPr>
          <w:rFonts w:hint="eastAsia" w:ascii="宋体" w:hAnsi="宋体" w:cs="宋体"/>
          <w:szCs w:val="21"/>
        </w:rPr>
        <w:t>1.7世界趋势数据对比</w:t>
      </w:r>
    </w:p>
    <w:p w14:paraId="598B02B9">
      <w:pPr>
        <w:spacing w:line="400" w:lineRule="exact"/>
        <w:ind w:firstLine="420" w:firstLineChars="200"/>
        <w:rPr>
          <w:rFonts w:ascii="宋体" w:hAnsi="宋体" w:cs="宋体"/>
          <w:szCs w:val="21"/>
        </w:rPr>
      </w:pPr>
      <w:r>
        <w:rPr>
          <w:rFonts w:hint="eastAsia" w:ascii="宋体" w:hAnsi="宋体" w:cs="宋体"/>
          <w:szCs w:val="21"/>
        </w:rPr>
        <w:t>1.7.1提供对于众多发展中国家和发达国家宏观经济趋势的有力、深入和准确</w:t>
      </w:r>
      <w:r>
        <w:rPr>
          <w:rFonts w:hint="eastAsia" w:ascii="宋体" w:hAnsi="宋体" w:cs="宋体"/>
          <w:szCs w:val="21"/>
          <w:lang w:eastAsia="zh-CN"/>
        </w:rPr>
        <w:t>地</w:t>
      </w:r>
      <w:r>
        <w:rPr>
          <w:rFonts w:hint="eastAsia" w:ascii="宋体" w:hAnsi="宋体" w:cs="宋体"/>
          <w:szCs w:val="21"/>
        </w:rPr>
        <w:t>分析。</w:t>
      </w:r>
    </w:p>
    <w:p w14:paraId="1837B53B">
      <w:pPr>
        <w:spacing w:line="400" w:lineRule="exact"/>
        <w:ind w:firstLine="420" w:firstLineChars="200"/>
        <w:rPr>
          <w:rFonts w:ascii="宋体" w:hAnsi="宋体" w:cs="宋体"/>
          <w:szCs w:val="21"/>
        </w:rPr>
      </w:pPr>
      <w:r>
        <w:rPr>
          <w:rFonts w:hint="eastAsia" w:ascii="宋体" w:hAnsi="宋体" w:cs="宋体"/>
          <w:szCs w:val="21"/>
        </w:rPr>
        <w:t>1.7.2全球经济监测(GEM)和东盟经济监测(ASEAN)提供的标准历史数据和详细的方法说明，可以快速比较和分析长短期的各种经济因素。数据集包含关键指标，例如GDP,IPI,FDI和CPI。</w:t>
      </w:r>
    </w:p>
    <w:p w14:paraId="04629212">
      <w:pPr>
        <w:spacing w:line="400" w:lineRule="exact"/>
        <w:ind w:firstLine="420" w:firstLineChars="200"/>
        <w:rPr>
          <w:rFonts w:ascii="宋体" w:hAnsi="宋体" w:cs="宋体"/>
          <w:szCs w:val="21"/>
        </w:rPr>
      </w:pPr>
      <w:r>
        <w:rPr>
          <w:rFonts w:hint="eastAsia" w:ascii="宋体" w:hAnsi="宋体" w:cs="宋体"/>
          <w:szCs w:val="21"/>
        </w:rPr>
        <w:t>1.7.3区域性的汇总数据，综合预测，商品数据和市场情绪指标。</w:t>
      </w:r>
    </w:p>
    <w:p w14:paraId="50C92E79">
      <w:pPr>
        <w:spacing w:line="400" w:lineRule="exact"/>
        <w:ind w:firstLine="420" w:firstLineChars="200"/>
        <w:rPr>
          <w:rFonts w:ascii="宋体" w:hAnsi="宋体" w:cs="宋体"/>
          <w:szCs w:val="21"/>
        </w:rPr>
      </w:pPr>
      <w:r>
        <w:rPr>
          <w:rFonts w:hint="eastAsia" w:ascii="宋体" w:hAnsi="宋体" w:cs="宋体"/>
          <w:szCs w:val="21"/>
        </w:rPr>
        <w:t>1.7.4美国、欧洲、中东北非和亚洲的主要商品价格和价格指数。</w:t>
      </w:r>
    </w:p>
    <w:p w14:paraId="1D6C7B24">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1.7.5全球经济监测(GEM) 被CEIC标准化的经济指标用于跨国比较.指标包括：GDP, CPI, 生产力, 进出口等</w:t>
      </w:r>
      <w:r>
        <w:rPr>
          <w:rFonts w:hint="eastAsia" w:ascii="宋体" w:hAnsi="宋体" w:cs="宋体"/>
          <w:szCs w:val="21"/>
          <w:lang w:eastAsia="zh-CN"/>
        </w:rPr>
        <w:t>。</w:t>
      </w:r>
    </w:p>
    <w:p w14:paraId="7E4EC25C">
      <w:pPr>
        <w:spacing w:line="400" w:lineRule="exact"/>
        <w:ind w:firstLine="420" w:firstLineChars="200"/>
        <w:rPr>
          <w:rFonts w:ascii="宋体" w:hAnsi="宋体" w:cs="宋体"/>
          <w:szCs w:val="21"/>
        </w:rPr>
      </w:pPr>
      <w:r>
        <w:rPr>
          <w:rFonts w:hint="eastAsia" w:ascii="宋体" w:hAnsi="宋体" w:cs="宋体"/>
          <w:szCs w:val="21"/>
        </w:rPr>
        <w:t>2.功能参数：</w:t>
      </w:r>
    </w:p>
    <w:p w14:paraId="140650FE">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2.1实时地信息更新，提供数据模板</w:t>
      </w:r>
      <w:r>
        <w:rPr>
          <w:rFonts w:hint="eastAsia" w:ascii="宋体" w:hAnsi="宋体" w:cs="宋体"/>
          <w:szCs w:val="21"/>
          <w:lang w:eastAsia="zh-CN"/>
        </w:rPr>
        <w:t>。</w:t>
      </w:r>
    </w:p>
    <w:p w14:paraId="49005B32">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2.2多变的可视化图表功能</w:t>
      </w:r>
      <w:r>
        <w:rPr>
          <w:rFonts w:hint="eastAsia" w:ascii="宋体" w:hAnsi="宋体" w:cs="宋体"/>
          <w:szCs w:val="21"/>
          <w:lang w:eastAsia="zh-CN"/>
        </w:rPr>
        <w:t>。</w:t>
      </w:r>
    </w:p>
    <w:p w14:paraId="63DBD899">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2.3 40多种数学函数功能包括：普通计算、时间单位转换、季节性调整等</w:t>
      </w:r>
      <w:r>
        <w:rPr>
          <w:rFonts w:hint="eastAsia" w:ascii="宋体" w:hAnsi="宋体" w:cs="宋体"/>
          <w:szCs w:val="21"/>
          <w:lang w:eastAsia="zh-CN"/>
        </w:rPr>
        <w:t>。</w:t>
      </w:r>
    </w:p>
    <w:p w14:paraId="1BB913E0">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2.4定制的数据传输专线选项，可以挑选出最重要的数据列</w:t>
      </w:r>
      <w:r>
        <w:rPr>
          <w:rFonts w:hint="eastAsia" w:ascii="宋体" w:hAnsi="宋体" w:cs="宋体"/>
          <w:szCs w:val="21"/>
          <w:lang w:eastAsia="zh-CN"/>
        </w:rPr>
        <w:t>。</w:t>
      </w:r>
    </w:p>
    <w:p w14:paraId="16964896">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2.5与Excel充分结合，可将数据下载至Excel后更新编辑</w:t>
      </w:r>
      <w:r>
        <w:rPr>
          <w:rFonts w:hint="eastAsia" w:ascii="宋体" w:hAnsi="宋体" w:cs="宋体"/>
          <w:szCs w:val="21"/>
          <w:lang w:eastAsia="zh-CN"/>
        </w:rPr>
        <w:t>。</w:t>
      </w:r>
    </w:p>
    <w:p w14:paraId="00E0186C">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2.6</w:t>
      </w:r>
      <w:r>
        <w:rPr>
          <w:rFonts w:hint="eastAsia" w:ascii="宋体" w:hAnsi="宋体" w:cs="宋体"/>
          <w:szCs w:val="21"/>
          <w:lang w:val="en-US" w:eastAsia="zh-CN"/>
        </w:rPr>
        <w:t>校园</w:t>
      </w:r>
      <w:r>
        <w:rPr>
          <w:rFonts w:hint="eastAsia" w:ascii="宋体" w:hAnsi="宋体" w:cs="宋体"/>
          <w:szCs w:val="21"/>
        </w:rPr>
        <w:t>IP</w:t>
      </w:r>
      <w:r>
        <w:rPr>
          <w:rFonts w:hint="eastAsia" w:ascii="宋体" w:hAnsi="宋体" w:cs="宋体"/>
          <w:szCs w:val="21"/>
          <w:lang w:val="en-US" w:eastAsia="zh-CN"/>
        </w:rPr>
        <w:t>范围内</w:t>
      </w:r>
      <w:r>
        <w:rPr>
          <w:rFonts w:hint="eastAsia" w:ascii="宋体" w:hAnsi="宋体" w:cs="宋体"/>
          <w:szCs w:val="21"/>
        </w:rPr>
        <w:t>访问登录</w:t>
      </w:r>
      <w:r>
        <w:rPr>
          <w:rFonts w:hint="eastAsia" w:ascii="宋体" w:hAnsi="宋体" w:cs="宋体"/>
          <w:szCs w:val="21"/>
          <w:lang w:eastAsia="zh-CN"/>
        </w:rPr>
        <w:t>，</w:t>
      </w:r>
      <w:r>
        <w:rPr>
          <w:rFonts w:hint="eastAsia" w:ascii="宋体" w:hAnsi="宋体" w:cs="宋体"/>
          <w:bCs/>
          <w:szCs w:val="21"/>
        </w:rPr>
        <w:t>支持</w:t>
      </w:r>
      <w:r>
        <w:rPr>
          <w:rFonts w:hint="eastAsia" w:ascii="宋体" w:hAnsi="宋体" w:cs="宋体"/>
          <w:bCs/>
          <w:szCs w:val="21"/>
          <w:lang w:val="en-US" w:eastAsia="zh-CN"/>
        </w:rPr>
        <w:t>VPN</w:t>
      </w:r>
      <w:r>
        <w:rPr>
          <w:rFonts w:hint="eastAsia" w:ascii="宋体" w:hAnsi="宋体" w:cs="宋体"/>
          <w:bCs/>
          <w:szCs w:val="21"/>
        </w:rPr>
        <w:t>校外</w:t>
      </w:r>
      <w:r>
        <w:rPr>
          <w:rFonts w:hint="eastAsia" w:ascii="宋体" w:hAnsi="宋体" w:cs="宋体"/>
          <w:bCs/>
          <w:szCs w:val="21"/>
          <w:lang w:val="en-US" w:eastAsia="zh-CN"/>
        </w:rPr>
        <w:t>登录</w:t>
      </w:r>
      <w:r>
        <w:rPr>
          <w:rFonts w:hint="eastAsia" w:ascii="宋体" w:hAnsi="宋体" w:cs="宋体"/>
          <w:bCs/>
          <w:szCs w:val="21"/>
        </w:rPr>
        <w:t>访问</w:t>
      </w:r>
      <w:r>
        <w:rPr>
          <w:rFonts w:hint="eastAsia" w:ascii="宋体" w:hAnsi="宋体" w:cs="宋体"/>
          <w:szCs w:val="21"/>
          <w:lang w:val="en-US" w:eastAsia="zh-CN"/>
        </w:rPr>
        <w:t>，无</w:t>
      </w:r>
      <w:r>
        <w:rPr>
          <w:rFonts w:hint="eastAsia" w:ascii="宋体" w:hAnsi="宋体" w:cs="宋体"/>
          <w:szCs w:val="21"/>
        </w:rPr>
        <w:t>并发</w:t>
      </w:r>
      <w:r>
        <w:rPr>
          <w:rFonts w:hint="eastAsia" w:ascii="宋体" w:hAnsi="宋体" w:cs="宋体"/>
          <w:szCs w:val="21"/>
          <w:lang w:val="en-US" w:eastAsia="zh-CN"/>
        </w:rPr>
        <w:t>数限制</w:t>
      </w:r>
      <w:r>
        <w:rPr>
          <w:rFonts w:hint="eastAsia" w:ascii="宋体" w:hAnsi="宋体" w:cs="宋体"/>
          <w:szCs w:val="21"/>
          <w:lang w:eastAsia="zh-CN"/>
        </w:rPr>
        <w:t>。</w:t>
      </w:r>
    </w:p>
    <w:p w14:paraId="758D5185">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2.7维修响应时间</w:t>
      </w:r>
      <w:r>
        <w:rPr>
          <w:rFonts w:hint="eastAsia" w:ascii="宋体" w:hAnsi="宋体" w:cs="宋体"/>
          <w:szCs w:val="21"/>
          <w:lang w:val="en-US" w:eastAsia="zh-CN"/>
        </w:rPr>
        <w:t>：</w:t>
      </w:r>
      <w:r>
        <w:rPr>
          <w:rFonts w:hint="eastAsia" w:ascii="宋体" w:hAnsi="宋体" w:cs="宋体"/>
          <w:szCs w:val="21"/>
        </w:rPr>
        <w:t>供应商负责向采购</w:t>
      </w:r>
      <w:r>
        <w:rPr>
          <w:rFonts w:hint="eastAsia" w:ascii="宋体" w:hAnsi="宋体" w:cs="宋体"/>
          <w:szCs w:val="21"/>
          <w:lang w:eastAsia="zh-CN"/>
        </w:rPr>
        <w:t>人</w:t>
      </w:r>
      <w:r>
        <w:rPr>
          <w:rFonts w:hint="eastAsia" w:ascii="宋体" w:hAnsi="宋体" w:cs="宋体"/>
          <w:szCs w:val="21"/>
        </w:rPr>
        <w:t>提供网络、电话及EMAIL支持服务，响应时间不超过1小时，以保证数据库产品的正常使用；若远程支持无法解决问题的，供应商须承诺24小时内上门服务，3天内解决</w:t>
      </w:r>
      <w:r>
        <w:rPr>
          <w:rFonts w:hint="eastAsia" w:ascii="宋体" w:hAnsi="宋体" w:cs="宋体"/>
          <w:szCs w:val="21"/>
          <w:lang w:eastAsia="zh-CN"/>
        </w:rPr>
        <w:t>。</w:t>
      </w:r>
    </w:p>
    <w:p w14:paraId="681487C3">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2.8</w:t>
      </w:r>
      <w:r>
        <w:rPr>
          <w:rFonts w:hint="eastAsia" w:ascii="宋体" w:hAnsi="宋体" w:cs="宋体"/>
          <w:szCs w:val="21"/>
          <w:lang w:val="en-US" w:eastAsia="zh-CN"/>
        </w:rPr>
        <w:t>定期</w:t>
      </w:r>
      <w:r>
        <w:rPr>
          <w:rFonts w:hint="eastAsia" w:ascii="宋体" w:hAnsi="宋体" w:cs="宋体"/>
          <w:szCs w:val="21"/>
        </w:rPr>
        <w:t>提供数据下载统计报告</w:t>
      </w:r>
      <w:r>
        <w:rPr>
          <w:rFonts w:hint="eastAsia" w:ascii="宋体" w:hAnsi="宋体" w:cs="宋体"/>
          <w:szCs w:val="21"/>
          <w:lang w:eastAsia="zh-CN"/>
        </w:rPr>
        <w:t>。</w:t>
      </w:r>
    </w:p>
    <w:p w14:paraId="22F0C9BE">
      <w:pPr>
        <w:spacing w:line="400" w:lineRule="exact"/>
        <w:ind w:firstLine="420" w:firstLineChars="200"/>
        <w:rPr>
          <w:rFonts w:ascii="宋体" w:hAnsi="宋体" w:cs="宋体"/>
          <w:szCs w:val="21"/>
        </w:rPr>
      </w:pPr>
      <w:r>
        <w:rPr>
          <w:rFonts w:hint="eastAsia" w:ascii="宋体" w:hAnsi="宋体" w:cs="宋体"/>
          <w:szCs w:val="21"/>
        </w:rPr>
        <w:t>2.9服务期内，为</w:t>
      </w:r>
      <w:r>
        <w:rPr>
          <w:rFonts w:hint="eastAsia" w:ascii="宋体" w:hAnsi="宋体" w:cs="宋体"/>
          <w:szCs w:val="21"/>
          <w:lang w:eastAsia="zh-CN"/>
        </w:rPr>
        <w:t>采购人无条件</w:t>
      </w:r>
      <w:r>
        <w:rPr>
          <w:rFonts w:hint="eastAsia" w:ascii="宋体" w:hAnsi="宋体" w:cs="宋体"/>
          <w:szCs w:val="21"/>
        </w:rPr>
        <w:t>提供数据库培训等活动一年内不少于2次，具体时间和形式，双方协商确认。</w:t>
      </w:r>
    </w:p>
    <w:p w14:paraId="733A57B2">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3.服务期限：2026年1月1日至2026年12月31日</w:t>
      </w:r>
      <w:r>
        <w:rPr>
          <w:rFonts w:hint="eastAsia" w:ascii="宋体" w:hAnsi="宋体" w:cs="宋体"/>
          <w:szCs w:val="21"/>
          <w:lang w:eastAsia="zh-CN"/>
        </w:rPr>
        <w:t>。</w:t>
      </w:r>
    </w:p>
    <w:p w14:paraId="18E50C05">
      <w:pPr>
        <w:spacing w:line="400" w:lineRule="exact"/>
        <w:rPr>
          <w:rFonts w:ascii="宋体" w:hAnsi="宋体" w:cs="宋体"/>
          <w:b/>
          <w:szCs w:val="21"/>
        </w:rPr>
      </w:pPr>
      <w:r>
        <w:rPr>
          <w:rFonts w:hint="eastAsia" w:ascii="宋体" w:hAnsi="宋体" w:cs="宋体"/>
          <w:szCs w:val="21"/>
        </w:rPr>
        <w:br w:type="page"/>
      </w:r>
      <w:r>
        <w:rPr>
          <w:rFonts w:hint="eastAsia" w:ascii="宋体" w:hAnsi="宋体" w:cs="宋体"/>
          <w:szCs w:val="21"/>
        </w:rPr>
        <w:t xml:space="preserve">   </w:t>
      </w:r>
      <w:r>
        <w:rPr>
          <w:rFonts w:hint="eastAsia" w:ascii="宋体" w:hAnsi="宋体" w:cs="宋体"/>
          <w:b/>
          <w:bCs/>
          <w:szCs w:val="21"/>
        </w:rPr>
        <w:t xml:space="preserve"> 标项</w:t>
      </w:r>
      <w:r>
        <w:rPr>
          <w:rFonts w:hint="eastAsia" w:ascii="宋体" w:hAnsi="宋体" w:cs="宋体"/>
          <w:b/>
          <w:szCs w:val="21"/>
        </w:rPr>
        <w:t>五（读秀知识库）：</w:t>
      </w:r>
    </w:p>
    <w:p w14:paraId="1ADA0F6C">
      <w:pPr>
        <w:spacing w:line="400" w:lineRule="exact"/>
        <w:ind w:firstLine="420" w:firstLineChars="200"/>
        <w:rPr>
          <w:rFonts w:hint="default" w:ascii="宋体" w:hAnsi="宋体" w:eastAsia="宋体" w:cs="宋体"/>
          <w:bCs/>
          <w:szCs w:val="21"/>
          <w:lang w:val="en-US" w:eastAsia="zh-CN"/>
        </w:rPr>
      </w:pPr>
      <w:r>
        <w:rPr>
          <w:rFonts w:hint="eastAsia" w:ascii="宋体" w:hAnsi="宋体" w:cs="宋体"/>
          <w:bCs/>
          <w:szCs w:val="21"/>
        </w:rPr>
        <w:t>1.</w:t>
      </w:r>
      <w:r>
        <w:rPr>
          <w:rFonts w:hint="eastAsia"/>
          <w:lang w:val="en-US" w:eastAsia="zh-CN"/>
        </w:rPr>
        <w:t>内容参数</w:t>
      </w:r>
    </w:p>
    <w:p w14:paraId="1F875FD9">
      <w:pPr>
        <w:spacing w:line="400" w:lineRule="exact"/>
        <w:ind w:firstLine="420" w:firstLineChars="200"/>
        <w:rPr>
          <w:rFonts w:ascii="宋体" w:hAnsi="宋体" w:cs="宋体"/>
          <w:bCs/>
          <w:szCs w:val="21"/>
        </w:rPr>
      </w:pPr>
      <w:r>
        <w:rPr>
          <w:rFonts w:hint="eastAsia" w:ascii="宋体" w:hAnsi="宋体" w:cs="宋体"/>
          <w:bCs/>
          <w:szCs w:val="21"/>
        </w:rPr>
        <w:t>以海量的中文图书和全文资料为基础，为用户提供深入</w:t>
      </w:r>
      <w:r>
        <w:rPr>
          <w:rFonts w:hint="eastAsia" w:ascii="宋体" w:hAnsi="宋体" w:cs="宋体"/>
          <w:bCs/>
          <w:szCs w:val="21"/>
          <w:lang w:eastAsia="zh-CN"/>
        </w:rPr>
        <w:t>的</w:t>
      </w:r>
      <w:r>
        <w:rPr>
          <w:rFonts w:hint="eastAsia" w:ascii="宋体" w:hAnsi="宋体" w:cs="宋体"/>
          <w:bCs/>
          <w:szCs w:val="21"/>
        </w:rPr>
        <w:t>内容章节和全文检索，部分文献的原文试读，以及高效查找、获取各种文献类型学术资源的一站式检索，周到的参考咨询服务。</w:t>
      </w:r>
      <w:r>
        <w:rPr>
          <w:rFonts w:hint="eastAsia" w:ascii="宋体" w:hAnsi="宋体" w:cs="宋体"/>
          <w:bCs/>
          <w:szCs w:val="21"/>
          <w:lang w:val="en-US" w:eastAsia="zh-CN"/>
        </w:rPr>
        <w:t>需要有</w:t>
      </w:r>
      <w:r>
        <w:rPr>
          <w:rFonts w:hint="eastAsia" w:ascii="宋体" w:hAnsi="宋体" w:cs="宋体"/>
          <w:bCs/>
          <w:szCs w:val="21"/>
        </w:rPr>
        <w:t>680万种中文图书资源、17.6亿页资料满足不同领域机构用户的专业需求。</w:t>
      </w:r>
    </w:p>
    <w:p w14:paraId="3CA63A4B">
      <w:pPr>
        <w:spacing w:line="400" w:lineRule="exact"/>
        <w:ind w:firstLine="420" w:firstLineChars="200"/>
        <w:rPr>
          <w:rFonts w:ascii="宋体" w:hAnsi="宋体" w:cs="宋体"/>
          <w:bCs/>
          <w:szCs w:val="21"/>
        </w:rPr>
      </w:pPr>
      <w:r>
        <w:rPr>
          <w:rFonts w:hint="eastAsia" w:ascii="宋体" w:hAnsi="宋体" w:cs="宋体"/>
          <w:bCs/>
          <w:szCs w:val="21"/>
        </w:rPr>
        <w:t>1.1直接的知识服务</w:t>
      </w:r>
    </w:p>
    <w:p w14:paraId="09C13BF8">
      <w:pPr>
        <w:spacing w:line="400" w:lineRule="exact"/>
        <w:ind w:firstLine="420" w:firstLineChars="200"/>
        <w:rPr>
          <w:rFonts w:ascii="宋体" w:hAnsi="宋体" w:cs="宋体"/>
          <w:bCs/>
          <w:szCs w:val="21"/>
        </w:rPr>
      </w:pPr>
      <w:r>
        <w:rPr>
          <w:rFonts w:hint="eastAsia" w:ascii="宋体" w:hAnsi="宋体" w:cs="宋体"/>
          <w:bCs/>
          <w:szCs w:val="21"/>
        </w:rPr>
        <w:t>通过输入关键词或语句进行检索，轻而易举地获得所寻找的知识点，而且资料来源权威可靠。</w:t>
      </w:r>
    </w:p>
    <w:p w14:paraId="774AEAC7">
      <w:pPr>
        <w:spacing w:line="400" w:lineRule="exact"/>
        <w:ind w:firstLine="420" w:firstLineChars="200"/>
        <w:rPr>
          <w:rFonts w:ascii="宋体" w:hAnsi="宋体" w:cs="宋体"/>
          <w:bCs/>
          <w:szCs w:val="21"/>
        </w:rPr>
      </w:pPr>
      <w:r>
        <w:rPr>
          <w:rFonts w:hint="eastAsia" w:ascii="宋体" w:hAnsi="宋体" w:cs="宋体"/>
          <w:bCs/>
          <w:szCs w:val="21"/>
        </w:rPr>
        <w:t>1.2开放的数字图书馆平台</w:t>
      </w:r>
    </w:p>
    <w:p w14:paraId="45BECFA6">
      <w:pPr>
        <w:spacing w:line="400" w:lineRule="exact"/>
        <w:ind w:firstLine="420" w:firstLineChars="200"/>
        <w:rPr>
          <w:rFonts w:ascii="宋体" w:hAnsi="宋体" w:cs="宋体"/>
          <w:bCs/>
          <w:szCs w:val="21"/>
        </w:rPr>
      </w:pPr>
      <w:r>
        <w:rPr>
          <w:rFonts w:hint="eastAsia" w:ascii="宋体" w:hAnsi="宋体" w:cs="宋体"/>
          <w:bCs/>
          <w:szCs w:val="21"/>
        </w:rPr>
        <w:t>为文献服务单位搭建开放的借阅平台，读者只需一次登录，即可享受试读部分原文、阅读文献服务单位本地收藏的电子全文、借阅文献服务单位本地收藏的纸质图书、文献传递、馆际互借等一站式的全方位服务，是纸本、电子本、购买、互借、传递等各种获取方式的集大成。</w:t>
      </w:r>
    </w:p>
    <w:p w14:paraId="24433C00">
      <w:pPr>
        <w:spacing w:line="400" w:lineRule="exact"/>
        <w:ind w:firstLine="420" w:firstLineChars="200"/>
        <w:rPr>
          <w:rFonts w:ascii="宋体" w:hAnsi="宋体" w:cs="宋体"/>
          <w:bCs/>
          <w:szCs w:val="21"/>
        </w:rPr>
      </w:pPr>
      <w:r>
        <w:rPr>
          <w:rFonts w:hint="eastAsia" w:ascii="宋体" w:hAnsi="宋体" w:cs="宋体"/>
          <w:bCs/>
          <w:szCs w:val="21"/>
        </w:rPr>
        <w:t>1.3便捷的一站式检索</w:t>
      </w:r>
    </w:p>
    <w:p w14:paraId="737BC801">
      <w:pPr>
        <w:spacing w:line="400" w:lineRule="exact"/>
        <w:ind w:firstLine="420" w:firstLineChars="200"/>
        <w:rPr>
          <w:rFonts w:ascii="宋体" w:hAnsi="宋体" w:cs="宋体"/>
          <w:bCs/>
          <w:szCs w:val="21"/>
        </w:rPr>
      </w:pPr>
      <w:r>
        <w:rPr>
          <w:rFonts w:hint="eastAsia" w:ascii="宋体" w:hAnsi="宋体" w:cs="宋体"/>
          <w:bCs/>
          <w:szCs w:val="21"/>
          <w:lang w:val="en-US" w:eastAsia="zh-CN"/>
        </w:rPr>
        <w:t>通过</w:t>
      </w:r>
      <w:r>
        <w:rPr>
          <w:rFonts w:hint="eastAsia" w:ascii="宋体" w:hAnsi="宋体" w:cs="宋体"/>
          <w:bCs/>
          <w:szCs w:val="21"/>
        </w:rPr>
        <w:t>一次检索，即可直接获得知识、图书等各种类型的文献资源服务，并显示与之相关的人物、工具书解释、网页等信息，让读者在短时间内获得全面的学术文献资源，是各种文献类型服务的集大成。图书检索深入到章节目次、全文。同时，同义词提示功能贴心地引导读者发现潜在检索需求，左侧聚类为读者更加准确找到所需资源服务。</w:t>
      </w:r>
    </w:p>
    <w:p w14:paraId="189F4587">
      <w:pPr>
        <w:spacing w:line="400" w:lineRule="exact"/>
        <w:ind w:firstLine="420" w:firstLineChars="200"/>
        <w:rPr>
          <w:rFonts w:ascii="宋体" w:hAnsi="宋体" w:cs="宋体"/>
          <w:bCs/>
          <w:szCs w:val="21"/>
        </w:rPr>
      </w:pPr>
      <w:r>
        <w:rPr>
          <w:rFonts w:hint="eastAsia" w:ascii="宋体" w:hAnsi="宋体" w:cs="宋体"/>
          <w:bCs/>
          <w:szCs w:val="21"/>
        </w:rPr>
        <w:t>1.4即时的参考咨询服务</w:t>
      </w:r>
    </w:p>
    <w:p w14:paraId="23FD8CCB">
      <w:pPr>
        <w:spacing w:line="400" w:lineRule="exact"/>
        <w:ind w:firstLine="420" w:firstLineChars="200"/>
        <w:rPr>
          <w:rFonts w:ascii="宋体" w:hAnsi="宋体" w:cs="宋体"/>
          <w:bCs/>
          <w:szCs w:val="21"/>
        </w:rPr>
      </w:pPr>
      <w:r>
        <w:rPr>
          <w:rFonts w:hint="eastAsia" w:ascii="宋体" w:hAnsi="宋体" w:cs="宋体"/>
          <w:bCs/>
          <w:szCs w:val="21"/>
        </w:rPr>
        <w:t>通过Email快速高效地为读者提供全面、专业的文献资料，使读者的学习研究不再因文献资源匮乏而受限。</w:t>
      </w:r>
    </w:p>
    <w:p w14:paraId="15A840F6">
      <w:pPr>
        <w:spacing w:line="400" w:lineRule="exact"/>
        <w:ind w:firstLine="420" w:firstLineChars="200"/>
        <w:rPr>
          <w:rFonts w:ascii="宋体" w:hAnsi="宋体" w:cs="宋体"/>
          <w:bCs/>
          <w:szCs w:val="21"/>
        </w:rPr>
      </w:pPr>
      <w:r>
        <w:rPr>
          <w:rFonts w:hint="eastAsia" w:ascii="宋体" w:hAnsi="宋体" w:cs="宋体"/>
          <w:bCs/>
          <w:szCs w:val="21"/>
        </w:rPr>
        <w:t>2.技术参数</w:t>
      </w:r>
    </w:p>
    <w:p w14:paraId="102B9A6F">
      <w:pPr>
        <w:spacing w:line="400" w:lineRule="exact"/>
        <w:ind w:firstLine="420" w:firstLineChars="200"/>
        <w:rPr>
          <w:rFonts w:ascii="宋体" w:hAnsi="宋体" w:cs="宋体"/>
          <w:bCs/>
          <w:szCs w:val="21"/>
        </w:rPr>
      </w:pPr>
      <w:r>
        <w:rPr>
          <w:rFonts w:hint="eastAsia" w:ascii="宋体" w:hAnsi="宋体" w:cs="宋体"/>
          <w:bCs/>
          <w:szCs w:val="21"/>
        </w:rPr>
        <w:t>2.1平台需满足书名、作者、主题词等基本字段搜索、章节名称搜索、正文搜索。</w:t>
      </w:r>
    </w:p>
    <w:p w14:paraId="0099DE5C">
      <w:pPr>
        <w:spacing w:line="400" w:lineRule="exact"/>
        <w:ind w:firstLine="420" w:firstLineChars="200"/>
        <w:rPr>
          <w:rFonts w:ascii="宋体" w:hAnsi="宋体" w:cs="宋体"/>
          <w:bCs/>
          <w:szCs w:val="21"/>
        </w:rPr>
      </w:pPr>
      <w:r>
        <w:rPr>
          <w:rFonts w:hint="eastAsia" w:ascii="宋体" w:hAnsi="宋体" w:cs="宋体"/>
          <w:bCs/>
          <w:szCs w:val="21"/>
        </w:rPr>
        <w:t>2.2提供二次搜索，且提供布尔逻辑的高级搜索、专业搜索等功能。</w:t>
      </w:r>
    </w:p>
    <w:p w14:paraId="16DF5961">
      <w:pPr>
        <w:spacing w:line="400" w:lineRule="exact"/>
        <w:ind w:firstLine="420" w:firstLineChars="200"/>
        <w:rPr>
          <w:rFonts w:ascii="宋体" w:hAnsi="宋体" w:cs="宋体"/>
          <w:bCs/>
          <w:szCs w:val="21"/>
        </w:rPr>
      </w:pPr>
      <w:r>
        <w:rPr>
          <w:rFonts w:hint="eastAsia" w:ascii="宋体" w:hAnsi="宋体" w:cs="宋体"/>
          <w:bCs/>
          <w:szCs w:val="21"/>
        </w:rPr>
        <w:t>★2.3平台需支持知识点搜索，用户可在图书资料中通过搜索找到所需知识点并直接阅读，阅读中提供文字提取、查看来源等功能。</w:t>
      </w:r>
    </w:p>
    <w:p w14:paraId="6122645E">
      <w:pPr>
        <w:spacing w:line="400" w:lineRule="exact"/>
        <w:ind w:firstLine="420" w:firstLineChars="200"/>
        <w:rPr>
          <w:rFonts w:ascii="宋体" w:hAnsi="宋体" w:cs="宋体"/>
          <w:bCs/>
          <w:szCs w:val="21"/>
        </w:rPr>
      </w:pPr>
      <w:r>
        <w:rPr>
          <w:rFonts w:hint="eastAsia" w:ascii="宋体" w:hAnsi="宋体" w:cs="宋体"/>
          <w:bCs/>
          <w:szCs w:val="21"/>
        </w:rPr>
        <w:t>★2.4平台需涵盖知识点、图书类型，为读者提供海量信息资源多面搜索服务。</w:t>
      </w:r>
    </w:p>
    <w:p w14:paraId="47F09D05">
      <w:pPr>
        <w:spacing w:line="400" w:lineRule="exact"/>
        <w:ind w:firstLine="420" w:firstLineChars="200"/>
        <w:rPr>
          <w:rFonts w:ascii="宋体" w:hAnsi="宋体" w:cs="宋体"/>
          <w:bCs/>
          <w:szCs w:val="21"/>
        </w:rPr>
      </w:pPr>
      <w:r>
        <w:rPr>
          <w:rFonts w:hint="eastAsia" w:ascii="宋体" w:hAnsi="宋体" w:cs="宋体"/>
          <w:bCs/>
          <w:szCs w:val="21"/>
        </w:rPr>
        <w:t>★2.5平台中至少包含700万种中文图书信息，涵盖中国图书馆分类法22个分类，每个分类细分到第三级子类。</w:t>
      </w:r>
    </w:p>
    <w:p w14:paraId="18DE27F7">
      <w:pPr>
        <w:spacing w:line="400" w:lineRule="exact"/>
        <w:ind w:firstLine="420" w:firstLineChars="200"/>
        <w:rPr>
          <w:rFonts w:ascii="宋体" w:hAnsi="宋体" w:cs="宋体"/>
          <w:bCs/>
          <w:szCs w:val="21"/>
        </w:rPr>
      </w:pPr>
      <w:r>
        <w:rPr>
          <w:rFonts w:hint="eastAsia" w:ascii="宋体" w:hAnsi="宋体" w:cs="宋体"/>
          <w:bCs/>
          <w:szCs w:val="21"/>
        </w:rPr>
        <w:t>★2.6平台需支持千余家单位馆藏的联合目录查询。</w:t>
      </w:r>
    </w:p>
    <w:p w14:paraId="022ACD93">
      <w:pPr>
        <w:spacing w:line="400" w:lineRule="exact"/>
        <w:ind w:firstLine="420" w:firstLineChars="200"/>
        <w:rPr>
          <w:rFonts w:ascii="宋体" w:hAnsi="宋体" w:cs="宋体"/>
          <w:bCs/>
          <w:szCs w:val="21"/>
        </w:rPr>
      </w:pPr>
      <w:r>
        <w:rPr>
          <w:rFonts w:hint="eastAsia" w:ascii="宋体" w:hAnsi="宋体" w:cs="宋体"/>
          <w:bCs/>
          <w:szCs w:val="21"/>
        </w:rPr>
        <w:t>2.7平台支持纸质图书和电子图书统一检索，平台支持按照馆藏纸书和电子图书进行筛选。且针对图书的检索结果可按照类型、年代、学科、作者进行筛选。</w:t>
      </w:r>
    </w:p>
    <w:p w14:paraId="24B94604">
      <w:pPr>
        <w:spacing w:line="400" w:lineRule="exact"/>
        <w:ind w:firstLine="420" w:firstLineChars="200"/>
        <w:rPr>
          <w:rFonts w:ascii="宋体" w:hAnsi="宋体" w:cs="宋体"/>
          <w:bCs/>
          <w:szCs w:val="21"/>
        </w:rPr>
      </w:pPr>
      <w:r>
        <w:rPr>
          <w:rFonts w:hint="eastAsia" w:ascii="宋体" w:hAnsi="宋体" w:cs="宋体"/>
          <w:bCs/>
          <w:szCs w:val="21"/>
        </w:rPr>
        <w:t>★2.8平台可以提供图书试读功能，可以对封面页、前言页、目次页、版权页、正文部分页等进行试读。</w:t>
      </w:r>
    </w:p>
    <w:p w14:paraId="4D23FCC7">
      <w:pPr>
        <w:spacing w:line="400" w:lineRule="exact"/>
        <w:ind w:firstLine="420" w:firstLineChars="200"/>
        <w:rPr>
          <w:rFonts w:ascii="宋体" w:hAnsi="宋体" w:cs="宋体"/>
          <w:bCs/>
          <w:szCs w:val="21"/>
        </w:rPr>
      </w:pPr>
      <w:r>
        <w:rPr>
          <w:rFonts w:hint="eastAsia" w:ascii="宋体" w:hAnsi="宋体" w:cs="宋体"/>
          <w:bCs/>
          <w:szCs w:val="21"/>
        </w:rPr>
        <w:t>2.9平台需提供通过Email的方式向读者进行文献资源的传递服务，可提供文献传递服务的图书总量不低于349万种。</w:t>
      </w:r>
    </w:p>
    <w:p w14:paraId="037CF02F">
      <w:pPr>
        <w:spacing w:line="400" w:lineRule="exact"/>
        <w:ind w:firstLine="420" w:firstLineChars="200"/>
        <w:rPr>
          <w:rFonts w:ascii="宋体" w:hAnsi="宋体" w:cs="宋体"/>
          <w:bCs/>
          <w:szCs w:val="21"/>
        </w:rPr>
      </w:pPr>
      <w:r>
        <w:rPr>
          <w:rFonts w:hint="eastAsia" w:ascii="宋体" w:hAnsi="宋体" w:cs="宋体"/>
          <w:bCs/>
          <w:szCs w:val="21"/>
        </w:rPr>
        <w:t>2.10对于本馆没有的图书，需支持荐购功能，有关图书信息不需手动填写，系统自动填充。</w:t>
      </w:r>
    </w:p>
    <w:p w14:paraId="690F565C">
      <w:pPr>
        <w:spacing w:line="400" w:lineRule="exact"/>
        <w:ind w:firstLine="420" w:firstLineChars="200"/>
        <w:rPr>
          <w:rFonts w:ascii="宋体" w:hAnsi="宋体" w:cs="宋体"/>
          <w:bCs/>
          <w:szCs w:val="21"/>
        </w:rPr>
      </w:pPr>
      <w:r>
        <w:rPr>
          <w:rFonts w:hint="eastAsia" w:ascii="宋体" w:hAnsi="宋体" w:cs="宋体"/>
          <w:bCs/>
          <w:szCs w:val="21"/>
        </w:rPr>
        <w:t>2.11提供中外文词典翻译、同义词、相关词、共现词的提示。</w:t>
      </w:r>
    </w:p>
    <w:p w14:paraId="30DAA706">
      <w:pPr>
        <w:spacing w:line="400" w:lineRule="exact"/>
        <w:ind w:firstLine="420" w:firstLineChars="200"/>
        <w:rPr>
          <w:rFonts w:ascii="宋体" w:hAnsi="宋体" w:cs="宋体"/>
          <w:bCs/>
          <w:szCs w:val="21"/>
        </w:rPr>
      </w:pPr>
      <w:r>
        <w:rPr>
          <w:rFonts w:hint="eastAsia" w:ascii="宋体" w:hAnsi="宋体" w:cs="宋体"/>
          <w:bCs/>
          <w:szCs w:val="21"/>
        </w:rPr>
        <w:t>★2.12需要能查询到图书的被引用情况。提供100年来中文图书被引用情况的分析，尤其可对每种中文图书是否有被引用及具体的被引用情况进行查询，从而作为评价中文图书学术影响力的重要指标和依据。</w:t>
      </w:r>
    </w:p>
    <w:p w14:paraId="703A4E18">
      <w:pPr>
        <w:spacing w:line="400" w:lineRule="exact"/>
        <w:ind w:firstLine="420" w:firstLineChars="200"/>
        <w:rPr>
          <w:rFonts w:ascii="宋体" w:hAnsi="宋体" w:cs="宋体"/>
          <w:bCs/>
          <w:szCs w:val="21"/>
        </w:rPr>
      </w:pPr>
      <w:r>
        <w:rPr>
          <w:rFonts w:hint="eastAsia" w:ascii="宋体" w:hAnsi="宋体" w:cs="宋体"/>
          <w:bCs/>
          <w:szCs w:val="21"/>
        </w:rPr>
        <w:t>★2.13提供按主题对馆藏结构进行分析，提供全国图书馆纸本和电子本图书的收藏排行。</w:t>
      </w:r>
    </w:p>
    <w:p w14:paraId="3B264F95">
      <w:pPr>
        <w:spacing w:line="400" w:lineRule="exact"/>
        <w:ind w:firstLine="420" w:firstLineChars="200"/>
        <w:rPr>
          <w:rFonts w:ascii="宋体" w:hAnsi="宋体" w:cs="宋体"/>
          <w:bCs/>
          <w:szCs w:val="21"/>
        </w:rPr>
      </w:pPr>
      <w:r>
        <w:rPr>
          <w:rFonts w:hint="eastAsia" w:ascii="宋体" w:hAnsi="宋体" w:cs="宋体"/>
          <w:bCs/>
          <w:szCs w:val="21"/>
        </w:rPr>
        <w:t>3.售后服务</w:t>
      </w:r>
    </w:p>
    <w:p w14:paraId="501FBD60">
      <w:pPr>
        <w:spacing w:line="400" w:lineRule="exact"/>
        <w:ind w:firstLine="420" w:firstLineChars="200"/>
        <w:rPr>
          <w:rFonts w:ascii="宋体" w:hAnsi="宋体" w:cs="宋体"/>
          <w:bCs/>
          <w:szCs w:val="21"/>
        </w:rPr>
      </w:pPr>
      <w:r>
        <w:rPr>
          <w:rFonts w:hint="eastAsia" w:ascii="宋体" w:hAnsi="宋体" w:cs="宋体"/>
          <w:bCs/>
          <w:szCs w:val="21"/>
        </w:rPr>
        <w:t>3.1专业服务</w:t>
      </w:r>
      <w:r>
        <w:rPr>
          <w:rFonts w:hint="eastAsia" w:ascii="宋体" w:hAnsi="宋体" w:cs="宋体"/>
          <w:bCs/>
          <w:szCs w:val="21"/>
          <w:lang w:eastAsia="zh-CN"/>
        </w:rPr>
        <w:t>：</w:t>
      </w:r>
      <w:r>
        <w:rPr>
          <w:rFonts w:hint="eastAsia" w:ascii="宋体" w:hAnsi="宋体" w:cs="宋体"/>
          <w:bCs/>
          <w:szCs w:val="21"/>
        </w:rPr>
        <w:t>提供专业的文献资源服务方案，</w:t>
      </w:r>
      <w:r>
        <w:rPr>
          <w:rFonts w:hint="eastAsia" w:ascii="宋体" w:hAnsi="宋体" w:cs="宋体"/>
          <w:bCs/>
          <w:szCs w:val="21"/>
          <w:lang w:val="en-US" w:eastAsia="zh-CN"/>
        </w:rPr>
        <w:t>能够</w:t>
      </w:r>
      <w:r>
        <w:rPr>
          <w:rFonts w:hint="eastAsia" w:ascii="宋体" w:hAnsi="宋体" w:cs="宋体"/>
          <w:bCs/>
          <w:szCs w:val="21"/>
        </w:rPr>
        <w:t>辅助用户建立集成的知识服务体系。</w:t>
      </w:r>
    </w:p>
    <w:p w14:paraId="2ACB4192">
      <w:pPr>
        <w:spacing w:line="400" w:lineRule="exact"/>
        <w:ind w:firstLine="420" w:firstLineChars="200"/>
        <w:rPr>
          <w:rFonts w:ascii="宋体" w:hAnsi="宋体" w:cs="宋体"/>
          <w:bCs/>
          <w:szCs w:val="21"/>
        </w:rPr>
      </w:pPr>
      <w:r>
        <w:rPr>
          <w:rFonts w:hint="eastAsia" w:ascii="宋体" w:hAnsi="宋体" w:cs="宋体"/>
          <w:bCs/>
          <w:szCs w:val="21"/>
        </w:rPr>
        <w:t>3.2培训服务</w:t>
      </w:r>
      <w:r>
        <w:rPr>
          <w:rFonts w:hint="eastAsia" w:ascii="宋体" w:hAnsi="宋体" w:cs="宋体"/>
          <w:bCs/>
          <w:szCs w:val="21"/>
          <w:lang w:eastAsia="zh-CN"/>
        </w:rPr>
        <w:t>：</w:t>
      </w:r>
      <w:r>
        <w:rPr>
          <w:rFonts w:hint="eastAsia" w:ascii="宋体" w:hAnsi="宋体" w:cs="宋体"/>
          <w:bCs/>
          <w:szCs w:val="21"/>
        </w:rPr>
        <w:t>服务期内，</w:t>
      </w:r>
      <w:r>
        <w:rPr>
          <w:rFonts w:hint="eastAsia" w:ascii="宋体" w:hAnsi="宋体" w:cs="宋体"/>
          <w:szCs w:val="21"/>
          <w:lang w:eastAsia="zh-CN"/>
        </w:rPr>
        <w:t>无条件</w:t>
      </w:r>
      <w:r>
        <w:rPr>
          <w:rFonts w:hint="eastAsia" w:ascii="宋体" w:hAnsi="宋体" w:cs="宋体"/>
          <w:bCs/>
          <w:szCs w:val="21"/>
        </w:rPr>
        <w:t>提供数据库培训活动,一年内不少于2次，具体时间和形式由双方协商确认，以满足用户需求。</w:t>
      </w:r>
    </w:p>
    <w:p w14:paraId="3C49756E">
      <w:pPr>
        <w:spacing w:line="400" w:lineRule="exact"/>
        <w:ind w:firstLine="420" w:firstLineChars="200"/>
      </w:pPr>
      <w:r>
        <w:rPr>
          <w:rFonts w:hint="eastAsia" w:ascii="宋体" w:hAnsi="宋体" w:cs="宋体"/>
          <w:bCs/>
          <w:szCs w:val="21"/>
        </w:rPr>
        <w:t>3.3技术服务</w:t>
      </w:r>
      <w:r>
        <w:rPr>
          <w:rFonts w:hint="eastAsia" w:ascii="宋体" w:hAnsi="宋体" w:cs="宋体"/>
          <w:bCs/>
          <w:szCs w:val="21"/>
          <w:lang w:eastAsia="zh-CN"/>
        </w:rPr>
        <w:t>：</w:t>
      </w:r>
      <w:r>
        <w:rPr>
          <w:rFonts w:hint="eastAsia" w:ascii="宋体" w:hAnsi="宋体" w:cs="宋体"/>
          <w:bCs/>
          <w:szCs w:val="21"/>
        </w:rPr>
        <w:t>长期设置技术支持电话、E-mail、网上客服，接受用户技术支持请求，并帮助用户解决使用中的相关问题。</w:t>
      </w:r>
    </w:p>
    <w:p w14:paraId="428CA337">
      <w:pPr>
        <w:spacing w:line="400" w:lineRule="exact"/>
        <w:ind w:firstLine="420"/>
        <w:rPr>
          <w:rFonts w:hint="eastAsia" w:ascii="宋体" w:hAnsi="宋体" w:cs="宋体"/>
          <w:bCs/>
          <w:szCs w:val="21"/>
          <w:lang w:eastAsia="zh-CN"/>
        </w:rPr>
      </w:pPr>
      <w:r>
        <w:rPr>
          <w:rFonts w:hint="eastAsia" w:ascii="宋体" w:hAnsi="宋体" w:cs="宋体"/>
          <w:bCs/>
          <w:szCs w:val="21"/>
          <w:lang w:val="en-US" w:eastAsia="zh-CN"/>
        </w:rPr>
        <w:t>3.4</w:t>
      </w:r>
      <w:r>
        <w:rPr>
          <w:rFonts w:hint="eastAsia" w:ascii="宋体" w:hAnsi="宋体" w:cs="宋体"/>
          <w:bCs/>
          <w:szCs w:val="21"/>
        </w:rPr>
        <w:t>支持在校园IP范围内使用，支持CARSI等校外</w:t>
      </w:r>
      <w:r>
        <w:rPr>
          <w:rFonts w:hint="eastAsia" w:ascii="宋体" w:hAnsi="宋体" w:cs="宋体"/>
          <w:bCs/>
          <w:szCs w:val="21"/>
          <w:lang w:val="en-US" w:eastAsia="zh-CN"/>
        </w:rPr>
        <w:t>登录</w:t>
      </w:r>
      <w:r>
        <w:rPr>
          <w:rFonts w:hint="eastAsia" w:ascii="宋体" w:hAnsi="宋体" w:cs="宋体"/>
          <w:bCs/>
          <w:szCs w:val="21"/>
        </w:rPr>
        <w:t>访问</w:t>
      </w:r>
      <w:r>
        <w:rPr>
          <w:rFonts w:hint="eastAsia" w:ascii="宋体" w:hAnsi="宋体" w:cs="宋体"/>
          <w:bCs/>
          <w:szCs w:val="21"/>
          <w:lang w:eastAsia="zh-CN"/>
        </w:rPr>
        <w:t>，</w:t>
      </w:r>
      <w:r>
        <w:rPr>
          <w:rFonts w:hint="eastAsia" w:ascii="宋体" w:hAnsi="宋体" w:cs="宋体"/>
          <w:bCs/>
          <w:szCs w:val="21"/>
        </w:rPr>
        <w:t>服务模式以远程访问方式访问数据资源</w:t>
      </w:r>
      <w:r>
        <w:rPr>
          <w:rFonts w:hint="eastAsia" w:ascii="宋体" w:hAnsi="宋体" w:cs="宋体"/>
          <w:bCs/>
          <w:szCs w:val="21"/>
          <w:lang w:eastAsia="zh-CN"/>
        </w:rPr>
        <w:t>。</w:t>
      </w:r>
    </w:p>
    <w:p w14:paraId="7E9D3C69">
      <w:pPr>
        <w:spacing w:line="400" w:lineRule="exact"/>
        <w:ind w:firstLine="420" w:firstLineChars="200"/>
        <w:rPr>
          <w:rFonts w:hint="eastAsia" w:ascii="宋体" w:hAnsi="宋体" w:cs="宋体"/>
          <w:bCs/>
          <w:szCs w:val="21"/>
        </w:rPr>
      </w:pPr>
      <w:r>
        <w:rPr>
          <w:rFonts w:hint="eastAsia" w:ascii="宋体" w:hAnsi="宋体" w:cs="宋体"/>
          <w:bCs/>
          <w:szCs w:val="21"/>
          <w:lang w:val="en-US" w:eastAsia="zh-CN"/>
        </w:rPr>
        <w:t>3.5</w:t>
      </w:r>
      <w:r>
        <w:rPr>
          <w:rFonts w:hint="eastAsia" w:ascii="宋体" w:hAnsi="宋体" w:cs="宋体"/>
          <w:bCs/>
          <w:szCs w:val="21"/>
        </w:rPr>
        <w:t>使用统计报告：定期提供数据库使用统计，以帮助用户了解和评估使用情况及效果。</w:t>
      </w:r>
    </w:p>
    <w:p w14:paraId="7F9D6930">
      <w:pPr>
        <w:numPr>
          <w:ilvl w:val="0"/>
          <w:numId w:val="0"/>
        </w:numPr>
        <w:spacing w:line="400" w:lineRule="exact"/>
        <w:ind w:firstLine="420" w:firstLineChars="200"/>
        <w:rPr>
          <w:rFonts w:hint="eastAsia" w:ascii="宋体" w:hAnsi="宋体" w:cs="宋体"/>
          <w:bCs/>
          <w:szCs w:val="21"/>
        </w:rPr>
        <w:sectPr>
          <w:headerReference r:id="rId7" w:type="default"/>
          <w:footerReference r:id="rId8" w:type="default"/>
          <w:pgSz w:w="11905" w:h="16838"/>
          <w:pgMar w:top="1474" w:right="1474" w:bottom="1474" w:left="1474" w:header="907" w:footer="850" w:gutter="0"/>
          <w:pgBorders>
            <w:top w:val="none" w:sz="0" w:space="0"/>
            <w:left w:val="none" w:sz="0" w:space="0"/>
            <w:bottom w:val="none" w:sz="0" w:space="0"/>
            <w:right w:val="none" w:sz="0" w:space="0"/>
          </w:pgBorders>
          <w:pgNumType w:start="1"/>
          <w:cols w:space="0" w:num="1"/>
          <w:docGrid w:type="lines" w:linePitch="289" w:charSpace="0"/>
        </w:sectPr>
      </w:pPr>
      <w:r>
        <w:rPr>
          <w:rFonts w:hint="eastAsia" w:ascii="宋体" w:hAnsi="宋体" w:cs="宋体"/>
          <w:bCs/>
          <w:szCs w:val="21"/>
          <w:lang w:val="en-US" w:eastAsia="zh-CN"/>
        </w:rPr>
        <w:t>4</w:t>
      </w:r>
      <w:r>
        <w:rPr>
          <w:rFonts w:hint="eastAsia" w:ascii="宋体" w:hAnsi="宋体" w:eastAsia="宋体" w:cs="宋体"/>
          <w:bCs/>
          <w:kern w:val="2"/>
          <w:sz w:val="21"/>
          <w:szCs w:val="21"/>
          <w:lang w:val="en-US" w:eastAsia="zh-CN" w:bidi="ar-SA"/>
        </w:rPr>
        <w:t>.</w:t>
      </w:r>
      <w:r>
        <w:rPr>
          <w:rFonts w:hint="eastAsia" w:ascii="宋体" w:hAnsi="宋体" w:cs="宋体"/>
          <w:bCs/>
          <w:szCs w:val="21"/>
        </w:rPr>
        <w:t>服务期限：2026年1月1日至2026年12月31日。</w:t>
      </w:r>
    </w:p>
    <w:p w14:paraId="5B68561C">
      <w:pPr>
        <w:numPr>
          <w:ilvl w:val="0"/>
          <w:numId w:val="0"/>
        </w:numPr>
        <w:spacing w:line="400" w:lineRule="exact"/>
        <w:ind w:firstLine="422" w:firstLineChars="200"/>
        <w:rPr>
          <w:rFonts w:ascii="宋体" w:hAnsi="宋体" w:cs="宋体"/>
          <w:b/>
          <w:szCs w:val="21"/>
        </w:rPr>
      </w:pPr>
      <w:r>
        <w:rPr>
          <w:rFonts w:hint="eastAsia" w:ascii="宋体" w:hAnsi="宋体" w:cs="宋体"/>
          <w:b/>
          <w:bCs/>
          <w:szCs w:val="21"/>
        </w:rPr>
        <w:t>标项</w:t>
      </w:r>
      <w:r>
        <w:rPr>
          <w:rFonts w:hint="eastAsia" w:ascii="宋体" w:hAnsi="宋体" w:cs="宋体"/>
          <w:b/>
          <w:szCs w:val="21"/>
        </w:rPr>
        <w:t>六（Springer期刊）：</w:t>
      </w:r>
    </w:p>
    <w:p w14:paraId="06B3FD98">
      <w:pPr>
        <w:numPr>
          <w:ilvl w:val="0"/>
          <w:numId w:val="0"/>
        </w:num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lang w:val="en-US" w:eastAsia="zh-CN"/>
        </w:rPr>
        <w:t>1.内容范围：</w:t>
      </w:r>
      <w:r>
        <w:rPr>
          <w:rFonts w:hint="eastAsia" w:ascii="宋体" w:hAnsi="宋体" w:eastAsia="宋体" w:cs="宋体"/>
          <w:i w:val="0"/>
          <w:iCs w:val="0"/>
          <w:caps w:val="0"/>
          <w:color w:val="080808"/>
          <w:spacing w:val="0"/>
          <w:sz w:val="21"/>
          <w:szCs w:val="21"/>
          <w:shd w:val="clear" w:fill="FFFFFF"/>
        </w:rPr>
        <w:t>覆盖SpringerLink平台全部期刊</w:t>
      </w:r>
      <w:r>
        <w:rPr>
          <w:rFonts w:hint="eastAsia" w:ascii="宋体" w:hAnsi="宋体" w:eastAsia="宋体" w:cs="宋体"/>
          <w:i w:val="0"/>
          <w:iCs w:val="0"/>
          <w:caps w:val="0"/>
          <w:color w:val="080808"/>
          <w:spacing w:val="0"/>
          <w:sz w:val="21"/>
          <w:szCs w:val="21"/>
          <w:shd w:val="clear" w:fill="FFFFFF"/>
          <w:lang w:eastAsia="zh-CN"/>
        </w:rPr>
        <w:t>，</w:t>
      </w:r>
      <w:r>
        <w:rPr>
          <w:rFonts w:hint="eastAsia" w:ascii="宋体" w:hAnsi="宋体" w:eastAsia="宋体" w:cs="宋体"/>
          <w:bCs/>
          <w:szCs w:val="21"/>
        </w:rPr>
        <w:t>涵盖行为科学、生物医学和生命科学、商学和经济学、化学和材料科学、计算机科学、地球和环境科学、工程学、人文社科和法律、数学和统计学、医学、物理学和天文学等11个学科领域。</w:t>
      </w:r>
    </w:p>
    <w:p w14:paraId="4114A462">
      <w:pPr>
        <w:numPr>
          <w:ilvl w:val="0"/>
          <w:numId w:val="0"/>
        </w:num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Springer Nature集团是一家全球领先的从事科研、教育和专业出版的机构</w:t>
      </w:r>
      <w:r>
        <w:rPr>
          <w:rFonts w:hint="eastAsia" w:ascii="宋体" w:hAnsi="宋体" w:eastAsia="宋体" w:cs="宋体"/>
          <w:bCs/>
          <w:szCs w:val="21"/>
          <w:lang w:eastAsia="zh-CN"/>
        </w:rPr>
        <w:t>，</w:t>
      </w:r>
      <w:r>
        <w:rPr>
          <w:rFonts w:hint="eastAsia" w:ascii="宋体" w:hAnsi="宋体" w:eastAsia="宋体" w:cs="宋体"/>
          <w:bCs/>
          <w:szCs w:val="21"/>
          <w:lang w:val="en-US" w:eastAsia="zh-CN"/>
        </w:rPr>
        <w:t>每年出版期刊超过2000种，其中SLCC集团客户可以访问约1900余种期刊</w:t>
      </w:r>
      <w:r>
        <w:rPr>
          <w:rFonts w:hint="eastAsia" w:ascii="宋体" w:hAnsi="宋体" w:eastAsia="宋体" w:cs="宋体"/>
          <w:bCs/>
          <w:szCs w:val="21"/>
        </w:rPr>
        <w:t>。</w:t>
      </w:r>
    </w:p>
    <w:p w14:paraId="792EF379">
      <w:pPr>
        <w:numPr>
          <w:ilvl w:val="0"/>
          <w:numId w:val="0"/>
        </w:numPr>
        <w:spacing w:line="40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val="en-US" w:eastAsia="zh-CN"/>
        </w:rPr>
        <w:t>3.</w:t>
      </w:r>
      <w:r>
        <w:rPr>
          <w:rFonts w:hint="eastAsia" w:ascii="宋体" w:hAnsi="宋体" w:eastAsia="宋体" w:cs="宋体"/>
          <w:bCs/>
          <w:szCs w:val="21"/>
        </w:rPr>
        <w:t>收录数据类型为期刊全文，数据实时更新</w:t>
      </w:r>
      <w:r>
        <w:rPr>
          <w:rFonts w:hint="eastAsia" w:ascii="宋体" w:hAnsi="宋体" w:eastAsia="宋体" w:cs="宋体"/>
          <w:bCs/>
          <w:szCs w:val="21"/>
          <w:lang w:eastAsia="zh-CN"/>
        </w:rPr>
        <w:t>。</w:t>
      </w:r>
    </w:p>
    <w:p w14:paraId="7B00407C">
      <w:pPr>
        <w:numPr>
          <w:ilvl w:val="0"/>
          <w:numId w:val="0"/>
        </w:numPr>
        <w:spacing w:line="40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val="en-US" w:eastAsia="zh-CN"/>
        </w:rPr>
        <w:t>4.</w:t>
      </w:r>
      <w:r>
        <w:rPr>
          <w:rFonts w:hint="eastAsia" w:ascii="宋体" w:hAnsi="宋体" w:eastAsia="宋体" w:cs="宋体"/>
          <w:bCs/>
          <w:szCs w:val="21"/>
        </w:rPr>
        <w:t>定期提供符合COUNTER标准的使用报告</w:t>
      </w:r>
      <w:r>
        <w:rPr>
          <w:rFonts w:hint="eastAsia" w:ascii="宋体" w:hAnsi="宋体" w:eastAsia="宋体" w:cs="宋体"/>
          <w:bCs/>
          <w:szCs w:val="21"/>
          <w:lang w:eastAsia="zh-CN"/>
        </w:rPr>
        <w:t>。</w:t>
      </w:r>
    </w:p>
    <w:p w14:paraId="422E350A">
      <w:pPr>
        <w:numPr>
          <w:ilvl w:val="0"/>
          <w:numId w:val="0"/>
        </w:num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rPr>
        <w:t>支持在校园IP范围内使用，支持</w:t>
      </w:r>
      <w:r>
        <w:rPr>
          <w:rFonts w:hint="eastAsia" w:ascii="宋体" w:hAnsi="宋体" w:eastAsia="宋体" w:cs="宋体"/>
          <w:bCs/>
          <w:szCs w:val="21"/>
          <w:lang w:val="en-US" w:eastAsia="zh-CN"/>
        </w:rPr>
        <w:t>VPN、</w:t>
      </w:r>
      <w:r>
        <w:rPr>
          <w:rFonts w:hint="eastAsia" w:ascii="宋体" w:hAnsi="宋体" w:eastAsia="宋体" w:cs="宋体"/>
          <w:bCs/>
          <w:szCs w:val="21"/>
        </w:rPr>
        <w:t>CARSI等校外</w:t>
      </w:r>
      <w:r>
        <w:rPr>
          <w:rFonts w:hint="eastAsia" w:ascii="宋体" w:hAnsi="宋体" w:eastAsia="宋体" w:cs="宋体"/>
          <w:bCs/>
          <w:szCs w:val="21"/>
          <w:lang w:val="en-US" w:eastAsia="zh-CN"/>
        </w:rPr>
        <w:t>登录</w:t>
      </w:r>
      <w:r>
        <w:rPr>
          <w:rFonts w:hint="eastAsia" w:ascii="宋体" w:hAnsi="宋体" w:eastAsia="宋体" w:cs="宋体"/>
          <w:bCs/>
          <w:szCs w:val="21"/>
        </w:rPr>
        <w:t>访问</w:t>
      </w:r>
      <w:r>
        <w:rPr>
          <w:rFonts w:hint="eastAsia" w:ascii="宋体" w:hAnsi="宋体" w:eastAsia="宋体" w:cs="宋体"/>
          <w:bCs/>
          <w:szCs w:val="21"/>
          <w:lang w:eastAsia="zh-CN"/>
        </w:rPr>
        <w:t>，</w:t>
      </w:r>
      <w:r>
        <w:rPr>
          <w:rFonts w:hint="eastAsia" w:ascii="宋体" w:hAnsi="宋体" w:eastAsia="宋体" w:cs="宋体"/>
          <w:bCs/>
          <w:szCs w:val="21"/>
        </w:rPr>
        <w:t>服务模式以远程访问方式访问数据资源，无并发用户限制。</w:t>
      </w:r>
    </w:p>
    <w:p w14:paraId="0C8EC94B">
      <w:pPr>
        <w:numPr>
          <w:ilvl w:val="0"/>
          <w:numId w:val="0"/>
        </w:num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lang w:val="en-US" w:eastAsia="zh-CN"/>
        </w:rPr>
        <w:t>6.</w:t>
      </w:r>
      <w:r>
        <w:rPr>
          <w:rFonts w:hint="eastAsia" w:ascii="宋体" w:hAnsi="宋体" w:eastAsia="宋体" w:cs="宋体"/>
          <w:bCs/>
          <w:szCs w:val="21"/>
        </w:rPr>
        <w:t>供应商负责向采购</w:t>
      </w:r>
      <w:r>
        <w:rPr>
          <w:rFonts w:hint="eastAsia" w:ascii="宋体" w:hAnsi="宋体" w:eastAsia="宋体" w:cs="宋体"/>
          <w:bCs/>
          <w:szCs w:val="21"/>
          <w:lang w:eastAsia="zh-CN"/>
        </w:rPr>
        <w:t>人</w:t>
      </w:r>
      <w:r>
        <w:rPr>
          <w:rFonts w:hint="eastAsia" w:ascii="宋体" w:hAnsi="宋体" w:eastAsia="宋体" w:cs="宋体"/>
          <w:bCs/>
          <w:szCs w:val="21"/>
        </w:rPr>
        <w:t>提供网络、电话及EMAIL支持服务，响应时间不超过1小时，以保证数据库产品的正常使用；若远程支持无法解决问题的，供应商须承诺24小时内上门服务，3天内解决。</w:t>
      </w:r>
    </w:p>
    <w:p w14:paraId="6ED5D0A5">
      <w:pPr>
        <w:numPr>
          <w:ilvl w:val="0"/>
          <w:numId w:val="0"/>
        </w:num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lang w:val="en-US" w:eastAsia="zh-CN"/>
        </w:rPr>
        <w:t>7.</w:t>
      </w:r>
      <w:r>
        <w:rPr>
          <w:rFonts w:hint="eastAsia" w:ascii="宋体" w:hAnsi="宋体" w:eastAsia="宋体" w:cs="宋体"/>
          <w:bCs/>
          <w:szCs w:val="21"/>
        </w:rPr>
        <w:t>服务期内，配合</w:t>
      </w:r>
      <w:r>
        <w:rPr>
          <w:rFonts w:hint="eastAsia" w:ascii="宋体" w:hAnsi="宋体" w:eastAsia="宋体" w:cs="宋体"/>
          <w:bCs/>
          <w:szCs w:val="21"/>
          <w:lang w:eastAsia="zh-CN"/>
        </w:rPr>
        <w:t>采购人</w:t>
      </w:r>
      <w:r>
        <w:rPr>
          <w:rFonts w:hint="eastAsia" w:ascii="宋体" w:hAnsi="宋体" w:eastAsia="宋体" w:cs="宋体"/>
          <w:bCs/>
          <w:szCs w:val="21"/>
          <w:lang w:val="en-US" w:eastAsia="zh-CN"/>
        </w:rPr>
        <w:t>无条件</w:t>
      </w:r>
      <w:r>
        <w:rPr>
          <w:rFonts w:hint="eastAsia" w:ascii="宋体" w:hAnsi="宋体" w:eastAsia="宋体" w:cs="宋体"/>
          <w:bCs/>
          <w:szCs w:val="21"/>
        </w:rPr>
        <w:t>提供数据库培训等活动一年内不少于2次，具体时间和形式，双方协商确认。</w:t>
      </w:r>
    </w:p>
    <w:p w14:paraId="6C1778AA">
      <w:pPr>
        <w:numPr>
          <w:ilvl w:val="0"/>
          <w:numId w:val="0"/>
        </w:numPr>
        <w:spacing w:line="400" w:lineRule="exact"/>
        <w:ind w:firstLine="420" w:firstLineChars="200"/>
        <w:rPr>
          <w:rFonts w:hint="eastAsia" w:ascii="宋体" w:hAnsi="宋体" w:cs="宋体"/>
          <w:bCs/>
          <w:szCs w:val="21"/>
        </w:rPr>
      </w:pPr>
      <w:r>
        <w:rPr>
          <w:rFonts w:hint="eastAsia" w:ascii="宋体" w:hAnsi="宋体" w:eastAsia="宋体" w:cs="宋体"/>
          <w:bCs/>
          <w:szCs w:val="21"/>
          <w:lang w:val="en-US" w:eastAsia="zh-CN"/>
        </w:rPr>
        <w:t>8.</w:t>
      </w:r>
      <w:r>
        <w:rPr>
          <w:rFonts w:hint="eastAsia" w:ascii="宋体" w:hAnsi="宋体" w:eastAsia="宋体" w:cs="宋体"/>
          <w:bCs/>
          <w:szCs w:val="21"/>
        </w:rPr>
        <w:t>服务期限：2026年1月1日至2026年12月31日。</w:t>
      </w:r>
    </w:p>
    <w:p w14:paraId="74562DB5">
      <w:pPr>
        <w:numPr>
          <w:ilvl w:val="0"/>
          <w:numId w:val="0"/>
        </w:numPr>
        <w:spacing w:line="400" w:lineRule="exact"/>
        <w:ind w:firstLine="420" w:firstLineChars="200"/>
        <w:rPr>
          <w:rFonts w:hint="eastAsia" w:ascii="宋体" w:hAnsi="宋体" w:cs="宋体"/>
          <w:bCs/>
          <w:szCs w:val="21"/>
        </w:rPr>
      </w:pPr>
      <w:r>
        <w:rPr>
          <w:rFonts w:hint="eastAsia" w:ascii="宋体" w:hAnsi="宋体" w:cs="宋体"/>
          <w:bCs/>
          <w:szCs w:val="21"/>
        </w:rPr>
        <w:br w:type="page"/>
      </w:r>
    </w:p>
    <w:p w14:paraId="3C2A16CD">
      <w:pPr>
        <w:spacing w:line="400" w:lineRule="exact"/>
        <w:ind w:firstLine="422" w:firstLineChars="200"/>
        <w:rPr>
          <w:rFonts w:ascii="宋体" w:hAnsi="宋体" w:cs="宋体"/>
          <w:szCs w:val="21"/>
        </w:rPr>
      </w:pPr>
      <w:r>
        <w:rPr>
          <w:rFonts w:hint="eastAsia" w:ascii="宋体" w:hAnsi="宋体" w:cs="宋体"/>
          <w:b/>
          <w:szCs w:val="21"/>
        </w:rPr>
        <w:t>标项七（SCOPUS）：</w:t>
      </w:r>
    </w:p>
    <w:p w14:paraId="6EC3B056">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要求是</w:t>
      </w:r>
      <w:r>
        <w:rPr>
          <w:rFonts w:hint="eastAsia" w:ascii="宋体" w:hAnsi="宋体" w:cs="宋体"/>
          <w:bCs/>
          <w:szCs w:val="21"/>
        </w:rPr>
        <w:t>爱思唯尔</w:t>
      </w:r>
      <w:r>
        <w:rPr>
          <w:rFonts w:hint="eastAsia" w:ascii="宋体" w:hAnsi="宋体" w:cs="宋体"/>
          <w:bCs/>
          <w:szCs w:val="21"/>
          <w:lang w:val="en-US" w:eastAsia="zh-CN"/>
        </w:rPr>
        <w:t>推出的产品，</w:t>
      </w:r>
      <w:r>
        <w:rPr>
          <w:rFonts w:hint="eastAsia" w:ascii="宋体" w:hAnsi="宋体" w:cs="宋体"/>
          <w:bCs/>
          <w:szCs w:val="21"/>
        </w:rPr>
        <w:t>目前全球领先的同行评议内容学术论文摘要和引文数据库。</w:t>
      </w:r>
      <w:r>
        <w:rPr>
          <w:rFonts w:hint="eastAsia" w:ascii="宋体" w:hAnsi="宋体" w:cs="宋体"/>
          <w:bCs/>
          <w:szCs w:val="21"/>
          <w:lang w:val="en-US" w:eastAsia="zh-CN"/>
        </w:rPr>
        <w:t>需</w:t>
      </w:r>
      <w:r>
        <w:rPr>
          <w:rFonts w:hint="eastAsia" w:ascii="宋体" w:hAnsi="宋体" w:cs="宋体"/>
          <w:bCs/>
          <w:szCs w:val="21"/>
        </w:rPr>
        <w:t>收录1788年以来由7000多家出版商出版的28000多种期刊，1600多万篇会议论文，约38万本全球重要学术专著；覆盖自然科学、医学、社会科学、生命科学四个大类，27个大学科，334个小学科。截至2024年12月，收录的摘要和题录信息超过9800万条。数据每日更新</w:t>
      </w:r>
      <w:r>
        <w:rPr>
          <w:rFonts w:hint="eastAsia" w:ascii="宋体" w:hAnsi="宋体" w:cs="宋体"/>
          <w:bCs/>
          <w:szCs w:val="21"/>
          <w:lang w:eastAsia="zh-CN"/>
        </w:rPr>
        <w:t>。</w:t>
      </w:r>
    </w:p>
    <w:p w14:paraId="7328B65C">
      <w:pPr>
        <w:spacing w:line="400" w:lineRule="exact"/>
        <w:ind w:firstLine="420" w:firstLineChars="200"/>
        <w:rPr>
          <w:rFonts w:ascii="宋体" w:hAnsi="宋体" w:cs="宋体"/>
          <w:bCs/>
          <w:szCs w:val="21"/>
        </w:rPr>
      </w:pPr>
      <w:r>
        <w:rPr>
          <w:rFonts w:hint="eastAsia" w:ascii="宋体" w:hAnsi="宋体" w:cs="宋体"/>
          <w:bCs/>
          <w:szCs w:val="21"/>
        </w:rPr>
        <w:t>2.资源检索系统与功能：平台可进行作者检索、机构检索、高级检索等多种途径检索。可浏览文摘、参考文献和施引文献信息以及引用等指标信息。</w:t>
      </w:r>
    </w:p>
    <w:p w14:paraId="23E7DD3D">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3.开放访问权限，</w:t>
      </w:r>
      <w:r>
        <w:rPr>
          <w:rFonts w:hint="eastAsia" w:ascii="宋体" w:hAnsi="宋体" w:cs="宋体"/>
          <w:bCs/>
          <w:szCs w:val="21"/>
          <w:lang w:val="en-US" w:eastAsia="zh-CN"/>
        </w:rPr>
        <w:t>校园</w:t>
      </w:r>
      <w:r>
        <w:rPr>
          <w:rFonts w:hint="eastAsia" w:ascii="宋体" w:hAnsi="宋体" w:cs="宋体"/>
          <w:bCs/>
          <w:szCs w:val="21"/>
        </w:rPr>
        <w:t>IP范围，支持</w:t>
      </w:r>
      <w:r>
        <w:rPr>
          <w:rFonts w:hint="eastAsia" w:ascii="宋体" w:hAnsi="宋体" w:cs="宋体"/>
          <w:bCs/>
          <w:szCs w:val="21"/>
          <w:lang w:val="en-US" w:eastAsia="zh-CN"/>
        </w:rPr>
        <w:t>VPN、</w:t>
      </w:r>
      <w:r>
        <w:rPr>
          <w:rFonts w:hint="eastAsia" w:ascii="宋体" w:hAnsi="宋体" w:cs="宋体"/>
          <w:bCs/>
          <w:szCs w:val="21"/>
        </w:rPr>
        <w:t>CARSI等校外</w:t>
      </w:r>
      <w:r>
        <w:rPr>
          <w:rFonts w:hint="eastAsia" w:ascii="宋体" w:hAnsi="宋体" w:cs="宋体"/>
          <w:bCs/>
          <w:szCs w:val="21"/>
          <w:lang w:val="en-US" w:eastAsia="zh-CN"/>
        </w:rPr>
        <w:t>登录</w:t>
      </w:r>
      <w:r>
        <w:rPr>
          <w:rFonts w:hint="eastAsia" w:ascii="宋体" w:hAnsi="宋体" w:cs="宋体"/>
          <w:bCs/>
          <w:szCs w:val="21"/>
        </w:rPr>
        <w:t>访问</w:t>
      </w:r>
      <w:r>
        <w:rPr>
          <w:rFonts w:hint="eastAsia" w:ascii="宋体" w:hAnsi="宋体" w:cs="宋体"/>
          <w:szCs w:val="21"/>
          <w:lang w:eastAsia="zh-CN"/>
        </w:rPr>
        <w:t>，</w:t>
      </w:r>
      <w:r>
        <w:rPr>
          <w:rFonts w:hint="eastAsia" w:ascii="宋体" w:hAnsi="宋体" w:cs="宋体"/>
          <w:bCs/>
          <w:szCs w:val="21"/>
        </w:rPr>
        <w:t>实现无障碍访问，</w:t>
      </w:r>
      <w:r>
        <w:rPr>
          <w:rFonts w:hint="eastAsia" w:ascii="宋体" w:hAnsi="宋体" w:cs="宋体"/>
          <w:bCs/>
          <w:szCs w:val="21"/>
          <w:lang w:val="en-US" w:eastAsia="zh-CN"/>
        </w:rPr>
        <w:t>无</w:t>
      </w:r>
      <w:r>
        <w:rPr>
          <w:rFonts w:hint="eastAsia" w:ascii="宋体" w:hAnsi="宋体" w:cs="宋体"/>
          <w:bCs/>
          <w:szCs w:val="21"/>
        </w:rPr>
        <w:t>并发数限制</w:t>
      </w:r>
      <w:r>
        <w:rPr>
          <w:rFonts w:hint="eastAsia" w:ascii="宋体" w:hAnsi="宋体" w:cs="宋体"/>
          <w:bCs/>
          <w:szCs w:val="21"/>
          <w:lang w:eastAsia="zh-CN"/>
        </w:rPr>
        <w:t>。</w:t>
      </w:r>
    </w:p>
    <w:p w14:paraId="78F11579">
      <w:pPr>
        <w:spacing w:line="400" w:lineRule="exact"/>
        <w:ind w:firstLine="420" w:firstLineChars="200"/>
        <w:rPr>
          <w:rFonts w:hint="eastAsia" w:ascii="宋体" w:hAnsi="宋体" w:cs="宋体"/>
          <w:bCs/>
          <w:szCs w:val="21"/>
        </w:rPr>
      </w:pPr>
      <w:r>
        <w:rPr>
          <w:rFonts w:hint="eastAsia" w:ascii="宋体" w:hAnsi="宋体" w:cs="宋体"/>
          <w:bCs/>
          <w:szCs w:val="21"/>
        </w:rPr>
        <w:t>4.其他服务：提供专业培训和用量统计报告。</w:t>
      </w:r>
    </w:p>
    <w:p w14:paraId="1EC2D9F4">
      <w:pPr>
        <w:spacing w:line="400" w:lineRule="exact"/>
        <w:ind w:firstLine="420" w:firstLineChars="200"/>
        <w:rPr>
          <w:rFonts w:hint="eastAsia"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服务期内，配合</w:t>
      </w:r>
      <w:r>
        <w:rPr>
          <w:rFonts w:hint="eastAsia" w:ascii="宋体" w:hAnsi="宋体" w:cs="宋体"/>
          <w:bCs/>
          <w:szCs w:val="21"/>
          <w:lang w:eastAsia="zh-CN"/>
        </w:rPr>
        <w:t>采购人</w:t>
      </w:r>
      <w:r>
        <w:rPr>
          <w:rFonts w:hint="eastAsia" w:ascii="宋体" w:hAnsi="宋体" w:cs="宋体"/>
          <w:bCs/>
          <w:szCs w:val="21"/>
          <w:lang w:val="en-US" w:eastAsia="zh-CN"/>
        </w:rPr>
        <w:t>无条件</w:t>
      </w:r>
      <w:r>
        <w:rPr>
          <w:rFonts w:hint="eastAsia" w:ascii="宋体" w:hAnsi="宋体" w:cs="宋体"/>
          <w:bCs/>
          <w:szCs w:val="21"/>
        </w:rPr>
        <w:t>提供数据库培训等活动一年内不少于2次，具体时间和形式，双方协商确认。</w:t>
      </w:r>
    </w:p>
    <w:p w14:paraId="1AFD2AB5">
      <w:pPr>
        <w:spacing w:line="400" w:lineRule="exact"/>
        <w:ind w:firstLine="420"/>
        <w:rPr>
          <w:rFonts w:hint="eastAsia" w:ascii="宋体" w:hAnsi="宋体" w:cs="宋体"/>
          <w:bCs/>
          <w:szCs w:val="21"/>
          <w:lang w:val="en-US" w:eastAsia="zh-CN"/>
        </w:rPr>
      </w:pPr>
      <w:r>
        <w:rPr>
          <w:rFonts w:hint="eastAsia" w:ascii="宋体" w:hAnsi="宋体" w:cs="宋体"/>
          <w:bCs/>
          <w:szCs w:val="21"/>
          <w:lang w:val="en-US" w:eastAsia="zh-CN"/>
        </w:rPr>
        <w:t>6.供应商负责向采购人提供网络、电话及EMAIL支持服务，响应时间不超过1小时，以保证数据库产品的正常使用；若远程支持无法解决问题的，供应商须承诺24小时内上门服务，3天内解决。</w:t>
      </w:r>
    </w:p>
    <w:p w14:paraId="5E3017EB">
      <w:pPr>
        <w:spacing w:line="400" w:lineRule="exact"/>
        <w:ind w:firstLine="420" w:firstLineChars="200"/>
        <w:rPr>
          <w:rFonts w:hint="eastAsia" w:ascii="宋体" w:hAnsi="宋体" w:cs="宋体"/>
          <w:bCs/>
          <w:szCs w:val="21"/>
        </w:rPr>
      </w:pPr>
      <w:r>
        <w:rPr>
          <w:rFonts w:hint="eastAsia" w:ascii="宋体" w:hAnsi="宋体" w:cs="宋体"/>
          <w:bCs/>
          <w:szCs w:val="21"/>
          <w:lang w:val="en-US" w:eastAsia="zh-CN"/>
        </w:rPr>
        <w:t>7</w:t>
      </w:r>
      <w:r>
        <w:rPr>
          <w:rFonts w:hint="eastAsia" w:ascii="宋体" w:hAnsi="宋体" w:cs="宋体"/>
          <w:bCs/>
          <w:szCs w:val="21"/>
        </w:rPr>
        <w:t>.服务期限：2026年1月1日至2026年12月31日。</w:t>
      </w:r>
    </w:p>
    <w:p w14:paraId="528260D7">
      <w:pPr>
        <w:spacing w:line="400" w:lineRule="exact"/>
        <w:rPr>
          <w:rFonts w:ascii="宋体" w:hAnsi="宋体" w:cs="宋体"/>
          <w:b/>
          <w:szCs w:val="21"/>
        </w:rPr>
      </w:pPr>
      <w:r>
        <w:rPr>
          <w:rFonts w:hint="eastAsia" w:ascii="宋体" w:hAnsi="宋体" w:cs="宋体"/>
          <w:b w:val="0"/>
          <w:bCs/>
          <w:szCs w:val="21"/>
        </w:rPr>
        <w:br w:type="page"/>
      </w:r>
      <w:r>
        <w:rPr>
          <w:rFonts w:hint="eastAsia" w:ascii="宋体" w:hAnsi="宋体" w:cs="宋体"/>
          <w:b/>
          <w:szCs w:val="21"/>
        </w:rPr>
        <w:t xml:space="preserve">    标项八（EBSCO主题数据库）：</w:t>
      </w:r>
    </w:p>
    <w:p w14:paraId="69C19E2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w:t>
      </w:r>
      <w:r>
        <w:rPr>
          <w:rFonts w:hint="eastAsia" w:ascii="宋体" w:hAnsi="宋体" w:cs="宋体"/>
          <w:bCs/>
          <w:szCs w:val="21"/>
          <w:lang w:val="en-US" w:eastAsia="zh-CN"/>
        </w:rPr>
        <w:t>校园</w:t>
      </w:r>
      <w:r>
        <w:rPr>
          <w:rFonts w:hint="eastAsia" w:ascii="宋体" w:hAnsi="宋体" w:cs="宋体"/>
          <w:bCs/>
          <w:szCs w:val="21"/>
        </w:rPr>
        <w:t>IP范围内直接登录访问，IP范围外支持持证读者通过VPN、SSO单点登录访问。</w:t>
      </w:r>
    </w:p>
    <w:p w14:paraId="15481D06">
      <w:pPr>
        <w:spacing w:line="400" w:lineRule="exact"/>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访问方式</w:t>
      </w:r>
      <w:r>
        <w:rPr>
          <w:rFonts w:hint="eastAsia" w:ascii="宋体" w:hAnsi="宋体" w:cs="宋体"/>
          <w:bCs/>
          <w:szCs w:val="21"/>
        </w:rPr>
        <w:t>：在线</w:t>
      </w:r>
      <w:r>
        <w:rPr>
          <w:rFonts w:hint="eastAsia" w:ascii="宋体" w:hAnsi="宋体" w:cs="宋体"/>
          <w:bCs/>
          <w:szCs w:val="21"/>
          <w:lang w:val="en-US" w:eastAsia="zh-CN"/>
        </w:rPr>
        <w:t>访问</w:t>
      </w:r>
      <w:r>
        <w:rPr>
          <w:rFonts w:hint="eastAsia" w:ascii="宋体" w:hAnsi="宋体" w:cs="宋体"/>
          <w:bCs/>
          <w:szCs w:val="21"/>
          <w:lang w:eastAsia="zh-CN"/>
        </w:rPr>
        <w:t>。</w:t>
      </w:r>
    </w:p>
    <w:p w14:paraId="1074C4E4">
      <w:pPr>
        <w:spacing w:line="400" w:lineRule="exact"/>
        <w:ind w:firstLine="420" w:firstLineChars="200"/>
        <w:rPr>
          <w:rFonts w:ascii="宋体" w:hAnsi="宋体" w:cs="宋体"/>
          <w:bCs/>
          <w:szCs w:val="21"/>
        </w:rPr>
      </w:pPr>
      <w:r>
        <w:rPr>
          <w:rFonts w:hint="eastAsia" w:ascii="宋体" w:hAnsi="宋体" w:cs="宋体"/>
          <w:bCs/>
          <w:szCs w:val="21"/>
        </w:rPr>
        <w:t>3.</w:t>
      </w:r>
      <w:r>
        <w:rPr>
          <w:rFonts w:hint="eastAsia" w:ascii="宋体" w:hAnsi="宋体" w:cs="宋体"/>
          <w:bCs/>
          <w:szCs w:val="21"/>
          <w:lang w:val="en-US" w:eastAsia="zh-CN"/>
        </w:rPr>
        <w:t>涵盖以下数据库并且需要</w:t>
      </w:r>
      <w:r>
        <w:rPr>
          <w:rFonts w:hint="eastAsia" w:ascii="宋体" w:hAnsi="宋体" w:cs="宋体"/>
          <w:bCs/>
          <w:szCs w:val="21"/>
        </w:rPr>
        <w:t>授权开通：</w:t>
      </w:r>
    </w:p>
    <w:p w14:paraId="671A2108">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 Applied Science &amp; Technology Source 应用科学与技术专题库</w:t>
      </w:r>
      <w:r>
        <w:rPr>
          <w:rFonts w:hint="eastAsia" w:ascii="宋体" w:hAnsi="宋体" w:cs="宋体"/>
          <w:bCs/>
          <w:szCs w:val="21"/>
          <w:lang w:eastAsia="zh-CN"/>
        </w:rPr>
        <w:t>。</w:t>
      </w:r>
    </w:p>
    <w:p w14:paraId="6DB43C1F">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3.2 Art &amp; Architecture Complete 艺术与建筑全文数据库</w:t>
      </w:r>
      <w:r>
        <w:rPr>
          <w:rFonts w:hint="eastAsia" w:ascii="宋体" w:hAnsi="宋体" w:cs="宋体"/>
          <w:bCs/>
          <w:szCs w:val="21"/>
          <w:lang w:eastAsia="zh-CN"/>
        </w:rPr>
        <w:t>。</w:t>
      </w:r>
    </w:p>
    <w:p w14:paraId="6DE3F3F7">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3.3 Biography Reference Center 人物传记参考中心</w:t>
      </w:r>
      <w:r>
        <w:rPr>
          <w:rFonts w:hint="eastAsia" w:ascii="宋体" w:hAnsi="宋体" w:cs="宋体"/>
          <w:bCs/>
          <w:szCs w:val="21"/>
          <w:lang w:eastAsia="zh-CN"/>
        </w:rPr>
        <w:t>。</w:t>
      </w:r>
    </w:p>
    <w:p w14:paraId="1D4E730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3.4 Book Review Digest Plus威尔逊图书评论摘要数据库</w:t>
      </w:r>
      <w:r>
        <w:rPr>
          <w:rFonts w:hint="eastAsia" w:ascii="宋体" w:hAnsi="宋体" w:cs="宋体"/>
          <w:bCs/>
          <w:szCs w:val="21"/>
          <w:lang w:eastAsia="zh-CN"/>
        </w:rPr>
        <w:t>。</w:t>
      </w:r>
    </w:p>
    <w:p w14:paraId="0619431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3.5 Criminal Justice Abstracts with Full Text 刑事司法文献全文数据库</w:t>
      </w:r>
      <w:r>
        <w:rPr>
          <w:rFonts w:hint="eastAsia" w:ascii="宋体" w:hAnsi="宋体" w:cs="宋体"/>
          <w:bCs/>
          <w:szCs w:val="21"/>
          <w:lang w:eastAsia="zh-CN"/>
        </w:rPr>
        <w:t>。</w:t>
      </w:r>
    </w:p>
    <w:p w14:paraId="110F5512">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3.6 Education Research Complete 教育学全文数据库</w:t>
      </w:r>
      <w:r>
        <w:rPr>
          <w:rFonts w:hint="eastAsia" w:ascii="宋体" w:hAnsi="宋体" w:cs="宋体"/>
          <w:bCs/>
          <w:szCs w:val="21"/>
          <w:lang w:eastAsia="zh-CN"/>
        </w:rPr>
        <w:t>。</w:t>
      </w:r>
    </w:p>
    <w:p w14:paraId="24FB567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3.7 Engineering Source 工程资源全文数据库</w:t>
      </w:r>
      <w:r>
        <w:rPr>
          <w:rFonts w:hint="eastAsia" w:ascii="宋体" w:hAnsi="宋体" w:cs="宋体"/>
          <w:bCs/>
          <w:szCs w:val="21"/>
          <w:lang w:eastAsia="zh-CN"/>
        </w:rPr>
        <w:t>。</w:t>
      </w:r>
    </w:p>
    <w:p w14:paraId="5AC956E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3.8 Environment Complete 环境科学全文数据库</w:t>
      </w:r>
      <w:r>
        <w:rPr>
          <w:rFonts w:hint="eastAsia" w:ascii="宋体" w:hAnsi="宋体" w:cs="宋体"/>
          <w:bCs/>
          <w:szCs w:val="21"/>
          <w:lang w:eastAsia="zh-CN"/>
        </w:rPr>
        <w:t>。</w:t>
      </w:r>
    </w:p>
    <w:p w14:paraId="4C8F033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3.9 Food Science Source 食品科学全文数据库</w:t>
      </w:r>
      <w:r>
        <w:rPr>
          <w:rFonts w:hint="eastAsia" w:ascii="宋体" w:hAnsi="宋体" w:cs="宋体"/>
          <w:bCs/>
          <w:szCs w:val="21"/>
          <w:lang w:eastAsia="zh-CN"/>
        </w:rPr>
        <w:t>。</w:t>
      </w:r>
    </w:p>
    <w:p w14:paraId="229828E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3.10 Humanities International Complete 人文学全文数据库</w:t>
      </w:r>
      <w:r>
        <w:rPr>
          <w:rFonts w:hint="eastAsia" w:ascii="宋体" w:hAnsi="宋体" w:cs="宋体"/>
          <w:bCs/>
          <w:szCs w:val="21"/>
          <w:lang w:eastAsia="zh-CN"/>
        </w:rPr>
        <w:t>。</w:t>
      </w:r>
    </w:p>
    <w:p w14:paraId="441315D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3.11 Legal Collection 法律学全文数据库</w:t>
      </w:r>
      <w:r>
        <w:rPr>
          <w:rFonts w:hint="eastAsia" w:ascii="宋体" w:hAnsi="宋体" w:cs="宋体"/>
          <w:bCs/>
          <w:szCs w:val="21"/>
          <w:lang w:eastAsia="zh-CN"/>
        </w:rPr>
        <w:t>。</w:t>
      </w:r>
    </w:p>
    <w:p w14:paraId="251AE7F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3.12 Library,Information Science &amp; Technology Abstract with Full Text 图书馆，信息科学与技术索引及全文数据库</w:t>
      </w:r>
      <w:r>
        <w:rPr>
          <w:rFonts w:hint="eastAsia" w:ascii="宋体" w:hAnsi="宋体" w:cs="宋体"/>
          <w:bCs/>
          <w:szCs w:val="21"/>
          <w:lang w:eastAsia="zh-CN"/>
        </w:rPr>
        <w:t>。</w:t>
      </w:r>
    </w:p>
    <w:p w14:paraId="2351FC1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3.13 Medline with Full Text 生物医学全文库</w:t>
      </w:r>
      <w:r>
        <w:rPr>
          <w:rFonts w:hint="eastAsia" w:ascii="宋体" w:hAnsi="宋体" w:cs="宋体"/>
          <w:bCs/>
          <w:szCs w:val="21"/>
          <w:lang w:eastAsia="zh-CN"/>
        </w:rPr>
        <w:t>。</w:t>
      </w:r>
    </w:p>
    <w:p w14:paraId="5A61CE34">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3.14 Military &amp; Government Collection 军事及政府信息资料库</w:t>
      </w:r>
      <w:r>
        <w:rPr>
          <w:rFonts w:hint="eastAsia" w:ascii="宋体" w:hAnsi="宋体" w:cs="宋体"/>
          <w:bCs/>
          <w:szCs w:val="21"/>
          <w:lang w:eastAsia="zh-CN"/>
        </w:rPr>
        <w:t>。</w:t>
      </w:r>
    </w:p>
    <w:p w14:paraId="4A5FE6D3">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3.15 Nutrition Reference Center 营养学参考数据库</w:t>
      </w:r>
      <w:r>
        <w:rPr>
          <w:rFonts w:hint="eastAsia" w:ascii="宋体" w:hAnsi="宋体" w:cs="宋体"/>
          <w:bCs/>
          <w:szCs w:val="21"/>
          <w:lang w:eastAsia="zh-CN"/>
        </w:rPr>
        <w:t>。</w:t>
      </w:r>
    </w:p>
    <w:p w14:paraId="469E6DF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3.16 Political Science Complete 政治科学全文数据库</w:t>
      </w:r>
      <w:r>
        <w:rPr>
          <w:rFonts w:hint="eastAsia" w:ascii="宋体" w:hAnsi="宋体" w:cs="宋体"/>
          <w:bCs/>
          <w:szCs w:val="21"/>
          <w:lang w:eastAsia="zh-CN"/>
        </w:rPr>
        <w:t>。</w:t>
      </w:r>
    </w:p>
    <w:p w14:paraId="7AB9DA5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3.17 Read it! 英语学习参考中心</w:t>
      </w:r>
      <w:r>
        <w:rPr>
          <w:rFonts w:hint="eastAsia" w:ascii="宋体" w:hAnsi="宋体" w:cs="宋体"/>
          <w:bCs/>
          <w:szCs w:val="21"/>
          <w:lang w:eastAsia="zh-CN"/>
        </w:rPr>
        <w:t>。</w:t>
      </w:r>
    </w:p>
    <w:p w14:paraId="660BE761">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3.18 Risk Management Reference Center 风险管理参考中心</w:t>
      </w:r>
      <w:r>
        <w:rPr>
          <w:rFonts w:hint="eastAsia" w:ascii="宋体" w:hAnsi="宋体" w:cs="宋体"/>
          <w:bCs/>
          <w:szCs w:val="21"/>
          <w:lang w:eastAsia="zh-CN"/>
        </w:rPr>
        <w:t>。</w:t>
      </w:r>
    </w:p>
    <w:p w14:paraId="2137C603">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3.19 Small Business Reference Center 小企业创业研究参考中心</w:t>
      </w:r>
      <w:r>
        <w:rPr>
          <w:rFonts w:hint="eastAsia" w:ascii="宋体" w:hAnsi="宋体" w:cs="宋体"/>
          <w:bCs/>
          <w:szCs w:val="21"/>
          <w:lang w:eastAsia="zh-CN"/>
        </w:rPr>
        <w:t>。</w:t>
      </w:r>
    </w:p>
    <w:p w14:paraId="4090B2E6">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3.20 Vocational Studies Premier 职业教育全文数据库</w:t>
      </w:r>
      <w:r>
        <w:rPr>
          <w:rFonts w:hint="eastAsia" w:ascii="宋体" w:hAnsi="宋体" w:cs="宋体"/>
          <w:bCs/>
          <w:szCs w:val="21"/>
          <w:lang w:eastAsia="zh-CN"/>
        </w:rPr>
        <w:t>。</w:t>
      </w:r>
    </w:p>
    <w:p w14:paraId="68557989">
      <w:pPr>
        <w:spacing w:line="400" w:lineRule="exact"/>
        <w:ind w:firstLine="420" w:firstLineChars="200"/>
        <w:rPr>
          <w:rFonts w:ascii="宋体" w:hAnsi="宋体" w:cs="宋体"/>
          <w:bCs/>
          <w:szCs w:val="21"/>
        </w:rPr>
      </w:pPr>
      <w:r>
        <w:rPr>
          <w:rFonts w:hint="eastAsia" w:ascii="宋体" w:hAnsi="宋体" w:cs="宋体"/>
          <w:bCs/>
          <w:szCs w:val="21"/>
        </w:rPr>
        <w:t>4.访问统计：定期提供订购期内的使用统计数据。</w:t>
      </w:r>
    </w:p>
    <w:p w14:paraId="49C6DF65">
      <w:pPr>
        <w:spacing w:line="400" w:lineRule="exact"/>
        <w:ind w:firstLine="420" w:firstLineChars="200"/>
        <w:rPr>
          <w:rFonts w:ascii="宋体" w:hAnsi="宋体" w:cs="宋体"/>
          <w:bCs/>
          <w:szCs w:val="21"/>
        </w:rPr>
      </w:pPr>
      <w:r>
        <w:rPr>
          <w:rFonts w:hint="eastAsia" w:ascii="宋体" w:hAnsi="宋体" w:cs="宋体"/>
          <w:bCs/>
          <w:szCs w:val="21"/>
        </w:rPr>
        <w:t>5.售后服务：</w:t>
      </w:r>
    </w:p>
    <w:p w14:paraId="356D9C2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5.1 提供网络、电话及E-mail支持服务，响应时间不超过24小时</w:t>
      </w:r>
      <w:r>
        <w:rPr>
          <w:rFonts w:hint="eastAsia" w:ascii="宋体" w:hAnsi="宋体" w:cs="宋体"/>
          <w:bCs/>
          <w:szCs w:val="21"/>
          <w:lang w:eastAsia="zh-CN"/>
        </w:rPr>
        <w:t>。</w:t>
      </w:r>
    </w:p>
    <w:p w14:paraId="3C6C979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5.2 定期对用户进行回访，及时为用户解决可能存在的问题</w:t>
      </w:r>
      <w:r>
        <w:rPr>
          <w:rFonts w:hint="eastAsia" w:ascii="宋体" w:hAnsi="宋体" w:cs="宋体"/>
          <w:bCs/>
          <w:szCs w:val="21"/>
          <w:lang w:eastAsia="zh-CN"/>
        </w:rPr>
        <w:t>。</w:t>
      </w:r>
    </w:p>
    <w:p w14:paraId="25DC9953">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5.3 为招标人提供数据库培训等活动一年内不少于2次，具体时间和形式，双方协商确认</w:t>
      </w:r>
      <w:r>
        <w:rPr>
          <w:rFonts w:hint="eastAsia" w:ascii="宋体" w:hAnsi="宋体" w:cs="宋体"/>
          <w:bCs/>
          <w:szCs w:val="21"/>
          <w:lang w:eastAsia="zh-CN"/>
        </w:rPr>
        <w:t>。</w:t>
      </w:r>
    </w:p>
    <w:p w14:paraId="2534D7BD">
      <w:pPr>
        <w:spacing w:line="400" w:lineRule="exact"/>
        <w:ind w:firstLine="420" w:firstLineChars="200"/>
        <w:rPr>
          <w:rFonts w:ascii="宋体" w:hAnsi="宋体" w:cs="宋体"/>
          <w:bCs/>
          <w:szCs w:val="21"/>
        </w:rPr>
      </w:pPr>
      <w:r>
        <w:rPr>
          <w:rFonts w:hint="eastAsia" w:ascii="宋体" w:hAnsi="宋体" w:cs="宋体"/>
          <w:bCs/>
          <w:szCs w:val="21"/>
        </w:rPr>
        <w:t xml:space="preserve">5.4 </w:t>
      </w:r>
      <w:r>
        <w:rPr>
          <w:rFonts w:hint="eastAsia" w:ascii="宋体" w:hAnsi="宋体" w:cs="宋体"/>
          <w:bCs/>
          <w:szCs w:val="21"/>
          <w:highlight w:val="none"/>
        </w:rPr>
        <w:t>提供数据库宣传所需要的宣传页、展架、易拉宝、KT版、小礼品等物资。</w:t>
      </w:r>
    </w:p>
    <w:p w14:paraId="77E5EC14">
      <w:pPr>
        <w:spacing w:line="400" w:lineRule="exact"/>
        <w:ind w:firstLine="420" w:firstLineChars="200"/>
        <w:rPr>
          <w:rFonts w:hint="eastAsia" w:ascii="宋体" w:hAnsi="宋体" w:cs="宋体"/>
          <w:bCs/>
          <w:szCs w:val="21"/>
        </w:rPr>
      </w:pPr>
      <w:r>
        <w:rPr>
          <w:rFonts w:hint="eastAsia" w:ascii="宋体" w:hAnsi="宋体" w:cs="宋体"/>
          <w:bCs/>
          <w:szCs w:val="21"/>
        </w:rPr>
        <w:t>5.5 提供完整的数据库在线培训课程，也可根据用户实际需求提供线下培训讲座。</w:t>
      </w:r>
    </w:p>
    <w:p w14:paraId="04D111CD">
      <w:pPr>
        <w:spacing w:line="400" w:lineRule="exact"/>
        <w:ind w:firstLine="420" w:firstLineChars="200"/>
        <w:rPr>
          <w:rFonts w:ascii="宋体" w:hAnsi="宋体" w:cs="宋体"/>
          <w:b/>
          <w:szCs w:val="21"/>
        </w:rPr>
      </w:pPr>
      <w:r>
        <w:rPr>
          <w:rFonts w:hint="eastAsia" w:ascii="宋体" w:hAnsi="宋体" w:cs="宋体"/>
          <w:bCs/>
          <w:szCs w:val="21"/>
          <w:lang w:val="en-US" w:eastAsia="zh-CN"/>
        </w:rPr>
        <w:t>6</w:t>
      </w:r>
      <w:r>
        <w:rPr>
          <w:rFonts w:hint="eastAsia" w:ascii="宋体" w:hAnsi="宋体" w:cs="宋体"/>
          <w:bCs/>
          <w:szCs w:val="21"/>
        </w:rPr>
        <w:t>.</w:t>
      </w:r>
      <w:r>
        <w:rPr>
          <w:rFonts w:hint="eastAsia" w:ascii="宋体" w:hAnsi="宋体" w:cs="宋体"/>
          <w:bCs/>
          <w:szCs w:val="21"/>
          <w:lang w:eastAsia="zh-CN"/>
        </w:rPr>
        <w:t>服务期限</w:t>
      </w:r>
      <w:r>
        <w:rPr>
          <w:rFonts w:hint="eastAsia" w:ascii="宋体" w:hAnsi="宋体" w:cs="宋体"/>
          <w:bCs/>
          <w:szCs w:val="21"/>
        </w:rPr>
        <w:t>：2026年1月1日至2026年12月31日</w:t>
      </w:r>
      <w:r>
        <w:rPr>
          <w:rFonts w:hint="eastAsia" w:ascii="宋体" w:hAnsi="宋体" w:cs="宋体"/>
          <w:bCs/>
          <w:szCs w:val="21"/>
          <w:lang w:eastAsia="zh-CN"/>
        </w:rPr>
        <w:t>。</w:t>
      </w:r>
      <w:r>
        <w:rPr>
          <w:rFonts w:hint="eastAsia" w:ascii="宋体" w:hAnsi="宋体" w:cs="宋体"/>
          <w:szCs w:val="21"/>
        </w:rPr>
        <w:br w:type="page"/>
      </w:r>
      <w:r>
        <w:rPr>
          <w:rFonts w:hint="eastAsia" w:ascii="宋体" w:hAnsi="宋体" w:cs="宋体"/>
          <w:szCs w:val="21"/>
        </w:rPr>
        <w:t xml:space="preserve">    </w:t>
      </w:r>
      <w:r>
        <w:rPr>
          <w:rFonts w:hint="eastAsia" w:ascii="宋体" w:hAnsi="宋体" w:cs="宋体"/>
          <w:b/>
          <w:szCs w:val="21"/>
        </w:rPr>
        <w:t>标项九（中华经典古籍库）：</w:t>
      </w:r>
    </w:p>
    <w:p w14:paraId="371D679B">
      <w:pPr>
        <w:spacing w:line="400" w:lineRule="exact"/>
        <w:ind w:firstLine="420" w:firstLineChars="200"/>
        <w:rPr>
          <w:rFonts w:ascii="宋体" w:hAnsi="宋体" w:cs="宋体"/>
          <w:bCs/>
          <w:szCs w:val="21"/>
        </w:rPr>
      </w:pPr>
      <w:r>
        <w:rPr>
          <w:rFonts w:hint="eastAsia" w:ascii="宋体" w:hAnsi="宋体" w:cs="宋体"/>
          <w:bCs/>
          <w:szCs w:val="21"/>
        </w:rPr>
        <w:t>1.服务架构：古籍库采取B/S架构方式，支持主流浏览器。</w:t>
      </w:r>
    </w:p>
    <w:p w14:paraId="7F84B44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2.并发数：网络版3并发数</w:t>
      </w:r>
      <w:r>
        <w:rPr>
          <w:rFonts w:hint="eastAsia" w:ascii="宋体" w:hAnsi="宋体" w:cs="宋体"/>
          <w:bCs/>
          <w:szCs w:val="21"/>
          <w:lang w:eastAsia="zh-CN"/>
        </w:rPr>
        <w:t>。</w:t>
      </w:r>
    </w:p>
    <w:p w14:paraId="76B9AC52">
      <w:pPr>
        <w:spacing w:line="400" w:lineRule="exact"/>
        <w:ind w:firstLine="420" w:firstLineChars="200"/>
        <w:rPr>
          <w:rFonts w:ascii="宋体" w:hAnsi="宋体" w:cs="宋体"/>
          <w:bCs/>
          <w:szCs w:val="21"/>
        </w:rPr>
      </w:pPr>
      <w:r>
        <w:rPr>
          <w:rFonts w:hint="eastAsia" w:ascii="宋体" w:hAnsi="宋体" w:cs="宋体"/>
          <w:bCs/>
          <w:szCs w:val="21"/>
        </w:rPr>
        <w:t>3.序+卷数：古籍库保留原书的出版说明或校点说明、目录、前言或序文、 及卷数、章节等。阅读时，各层级皆有标识原书页面页码。</w:t>
      </w:r>
    </w:p>
    <w:p w14:paraId="3A54AE07">
      <w:pPr>
        <w:spacing w:line="400" w:lineRule="exact"/>
        <w:ind w:firstLine="420" w:firstLineChars="200"/>
        <w:rPr>
          <w:rFonts w:ascii="宋体" w:hAnsi="宋体" w:cs="宋体"/>
          <w:bCs/>
          <w:szCs w:val="21"/>
        </w:rPr>
      </w:pPr>
      <w:r>
        <w:rPr>
          <w:rFonts w:hint="eastAsia" w:ascii="宋体" w:hAnsi="宋体" w:cs="宋体"/>
          <w:bCs/>
          <w:szCs w:val="21"/>
        </w:rPr>
        <w:t>4.原书页面图像显示：能够实现文本阅读、原书页面图像与文本同时显示，且翻阅原书图像时，文本也进入对应的相关页面。</w:t>
      </w:r>
    </w:p>
    <w:p w14:paraId="7821CFD2">
      <w:pPr>
        <w:spacing w:line="400" w:lineRule="exact"/>
        <w:ind w:firstLine="420" w:firstLineChars="200"/>
        <w:rPr>
          <w:rFonts w:ascii="宋体" w:hAnsi="宋体" w:cs="宋体"/>
          <w:bCs/>
          <w:szCs w:val="21"/>
        </w:rPr>
      </w:pPr>
      <w:r>
        <w:rPr>
          <w:rFonts w:hint="eastAsia" w:ascii="宋体" w:hAnsi="宋体" w:cs="宋体"/>
          <w:bCs/>
          <w:szCs w:val="21"/>
        </w:rPr>
        <w:t>5.全文检索功能：古籍库实现古籍图书文字可检。同时设置快速检索、高级检索、书内搜索等功能，以四库分类法部、类显示，同时可以进行书名、文章名、文章内容、著者、整理者、出版者等多项检索；可检索范围文字数量≥5亿字。</w:t>
      </w:r>
    </w:p>
    <w:p w14:paraId="30C163FC">
      <w:pPr>
        <w:spacing w:line="400" w:lineRule="exact"/>
        <w:ind w:firstLine="420" w:firstLineChars="200"/>
        <w:rPr>
          <w:rFonts w:ascii="宋体" w:hAnsi="宋体" w:cs="宋体"/>
          <w:bCs/>
          <w:szCs w:val="21"/>
        </w:rPr>
      </w:pPr>
      <w:r>
        <w:rPr>
          <w:rFonts w:hint="eastAsia" w:ascii="宋体" w:hAnsi="宋体" w:cs="宋体"/>
          <w:bCs/>
          <w:szCs w:val="21"/>
        </w:rPr>
        <w:t>6.图文对照功能：提供原书页面图像与文本文字的全面对照。网络版古籍库原书页面图像可放大缩小，图文对照页面的文字部分可实现横、竖版式切换。</w:t>
      </w:r>
    </w:p>
    <w:p w14:paraId="275E9DB3">
      <w:pPr>
        <w:spacing w:line="400" w:lineRule="exact"/>
        <w:ind w:firstLine="420" w:firstLineChars="200"/>
        <w:rPr>
          <w:rFonts w:ascii="宋体" w:hAnsi="宋体" w:cs="宋体"/>
          <w:bCs/>
          <w:szCs w:val="21"/>
        </w:rPr>
      </w:pPr>
      <w:r>
        <w:rPr>
          <w:rFonts w:hint="eastAsia" w:ascii="宋体" w:hAnsi="宋体" w:cs="宋体"/>
          <w:bCs/>
          <w:szCs w:val="21"/>
        </w:rPr>
        <w:t>7.文献引用功能：所有资源均来自正规出版机构（如中华书局、商务印书馆等），可自动生成文献引用格式。选中要引用的文本后点击工具栏中的“引用”，系统将自动生成包括版本信息、所属页码的文本供用户粘贴使用。</w:t>
      </w:r>
    </w:p>
    <w:p w14:paraId="7892D892">
      <w:pPr>
        <w:spacing w:line="400" w:lineRule="exact"/>
        <w:ind w:firstLine="420" w:firstLineChars="200"/>
        <w:rPr>
          <w:rFonts w:ascii="宋体" w:hAnsi="宋体" w:cs="宋体"/>
          <w:bCs/>
          <w:szCs w:val="21"/>
        </w:rPr>
      </w:pPr>
      <w:r>
        <w:rPr>
          <w:rFonts w:hint="eastAsia" w:ascii="宋体" w:hAnsi="宋体" w:cs="宋体"/>
          <w:bCs/>
          <w:szCs w:val="21"/>
        </w:rPr>
        <w:t>8.其他个性化功能：古籍库支持文本阅读页面文字复制、笔记、修订等，用户可以在我的书架中浏览我的笔记、我的修订、检索记录、阅读历史等。</w:t>
      </w:r>
    </w:p>
    <w:p w14:paraId="3C92ED62">
      <w:pPr>
        <w:spacing w:line="400" w:lineRule="exact"/>
        <w:ind w:firstLine="420" w:firstLineChars="200"/>
        <w:rPr>
          <w:rFonts w:ascii="宋体" w:hAnsi="宋体" w:cs="宋体"/>
          <w:bCs/>
          <w:szCs w:val="21"/>
        </w:rPr>
      </w:pPr>
      <w:r>
        <w:rPr>
          <w:rFonts w:hint="eastAsia" w:ascii="宋体" w:hAnsi="宋体" w:cs="宋体"/>
          <w:bCs/>
          <w:szCs w:val="21"/>
        </w:rPr>
        <w:t>9.高速引擎：古籍库采用文本检索引擎并配合分布式服务器集群，亿级文字检索≤1秒。可实现即翻即看，无等待翻页。</w:t>
      </w:r>
    </w:p>
    <w:p w14:paraId="171C1191">
      <w:pPr>
        <w:spacing w:line="400" w:lineRule="exact"/>
        <w:ind w:firstLine="420" w:firstLineChars="200"/>
        <w:rPr>
          <w:rFonts w:ascii="宋体" w:hAnsi="宋体" w:cs="宋体"/>
          <w:bCs/>
          <w:szCs w:val="21"/>
        </w:rPr>
      </w:pPr>
      <w:r>
        <w:rPr>
          <w:rFonts w:hint="eastAsia" w:ascii="宋体" w:hAnsi="宋体" w:cs="宋体"/>
          <w:bCs/>
          <w:szCs w:val="21"/>
        </w:rPr>
        <w:t>10.字库要求：支持生僻汉字的检索、显示与复制。古籍库专有字库除涵盖 unicode10.0 的全部汉字字符外，还支持数量≥35,000的编码字。支持显示说文小篆、古文字形、卦象符号等生僻字符。所有编码字，均可进行复制、检索。</w:t>
      </w:r>
    </w:p>
    <w:p w14:paraId="5EB8D7CE">
      <w:pPr>
        <w:spacing w:line="400" w:lineRule="exact"/>
        <w:ind w:firstLine="420" w:firstLineChars="200"/>
        <w:rPr>
          <w:rFonts w:ascii="宋体" w:hAnsi="宋体" w:cs="宋体"/>
          <w:bCs/>
          <w:szCs w:val="21"/>
        </w:rPr>
      </w:pPr>
      <w:r>
        <w:rPr>
          <w:rFonts w:hint="eastAsia" w:ascii="宋体" w:hAnsi="宋体" w:cs="宋体"/>
          <w:bCs/>
          <w:szCs w:val="21"/>
        </w:rPr>
        <w:t>11.自定义特色：古籍库支持阅读设置字体缩小、放大、背景色设定，隐藏显示注释，页码隐藏显示，目录导航跳转等。</w:t>
      </w:r>
    </w:p>
    <w:p w14:paraId="139A02CD">
      <w:pPr>
        <w:spacing w:line="400" w:lineRule="exact"/>
        <w:ind w:firstLine="420" w:firstLineChars="200"/>
        <w:rPr>
          <w:rFonts w:hint="eastAsia" w:ascii="宋体" w:hAnsi="宋体" w:cs="宋体"/>
          <w:bCs/>
          <w:szCs w:val="21"/>
        </w:rPr>
      </w:pPr>
      <w:r>
        <w:rPr>
          <w:rFonts w:hint="eastAsia" w:ascii="宋体" w:hAnsi="宋体" w:cs="宋体"/>
          <w:bCs/>
          <w:szCs w:val="21"/>
        </w:rPr>
        <w:t>12.远程访问的网络版，用户在</w:t>
      </w:r>
      <w:r>
        <w:rPr>
          <w:rFonts w:hint="eastAsia" w:ascii="宋体" w:hAnsi="宋体" w:cs="宋体"/>
          <w:bCs/>
          <w:szCs w:val="21"/>
          <w:lang w:val="en-US" w:eastAsia="zh-CN"/>
        </w:rPr>
        <w:t>校园IP</w:t>
      </w:r>
      <w:r>
        <w:rPr>
          <w:rFonts w:hint="eastAsia" w:ascii="宋体" w:hAnsi="宋体" w:cs="宋体"/>
          <w:bCs/>
          <w:szCs w:val="21"/>
        </w:rPr>
        <w:t>范围内使用</w:t>
      </w:r>
      <w:r>
        <w:rPr>
          <w:rFonts w:hint="eastAsia" w:ascii="宋体" w:hAnsi="宋体" w:cs="宋体"/>
          <w:bCs/>
          <w:szCs w:val="21"/>
          <w:lang w:eastAsia="zh-CN"/>
        </w:rPr>
        <w:t>，</w:t>
      </w:r>
      <w:r>
        <w:rPr>
          <w:rFonts w:hint="eastAsia" w:ascii="宋体" w:hAnsi="宋体" w:cs="宋体"/>
          <w:bCs/>
          <w:szCs w:val="21"/>
          <w:lang w:val="en-US" w:eastAsia="zh-CN"/>
        </w:rPr>
        <w:t>支持VPN登录访问</w:t>
      </w:r>
      <w:r>
        <w:rPr>
          <w:rFonts w:hint="eastAsia" w:ascii="宋体" w:hAnsi="宋体" w:cs="宋体"/>
          <w:bCs/>
          <w:szCs w:val="21"/>
        </w:rPr>
        <w:t>。</w:t>
      </w:r>
    </w:p>
    <w:p w14:paraId="218ED595">
      <w:pPr>
        <w:spacing w:line="400" w:lineRule="exact"/>
        <w:ind w:firstLine="420" w:firstLineChars="200"/>
        <w:rPr>
          <w:rFonts w:hint="eastAsia" w:ascii="宋体" w:hAnsi="宋体" w:cs="宋体"/>
          <w:bCs/>
          <w:szCs w:val="21"/>
          <w:lang w:eastAsia="zh-CN"/>
        </w:rPr>
      </w:pPr>
      <w:r>
        <w:rPr>
          <w:rFonts w:hint="eastAsia" w:ascii="宋体" w:hAnsi="宋体" w:cs="宋体"/>
          <w:bCs/>
          <w:szCs w:val="21"/>
          <w:lang w:val="en-US" w:eastAsia="zh-CN"/>
        </w:rPr>
        <w:t>13.</w:t>
      </w:r>
      <w:r>
        <w:rPr>
          <w:rFonts w:hint="eastAsia" w:ascii="宋体" w:hAnsi="宋体" w:cs="宋体"/>
          <w:bCs/>
          <w:szCs w:val="21"/>
        </w:rPr>
        <w:t>提供网络、电话及E-mail支持服务，响应时间不超过24小时</w:t>
      </w:r>
      <w:r>
        <w:rPr>
          <w:rFonts w:hint="eastAsia" w:ascii="宋体" w:hAnsi="宋体" w:cs="宋体"/>
          <w:bCs/>
          <w:szCs w:val="21"/>
          <w:lang w:eastAsia="zh-CN"/>
        </w:rPr>
        <w:t>。</w:t>
      </w:r>
    </w:p>
    <w:p w14:paraId="20158AC0">
      <w:pPr>
        <w:spacing w:line="400" w:lineRule="exact"/>
        <w:ind w:firstLine="420" w:firstLineChars="200"/>
        <w:rPr>
          <w:rFonts w:ascii="宋体" w:hAnsi="宋体" w:cs="宋体"/>
          <w:bCs/>
          <w:szCs w:val="21"/>
        </w:rPr>
      </w:pPr>
      <w:r>
        <w:rPr>
          <w:rFonts w:hint="eastAsia" w:ascii="宋体" w:hAnsi="宋体" w:cs="宋体"/>
          <w:bCs/>
          <w:szCs w:val="21"/>
          <w:lang w:val="en-US" w:eastAsia="zh-CN"/>
        </w:rPr>
        <w:t>14.</w:t>
      </w:r>
      <w:r>
        <w:rPr>
          <w:rFonts w:hint="eastAsia" w:ascii="宋体" w:hAnsi="宋体" w:cs="宋体"/>
          <w:bCs/>
          <w:szCs w:val="21"/>
        </w:rPr>
        <w:t>具有永久使用权的用户，在使用过程中，如产生知识产权纠纷，供应商承担全部责任。</w:t>
      </w:r>
    </w:p>
    <w:p w14:paraId="25662868">
      <w:pPr>
        <w:spacing w:line="400" w:lineRule="exact"/>
        <w:ind w:firstLine="420" w:firstLineChars="200"/>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5</w:t>
      </w:r>
      <w:r>
        <w:rPr>
          <w:rFonts w:hint="eastAsia" w:ascii="宋体" w:hAnsi="宋体" w:cs="宋体"/>
          <w:bCs/>
          <w:szCs w:val="21"/>
        </w:rPr>
        <w:t>.服务期首年，为</w:t>
      </w:r>
      <w:r>
        <w:rPr>
          <w:rFonts w:hint="eastAsia" w:ascii="宋体" w:hAnsi="宋体" w:cs="宋体"/>
          <w:bCs/>
          <w:szCs w:val="21"/>
          <w:lang w:eastAsia="zh-CN"/>
        </w:rPr>
        <w:t>采购人</w:t>
      </w:r>
      <w:r>
        <w:rPr>
          <w:rFonts w:hint="eastAsia" w:ascii="宋体" w:hAnsi="宋体" w:cs="宋体"/>
          <w:szCs w:val="21"/>
          <w:lang w:eastAsia="zh-CN"/>
        </w:rPr>
        <w:t>无条件</w:t>
      </w:r>
      <w:r>
        <w:rPr>
          <w:rFonts w:hint="eastAsia" w:ascii="宋体" w:hAnsi="宋体" w:cs="宋体"/>
          <w:bCs/>
          <w:szCs w:val="21"/>
        </w:rPr>
        <w:t>提供数据库培训等活动一年内不少于2次，具体时间和形式，双方协商确认。</w:t>
      </w:r>
    </w:p>
    <w:p w14:paraId="21E2BEA0">
      <w:pPr>
        <w:spacing w:line="400" w:lineRule="exact"/>
        <w:ind w:firstLine="420" w:firstLineChars="200"/>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6</w:t>
      </w:r>
      <w:r>
        <w:rPr>
          <w:rFonts w:hint="eastAsia" w:ascii="宋体" w:hAnsi="宋体" w:cs="宋体"/>
          <w:bCs/>
          <w:szCs w:val="21"/>
        </w:rPr>
        <w:t>.需定期向图书馆相关部门提供数据库使用统计数据。</w:t>
      </w:r>
    </w:p>
    <w:p w14:paraId="39AFB883">
      <w:pPr>
        <w:spacing w:line="400" w:lineRule="exact"/>
        <w:ind w:firstLine="420" w:firstLineChars="200"/>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7</w:t>
      </w:r>
      <w:r>
        <w:rPr>
          <w:rFonts w:hint="eastAsia" w:ascii="宋体" w:hAnsi="宋体" w:cs="宋体"/>
          <w:bCs/>
          <w:szCs w:val="21"/>
        </w:rPr>
        <w:t>.服务期限：2026年1月1日至2026年12月31日。</w:t>
      </w:r>
      <w:r>
        <w:rPr>
          <w:rFonts w:hint="eastAsia" w:ascii="宋体" w:hAnsi="宋体" w:cs="宋体"/>
          <w:bCs/>
          <w:szCs w:val="21"/>
        </w:rPr>
        <w:br w:type="page"/>
      </w:r>
    </w:p>
    <w:p w14:paraId="6AC0D68A">
      <w:pPr>
        <w:spacing w:line="400" w:lineRule="exact"/>
        <w:ind w:firstLine="422" w:firstLineChars="200"/>
        <w:rPr>
          <w:rFonts w:ascii="宋体" w:hAnsi="宋体" w:cs="宋体"/>
          <w:b/>
          <w:szCs w:val="21"/>
        </w:rPr>
      </w:pPr>
      <w:r>
        <w:rPr>
          <w:rFonts w:hint="eastAsia" w:ascii="宋体" w:hAnsi="宋体" w:cs="宋体"/>
          <w:b/>
          <w:szCs w:val="21"/>
        </w:rPr>
        <w:t>标项十（智慧之光-知识产权一体化管理）：</w:t>
      </w:r>
    </w:p>
    <w:p w14:paraId="5EBDEEA9">
      <w:pPr>
        <w:spacing w:line="400" w:lineRule="exact"/>
        <w:ind w:firstLine="420" w:firstLineChars="200"/>
        <w:rPr>
          <w:rFonts w:ascii="宋体" w:hAnsi="宋体" w:cs="宋体"/>
          <w:bCs/>
          <w:szCs w:val="21"/>
        </w:rPr>
      </w:pPr>
      <w:r>
        <w:rPr>
          <w:rFonts w:hint="eastAsia" w:ascii="宋体" w:hAnsi="宋体" w:cs="宋体"/>
          <w:bCs/>
          <w:szCs w:val="21"/>
        </w:rPr>
        <w:t>1.一体化管理前台</w:t>
      </w:r>
    </w:p>
    <w:p w14:paraId="205429A5">
      <w:pPr>
        <w:spacing w:line="400" w:lineRule="exact"/>
        <w:ind w:firstLine="420" w:firstLineChars="200"/>
        <w:rPr>
          <w:rFonts w:ascii="宋体" w:hAnsi="宋体" w:cs="宋体"/>
          <w:bCs/>
          <w:szCs w:val="21"/>
        </w:rPr>
      </w:pPr>
      <w:r>
        <w:rPr>
          <w:rFonts w:hint="eastAsia" w:ascii="宋体" w:hAnsi="宋体" w:cs="宋体"/>
          <w:bCs/>
          <w:szCs w:val="21"/>
        </w:rPr>
        <w:t>1.1 知识产权一体化管理平台门户服务模块</w:t>
      </w:r>
    </w:p>
    <w:p w14:paraId="39AF2BEE">
      <w:pPr>
        <w:spacing w:line="400" w:lineRule="exact"/>
        <w:ind w:firstLine="420" w:firstLineChars="200"/>
        <w:rPr>
          <w:rFonts w:ascii="宋体" w:hAnsi="宋体" w:cs="宋体"/>
          <w:bCs/>
          <w:szCs w:val="21"/>
        </w:rPr>
      </w:pPr>
      <w:r>
        <w:rPr>
          <w:rFonts w:hint="eastAsia" w:ascii="宋体" w:hAnsi="宋体" w:cs="宋体"/>
          <w:bCs/>
          <w:szCs w:val="21"/>
        </w:rPr>
        <w:t>针对机构知识产权管理需求，本方案致力于构建集资源整合、业务协同、数据可视化于一体的门户服务体系，打造全校师生专属的知识产权信息中枢。通过统一入口整合多维度资源，融合信息化工具管理，实现知识产权动态、政策资讯、信息资源的高效流转与便捷获取，助力机构构建数字化知识产权管理生态。平台服务具体功能要求如下：</w:t>
      </w:r>
    </w:p>
    <w:p w14:paraId="3F300527">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 提供知识产权一体化管理平台门户服务，提供平台的各项业务功能的归集及信息汇总栏目，实现用户的快速信息获取及应用访问</w:t>
      </w:r>
      <w:r>
        <w:rPr>
          <w:rFonts w:hint="eastAsia" w:ascii="宋体" w:hAnsi="宋体" w:cs="宋体"/>
          <w:bCs/>
          <w:szCs w:val="21"/>
          <w:lang w:eastAsia="zh-CN"/>
        </w:rPr>
        <w:t>。设置「快速入口专区」，将专利申报、成果转化、知识库检索等核心业务系统进行轻量化封装，支持单点登录与跨系统跳转，实现“一次登录、全业务覆盖”。</w:t>
      </w:r>
    </w:p>
    <w:p w14:paraId="1D5E25D7">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2）门户提供包括机构专利知识库、专利数据动态展示图谱、全国机构专利库、运营转化、IP部门/学院、重点技术主题专利数据库、专利信息推送的各业务快捷入口，实现各业务模块的统一管理</w:t>
      </w:r>
      <w:r>
        <w:rPr>
          <w:rFonts w:hint="eastAsia" w:ascii="宋体" w:hAnsi="宋体" w:cs="宋体"/>
          <w:bCs/>
          <w:szCs w:val="21"/>
          <w:lang w:eastAsia="zh-CN"/>
        </w:rPr>
        <w:t>。</w:t>
      </w:r>
    </w:p>
    <w:p w14:paraId="3928BA83">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3）门户融合信息检索快捷栏目，在门户首页设置全局搜索栏，支持「机构专利」「技术专题」「产业图谱」「全国数据」「全球专利」五大检索维度一键切换</w:t>
      </w:r>
      <w:r>
        <w:rPr>
          <w:rFonts w:hint="eastAsia" w:ascii="宋体" w:hAnsi="宋体" w:cs="宋体"/>
          <w:bCs/>
          <w:szCs w:val="21"/>
          <w:lang w:eastAsia="zh-CN"/>
        </w:rPr>
        <w:t>。</w:t>
      </w:r>
    </w:p>
    <w:p w14:paraId="39D3A7A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4）提供机构数据可视化图谱统计分析栏目，实现机构数据的快捷、多维可视化数据呈现</w:t>
      </w:r>
      <w:r>
        <w:rPr>
          <w:rFonts w:hint="eastAsia" w:ascii="宋体" w:hAnsi="宋体" w:cs="宋体"/>
          <w:bCs/>
          <w:szCs w:val="21"/>
          <w:lang w:eastAsia="zh-CN"/>
        </w:rPr>
        <w:t>。</w:t>
      </w:r>
    </w:p>
    <w:p w14:paraId="77DD0D35">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5）提供机构高价值专利展示模块，帮助用户快速了解机构高价值专利分布情况</w:t>
      </w:r>
      <w:r>
        <w:rPr>
          <w:rFonts w:hint="eastAsia" w:ascii="宋体" w:hAnsi="宋体" w:cs="宋体"/>
          <w:bCs/>
          <w:szCs w:val="21"/>
          <w:lang w:eastAsia="zh-CN"/>
        </w:rPr>
        <w:t>。</w:t>
      </w:r>
    </w:p>
    <w:p w14:paraId="2BF5BF86">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6）开放信息资源、热点问题、动态资讯等信息栏目，帮助机构发布及传播知识产权行业动态信息</w:t>
      </w:r>
      <w:r>
        <w:rPr>
          <w:rFonts w:hint="eastAsia" w:ascii="宋体" w:hAnsi="宋体" w:cs="宋体"/>
          <w:bCs/>
          <w:szCs w:val="21"/>
          <w:lang w:eastAsia="zh-CN"/>
        </w:rPr>
        <w:t>。</w:t>
      </w:r>
    </w:p>
    <w:p w14:paraId="1305279D">
      <w:pPr>
        <w:spacing w:line="400" w:lineRule="exact"/>
        <w:ind w:firstLine="420" w:firstLineChars="200"/>
        <w:rPr>
          <w:rFonts w:ascii="宋体" w:hAnsi="宋体" w:cs="宋体"/>
          <w:bCs/>
          <w:szCs w:val="21"/>
        </w:rPr>
      </w:pPr>
      <w:r>
        <w:rPr>
          <w:rFonts w:hint="eastAsia" w:ascii="宋体" w:hAnsi="宋体" w:cs="宋体"/>
          <w:bCs/>
          <w:szCs w:val="21"/>
        </w:rPr>
        <w:t>7）创建门户后台管理模块，支持上传机构LOGO、更换主题背景、调整模块布局，实现门户视觉形象的个性化定制，对相关资源信息进行发布管理。</w:t>
      </w:r>
    </w:p>
    <w:p w14:paraId="521F1F26">
      <w:pPr>
        <w:spacing w:line="400" w:lineRule="exact"/>
        <w:ind w:firstLine="420" w:firstLineChars="200"/>
        <w:rPr>
          <w:rFonts w:ascii="宋体" w:hAnsi="宋体" w:cs="宋体"/>
          <w:bCs/>
          <w:szCs w:val="21"/>
        </w:rPr>
      </w:pPr>
      <w:r>
        <w:rPr>
          <w:rFonts w:hint="eastAsia" w:ascii="宋体" w:hAnsi="宋体" w:cs="宋体"/>
          <w:bCs/>
          <w:szCs w:val="21"/>
        </w:rPr>
        <w:t>1.2机构专利数据库服务模块</w:t>
      </w:r>
    </w:p>
    <w:p w14:paraId="25D25116">
      <w:pPr>
        <w:spacing w:line="400" w:lineRule="exact"/>
        <w:ind w:firstLine="420" w:firstLineChars="200"/>
        <w:rPr>
          <w:rFonts w:ascii="宋体" w:hAnsi="宋体" w:cs="宋体"/>
          <w:bCs/>
          <w:szCs w:val="21"/>
        </w:rPr>
      </w:pPr>
      <w:r>
        <w:rPr>
          <w:rFonts w:hint="eastAsia" w:ascii="宋体" w:hAnsi="宋体" w:cs="宋体"/>
          <w:bCs/>
          <w:szCs w:val="21"/>
        </w:rPr>
        <w:t>1.2.1提供机构专利数据库服务：建立机构专利数据库，完善机构专利档案数据，形成完整的专利全生命周期档案管理，其中包括机构及相关附属机构历史申请的全部专利的档案库，支持人工标引及分析，公开数据自动更新。机构专利数据库服务具体功能要求如下：</w:t>
      </w:r>
    </w:p>
    <w:p w14:paraId="05780116">
      <w:pPr>
        <w:spacing w:line="400" w:lineRule="exact"/>
        <w:ind w:firstLine="420" w:firstLineChars="200"/>
        <w:rPr>
          <w:rFonts w:ascii="宋体" w:hAnsi="宋体" w:cs="宋体"/>
          <w:bCs/>
          <w:szCs w:val="21"/>
        </w:rPr>
      </w:pPr>
      <w:r>
        <w:rPr>
          <w:rFonts w:hint="eastAsia" w:ascii="宋体" w:hAnsi="宋体" w:cs="宋体"/>
          <w:bCs/>
          <w:szCs w:val="21"/>
        </w:rPr>
        <w:t>1）用户访问顶部导航栏处的“机构专利库”时，进入机构专利分析全景页，支持切换列表页展示机构的专利数据信息。</w:t>
      </w:r>
    </w:p>
    <w:p w14:paraId="2D2E1925">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①专利数据信息支持通过申请号合并或简单同族合并进行数据去重</w:t>
      </w:r>
      <w:r>
        <w:rPr>
          <w:rFonts w:hint="eastAsia" w:ascii="宋体" w:hAnsi="宋体" w:cs="宋体"/>
          <w:bCs/>
          <w:szCs w:val="21"/>
          <w:lang w:eastAsia="zh-CN"/>
        </w:rPr>
        <w:t>。</w:t>
      </w:r>
    </w:p>
    <w:p w14:paraId="0FB7CB2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②浏览阅读支持多种呈现样式，包括列表视图、图文视图、全附图视图、首图视图、分屏阅读</w:t>
      </w:r>
      <w:r>
        <w:rPr>
          <w:rFonts w:hint="eastAsia" w:ascii="宋体" w:hAnsi="宋体" w:cs="宋体"/>
          <w:bCs/>
          <w:szCs w:val="21"/>
          <w:lang w:eastAsia="zh-CN"/>
        </w:rPr>
        <w:t>。</w:t>
      </w:r>
    </w:p>
    <w:p w14:paraId="056EAFA5">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③支持设置每页显示专利条数，每页显示可进行20/50/100条选择</w:t>
      </w:r>
      <w:r>
        <w:rPr>
          <w:rFonts w:hint="eastAsia" w:ascii="宋体" w:hAnsi="宋体" w:cs="宋体"/>
          <w:bCs/>
          <w:szCs w:val="21"/>
          <w:lang w:eastAsia="zh-CN"/>
        </w:rPr>
        <w:t>。</w:t>
      </w:r>
    </w:p>
    <w:p w14:paraId="786F6EED">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④支持设置列表排序方式，排序字段不少于25个，最多支持3个字段同时排序</w:t>
      </w:r>
      <w:r>
        <w:rPr>
          <w:rFonts w:hint="eastAsia" w:ascii="宋体" w:hAnsi="宋体" w:cs="宋体"/>
          <w:bCs/>
          <w:szCs w:val="21"/>
          <w:lang w:eastAsia="zh-CN"/>
        </w:rPr>
        <w:t>。</w:t>
      </w:r>
    </w:p>
    <w:p w14:paraId="5F4B2A22">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⑤支持选择专利号码或机构专利进行预警跟踪，预警内容包括专利状态（新增专利、被引用更新、新增同族专利、法律状态更新、专利许可、专利 转让、专利权人变更、专利即将到期）更新提醒，可设置预警频率及接收预警信息方式</w:t>
      </w:r>
      <w:r>
        <w:rPr>
          <w:rFonts w:hint="eastAsia" w:ascii="宋体" w:hAnsi="宋体" w:cs="宋体"/>
          <w:bCs/>
          <w:szCs w:val="21"/>
          <w:lang w:eastAsia="zh-CN"/>
        </w:rPr>
        <w:t>。</w:t>
      </w:r>
    </w:p>
    <w:p w14:paraId="09860F94">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⑥支持选择专利进行专利分类收藏</w:t>
      </w:r>
      <w:r>
        <w:rPr>
          <w:rFonts w:hint="eastAsia" w:ascii="宋体" w:hAnsi="宋体" w:cs="宋体"/>
          <w:bCs/>
          <w:szCs w:val="21"/>
          <w:lang w:eastAsia="zh-CN"/>
        </w:rPr>
        <w:t>。</w:t>
      </w:r>
    </w:p>
    <w:p w14:paraId="4F1BD4C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⑦支持选择专利进行专利导出，导出文件格式包括xlsx、xls、docx、xml、pdf；支持自定义导出范围、导出模板；可选择不同字段导出，字段不少于100个</w:t>
      </w:r>
      <w:r>
        <w:rPr>
          <w:rFonts w:hint="eastAsia" w:ascii="宋体" w:hAnsi="宋体" w:cs="宋体"/>
          <w:bCs/>
          <w:szCs w:val="21"/>
          <w:lang w:eastAsia="zh-CN"/>
        </w:rPr>
        <w:t>。</w:t>
      </w:r>
    </w:p>
    <w:p w14:paraId="13AAA5A1">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⑧支持进行多篇专利两两对比阅读</w:t>
      </w:r>
      <w:r>
        <w:rPr>
          <w:rFonts w:hint="eastAsia" w:ascii="宋体" w:hAnsi="宋体" w:cs="宋体"/>
          <w:bCs/>
          <w:szCs w:val="21"/>
          <w:lang w:eastAsia="zh-CN"/>
        </w:rPr>
        <w:t>。</w:t>
      </w:r>
    </w:p>
    <w:p w14:paraId="1967ACF6">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⑨支持关键词高亮，以不同颜色进行精准高亮标识，帮助展示检索关键词在专利文本中的命中情况</w:t>
      </w:r>
      <w:r>
        <w:rPr>
          <w:rFonts w:hint="eastAsia" w:ascii="宋体" w:hAnsi="宋体" w:cs="宋体"/>
          <w:bCs/>
          <w:szCs w:val="21"/>
          <w:lang w:eastAsia="zh-CN"/>
        </w:rPr>
        <w:t>。</w:t>
      </w:r>
    </w:p>
    <w:p w14:paraId="793992B8">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⑩ 支持设置列表显示字段，字段不少于100个</w:t>
      </w:r>
      <w:r>
        <w:rPr>
          <w:rFonts w:hint="eastAsia" w:ascii="宋体" w:hAnsi="宋体" w:cs="宋体"/>
          <w:bCs/>
          <w:szCs w:val="21"/>
          <w:lang w:eastAsia="zh-CN"/>
        </w:rPr>
        <w:t>。</w:t>
      </w:r>
    </w:p>
    <w:p w14:paraId="6D3FE210">
      <w:pPr>
        <w:spacing w:line="400" w:lineRule="exact"/>
        <w:ind w:firstLine="420" w:firstLineChars="200"/>
        <w:rPr>
          <w:rFonts w:ascii="宋体" w:hAnsi="宋体" w:cs="宋体"/>
          <w:bCs/>
          <w:szCs w:val="21"/>
        </w:rPr>
      </w:pPr>
      <w:r>
        <w:rPr>
          <w:rFonts w:hint="eastAsia" w:ascii="宋体" w:hAnsi="宋体" w:cs="宋体"/>
          <w:bCs/>
          <w:szCs w:val="21"/>
        </w:rPr>
        <w:t>2）机构专利库提供侧边导航栏，支持对专利进行二次检索、不同字段数据即时统计、筛选/排除。</w:t>
      </w:r>
    </w:p>
    <w:p w14:paraId="023EC44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①二次检索输入关键词时可以选择不同的逻辑运算符</w:t>
      </w:r>
      <w:r>
        <w:rPr>
          <w:rFonts w:hint="eastAsia" w:ascii="宋体" w:hAnsi="宋体" w:cs="宋体"/>
          <w:bCs/>
          <w:szCs w:val="21"/>
          <w:lang w:eastAsia="zh-CN"/>
        </w:rPr>
        <w:t>。</w:t>
      </w:r>
    </w:p>
    <w:p w14:paraId="7288C1A7">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②即时统计、筛选/排除字段不少于100个</w:t>
      </w:r>
      <w:r>
        <w:rPr>
          <w:rFonts w:hint="eastAsia" w:ascii="宋体" w:hAnsi="宋体" w:cs="宋体"/>
          <w:bCs/>
          <w:szCs w:val="21"/>
          <w:lang w:eastAsia="zh-CN"/>
        </w:rPr>
        <w:t>。</w:t>
      </w:r>
    </w:p>
    <w:p w14:paraId="6826D601">
      <w:pPr>
        <w:spacing w:line="400" w:lineRule="exact"/>
        <w:ind w:firstLine="420" w:firstLineChars="200"/>
        <w:rPr>
          <w:rFonts w:ascii="宋体" w:hAnsi="宋体" w:cs="宋体"/>
          <w:bCs/>
          <w:szCs w:val="21"/>
        </w:rPr>
      </w:pPr>
      <w:r>
        <w:rPr>
          <w:rFonts w:hint="eastAsia" w:ascii="宋体" w:hAnsi="宋体" w:cs="宋体"/>
          <w:bCs/>
          <w:szCs w:val="21"/>
        </w:rPr>
        <w:t>③导航栏展示已参与过滤的字段内容。当不需要筛选/排除时，点击重置即可恢复完整专利数据。</w:t>
      </w:r>
    </w:p>
    <w:p w14:paraId="1BF9BC7B">
      <w:pPr>
        <w:spacing w:line="400" w:lineRule="exact"/>
        <w:ind w:firstLine="420" w:firstLineChars="200"/>
        <w:rPr>
          <w:rFonts w:ascii="宋体" w:hAnsi="宋体" w:cs="宋体"/>
          <w:bCs/>
          <w:szCs w:val="21"/>
        </w:rPr>
      </w:pPr>
      <w:r>
        <w:rPr>
          <w:rFonts w:hint="eastAsia" w:ascii="宋体" w:hAnsi="宋体" w:cs="宋体"/>
          <w:bCs/>
          <w:szCs w:val="21"/>
        </w:rPr>
        <w:t>3）机构专利库提供专利详情阅读查看，详情信息包含基本信息、法律信息、权利要求、说明书、说明书附图、专利原文、同族信息、引证信息、价值度。</w:t>
      </w:r>
    </w:p>
    <w:p w14:paraId="2C7C7EE7">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①基本信息包括专利标题、摘要、号码、日期、类型、发明人、申请人、专利权人、地址、统计信息、分类号等</w:t>
      </w:r>
      <w:r>
        <w:rPr>
          <w:rFonts w:hint="eastAsia" w:ascii="宋体" w:hAnsi="宋体" w:cs="宋体"/>
          <w:bCs/>
          <w:szCs w:val="21"/>
          <w:lang w:eastAsia="zh-CN"/>
        </w:rPr>
        <w:t>。</w:t>
      </w:r>
    </w:p>
    <w:p w14:paraId="045214ED">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②法律信息包括原始法律信息公开时间、详情及加工后的法律信息标签，如转让、许可、变更、诉讼等信息</w:t>
      </w:r>
      <w:r>
        <w:rPr>
          <w:rFonts w:hint="eastAsia" w:ascii="宋体" w:hAnsi="宋体" w:cs="宋体"/>
          <w:bCs/>
          <w:szCs w:val="21"/>
          <w:lang w:eastAsia="zh-CN"/>
        </w:rPr>
        <w:t>。</w:t>
      </w:r>
    </w:p>
    <w:p w14:paraId="1796A225">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③权利要求支持分段显示，申请/授权文本一键对比</w:t>
      </w:r>
      <w:r>
        <w:rPr>
          <w:rFonts w:hint="eastAsia" w:ascii="宋体" w:hAnsi="宋体" w:cs="宋体"/>
          <w:bCs/>
          <w:szCs w:val="21"/>
          <w:lang w:eastAsia="zh-CN"/>
        </w:rPr>
        <w:t>。</w:t>
      </w:r>
    </w:p>
    <w:p w14:paraId="6FE50655">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④说明书内容及附图支持图文对照阅读，字体大小、附图显示比例调整</w:t>
      </w:r>
      <w:r>
        <w:rPr>
          <w:rFonts w:hint="eastAsia" w:ascii="宋体" w:hAnsi="宋体" w:cs="宋体"/>
          <w:bCs/>
          <w:szCs w:val="21"/>
          <w:lang w:eastAsia="zh-CN"/>
        </w:rPr>
        <w:t>。</w:t>
      </w:r>
    </w:p>
    <w:p w14:paraId="492AE42F">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⑤专利原文支持在线查看</w:t>
      </w:r>
      <w:r>
        <w:rPr>
          <w:rFonts w:hint="eastAsia" w:ascii="宋体" w:hAnsi="宋体" w:cs="宋体"/>
          <w:bCs/>
          <w:szCs w:val="21"/>
          <w:lang w:eastAsia="zh-CN"/>
        </w:rPr>
        <w:t>。</w:t>
      </w:r>
    </w:p>
    <w:p w14:paraId="03A3A16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⑥同族信息支持快速概览及分析</w:t>
      </w:r>
      <w:r>
        <w:rPr>
          <w:rFonts w:hint="eastAsia" w:ascii="宋体" w:hAnsi="宋体" w:cs="宋体"/>
          <w:bCs/>
          <w:szCs w:val="21"/>
          <w:lang w:eastAsia="zh-CN"/>
        </w:rPr>
        <w:t>。</w:t>
      </w:r>
    </w:p>
    <w:p w14:paraId="18B41707">
      <w:pPr>
        <w:spacing w:line="400" w:lineRule="exact"/>
        <w:ind w:firstLine="420" w:firstLineChars="200"/>
        <w:rPr>
          <w:rFonts w:ascii="宋体" w:hAnsi="宋体" w:cs="宋体"/>
          <w:bCs/>
          <w:szCs w:val="21"/>
        </w:rPr>
      </w:pPr>
      <w:r>
        <w:rPr>
          <w:rFonts w:hint="eastAsia" w:ascii="宋体" w:hAnsi="宋体" w:cs="宋体"/>
          <w:bCs/>
          <w:szCs w:val="21"/>
        </w:rPr>
        <w:t>⑦引证信息包括引用信息和被引用信息，支持分析图及列表查看。</w:t>
      </w:r>
    </w:p>
    <w:p w14:paraId="4C7EAB63">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⑧价值度包括评估总分及不同维度分数呈现</w:t>
      </w:r>
      <w:r>
        <w:rPr>
          <w:rFonts w:hint="eastAsia" w:ascii="宋体" w:hAnsi="宋体" w:cs="宋体"/>
          <w:bCs/>
          <w:szCs w:val="21"/>
          <w:lang w:eastAsia="zh-CN"/>
        </w:rPr>
        <w:t>。</w:t>
      </w:r>
    </w:p>
    <w:p w14:paraId="1BBD07E6">
      <w:pPr>
        <w:spacing w:line="400" w:lineRule="exact"/>
        <w:ind w:firstLine="420" w:firstLineChars="200"/>
        <w:rPr>
          <w:rFonts w:ascii="宋体" w:hAnsi="宋体" w:cs="宋体"/>
          <w:bCs/>
          <w:szCs w:val="21"/>
        </w:rPr>
      </w:pPr>
      <w:r>
        <w:rPr>
          <w:rFonts w:hint="eastAsia" w:ascii="宋体" w:hAnsi="宋体" w:cs="宋体"/>
          <w:bCs/>
          <w:szCs w:val="21"/>
        </w:rPr>
        <w:t>⑨外文摘要、权利要求、说明书内容支持翻译中文查看。</w:t>
      </w:r>
    </w:p>
    <w:p w14:paraId="4A873679">
      <w:pPr>
        <w:spacing w:line="400" w:lineRule="exact"/>
        <w:ind w:firstLine="420" w:firstLineChars="200"/>
        <w:rPr>
          <w:rFonts w:ascii="宋体" w:hAnsi="宋体" w:cs="宋体"/>
          <w:bCs/>
          <w:szCs w:val="21"/>
        </w:rPr>
      </w:pPr>
      <w:r>
        <w:rPr>
          <w:rFonts w:hint="eastAsia" w:ascii="宋体" w:hAnsi="宋体" w:cs="宋体"/>
          <w:bCs/>
          <w:szCs w:val="21"/>
        </w:rPr>
        <w:t>4）机构库支持从多维度查看专利分布情况、技术发展趋势等内容，快捷统计分析维度不少于9个，深度技术分析维度不少于3个，支持自定义分析。分析图表类型不少于15种。</w:t>
      </w:r>
    </w:p>
    <w:p w14:paraId="3EDD07C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①快捷统计分析至少包括年份分析、申请人分析、发明人分析、地域分析、代理人及代理机构分析、技术领域分析、法律状态分析、技术生命周期分析、专利价值度分析</w:t>
      </w:r>
      <w:r>
        <w:rPr>
          <w:rFonts w:hint="eastAsia" w:ascii="宋体" w:hAnsi="宋体" w:cs="宋体"/>
          <w:bCs/>
          <w:szCs w:val="21"/>
          <w:lang w:eastAsia="zh-CN"/>
        </w:rPr>
        <w:t>。</w:t>
      </w:r>
    </w:p>
    <w:p w14:paraId="4115F061">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②深度技术分析至少包括技术关键词聚类分析、细胞图分析、专利地图分析</w:t>
      </w:r>
      <w:r>
        <w:rPr>
          <w:rFonts w:hint="eastAsia" w:ascii="宋体" w:hAnsi="宋体" w:cs="宋体"/>
          <w:bCs/>
          <w:szCs w:val="21"/>
          <w:lang w:eastAsia="zh-CN"/>
        </w:rPr>
        <w:t>。</w:t>
      </w:r>
    </w:p>
    <w:p w14:paraId="226A55C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③自定义分析至少包括80个字段组合分析</w:t>
      </w:r>
      <w:r>
        <w:rPr>
          <w:rFonts w:hint="eastAsia" w:ascii="宋体" w:hAnsi="宋体" w:cs="宋体"/>
          <w:bCs/>
          <w:szCs w:val="21"/>
          <w:lang w:eastAsia="zh-CN"/>
        </w:rPr>
        <w:t>。</w:t>
      </w:r>
    </w:p>
    <w:p w14:paraId="4BF6C1B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④图表类型至少包括柱状图、条形图、折线图、环状图、玫瑰图、极坐标图、面积图、树状图、雷达图、地图、环形饼图、关系图、星系图、气泡 图、热力图</w:t>
      </w:r>
      <w:r>
        <w:rPr>
          <w:rFonts w:hint="eastAsia" w:ascii="宋体" w:hAnsi="宋体" w:cs="宋体"/>
          <w:bCs/>
          <w:szCs w:val="21"/>
          <w:lang w:eastAsia="zh-CN"/>
        </w:rPr>
        <w:t>。</w:t>
      </w:r>
    </w:p>
    <w:p w14:paraId="0E4E88B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⑤支持图表数据范围切换、数据标签显示、字号大小及颜色自定义调整</w:t>
      </w:r>
      <w:r>
        <w:rPr>
          <w:rFonts w:hint="eastAsia" w:ascii="宋体" w:hAnsi="宋体" w:cs="宋体"/>
          <w:bCs/>
          <w:szCs w:val="21"/>
          <w:lang w:eastAsia="zh-CN"/>
        </w:rPr>
        <w:t>。</w:t>
      </w:r>
    </w:p>
    <w:p w14:paraId="787BBB4F">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⑥对日常使用频率高的图表形成固定分析模板，维度包括可视化全景分析、专利量趋势分析、部门/学院专利量分析、发明人专利量分析、法律状态分析、转移转化分析、申请人合作分析、技术领域分析</w:t>
      </w:r>
      <w:r>
        <w:rPr>
          <w:rFonts w:hint="eastAsia" w:ascii="宋体" w:hAnsi="宋体" w:cs="宋体"/>
          <w:bCs/>
          <w:szCs w:val="21"/>
          <w:lang w:eastAsia="zh-CN"/>
        </w:rPr>
        <w:t>。</w:t>
      </w:r>
    </w:p>
    <w:p w14:paraId="165C4E2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⑦支持分析图及相应列表数据导出，导出位图、矢量图、统计表</w:t>
      </w:r>
      <w:r>
        <w:rPr>
          <w:rFonts w:hint="eastAsia" w:ascii="宋体" w:hAnsi="宋体" w:cs="宋体"/>
          <w:bCs/>
          <w:szCs w:val="21"/>
          <w:lang w:eastAsia="zh-CN"/>
        </w:rPr>
        <w:t>。</w:t>
      </w:r>
    </w:p>
    <w:p w14:paraId="79BCF30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⑧支持二次检索、数据标签筛选及分析在同一页面呈现，调整数据的同时分析图表同步调整，实现检索-筛选-分析联动</w:t>
      </w:r>
      <w:r>
        <w:rPr>
          <w:rFonts w:hint="eastAsia" w:ascii="宋体" w:hAnsi="宋体" w:cs="宋体"/>
          <w:bCs/>
          <w:szCs w:val="21"/>
          <w:lang w:eastAsia="zh-CN"/>
        </w:rPr>
        <w:t>。</w:t>
      </w:r>
    </w:p>
    <w:p w14:paraId="0925223A">
      <w:pPr>
        <w:spacing w:line="400" w:lineRule="exact"/>
        <w:ind w:firstLine="420" w:firstLineChars="200"/>
        <w:rPr>
          <w:rFonts w:ascii="宋体" w:hAnsi="宋体" w:cs="宋体"/>
          <w:bCs/>
          <w:szCs w:val="21"/>
        </w:rPr>
      </w:pPr>
      <w:r>
        <w:rPr>
          <w:rFonts w:hint="eastAsia" w:ascii="宋体" w:hAnsi="宋体" w:cs="宋体"/>
          <w:bCs/>
          <w:szCs w:val="21"/>
        </w:rPr>
        <w:t>⑨支持分析图表关联具体数据呈现，可点击分析图表数据标签跳转查看该数据下的专利详情。</w:t>
      </w:r>
    </w:p>
    <w:p w14:paraId="622C6169">
      <w:pPr>
        <w:spacing w:line="400" w:lineRule="exact"/>
        <w:ind w:firstLine="420" w:firstLineChars="200"/>
        <w:rPr>
          <w:rFonts w:ascii="宋体" w:hAnsi="宋体" w:cs="宋体"/>
          <w:bCs/>
          <w:szCs w:val="21"/>
        </w:rPr>
      </w:pPr>
      <w:r>
        <w:rPr>
          <w:rFonts w:hint="eastAsia" w:ascii="宋体" w:hAnsi="宋体" w:cs="宋体"/>
          <w:bCs/>
          <w:szCs w:val="21"/>
        </w:rPr>
        <w:t>5）提供报告服务模块，系统支持自动生成机构专利数据年报/月报，月报数量不少于36份，年报数量不少于3份，报告覆盖机构专利概况、新增专利分析、申请人合作分析、发明人团队分析、部门/学院分析、技术分布分析、转移转化分析，支持报告在线下载。</w:t>
      </w:r>
    </w:p>
    <w:p w14:paraId="0913354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6）提供报告管理服务模块，支持用户自定义报告展示栏目，可自定义命名报告导航栏，支持用户管理员管理和维护报告信息，支持平台用户在线投稿</w:t>
      </w:r>
      <w:r>
        <w:rPr>
          <w:rFonts w:hint="eastAsia" w:ascii="宋体" w:hAnsi="宋体" w:cs="宋体"/>
          <w:bCs/>
          <w:szCs w:val="21"/>
          <w:lang w:eastAsia="zh-CN"/>
        </w:rPr>
        <w:t>。</w:t>
      </w:r>
    </w:p>
    <w:p w14:paraId="5E1CE096">
      <w:pPr>
        <w:spacing w:line="400" w:lineRule="exact"/>
        <w:ind w:firstLine="420" w:firstLineChars="200"/>
        <w:rPr>
          <w:rFonts w:ascii="宋体" w:hAnsi="宋体" w:cs="宋体"/>
          <w:bCs/>
          <w:szCs w:val="21"/>
        </w:rPr>
      </w:pPr>
      <w:r>
        <w:rPr>
          <w:rFonts w:hint="eastAsia" w:ascii="宋体" w:hAnsi="宋体" w:cs="宋体"/>
          <w:bCs/>
          <w:szCs w:val="21"/>
        </w:rPr>
        <w:t>7）支持专利数据在线标引，自定义创建机构专利标引分类，多维度标引数据支撑转移转化，实现专利可关联机构部门、部门/学院、课题组等信息，支持发明人及发明人团队专利数据的下载、收藏、标引及预警。</w:t>
      </w:r>
    </w:p>
    <w:p w14:paraId="79D9C003">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1.2.2提供机构知识产权数字图谱服务，可对机构专利整体概况进行可视化呈现，可视化图谱可覆盖的维度包括：专利概况总览、专利价值度分布、转化运营分析、部门/学院专利统计、国外专利统计、申请人合作分析、发明人分析、新增专利概况、法律状态分析等</w:t>
      </w:r>
      <w:r>
        <w:rPr>
          <w:rFonts w:hint="eastAsia" w:ascii="宋体" w:hAnsi="宋体" w:cs="宋体"/>
          <w:bCs/>
          <w:szCs w:val="21"/>
          <w:lang w:eastAsia="zh-CN"/>
        </w:rPr>
        <w:t>。</w:t>
      </w:r>
    </w:p>
    <w:p w14:paraId="39F22BFB">
      <w:pPr>
        <w:spacing w:line="400" w:lineRule="exact"/>
        <w:ind w:firstLine="420" w:firstLineChars="200"/>
        <w:rPr>
          <w:rFonts w:ascii="宋体" w:hAnsi="宋体" w:cs="宋体"/>
          <w:bCs/>
          <w:szCs w:val="21"/>
        </w:rPr>
      </w:pPr>
      <w:r>
        <w:rPr>
          <w:rFonts w:hint="eastAsia" w:ascii="宋体" w:hAnsi="宋体" w:cs="宋体"/>
          <w:bCs/>
          <w:szCs w:val="21"/>
        </w:rPr>
        <w:t>1.2.3提供全国高校专利数据库服务：</w:t>
      </w:r>
    </w:p>
    <w:p w14:paraId="6222343F">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1）收录全国所有高校的发明、实用新型和外观设计公开专利数据，支持实时查询全国高校专利的发展动态及趋势</w:t>
      </w:r>
      <w:r>
        <w:rPr>
          <w:rFonts w:hint="eastAsia" w:ascii="宋体" w:hAnsi="宋体" w:cs="宋体"/>
          <w:bCs/>
          <w:szCs w:val="21"/>
          <w:lang w:eastAsia="zh-CN"/>
        </w:rPr>
        <w:t>。</w:t>
      </w:r>
    </w:p>
    <w:p w14:paraId="42D6D4B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2）支持针对全国高校、各省/直辖市高校及单个高校提供多种横向对比维度，对专利数据进行归类统计，直观呈现各高校专利总量、质量、转化等情况</w:t>
      </w:r>
      <w:r>
        <w:rPr>
          <w:rFonts w:hint="eastAsia" w:ascii="宋体" w:hAnsi="宋体" w:cs="宋体"/>
          <w:bCs/>
          <w:szCs w:val="21"/>
          <w:lang w:eastAsia="zh-CN"/>
        </w:rPr>
        <w:t>。</w:t>
      </w:r>
    </w:p>
    <w:p w14:paraId="383523F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3）用户访问顶部导航栏处的“全国高校库”时，进入全国高校库专利分析全景页，支持切换展示不同高校的专利统计数据信息</w:t>
      </w:r>
      <w:r>
        <w:rPr>
          <w:rFonts w:hint="eastAsia" w:ascii="宋体" w:hAnsi="宋体" w:cs="宋体"/>
          <w:bCs/>
          <w:szCs w:val="21"/>
          <w:lang w:eastAsia="zh-CN"/>
        </w:rPr>
        <w:t>。</w:t>
      </w:r>
    </w:p>
    <w:p w14:paraId="15E42FCE">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4）全国高校库收录数据覆盖不少于全国3000所高校，数据总量不少于146万条</w:t>
      </w:r>
      <w:r>
        <w:rPr>
          <w:rFonts w:hint="eastAsia" w:ascii="宋体" w:hAnsi="宋体" w:cs="宋体"/>
          <w:bCs/>
          <w:szCs w:val="21"/>
          <w:lang w:eastAsia="zh-CN"/>
        </w:rPr>
        <w:t>。</w:t>
      </w:r>
    </w:p>
    <w:p w14:paraId="5175A62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5）全国高校专利数据按省份、高校名称进行数据规整并形成导航条，支持通过省份或高校名称进行机构数据定位</w:t>
      </w:r>
      <w:r>
        <w:rPr>
          <w:rFonts w:hint="eastAsia" w:ascii="宋体" w:hAnsi="宋体" w:cs="宋体"/>
          <w:bCs/>
          <w:szCs w:val="21"/>
          <w:lang w:eastAsia="zh-CN"/>
        </w:rPr>
        <w:t>。</w:t>
      </w:r>
    </w:p>
    <w:p w14:paraId="34E0D508">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6）支持全国高校按照学科分类进行数据规整并形成导航条，支持通过学科分类进行高校数据定位</w:t>
      </w:r>
      <w:r>
        <w:rPr>
          <w:rFonts w:hint="eastAsia" w:ascii="宋体" w:hAnsi="宋体" w:cs="宋体"/>
          <w:bCs/>
          <w:szCs w:val="21"/>
          <w:lang w:eastAsia="zh-CN"/>
        </w:rPr>
        <w:t>。</w:t>
      </w:r>
    </w:p>
    <w:p w14:paraId="1F637CB1">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7）全国高校专利数据按照专利数量、状态、类型、技术领域等维度进行加工、统计、绘制成分析图表，按照省份呈现各区域高校专利数据分布情况</w:t>
      </w:r>
      <w:r>
        <w:rPr>
          <w:rFonts w:hint="eastAsia" w:ascii="宋体" w:hAnsi="宋体" w:cs="宋体"/>
          <w:bCs/>
          <w:szCs w:val="21"/>
          <w:lang w:eastAsia="zh-CN"/>
        </w:rPr>
        <w:t>。</w:t>
      </w:r>
    </w:p>
    <w:p w14:paraId="644968FF">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8）全国高校专利量地域分布图表中呈现数据支持跳转穿透至对应省份高校专利数据分析图表</w:t>
      </w:r>
      <w:r>
        <w:rPr>
          <w:rFonts w:hint="eastAsia" w:ascii="宋体" w:hAnsi="宋体" w:cs="宋体"/>
          <w:bCs/>
          <w:szCs w:val="21"/>
          <w:lang w:eastAsia="zh-CN"/>
        </w:rPr>
        <w:t>。</w:t>
      </w:r>
    </w:p>
    <w:p w14:paraId="1588BF91">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9）支持通过导航条进入高校专利统计页，展示按专利的数量、发明人、合作申请、运营、技术领域等不同维度统计形成的数据图表，可跳转至高校专利数据列表页面查看具体专利详情</w:t>
      </w:r>
      <w:r>
        <w:rPr>
          <w:rFonts w:hint="eastAsia" w:ascii="宋体" w:hAnsi="宋体" w:cs="宋体"/>
          <w:bCs/>
          <w:szCs w:val="21"/>
          <w:lang w:eastAsia="zh-CN"/>
        </w:rPr>
        <w:t>。</w:t>
      </w:r>
    </w:p>
    <w:p w14:paraId="4275EBF0">
      <w:pPr>
        <w:spacing w:line="400" w:lineRule="exact"/>
        <w:ind w:firstLine="420" w:firstLineChars="200"/>
        <w:rPr>
          <w:rFonts w:ascii="宋体" w:hAnsi="宋体" w:cs="宋体"/>
          <w:bCs/>
          <w:szCs w:val="21"/>
        </w:rPr>
      </w:pPr>
      <w:r>
        <w:rPr>
          <w:rFonts w:hint="eastAsia" w:ascii="宋体" w:hAnsi="宋体" w:cs="宋体"/>
          <w:bCs/>
          <w:szCs w:val="21"/>
        </w:rPr>
        <w:t>10）支持高校专利数据横向对比，对比维度至少包括部门/学院信息、基础信息、专利状态、产业分类、专利质量、转化情况六个维度。对比内容支持隐藏相同项或高亮最优项，方便更好</w:t>
      </w:r>
      <w:r>
        <w:rPr>
          <w:rFonts w:hint="eastAsia" w:ascii="宋体" w:hAnsi="宋体" w:cs="宋体"/>
          <w:bCs/>
          <w:szCs w:val="21"/>
          <w:lang w:eastAsia="zh-CN"/>
        </w:rPr>
        <w:t>地</w:t>
      </w:r>
      <w:r>
        <w:rPr>
          <w:rFonts w:hint="eastAsia" w:ascii="宋体" w:hAnsi="宋体" w:cs="宋体"/>
          <w:bCs/>
          <w:szCs w:val="21"/>
        </w:rPr>
        <w:t>观察对比数据。</w:t>
      </w:r>
    </w:p>
    <w:p w14:paraId="73E2B94D">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①部门/学院信息包括院校特色、院校所属、办学类型</w:t>
      </w:r>
      <w:r>
        <w:rPr>
          <w:rFonts w:hint="eastAsia" w:ascii="宋体" w:hAnsi="宋体" w:cs="宋体"/>
          <w:bCs/>
          <w:szCs w:val="21"/>
          <w:lang w:eastAsia="zh-CN"/>
        </w:rPr>
        <w:t>。</w:t>
      </w:r>
    </w:p>
    <w:p w14:paraId="5D2D239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②基础信息包括申请总量、发明申请量、发明授权量、实用新型量、 外观设计量</w:t>
      </w:r>
      <w:r>
        <w:rPr>
          <w:rFonts w:hint="eastAsia" w:ascii="宋体" w:hAnsi="宋体" w:cs="宋体"/>
          <w:bCs/>
          <w:szCs w:val="21"/>
          <w:lang w:eastAsia="zh-CN"/>
        </w:rPr>
        <w:t>。</w:t>
      </w:r>
    </w:p>
    <w:p w14:paraId="0AE33617">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③专利状态包括有效专利量、失效专利量、审查专利量</w:t>
      </w:r>
      <w:r>
        <w:rPr>
          <w:rFonts w:hint="eastAsia" w:ascii="宋体" w:hAnsi="宋体" w:cs="宋体"/>
          <w:bCs/>
          <w:szCs w:val="21"/>
          <w:lang w:eastAsia="zh-CN"/>
        </w:rPr>
        <w:t>。</w:t>
      </w:r>
    </w:p>
    <w:p w14:paraId="0DAAFDFD">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④产业分类包括战略性新兴产业分类</w:t>
      </w:r>
      <w:r>
        <w:rPr>
          <w:rFonts w:hint="eastAsia" w:ascii="宋体" w:hAnsi="宋体" w:cs="宋体"/>
          <w:bCs/>
          <w:szCs w:val="21"/>
          <w:lang w:eastAsia="zh-CN"/>
        </w:rPr>
        <w:t>。</w:t>
      </w:r>
    </w:p>
    <w:p w14:paraId="15B1919F">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⑤专利质量包括平均权利要求数、平均同族数、平均引用数</w:t>
      </w:r>
      <w:r>
        <w:rPr>
          <w:rFonts w:hint="eastAsia" w:ascii="宋体" w:hAnsi="宋体" w:cs="宋体"/>
          <w:bCs/>
          <w:szCs w:val="21"/>
          <w:lang w:eastAsia="zh-CN"/>
        </w:rPr>
        <w:t>。</w:t>
      </w:r>
    </w:p>
    <w:p w14:paraId="0C7551E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⑥转化情况包括许可占比、转让占比、质押占比</w:t>
      </w:r>
      <w:r>
        <w:rPr>
          <w:rFonts w:hint="eastAsia" w:ascii="宋体" w:hAnsi="宋体" w:cs="宋体"/>
          <w:bCs/>
          <w:szCs w:val="21"/>
          <w:lang w:eastAsia="zh-CN"/>
        </w:rPr>
        <w:t>。</w:t>
      </w:r>
    </w:p>
    <w:p w14:paraId="1083BEA9">
      <w:pPr>
        <w:spacing w:line="400" w:lineRule="exact"/>
        <w:ind w:firstLine="420" w:firstLineChars="200"/>
        <w:rPr>
          <w:rFonts w:ascii="宋体" w:hAnsi="宋体" w:cs="宋体"/>
          <w:bCs/>
          <w:szCs w:val="21"/>
        </w:rPr>
      </w:pPr>
      <w:r>
        <w:rPr>
          <w:rFonts w:hint="eastAsia" w:ascii="宋体" w:hAnsi="宋体" w:cs="宋体"/>
          <w:bCs/>
          <w:szCs w:val="21"/>
        </w:rPr>
        <w:t>⑦支持高校专利数据对比分析，分析显示内容至少包括基础信息、专利状态、产业分类、IPC分类、专利质量、转化情况，对比分析图表支持导出。</w:t>
      </w:r>
    </w:p>
    <w:p w14:paraId="2DC9259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11）提供专利数据更新服务，服务期内要求保障数据更新及时有效；其中数据来源包括但不限于</w:t>
      </w:r>
      <w:r>
        <w:rPr>
          <w:rFonts w:hint="eastAsia" w:ascii="宋体" w:hAnsi="宋体" w:cs="宋体"/>
          <w:bCs/>
          <w:szCs w:val="21"/>
          <w:lang w:eastAsia="zh-CN"/>
        </w:rPr>
        <w:t>国家</w:t>
      </w:r>
      <w:r>
        <w:rPr>
          <w:rFonts w:hint="eastAsia" w:ascii="宋体" w:hAnsi="宋体" w:cs="宋体"/>
          <w:bCs/>
          <w:szCs w:val="21"/>
        </w:rPr>
        <w:t>知识产权局和美国专利商标局、欧洲专利局、日本特许厅、韩国特许厅等不少于171个国家、地区及组织的数据信息</w:t>
      </w:r>
      <w:r>
        <w:rPr>
          <w:rFonts w:hint="eastAsia" w:ascii="宋体" w:hAnsi="宋体" w:cs="宋体"/>
          <w:bCs/>
          <w:szCs w:val="21"/>
          <w:lang w:eastAsia="zh-CN"/>
        </w:rPr>
        <w:t>。</w:t>
      </w:r>
    </w:p>
    <w:p w14:paraId="2B7C255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12）提供服务期内的相关数据的迭代更新和维护服务</w:t>
      </w:r>
      <w:r>
        <w:rPr>
          <w:rFonts w:hint="eastAsia" w:ascii="宋体" w:hAnsi="宋体" w:cs="宋体"/>
          <w:bCs/>
          <w:szCs w:val="21"/>
          <w:lang w:eastAsia="zh-CN"/>
        </w:rPr>
        <w:t>。</w:t>
      </w:r>
    </w:p>
    <w:p w14:paraId="25964122">
      <w:pPr>
        <w:spacing w:line="400" w:lineRule="exact"/>
        <w:ind w:firstLine="420" w:firstLineChars="200"/>
        <w:rPr>
          <w:rFonts w:ascii="宋体" w:hAnsi="宋体" w:cs="宋体"/>
          <w:bCs/>
          <w:szCs w:val="21"/>
        </w:rPr>
      </w:pPr>
      <w:r>
        <w:rPr>
          <w:rFonts w:hint="eastAsia" w:ascii="宋体" w:hAnsi="宋体" w:cs="宋体"/>
          <w:bCs/>
          <w:szCs w:val="21"/>
        </w:rPr>
        <w:t>1.3全国高校数据库服务模块</w:t>
      </w:r>
    </w:p>
    <w:p w14:paraId="6E135C24">
      <w:pPr>
        <w:spacing w:line="400" w:lineRule="exact"/>
        <w:ind w:firstLine="420" w:firstLineChars="200"/>
        <w:rPr>
          <w:rFonts w:ascii="宋体" w:hAnsi="宋体" w:cs="宋体"/>
          <w:bCs/>
          <w:szCs w:val="21"/>
        </w:rPr>
      </w:pPr>
      <w:r>
        <w:rPr>
          <w:rFonts w:hint="eastAsia" w:ascii="宋体" w:hAnsi="宋体" w:cs="宋体"/>
          <w:bCs/>
          <w:szCs w:val="21"/>
        </w:rPr>
        <w:t>收录全国3072所高校的发明、实用新型和外观设计公开专利数据，支持实时查询全国高校专利的发展动态及趋势。同步全国高校公开专利数据每月自动更新，充分保障数据及时有效。</w:t>
      </w:r>
    </w:p>
    <w:p w14:paraId="1221C196">
      <w:pPr>
        <w:spacing w:line="400" w:lineRule="exact"/>
        <w:ind w:firstLine="420" w:firstLineChars="200"/>
        <w:rPr>
          <w:rFonts w:ascii="宋体" w:hAnsi="宋体" w:cs="宋体"/>
          <w:bCs/>
          <w:szCs w:val="21"/>
        </w:rPr>
      </w:pPr>
      <w:r>
        <w:rPr>
          <w:rFonts w:hint="eastAsia" w:ascii="宋体" w:hAnsi="宋体" w:cs="宋体"/>
          <w:bCs/>
          <w:szCs w:val="21"/>
        </w:rPr>
        <w:t>针对全国高校、各省/直辖市高校及单个高校提供多种横向对比维度，对专利数据进行归类统计，直观呈现各高校专利总量情况。</w:t>
      </w:r>
    </w:p>
    <w:p w14:paraId="3E468D7F">
      <w:pPr>
        <w:spacing w:line="400" w:lineRule="exact"/>
        <w:ind w:firstLine="420" w:firstLineChars="200"/>
        <w:rPr>
          <w:rFonts w:ascii="宋体" w:hAnsi="宋体" w:cs="宋体"/>
          <w:bCs/>
          <w:szCs w:val="21"/>
        </w:rPr>
      </w:pPr>
      <w:r>
        <w:rPr>
          <w:rFonts w:hint="eastAsia" w:ascii="宋体" w:hAnsi="宋体" w:cs="宋体"/>
          <w:bCs/>
          <w:szCs w:val="21"/>
        </w:rPr>
        <w:t>1.4专利专题库模块</w:t>
      </w:r>
    </w:p>
    <w:p w14:paraId="4236FE26">
      <w:pPr>
        <w:spacing w:line="400" w:lineRule="exact"/>
        <w:ind w:firstLine="420" w:firstLineChars="200"/>
        <w:rPr>
          <w:rFonts w:ascii="宋体" w:hAnsi="宋体" w:cs="宋体"/>
          <w:bCs/>
          <w:szCs w:val="21"/>
        </w:rPr>
      </w:pPr>
      <w:r>
        <w:rPr>
          <w:rFonts w:hint="eastAsia" w:ascii="宋体" w:hAnsi="宋体" w:cs="宋体"/>
          <w:bCs/>
          <w:szCs w:val="21"/>
        </w:rPr>
        <w:t>提供重点技术专利专题库服务：提供机构重点技术专利专题库服务，基于全球专利数据库筛选所得、经过大数据梳理建成的XXX领域、XXX领域、XXX领域等领域专利专题数据库,重点技术专利专题库服务具体要求如下：</w:t>
      </w:r>
    </w:p>
    <w:p w14:paraId="37FB0216">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1）提供专利专题导航服务，可支持创建技术主题3级分类导航，对各分类专利信息进行自动分类管理，并支持在线查看对应分类专利详情</w:t>
      </w:r>
      <w:r>
        <w:rPr>
          <w:rFonts w:hint="eastAsia" w:ascii="宋体" w:hAnsi="宋体" w:cs="宋体"/>
          <w:bCs/>
          <w:szCs w:val="21"/>
          <w:lang w:eastAsia="zh-CN"/>
        </w:rPr>
        <w:t>。</w:t>
      </w:r>
    </w:p>
    <w:p w14:paraId="66BD3832">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2）支持对专利库数据进行智能检索、高级检索、分类检索、法律状态检索、批量检索的多种方式</w:t>
      </w:r>
      <w:r>
        <w:rPr>
          <w:rFonts w:hint="eastAsia" w:ascii="宋体" w:hAnsi="宋体" w:cs="宋体"/>
          <w:bCs/>
          <w:szCs w:val="21"/>
          <w:lang w:eastAsia="zh-CN"/>
        </w:rPr>
        <w:t>。</w:t>
      </w:r>
    </w:p>
    <w:p w14:paraId="75BF9C9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①智能检索支持对专利公开号、申请号、标题、摘要、申请人、发明人、专利权人等多个字段的模糊匹配，实现快速简单的检索；也可以直接编辑检索式检索。可启用同义词功能。该功能可在“同义词管理”页面进行管理</w:t>
      </w:r>
      <w:r>
        <w:rPr>
          <w:rFonts w:hint="eastAsia" w:ascii="宋体" w:hAnsi="宋体" w:cs="宋体"/>
          <w:bCs/>
          <w:szCs w:val="21"/>
          <w:lang w:eastAsia="zh-CN"/>
        </w:rPr>
        <w:t>。</w:t>
      </w:r>
    </w:p>
    <w:p w14:paraId="60E9A5B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②高级检索可帮助用户进行复杂检索式的构建，在表格中输入检索词后，下方会自动生成检索式，用户可进行预检索预览结果数量或直接检索</w:t>
      </w:r>
      <w:r>
        <w:rPr>
          <w:rFonts w:hint="eastAsia" w:ascii="宋体" w:hAnsi="宋体" w:cs="宋体"/>
          <w:bCs/>
          <w:szCs w:val="21"/>
          <w:lang w:eastAsia="zh-CN"/>
        </w:rPr>
        <w:t>。</w:t>
      </w:r>
    </w:p>
    <w:p w14:paraId="0BE0C63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③分类检索支持IPC、CPC、国民经济分类、战略</w:t>
      </w:r>
      <w:r>
        <w:rPr>
          <w:rFonts w:hint="eastAsia" w:ascii="宋体" w:hAnsi="宋体" w:cs="宋体"/>
          <w:bCs/>
          <w:szCs w:val="21"/>
          <w:lang w:eastAsia="zh-CN"/>
        </w:rPr>
        <w:t>性</w:t>
      </w:r>
      <w:r>
        <w:rPr>
          <w:rFonts w:hint="eastAsia" w:ascii="宋体" w:hAnsi="宋体" w:cs="宋体"/>
          <w:bCs/>
          <w:szCs w:val="21"/>
        </w:rPr>
        <w:t>新兴产业、洛迦诺分类、双十产业集群、数字经济核心产业检索七种分类号的检索。同时可直接搜索对应的关键字来匹配对应的分类信息</w:t>
      </w:r>
      <w:r>
        <w:rPr>
          <w:rFonts w:hint="eastAsia" w:ascii="宋体" w:hAnsi="宋体" w:cs="宋体"/>
          <w:bCs/>
          <w:szCs w:val="21"/>
          <w:lang w:eastAsia="zh-CN"/>
        </w:rPr>
        <w:t>。</w:t>
      </w:r>
    </w:p>
    <w:p w14:paraId="21D3934E">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④需要了解专利申请、审查、许可、转让、质押的法律信息时，可以通过法律状态检索来检索并获取对应信息。专利申请、审查、专利许可、专利转让以及专利质押均支持检索，方便统计以及查阅涉诉专利相关情况。同时还能根据法律事件信息进行关键词搜索</w:t>
      </w:r>
      <w:r>
        <w:rPr>
          <w:rFonts w:hint="eastAsia" w:ascii="宋体" w:hAnsi="宋体" w:cs="宋体"/>
          <w:bCs/>
          <w:szCs w:val="21"/>
          <w:lang w:eastAsia="zh-CN"/>
        </w:rPr>
        <w:t>。</w:t>
      </w:r>
    </w:p>
    <w:p w14:paraId="0C3454F2">
      <w:pPr>
        <w:spacing w:line="400" w:lineRule="exact"/>
        <w:ind w:firstLine="420" w:firstLineChars="200"/>
        <w:rPr>
          <w:rFonts w:ascii="宋体" w:hAnsi="宋体" w:cs="宋体"/>
          <w:bCs/>
          <w:szCs w:val="21"/>
        </w:rPr>
      </w:pPr>
      <w:r>
        <w:rPr>
          <w:rFonts w:hint="eastAsia" w:ascii="宋体" w:hAnsi="宋体" w:cs="宋体"/>
          <w:bCs/>
          <w:szCs w:val="21"/>
        </w:rPr>
        <w:t>⑤批量检索可批量导入申请号、公开号或申请人进行批量检索。导入文件支持TXT、EXCEL格式，导入或者直接输入信息后，点击提交得到结果，点击检索跳转至检索结果页面。</w:t>
      </w:r>
    </w:p>
    <w:p w14:paraId="17F8E4D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3）系统可按照专题主</w:t>
      </w:r>
      <w:r>
        <w:rPr>
          <w:rFonts w:hint="eastAsia" w:ascii="宋体" w:hAnsi="宋体" w:cs="宋体"/>
          <w:bCs/>
          <w:szCs w:val="21"/>
          <w:lang w:eastAsia="zh-CN"/>
        </w:rPr>
        <w:t>题</w:t>
      </w:r>
      <w:r>
        <w:rPr>
          <w:rFonts w:hint="eastAsia" w:ascii="宋体" w:hAnsi="宋体" w:cs="宋体"/>
          <w:bCs/>
          <w:szCs w:val="21"/>
        </w:rPr>
        <w:t>导航，进行自动数据更新，系统会将每期更新的主</w:t>
      </w:r>
      <w:r>
        <w:rPr>
          <w:rFonts w:hint="eastAsia" w:ascii="宋体" w:hAnsi="宋体" w:cs="宋体"/>
          <w:bCs/>
          <w:szCs w:val="21"/>
          <w:lang w:eastAsia="zh-CN"/>
        </w:rPr>
        <w:t>题</w:t>
      </w:r>
      <w:r>
        <w:rPr>
          <w:rFonts w:hint="eastAsia" w:ascii="宋体" w:hAnsi="宋体" w:cs="宋体"/>
          <w:bCs/>
          <w:szCs w:val="21"/>
        </w:rPr>
        <w:t>项，形成提醒标记，方便了解每周对应主题更新情况</w:t>
      </w:r>
      <w:r>
        <w:rPr>
          <w:rFonts w:hint="eastAsia" w:ascii="宋体" w:hAnsi="宋体" w:cs="宋体"/>
          <w:bCs/>
          <w:szCs w:val="21"/>
          <w:lang w:eastAsia="zh-CN"/>
        </w:rPr>
        <w:t>。</w:t>
      </w:r>
    </w:p>
    <w:p w14:paraId="78A9522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4）支持平台管理后台对技术主题导航管理服务，可自定义增删技术主题，配置主题检索信息，平台自动对各分类导航管理，并提供数据的自动更新入库、检索及多维度分析</w:t>
      </w:r>
      <w:r>
        <w:rPr>
          <w:rFonts w:hint="eastAsia" w:ascii="宋体" w:hAnsi="宋体" w:cs="宋体"/>
          <w:bCs/>
          <w:szCs w:val="21"/>
          <w:lang w:eastAsia="zh-CN"/>
        </w:rPr>
        <w:t>。</w:t>
      </w:r>
    </w:p>
    <w:p w14:paraId="6195FF16">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①用户后台可进行主题层级的创建、排序、编辑、删除操作</w:t>
      </w:r>
      <w:r>
        <w:rPr>
          <w:rFonts w:hint="eastAsia" w:ascii="宋体" w:hAnsi="宋体" w:cs="宋体"/>
          <w:bCs/>
          <w:szCs w:val="21"/>
          <w:lang w:eastAsia="zh-CN"/>
        </w:rPr>
        <w:t>。</w:t>
      </w:r>
    </w:p>
    <w:p w14:paraId="29ED21F0">
      <w:pPr>
        <w:spacing w:line="400" w:lineRule="exact"/>
        <w:ind w:firstLine="420" w:firstLineChars="200"/>
        <w:rPr>
          <w:rFonts w:ascii="宋体" w:hAnsi="宋体" w:cs="宋体"/>
          <w:bCs/>
          <w:szCs w:val="21"/>
        </w:rPr>
      </w:pPr>
      <w:r>
        <w:rPr>
          <w:rFonts w:hint="eastAsia" w:ascii="宋体" w:hAnsi="宋体" w:cs="宋体"/>
          <w:bCs/>
          <w:szCs w:val="21"/>
        </w:rPr>
        <w:t>②用户可发布或下架对应技术主题，发布后的主题，系统将根据主题检索进行数据自动同步。</w:t>
      </w:r>
    </w:p>
    <w:p w14:paraId="20C0AEE4">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5）技术导航分类专利信息每周更新2次，数据更新范围覆盖全球数据</w:t>
      </w:r>
      <w:r>
        <w:rPr>
          <w:rFonts w:hint="eastAsia" w:ascii="宋体" w:hAnsi="宋体" w:cs="宋体"/>
          <w:bCs/>
          <w:szCs w:val="21"/>
          <w:lang w:eastAsia="zh-CN"/>
        </w:rPr>
        <w:t>。</w:t>
      </w:r>
    </w:p>
    <w:p w14:paraId="7FA67D34">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6）技术主题信息支持多维度统计分析，支持对数据进行可覆盖年份分析、申请人分析、发明人分析、地域分析、代理人及机构、技术领域分析、法律状态分析、其他分析、自定义分析；可在线生成分析图表，并支持用户在线下载图表信息</w:t>
      </w:r>
      <w:r>
        <w:rPr>
          <w:rFonts w:hint="eastAsia" w:ascii="宋体" w:hAnsi="宋体" w:cs="宋体"/>
          <w:bCs/>
          <w:szCs w:val="21"/>
          <w:lang w:eastAsia="zh-CN"/>
        </w:rPr>
        <w:t>。</w:t>
      </w:r>
    </w:p>
    <w:p w14:paraId="7273A1F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7）提供专利数据更新服务，服务期内要求保障数据更新及时有效；其中数据来源包括但不限于</w:t>
      </w:r>
      <w:r>
        <w:rPr>
          <w:rFonts w:hint="eastAsia" w:ascii="宋体" w:hAnsi="宋体" w:cs="宋体"/>
          <w:bCs/>
          <w:szCs w:val="21"/>
          <w:lang w:eastAsia="zh-CN"/>
        </w:rPr>
        <w:t>国家</w:t>
      </w:r>
      <w:r>
        <w:rPr>
          <w:rFonts w:hint="eastAsia" w:ascii="宋体" w:hAnsi="宋体" w:cs="宋体"/>
          <w:bCs/>
          <w:szCs w:val="21"/>
        </w:rPr>
        <w:t>知识产权局和美国专利商标局、欧洲专利局、日本特许厅、韩国特许厅等不少于171个国家、地区及组织的数据信息</w:t>
      </w:r>
      <w:r>
        <w:rPr>
          <w:rFonts w:hint="eastAsia" w:ascii="宋体" w:hAnsi="宋体" w:cs="宋体"/>
          <w:bCs/>
          <w:szCs w:val="21"/>
          <w:lang w:eastAsia="zh-CN"/>
        </w:rPr>
        <w:t>。</w:t>
      </w:r>
    </w:p>
    <w:p w14:paraId="56A47E78">
      <w:pPr>
        <w:spacing w:line="400" w:lineRule="exact"/>
        <w:ind w:firstLine="420" w:firstLineChars="200"/>
        <w:rPr>
          <w:rFonts w:ascii="宋体" w:hAnsi="宋体" w:cs="宋体"/>
          <w:bCs/>
          <w:szCs w:val="21"/>
        </w:rPr>
      </w:pPr>
      <w:r>
        <w:rPr>
          <w:rFonts w:hint="eastAsia" w:ascii="宋体" w:hAnsi="宋体" w:cs="宋体"/>
          <w:bCs/>
          <w:szCs w:val="21"/>
        </w:rPr>
        <w:t>8）提供服务期内的相关数据的迭代更新和维护服务。</w:t>
      </w:r>
    </w:p>
    <w:p w14:paraId="0BEF0518">
      <w:pPr>
        <w:spacing w:line="400" w:lineRule="exact"/>
        <w:ind w:firstLine="420" w:firstLineChars="200"/>
        <w:rPr>
          <w:rFonts w:hint="eastAsia" w:ascii="宋体" w:hAnsi="宋体" w:cs="宋体"/>
          <w:bCs/>
          <w:szCs w:val="21"/>
        </w:rPr>
      </w:pPr>
      <w:r>
        <w:rPr>
          <w:rFonts w:hint="eastAsia" w:ascii="宋体" w:hAnsi="宋体" w:cs="宋体"/>
          <w:bCs/>
          <w:szCs w:val="21"/>
        </w:rPr>
        <w:t>1.5数字图谱</w:t>
      </w:r>
    </w:p>
    <w:p w14:paraId="4AB4DFB7">
      <w:pPr>
        <w:spacing w:line="400" w:lineRule="exact"/>
        <w:ind w:firstLine="420" w:firstLineChars="200"/>
        <w:rPr>
          <w:rFonts w:hint="eastAsia" w:ascii="宋体" w:hAnsi="宋体" w:cs="宋体"/>
          <w:bCs/>
          <w:szCs w:val="21"/>
        </w:rPr>
      </w:pPr>
      <w:r>
        <w:rPr>
          <w:rFonts w:hint="eastAsia" w:ascii="宋体" w:hAnsi="宋体" w:cs="宋体"/>
          <w:bCs/>
          <w:szCs w:val="21"/>
        </w:rPr>
        <w:t>提供可视化数据分析图谱，对机构专利整体概况进行可视化呈现，可视化图谱可覆盖的维度包括：专利概况总览、专利价值度分布、转化运营分析、部门/学院专利统计、国外专利统计、申请人合作分析、发明人分析、新增专利概况、法律状态分析等。</w:t>
      </w:r>
    </w:p>
    <w:p w14:paraId="62BEA63B">
      <w:pPr>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1.6IP学院</w:t>
      </w:r>
    </w:p>
    <w:p w14:paraId="5BE84E99">
      <w:pPr>
        <w:spacing w:line="400" w:lineRule="exact"/>
        <w:ind w:firstLine="420" w:firstLineChars="200"/>
        <w:rPr>
          <w:rFonts w:ascii="宋体" w:hAnsi="宋体" w:cs="宋体"/>
          <w:bCs/>
          <w:szCs w:val="21"/>
        </w:rPr>
      </w:pPr>
      <w:r>
        <w:rPr>
          <w:rFonts w:hint="eastAsia" w:ascii="宋体" w:hAnsi="宋体" w:cs="宋体"/>
          <w:bCs/>
          <w:szCs w:val="21"/>
        </w:rPr>
        <w:t>IP学院是奥凯信息咨询&amp;奥凯TISC中心咨研团队针对知识产权全生命周期所需的知识内容进行科学、专业规划得出的系统课程服务。</w:t>
      </w:r>
    </w:p>
    <w:p w14:paraId="4DC3D155">
      <w:pPr>
        <w:spacing w:line="400" w:lineRule="exact"/>
        <w:ind w:firstLine="420" w:firstLineChars="200"/>
        <w:rPr>
          <w:rFonts w:ascii="宋体" w:hAnsi="宋体" w:cs="宋体"/>
          <w:bCs/>
          <w:szCs w:val="21"/>
        </w:rPr>
      </w:pPr>
      <w:r>
        <w:rPr>
          <w:rFonts w:hint="eastAsia" w:ascii="宋体" w:hAnsi="宋体" w:cs="宋体"/>
          <w:bCs/>
          <w:szCs w:val="21"/>
        </w:rPr>
        <w:t>课程遵循理论与实践相结合的理念，提供丰富的教学资源和一站式课堂服务，以知识产权线上学习模拟为核心，同</w:t>
      </w:r>
      <w:r>
        <w:rPr>
          <w:rFonts w:hint="eastAsia" w:ascii="宋体" w:hAnsi="宋体" w:cs="宋体"/>
          <w:bCs/>
          <w:szCs w:val="21"/>
          <w:lang w:eastAsia="zh-CN"/>
        </w:rPr>
        <w:t>时</w:t>
      </w:r>
      <w:r>
        <w:rPr>
          <w:rFonts w:hint="eastAsia" w:ascii="宋体" w:hAnsi="宋体" w:cs="宋体"/>
          <w:bCs/>
          <w:szCs w:val="21"/>
        </w:rPr>
        <w:t>支持用户自定义创建丰富的课程分类及课程栏目，帮助从业者加深对知识产权工作的理解认知从而获得全面、系统的知识产权知识，提升其专利信息运营能力。</w:t>
      </w:r>
    </w:p>
    <w:p w14:paraId="02305894">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lang w:val="en-US" w:eastAsia="zh-CN"/>
        </w:rPr>
        <w:t>2</w:t>
      </w:r>
      <w:r>
        <w:rPr>
          <w:rFonts w:hint="eastAsia" w:ascii="宋体" w:hAnsi="宋体" w:cs="宋体"/>
          <w:bCs/>
          <w:szCs w:val="21"/>
        </w:rPr>
        <w:t>.校园IP范围内访问登录，支持VPN登录访问</w:t>
      </w:r>
      <w:r>
        <w:rPr>
          <w:rFonts w:hint="eastAsia" w:ascii="宋体" w:hAnsi="宋体" w:cs="宋体"/>
          <w:bCs/>
          <w:szCs w:val="21"/>
          <w:lang w:eastAsia="zh-CN"/>
        </w:rPr>
        <w:t>。</w:t>
      </w:r>
    </w:p>
    <w:p w14:paraId="2E07EE8D">
      <w:pPr>
        <w:spacing w:line="400" w:lineRule="exact"/>
        <w:ind w:firstLine="420" w:firstLineChars="200"/>
        <w:rPr>
          <w:rFonts w:hint="eastAsia" w:ascii="宋体" w:hAnsi="宋体" w:cs="宋体"/>
          <w:bCs/>
          <w:szCs w:val="21"/>
        </w:rPr>
      </w:pPr>
      <w:r>
        <w:rPr>
          <w:rFonts w:hint="eastAsia" w:ascii="宋体" w:hAnsi="宋体" w:cs="宋体"/>
          <w:bCs/>
          <w:szCs w:val="21"/>
          <w:lang w:val="en-US" w:eastAsia="zh-CN"/>
        </w:rPr>
        <w:t>3.</w:t>
      </w:r>
      <w:r>
        <w:rPr>
          <w:rFonts w:hint="eastAsia" w:ascii="宋体" w:hAnsi="宋体" w:eastAsia="宋体" w:cs="宋体"/>
          <w:bCs/>
          <w:sz w:val="21"/>
          <w:szCs w:val="21"/>
        </w:rPr>
        <w:t>服务期内，配合</w:t>
      </w:r>
      <w:r>
        <w:rPr>
          <w:rFonts w:hint="eastAsia" w:ascii="宋体" w:hAnsi="宋体" w:cs="宋体"/>
          <w:bCs/>
          <w:sz w:val="21"/>
          <w:szCs w:val="21"/>
          <w:lang w:eastAsia="zh-CN"/>
        </w:rPr>
        <w:t>采购人</w:t>
      </w:r>
      <w:r>
        <w:rPr>
          <w:rFonts w:hint="eastAsia" w:ascii="宋体" w:hAnsi="宋体" w:eastAsia="宋体" w:cs="宋体"/>
          <w:bCs/>
          <w:sz w:val="21"/>
          <w:szCs w:val="21"/>
          <w:lang w:val="en-US" w:eastAsia="zh-CN"/>
        </w:rPr>
        <w:t>无条件</w:t>
      </w:r>
      <w:r>
        <w:rPr>
          <w:rFonts w:hint="eastAsia" w:ascii="宋体" w:hAnsi="宋体" w:eastAsia="宋体" w:cs="宋体"/>
          <w:bCs/>
          <w:sz w:val="21"/>
          <w:szCs w:val="21"/>
        </w:rPr>
        <w:t>提供数据库培训等活动一年内不少于2次，具体时间和形式，双方协商确认。</w:t>
      </w:r>
    </w:p>
    <w:p w14:paraId="51D7A56D">
      <w:pPr>
        <w:spacing w:line="400" w:lineRule="exact"/>
        <w:ind w:firstLine="420" w:firstLineChars="200"/>
        <w:rPr>
          <w:rFonts w:hint="default" w:ascii="宋体" w:hAnsi="宋体" w:cs="宋体"/>
          <w:bCs/>
          <w:szCs w:val="21"/>
          <w:lang w:val="en-US" w:eastAsia="zh-CN"/>
        </w:rPr>
      </w:pPr>
      <w:r>
        <w:rPr>
          <w:rFonts w:hint="eastAsia" w:ascii="宋体" w:hAnsi="宋体" w:cs="宋体"/>
          <w:bCs/>
          <w:szCs w:val="21"/>
          <w:lang w:val="en-US" w:eastAsia="zh-CN"/>
        </w:rPr>
        <w:t>4.</w:t>
      </w:r>
      <w:r>
        <w:rPr>
          <w:rFonts w:hint="eastAsia" w:ascii="宋体" w:hAnsi="宋体" w:cs="宋体"/>
          <w:bCs/>
          <w:szCs w:val="21"/>
        </w:rPr>
        <w:t>提供网络、电话及E-mail支持服务，响应时间不超过24小时</w:t>
      </w:r>
      <w:r>
        <w:rPr>
          <w:rFonts w:hint="eastAsia" w:ascii="宋体" w:hAnsi="宋体" w:cs="宋体"/>
          <w:bCs/>
          <w:szCs w:val="21"/>
          <w:lang w:eastAsia="zh-CN"/>
        </w:rPr>
        <w:t>。</w:t>
      </w:r>
    </w:p>
    <w:p w14:paraId="1D068F9C">
      <w:pPr>
        <w:spacing w:line="400" w:lineRule="exact"/>
        <w:ind w:firstLine="420" w:firstLineChars="200"/>
        <w:rPr>
          <w:rFonts w:hint="default" w:ascii="宋体" w:hAnsi="宋体" w:eastAsia="宋体" w:cs="宋体"/>
          <w:bCs/>
          <w:szCs w:val="21"/>
          <w:lang w:val="en-US" w:eastAsia="zh-CN"/>
        </w:rPr>
      </w:pPr>
      <w:r>
        <w:rPr>
          <w:rFonts w:hint="eastAsia" w:ascii="宋体" w:hAnsi="宋体" w:cs="宋体"/>
          <w:bCs/>
          <w:szCs w:val="21"/>
          <w:lang w:val="en-US" w:eastAsia="zh-CN"/>
        </w:rPr>
        <w:t>5.</w:t>
      </w:r>
      <w:r>
        <w:rPr>
          <w:rFonts w:hint="eastAsia" w:ascii="宋体" w:hAnsi="宋体" w:cs="宋体"/>
          <w:bCs/>
          <w:szCs w:val="21"/>
        </w:rPr>
        <w:t>服务</w:t>
      </w:r>
      <w:r>
        <w:rPr>
          <w:rFonts w:hint="eastAsia" w:ascii="宋体" w:hAnsi="宋体" w:cs="宋体"/>
          <w:bCs/>
          <w:szCs w:val="21"/>
          <w:lang w:eastAsia="zh-CN"/>
        </w:rPr>
        <w:t>期限</w:t>
      </w:r>
      <w:r>
        <w:rPr>
          <w:rFonts w:hint="eastAsia" w:ascii="宋体" w:hAnsi="宋体" w:cs="宋体"/>
          <w:bCs/>
          <w:szCs w:val="21"/>
        </w:rPr>
        <w:t>：202</w:t>
      </w:r>
      <w:r>
        <w:rPr>
          <w:rFonts w:hint="eastAsia" w:ascii="宋体" w:hAnsi="宋体" w:cs="宋体"/>
          <w:bCs/>
          <w:szCs w:val="21"/>
          <w:lang w:val="en-US" w:eastAsia="zh-CN"/>
        </w:rPr>
        <w:t>6</w:t>
      </w:r>
      <w:r>
        <w:rPr>
          <w:rFonts w:hint="eastAsia" w:ascii="宋体" w:hAnsi="宋体" w:cs="宋体"/>
          <w:bCs/>
          <w:szCs w:val="21"/>
          <w:lang w:eastAsia="zh-CN"/>
        </w:rPr>
        <w:t>年</w:t>
      </w:r>
      <w:r>
        <w:rPr>
          <w:rFonts w:hint="eastAsia" w:ascii="宋体" w:hAnsi="宋体" w:cs="宋体"/>
          <w:bCs/>
          <w:szCs w:val="21"/>
          <w:lang w:val="en-US" w:eastAsia="zh-CN"/>
        </w:rPr>
        <w:t>1</w:t>
      </w:r>
      <w:r>
        <w:rPr>
          <w:rFonts w:hint="eastAsia" w:ascii="宋体" w:hAnsi="宋体" w:cs="宋体"/>
          <w:bCs/>
          <w:szCs w:val="21"/>
          <w:lang w:eastAsia="zh-CN"/>
        </w:rPr>
        <w:t>月</w:t>
      </w:r>
      <w:r>
        <w:rPr>
          <w:rFonts w:hint="eastAsia" w:ascii="宋体" w:hAnsi="宋体" w:cs="宋体"/>
          <w:bCs/>
          <w:szCs w:val="21"/>
        </w:rPr>
        <w:t>1</w:t>
      </w:r>
      <w:r>
        <w:rPr>
          <w:rFonts w:hint="eastAsia" w:ascii="宋体" w:hAnsi="宋体" w:cs="宋体"/>
          <w:bCs/>
          <w:szCs w:val="21"/>
          <w:lang w:eastAsia="zh-CN"/>
        </w:rPr>
        <w:t>日至</w:t>
      </w:r>
      <w:r>
        <w:rPr>
          <w:rFonts w:hint="eastAsia" w:ascii="宋体" w:hAnsi="宋体" w:cs="宋体"/>
          <w:bCs/>
          <w:szCs w:val="21"/>
        </w:rPr>
        <w:t>2026</w:t>
      </w:r>
      <w:r>
        <w:rPr>
          <w:rFonts w:hint="eastAsia" w:ascii="宋体" w:hAnsi="宋体" w:cs="宋体"/>
          <w:bCs/>
          <w:szCs w:val="21"/>
          <w:lang w:eastAsia="zh-CN"/>
        </w:rPr>
        <w:t>年</w:t>
      </w:r>
      <w:r>
        <w:rPr>
          <w:rFonts w:hint="eastAsia" w:ascii="宋体" w:hAnsi="宋体" w:cs="宋体"/>
          <w:bCs/>
          <w:szCs w:val="21"/>
          <w:lang w:val="en-US" w:eastAsia="zh-CN"/>
        </w:rPr>
        <w:t>12</w:t>
      </w:r>
      <w:r>
        <w:rPr>
          <w:rFonts w:hint="eastAsia" w:ascii="宋体" w:hAnsi="宋体" w:cs="宋体"/>
          <w:bCs/>
          <w:szCs w:val="21"/>
          <w:lang w:eastAsia="zh-CN"/>
        </w:rPr>
        <w:t>月</w:t>
      </w:r>
      <w:r>
        <w:rPr>
          <w:rFonts w:hint="eastAsia" w:ascii="宋体" w:hAnsi="宋体" w:cs="宋体"/>
          <w:bCs/>
          <w:szCs w:val="21"/>
        </w:rPr>
        <w:t>31</w:t>
      </w:r>
      <w:r>
        <w:rPr>
          <w:rFonts w:hint="eastAsia" w:ascii="宋体" w:hAnsi="宋体" w:cs="宋体"/>
          <w:bCs/>
          <w:szCs w:val="21"/>
          <w:lang w:eastAsia="zh-CN"/>
        </w:rPr>
        <w:t>日。</w:t>
      </w:r>
    </w:p>
    <w:p w14:paraId="0E0885EE">
      <w:pPr>
        <w:spacing w:line="400" w:lineRule="exact"/>
        <w:rPr>
          <w:rFonts w:ascii="宋体" w:hAnsi="宋体" w:cs="宋体"/>
          <w:szCs w:val="21"/>
        </w:rPr>
      </w:pPr>
    </w:p>
    <w:p w14:paraId="390DE2EE">
      <w:pPr>
        <w:spacing w:line="400" w:lineRule="exact"/>
        <w:rPr>
          <w:rFonts w:ascii="宋体" w:hAnsi="宋体" w:cs="宋体"/>
          <w:b/>
          <w:szCs w:val="21"/>
        </w:rPr>
      </w:pPr>
      <w:r>
        <w:rPr>
          <w:rFonts w:hint="eastAsia" w:ascii="宋体" w:hAnsi="宋体" w:cs="宋体"/>
          <w:b/>
          <w:szCs w:val="21"/>
        </w:rPr>
        <w:br w:type="page"/>
      </w:r>
      <w:r>
        <w:rPr>
          <w:rFonts w:hint="eastAsia" w:ascii="宋体" w:hAnsi="宋体" w:cs="宋体"/>
          <w:b/>
          <w:szCs w:val="21"/>
        </w:rPr>
        <w:t xml:space="preserve">    标项十一（燕递）：</w:t>
      </w:r>
    </w:p>
    <w:p w14:paraId="3716144D">
      <w:pPr>
        <w:spacing w:line="400" w:lineRule="exact"/>
        <w:ind w:firstLine="420" w:firstLineChars="200"/>
        <w:rPr>
          <w:rFonts w:hint="eastAsia" w:ascii="宋体" w:hAnsi="宋体" w:eastAsia="宋体" w:cs="宋体"/>
          <w:bCs/>
          <w:szCs w:val="21"/>
          <w:lang w:val="en-US" w:eastAsia="zh-CN"/>
        </w:rPr>
      </w:pPr>
      <w:r>
        <w:rPr>
          <w:rFonts w:hint="eastAsia" w:ascii="宋体" w:hAnsi="宋体" w:cs="宋体"/>
          <w:bCs/>
          <w:szCs w:val="21"/>
        </w:rPr>
        <w:t>1.资源类型和数量</w:t>
      </w:r>
    </w:p>
    <w:p w14:paraId="5CA6E4A2">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1.1国外电子期刊：&gt;50000种，核心期刊&gt;15000种，日增&gt;6000篇文章</w:t>
      </w:r>
      <w:r>
        <w:rPr>
          <w:rFonts w:hint="eastAsia" w:ascii="宋体" w:hAnsi="宋体" w:cs="宋体"/>
          <w:bCs/>
          <w:szCs w:val="21"/>
          <w:lang w:eastAsia="zh-CN"/>
        </w:rPr>
        <w:t>。</w:t>
      </w:r>
    </w:p>
    <w:p w14:paraId="307C993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1.2国外电子图书：&gt;100000种</w:t>
      </w:r>
      <w:r>
        <w:rPr>
          <w:rFonts w:hint="eastAsia" w:ascii="宋体" w:hAnsi="宋体" w:cs="宋体"/>
          <w:bCs/>
          <w:szCs w:val="21"/>
          <w:lang w:eastAsia="zh-CN"/>
        </w:rPr>
        <w:t>。</w:t>
      </w:r>
    </w:p>
    <w:p w14:paraId="1DA0C4B1">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1.3预印本论文：&gt;35000篇</w:t>
      </w:r>
      <w:r>
        <w:rPr>
          <w:rFonts w:hint="eastAsia" w:ascii="宋体" w:hAnsi="宋体" w:cs="宋体"/>
          <w:bCs/>
          <w:szCs w:val="21"/>
          <w:lang w:eastAsia="zh-CN"/>
        </w:rPr>
        <w:t>。</w:t>
      </w:r>
    </w:p>
    <w:p w14:paraId="7CE75AE3">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1.4专业视频：&gt;50000段</w:t>
      </w:r>
      <w:r>
        <w:rPr>
          <w:rFonts w:hint="eastAsia" w:ascii="宋体" w:hAnsi="宋体" w:cs="宋体"/>
          <w:bCs/>
          <w:szCs w:val="21"/>
          <w:lang w:eastAsia="zh-CN"/>
        </w:rPr>
        <w:t>。</w:t>
      </w:r>
    </w:p>
    <w:p w14:paraId="52F53C74">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1.5临床指南：&gt;3000篇</w:t>
      </w:r>
      <w:r>
        <w:rPr>
          <w:rFonts w:hint="eastAsia" w:ascii="宋体" w:hAnsi="宋体" w:cs="宋体"/>
          <w:bCs/>
          <w:szCs w:val="21"/>
          <w:lang w:eastAsia="zh-CN"/>
        </w:rPr>
        <w:t>。</w:t>
      </w:r>
    </w:p>
    <w:p w14:paraId="6F261A5E">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1.6专业资讯（新闻、快报）：&gt;30000篇，每日更新</w:t>
      </w:r>
      <w:r>
        <w:rPr>
          <w:rFonts w:hint="eastAsia" w:ascii="宋体" w:hAnsi="宋体" w:cs="宋体"/>
          <w:bCs/>
          <w:szCs w:val="21"/>
          <w:lang w:eastAsia="zh-CN"/>
        </w:rPr>
        <w:t>。</w:t>
      </w:r>
    </w:p>
    <w:p w14:paraId="2B64FB0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1.7专业网站：&gt;1000个</w:t>
      </w:r>
      <w:r>
        <w:rPr>
          <w:rFonts w:hint="eastAsia" w:ascii="宋体" w:hAnsi="宋体" w:cs="宋体"/>
          <w:bCs/>
          <w:szCs w:val="21"/>
          <w:lang w:eastAsia="zh-CN"/>
        </w:rPr>
        <w:t>。</w:t>
      </w:r>
    </w:p>
    <w:p w14:paraId="6A6A736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1.8学科覆盖范围：医学、经管、教育、工程技术、信息科技、理学等一级学科</w:t>
      </w:r>
      <w:r>
        <w:rPr>
          <w:rFonts w:hint="eastAsia" w:ascii="宋体" w:hAnsi="宋体" w:cs="宋体"/>
          <w:bCs/>
          <w:szCs w:val="21"/>
          <w:lang w:eastAsia="zh-CN"/>
        </w:rPr>
        <w:t>。</w:t>
      </w:r>
    </w:p>
    <w:p w14:paraId="1DAA463B">
      <w:pPr>
        <w:spacing w:line="400" w:lineRule="exact"/>
        <w:ind w:firstLine="420" w:firstLineChars="200"/>
        <w:rPr>
          <w:rFonts w:ascii="宋体" w:hAnsi="宋体" w:cs="宋体"/>
          <w:bCs/>
          <w:szCs w:val="21"/>
        </w:rPr>
      </w:pPr>
      <w:r>
        <w:rPr>
          <w:rFonts w:hint="eastAsia" w:ascii="宋体" w:hAnsi="宋体" w:cs="宋体"/>
          <w:bCs/>
          <w:szCs w:val="21"/>
        </w:rPr>
        <w:t>2.资源收录时间：期刊1950年至今，其余文献类型2000年至今。</w:t>
      </w:r>
    </w:p>
    <w:p w14:paraId="604A2F52">
      <w:pPr>
        <w:spacing w:line="400" w:lineRule="exact"/>
        <w:ind w:firstLine="420" w:firstLineChars="200"/>
        <w:rPr>
          <w:rFonts w:ascii="宋体" w:hAnsi="宋体" w:cs="宋体"/>
          <w:bCs/>
          <w:szCs w:val="21"/>
        </w:rPr>
      </w:pPr>
      <w:r>
        <w:rPr>
          <w:rFonts w:hint="eastAsia" w:ascii="宋体" w:hAnsi="宋体" w:cs="宋体"/>
          <w:bCs/>
          <w:szCs w:val="21"/>
        </w:rPr>
        <w:t>3.资源更新频率：期刊文献每日更新。</w:t>
      </w:r>
    </w:p>
    <w:p w14:paraId="69D3315C">
      <w:pPr>
        <w:spacing w:line="400" w:lineRule="exact"/>
        <w:ind w:firstLine="420" w:firstLineChars="200"/>
        <w:rPr>
          <w:rFonts w:ascii="宋体" w:hAnsi="宋体" w:cs="宋体"/>
          <w:bCs/>
          <w:szCs w:val="21"/>
        </w:rPr>
      </w:pPr>
      <w:r>
        <w:rPr>
          <w:rFonts w:hint="eastAsia" w:ascii="宋体" w:hAnsi="宋体" w:cs="宋体"/>
          <w:bCs/>
          <w:szCs w:val="21"/>
        </w:rPr>
        <w:t>4.资源更新速度：期刊文献比PubMed快1周以上。</w:t>
      </w:r>
    </w:p>
    <w:p w14:paraId="55678BD1">
      <w:pPr>
        <w:spacing w:line="400" w:lineRule="exact"/>
        <w:ind w:firstLine="420" w:firstLineChars="200"/>
        <w:rPr>
          <w:rFonts w:ascii="宋体" w:hAnsi="宋体" w:cs="宋体"/>
          <w:bCs/>
          <w:szCs w:val="21"/>
        </w:rPr>
      </w:pPr>
      <w:r>
        <w:rPr>
          <w:rFonts w:hint="eastAsia" w:ascii="宋体" w:hAnsi="宋体" w:cs="宋体"/>
          <w:bCs/>
          <w:szCs w:val="21"/>
        </w:rPr>
        <w:t>5.订阅推送</w:t>
      </w:r>
    </w:p>
    <w:p w14:paraId="079A0CFE">
      <w:pPr>
        <w:spacing w:line="400" w:lineRule="exact"/>
        <w:ind w:firstLine="420" w:firstLineChars="200"/>
        <w:rPr>
          <w:rFonts w:ascii="宋体" w:hAnsi="宋体" w:cs="宋体"/>
          <w:bCs/>
          <w:szCs w:val="21"/>
        </w:rPr>
      </w:pPr>
      <w:r>
        <w:rPr>
          <w:rFonts w:hint="eastAsia" w:ascii="宋体" w:hAnsi="宋体" w:cs="宋体"/>
          <w:bCs/>
          <w:szCs w:val="21"/>
        </w:rPr>
        <w:t>5.1期刊订阅推送：按刊名订阅与读者研究方向相同或相近的国外核心期刊，系统自动推送最新一期的论文；期刊涵盖了PubMed及SCI数据库中的全部核心期刊。</w:t>
      </w:r>
    </w:p>
    <w:p w14:paraId="4176A8F3">
      <w:pPr>
        <w:spacing w:line="400" w:lineRule="exact"/>
        <w:ind w:firstLine="420" w:firstLineChars="200"/>
        <w:rPr>
          <w:rFonts w:ascii="宋体" w:hAnsi="宋体" w:cs="宋体"/>
          <w:bCs/>
          <w:szCs w:val="21"/>
        </w:rPr>
      </w:pPr>
      <w:r>
        <w:rPr>
          <w:rFonts w:hint="eastAsia" w:ascii="宋体" w:hAnsi="宋体" w:cs="宋体"/>
          <w:bCs/>
          <w:szCs w:val="21"/>
        </w:rPr>
        <w:t>5.2其他文献类型订阅推送：可按学科或主题订阅其他文献类型，系统自动推送最新文献，满足个性化需求。</w:t>
      </w:r>
    </w:p>
    <w:p w14:paraId="65F31D3A">
      <w:pPr>
        <w:spacing w:line="400" w:lineRule="exact"/>
        <w:ind w:firstLine="420" w:firstLineChars="200"/>
        <w:rPr>
          <w:rFonts w:ascii="宋体" w:hAnsi="宋体" w:cs="宋体"/>
          <w:bCs/>
          <w:szCs w:val="21"/>
        </w:rPr>
      </w:pPr>
      <w:r>
        <w:rPr>
          <w:rFonts w:hint="eastAsia" w:ascii="宋体" w:hAnsi="宋体" w:cs="宋体"/>
          <w:bCs/>
          <w:szCs w:val="21"/>
        </w:rPr>
        <w:t>6.检索浏览</w:t>
      </w:r>
    </w:p>
    <w:p w14:paraId="33FC9CCA">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6.1检索字段：期刊论文提供全部字段、标题、摘要、主题词（MeSH）、主要主题词（MJME）、作者、作者单位、出版商、期刊名称、卷、期等字段检索</w:t>
      </w:r>
      <w:r>
        <w:rPr>
          <w:rFonts w:hint="eastAsia" w:ascii="宋体" w:hAnsi="宋体" w:cs="宋体"/>
          <w:bCs/>
          <w:szCs w:val="21"/>
          <w:lang w:eastAsia="zh-CN"/>
        </w:rPr>
        <w:t>。</w:t>
      </w:r>
    </w:p>
    <w:p w14:paraId="110ABA4B">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6.2在同一字段内，支持单词或词组检索，词组自动拆分成单词进行逻辑与AND运算</w:t>
      </w:r>
      <w:r>
        <w:rPr>
          <w:rFonts w:hint="eastAsia" w:ascii="宋体" w:hAnsi="宋体" w:cs="宋体"/>
          <w:bCs/>
          <w:szCs w:val="21"/>
          <w:lang w:eastAsia="zh-CN"/>
        </w:rPr>
        <w:t>。</w:t>
      </w:r>
    </w:p>
    <w:p w14:paraId="69B76FE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6.3支持多条件（字段）的复杂布尔逻辑（AND、OR、NOT）检索</w:t>
      </w:r>
      <w:r>
        <w:rPr>
          <w:rFonts w:hint="eastAsia" w:ascii="宋体" w:hAnsi="宋体" w:cs="宋体"/>
          <w:bCs/>
          <w:szCs w:val="21"/>
          <w:lang w:eastAsia="zh-CN"/>
        </w:rPr>
        <w:t>。</w:t>
      </w:r>
    </w:p>
    <w:p w14:paraId="7241FD04">
      <w:pPr>
        <w:spacing w:line="400" w:lineRule="exact"/>
        <w:ind w:firstLine="420" w:firstLineChars="200"/>
        <w:rPr>
          <w:rFonts w:ascii="宋体" w:hAnsi="宋体" w:cs="宋体"/>
          <w:bCs/>
          <w:szCs w:val="21"/>
        </w:rPr>
      </w:pPr>
      <w:r>
        <w:rPr>
          <w:rFonts w:hint="eastAsia" w:ascii="宋体" w:hAnsi="宋体" w:cs="宋体"/>
          <w:bCs/>
          <w:szCs w:val="21"/>
        </w:rPr>
        <w:t>7.检索结果过滤与精炼</w:t>
      </w:r>
    </w:p>
    <w:p w14:paraId="4E75F34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7.1直接修改检索表达式</w:t>
      </w:r>
      <w:r>
        <w:rPr>
          <w:rFonts w:hint="eastAsia" w:ascii="宋体" w:hAnsi="宋体" w:cs="宋体"/>
          <w:bCs/>
          <w:szCs w:val="21"/>
          <w:lang w:eastAsia="zh-CN"/>
        </w:rPr>
        <w:t>。</w:t>
      </w:r>
    </w:p>
    <w:p w14:paraId="1C226649">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7.2聚类过滤：提供出版年、期刊、主题、文献类型等字段的过滤筛选和精炼</w:t>
      </w:r>
      <w:r>
        <w:rPr>
          <w:rFonts w:hint="eastAsia" w:ascii="宋体" w:hAnsi="宋体" w:cs="宋体"/>
          <w:bCs/>
          <w:szCs w:val="21"/>
          <w:lang w:eastAsia="zh-CN"/>
        </w:rPr>
        <w:t>。</w:t>
      </w:r>
    </w:p>
    <w:p w14:paraId="15B6FD7C">
      <w:pPr>
        <w:spacing w:line="400" w:lineRule="exact"/>
        <w:ind w:firstLine="420" w:firstLineChars="200"/>
        <w:rPr>
          <w:rFonts w:ascii="宋体" w:hAnsi="宋体" w:cs="宋体"/>
          <w:bCs/>
          <w:szCs w:val="21"/>
        </w:rPr>
      </w:pPr>
      <w:r>
        <w:rPr>
          <w:rFonts w:hint="eastAsia" w:ascii="宋体" w:hAnsi="宋体" w:cs="宋体"/>
          <w:bCs/>
          <w:szCs w:val="21"/>
        </w:rPr>
        <w:t>8.检索结果输出</w:t>
      </w:r>
    </w:p>
    <w:p w14:paraId="03663DB1">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8.1检索结果显示：标题（中英对照）、作者、摘要（中英对照）、来源（刊名、年、卷、期、页码）、发布时间、全文（OA直接下载）、全文获取（本地馆藏提供全文链接、非本地馆藏自动转接馆际互借系统）；可查看每个检索结果的“施引文献”和“相似文献”</w:t>
      </w:r>
      <w:r>
        <w:rPr>
          <w:rFonts w:hint="eastAsia" w:ascii="宋体" w:hAnsi="宋体" w:cs="宋体"/>
          <w:bCs/>
          <w:szCs w:val="21"/>
          <w:lang w:eastAsia="zh-CN"/>
        </w:rPr>
        <w:t>。</w:t>
      </w:r>
    </w:p>
    <w:p w14:paraId="4D990B18">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8.2检索结果收藏：对密切相关文献或中意文献进行收藏，在个人空间可随时阅读</w:t>
      </w:r>
      <w:r>
        <w:rPr>
          <w:rFonts w:hint="eastAsia" w:ascii="宋体" w:hAnsi="宋体" w:cs="宋体"/>
          <w:bCs/>
          <w:szCs w:val="21"/>
          <w:lang w:eastAsia="zh-CN"/>
        </w:rPr>
        <w:t>。</w:t>
      </w:r>
    </w:p>
    <w:p w14:paraId="6F5CBF85">
      <w:pPr>
        <w:spacing w:line="400" w:lineRule="exact"/>
        <w:ind w:firstLine="420" w:firstLineChars="200"/>
        <w:rPr>
          <w:rFonts w:ascii="宋体" w:hAnsi="宋体" w:cs="宋体"/>
          <w:bCs/>
          <w:szCs w:val="21"/>
        </w:rPr>
      </w:pPr>
      <w:r>
        <w:rPr>
          <w:rFonts w:hint="eastAsia" w:ascii="宋体" w:hAnsi="宋体" w:cs="宋体"/>
          <w:bCs/>
          <w:szCs w:val="21"/>
        </w:rPr>
        <w:t>8.3检索结果分享、保存和打印：手机App版可将检索结果分享至微信好友；Web版全文可下载保存、打印输出。</w:t>
      </w:r>
    </w:p>
    <w:p w14:paraId="1385EDC5">
      <w:pPr>
        <w:spacing w:line="400" w:lineRule="exact"/>
        <w:ind w:firstLine="420" w:firstLineChars="200"/>
        <w:rPr>
          <w:rFonts w:ascii="宋体" w:hAnsi="宋体" w:cs="宋体"/>
          <w:bCs/>
          <w:szCs w:val="21"/>
        </w:rPr>
      </w:pPr>
      <w:r>
        <w:rPr>
          <w:rFonts w:hint="eastAsia" w:ascii="宋体" w:hAnsi="宋体" w:cs="宋体"/>
          <w:bCs/>
          <w:szCs w:val="21"/>
        </w:rPr>
        <w:t>9.文献英汉对照即时翻译：提供文献题录、摘要、全文以及视频字幕在线即时中文翻译，全文中文译本与原文版式风格保持一致，英汉翻译准确度&gt;85%（优化翻译引擎后可达到95%以上）。</w:t>
      </w:r>
    </w:p>
    <w:p w14:paraId="50E81544">
      <w:pPr>
        <w:spacing w:line="400" w:lineRule="exact"/>
        <w:ind w:firstLine="420" w:firstLineChars="200"/>
        <w:rPr>
          <w:rFonts w:ascii="宋体" w:hAnsi="宋体" w:cs="宋体"/>
          <w:bCs/>
          <w:szCs w:val="21"/>
        </w:rPr>
      </w:pPr>
      <w:r>
        <w:rPr>
          <w:rFonts w:hint="eastAsia" w:ascii="宋体" w:hAnsi="宋体" w:cs="宋体"/>
          <w:bCs/>
          <w:szCs w:val="21"/>
        </w:rPr>
        <w:t>10.全文保障</w:t>
      </w:r>
    </w:p>
    <w:p w14:paraId="7D7F8C7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10.1OA文献全文：直接下载PDF文档</w:t>
      </w:r>
      <w:r>
        <w:rPr>
          <w:rFonts w:hint="eastAsia" w:ascii="宋体" w:hAnsi="宋体" w:cs="宋体"/>
          <w:bCs/>
          <w:szCs w:val="21"/>
          <w:lang w:eastAsia="zh-CN"/>
        </w:rPr>
        <w:t>。</w:t>
      </w:r>
    </w:p>
    <w:p w14:paraId="156BD15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10.2用户订购授权使用的全文：篇目层次充分揭示，提供全文下载链接</w:t>
      </w:r>
      <w:r>
        <w:rPr>
          <w:rFonts w:hint="eastAsia" w:ascii="宋体" w:hAnsi="宋体" w:cs="宋体"/>
          <w:bCs/>
          <w:szCs w:val="21"/>
          <w:lang w:eastAsia="zh-CN"/>
        </w:rPr>
        <w:t>。</w:t>
      </w:r>
    </w:p>
    <w:p w14:paraId="7B8D5FC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10.3非OA用户未订购文献全文：通过CALIS文献传递系统获得</w:t>
      </w:r>
      <w:r>
        <w:rPr>
          <w:rFonts w:hint="eastAsia" w:ascii="宋体" w:hAnsi="宋体" w:cs="宋体"/>
          <w:bCs/>
          <w:szCs w:val="21"/>
          <w:lang w:eastAsia="zh-CN"/>
        </w:rPr>
        <w:t>。</w:t>
      </w:r>
    </w:p>
    <w:p w14:paraId="6D854014">
      <w:pPr>
        <w:spacing w:line="400" w:lineRule="exact"/>
        <w:ind w:firstLine="420" w:firstLineChars="200"/>
        <w:rPr>
          <w:rFonts w:ascii="宋体" w:hAnsi="宋体" w:cs="宋体"/>
          <w:bCs/>
          <w:szCs w:val="21"/>
        </w:rPr>
      </w:pPr>
      <w:r>
        <w:rPr>
          <w:rFonts w:hint="eastAsia" w:ascii="宋体" w:hAnsi="宋体" w:cs="宋体"/>
          <w:bCs/>
          <w:szCs w:val="21"/>
        </w:rPr>
        <w:t>10.4全文保障率&gt;95%。</w:t>
      </w:r>
    </w:p>
    <w:p w14:paraId="4C581E59">
      <w:pPr>
        <w:spacing w:line="400" w:lineRule="exact"/>
        <w:ind w:firstLine="420" w:firstLineChars="200"/>
        <w:rPr>
          <w:rFonts w:ascii="宋体" w:hAnsi="宋体" w:cs="宋体"/>
          <w:bCs/>
          <w:szCs w:val="21"/>
        </w:rPr>
      </w:pPr>
      <w:r>
        <w:rPr>
          <w:rFonts w:hint="eastAsia" w:ascii="宋体" w:hAnsi="宋体" w:cs="宋体"/>
          <w:bCs/>
          <w:szCs w:val="21"/>
        </w:rPr>
        <w:t>11.个性化服务：订阅推送、收藏、检索式最新结果跟踪、个人空间。</w:t>
      </w:r>
    </w:p>
    <w:p w14:paraId="12D7681F">
      <w:pPr>
        <w:spacing w:line="400" w:lineRule="exact"/>
        <w:ind w:firstLine="420" w:firstLineChars="200"/>
        <w:rPr>
          <w:rFonts w:ascii="宋体" w:hAnsi="宋体" w:cs="宋体"/>
          <w:bCs/>
          <w:szCs w:val="21"/>
        </w:rPr>
      </w:pPr>
      <w:r>
        <w:rPr>
          <w:rFonts w:hint="eastAsia" w:ascii="宋体" w:hAnsi="宋体" w:cs="宋体"/>
          <w:bCs/>
          <w:szCs w:val="21"/>
        </w:rPr>
        <w:t>12.多终端多模式使用：提供手机App版，手机H5版，电脑Web版等多种使用模式，满足用户在不同场景下移动设备和桌面设备的切换使用。</w:t>
      </w:r>
    </w:p>
    <w:p w14:paraId="08B8EC51">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13.整合用户机构统一认证系统或CALIS统一认证系统，同时可对图书馆馆藏外文期刊资源统一揭示，实现统一发现。校园IP范围内访问登录，支持VPN访问</w:t>
      </w:r>
      <w:r>
        <w:rPr>
          <w:rFonts w:hint="eastAsia" w:ascii="宋体" w:hAnsi="宋体" w:cs="宋体"/>
          <w:bCs/>
          <w:szCs w:val="21"/>
          <w:lang w:eastAsia="zh-CN"/>
        </w:rPr>
        <w:t>。</w:t>
      </w:r>
    </w:p>
    <w:p w14:paraId="37055632">
      <w:pPr>
        <w:spacing w:line="400" w:lineRule="exact"/>
        <w:ind w:firstLine="420" w:firstLineChars="200"/>
        <w:rPr>
          <w:rFonts w:ascii="宋体" w:hAnsi="宋体" w:cs="宋体"/>
          <w:bCs/>
          <w:szCs w:val="21"/>
        </w:rPr>
      </w:pPr>
      <w:r>
        <w:rPr>
          <w:rFonts w:hint="eastAsia" w:ascii="宋体" w:hAnsi="宋体" w:cs="宋体"/>
          <w:bCs/>
          <w:szCs w:val="21"/>
        </w:rPr>
        <w:t>14.产品合作支持证明文件：知名专家测评鉴定报告、与CALIS管理中心战略合作备忘录、CALIS馆际互借/文献传递系统授权接入证明、中国版权保护中心中国网络版权维权联盟监制声明、与人民卫生出版社下属的北京人卫智数科技有限公司合作协议书、与科学出版社下属的中科数字出版传媒有限公司合作协议书等。</w:t>
      </w:r>
    </w:p>
    <w:p w14:paraId="009DE0AE">
      <w:pPr>
        <w:spacing w:line="400" w:lineRule="exact"/>
        <w:ind w:firstLine="420" w:firstLineChars="200"/>
        <w:rPr>
          <w:rFonts w:ascii="宋体" w:hAnsi="宋体" w:cs="宋体"/>
          <w:bCs/>
          <w:szCs w:val="21"/>
        </w:rPr>
      </w:pPr>
      <w:r>
        <w:rPr>
          <w:rFonts w:hint="eastAsia" w:ascii="宋体" w:hAnsi="宋体" w:cs="宋体"/>
          <w:bCs/>
          <w:szCs w:val="21"/>
        </w:rPr>
        <w:t>15.服务期内，为</w:t>
      </w:r>
      <w:r>
        <w:rPr>
          <w:rFonts w:hint="eastAsia" w:ascii="宋体" w:hAnsi="宋体" w:cs="宋体"/>
          <w:bCs/>
          <w:szCs w:val="21"/>
          <w:lang w:eastAsia="zh-CN"/>
        </w:rPr>
        <w:t>采购人</w:t>
      </w:r>
      <w:r>
        <w:rPr>
          <w:rFonts w:hint="eastAsia" w:ascii="宋体" w:hAnsi="宋体" w:cs="宋体"/>
          <w:szCs w:val="21"/>
          <w:lang w:eastAsia="zh-CN"/>
        </w:rPr>
        <w:t>无条件</w:t>
      </w:r>
      <w:r>
        <w:rPr>
          <w:rFonts w:hint="eastAsia" w:ascii="宋体" w:hAnsi="宋体" w:cs="宋体"/>
          <w:bCs/>
          <w:szCs w:val="21"/>
        </w:rPr>
        <w:t>提供数据库培训等活动一年内不少于2次，具体时间和形式，双方协商确认。</w:t>
      </w:r>
    </w:p>
    <w:p w14:paraId="60A1EC6A">
      <w:pPr>
        <w:spacing w:line="400" w:lineRule="exact"/>
        <w:ind w:firstLine="420" w:firstLineChars="200"/>
        <w:rPr>
          <w:rFonts w:ascii="宋体" w:hAnsi="宋体" w:cs="宋体"/>
          <w:bCs/>
          <w:szCs w:val="21"/>
        </w:rPr>
      </w:pPr>
      <w:r>
        <w:rPr>
          <w:rFonts w:hint="eastAsia" w:ascii="宋体" w:hAnsi="宋体" w:cs="宋体"/>
          <w:bCs/>
          <w:szCs w:val="21"/>
        </w:rPr>
        <w:t>16.定期提供数据库使用统计。</w:t>
      </w:r>
    </w:p>
    <w:p w14:paraId="1F0A9B16">
      <w:pPr>
        <w:spacing w:line="400" w:lineRule="exact"/>
        <w:ind w:firstLine="420" w:firstLineChars="200"/>
        <w:rPr>
          <w:rFonts w:hint="eastAsia" w:ascii="宋体" w:hAnsi="宋体" w:cs="宋体"/>
          <w:bCs/>
          <w:szCs w:val="21"/>
        </w:rPr>
      </w:pPr>
      <w:r>
        <w:rPr>
          <w:rFonts w:hint="eastAsia" w:ascii="宋体" w:hAnsi="宋体" w:cs="宋体"/>
          <w:bCs/>
          <w:szCs w:val="21"/>
        </w:rPr>
        <w:t>17.提供网络、电话及E-mail支持服务，响应时间不超过24小时。</w:t>
      </w:r>
    </w:p>
    <w:p w14:paraId="0B7FEC4D">
      <w:pPr>
        <w:spacing w:line="400" w:lineRule="exact"/>
        <w:ind w:firstLine="420" w:firstLineChars="200"/>
        <w:rPr>
          <w:rFonts w:ascii="宋体" w:hAnsi="宋体" w:cs="宋体"/>
          <w:bCs/>
          <w:szCs w:val="21"/>
        </w:rPr>
      </w:pPr>
      <w:r>
        <w:rPr>
          <w:rFonts w:hint="eastAsia" w:ascii="宋体" w:hAnsi="宋体" w:cs="宋体"/>
          <w:bCs/>
          <w:szCs w:val="21"/>
          <w:lang w:val="en-US" w:eastAsia="zh-CN"/>
        </w:rPr>
        <w:t>18.</w:t>
      </w:r>
      <w:r>
        <w:rPr>
          <w:rFonts w:hint="eastAsia" w:ascii="宋体" w:hAnsi="宋体" w:cs="宋体"/>
          <w:bCs/>
          <w:szCs w:val="21"/>
        </w:rPr>
        <w:t>服务期限：202</w:t>
      </w:r>
      <w:r>
        <w:rPr>
          <w:rFonts w:hint="eastAsia" w:ascii="宋体" w:hAnsi="宋体" w:cs="宋体"/>
          <w:bCs/>
          <w:szCs w:val="21"/>
          <w:lang w:val="en-US" w:eastAsia="zh-CN"/>
        </w:rPr>
        <w:t>6</w:t>
      </w:r>
      <w:r>
        <w:rPr>
          <w:rFonts w:hint="eastAsia" w:ascii="宋体" w:hAnsi="宋体" w:cs="宋体"/>
          <w:bCs/>
          <w:szCs w:val="21"/>
        </w:rPr>
        <w:t>年</w:t>
      </w:r>
      <w:r>
        <w:rPr>
          <w:rFonts w:hint="eastAsia" w:ascii="宋体" w:hAnsi="宋体" w:cs="宋体"/>
          <w:bCs/>
          <w:szCs w:val="21"/>
          <w:lang w:val="en-US" w:eastAsia="zh-CN"/>
        </w:rPr>
        <w:t>1</w:t>
      </w:r>
      <w:r>
        <w:rPr>
          <w:rFonts w:hint="eastAsia" w:ascii="宋体" w:hAnsi="宋体" w:cs="宋体"/>
          <w:bCs/>
          <w:szCs w:val="21"/>
        </w:rPr>
        <w:t>月1日至2026年</w:t>
      </w:r>
      <w:r>
        <w:rPr>
          <w:rFonts w:hint="eastAsia" w:ascii="宋体" w:hAnsi="宋体" w:cs="宋体"/>
          <w:bCs/>
          <w:szCs w:val="21"/>
          <w:lang w:val="en-US" w:eastAsia="zh-CN"/>
        </w:rPr>
        <w:t>12</w:t>
      </w:r>
      <w:r>
        <w:rPr>
          <w:rFonts w:hint="eastAsia" w:ascii="宋体" w:hAnsi="宋体" w:cs="宋体"/>
          <w:bCs/>
          <w:szCs w:val="21"/>
        </w:rPr>
        <w:t>月31日。</w:t>
      </w:r>
      <w:r>
        <w:rPr>
          <w:rFonts w:hint="eastAsia" w:ascii="宋体" w:hAnsi="宋体" w:cs="宋体"/>
          <w:bCs/>
          <w:szCs w:val="21"/>
        </w:rPr>
        <w:br w:type="page"/>
      </w:r>
    </w:p>
    <w:p w14:paraId="08442EA4">
      <w:pPr>
        <w:spacing w:line="400" w:lineRule="exact"/>
        <w:ind w:firstLine="422" w:firstLineChars="200"/>
        <w:rPr>
          <w:rFonts w:ascii="宋体" w:hAnsi="宋体" w:cs="宋体"/>
          <w:b/>
          <w:szCs w:val="21"/>
        </w:rPr>
      </w:pPr>
      <w:r>
        <w:rPr>
          <w:rFonts w:hint="eastAsia" w:ascii="宋体" w:hAnsi="宋体" w:cs="宋体"/>
          <w:b/>
          <w:szCs w:val="21"/>
        </w:rPr>
        <w:t>标项十二（未来学堂）：</w:t>
      </w:r>
    </w:p>
    <w:p w14:paraId="4ECB087C">
      <w:pPr>
        <w:spacing w:line="400" w:lineRule="exact"/>
        <w:ind w:firstLine="420" w:firstLineChars="200"/>
        <w:rPr>
          <w:rFonts w:ascii="宋体" w:hAnsi="宋体" w:cs="宋体"/>
          <w:bCs/>
          <w:szCs w:val="21"/>
        </w:rPr>
      </w:pPr>
      <w:bookmarkStart w:id="64" w:name="_Toc12831"/>
      <w:r>
        <w:rPr>
          <w:rFonts w:hint="eastAsia" w:ascii="宋体" w:hAnsi="宋体" w:cs="宋体"/>
          <w:bCs/>
          <w:szCs w:val="21"/>
        </w:rPr>
        <w:t>1.项目采购内容</w:t>
      </w:r>
      <w:bookmarkEnd w:id="64"/>
    </w:p>
    <w:p w14:paraId="5E114DBE">
      <w:pPr>
        <w:spacing w:line="400" w:lineRule="exact"/>
        <w:ind w:firstLine="420" w:firstLineChars="200"/>
        <w:rPr>
          <w:rFonts w:ascii="宋体" w:hAnsi="宋体" w:cs="宋体"/>
          <w:bCs/>
          <w:szCs w:val="21"/>
        </w:rPr>
      </w:pPr>
      <w:r>
        <w:rPr>
          <w:rFonts w:hint="eastAsia" w:ascii="宋体" w:hAnsi="宋体" w:cs="宋体"/>
          <w:bCs/>
          <w:szCs w:val="21"/>
        </w:rPr>
        <w:t>本次采购主要内容为未来学堂—教育资源库及案例系统，分为</w:t>
      </w:r>
      <w:r>
        <w:rPr>
          <w:rFonts w:hint="eastAsia" w:ascii="宋体" w:hAnsi="宋体" w:cs="宋体"/>
          <w:bCs/>
          <w:szCs w:val="21"/>
          <w:lang w:eastAsia="zh-Hans"/>
        </w:rPr>
        <w:t>系统服务平台</w:t>
      </w:r>
      <w:r>
        <w:rPr>
          <w:rFonts w:hint="eastAsia" w:ascii="宋体" w:hAnsi="宋体" w:cs="宋体"/>
          <w:bCs/>
          <w:szCs w:val="21"/>
        </w:rPr>
        <w:t>和教育资源</w:t>
      </w:r>
      <w:r>
        <w:rPr>
          <w:rFonts w:hint="eastAsia" w:ascii="宋体" w:hAnsi="宋体" w:cs="宋体"/>
          <w:bCs/>
          <w:szCs w:val="21"/>
          <w:lang w:eastAsia="zh-Hans"/>
        </w:rPr>
        <w:t>内容</w:t>
      </w:r>
      <w:r>
        <w:rPr>
          <w:rFonts w:hint="eastAsia" w:ascii="宋体" w:hAnsi="宋体" w:cs="宋体"/>
          <w:bCs/>
          <w:szCs w:val="21"/>
        </w:rPr>
        <w:t>两部分。</w:t>
      </w:r>
    </w:p>
    <w:p w14:paraId="58E063EA">
      <w:pPr>
        <w:spacing w:line="400" w:lineRule="exact"/>
        <w:ind w:firstLine="420" w:firstLineChars="200"/>
        <w:rPr>
          <w:rFonts w:ascii="宋体" w:hAnsi="宋体" w:cs="宋体"/>
          <w:bCs/>
          <w:szCs w:val="21"/>
        </w:rPr>
      </w:pPr>
      <w:r>
        <w:rPr>
          <w:rFonts w:hint="eastAsia" w:ascii="宋体" w:hAnsi="宋体" w:cs="宋体"/>
          <w:bCs/>
          <w:szCs w:val="21"/>
        </w:rPr>
        <w:t>1.1系统</w:t>
      </w:r>
      <w:r>
        <w:rPr>
          <w:rFonts w:hint="eastAsia" w:ascii="宋体" w:hAnsi="宋体" w:cs="宋体"/>
          <w:bCs/>
          <w:szCs w:val="21"/>
          <w:lang w:eastAsia="zh-Hans"/>
        </w:rPr>
        <w:t>服务</w:t>
      </w:r>
      <w:r>
        <w:rPr>
          <w:rFonts w:hint="eastAsia" w:ascii="宋体" w:hAnsi="宋体" w:cs="宋体"/>
          <w:bCs/>
          <w:szCs w:val="21"/>
        </w:rPr>
        <w:t>平台</w:t>
      </w:r>
    </w:p>
    <w:p w14:paraId="3365E572">
      <w:pPr>
        <w:spacing w:line="400" w:lineRule="exact"/>
        <w:ind w:firstLine="420" w:firstLineChars="200"/>
        <w:rPr>
          <w:rFonts w:ascii="宋体" w:hAnsi="宋体" w:cs="宋体"/>
          <w:bCs/>
          <w:szCs w:val="21"/>
        </w:rPr>
      </w:pPr>
      <w:r>
        <w:rPr>
          <w:rFonts w:hint="eastAsia" w:ascii="宋体" w:hAnsi="宋体" w:cs="宋体"/>
          <w:bCs/>
          <w:szCs w:val="21"/>
        </w:rPr>
        <w:t>提供全面的资源使用及教学跟踪管理功能，同时需提供移动端访问功能。</w:t>
      </w:r>
    </w:p>
    <w:p w14:paraId="67200D4B">
      <w:pPr>
        <w:spacing w:line="400" w:lineRule="exact"/>
        <w:ind w:firstLine="420" w:firstLineChars="200"/>
        <w:rPr>
          <w:rFonts w:ascii="宋体" w:hAnsi="宋体" w:cs="宋体"/>
          <w:bCs/>
          <w:szCs w:val="21"/>
        </w:rPr>
      </w:pPr>
      <w:r>
        <w:rPr>
          <w:rFonts w:hint="eastAsia" w:ascii="宋体" w:hAnsi="宋体" w:cs="宋体"/>
          <w:bCs/>
          <w:szCs w:val="21"/>
        </w:rPr>
        <w:t>1.2教育资源</w:t>
      </w:r>
      <w:r>
        <w:rPr>
          <w:rFonts w:hint="eastAsia" w:ascii="宋体" w:hAnsi="宋体" w:cs="宋体"/>
          <w:bCs/>
          <w:szCs w:val="21"/>
          <w:lang w:eastAsia="zh-Hans"/>
        </w:rPr>
        <w:t>内容</w:t>
      </w:r>
    </w:p>
    <w:p w14:paraId="53AAF001">
      <w:pPr>
        <w:spacing w:line="400" w:lineRule="exact"/>
        <w:ind w:firstLine="420" w:firstLineChars="200"/>
        <w:rPr>
          <w:rFonts w:ascii="宋体" w:hAnsi="宋体" w:cs="宋体"/>
          <w:bCs/>
          <w:szCs w:val="21"/>
        </w:rPr>
      </w:pPr>
      <w:bookmarkStart w:id="65" w:name="_Toc31300"/>
      <w:r>
        <w:rPr>
          <w:rFonts w:hint="eastAsia" w:ascii="宋体" w:hAnsi="宋体" w:cs="宋体"/>
          <w:bCs/>
          <w:szCs w:val="21"/>
        </w:rPr>
        <w:t>教育案例及资源应包含教学文案库、教学案例库和教师职业考试资源。</w:t>
      </w:r>
    </w:p>
    <w:p w14:paraId="5FC63692">
      <w:pPr>
        <w:spacing w:line="400" w:lineRule="exact"/>
        <w:ind w:firstLine="420" w:firstLineChars="200"/>
        <w:rPr>
          <w:rFonts w:ascii="宋体" w:hAnsi="宋体" w:cs="宋体"/>
          <w:bCs/>
          <w:szCs w:val="21"/>
        </w:rPr>
      </w:pPr>
      <w:r>
        <w:rPr>
          <w:rFonts w:hint="eastAsia" w:ascii="宋体" w:hAnsi="宋体" w:cs="宋体"/>
          <w:bCs/>
          <w:szCs w:val="21"/>
        </w:rPr>
        <w:t>2.项目整体要求</w:t>
      </w:r>
      <w:bookmarkEnd w:id="65"/>
    </w:p>
    <w:p w14:paraId="4DE76DDA">
      <w:pPr>
        <w:spacing w:line="400" w:lineRule="exact"/>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1</w:t>
      </w:r>
      <w:r>
        <w:rPr>
          <w:rFonts w:hint="eastAsia" w:ascii="宋体" w:hAnsi="宋体" w:cs="宋体"/>
          <w:bCs/>
          <w:szCs w:val="21"/>
        </w:rPr>
        <w:t>系统不限制授权范围内注册及使用用户数量，无需增加相关费用。</w:t>
      </w:r>
    </w:p>
    <w:p w14:paraId="426E1797">
      <w:pPr>
        <w:spacing w:line="400" w:lineRule="exact"/>
        <w:ind w:firstLine="420" w:firstLineChars="200"/>
        <w:rPr>
          <w:rFonts w:ascii="宋体" w:hAnsi="宋体" w:cs="宋体"/>
          <w:bCs/>
          <w:szCs w:val="21"/>
        </w:rPr>
      </w:pPr>
      <w:r>
        <w:rPr>
          <w:rFonts w:hint="eastAsia" w:ascii="宋体" w:hAnsi="宋体" w:cs="宋体"/>
          <w:bCs/>
          <w:szCs w:val="21"/>
        </w:rPr>
        <w:t>2.</w:t>
      </w:r>
      <w:r>
        <w:rPr>
          <w:rFonts w:hint="eastAsia" w:ascii="宋体" w:hAnsi="宋体" w:cs="宋体"/>
          <w:bCs/>
          <w:szCs w:val="21"/>
          <w:lang w:val="en-US" w:eastAsia="zh-CN"/>
        </w:rPr>
        <w:t>2</w:t>
      </w:r>
      <w:r>
        <w:rPr>
          <w:rFonts w:hint="eastAsia" w:ascii="宋体" w:hAnsi="宋体" w:cs="宋体"/>
          <w:bCs/>
          <w:szCs w:val="21"/>
        </w:rPr>
        <w:t>本项目需提供网络云访问服务方式</w:t>
      </w:r>
      <w:r>
        <w:rPr>
          <w:rFonts w:hint="eastAsia" w:ascii="宋体" w:hAnsi="宋体" w:cs="宋体"/>
          <w:bCs/>
          <w:szCs w:val="21"/>
          <w:lang w:eastAsia="zh-Hans"/>
        </w:rPr>
        <w:t>。</w:t>
      </w:r>
    </w:p>
    <w:p w14:paraId="3B92E857">
      <w:pPr>
        <w:spacing w:line="400" w:lineRule="exact"/>
        <w:ind w:firstLine="420" w:firstLineChars="200"/>
        <w:rPr>
          <w:rFonts w:ascii="宋体" w:hAnsi="宋体" w:cs="宋体"/>
          <w:bCs/>
          <w:szCs w:val="21"/>
        </w:rPr>
      </w:pPr>
      <w:r>
        <w:rPr>
          <w:rFonts w:hint="eastAsia" w:ascii="宋体" w:hAnsi="宋体" w:cs="宋体"/>
          <w:bCs/>
          <w:szCs w:val="21"/>
        </w:rPr>
        <w:t>3.系统平台技术要求</w:t>
      </w:r>
    </w:p>
    <w:p w14:paraId="0DE81951">
      <w:pPr>
        <w:spacing w:line="400" w:lineRule="exact"/>
        <w:ind w:firstLine="420" w:firstLineChars="200"/>
        <w:rPr>
          <w:rFonts w:ascii="宋体" w:hAnsi="宋体" w:cs="宋体"/>
          <w:bCs/>
          <w:szCs w:val="21"/>
        </w:rPr>
      </w:pPr>
      <w:bookmarkStart w:id="66" w:name="_Toc77708956"/>
      <w:bookmarkStart w:id="67" w:name="_Toc6004"/>
      <w:r>
        <w:rPr>
          <w:rFonts w:hint="eastAsia" w:ascii="宋体" w:hAnsi="宋体" w:cs="宋体"/>
          <w:bCs/>
          <w:szCs w:val="21"/>
        </w:rPr>
        <w:t>3.1前台功能要求</w:t>
      </w:r>
      <w:bookmarkEnd w:id="66"/>
      <w:bookmarkEnd w:id="67"/>
    </w:p>
    <w:p w14:paraId="1C1FE563">
      <w:pPr>
        <w:spacing w:line="400" w:lineRule="exact"/>
        <w:ind w:firstLine="420" w:firstLineChars="200"/>
        <w:rPr>
          <w:rFonts w:ascii="宋体" w:hAnsi="宋体" w:cs="宋体"/>
          <w:bCs/>
          <w:szCs w:val="21"/>
        </w:rPr>
      </w:pPr>
      <w:r>
        <w:rPr>
          <w:rFonts w:hint="eastAsia" w:ascii="宋体" w:hAnsi="宋体" w:cs="宋体"/>
          <w:bCs/>
          <w:szCs w:val="21"/>
        </w:rPr>
        <w:t>提供全面的资源分类及检索功能，包括资源检索、资源浏览、资源收藏和下载等功能，同时可以进行个人资源管理。</w:t>
      </w:r>
    </w:p>
    <w:p w14:paraId="0EAFB9D8">
      <w:pPr>
        <w:spacing w:line="400" w:lineRule="exact"/>
        <w:ind w:firstLine="420" w:firstLineChars="200"/>
        <w:rPr>
          <w:rFonts w:ascii="宋体" w:hAnsi="宋体" w:cs="宋体"/>
          <w:bCs/>
          <w:szCs w:val="21"/>
        </w:rPr>
      </w:pPr>
      <w:r>
        <w:rPr>
          <w:rFonts w:hint="eastAsia" w:ascii="宋体" w:hAnsi="宋体" w:cs="宋体"/>
          <w:bCs/>
          <w:szCs w:val="21"/>
        </w:rPr>
        <w:t>（1）注册/登陆</w:t>
      </w:r>
    </w:p>
    <w:p w14:paraId="067953C3">
      <w:pPr>
        <w:spacing w:line="400" w:lineRule="exact"/>
        <w:ind w:firstLine="420" w:firstLineChars="200"/>
        <w:rPr>
          <w:rFonts w:ascii="宋体" w:hAnsi="宋体" w:cs="宋体"/>
          <w:bCs/>
          <w:szCs w:val="21"/>
        </w:rPr>
      </w:pPr>
      <w:r>
        <w:rPr>
          <w:rFonts w:hint="eastAsia" w:ascii="宋体" w:hAnsi="宋体" w:cs="宋体"/>
          <w:bCs/>
          <w:szCs w:val="21"/>
          <w:lang w:val="en-US" w:eastAsia="zh-CN"/>
        </w:rPr>
        <w:t>校园</w:t>
      </w:r>
      <w:r>
        <w:rPr>
          <w:rFonts w:hint="eastAsia" w:ascii="宋体" w:hAnsi="宋体" w:cs="宋体"/>
          <w:bCs/>
          <w:szCs w:val="21"/>
        </w:rPr>
        <w:t>IP</w:t>
      </w:r>
      <w:r>
        <w:rPr>
          <w:rFonts w:hint="eastAsia" w:ascii="宋体" w:hAnsi="宋体" w:cs="宋体"/>
          <w:bCs/>
          <w:szCs w:val="21"/>
          <w:lang w:val="en-US" w:eastAsia="zh-CN"/>
        </w:rPr>
        <w:t>范围内</w:t>
      </w:r>
      <w:r>
        <w:rPr>
          <w:rFonts w:hint="eastAsia" w:ascii="宋体" w:hAnsi="宋体" w:cs="宋体"/>
          <w:bCs/>
          <w:szCs w:val="21"/>
        </w:rPr>
        <w:t>授权访问</w:t>
      </w:r>
      <w:r>
        <w:rPr>
          <w:rFonts w:hint="eastAsia" w:ascii="宋体" w:hAnsi="宋体" w:cs="宋体"/>
          <w:bCs/>
          <w:szCs w:val="21"/>
          <w:lang w:eastAsia="zh-CN"/>
        </w:rPr>
        <w:t>，</w:t>
      </w:r>
      <w:r>
        <w:rPr>
          <w:rFonts w:hint="eastAsia" w:ascii="宋体" w:hAnsi="宋体" w:cs="宋体"/>
          <w:bCs/>
          <w:szCs w:val="21"/>
          <w:lang w:val="en-US" w:eastAsia="zh-CN"/>
        </w:rPr>
        <w:t>支持VPN登录访问。</w:t>
      </w:r>
    </w:p>
    <w:p w14:paraId="4604A62F">
      <w:pPr>
        <w:spacing w:line="400" w:lineRule="exact"/>
        <w:ind w:firstLine="420" w:firstLineChars="200"/>
        <w:rPr>
          <w:rFonts w:ascii="宋体" w:hAnsi="宋体" w:cs="宋体"/>
          <w:bCs/>
          <w:szCs w:val="21"/>
        </w:rPr>
      </w:pPr>
      <w:r>
        <w:rPr>
          <w:rFonts w:hint="eastAsia" w:ascii="宋体" w:hAnsi="宋体" w:cs="宋体"/>
          <w:bCs/>
          <w:szCs w:val="21"/>
        </w:rPr>
        <w:t>（2）分类导航</w:t>
      </w:r>
    </w:p>
    <w:p w14:paraId="3B684100">
      <w:pPr>
        <w:spacing w:line="400" w:lineRule="exact"/>
        <w:ind w:firstLine="420" w:firstLineChars="200"/>
        <w:rPr>
          <w:rFonts w:ascii="宋体" w:hAnsi="宋体" w:cs="宋体"/>
          <w:bCs/>
          <w:szCs w:val="21"/>
        </w:rPr>
      </w:pPr>
      <w:r>
        <w:rPr>
          <w:rFonts w:hint="eastAsia" w:ascii="宋体" w:hAnsi="宋体" w:cs="宋体"/>
          <w:bCs/>
          <w:szCs w:val="21"/>
        </w:rPr>
        <w:t>学前教育资源需按健康、语言、社会、科学、艺术五大领域创建分类并进一步细化细分。</w:t>
      </w:r>
    </w:p>
    <w:p w14:paraId="2992745E">
      <w:pPr>
        <w:spacing w:line="400" w:lineRule="exact"/>
        <w:ind w:firstLine="420" w:firstLineChars="200"/>
        <w:rPr>
          <w:rFonts w:ascii="宋体" w:hAnsi="宋体" w:cs="宋体"/>
          <w:bCs/>
          <w:szCs w:val="21"/>
        </w:rPr>
      </w:pPr>
      <w:r>
        <w:rPr>
          <w:rFonts w:hint="eastAsia" w:ascii="宋体" w:hAnsi="宋体" w:cs="宋体"/>
          <w:bCs/>
          <w:szCs w:val="21"/>
        </w:rPr>
        <w:t>中小学教育资源需按</w:t>
      </w:r>
      <w:r>
        <w:rPr>
          <w:rFonts w:hint="eastAsia" w:ascii="宋体" w:hAnsi="宋体" w:cs="宋体"/>
          <w:bCs/>
          <w:szCs w:val="21"/>
          <w:lang w:eastAsia="zh-Hans"/>
        </w:rPr>
        <w:t>教材版本、</w:t>
      </w:r>
      <w:r>
        <w:rPr>
          <w:rFonts w:hint="eastAsia" w:ascii="宋体" w:hAnsi="宋体" w:cs="宋体"/>
          <w:bCs/>
          <w:szCs w:val="21"/>
        </w:rPr>
        <w:t>教材章节目录分类模式提供分类导航，粒度应与教材一致。</w:t>
      </w:r>
    </w:p>
    <w:p w14:paraId="72870C0B">
      <w:pPr>
        <w:spacing w:line="400" w:lineRule="exact"/>
        <w:ind w:firstLine="420" w:firstLineChars="200"/>
        <w:rPr>
          <w:rFonts w:ascii="宋体" w:hAnsi="宋体" w:cs="宋体"/>
          <w:bCs/>
          <w:szCs w:val="21"/>
        </w:rPr>
      </w:pPr>
      <w:r>
        <w:rPr>
          <w:rFonts w:hint="eastAsia" w:ascii="宋体" w:hAnsi="宋体" w:cs="宋体"/>
          <w:bCs/>
          <w:szCs w:val="21"/>
        </w:rPr>
        <w:t>（3）检索功能</w:t>
      </w:r>
    </w:p>
    <w:p w14:paraId="41E5F04A">
      <w:pPr>
        <w:spacing w:line="400" w:lineRule="exact"/>
        <w:ind w:firstLine="420" w:firstLineChars="200"/>
        <w:rPr>
          <w:rFonts w:ascii="宋体" w:hAnsi="宋体" w:cs="宋体"/>
          <w:bCs/>
          <w:szCs w:val="21"/>
        </w:rPr>
      </w:pPr>
      <w:r>
        <w:rPr>
          <w:rFonts w:hint="eastAsia" w:ascii="宋体" w:hAnsi="宋体" w:cs="宋体"/>
          <w:bCs/>
          <w:szCs w:val="21"/>
        </w:rPr>
        <w:t>产品在资源展示方面布局清晰，易于检索。</w:t>
      </w:r>
    </w:p>
    <w:p w14:paraId="2D402F1C">
      <w:pPr>
        <w:spacing w:line="400" w:lineRule="exact"/>
        <w:ind w:firstLine="420" w:firstLineChars="200"/>
        <w:rPr>
          <w:rFonts w:ascii="宋体" w:hAnsi="宋体" w:cs="宋体"/>
          <w:bCs/>
          <w:szCs w:val="21"/>
        </w:rPr>
      </w:pPr>
      <w:r>
        <w:rPr>
          <w:rFonts w:hint="eastAsia" w:ascii="宋体" w:hAnsi="宋体" w:cs="宋体"/>
          <w:bCs/>
          <w:szCs w:val="21"/>
        </w:rPr>
        <w:t>系统可以基于学段、学科、教材版本、年级和目录进行资源检索，准确地获取每一章节对应的全部资源内容。</w:t>
      </w:r>
    </w:p>
    <w:p w14:paraId="125C120D">
      <w:pPr>
        <w:spacing w:line="400" w:lineRule="exact"/>
        <w:ind w:firstLine="420" w:firstLineChars="200"/>
        <w:rPr>
          <w:rFonts w:ascii="宋体" w:hAnsi="宋体" w:cs="宋体"/>
          <w:bCs/>
          <w:szCs w:val="21"/>
        </w:rPr>
      </w:pPr>
      <w:r>
        <w:rPr>
          <w:rFonts w:hint="eastAsia" w:ascii="宋体" w:hAnsi="宋体" w:cs="宋体"/>
          <w:bCs/>
          <w:szCs w:val="21"/>
        </w:rPr>
        <w:t>（4）资源使用</w:t>
      </w:r>
    </w:p>
    <w:p w14:paraId="712D3E22">
      <w:pPr>
        <w:spacing w:line="400" w:lineRule="exact"/>
        <w:ind w:firstLine="420" w:firstLineChars="200"/>
        <w:rPr>
          <w:rFonts w:ascii="宋体" w:hAnsi="宋体" w:cs="宋体"/>
          <w:bCs/>
          <w:szCs w:val="21"/>
        </w:rPr>
      </w:pPr>
      <w:r>
        <w:rPr>
          <w:rFonts w:hint="eastAsia" w:ascii="宋体" w:hAnsi="宋体" w:cs="宋体"/>
          <w:bCs/>
          <w:szCs w:val="21"/>
        </w:rPr>
        <w:t>提供在线浏览的功能，支持对主流文件类型的在线浏览。</w:t>
      </w:r>
    </w:p>
    <w:p w14:paraId="6FB58E24">
      <w:pPr>
        <w:spacing w:line="400" w:lineRule="exact"/>
        <w:ind w:firstLine="420" w:firstLineChars="200"/>
        <w:rPr>
          <w:rFonts w:ascii="宋体" w:hAnsi="宋体" w:cs="宋体"/>
          <w:bCs/>
          <w:szCs w:val="21"/>
        </w:rPr>
      </w:pPr>
      <w:r>
        <w:rPr>
          <w:rFonts w:hint="eastAsia" w:ascii="宋体" w:hAnsi="宋体" w:cs="宋体"/>
          <w:bCs/>
          <w:szCs w:val="21"/>
        </w:rPr>
        <w:t>能够清晰</w:t>
      </w:r>
      <w:r>
        <w:rPr>
          <w:rFonts w:hint="eastAsia" w:ascii="宋体" w:hAnsi="宋体" w:cs="宋体"/>
          <w:bCs/>
          <w:szCs w:val="21"/>
          <w:lang w:eastAsia="zh-CN"/>
        </w:rPr>
        <w:t>地</w:t>
      </w:r>
      <w:r>
        <w:rPr>
          <w:rFonts w:hint="eastAsia" w:ascii="宋体" w:hAnsi="宋体" w:cs="宋体"/>
          <w:bCs/>
          <w:szCs w:val="21"/>
        </w:rPr>
        <w:t>显示目标资源的路径、标题。</w:t>
      </w:r>
    </w:p>
    <w:p w14:paraId="231AFB95">
      <w:pPr>
        <w:spacing w:line="400" w:lineRule="exact"/>
        <w:ind w:firstLine="420" w:firstLineChars="200"/>
        <w:rPr>
          <w:rFonts w:ascii="宋体" w:hAnsi="宋体" w:cs="宋体"/>
          <w:bCs/>
          <w:szCs w:val="21"/>
        </w:rPr>
      </w:pPr>
      <w:r>
        <w:rPr>
          <w:rFonts w:hint="eastAsia" w:ascii="宋体" w:hAnsi="宋体" w:cs="宋体"/>
          <w:bCs/>
          <w:szCs w:val="21"/>
        </w:rPr>
        <w:t>能实现资源的收藏和下载功能，含批量下载。</w:t>
      </w:r>
    </w:p>
    <w:p w14:paraId="5D324A62">
      <w:pPr>
        <w:spacing w:line="400" w:lineRule="exact"/>
        <w:ind w:firstLine="420" w:firstLineChars="200"/>
        <w:rPr>
          <w:rFonts w:ascii="宋体" w:hAnsi="宋体" w:cs="宋体"/>
          <w:bCs/>
          <w:szCs w:val="21"/>
        </w:rPr>
      </w:pPr>
      <w:bookmarkStart w:id="68" w:name="_Toc14991"/>
      <w:bookmarkStart w:id="69" w:name="_Toc77708957"/>
      <w:r>
        <w:rPr>
          <w:rFonts w:hint="eastAsia" w:ascii="宋体" w:hAnsi="宋体" w:eastAsia="宋体" w:cs="宋体"/>
          <w:lang w:eastAsia="zh-CN"/>
        </w:rPr>
        <w:t>★</w:t>
      </w:r>
      <w:r>
        <w:rPr>
          <w:rFonts w:hint="eastAsia" w:ascii="宋体" w:hAnsi="宋体" w:cs="宋体"/>
          <w:bCs/>
          <w:szCs w:val="21"/>
        </w:rPr>
        <w:t>3.2个人中心需求</w:t>
      </w:r>
      <w:bookmarkEnd w:id="68"/>
      <w:bookmarkEnd w:id="69"/>
    </w:p>
    <w:p w14:paraId="6D5C87D6">
      <w:pPr>
        <w:spacing w:line="400" w:lineRule="exact"/>
        <w:ind w:firstLine="420" w:firstLineChars="200"/>
        <w:rPr>
          <w:rFonts w:ascii="宋体" w:hAnsi="宋体" w:cs="宋体"/>
          <w:bCs/>
          <w:szCs w:val="21"/>
        </w:rPr>
      </w:pPr>
      <w:r>
        <w:rPr>
          <w:rFonts w:hint="eastAsia" w:ascii="宋体" w:hAnsi="宋体" w:cs="宋体"/>
          <w:bCs/>
          <w:szCs w:val="21"/>
        </w:rPr>
        <w:t>我的资源：查看自己正在学习与历史学习记录并可链接到相应学习资源。</w:t>
      </w:r>
    </w:p>
    <w:p w14:paraId="11D40EB6">
      <w:pPr>
        <w:spacing w:line="400" w:lineRule="exact"/>
        <w:ind w:firstLine="420" w:firstLineChars="200"/>
        <w:rPr>
          <w:rFonts w:ascii="宋体" w:hAnsi="宋体" w:cs="宋体"/>
          <w:bCs/>
          <w:szCs w:val="21"/>
        </w:rPr>
      </w:pPr>
      <w:r>
        <w:rPr>
          <w:rFonts w:hint="eastAsia" w:ascii="宋体" w:hAnsi="宋体" w:cs="宋体"/>
          <w:bCs/>
          <w:szCs w:val="21"/>
        </w:rPr>
        <w:t>我的收藏：可查看自己收藏的资源并可链接到相应学习资源，且能够在不同设备登录时同步所收藏内容。</w:t>
      </w:r>
    </w:p>
    <w:p w14:paraId="0F451A3C">
      <w:pPr>
        <w:spacing w:line="400" w:lineRule="exact"/>
        <w:ind w:firstLine="420" w:firstLineChars="200"/>
        <w:rPr>
          <w:rFonts w:ascii="宋体" w:hAnsi="宋体" w:cs="宋体"/>
          <w:bCs/>
          <w:szCs w:val="21"/>
        </w:rPr>
      </w:pPr>
      <w:r>
        <w:rPr>
          <w:rFonts w:hint="eastAsia" w:ascii="宋体" w:hAnsi="宋体" w:cs="宋体"/>
          <w:bCs/>
          <w:szCs w:val="21"/>
        </w:rPr>
        <w:t>个人设置：包括用户的基本资料、绑定信息、用户安全设置、系统消息提醒设置等操作。</w:t>
      </w:r>
      <w:bookmarkStart w:id="70" w:name="_Toc77708958"/>
      <w:bookmarkStart w:id="71" w:name="_Toc2520"/>
    </w:p>
    <w:p w14:paraId="690C3986">
      <w:pPr>
        <w:spacing w:line="400" w:lineRule="exact"/>
        <w:ind w:firstLine="420" w:firstLineChars="200"/>
        <w:rPr>
          <w:rFonts w:ascii="宋体" w:hAnsi="宋体" w:cs="宋体"/>
          <w:bCs/>
          <w:szCs w:val="21"/>
        </w:rPr>
      </w:pPr>
      <w:r>
        <w:rPr>
          <w:rFonts w:hint="eastAsia" w:ascii="宋体" w:hAnsi="宋体" w:eastAsia="宋体" w:cs="宋体"/>
          <w:lang w:eastAsia="zh-CN"/>
        </w:rPr>
        <w:t>★</w:t>
      </w:r>
      <w:r>
        <w:rPr>
          <w:rFonts w:hint="eastAsia" w:ascii="宋体" w:hAnsi="宋体" w:cs="宋体"/>
          <w:bCs/>
          <w:szCs w:val="21"/>
        </w:rPr>
        <w:t>3.3后台功能需求</w:t>
      </w:r>
      <w:bookmarkEnd w:id="70"/>
      <w:bookmarkEnd w:id="71"/>
    </w:p>
    <w:p w14:paraId="1507BFB2">
      <w:pPr>
        <w:spacing w:line="400" w:lineRule="exact"/>
        <w:ind w:firstLine="420" w:firstLineChars="200"/>
        <w:rPr>
          <w:rFonts w:ascii="宋体" w:hAnsi="宋体" w:cs="宋体"/>
          <w:bCs/>
          <w:szCs w:val="21"/>
        </w:rPr>
      </w:pPr>
      <w:r>
        <w:rPr>
          <w:rFonts w:hint="eastAsia" w:ascii="宋体" w:hAnsi="宋体" w:cs="宋体"/>
          <w:bCs/>
          <w:szCs w:val="21"/>
        </w:rPr>
        <w:t>（1）数据中心</w:t>
      </w:r>
    </w:p>
    <w:p w14:paraId="6551C65C">
      <w:pPr>
        <w:spacing w:line="400" w:lineRule="exact"/>
        <w:ind w:firstLine="420" w:firstLineChars="200"/>
        <w:rPr>
          <w:rFonts w:ascii="宋体" w:hAnsi="宋体" w:cs="宋体"/>
          <w:bCs/>
          <w:szCs w:val="21"/>
        </w:rPr>
      </w:pPr>
      <w:r>
        <w:rPr>
          <w:rFonts w:hint="eastAsia" w:ascii="宋体" w:hAnsi="宋体" w:cs="宋体"/>
          <w:bCs/>
          <w:szCs w:val="21"/>
        </w:rPr>
        <w:t>数据中心页面可以很直观地展现系统的用户数统计、资源数统计、点击量统计等。</w:t>
      </w:r>
    </w:p>
    <w:p w14:paraId="0D33A831">
      <w:pPr>
        <w:spacing w:line="400" w:lineRule="exact"/>
        <w:ind w:firstLine="420" w:firstLineChars="200"/>
        <w:rPr>
          <w:rFonts w:ascii="宋体" w:hAnsi="宋体" w:cs="宋体"/>
          <w:bCs/>
          <w:szCs w:val="21"/>
        </w:rPr>
      </w:pPr>
      <w:r>
        <w:rPr>
          <w:rFonts w:hint="eastAsia" w:ascii="宋体" w:hAnsi="宋体" w:cs="宋体"/>
          <w:bCs/>
          <w:szCs w:val="21"/>
        </w:rPr>
        <w:t>（2）用户管理</w:t>
      </w:r>
    </w:p>
    <w:p w14:paraId="11C82171">
      <w:pPr>
        <w:spacing w:line="400" w:lineRule="exact"/>
        <w:ind w:firstLine="420" w:firstLineChars="200"/>
        <w:rPr>
          <w:rFonts w:ascii="宋体" w:hAnsi="宋体" w:cs="宋体"/>
          <w:bCs/>
          <w:szCs w:val="21"/>
        </w:rPr>
      </w:pPr>
      <w:r>
        <w:rPr>
          <w:rFonts w:hint="eastAsia" w:ascii="宋体" w:hAnsi="宋体" w:cs="宋体"/>
          <w:bCs/>
          <w:szCs w:val="21"/>
        </w:rPr>
        <w:t>能够查看机构内个人用户的注册信息及基本信息情况，并可以进行密码重置、用户停用等基本操作，支持用户查询筛选等功能。</w:t>
      </w:r>
    </w:p>
    <w:p w14:paraId="45B7A406">
      <w:pPr>
        <w:spacing w:line="400" w:lineRule="exact"/>
        <w:ind w:firstLine="420" w:firstLineChars="200"/>
        <w:rPr>
          <w:rFonts w:ascii="宋体" w:hAnsi="宋体" w:cs="宋体"/>
          <w:bCs/>
          <w:szCs w:val="21"/>
        </w:rPr>
      </w:pPr>
      <w:r>
        <w:rPr>
          <w:rFonts w:hint="eastAsia" w:ascii="宋体" w:hAnsi="宋体" w:cs="宋体"/>
          <w:bCs/>
          <w:szCs w:val="21"/>
        </w:rPr>
        <w:t>（3）统计管理</w:t>
      </w:r>
    </w:p>
    <w:p w14:paraId="311C47F5">
      <w:pPr>
        <w:spacing w:line="400" w:lineRule="exact"/>
        <w:ind w:firstLine="420" w:firstLineChars="200"/>
        <w:rPr>
          <w:rFonts w:ascii="宋体" w:hAnsi="宋体" w:cs="宋体"/>
          <w:bCs/>
          <w:szCs w:val="21"/>
        </w:rPr>
      </w:pPr>
      <w:r>
        <w:rPr>
          <w:rFonts w:hint="eastAsia" w:ascii="宋体" w:hAnsi="宋体" w:cs="宋体"/>
          <w:bCs/>
          <w:szCs w:val="21"/>
        </w:rPr>
        <w:t>资源统计：管理员可查看和筛选数据，可以按学段、学科和资源类型的模式查看资源数量的统计数据。</w:t>
      </w:r>
    </w:p>
    <w:p w14:paraId="25014A50">
      <w:pPr>
        <w:spacing w:line="400" w:lineRule="exact"/>
        <w:ind w:firstLine="420" w:firstLineChars="200"/>
        <w:rPr>
          <w:rFonts w:ascii="宋体" w:hAnsi="宋体" w:cs="宋体"/>
          <w:bCs/>
          <w:szCs w:val="21"/>
        </w:rPr>
      </w:pPr>
      <w:r>
        <w:rPr>
          <w:rFonts w:hint="eastAsia" w:ascii="宋体" w:hAnsi="宋体" w:cs="宋体"/>
          <w:bCs/>
          <w:szCs w:val="21"/>
        </w:rPr>
        <w:t>浏览统计：提供多种维度统计结果展示，可以按年份、月份进行数据统计，也可按院系、专业、班级进行筛选统计，并且可生成统计报表。</w:t>
      </w:r>
    </w:p>
    <w:p w14:paraId="3D8C9D67">
      <w:pPr>
        <w:spacing w:line="400" w:lineRule="exact"/>
        <w:ind w:firstLine="420" w:firstLineChars="200"/>
        <w:rPr>
          <w:rFonts w:ascii="宋体" w:hAnsi="宋体" w:cs="宋体"/>
          <w:bCs/>
          <w:szCs w:val="21"/>
        </w:rPr>
      </w:pPr>
      <w:bookmarkStart w:id="72" w:name="_Toc77708959"/>
      <w:bookmarkStart w:id="73" w:name="_Toc26458"/>
      <w:r>
        <w:rPr>
          <w:rFonts w:hint="eastAsia" w:ascii="宋体" w:hAnsi="宋体" w:cs="宋体"/>
          <w:bCs/>
          <w:szCs w:val="21"/>
        </w:rPr>
        <w:t>用户行为统计：管理员可查看用户行为的详细数据，包含学生身份（用户名、学院、专业、班级等）、访问详细情况（访问资源名称、访问学段、访问学科、访问资源类别类型等）。</w:t>
      </w:r>
    </w:p>
    <w:p w14:paraId="567F570D">
      <w:pPr>
        <w:spacing w:line="400" w:lineRule="exact"/>
        <w:ind w:firstLine="420" w:firstLineChars="200"/>
        <w:rPr>
          <w:rFonts w:ascii="宋体" w:hAnsi="宋体" w:cs="宋体"/>
          <w:bCs/>
          <w:szCs w:val="21"/>
        </w:rPr>
      </w:pPr>
      <w:r>
        <w:rPr>
          <w:rFonts w:hint="eastAsia" w:ascii="宋体" w:hAnsi="宋体" w:eastAsia="宋体" w:cs="宋体"/>
          <w:lang w:eastAsia="zh-CN"/>
        </w:rPr>
        <w:t>★</w:t>
      </w:r>
      <w:r>
        <w:rPr>
          <w:rFonts w:hint="eastAsia" w:ascii="宋体" w:hAnsi="宋体" w:cs="宋体"/>
          <w:bCs/>
          <w:szCs w:val="21"/>
        </w:rPr>
        <w:t>3.4移动端功能需求</w:t>
      </w:r>
      <w:bookmarkEnd w:id="72"/>
      <w:bookmarkEnd w:id="73"/>
    </w:p>
    <w:p w14:paraId="6E3B775E">
      <w:pPr>
        <w:spacing w:line="400" w:lineRule="exact"/>
        <w:ind w:firstLine="420" w:firstLineChars="200"/>
        <w:rPr>
          <w:rFonts w:ascii="宋体" w:hAnsi="宋体" w:cs="宋体"/>
          <w:bCs/>
          <w:szCs w:val="21"/>
        </w:rPr>
      </w:pPr>
      <w:r>
        <w:rPr>
          <w:rFonts w:hint="eastAsia" w:ascii="宋体" w:hAnsi="宋体" w:cs="宋体"/>
          <w:bCs/>
          <w:szCs w:val="21"/>
        </w:rPr>
        <w:t>移动端必须为基于微信开发的HTML5小程序应用平台，提供文案库、案例库的在线浏览和收藏，无需学生安装任何插件或APP，以保证其方便使用。</w:t>
      </w:r>
    </w:p>
    <w:p w14:paraId="7A5F55B1">
      <w:pPr>
        <w:spacing w:line="400" w:lineRule="exact"/>
        <w:ind w:firstLine="420" w:firstLineChars="200"/>
        <w:rPr>
          <w:rFonts w:ascii="宋体" w:hAnsi="宋体" w:cs="宋体"/>
          <w:bCs/>
          <w:szCs w:val="21"/>
        </w:rPr>
      </w:pPr>
      <w:r>
        <w:rPr>
          <w:rFonts w:hint="eastAsia" w:ascii="宋体" w:hAnsi="宋体" w:cs="宋体"/>
          <w:bCs/>
          <w:szCs w:val="21"/>
        </w:rPr>
        <w:t>（1）注册登录</w:t>
      </w:r>
    </w:p>
    <w:p w14:paraId="366773F1">
      <w:pPr>
        <w:spacing w:line="400" w:lineRule="exact"/>
        <w:ind w:firstLine="420" w:firstLineChars="200"/>
        <w:rPr>
          <w:rFonts w:ascii="宋体" w:hAnsi="宋体" w:cs="宋体"/>
          <w:bCs/>
          <w:szCs w:val="21"/>
        </w:rPr>
      </w:pPr>
      <w:r>
        <w:rPr>
          <w:rFonts w:hint="eastAsia" w:ascii="宋体" w:hAnsi="宋体" w:cs="宋体"/>
          <w:bCs/>
          <w:szCs w:val="21"/>
        </w:rPr>
        <w:t>需采用与WEB端统一的用户登录机制，并且继承WEB端所有权限。</w:t>
      </w:r>
    </w:p>
    <w:p w14:paraId="39D7BC25">
      <w:pPr>
        <w:spacing w:line="400" w:lineRule="exact"/>
        <w:ind w:firstLine="420" w:firstLineChars="200"/>
        <w:rPr>
          <w:rFonts w:ascii="宋体" w:hAnsi="宋体" w:cs="宋体"/>
          <w:bCs/>
          <w:szCs w:val="21"/>
        </w:rPr>
      </w:pPr>
      <w:r>
        <w:rPr>
          <w:rFonts w:hint="eastAsia" w:ascii="宋体" w:hAnsi="宋体" w:cs="宋体"/>
          <w:bCs/>
          <w:szCs w:val="21"/>
        </w:rPr>
        <w:t>（2）分类导航</w:t>
      </w:r>
    </w:p>
    <w:p w14:paraId="245997E2">
      <w:pPr>
        <w:spacing w:line="400" w:lineRule="exact"/>
        <w:ind w:firstLine="420" w:firstLineChars="200"/>
        <w:rPr>
          <w:rFonts w:ascii="宋体" w:hAnsi="宋体" w:cs="宋体"/>
          <w:bCs/>
          <w:szCs w:val="21"/>
        </w:rPr>
      </w:pPr>
      <w:r>
        <w:rPr>
          <w:rFonts w:hint="eastAsia" w:ascii="宋体" w:hAnsi="宋体" w:cs="宋体"/>
          <w:bCs/>
          <w:szCs w:val="21"/>
        </w:rPr>
        <w:t>需采用通用小程序框架样式，移动端底部分类展示效果，符合各种平台的使用习惯。</w:t>
      </w:r>
    </w:p>
    <w:p w14:paraId="1C2474AC">
      <w:pPr>
        <w:spacing w:line="400" w:lineRule="exact"/>
        <w:ind w:firstLine="420" w:firstLineChars="200"/>
        <w:rPr>
          <w:rFonts w:ascii="宋体" w:hAnsi="宋体" w:cs="宋体"/>
          <w:bCs/>
          <w:szCs w:val="21"/>
        </w:rPr>
      </w:pPr>
      <w:r>
        <w:rPr>
          <w:rFonts w:hint="eastAsia" w:ascii="宋体" w:hAnsi="宋体" w:cs="宋体"/>
          <w:bCs/>
          <w:szCs w:val="21"/>
        </w:rPr>
        <w:t>采用扁平化的分类展示，展示以“学科”为导向的教材内容。</w:t>
      </w:r>
    </w:p>
    <w:p w14:paraId="3D9CAD79">
      <w:pPr>
        <w:spacing w:line="400" w:lineRule="exact"/>
        <w:ind w:firstLine="420" w:firstLineChars="200"/>
        <w:rPr>
          <w:rFonts w:ascii="宋体" w:hAnsi="宋体" w:cs="宋体"/>
          <w:bCs/>
          <w:szCs w:val="21"/>
        </w:rPr>
      </w:pPr>
      <w:r>
        <w:rPr>
          <w:rFonts w:hint="eastAsia" w:ascii="宋体" w:hAnsi="宋体" w:cs="宋体"/>
          <w:bCs/>
          <w:szCs w:val="21"/>
        </w:rPr>
        <w:t>（3）资源浏览</w:t>
      </w:r>
    </w:p>
    <w:p w14:paraId="3EB7BD45">
      <w:pPr>
        <w:spacing w:line="400" w:lineRule="exact"/>
        <w:ind w:firstLine="420" w:firstLineChars="200"/>
        <w:rPr>
          <w:rFonts w:ascii="宋体" w:hAnsi="宋体" w:cs="宋体"/>
          <w:bCs/>
          <w:szCs w:val="21"/>
        </w:rPr>
      </w:pPr>
      <w:r>
        <w:rPr>
          <w:rFonts w:hint="eastAsia" w:ascii="宋体" w:hAnsi="宋体" w:cs="宋体"/>
          <w:bCs/>
          <w:szCs w:val="21"/>
        </w:rPr>
        <w:t>需采用基于微信框架的视频播放控件、文件阅读等通用播放器组件。</w:t>
      </w:r>
    </w:p>
    <w:p w14:paraId="29E4D064">
      <w:pPr>
        <w:spacing w:line="400" w:lineRule="exact"/>
        <w:ind w:firstLine="420" w:firstLineChars="200"/>
        <w:rPr>
          <w:rFonts w:ascii="宋体" w:hAnsi="宋体" w:cs="宋体"/>
          <w:bCs/>
          <w:szCs w:val="21"/>
        </w:rPr>
      </w:pPr>
      <w:r>
        <w:rPr>
          <w:rFonts w:hint="eastAsia" w:ascii="宋体" w:hAnsi="宋体" w:cs="宋体"/>
          <w:bCs/>
          <w:szCs w:val="21"/>
        </w:rPr>
        <w:t>（4）资源检索</w:t>
      </w:r>
    </w:p>
    <w:p w14:paraId="4A1B5B61">
      <w:pPr>
        <w:spacing w:line="400" w:lineRule="exact"/>
        <w:ind w:firstLine="420" w:firstLineChars="200"/>
        <w:rPr>
          <w:rFonts w:ascii="宋体" w:hAnsi="宋体" w:cs="宋体"/>
          <w:bCs/>
          <w:szCs w:val="21"/>
        </w:rPr>
      </w:pPr>
      <w:r>
        <w:rPr>
          <w:rFonts w:hint="eastAsia" w:ascii="宋体" w:hAnsi="宋体" w:cs="宋体"/>
          <w:bCs/>
          <w:szCs w:val="21"/>
        </w:rPr>
        <w:t>需提供SQL全库检索服务，可以对资源名称进行检索，检索结果可按资源类别分类展示。</w:t>
      </w:r>
    </w:p>
    <w:p w14:paraId="168D63EB">
      <w:pPr>
        <w:spacing w:line="400" w:lineRule="exact"/>
        <w:ind w:firstLine="420" w:firstLineChars="200"/>
        <w:rPr>
          <w:rFonts w:ascii="宋体" w:hAnsi="宋体" w:cs="宋体"/>
          <w:bCs/>
          <w:szCs w:val="21"/>
        </w:rPr>
      </w:pPr>
      <w:bookmarkStart w:id="74" w:name="_Toc77708961"/>
      <w:bookmarkStart w:id="75" w:name="_Toc16223"/>
      <w:r>
        <w:rPr>
          <w:rFonts w:hint="eastAsia" w:ascii="宋体" w:hAnsi="宋体" w:cs="宋体"/>
          <w:bCs/>
          <w:szCs w:val="21"/>
        </w:rPr>
        <w:t>4.教学案例及资源</w:t>
      </w:r>
      <w:bookmarkEnd w:id="74"/>
      <w:bookmarkEnd w:id="75"/>
      <w:r>
        <w:rPr>
          <w:rFonts w:hint="eastAsia" w:ascii="宋体" w:hAnsi="宋体" w:cs="宋体"/>
          <w:bCs/>
          <w:szCs w:val="21"/>
        </w:rPr>
        <w:t>要求</w:t>
      </w:r>
    </w:p>
    <w:p w14:paraId="493EF361">
      <w:pPr>
        <w:spacing w:line="400" w:lineRule="exact"/>
        <w:ind w:firstLine="420" w:firstLineChars="200"/>
        <w:rPr>
          <w:rFonts w:ascii="宋体" w:hAnsi="宋体" w:cs="宋体"/>
          <w:bCs/>
          <w:szCs w:val="21"/>
        </w:rPr>
      </w:pPr>
      <w:bookmarkStart w:id="76" w:name="_Toc25854"/>
      <w:bookmarkStart w:id="77" w:name="_Toc77708964"/>
      <w:r>
        <w:rPr>
          <w:rFonts w:hint="eastAsia" w:ascii="宋体" w:hAnsi="宋体" w:cs="宋体"/>
          <w:bCs/>
          <w:szCs w:val="21"/>
        </w:rPr>
        <w:t>4.1学段及资源分类</w:t>
      </w:r>
    </w:p>
    <w:p w14:paraId="0F0BB53F">
      <w:pPr>
        <w:spacing w:line="400" w:lineRule="exact"/>
        <w:ind w:firstLine="420" w:firstLineChars="200"/>
        <w:rPr>
          <w:rFonts w:ascii="宋体" w:hAnsi="宋体" w:cs="宋体"/>
          <w:bCs/>
          <w:szCs w:val="21"/>
        </w:rPr>
      </w:pPr>
      <w:r>
        <w:rPr>
          <w:rFonts w:hint="eastAsia" w:ascii="宋体" w:hAnsi="宋体" w:cs="宋体"/>
          <w:bCs/>
          <w:szCs w:val="21"/>
        </w:rPr>
        <w:t>覆盖学前、小学、初中和高中四个学段。</w:t>
      </w:r>
    </w:p>
    <w:p w14:paraId="4F34DFAB">
      <w:pPr>
        <w:spacing w:line="400" w:lineRule="exact"/>
        <w:ind w:firstLine="420" w:firstLineChars="200"/>
        <w:rPr>
          <w:rFonts w:ascii="宋体" w:hAnsi="宋体" w:cs="宋体"/>
          <w:bCs/>
          <w:szCs w:val="21"/>
        </w:rPr>
      </w:pPr>
      <w:r>
        <w:rPr>
          <w:rFonts w:hint="eastAsia" w:ascii="宋体" w:hAnsi="宋体" w:cs="宋体"/>
          <w:bCs/>
          <w:szCs w:val="21"/>
        </w:rPr>
        <w:t>学前教育资源应以幼儿教育五大领域为核心分类并需要进一步细化分类，细化分类不得低于20类，方便师生使用。</w:t>
      </w:r>
    </w:p>
    <w:p w14:paraId="3A757C49">
      <w:pPr>
        <w:spacing w:line="400" w:lineRule="exact"/>
        <w:ind w:firstLine="420" w:firstLineChars="200"/>
        <w:rPr>
          <w:rFonts w:ascii="宋体" w:hAnsi="宋体" w:cs="宋体"/>
          <w:bCs/>
          <w:szCs w:val="21"/>
        </w:rPr>
      </w:pPr>
      <w:r>
        <w:rPr>
          <w:rFonts w:hint="eastAsia" w:ascii="宋体" w:hAnsi="宋体" w:eastAsia="宋体" w:cs="宋体"/>
          <w:lang w:eastAsia="zh-CN"/>
        </w:rPr>
        <w:t>★</w:t>
      </w:r>
      <w:r>
        <w:rPr>
          <w:rFonts w:hint="eastAsia" w:ascii="宋体" w:hAnsi="宋体" w:cs="宋体"/>
          <w:bCs/>
          <w:szCs w:val="21"/>
        </w:rPr>
        <w:t>中小学教育所有资源必须以教材版本划分并完全按照每本教材所对应的章节目录进行匹配。</w:t>
      </w:r>
    </w:p>
    <w:p w14:paraId="76E75AE0">
      <w:pPr>
        <w:spacing w:line="400" w:lineRule="exact"/>
        <w:ind w:firstLine="420" w:firstLineChars="200"/>
        <w:rPr>
          <w:rFonts w:ascii="宋体" w:hAnsi="宋体" w:cs="宋体"/>
          <w:bCs/>
          <w:szCs w:val="21"/>
        </w:rPr>
      </w:pPr>
      <w:r>
        <w:rPr>
          <w:rFonts w:hint="eastAsia" w:ascii="宋体" w:hAnsi="宋体" w:eastAsia="宋体" w:cs="宋体"/>
          <w:lang w:eastAsia="zh-CN"/>
        </w:rPr>
        <w:t>★</w:t>
      </w:r>
      <w:r>
        <w:rPr>
          <w:rFonts w:hint="eastAsia" w:ascii="宋体" w:hAnsi="宋体" w:cs="宋体"/>
          <w:bCs/>
          <w:szCs w:val="21"/>
        </w:rPr>
        <w:t>4.2学科资源内容</w:t>
      </w:r>
      <w:bookmarkEnd w:id="76"/>
      <w:bookmarkEnd w:id="77"/>
      <w:r>
        <w:rPr>
          <w:rFonts w:hint="eastAsia" w:ascii="宋体" w:hAnsi="宋体" w:cs="宋体"/>
          <w:bCs/>
          <w:szCs w:val="21"/>
        </w:rPr>
        <w:t>及数量</w:t>
      </w:r>
    </w:p>
    <w:p w14:paraId="24964348">
      <w:pPr>
        <w:spacing w:line="400" w:lineRule="exact"/>
        <w:ind w:firstLine="420" w:firstLineChars="200"/>
        <w:rPr>
          <w:rFonts w:ascii="宋体" w:hAnsi="宋体" w:cs="宋体"/>
          <w:bCs/>
          <w:szCs w:val="21"/>
        </w:rPr>
      </w:pPr>
      <w:bookmarkStart w:id="78" w:name="_Toc22891"/>
      <w:r>
        <w:rPr>
          <w:rFonts w:hint="eastAsia" w:ascii="宋体" w:hAnsi="宋体" w:cs="宋体"/>
          <w:bCs/>
          <w:szCs w:val="21"/>
        </w:rPr>
        <w:t>（1）教学文案库</w:t>
      </w:r>
    </w:p>
    <w:p w14:paraId="339FD708">
      <w:pPr>
        <w:spacing w:line="400" w:lineRule="exact"/>
        <w:ind w:firstLine="420" w:firstLineChars="200"/>
        <w:rPr>
          <w:rFonts w:ascii="宋体" w:hAnsi="宋体" w:cs="宋体"/>
          <w:bCs/>
          <w:szCs w:val="21"/>
        </w:rPr>
      </w:pPr>
      <w:r>
        <w:rPr>
          <w:rFonts w:hint="eastAsia" w:ascii="宋体" w:hAnsi="宋体" w:cs="宋体"/>
          <w:bCs/>
          <w:szCs w:val="21"/>
        </w:rPr>
        <w:t>教学文案包含教案、课件、学案、说课、教学反思等。</w:t>
      </w:r>
    </w:p>
    <w:p w14:paraId="16091863">
      <w:pPr>
        <w:spacing w:line="400" w:lineRule="exact"/>
        <w:ind w:firstLine="420" w:firstLineChars="200"/>
        <w:rPr>
          <w:rFonts w:ascii="宋体" w:hAnsi="宋体" w:cs="宋体"/>
          <w:bCs/>
          <w:szCs w:val="21"/>
        </w:rPr>
      </w:pPr>
      <w:r>
        <w:rPr>
          <w:rFonts w:hint="eastAsia" w:ascii="宋体" w:hAnsi="宋体" w:cs="宋体"/>
          <w:bCs/>
          <w:szCs w:val="21"/>
        </w:rPr>
        <w:t>所有文案资源格式必须为WPS或Office（.doc、.docx、.ppt、.pptx），方便学生下载和使用。</w:t>
      </w:r>
    </w:p>
    <w:p w14:paraId="75F95691">
      <w:pPr>
        <w:spacing w:line="400" w:lineRule="exact"/>
        <w:ind w:firstLine="420" w:firstLineChars="200"/>
        <w:rPr>
          <w:rFonts w:ascii="宋体" w:hAnsi="宋体" w:cs="宋体"/>
          <w:bCs/>
          <w:szCs w:val="21"/>
        </w:rPr>
      </w:pPr>
      <w:r>
        <w:rPr>
          <w:rFonts w:hint="eastAsia" w:ascii="宋体" w:hAnsi="宋体" w:cs="宋体"/>
          <w:bCs/>
          <w:szCs w:val="21"/>
        </w:rPr>
        <w:t>教学文案资源总量不低于15万个。</w:t>
      </w:r>
    </w:p>
    <w:p w14:paraId="797AF940">
      <w:pPr>
        <w:spacing w:line="400" w:lineRule="exact"/>
        <w:ind w:firstLine="420" w:firstLineChars="200"/>
        <w:rPr>
          <w:rFonts w:ascii="宋体" w:hAnsi="宋体" w:cs="宋体"/>
          <w:bCs/>
          <w:szCs w:val="21"/>
        </w:rPr>
      </w:pPr>
      <w:r>
        <w:rPr>
          <w:rFonts w:hint="eastAsia" w:ascii="宋体" w:hAnsi="宋体" w:cs="宋体"/>
          <w:bCs/>
          <w:szCs w:val="21"/>
        </w:rPr>
        <w:t>（2）教学案例</w:t>
      </w:r>
      <w:r>
        <w:rPr>
          <w:rFonts w:hint="eastAsia" w:ascii="宋体" w:hAnsi="宋体" w:cs="宋体"/>
          <w:bCs/>
          <w:szCs w:val="21"/>
          <w:lang w:eastAsia="zh-Hans"/>
        </w:rPr>
        <w:t>库</w:t>
      </w:r>
    </w:p>
    <w:p w14:paraId="7DB900C3">
      <w:pPr>
        <w:spacing w:line="400" w:lineRule="exact"/>
        <w:ind w:firstLine="420" w:firstLineChars="200"/>
        <w:rPr>
          <w:rFonts w:ascii="宋体" w:hAnsi="宋体" w:cs="宋体"/>
          <w:bCs/>
          <w:szCs w:val="21"/>
        </w:rPr>
      </w:pPr>
      <w:r>
        <w:rPr>
          <w:rFonts w:hint="eastAsia" w:ascii="宋体" w:hAnsi="宋体" w:cs="宋体"/>
          <w:bCs/>
          <w:szCs w:val="21"/>
        </w:rPr>
        <w:t>教学案例资源包含课堂实录以及本节课对应的电子教案和电子课件。</w:t>
      </w:r>
    </w:p>
    <w:p w14:paraId="3D5F2410">
      <w:pPr>
        <w:spacing w:line="400" w:lineRule="exact"/>
        <w:ind w:firstLine="420" w:firstLineChars="200"/>
        <w:rPr>
          <w:rFonts w:ascii="宋体" w:hAnsi="宋体" w:cs="宋体"/>
          <w:bCs/>
          <w:szCs w:val="21"/>
        </w:rPr>
      </w:pPr>
      <w:r>
        <w:rPr>
          <w:rFonts w:hint="eastAsia" w:ascii="宋体" w:hAnsi="宋体" w:cs="宋体"/>
          <w:bCs/>
          <w:szCs w:val="21"/>
        </w:rPr>
        <w:t>教学案例中的课堂实录、课件及教案能够实现同一界面内切换使用，方便学生使用。</w:t>
      </w:r>
    </w:p>
    <w:p w14:paraId="05F750F5">
      <w:pPr>
        <w:spacing w:line="400" w:lineRule="exact"/>
        <w:ind w:firstLine="420" w:firstLineChars="200"/>
        <w:rPr>
          <w:rFonts w:ascii="宋体" w:hAnsi="宋体" w:cs="宋体"/>
          <w:bCs/>
          <w:szCs w:val="21"/>
        </w:rPr>
      </w:pPr>
      <w:r>
        <w:rPr>
          <w:rFonts w:hint="eastAsia" w:ascii="宋体" w:hAnsi="宋体" w:cs="宋体"/>
          <w:bCs/>
          <w:szCs w:val="21"/>
        </w:rPr>
        <w:t>课堂实录必须为有师生互动的整节课程的视频资源。</w:t>
      </w:r>
    </w:p>
    <w:p w14:paraId="7BE983FE">
      <w:pPr>
        <w:spacing w:line="400" w:lineRule="exact"/>
        <w:ind w:firstLine="420" w:firstLineChars="200"/>
        <w:rPr>
          <w:rFonts w:ascii="宋体" w:hAnsi="宋体" w:cs="宋体"/>
          <w:bCs/>
          <w:szCs w:val="21"/>
        </w:rPr>
      </w:pPr>
      <w:r>
        <w:rPr>
          <w:rFonts w:hint="eastAsia" w:ascii="宋体" w:hAnsi="宋体" w:cs="宋体"/>
          <w:bCs/>
          <w:szCs w:val="21"/>
        </w:rPr>
        <w:t>教学案例资源总量不低于2.5万个。</w:t>
      </w:r>
    </w:p>
    <w:p w14:paraId="06903AB7">
      <w:pPr>
        <w:spacing w:line="400" w:lineRule="exact"/>
        <w:ind w:firstLine="420" w:firstLineChars="200"/>
        <w:rPr>
          <w:rFonts w:ascii="宋体" w:hAnsi="宋体" w:cs="宋体"/>
          <w:bCs/>
          <w:szCs w:val="21"/>
        </w:rPr>
      </w:pPr>
      <w:r>
        <w:rPr>
          <w:rFonts w:hint="eastAsia" w:ascii="宋体" w:hAnsi="宋体" w:cs="宋体"/>
          <w:bCs/>
          <w:szCs w:val="21"/>
        </w:rPr>
        <w:t>动画及仿真教具资源数量不低于2万个。</w:t>
      </w:r>
    </w:p>
    <w:p w14:paraId="5AAAA77B">
      <w:pPr>
        <w:spacing w:line="400" w:lineRule="exact"/>
        <w:ind w:firstLine="420" w:firstLineChars="200"/>
        <w:rPr>
          <w:rFonts w:ascii="宋体" w:hAnsi="宋体" w:cs="宋体"/>
          <w:bCs/>
          <w:szCs w:val="21"/>
        </w:rPr>
      </w:pPr>
      <w:r>
        <w:rPr>
          <w:rFonts w:hint="eastAsia" w:ascii="宋体" w:hAnsi="宋体" w:cs="宋体"/>
          <w:bCs/>
          <w:szCs w:val="21"/>
        </w:rPr>
        <w:t>（3）教师</w:t>
      </w:r>
      <w:r>
        <w:rPr>
          <w:rFonts w:hint="eastAsia" w:ascii="宋体" w:hAnsi="宋体" w:cs="宋体"/>
          <w:bCs/>
          <w:szCs w:val="21"/>
          <w:lang w:eastAsia="zh-Hans"/>
        </w:rPr>
        <w:t>职业</w:t>
      </w:r>
      <w:r>
        <w:rPr>
          <w:rFonts w:hint="eastAsia" w:ascii="宋体" w:hAnsi="宋体" w:cs="宋体"/>
          <w:bCs/>
          <w:szCs w:val="21"/>
        </w:rPr>
        <w:t>考试资源</w:t>
      </w:r>
    </w:p>
    <w:p w14:paraId="5FE7EFD9">
      <w:pPr>
        <w:spacing w:line="400" w:lineRule="exact"/>
        <w:ind w:firstLine="420" w:firstLineChars="200"/>
        <w:rPr>
          <w:rFonts w:ascii="宋体" w:hAnsi="宋体" w:cs="宋体"/>
          <w:bCs/>
          <w:szCs w:val="21"/>
        </w:rPr>
      </w:pPr>
      <w:r>
        <w:rPr>
          <w:rFonts w:hint="eastAsia" w:ascii="宋体" w:hAnsi="宋体" w:cs="宋体"/>
          <w:bCs/>
          <w:szCs w:val="21"/>
        </w:rPr>
        <w:t>资源内容按照小学教师、中学教师、高中教师、学前教师进行分类筛选。</w:t>
      </w:r>
    </w:p>
    <w:p w14:paraId="5FE953B0">
      <w:pPr>
        <w:spacing w:line="400" w:lineRule="exact"/>
        <w:ind w:firstLine="420" w:firstLineChars="200"/>
        <w:rPr>
          <w:rFonts w:ascii="宋体" w:hAnsi="宋体" w:cs="宋体"/>
          <w:bCs/>
          <w:szCs w:val="21"/>
        </w:rPr>
      </w:pPr>
      <w:r>
        <w:rPr>
          <w:rFonts w:hint="eastAsia" w:ascii="宋体" w:hAnsi="宋体" w:cs="宋体"/>
          <w:bCs/>
          <w:szCs w:val="21"/>
        </w:rPr>
        <w:t>考试相关内容需要按照学科进行多级分类，可以快速定位个人需求。</w:t>
      </w:r>
    </w:p>
    <w:p w14:paraId="153C6A72">
      <w:pPr>
        <w:spacing w:line="400" w:lineRule="exact"/>
        <w:ind w:firstLine="420" w:firstLineChars="200"/>
        <w:rPr>
          <w:rFonts w:ascii="宋体" w:hAnsi="宋体" w:cs="宋体"/>
          <w:bCs/>
          <w:szCs w:val="21"/>
        </w:rPr>
      </w:pPr>
      <w:r>
        <w:rPr>
          <w:rFonts w:hint="eastAsia" w:ascii="宋体" w:hAnsi="宋体" w:cs="宋体"/>
          <w:bCs/>
          <w:szCs w:val="21"/>
        </w:rPr>
        <w:t>所有笔试内容需要按照考题种类与年份划分，如模拟试题、历年真题、面试真题等并实现线上答题功能，系统能够自动生成分数和答题情况，并可查看答题解析。</w:t>
      </w:r>
    </w:p>
    <w:p w14:paraId="49CC5348">
      <w:pPr>
        <w:spacing w:line="400" w:lineRule="exact"/>
        <w:ind w:firstLine="420" w:firstLineChars="200"/>
        <w:rPr>
          <w:rFonts w:ascii="宋体" w:hAnsi="宋体" w:cs="宋体"/>
          <w:bCs/>
          <w:szCs w:val="21"/>
        </w:rPr>
      </w:pPr>
      <w:r>
        <w:rPr>
          <w:rFonts w:hint="eastAsia" w:ascii="宋体" w:hAnsi="宋体" w:cs="宋体"/>
          <w:bCs/>
          <w:szCs w:val="21"/>
        </w:rPr>
        <w:t>考题资源不低于1000套考试试卷。</w:t>
      </w:r>
    </w:p>
    <w:p w14:paraId="3EA3D004">
      <w:pPr>
        <w:spacing w:line="400" w:lineRule="exact"/>
        <w:ind w:firstLine="420" w:firstLineChars="200"/>
        <w:rPr>
          <w:rFonts w:ascii="宋体" w:hAnsi="宋体" w:cs="宋体"/>
          <w:bCs/>
          <w:szCs w:val="21"/>
        </w:rPr>
      </w:pPr>
      <w:r>
        <w:rPr>
          <w:rFonts w:hint="eastAsia" w:ascii="宋体" w:hAnsi="宋体" w:cs="宋体"/>
          <w:bCs/>
          <w:szCs w:val="21"/>
        </w:rPr>
        <w:t>5.项目服务要求</w:t>
      </w:r>
      <w:bookmarkEnd w:id="78"/>
    </w:p>
    <w:p w14:paraId="2D7001A5">
      <w:pPr>
        <w:spacing w:line="400" w:lineRule="exact"/>
        <w:ind w:firstLine="420" w:firstLineChars="200"/>
        <w:rPr>
          <w:rFonts w:ascii="宋体" w:hAnsi="宋体" w:cs="宋体"/>
          <w:bCs/>
          <w:szCs w:val="21"/>
        </w:rPr>
      </w:pPr>
      <w:r>
        <w:rPr>
          <w:rFonts w:hint="eastAsia" w:ascii="宋体" w:hAnsi="宋体" w:cs="宋体"/>
          <w:bCs/>
          <w:szCs w:val="21"/>
        </w:rPr>
        <w:t>5.1系统对接</w:t>
      </w:r>
    </w:p>
    <w:p w14:paraId="3CFBE8C3">
      <w:pPr>
        <w:spacing w:line="400" w:lineRule="exact"/>
        <w:ind w:firstLine="420" w:firstLineChars="200"/>
        <w:rPr>
          <w:rFonts w:ascii="宋体" w:hAnsi="宋体" w:cs="宋体"/>
          <w:bCs/>
          <w:szCs w:val="21"/>
        </w:rPr>
      </w:pPr>
      <w:r>
        <w:rPr>
          <w:rFonts w:hint="eastAsia" w:ascii="宋体" w:hAnsi="宋体" w:cs="宋体"/>
          <w:bCs/>
          <w:szCs w:val="21"/>
        </w:rPr>
        <w:t>能够与学校现有统一身份认证、单点登</w:t>
      </w:r>
      <w:r>
        <w:rPr>
          <w:rFonts w:hint="eastAsia" w:ascii="宋体" w:hAnsi="宋体" w:cs="宋体"/>
          <w:bCs/>
          <w:szCs w:val="21"/>
          <w:lang w:eastAsia="zh-CN"/>
        </w:rPr>
        <w:t>录</w:t>
      </w:r>
      <w:r>
        <w:rPr>
          <w:rFonts w:hint="eastAsia" w:ascii="宋体" w:hAnsi="宋体" w:cs="宋体"/>
          <w:bCs/>
          <w:szCs w:val="21"/>
        </w:rPr>
        <w:t>进行用户对接，无须学生另行注册其他登录账号。</w:t>
      </w:r>
    </w:p>
    <w:p w14:paraId="271D682B">
      <w:pPr>
        <w:spacing w:line="400" w:lineRule="exact"/>
        <w:ind w:firstLine="420" w:firstLineChars="200"/>
        <w:rPr>
          <w:rFonts w:ascii="宋体" w:hAnsi="宋体" w:cs="宋体"/>
          <w:bCs/>
          <w:szCs w:val="21"/>
        </w:rPr>
      </w:pPr>
      <w:bookmarkStart w:id="79" w:name="_Toc77708971"/>
      <w:r>
        <w:rPr>
          <w:rFonts w:hint="eastAsia" w:ascii="宋体" w:hAnsi="宋体" w:cs="宋体"/>
          <w:bCs/>
          <w:szCs w:val="21"/>
        </w:rPr>
        <w:t>提供单独云端访问链接和界面，不得同其他高校共用同一界面，可按学校需求在首页面增加学校logo等信息。</w:t>
      </w:r>
    </w:p>
    <w:p w14:paraId="2E31FF9B">
      <w:pPr>
        <w:spacing w:line="400" w:lineRule="exact"/>
        <w:ind w:firstLine="420" w:firstLineChars="200"/>
        <w:rPr>
          <w:rFonts w:ascii="宋体" w:hAnsi="宋体" w:cs="宋体"/>
          <w:bCs/>
          <w:szCs w:val="21"/>
        </w:rPr>
      </w:pPr>
      <w:r>
        <w:rPr>
          <w:rFonts w:hint="eastAsia" w:ascii="宋体" w:hAnsi="宋体" w:cs="宋体"/>
          <w:bCs/>
          <w:szCs w:val="21"/>
        </w:rPr>
        <w:t>5.2质量保证</w:t>
      </w:r>
    </w:p>
    <w:p w14:paraId="4F27A9CF">
      <w:pPr>
        <w:spacing w:line="400" w:lineRule="exact"/>
        <w:ind w:firstLine="420" w:firstLineChars="200"/>
        <w:rPr>
          <w:rFonts w:ascii="宋体" w:hAnsi="宋体" w:cs="宋体"/>
          <w:bCs/>
          <w:szCs w:val="21"/>
        </w:rPr>
      </w:pPr>
      <w:r>
        <w:rPr>
          <w:rFonts w:hint="eastAsia" w:ascii="宋体" w:hAnsi="宋体" w:cs="宋体"/>
          <w:bCs/>
          <w:szCs w:val="21"/>
        </w:rPr>
        <w:t>自验收合格之日起，提供1年的</w:t>
      </w:r>
      <w:r>
        <w:rPr>
          <w:rFonts w:hint="eastAsia" w:ascii="宋体" w:hAnsi="宋体" w:cs="宋体"/>
          <w:szCs w:val="21"/>
          <w:lang w:eastAsia="zh-CN"/>
        </w:rPr>
        <w:t>无条件</w:t>
      </w:r>
      <w:r>
        <w:rPr>
          <w:rFonts w:hint="eastAsia" w:ascii="宋体" w:hAnsi="宋体" w:cs="宋体"/>
          <w:bCs/>
          <w:szCs w:val="21"/>
        </w:rPr>
        <w:t>质保服务期，质保服务期内提供</w:t>
      </w:r>
      <w:r>
        <w:rPr>
          <w:rFonts w:hint="eastAsia" w:ascii="宋体" w:hAnsi="宋体" w:cs="宋体"/>
          <w:szCs w:val="21"/>
          <w:lang w:eastAsia="zh-CN"/>
        </w:rPr>
        <w:t>无条件</w:t>
      </w:r>
      <w:r>
        <w:rPr>
          <w:rFonts w:hint="eastAsia" w:ascii="宋体" w:hAnsi="宋体" w:cs="宋体"/>
          <w:bCs/>
          <w:szCs w:val="21"/>
        </w:rPr>
        <w:t>的售后服务。</w:t>
      </w:r>
    </w:p>
    <w:p w14:paraId="3FAA557F">
      <w:pPr>
        <w:spacing w:line="400" w:lineRule="exact"/>
        <w:ind w:firstLine="420" w:firstLineChars="200"/>
        <w:rPr>
          <w:rFonts w:ascii="宋体" w:hAnsi="宋体" w:cs="宋体"/>
          <w:bCs/>
          <w:szCs w:val="21"/>
        </w:rPr>
      </w:pPr>
      <w:r>
        <w:rPr>
          <w:rFonts w:hint="eastAsia" w:ascii="宋体" w:hAnsi="宋体" w:cs="宋体"/>
          <w:bCs/>
          <w:szCs w:val="21"/>
        </w:rPr>
        <w:t>5.3产品服务</w:t>
      </w:r>
      <w:bookmarkEnd w:id="79"/>
    </w:p>
    <w:p w14:paraId="049EC72D">
      <w:pPr>
        <w:spacing w:line="400" w:lineRule="exact"/>
        <w:ind w:firstLine="420" w:firstLineChars="200"/>
        <w:rPr>
          <w:rFonts w:ascii="宋体" w:hAnsi="宋体" w:cs="宋体"/>
          <w:bCs/>
          <w:szCs w:val="21"/>
        </w:rPr>
      </w:pPr>
      <w:r>
        <w:rPr>
          <w:rFonts w:hint="eastAsia" w:ascii="宋体" w:hAnsi="宋体" w:cs="宋体"/>
          <w:bCs/>
          <w:szCs w:val="21"/>
        </w:rPr>
        <w:t>（1）电话咨询</w:t>
      </w:r>
    </w:p>
    <w:p w14:paraId="5A4BBB40">
      <w:pPr>
        <w:spacing w:line="400" w:lineRule="exact"/>
        <w:rPr>
          <w:rFonts w:ascii="宋体" w:hAnsi="宋体" w:cs="宋体"/>
          <w:bCs/>
          <w:szCs w:val="21"/>
        </w:rPr>
      </w:pPr>
      <w:r>
        <w:rPr>
          <w:rFonts w:hint="eastAsia" w:ascii="宋体" w:hAnsi="宋体" w:cs="宋体"/>
          <w:bCs/>
          <w:szCs w:val="21"/>
        </w:rPr>
        <w:t>成交供应商为采购人提供7×24小时技术援助电话，解答采购人在使用中遇到的问题，及时提出解决问题的建议。</w:t>
      </w:r>
    </w:p>
    <w:p w14:paraId="265B5F0B">
      <w:pPr>
        <w:spacing w:line="400" w:lineRule="exact"/>
        <w:ind w:firstLine="420" w:firstLineChars="200"/>
        <w:rPr>
          <w:rFonts w:ascii="宋体" w:hAnsi="宋体" w:cs="宋体"/>
          <w:bCs/>
          <w:szCs w:val="21"/>
        </w:rPr>
      </w:pPr>
      <w:r>
        <w:rPr>
          <w:rFonts w:hint="eastAsia" w:ascii="宋体" w:hAnsi="宋体" w:cs="宋体"/>
          <w:bCs/>
          <w:szCs w:val="21"/>
        </w:rPr>
        <w:t>（2）现场响应</w:t>
      </w:r>
    </w:p>
    <w:p w14:paraId="1A59E5D7">
      <w:pPr>
        <w:spacing w:line="400" w:lineRule="exact"/>
        <w:ind w:firstLine="420" w:firstLineChars="200"/>
        <w:rPr>
          <w:rFonts w:ascii="宋体" w:hAnsi="宋体" w:cs="宋体"/>
          <w:bCs/>
          <w:szCs w:val="21"/>
        </w:rPr>
      </w:pPr>
      <w:r>
        <w:rPr>
          <w:rFonts w:hint="eastAsia" w:ascii="宋体" w:hAnsi="宋体" w:cs="宋体"/>
          <w:bCs/>
          <w:szCs w:val="21"/>
        </w:rPr>
        <w:t>采购人遇到使用及技术问题，电话咨询不能解决的，成交供应商应在24小时内到达现场进行处理，确保产品正常工作；无法在24小时内解决的，应在48小时内提供备用产品，使采购人能够正常使用。</w:t>
      </w:r>
    </w:p>
    <w:p w14:paraId="05D32F78">
      <w:pPr>
        <w:spacing w:line="400" w:lineRule="exact"/>
        <w:ind w:firstLine="420" w:firstLineChars="200"/>
        <w:rPr>
          <w:rFonts w:ascii="宋体" w:hAnsi="宋体" w:cs="宋体"/>
          <w:bCs/>
          <w:szCs w:val="21"/>
        </w:rPr>
      </w:pPr>
      <w:r>
        <w:rPr>
          <w:rFonts w:hint="eastAsia" w:ascii="宋体" w:hAnsi="宋体" w:cs="宋体"/>
          <w:bCs/>
          <w:szCs w:val="21"/>
        </w:rPr>
        <w:t>（3）培训推广</w:t>
      </w:r>
    </w:p>
    <w:p w14:paraId="11D0B137">
      <w:pPr>
        <w:spacing w:line="400" w:lineRule="exact"/>
        <w:ind w:firstLine="420" w:firstLineChars="200"/>
        <w:rPr>
          <w:rFonts w:ascii="宋体" w:hAnsi="宋体" w:cs="宋体"/>
          <w:bCs/>
          <w:szCs w:val="21"/>
        </w:rPr>
      </w:pPr>
      <w:r>
        <w:rPr>
          <w:rFonts w:hint="eastAsia" w:ascii="宋体" w:hAnsi="宋体" w:cs="宋体"/>
          <w:bCs/>
          <w:szCs w:val="21"/>
        </w:rPr>
        <w:t>产品服务期内，成交供应商</w:t>
      </w:r>
      <w:r>
        <w:rPr>
          <w:rFonts w:hint="eastAsia" w:ascii="宋体" w:hAnsi="宋体" w:cs="宋体"/>
          <w:szCs w:val="21"/>
          <w:lang w:eastAsia="zh-CN"/>
        </w:rPr>
        <w:t>无条件</w:t>
      </w:r>
      <w:r>
        <w:rPr>
          <w:rFonts w:hint="eastAsia" w:ascii="宋体" w:hAnsi="宋体" w:cs="宋体"/>
          <w:bCs/>
          <w:szCs w:val="21"/>
        </w:rPr>
        <w:t>为采购人提供每年不少于2次的使用培训服务。培训具体时间和形式由双方协商确认。</w:t>
      </w:r>
    </w:p>
    <w:p w14:paraId="0E2B3B50">
      <w:pPr>
        <w:spacing w:line="400" w:lineRule="exact"/>
        <w:ind w:firstLine="420" w:firstLineChars="200"/>
        <w:rPr>
          <w:rFonts w:ascii="宋体" w:hAnsi="宋体" w:cs="宋体"/>
          <w:bCs/>
          <w:szCs w:val="21"/>
        </w:rPr>
      </w:pPr>
      <w:r>
        <w:rPr>
          <w:rFonts w:hint="eastAsia" w:ascii="宋体" w:hAnsi="宋体" w:cs="宋体"/>
          <w:bCs/>
          <w:szCs w:val="21"/>
        </w:rPr>
        <w:t>（4）教学跟踪</w:t>
      </w:r>
    </w:p>
    <w:p w14:paraId="0646F5FB">
      <w:pPr>
        <w:spacing w:line="400" w:lineRule="exact"/>
        <w:ind w:firstLine="420" w:firstLineChars="200"/>
        <w:rPr>
          <w:rFonts w:hint="eastAsia" w:ascii="宋体" w:hAnsi="宋体" w:cs="宋体"/>
          <w:bCs/>
          <w:szCs w:val="21"/>
        </w:rPr>
      </w:pPr>
      <w:r>
        <w:rPr>
          <w:rFonts w:hint="eastAsia" w:ascii="宋体" w:hAnsi="宋体" w:cs="宋体"/>
          <w:bCs/>
          <w:szCs w:val="21"/>
        </w:rPr>
        <w:t>成交供应商能够为采购人提供数据库使用情况统计报告，具体次数和内容由双方协商确认。</w:t>
      </w:r>
    </w:p>
    <w:p w14:paraId="6B5AA2C9">
      <w:pPr>
        <w:spacing w:line="400" w:lineRule="exact"/>
        <w:ind w:firstLine="420" w:firstLineChars="200"/>
        <w:rPr>
          <w:rFonts w:hint="eastAsia" w:ascii="宋体" w:hAnsi="宋体" w:cs="宋体"/>
          <w:bCs/>
          <w:szCs w:val="21"/>
        </w:rPr>
      </w:pPr>
      <w:r>
        <w:rPr>
          <w:rFonts w:hint="eastAsia" w:ascii="宋体" w:hAnsi="宋体" w:cs="宋体"/>
          <w:bCs/>
          <w:szCs w:val="21"/>
        </w:rPr>
        <w:t>6.服务</w:t>
      </w:r>
      <w:r>
        <w:rPr>
          <w:rFonts w:hint="eastAsia" w:ascii="宋体" w:hAnsi="宋体" w:cs="宋体"/>
          <w:bCs/>
          <w:szCs w:val="21"/>
          <w:lang w:eastAsia="zh-CN"/>
        </w:rPr>
        <w:t>期限</w:t>
      </w:r>
      <w:r>
        <w:rPr>
          <w:rFonts w:hint="eastAsia" w:ascii="宋体" w:hAnsi="宋体" w:cs="宋体"/>
          <w:bCs/>
          <w:szCs w:val="21"/>
        </w:rPr>
        <w:t>：2026</w:t>
      </w:r>
      <w:r>
        <w:rPr>
          <w:rFonts w:hint="eastAsia" w:ascii="宋体" w:hAnsi="宋体" w:cs="宋体"/>
          <w:bCs/>
          <w:szCs w:val="21"/>
          <w:lang w:eastAsia="zh-CN"/>
        </w:rPr>
        <w:t>年</w:t>
      </w:r>
      <w:r>
        <w:rPr>
          <w:rFonts w:hint="eastAsia" w:ascii="宋体" w:hAnsi="宋体" w:cs="宋体"/>
          <w:bCs/>
          <w:szCs w:val="21"/>
        </w:rPr>
        <w:t>1</w:t>
      </w:r>
      <w:r>
        <w:rPr>
          <w:rFonts w:hint="eastAsia" w:ascii="宋体" w:hAnsi="宋体" w:cs="宋体"/>
          <w:bCs/>
          <w:szCs w:val="21"/>
          <w:lang w:eastAsia="zh-CN"/>
        </w:rPr>
        <w:t>月</w:t>
      </w:r>
      <w:r>
        <w:rPr>
          <w:rFonts w:hint="eastAsia" w:ascii="宋体" w:hAnsi="宋体" w:cs="宋体"/>
          <w:bCs/>
          <w:szCs w:val="21"/>
        </w:rPr>
        <w:t>1</w:t>
      </w:r>
      <w:r>
        <w:rPr>
          <w:rFonts w:hint="eastAsia" w:ascii="宋体" w:hAnsi="宋体" w:cs="宋体"/>
          <w:bCs/>
          <w:szCs w:val="21"/>
          <w:lang w:eastAsia="zh-CN"/>
        </w:rPr>
        <w:t>日至</w:t>
      </w:r>
      <w:r>
        <w:rPr>
          <w:rFonts w:hint="eastAsia" w:ascii="宋体" w:hAnsi="宋体" w:cs="宋体"/>
          <w:bCs/>
          <w:szCs w:val="21"/>
        </w:rPr>
        <w:t>2026</w:t>
      </w:r>
      <w:r>
        <w:rPr>
          <w:rFonts w:hint="eastAsia" w:ascii="宋体" w:hAnsi="宋体" w:cs="宋体"/>
          <w:bCs/>
          <w:szCs w:val="21"/>
          <w:lang w:eastAsia="zh-CN"/>
        </w:rPr>
        <w:t>年</w:t>
      </w:r>
      <w:r>
        <w:rPr>
          <w:rFonts w:hint="eastAsia" w:ascii="宋体" w:hAnsi="宋体" w:cs="宋体"/>
          <w:bCs/>
          <w:szCs w:val="21"/>
        </w:rPr>
        <w:t>12</w:t>
      </w:r>
      <w:r>
        <w:rPr>
          <w:rFonts w:hint="eastAsia" w:ascii="宋体" w:hAnsi="宋体" w:cs="宋体"/>
          <w:bCs/>
          <w:szCs w:val="21"/>
          <w:lang w:eastAsia="zh-CN"/>
        </w:rPr>
        <w:t>月</w:t>
      </w:r>
      <w:r>
        <w:rPr>
          <w:rFonts w:hint="eastAsia" w:ascii="宋体" w:hAnsi="宋体" w:cs="宋体"/>
          <w:bCs/>
          <w:szCs w:val="21"/>
        </w:rPr>
        <w:t>31</w:t>
      </w:r>
      <w:r>
        <w:rPr>
          <w:rFonts w:hint="eastAsia" w:ascii="宋体" w:hAnsi="宋体" w:cs="宋体"/>
          <w:bCs/>
          <w:szCs w:val="21"/>
          <w:lang w:eastAsia="zh-CN"/>
        </w:rPr>
        <w:t>日。</w:t>
      </w:r>
      <w:r>
        <w:rPr>
          <w:rFonts w:hint="eastAsia" w:ascii="宋体" w:hAnsi="宋体" w:cs="宋体"/>
          <w:bCs/>
          <w:szCs w:val="21"/>
        </w:rPr>
        <w:br w:type="page"/>
      </w:r>
    </w:p>
    <w:p w14:paraId="7B273240">
      <w:pPr>
        <w:spacing w:line="400" w:lineRule="exact"/>
        <w:ind w:firstLine="422" w:firstLineChars="200"/>
        <w:rPr>
          <w:rFonts w:ascii="宋体" w:hAnsi="宋体" w:cs="宋体"/>
          <w:b/>
          <w:szCs w:val="21"/>
        </w:rPr>
      </w:pPr>
      <w:r>
        <w:rPr>
          <w:rFonts w:hint="eastAsia" w:ascii="宋体" w:hAnsi="宋体" w:cs="宋体"/>
          <w:b/>
          <w:szCs w:val="21"/>
        </w:rPr>
        <w:t>标项十三（ProQuest Central）：</w:t>
      </w:r>
    </w:p>
    <w:p w14:paraId="178DC1FA">
      <w:pPr>
        <w:spacing w:line="400" w:lineRule="exact"/>
        <w:ind w:firstLine="420" w:firstLineChars="200"/>
        <w:rPr>
          <w:rFonts w:ascii="宋体" w:hAnsi="宋体" w:cs="宋体"/>
          <w:bCs/>
          <w:szCs w:val="21"/>
        </w:rPr>
      </w:pPr>
      <w:r>
        <w:rPr>
          <w:rFonts w:hint="eastAsia" w:ascii="宋体" w:hAnsi="宋体" w:cs="宋体"/>
          <w:bCs/>
          <w:szCs w:val="21"/>
        </w:rPr>
        <w:t>1.数据库内容详细介绍：</w:t>
      </w:r>
    </w:p>
    <w:p w14:paraId="7DE65D3A">
      <w:pPr>
        <w:spacing w:line="400" w:lineRule="exact"/>
        <w:ind w:firstLine="420" w:firstLineChars="200"/>
        <w:rPr>
          <w:rFonts w:ascii="宋体" w:hAnsi="宋体" w:cs="宋体"/>
          <w:bCs/>
          <w:szCs w:val="21"/>
        </w:rPr>
      </w:pPr>
      <w:r>
        <w:rPr>
          <w:rFonts w:hint="eastAsia" w:ascii="宋体" w:hAnsi="宋体" w:cs="宋体"/>
          <w:bCs/>
          <w:szCs w:val="21"/>
        </w:rPr>
        <w:t>综合性学术期刊全文数据库，汇集47个全文期刊子库内容，涵盖商学、经济学、人文、社科、理工、生物、农业、医学、心理学等170多个学科，涉及英语、西班牙语、法语、德语、葡萄牙语等100多种语言。截</w:t>
      </w:r>
      <w:r>
        <w:rPr>
          <w:rFonts w:hint="eastAsia"/>
          <w:lang w:val="en-US" w:eastAsia="zh-CN"/>
        </w:rPr>
        <w:t>至</w:t>
      </w:r>
      <w:r>
        <w:rPr>
          <w:rFonts w:hint="eastAsia" w:ascii="宋体" w:hAnsi="宋体" w:cs="宋体"/>
          <w:bCs/>
          <w:szCs w:val="21"/>
        </w:rPr>
        <w:t>目前，</w:t>
      </w:r>
      <w:r>
        <w:rPr>
          <w:rFonts w:hint="eastAsia" w:ascii="宋体" w:hAnsi="宋体" w:cs="宋体"/>
          <w:bCs/>
          <w:szCs w:val="21"/>
          <w:lang w:val="en-US" w:eastAsia="zh-CN"/>
        </w:rPr>
        <w:t>需要</w:t>
      </w:r>
      <w:r>
        <w:rPr>
          <w:rFonts w:hint="eastAsia" w:ascii="宋体" w:hAnsi="宋体" w:cs="宋体"/>
          <w:bCs/>
          <w:szCs w:val="21"/>
        </w:rPr>
        <w:t>收录</w:t>
      </w:r>
      <w:r>
        <w:rPr>
          <w:rFonts w:hint="eastAsia" w:ascii="宋体" w:hAnsi="宋体" w:cs="宋体"/>
          <w:bCs/>
          <w:szCs w:val="21"/>
          <w:lang w:val="en-US" w:eastAsia="zh-CN"/>
        </w:rPr>
        <w:t>超</w:t>
      </w:r>
      <w:r>
        <w:rPr>
          <w:rFonts w:hint="eastAsia" w:ascii="宋体" w:hAnsi="宋体" w:cs="宋体"/>
          <w:bCs/>
          <w:szCs w:val="21"/>
        </w:rPr>
        <w:t>3.4万种出版物，其中1.8万多种学术期刊，1万多种核心期刊，1.2万多种收录至今的全文出版物，4500多种行业杂志（Trade Journals）；还提供学位论文、报纸、会议、报告、新闻、多媒体等各类全文资源，收录超过39万篇博硕士学位论文全文、超过25万篇会议论文全文、350多万份研究手稿 (Working Paper/Pre-Print)、超过430万份报告（包括公司报告、市场报告、行业报告、国家报告等）、219万份公司简介、超过2.6万部多媒体资源，2500多种全球发行的重要报纸文献。</w:t>
      </w:r>
    </w:p>
    <w:p w14:paraId="068421EE">
      <w:pPr>
        <w:spacing w:line="400" w:lineRule="exact"/>
        <w:ind w:firstLine="420" w:firstLineChars="200"/>
        <w:rPr>
          <w:rFonts w:ascii="宋体" w:hAnsi="宋体" w:cs="宋体"/>
          <w:bCs/>
          <w:szCs w:val="21"/>
        </w:rPr>
      </w:pPr>
      <w:r>
        <w:rPr>
          <w:rFonts w:hint="eastAsia" w:ascii="宋体" w:hAnsi="宋体" w:cs="宋体"/>
          <w:bCs/>
          <w:szCs w:val="21"/>
        </w:rPr>
        <w:t>2.资源检索系统与功能</w:t>
      </w:r>
    </w:p>
    <w:p w14:paraId="3CD0329D">
      <w:pPr>
        <w:spacing w:line="400" w:lineRule="exact"/>
        <w:ind w:firstLine="420" w:firstLineChars="200"/>
        <w:rPr>
          <w:rFonts w:ascii="宋体" w:hAnsi="宋体" w:cs="宋体"/>
          <w:bCs/>
          <w:szCs w:val="21"/>
        </w:rPr>
      </w:pPr>
      <w:r>
        <w:rPr>
          <w:rFonts w:hint="eastAsia" w:ascii="宋体" w:hAnsi="宋体" w:cs="宋体"/>
          <w:bCs/>
          <w:szCs w:val="21"/>
        </w:rPr>
        <w:t>数据库提供基本检索、高级检索和论文浏览三种途径。简单检索是默认检索方式，高级检索可按论文题目、作者、学科名、主题、导师、学校、引文及摘要、语言等字段进行检索，并可实现多字段组合检索以精确定位所需要的内容。 论文浏览功能可按学科和毕业学校所在的国家或地区来查找相关的学位论文。</w:t>
      </w:r>
    </w:p>
    <w:p w14:paraId="455CB493">
      <w:pPr>
        <w:spacing w:line="400" w:lineRule="exact"/>
        <w:ind w:firstLine="420" w:firstLineChars="200"/>
        <w:rPr>
          <w:rFonts w:ascii="宋体" w:hAnsi="宋体" w:cs="宋体"/>
          <w:bCs/>
          <w:szCs w:val="21"/>
        </w:rPr>
      </w:pPr>
      <w:r>
        <w:rPr>
          <w:rFonts w:hint="eastAsia" w:ascii="宋体" w:hAnsi="宋体" w:cs="宋体"/>
          <w:bCs/>
          <w:szCs w:val="21"/>
        </w:rPr>
        <w:t>平台提供检索结果的过滤功能（可按照出版日期、主题、索引短语/关键词、语言、学校名称、学校所在国家或地区）。</w:t>
      </w:r>
    </w:p>
    <w:p w14:paraId="008E9A32">
      <w:pPr>
        <w:spacing w:line="400" w:lineRule="exact"/>
        <w:ind w:firstLine="420" w:firstLineChars="200"/>
        <w:rPr>
          <w:rFonts w:ascii="宋体" w:hAnsi="宋体" w:cs="宋体"/>
          <w:bCs/>
          <w:szCs w:val="21"/>
        </w:rPr>
      </w:pPr>
      <w:r>
        <w:rPr>
          <w:rFonts w:hint="eastAsia" w:ascii="宋体" w:hAnsi="宋体" w:cs="宋体"/>
          <w:bCs/>
          <w:szCs w:val="21"/>
        </w:rPr>
        <w:t>支持Widget，可方便地生成Widget检索框，嵌入到任何网页中。</w:t>
      </w:r>
    </w:p>
    <w:p w14:paraId="24FDA881">
      <w:pPr>
        <w:spacing w:line="400" w:lineRule="exact"/>
        <w:ind w:firstLine="420" w:firstLineChars="200"/>
        <w:rPr>
          <w:rFonts w:ascii="宋体" w:hAnsi="宋体" w:cs="宋体"/>
          <w:bCs/>
          <w:szCs w:val="21"/>
        </w:rPr>
      </w:pPr>
      <w:r>
        <w:rPr>
          <w:rFonts w:hint="eastAsia" w:ascii="宋体" w:hAnsi="宋体" w:cs="宋体"/>
          <w:bCs/>
          <w:szCs w:val="21"/>
        </w:rPr>
        <w:t>数据库可通过网页直接浏览检索结果，也可将检索结果直接下载，通过电子邮件、打印、保存为PDF/Excel等方式进行输出；同时，检索结果也可以导出到RefWorks、EndNote等文献管理工具。</w:t>
      </w:r>
    </w:p>
    <w:p w14:paraId="1C7B4CCF">
      <w:pPr>
        <w:spacing w:line="400" w:lineRule="exact"/>
        <w:ind w:firstLine="420" w:firstLineChars="200"/>
        <w:rPr>
          <w:rFonts w:ascii="宋体" w:hAnsi="宋体" w:cs="宋体"/>
          <w:bCs/>
          <w:szCs w:val="21"/>
        </w:rPr>
      </w:pPr>
      <w:r>
        <w:rPr>
          <w:rFonts w:hint="eastAsia" w:ascii="宋体" w:hAnsi="宋体" w:cs="宋体"/>
          <w:bCs/>
          <w:szCs w:val="21"/>
        </w:rPr>
        <w:t>订户可在ProQuest平台上检索其订购的多个数据库，同时Open URL支持对检索结果的链接。除此之外，平台提供中文的检索界面，支持RSS Feeds功能，并可定制系统提示功能（Alert）。</w:t>
      </w:r>
    </w:p>
    <w:p w14:paraId="0C5285B9">
      <w:pPr>
        <w:spacing w:line="400" w:lineRule="exact"/>
        <w:ind w:firstLine="420" w:firstLineChars="200"/>
        <w:rPr>
          <w:rFonts w:ascii="宋体" w:hAnsi="宋体" w:cs="宋体"/>
          <w:bCs/>
          <w:szCs w:val="21"/>
        </w:rPr>
      </w:pPr>
      <w:r>
        <w:rPr>
          <w:rFonts w:hint="eastAsia" w:ascii="宋体" w:hAnsi="宋体" w:cs="宋体"/>
          <w:bCs/>
          <w:szCs w:val="21"/>
        </w:rPr>
        <w:t>3.访问方式</w:t>
      </w:r>
    </w:p>
    <w:p w14:paraId="5422D341">
      <w:pPr>
        <w:spacing w:line="400" w:lineRule="exact"/>
        <w:ind w:firstLine="420" w:firstLineChars="200"/>
        <w:rPr>
          <w:rFonts w:ascii="宋体" w:hAnsi="宋体" w:cs="宋体"/>
          <w:bCs/>
          <w:szCs w:val="21"/>
        </w:rPr>
      </w:pPr>
      <w:r>
        <w:rPr>
          <w:rFonts w:hint="eastAsia" w:ascii="宋体" w:hAnsi="宋体" w:cs="宋体"/>
          <w:bCs/>
          <w:szCs w:val="21"/>
        </w:rPr>
        <w:t>3.1</w:t>
      </w:r>
      <w:r>
        <w:rPr>
          <w:rFonts w:hint="eastAsia" w:ascii="宋体" w:hAnsi="宋体" w:cs="宋体"/>
          <w:bCs/>
          <w:szCs w:val="21"/>
          <w:lang w:val="en-US" w:eastAsia="zh-CN"/>
        </w:rPr>
        <w:t>校内</w:t>
      </w:r>
      <w:r>
        <w:rPr>
          <w:rFonts w:hint="eastAsia" w:ascii="宋体" w:hAnsi="宋体" w:cs="宋体"/>
          <w:bCs/>
          <w:szCs w:val="21"/>
        </w:rPr>
        <w:t>IP控制访问，支持VPN访问</w:t>
      </w:r>
      <w:r>
        <w:rPr>
          <w:rFonts w:hint="eastAsia" w:ascii="宋体" w:hAnsi="宋体" w:cs="宋体"/>
          <w:bCs/>
          <w:szCs w:val="21"/>
          <w:lang w:eastAsia="zh-CN"/>
        </w:rPr>
        <w:t>，</w:t>
      </w:r>
      <w:r>
        <w:rPr>
          <w:rFonts w:hint="eastAsia" w:ascii="宋体" w:hAnsi="宋体" w:cs="宋体"/>
          <w:bCs/>
          <w:szCs w:val="21"/>
        </w:rPr>
        <w:t>提供CARSI访问方式</w:t>
      </w:r>
      <w:r>
        <w:rPr>
          <w:rFonts w:hint="eastAsia" w:ascii="宋体" w:hAnsi="宋体" w:cs="宋体"/>
          <w:bCs/>
          <w:szCs w:val="21"/>
          <w:lang w:eastAsia="zh-CN"/>
        </w:rPr>
        <w:t>，</w:t>
      </w:r>
      <w:r>
        <w:rPr>
          <w:rFonts w:hint="eastAsia" w:ascii="宋体" w:hAnsi="宋体" w:cs="宋体"/>
          <w:bCs/>
          <w:szCs w:val="21"/>
        </w:rPr>
        <w:t>无并发用户限制。</w:t>
      </w:r>
    </w:p>
    <w:p w14:paraId="66C425FE">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3.2提供CERNET专线访问，访问网址：https://www.proquest.com/</w:t>
      </w:r>
      <w:r>
        <w:rPr>
          <w:rFonts w:hint="eastAsia" w:ascii="宋体" w:hAnsi="宋体" w:cs="宋体"/>
          <w:bCs/>
          <w:szCs w:val="21"/>
          <w:lang w:eastAsia="zh-CN"/>
        </w:rPr>
        <w:t>。</w:t>
      </w:r>
    </w:p>
    <w:p w14:paraId="2F31F6F1">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w:t>
      </w:r>
      <w:r>
        <w:rPr>
          <w:rFonts w:hint="eastAsia" w:ascii="宋体" w:hAnsi="宋体" w:cs="宋体"/>
          <w:bCs/>
          <w:szCs w:val="21"/>
          <w:lang w:val="en-US" w:eastAsia="zh-CN"/>
        </w:rPr>
        <w:t>3</w:t>
      </w:r>
      <w:r>
        <w:rPr>
          <w:rFonts w:hint="eastAsia" w:ascii="宋体" w:hAnsi="宋体" w:cs="宋体"/>
          <w:bCs/>
          <w:szCs w:val="21"/>
        </w:rPr>
        <w:t xml:space="preserve"> 服务期内，为</w:t>
      </w:r>
      <w:r>
        <w:rPr>
          <w:rFonts w:hint="eastAsia" w:ascii="宋体" w:hAnsi="宋体" w:cs="宋体"/>
          <w:bCs/>
          <w:szCs w:val="21"/>
          <w:lang w:eastAsia="zh-CN"/>
        </w:rPr>
        <w:t>采购人</w:t>
      </w:r>
      <w:r>
        <w:rPr>
          <w:rFonts w:hint="eastAsia" w:ascii="宋体" w:hAnsi="宋体" w:cs="宋体"/>
          <w:szCs w:val="21"/>
          <w:lang w:eastAsia="zh-CN"/>
        </w:rPr>
        <w:t>无条件</w:t>
      </w:r>
      <w:r>
        <w:rPr>
          <w:rFonts w:hint="eastAsia" w:ascii="宋体" w:hAnsi="宋体" w:cs="宋体"/>
          <w:bCs/>
          <w:szCs w:val="21"/>
        </w:rPr>
        <w:t>提供数据库培训等活动一年内不少于2次，具体时间和形式，双方协商确认</w:t>
      </w:r>
      <w:r>
        <w:rPr>
          <w:rFonts w:hint="eastAsia" w:ascii="宋体" w:hAnsi="宋体" w:cs="宋体"/>
          <w:bCs/>
          <w:szCs w:val="21"/>
          <w:lang w:eastAsia="zh-CN"/>
        </w:rPr>
        <w:t>。</w:t>
      </w:r>
    </w:p>
    <w:p w14:paraId="13CD43AC">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w:t>
      </w:r>
      <w:r>
        <w:rPr>
          <w:rFonts w:hint="eastAsia" w:ascii="宋体" w:hAnsi="宋体" w:cs="宋体"/>
          <w:bCs/>
          <w:szCs w:val="21"/>
          <w:lang w:val="en-US" w:eastAsia="zh-CN"/>
        </w:rPr>
        <w:t>4</w:t>
      </w:r>
      <w:r>
        <w:rPr>
          <w:rFonts w:hint="eastAsia" w:ascii="宋体" w:hAnsi="宋体" w:cs="宋体"/>
          <w:bCs/>
          <w:szCs w:val="21"/>
        </w:rPr>
        <w:t>定期提供数据库使用统计</w:t>
      </w:r>
      <w:r>
        <w:rPr>
          <w:rFonts w:hint="eastAsia" w:ascii="宋体" w:hAnsi="宋体" w:cs="宋体"/>
          <w:bCs/>
          <w:szCs w:val="21"/>
          <w:lang w:eastAsia="zh-CN"/>
        </w:rPr>
        <w:t>。</w:t>
      </w:r>
    </w:p>
    <w:p w14:paraId="3F3EC3B1">
      <w:pPr>
        <w:spacing w:line="400" w:lineRule="exact"/>
        <w:ind w:firstLine="420" w:firstLineChars="200"/>
        <w:rPr>
          <w:rFonts w:hint="eastAsia" w:ascii="宋体" w:hAnsi="宋体" w:cs="宋体"/>
          <w:bCs/>
          <w:szCs w:val="21"/>
        </w:rPr>
      </w:pPr>
      <w:r>
        <w:rPr>
          <w:rFonts w:hint="eastAsia" w:ascii="宋体" w:hAnsi="宋体" w:cs="宋体"/>
          <w:bCs/>
          <w:szCs w:val="21"/>
        </w:rPr>
        <w:t>4.提供网络、电话及E-mail支持服务，响应时间不超过24小时。</w:t>
      </w:r>
    </w:p>
    <w:p w14:paraId="2C3C5D8B">
      <w:pPr>
        <w:spacing w:line="400" w:lineRule="exact"/>
        <w:ind w:firstLine="420" w:firstLineChars="200"/>
        <w:rPr>
          <w:rFonts w:ascii="宋体" w:hAnsi="宋体" w:cs="宋体"/>
          <w:bCs/>
          <w:szCs w:val="21"/>
        </w:rPr>
      </w:pPr>
      <w:r>
        <w:rPr>
          <w:rFonts w:hint="eastAsia" w:ascii="宋体" w:hAnsi="宋体" w:cs="宋体"/>
          <w:bCs/>
          <w:szCs w:val="21"/>
          <w:lang w:val="en-US" w:eastAsia="zh-CN"/>
        </w:rPr>
        <w:t>5.</w:t>
      </w:r>
      <w:r>
        <w:rPr>
          <w:rFonts w:hint="eastAsia" w:ascii="宋体" w:hAnsi="宋体" w:cs="宋体"/>
          <w:bCs/>
          <w:szCs w:val="21"/>
        </w:rPr>
        <w:t>服务期限：2025年</w:t>
      </w:r>
      <w:r>
        <w:rPr>
          <w:rFonts w:hint="eastAsia" w:ascii="宋体" w:hAnsi="宋体" w:cs="宋体"/>
          <w:bCs/>
          <w:szCs w:val="21"/>
          <w:lang w:val="en-US" w:eastAsia="zh-CN"/>
        </w:rPr>
        <w:t>11</w:t>
      </w:r>
      <w:r>
        <w:rPr>
          <w:rFonts w:hint="eastAsia" w:ascii="宋体" w:hAnsi="宋体" w:cs="宋体"/>
          <w:bCs/>
          <w:szCs w:val="21"/>
        </w:rPr>
        <w:t>月1日至2026年</w:t>
      </w:r>
      <w:r>
        <w:rPr>
          <w:rFonts w:hint="eastAsia" w:ascii="宋体" w:hAnsi="宋体" w:cs="宋体"/>
          <w:bCs/>
          <w:szCs w:val="21"/>
          <w:lang w:val="en-US" w:eastAsia="zh-CN"/>
        </w:rPr>
        <w:t>10</w:t>
      </w:r>
      <w:r>
        <w:rPr>
          <w:rFonts w:hint="eastAsia" w:ascii="宋体" w:hAnsi="宋体" w:cs="宋体"/>
          <w:bCs/>
          <w:szCs w:val="21"/>
        </w:rPr>
        <w:t>月31日。</w:t>
      </w:r>
    </w:p>
    <w:p w14:paraId="127AC992">
      <w:pPr>
        <w:pStyle w:val="18"/>
        <w:spacing w:line="400" w:lineRule="exact"/>
        <w:rPr>
          <w:rFonts w:hAnsi="宋体" w:cs="宋体"/>
          <w:b/>
          <w:sz w:val="21"/>
          <w:szCs w:val="21"/>
        </w:rPr>
      </w:pPr>
    </w:p>
    <w:p w14:paraId="19A3D9A9">
      <w:pPr>
        <w:spacing w:line="400" w:lineRule="exact"/>
        <w:rPr>
          <w:rFonts w:ascii="宋体" w:hAnsi="宋体" w:cs="宋体"/>
          <w:b/>
          <w:szCs w:val="21"/>
        </w:rPr>
      </w:pPr>
      <w:r>
        <w:rPr>
          <w:rFonts w:hint="eastAsia" w:ascii="宋体" w:hAnsi="宋体" w:cs="宋体"/>
          <w:b/>
          <w:szCs w:val="21"/>
        </w:rPr>
        <w:br w:type="page"/>
      </w:r>
      <w:r>
        <w:rPr>
          <w:rFonts w:hint="eastAsia" w:ascii="宋体" w:hAnsi="宋体" w:cs="宋体"/>
          <w:b/>
          <w:szCs w:val="21"/>
        </w:rPr>
        <w:t xml:space="preserve">    标项十四（世界艺术鉴赏库）：</w:t>
      </w:r>
    </w:p>
    <w:p w14:paraId="67A206AC">
      <w:pPr>
        <w:spacing w:line="400" w:lineRule="exact"/>
        <w:ind w:firstLine="420" w:firstLineChars="200"/>
        <w:rPr>
          <w:rFonts w:ascii="宋体" w:hAnsi="宋体" w:cs="宋体"/>
          <w:bCs/>
          <w:szCs w:val="21"/>
        </w:rPr>
      </w:pPr>
      <w:r>
        <w:rPr>
          <w:rFonts w:hint="eastAsia" w:ascii="宋体" w:hAnsi="宋体" w:cs="宋体"/>
          <w:bCs/>
          <w:szCs w:val="21"/>
        </w:rPr>
        <w:t>1.资源收录</w:t>
      </w:r>
    </w:p>
    <w:p w14:paraId="07357A4F">
      <w:pPr>
        <w:spacing w:line="400" w:lineRule="exact"/>
        <w:ind w:firstLine="420" w:firstLineChars="200"/>
        <w:rPr>
          <w:rFonts w:ascii="宋体" w:hAnsi="宋体" w:cs="宋体"/>
          <w:bCs/>
          <w:szCs w:val="21"/>
        </w:rPr>
      </w:pPr>
      <w:r>
        <w:rPr>
          <w:rFonts w:hint="eastAsia" w:ascii="宋体" w:hAnsi="宋体" w:cs="宋体"/>
          <w:bCs/>
          <w:szCs w:val="21"/>
        </w:rPr>
        <w:t>1.1资源种类：包括油画、雕塑、国画、书法、版画、素描、水彩等高清图像，完整的世界知名艺术家信息、世界知名艺术机构和艺术解读文献。</w:t>
      </w:r>
    </w:p>
    <w:p w14:paraId="0A849824">
      <w:pPr>
        <w:spacing w:line="400" w:lineRule="exact"/>
        <w:ind w:firstLine="420" w:firstLineChars="200"/>
        <w:rPr>
          <w:rFonts w:ascii="宋体" w:hAnsi="宋体" w:cs="宋体"/>
          <w:bCs/>
          <w:szCs w:val="21"/>
        </w:rPr>
      </w:pPr>
      <w:r>
        <w:rPr>
          <w:rFonts w:hint="eastAsia" w:ascii="宋体" w:hAnsi="宋体" w:cs="宋体"/>
          <w:bCs/>
          <w:szCs w:val="21"/>
        </w:rPr>
        <w:t>1.2资源总量：艺术品高清图像不少于310000幅、艺术家不少于13300个、艺术机构不少于3800家、艺术故事不少于6400篇、解读文字总数5000万字以上。</w:t>
      </w:r>
    </w:p>
    <w:p w14:paraId="62E6300A">
      <w:pPr>
        <w:spacing w:line="400" w:lineRule="exact"/>
        <w:ind w:firstLine="420" w:firstLineChars="200"/>
        <w:rPr>
          <w:rFonts w:ascii="宋体" w:hAnsi="宋体" w:cs="宋体"/>
          <w:bCs/>
          <w:szCs w:val="21"/>
        </w:rPr>
      </w:pPr>
      <w:r>
        <w:rPr>
          <w:rFonts w:hint="eastAsia" w:ascii="宋体" w:hAnsi="宋体" w:cs="宋体"/>
          <w:bCs/>
          <w:szCs w:val="21"/>
        </w:rPr>
        <w:t>1.3资源覆盖率：世界知名艺术作品覆盖率不低于80%，世界知名艺术家覆盖率不低于80%，世界知名艺术机构覆盖率不低于80%。</w:t>
      </w:r>
    </w:p>
    <w:p w14:paraId="2A5DF52D">
      <w:pPr>
        <w:spacing w:line="400" w:lineRule="exact"/>
        <w:ind w:firstLine="420" w:firstLineChars="200"/>
        <w:rPr>
          <w:rFonts w:ascii="宋体" w:hAnsi="宋体" w:cs="宋体"/>
          <w:bCs/>
          <w:szCs w:val="21"/>
        </w:rPr>
      </w:pPr>
      <w:r>
        <w:rPr>
          <w:rFonts w:hint="eastAsia" w:ascii="宋体" w:hAnsi="宋体" w:cs="宋体"/>
          <w:bCs/>
          <w:szCs w:val="21"/>
        </w:rPr>
        <w:t>1.4图像质量：图像分辨率不低于1920px*1080px, 扫描精度不低于72dpi。</w:t>
      </w:r>
    </w:p>
    <w:p w14:paraId="15A3B8ED">
      <w:pPr>
        <w:spacing w:line="400" w:lineRule="exact"/>
        <w:ind w:firstLine="420" w:firstLineChars="200"/>
        <w:rPr>
          <w:rFonts w:ascii="宋体" w:hAnsi="宋体" w:cs="宋体"/>
          <w:bCs/>
          <w:szCs w:val="21"/>
        </w:rPr>
      </w:pPr>
      <w:r>
        <w:rPr>
          <w:rFonts w:hint="eastAsia" w:ascii="宋体" w:hAnsi="宋体" w:cs="宋体"/>
          <w:bCs/>
          <w:szCs w:val="21"/>
        </w:rPr>
        <w:t>1.5每年资源更新总量不低于20000。</w:t>
      </w:r>
    </w:p>
    <w:p w14:paraId="5FCCD7C0">
      <w:pPr>
        <w:spacing w:line="400" w:lineRule="exact"/>
        <w:ind w:firstLine="420" w:firstLineChars="200"/>
        <w:rPr>
          <w:rFonts w:ascii="宋体" w:hAnsi="宋体" w:cs="宋体"/>
          <w:bCs/>
          <w:szCs w:val="21"/>
        </w:rPr>
      </w:pPr>
      <w:r>
        <w:rPr>
          <w:rFonts w:hint="eastAsia" w:ascii="宋体" w:hAnsi="宋体" w:cs="宋体"/>
          <w:bCs/>
          <w:szCs w:val="21"/>
        </w:rPr>
        <w:t>2.资源组织</w:t>
      </w:r>
    </w:p>
    <w:p w14:paraId="6D803E22">
      <w:pPr>
        <w:spacing w:line="400" w:lineRule="exact"/>
        <w:ind w:firstLine="420" w:firstLineChars="200"/>
        <w:rPr>
          <w:rFonts w:ascii="宋体" w:hAnsi="宋体" w:cs="宋体"/>
          <w:bCs/>
          <w:szCs w:val="21"/>
        </w:rPr>
      </w:pPr>
      <w:r>
        <w:rPr>
          <w:rFonts w:hint="eastAsia" w:ascii="宋体" w:hAnsi="宋体" w:cs="宋体"/>
          <w:bCs/>
          <w:szCs w:val="21"/>
        </w:rPr>
        <w:t>2.1元数据：</w:t>
      </w:r>
    </w:p>
    <w:p w14:paraId="573AECFD">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a.所有图像、艺术家和文献均具备完整元数据</w:t>
      </w:r>
      <w:r>
        <w:rPr>
          <w:rFonts w:hint="eastAsia" w:ascii="宋体" w:hAnsi="宋体" w:cs="宋体"/>
          <w:bCs/>
          <w:szCs w:val="21"/>
          <w:lang w:eastAsia="zh-CN"/>
        </w:rPr>
        <w:t>。</w:t>
      </w:r>
    </w:p>
    <w:p w14:paraId="6C2390C0">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b.艺术作品图像元数据须包含中英文作者名称、中英文作品名称、创作年代、作品尺寸、作品材质、馆藏单位、作品简介等字段</w:t>
      </w:r>
      <w:r>
        <w:rPr>
          <w:rFonts w:hint="eastAsia" w:ascii="宋体" w:hAnsi="宋体" w:cs="宋体"/>
          <w:bCs/>
          <w:szCs w:val="21"/>
          <w:lang w:eastAsia="zh-CN"/>
        </w:rPr>
        <w:t>。</w:t>
      </w:r>
    </w:p>
    <w:p w14:paraId="7DB57CE7">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c.艺术家元数据须包含作者中英文名称、生卒年代、国籍、作者简介等字段</w:t>
      </w:r>
      <w:r>
        <w:rPr>
          <w:rFonts w:hint="eastAsia" w:ascii="宋体" w:hAnsi="宋体" w:cs="宋体"/>
          <w:bCs/>
          <w:szCs w:val="21"/>
          <w:lang w:eastAsia="zh-CN"/>
        </w:rPr>
        <w:t>。</w:t>
      </w:r>
    </w:p>
    <w:p w14:paraId="4AD23024">
      <w:pPr>
        <w:spacing w:line="400" w:lineRule="exact"/>
        <w:ind w:firstLine="420" w:firstLineChars="200"/>
        <w:rPr>
          <w:rFonts w:ascii="宋体" w:hAnsi="宋体" w:cs="宋体"/>
          <w:bCs/>
          <w:szCs w:val="21"/>
        </w:rPr>
      </w:pPr>
      <w:r>
        <w:rPr>
          <w:rFonts w:hint="eastAsia" w:ascii="宋体" w:hAnsi="宋体" w:cs="宋体"/>
          <w:bCs/>
          <w:szCs w:val="21"/>
        </w:rPr>
        <w:t>d.艺术机构须包含中英文机构名称、机构简介、机构馆主要馆藏情况等字段。</w:t>
      </w:r>
    </w:p>
    <w:p w14:paraId="4C0B3D85">
      <w:pPr>
        <w:spacing w:line="400" w:lineRule="exact"/>
        <w:ind w:firstLine="420" w:firstLineChars="200"/>
        <w:rPr>
          <w:rFonts w:ascii="宋体" w:hAnsi="宋体" w:cs="宋体"/>
          <w:bCs/>
          <w:szCs w:val="21"/>
        </w:rPr>
      </w:pPr>
      <w:r>
        <w:rPr>
          <w:rFonts w:hint="eastAsia" w:ascii="宋体" w:hAnsi="宋体" w:cs="宋体"/>
          <w:bCs/>
          <w:szCs w:val="21"/>
        </w:rPr>
        <w:t>2.2深度标引，支持从不同种类对相关资源进行检索和浏览。</w:t>
      </w:r>
    </w:p>
    <w:p w14:paraId="4106E468">
      <w:pPr>
        <w:spacing w:line="400" w:lineRule="exact"/>
        <w:ind w:firstLine="420" w:firstLineChars="200"/>
        <w:rPr>
          <w:rFonts w:ascii="宋体" w:hAnsi="宋体" w:cs="宋体"/>
          <w:bCs/>
          <w:szCs w:val="21"/>
        </w:rPr>
      </w:pPr>
      <w:r>
        <w:rPr>
          <w:rFonts w:hint="eastAsia" w:ascii="宋体" w:hAnsi="宋体" w:cs="宋体"/>
          <w:bCs/>
          <w:szCs w:val="21"/>
        </w:rPr>
        <w:t>2.3提供年代、国籍、资源类型、艺术流派、首字母等多种资源导航方式。</w:t>
      </w:r>
    </w:p>
    <w:p w14:paraId="6C3B965F">
      <w:pPr>
        <w:spacing w:line="400" w:lineRule="exact"/>
        <w:ind w:firstLine="420" w:firstLineChars="200"/>
        <w:rPr>
          <w:rFonts w:ascii="宋体" w:hAnsi="宋体" w:cs="宋体"/>
          <w:bCs/>
          <w:szCs w:val="21"/>
        </w:rPr>
      </w:pPr>
      <w:r>
        <w:rPr>
          <w:rFonts w:hint="eastAsia" w:ascii="宋体" w:hAnsi="宋体" w:cs="宋体"/>
          <w:bCs/>
          <w:szCs w:val="21"/>
        </w:rPr>
        <w:t>2.4平台须具有普通读者艺术鉴赏学习的普及性入口或功能。</w:t>
      </w:r>
    </w:p>
    <w:p w14:paraId="3A8F5320">
      <w:pPr>
        <w:spacing w:line="400" w:lineRule="exact"/>
        <w:ind w:firstLine="420" w:firstLineChars="200"/>
        <w:rPr>
          <w:rFonts w:ascii="宋体" w:hAnsi="宋体" w:cs="宋体"/>
          <w:bCs/>
          <w:szCs w:val="21"/>
        </w:rPr>
      </w:pPr>
      <w:r>
        <w:rPr>
          <w:rFonts w:hint="eastAsia" w:ascii="宋体" w:hAnsi="宋体" w:cs="宋体"/>
          <w:bCs/>
          <w:szCs w:val="21"/>
        </w:rPr>
        <w:t>2.5要求所有艺术作品条目重复交叉出现不得超过1%，确保唯一性。</w:t>
      </w:r>
    </w:p>
    <w:p w14:paraId="511BE016">
      <w:pPr>
        <w:spacing w:line="400" w:lineRule="exact"/>
        <w:ind w:firstLine="420" w:firstLineChars="200"/>
        <w:rPr>
          <w:rFonts w:ascii="宋体" w:hAnsi="宋体" w:cs="宋体"/>
          <w:bCs/>
          <w:szCs w:val="21"/>
        </w:rPr>
      </w:pPr>
      <w:r>
        <w:rPr>
          <w:rFonts w:hint="eastAsia" w:ascii="宋体" w:hAnsi="宋体" w:cs="宋体"/>
          <w:bCs/>
          <w:szCs w:val="21"/>
        </w:rPr>
        <w:t>3.资源服务平台</w:t>
      </w:r>
    </w:p>
    <w:p w14:paraId="09EFB4FD">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3.1支持PC、PAD、手机无障碍访问</w:t>
      </w:r>
      <w:r>
        <w:rPr>
          <w:rFonts w:hint="eastAsia" w:ascii="宋体" w:hAnsi="宋体" w:cs="宋体"/>
          <w:bCs/>
          <w:szCs w:val="21"/>
          <w:lang w:eastAsia="zh-CN"/>
        </w:rPr>
        <w:t>。</w:t>
      </w:r>
    </w:p>
    <w:p w14:paraId="1507B353">
      <w:pPr>
        <w:spacing w:line="400" w:lineRule="exact"/>
        <w:ind w:firstLine="420" w:firstLineChars="200"/>
        <w:rPr>
          <w:rFonts w:hint="eastAsia" w:ascii="宋体" w:hAnsi="宋体" w:eastAsia="宋体" w:cs="宋体"/>
          <w:bCs/>
          <w:szCs w:val="21"/>
          <w:lang w:eastAsia="zh-CN"/>
        </w:rPr>
      </w:pPr>
      <w:r>
        <w:rPr>
          <w:rFonts w:hint="eastAsia" w:ascii="宋体" w:hAnsi="宋体" w:cs="宋体"/>
          <w:bCs/>
          <w:szCs w:val="21"/>
        </w:rPr>
        <w:t>3.2系统支持读者通过微信在机构服务公众号进行访问，支持与读者证号对接</w:t>
      </w:r>
      <w:r>
        <w:rPr>
          <w:rFonts w:hint="eastAsia" w:ascii="宋体" w:hAnsi="宋体" w:cs="宋体"/>
          <w:bCs/>
          <w:szCs w:val="21"/>
          <w:lang w:eastAsia="zh-CN"/>
        </w:rPr>
        <w:t>。</w:t>
      </w:r>
    </w:p>
    <w:p w14:paraId="764152F9">
      <w:pPr>
        <w:spacing w:line="400" w:lineRule="exact"/>
        <w:ind w:firstLine="420" w:firstLineChars="200"/>
        <w:rPr>
          <w:rFonts w:ascii="宋体" w:hAnsi="宋体" w:cs="宋体"/>
          <w:bCs/>
          <w:szCs w:val="21"/>
        </w:rPr>
      </w:pPr>
      <w:r>
        <w:rPr>
          <w:rFonts w:hint="eastAsia" w:ascii="宋体" w:hAnsi="宋体" w:cs="宋体"/>
          <w:bCs/>
          <w:szCs w:val="21"/>
        </w:rPr>
        <w:t>3.3图像浏览具备任意缩放功能，缩放操作流畅，实时呈现、不卡顿、不延迟。</w:t>
      </w:r>
    </w:p>
    <w:p w14:paraId="0784FF18">
      <w:pPr>
        <w:spacing w:line="400" w:lineRule="exact"/>
        <w:ind w:firstLine="420" w:firstLineChars="200"/>
        <w:rPr>
          <w:rFonts w:ascii="宋体" w:hAnsi="宋体" w:cs="宋体"/>
          <w:bCs/>
          <w:szCs w:val="21"/>
        </w:rPr>
      </w:pPr>
      <w:r>
        <w:rPr>
          <w:rFonts w:hint="eastAsia" w:ascii="宋体" w:hAnsi="宋体" w:cs="宋体"/>
          <w:bCs/>
          <w:szCs w:val="21"/>
        </w:rPr>
        <w:t>3.4具备资源关键词检索、浏览和图像下载功能。</w:t>
      </w:r>
    </w:p>
    <w:p w14:paraId="0850BFE6">
      <w:pPr>
        <w:spacing w:line="400" w:lineRule="exact"/>
        <w:ind w:firstLine="420" w:firstLineChars="200"/>
        <w:rPr>
          <w:rFonts w:ascii="宋体" w:hAnsi="宋体" w:cs="宋体"/>
          <w:bCs/>
          <w:szCs w:val="21"/>
        </w:rPr>
      </w:pPr>
      <w:r>
        <w:rPr>
          <w:rFonts w:hint="eastAsia" w:ascii="宋体" w:hAnsi="宋体" w:cs="宋体"/>
          <w:bCs/>
          <w:szCs w:val="21"/>
        </w:rPr>
        <w:t>3.5无需安装阅读软件和插件。</w:t>
      </w:r>
    </w:p>
    <w:p w14:paraId="75CCAEA1">
      <w:pPr>
        <w:spacing w:line="400" w:lineRule="exact"/>
        <w:ind w:firstLine="420" w:firstLineChars="200"/>
        <w:rPr>
          <w:rFonts w:ascii="宋体" w:hAnsi="宋体" w:cs="宋体"/>
          <w:bCs/>
          <w:szCs w:val="21"/>
        </w:rPr>
      </w:pPr>
      <w:r>
        <w:rPr>
          <w:rFonts w:hint="eastAsia" w:ascii="宋体" w:hAnsi="宋体" w:cs="宋体"/>
          <w:bCs/>
          <w:szCs w:val="21"/>
        </w:rPr>
        <w:t>3.6</w:t>
      </w:r>
      <w:r>
        <w:rPr>
          <w:rFonts w:hint="eastAsia" w:ascii="宋体" w:hAnsi="宋体" w:cs="宋体"/>
          <w:bCs/>
          <w:szCs w:val="21"/>
          <w:lang w:val="en-US" w:eastAsia="zh-CN"/>
        </w:rPr>
        <w:t>服务响应</w:t>
      </w:r>
      <w:r>
        <w:rPr>
          <w:rFonts w:hint="eastAsia" w:ascii="宋体" w:hAnsi="宋体" w:cs="宋体"/>
          <w:bCs/>
          <w:szCs w:val="21"/>
        </w:rPr>
        <w:t>：按照7 x 24 小时在线的电信级要求建设，提供高速服务器集群和专线接入，保证数据库的顺畅使用；设立7x 24小时服务热线，工作时间内半小时响应，4小时解决问题。</w:t>
      </w:r>
    </w:p>
    <w:p w14:paraId="4E1B8231">
      <w:pPr>
        <w:spacing w:line="400" w:lineRule="exact"/>
        <w:ind w:firstLine="420" w:firstLineChars="200"/>
        <w:rPr>
          <w:rFonts w:ascii="宋体" w:hAnsi="宋体" w:cs="宋体"/>
          <w:bCs/>
          <w:szCs w:val="21"/>
        </w:rPr>
      </w:pPr>
      <w:r>
        <w:rPr>
          <w:rFonts w:hint="eastAsia" w:ascii="宋体" w:hAnsi="宋体" w:cs="宋体"/>
          <w:bCs/>
          <w:szCs w:val="21"/>
        </w:rPr>
        <w:t>3.7安全性：基于IP地址段的访问控制管理，在IP地址段范围内，不需要进行身份认证。校内IP访问无并发用户数限制</w:t>
      </w:r>
      <w:r>
        <w:rPr>
          <w:rFonts w:hint="eastAsia" w:ascii="宋体" w:hAnsi="宋体" w:cs="宋体"/>
          <w:bCs/>
          <w:szCs w:val="21"/>
          <w:lang w:eastAsia="zh-CN"/>
        </w:rPr>
        <w:t>，</w:t>
      </w:r>
      <w:r>
        <w:rPr>
          <w:rFonts w:hint="eastAsia" w:ascii="宋体" w:hAnsi="宋体" w:cs="宋体"/>
          <w:bCs/>
          <w:szCs w:val="21"/>
          <w:lang w:val="en-US" w:eastAsia="zh-CN"/>
        </w:rPr>
        <w:t>支持VPN访问</w:t>
      </w:r>
      <w:r>
        <w:rPr>
          <w:rFonts w:hint="eastAsia" w:ascii="宋体" w:hAnsi="宋体" w:cs="宋体"/>
          <w:bCs/>
          <w:szCs w:val="21"/>
        </w:rPr>
        <w:t>。</w:t>
      </w:r>
    </w:p>
    <w:p w14:paraId="7D74B2F1">
      <w:pPr>
        <w:spacing w:line="400" w:lineRule="exact"/>
        <w:ind w:firstLine="420" w:firstLineChars="200"/>
        <w:rPr>
          <w:rFonts w:ascii="宋体" w:hAnsi="宋体" w:cs="宋体"/>
          <w:bCs/>
          <w:szCs w:val="21"/>
        </w:rPr>
      </w:pPr>
      <w:r>
        <w:rPr>
          <w:rFonts w:hint="eastAsia" w:ascii="宋体" w:hAnsi="宋体" w:cs="宋体"/>
          <w:bCs/>
          <w:szCs w:val="21"/>
        </w:rPr>
        <w:t>3.8提供资源使用的统计、分析功能。</w:t>
      </w:r>
    </w:p>
    <w:p w14:paraId="0A5CBED4">
      <w:pPr>
        <w:spacing w:line="400" w:lineRule="exact"/>
        <w:ind w:firstLine="420" w:firstLineChars="200"/>
        <w:rPr>
          <w:rFonts w:ascii="宋体" w:hAnsi="宋体" w:cs="宋体"/>
          <w:bCs/>
          <w:szCs w:val="21"/>
        </w:rPr>
      </w:pPr>
      <w:r>
        <w:rPr>
          <w:rFonts w:hint="eastAsia" w:ascii="宋体" w:hAnsi="宋体" w:cs="宋体"/>
          <w:bCs/>
          <w:szCs w:val="21"/>
        </w:rPr>
        <w:t>4.版权：负责数据库版权问题，用户在不超越销售合同规定的使用范围内正常使用产生的版权问题，一律由供应商负责，用户不承担连带责任。</w:t>
      </w:r>
    </w:p>
    <w:p w14:paraId="5EEA6DEA">
      <w:pPr>
        <w:spacing w:line="400" w:lineRule="exact"/>
        <w:ind w:firstLine="420" w:firstLineChars="200"/>
        <w:rPr>
          <w:rFonts w:ascii="宋体" w:hAnsi="宋体" w:cs="宋体"/>
          <w:bCs/>
          <w:szCs w:val="21"/>
        </w:rPr>
      </w:pPr>
      <w:r>
        <w:rPr>
          <w:rFonts w:hint="eastAsia" w:ascii="宋体" w:hAnsi="宋体" w:cs="宋体"/>
          <w:bCs/>
          <w:szCs w:val="21"/>
        </w:rPr>
        <w:t>5.售后服务</w:t>
      </w:r>
    </w:p>
    <w:p w14:paraId="6D42DAB0">
      <w:pPr>
        <w:spacing w:line="400" w:lineRule="exact"/>
        <w:ind w:firstLine="420" w:firstLineChars="200"/>
        <w:rPr>
          <w:rFonts w:ascii="宋体" w:hAnsi="宋体" w:cs="宋体"/>
          <w:bCs/>
          <w:szCs w:val="21"/>
        </w:rPr>
      </w:pPr>
      <w:r>
        <w:rPr>
          <w:rFonts w:hint="eastAsia" w:ascii="宋体" w:hAnsi="宋体" w:cs="宋体"/>
          <w:bCs/>
          <w:szCs w:val="21"/>
        </w:rPr>
        <w:t>5.1为用户提供</w:t>
      </w:r>
      <w:r>
        <w:rPr>
          <w:rFonts w:hint="eastAsia" w:ascii="宋体" w:hAnsi="宋体" w:cs="宋体"/>
          <w:szCs w:val="21"/>
          <w:lang w:eastAsia="zh-CN"/>
        </w:rPr>
        <w:t>无条件</w:t>
      </w:r>
      <w:r>
        <w:rPr>
          <w:rFonts w:hint="eastAsia" w:ascii="宋体" w:hAnsi="宋体" w:cs="宋体"/>
          <w:bCs/>
          <w:szCs w:val="21"/>
        </w:rPr>
        <w:t>、不定期的预防性系统维护服务。</w:t>
      </w:r>
    </w:p>
    <w:p w14:paraId="7FA4EA53">
      <w:pPr>
        <w:spacing w:line="400" w:lineRule="exact"/>
        <w:ind w:firstLine="420" w:firstLineChars="200"/>
        <w:rPr>
          <w:rFonts w:ascii="宋体" w:hAnsi="宋体" w:cs="宋体"/>
          <w:bCs/>
          <w:szCs w:val="21"/>
        </w:rPr>
      </w:pPr>
      <w:r>
        <w:rPr>
          <w:rFonts w:hint="eastAsia" w:ascii="宋体" w:hAnsi="宋体" w:cs="宋体"/>
          <w:bCs/>
          <w:szCs w:val="21"/>
        </w:rPr>
        <w:t>5.2提供每季度一次的上门回访服务。</w:t>
      </w:r>
    </w:p>
    <w:p w14:paraId="0A09FEA8">
      <w:pPr>
        <w:spacing w:line="400" w:lineRule="exact"/>
        <w:ind w:firstLine="420" w:firstLineChars="200"/>
        <w:rPr>
          <w:rFonts w:ascii="宋体" w:hAnsi="宋体" w:cs="宋体"/>
          <w:bCs/>
          <w:szCs w:val="21"/>
        </w:rPr>
      </w:pPr>
      <w:r>
        <w:rPr>
          <w:rFonts w:hint="eastAsia" w:ascii="宋体" w:hAnsi="宋体" w:cs="宋体"/>
          <w:bCs/>
          <w:szCs w:val="21"/>
        </w:rPr>
        <w:t>5.3提供原创性的艺术鉴赏文章和在线展览服务资源。</w:t>
      </w:r>
    </w:p>
    <w:p w14:paraId="5D854D72">
      <w:pPr>
        <w:spacing w:line="400" w:lineRule="exact"/>
        <w:ind w:firstLine="420" w:firstLineChars="200"/>
        <w:rPr>
          <w:rFonts w:ascii="宋体" w:hAnsi="宋体" w:cs="宋体"/>
          <w:bCs/>
          <w:szCs w:val="21"/>
        </w:rPr>
      </w:pPr>
      <w:r>
        <w:rPr>
          <w:rFonts w:hint="eastAsia" w:ascii="宋体" w:hAnsi="宋体" w:cs="宋体"/>
          <w:bCs/>
          <w:szCs w:val="21"/>
        </w:rPr>
        <w:t>5.4服务期内，为用户</w:t>
      </w:r>
      <w:r>
        <w:rPr>
          <w:rFonts w:hint="eastAsia" w:ascii="宋体" w:hAnsi="宋体" w:cs="宋体"/>
          <w:szCs w:val="21"/>
          <w:lang w:eastAsia="zh-CN"/>
        </w:rPr>
        <w:t>无条件</w:t>
      </w:r>
      <w:r>
        <w:rPr>
          <w:rFonts w:hint="eastAsia" w:ascii="宋体" w:hAnsi="宋体" w:cs="宋体"/>
          <w:bCs/>
          <w:szCs w:val="21"/>
        </w:rPr>
        <w:t>提供数据库培训等活动一年内不少于2次，具体时间和形式，双方协商确认。</w:t>
      </w:r>
    </w:p>
    <w:p w14:paraId="79703AF3">
      <w:pPr>
        <w:spacing w:line="400" w:lineRule="exact"/>
        <w:ind w:firstLine="420" w:firstLineChars="200"/>
        <w:rPr>
          <w:rFonts w:ascii="宋体" w:hAnsi="宋体" w:cs="宋体"/>
          <w:bCs/>
          <w:szCs w:val="21"/>
        </w:rPr>
      </w:pPr>
      <w:r>
        <w:rPr>
          <w:rFonts w:hint="eastAsia" w:ascii="宋体" w:hAnsi="宋体" w:cs="宋体"/>
          <w:bCs/>
          <w:szCs w:val="21"/>
        </w:rPr>
        <w:t>5.5定期提供数据库使用统计报告。</w:t>
      </w:r>
    </w:p>
    <w:p w14:paraId="1D996186">
      <w:pPr>
        <w:spacing w:line="400" w:lineRule="exact"/>
        <w:ind w:firstLine="420" w:firstLineChars="200"/>
        <w:rPr>
          <w:rFonts w:ascii="宋体" w:hAnsi="宋体" w:cs="宋体"/>
          <w:b/>
          <w:szCs w:val="21"/>
        </w:rPr>
      </w:pPr>
      <w:r>
        <w:rPr>
          <w:rFonts w:hint="eastAsia" w:ascii="宋体" w:hAnsi="宋体" w:cs="宋体"/>
          <w:bCs/>
          <w:szCs w:val="21"/>
        </w:rPr>
        <w:t>6.服务期限：202</w:t>
      </w:r>
      <w:r>
        <w:rPr>
          <w:rFonts w:hint="eastAsia" w:ascii="宋体" w:hAnsi="宋体" w:cs="宋体"/>
          <w:bCs/>
          <w:szCs w:val="21"/>
          <w:lang w:val="en-US" w:eastAsia="zh-CN"/>
        </w:rPr>
        <w:t>6</w:t>
      </w:r>
      <w:r>
        <w:rPr>
          <w:rFonts w:hint="eastAsia" w:ascii="宋体" w:hAnsi="宋体" w:cs="宋体"/>
          <w:bCs/>
          <w:szCs w:val="21"/>
        </w:rPr>
        <w:t>年</w:t>
      </w:r>
      <w:r>
        <w:rPr>
          <w:rFonts w:hint="eastAsia" w:ascii="宋体" w:hAnsi="宋体" w:cs="宋体"/>
          <w:bCs/>
          <w:szCs w:val="21"/>
          <w:lang w:val="en-US" w:eastAsia="zh-CN"/>
        </w:rPr>
        <w:t>1</w:t>
      </w:r>
      <w:r>
        <w:rPr>
          <w:rFonts w:hint="eastAsia" w:ascii="宋体" w:hAnsi="宋体" w:cs="宋体"/>
          <w:bCs/>
          <w:szCs w:val="21"/>
        </w:rPr>
        <w:t>月1日至2026年</w:t>
      </w:r>
      <w:r>
        <w:rPr>
          <w:rFonts w:hint="eastAsia" w:ascii="宋体" w:hAnsi="宋体" w:cs="宋体"/>
          <w:bCs/>
          <w:szCs w:val="21"/>
          <w:lang w:val="en-US" w:eastAsia="zh-CN"/>
        </w:rPr>
        <w:t>12</w:t>
      </w:r>
      <w:r>
        <w:rPr>
          <w:rFonts w:hint="eastAsia" w:ascii="宋体" w:hAnsi="宋体" w:cs="宋体"/>
          <w:bCs/>
          <w:szCs w:val="21"/>
        </w:rPr>
        <w:t>月31日。</w:t>
      </w:r>
      <w:r>
        <w:rPr>
          <w:rFonts w:hint="eastAsia" w:ascii="宋体" w:hAnsi="宋体" w:cs="宋体"/>
          <w:b/>
          <w:szCs w:val="21"/>
        </w:rPr>
        <w:br w:type="page"/>
      </w:r>
    </w:p>
    <w:p w14:paraId="3B948249">
      <w:pPr>
        <w:spacing w:line="400" w:lineRule="exact"/>
        <w:ind w:firstLine="422" w:firstLineChars="200"/>
        <w:rPr>
          <w:rFonts w:ascii="宋体" w:hAnsi="宋体" w:cs="宋体"/>
          <w:b/>
          <w:szCs w:val="21"/>
        </w:rPr>
      </w:pPr>
      <w:r>
        <w:rPr>
          <w:rFonts w:hint="eastAsia" w:ascii="宋体" w:hAnsi="宋体" w:cs="宋体"/>
          <w:b/>
          <w:szCs w:val="21"/>
        </w:rPr>
        <w:t>标项十五（智慧芽AI技术分析Eureka2.0）：</w:t>
      </w:r>
    </w:p>
    <w:p w14:paraId="7B6F1A8C">
      <w:pPr>
        <w:pStyle w:val="201"/>
        <w:spacing w:line="400" w:lineRule="exact"/>
        <w:ind w:firstLine="420"/>
        <w:rPr>
          <w:rFonts w:ascii="宋体" w:hAnsi="宋体" w:cs="宋体"/>
          <w:sz w:val="21"/>
          <w:szCs w:val="21"/>
        </w:rPr>
      </w:pPr>
      <w:r>
        <w:rPr>
          <w:rFonts w:hint="eastAsia" w:ascii="宋体" w:hAnsi="宋体" w:cs="宋体"/>
          <w:sz w:val="21"/>
          <w:szCs w:val="21"/>
        </w:rPr>
        <w:t>1.</w:t>
      </w:r>
      <w:r>
        <w:rPr>
          <w:rFonts w:ascii="宋体" w:hAnsi="宋体" w:cs="宋体"/>
          <w:sz w:val="21"/>
          <w:szCs w:val="21"/>
        </w:rPr>
        <w:t>数据</w:t>
      </w:r>
    </w:p>
    <w:p w14:paraId="5903E620">
      <w:pPr>
        <w:pStyle w:val="201"/>
        <w:spacing w:line="400" w:lineRule="exact"/>
        <w:ind w:firstLine="420"/>
        <w:rPr>
          <w:rFonts w:hint="eastAsia" w:ascii="宋体" w:hAnsi="宋体" w:eastAsia="宋体" w:cs="宋体"/>
          <w:sz w:val="21"/>
          <w:szCs w:val="21"/>
          <w:lang w:eastAsia="zh-CN"/>
        </w:rPr>
      </w:pPr>
      <w:r>
        <w:rPr>
          <w:rFonts w:ascii="宋体" w:hAnsi="宋体" w:cs="宋体"/>
          <w:sz w:val="21"/>
          <w:szCs w:val="21"/>
        </w:rPr>
        <w:t>1</w:t>
      </w:r>
      <w:r>
        <w:rPr>
          <w:rFonts w:hint="eastAsia" w:ascii="宋体" w:hAnsi="宋体" w:cs="宋体"/>
          <w:sz w:val="21"/>
          <w:szCs w:val="21"/>
        </w:rPr>
        <w:t>.1</w:t>
      </w:r>
      <w:r>
        <w:rPr>
          <w:rFonts w:ascii="宋体" w:hAnsi="宋体" w:cs="宋体"/>
          <w:sz w:val="21"/>
          <w:szCs w:val="21"/>
        </w:rPr>
        <w:t>专利数据：收录超170个国家/地区专利局的超1.9亿专利数据，每日更新</w:t>
      </w:r>
      <w:r>
        <w:rPr>
          <w:rFonts w:hint="eastAsia" w:ascii="宋体" w:hAnsi="宋体" w:cs="宋体"/>
          <w:sz w:val="21"/>
          <w:szCs w:val="21"/>
          <w:lang w:eastAsia="zh-CN"/>
        </w:rPr>
        <w:t>。</w:t>
      </w:r>
    </w:p>
    <w:p w14:paraId="0D05477B">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1.</w:t>
      </w:r>
      <w:r>
        <w:rPr>
          <w:rFonts w:ascii="宋体" w:hAnsi="宋体" w:cs="宋体"/>
          <w:sz w:val="21"/>
          <w:szCs w:val="21"/>
        </w:rPr>
        <w:t>2文献期刊数据：收录7万种期刊的超1.9亿论文数据，每周更新</w:t>
      </w:r>
      <w:r>
        <w:rPr>
          <w:rFonts w:hint="eastAsia" w:ascii="宋体" w:hAnsi="宋体" w:cs="宋体"/>
          <w:sz w:val="21"/>
          <w:szCs w:val="21"/>
          <w:lang w:eastAsia="zh-CN"/>
        </w:rPr>
        <w:t>。</w:t>
      </w:r>
    </w:p>
    <w:p w14:paraId="33A5576F">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1.</w:t>
      </w:r>
      <w:r>
        <w:rPr>
          <w:rFonts w:ascii="宋体" w:hAnsi="宋体" w:cs="宋体"/>
          <w:sz w:val="21"/>
          <w:szCs w:val="21"/>
        </w:rPr>
        <w:t>3数据深加工：提取拥有技术主题分类、应用领域分类、技术问题、技术功效的数据</w:t>
      </w:r>
      <w:r>
        <w:rPr>
          <w:rFonts w:hint="eastAsia" w:ascii="宋体" w:hAnsi="宋体" w:cs="宋体"/>
          <w:sz w:val="21"/>
          <w:szCs w:val="21"/>
          <w:lang w:eastAsia="zh-CN"/>
        </w:rPr>
        <w:t>。</w:t>
      </w:r>
    </w:p>
    <w:p w14:paraId="0CBD8AD3">
      <w:pPr>
        <w:pStyle w:val="201"/>
        <w:spacing w:line="400" w:lineRule="exact"/>
        <w:ind w:firstLine="420"/>
        <w:rPr>
          <w:rFonts w:ascii="宋体" w:hAnsi="宋体" w:cs="宋体"/>
          <w:sz w:val="21"/>
          <w:szCs w:val="21"/>
        </w:rPr>
      </w:pPr>
      <w:r>
        <w:rPr>
          <w:rFonts w:hint="eastAsia" w:ascii="宋体" w:hAnsi="宋体" w:cs="宋体"/>
          <w:sz w:val="21"/>
          <w:szCs w:val="21"/>
        </w:rPr>
        <w:t>2.</w:t>
      </w:r>
      <w:r>
        <w:rPr>
          <w:rFonts w:ascii="宋体" w:hAnsi="宋体" w:cs="宋体"/>
          <w:sz w:val="21"/>
          <w:szCs w:val="21"/>
        </w:rPr>
        <w:t>研发工具</w:t>
      </w:r>
    </w:p>
    <w:p w14:paraId="7D1A26FA">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2.1</w:t>
      </w:r>
      <w:r>
        <w:rPr>
          <w:rFonts w:ascii="宋体" w:hAnsi="宋体" w:cs="宋体"/>
          <w:sz w:val="21"/>
          <w:szCs w:val="21"/>
        </w:rPr>
        <w:t>AI技术问答：通过AI总结归纳相关专利的技术方案, 并结合研发创新理论，启发研究思路</w:t>
      </w:r>
      <w:r>
        <w:rPr>
          <w:rFonts w:hint="eastAsia" w:ascii="宋体" w:hAnsi="宋体" w:cs="宋体"/>
          <w:sz w:val="21"/>
          <w:szCs w:val="21"/>
          <w:lang w:eastAsia="zh-CN"/>
        </w:rPr>
        <w:t>。</w:t>
      </w:r>
    </w:p>
    <w:p w14:paraId="1641D17D">
      <w:pPr>
        <w:pStyle w:val="201"/>
        <w:spacing w:line="400" w:lineRule="exact"/>
        <w:ind w:firstLine="420"/>
        <w:rPr>
          <w:rFonts w:hint="eastAsia" w:ascii="宋体" w:hAnsi="宋体" w:eastAsia="宋体" w:cs="宋体"/>
          <w:sz w:val="21"/>
          <w:szCs w:val="21"/>
          <w:lang w:eastAsia="zh-CN"/>
        </w:rPr>
      </w:pPr>
      <w:r>
        <w:rPr>
          <w:rFonts w:ascii="宋体" w:hAnsi="宋体" w:cs="宋体"/>
          <w:sz w:val="21"/>
          <w:szCs w:val="21"/>
        </w:rPr>
        <w:t>2</w:t>
      </w:r>
      <w:r>
        <w:rPr>
          <w:rFonts w:hint="eastAsia" w:ascii="宋体" w:hAnsi="宋体" w:cs="宋体"/>
          <w:sz w:val="21"/>
          <w:szCs w:val="21"/>
        </w:rPr>
        <w:t>.2</w:t>
      </w:r>
      <w:r>
        <w:rPr>
          <w:rFonts w:ascii="宋体" w:hAnsi="宋体" w:cs="宋体"/>
          <w:sz w:val="21"/>
          <w:szCs w:val="21"/>
        </w:rPr>
        <w:t>技术路线图：可以基于企业、技术主题、技术周期等，按时间线可视化展示主要技术发展路径和关键技术节点，为产业布局，项目方向确定，提供数据支撑</w:t>
      </w:r>
      <w:r>
        <w:rPr>
          <w:rFonts w:hint="eastAsia" w:ascii="宋体" w:hAnsi="宋体" w:cs="宋体"/>
          <w:sz w:val="21"/>
          <w:szCs w:val="21"/>
          <w:lang w:eastAsia="zh-CN"/>
        </w:rPr>
        <w:t>。</w:t>
      </w:r>
    </w:p>
    <w:p w14:paraId="2CC3C2BF">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2.</w:t>
      </w:r>
      <w:r>
        <w:rPr>
          <w:rFonts w:ascii="宋体" w:hAnsi="宋体" w:cs="宋体"/>
          <w:sz w:val="21"/>
          <w:szCs w:val="21"/>
        </w:rPr>
        <w:t>3交底书助手：拥有自研大模型，通过AI模仿人类专家，撰写格式规范内容专业的技术交底书, 节省研发时间</w:t>
      </w:r>
      <w:r>
        <w:rPr>
          <w:rFonts w:hint="eastAsia" w:ascii="宋体" w:hAnsi="宋体" w:cs="宋体"/>
          <w:sz w:val="21"/>
          <w:szCs w:val="21"/>
          <w:lang w:eastAsia="zh-CN"/>
        </w:rPr>
        <w:t>。</w:t>
      </w:r>
    </w:p>
    <w:p w14:paraId="3C282A0C">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2.</w:t>
      </w:r>
      <w:r>
        <w:rPr>
          <w:rFonts w:ascii="宋体" w:hAnsi="宋体" w:cs="宋体"/>
          <w:sz w:val="21"/>
          <w:szCs w:val="21"/>
        </w:rPr>
        <w:t>4支持AI和手动优化技术交底书：针对生成的交底书特定内容模块做改写、简写、扩写以及添加背景信息等相关操作，提升编辑优化效率</w:t>
      </w:r>
      <w:r>
        <w:rPr>
          <w:rFonts w:hint="eastAsia" w:ascii="宋体" w:hAnsi="宋体" w:cs="宋体"/>
          <w:sz w:val="21"/>
          <w:szCs w:val="21"/>
          <w:lang w:eastAsia="zh-CN"/>
        </w:rPr>
        <w:t>。</w:t>
      </w:r>
    </w:p>
    <w:p w14:paraId="1CF2C1CE">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2.</w:t>
      </w:r>
      <w:r>
        <w:rPr>
          <w:rFonts w:ascii="宋体" w:hAnsi="宋体" w:cs="宋体"/>
          <w:sz w:val="21"/>
          <w:szCs w:val="21"/>
        </w:rPr>
        <w:t>5竞争情报解读: 通过AI总结某家公司最新技术，技术主题和引用/被引用关系图，技术应用领域等，快速掌握竞争情报</w:t>
      </w:r>
      <w:r>
        <w:rPr>
          <w:rFonts w:hint="eastAsia" w:ascii="宋体" w:hAnsi="宋体" w:cs="宋体"/>
          <w:sz w:val="21"/>
          <w:szCs w:val="21"/>
          <w:lang w:eastAsia="zh-CN"/>
        </w:rPr>
        <w:t>。</w:t>
      </w:r>
    </w:p>
    <w:p w14:paraId="7DA64B70">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2.</w:t>
      </w:r>
      <w:r>
        <w:rPr>
          <w:rFonts w:ascii="宋体" w:hAnsi="宋体" w:cs="宋体"/>
          <w:sz w:val="21"/>
          <w:szCs w:val="21"/>
        </w:rPr>
        <w:t>6技术想法查新：将技术想法的手段和效果与全球专利文献进行语义比对，系统从海量的文献中筛选出最相似的专利，并给出相似度</w:t>
      </w:r>
      <w:r>
        <w:rPr>
          <w:rFonts w:hint="eastAsia" w:ascii="宋体" w:hAnsi="宋体" w:cs="宋体"/>
          <w:sz w:val="21"/>
          <w:szCs w:val="21"/>
          <w:lang w:eastAsia="zh-CN"/>
        </w:rPr>
        <w:t>。</w:t>
      </w:r>
    </w:p>
    <w:p w14:paraId="6D981B65">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2.</w:t>
      </w:r>
      <w:r>
        <w:rPr>
          <w:rFonts w:ascii="宋体" w:hAnsi="宋体" w:cs="宋体"/>
          <w:sz w:val="21"/>
          <w:szCs w:val="21"/>
        </w:rPr>
        <w:t>7一键生成查新报告：支持针对相似专利给出可能迭代的研发方向，包括：排查技术要点、排查范围、相似专利列表、分析结果、技术监控建议等，可导出成报表</w:t>
      </w:r>
      <w:r>
        <w:rPr>
          <w:rFonts w:hint="eastAsia" w:ascii="宋体" w:hAnsi="宋体" w:cs="宋体"/>
          <w:sz w:val="21"/>
          <w:szCs w:val="21"/>
          <w:lang w:eastAsia="zh-CN"/>
        </w:rPr>
        <w:t>。</w:t>
      </w:r>
    </w:p>
    <w:p w14:paraId="16A2042C">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2.</w:t>
      </w:r>
      <w:r>
        <w:rPr>
          <w:rFonts w:ascii="宋体" w:hAnsi="宋体" w:cs="宋体"/>
          <w:sz w:val="21"/>
          <w:szCs w:val="21"/>
        </w:rPr>
        <w:t>8技术应用探索：分析和梳理专利的引用和被引用关系，拓展技术的新应用场景</w:t>
      </w:r>
      <w:r>
        <w:rPr>
          <w:rFonts w:hint="eastAsia" w:ascii="宋体" w:hAnsi="宋体" w:cs="宋体"/>
          <w:sz w:val="21"/>
          <w:szCs w:val="21"/>
          <w:lang w:eastAsia="zh-CN"/>
        </w:rPr>
        <w:t>。</w:t>
      </w:r>
    </w:p>
    <w:p w14:paraId="021BF81E">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2.</w:t>
      </w:r>
      <w:r>
        <w:rPr>
          <w:rFonts w:ascii="宋体" w:hAnsi="宋体" w:cs="宋体"/>
          <w:sz w:val="21"/>
          <w:szCs w:val="21"/>
        </w:rPr>
        <w:t>9AI监控洞察：针对技术主题或竞争对手进行监控，通过AI总结和提炼最新技术创新点和改进点，实时监控竞争研发动态，持续提升研发水平</w:t>
      </w:r>
      <w:r>
        <w:rPr>
          <w:rFonts w:hint="eastAsia" w:ascii="宋体" w:hAnsi="宋体" w:cs="宋体"/>
          <w:sz w:val="21"/>
          <w:szCs w:val="21"/>
          <w:lang w:eastAsia="zh-CN"/>
        </w:rPr>
        <w:t>。</w:t>
      </w:r>
    </w:p>
    <w:p w14:paraId="49CACED1">
      <w:pPr>
        <w:pStyle w:val="201"/>
        <w:spacing w:line="400" w:lineRule="exact"/>
        <w:ind w:firstLine="420"/>
        <w:rPr>
          <w:rFonts w:ascii="宋体" w:hAnsi="宋体" w:cs="宋体"/>
          <w:sz w:val="21"/>
          <w:szCs w:val="21"/>
        </w:rPr>
      </w:pPr>
      <w:r>
        <w:rPr>
          <w:rFonts w:hint="eastAsia" w:ascii="宋体" w:hAnsi="宋体" w:cs="宋体"/>
          <w:sz w:val="21"/>
          <w:szCs w:val="21"/>
        </w:rPr>
        <w:t>3.</w:t>
      </w:r>
      <w:r>
        <w:rPr>
          <w:rFonts w:ascii="宋体" w:hAnsi="宋体" w:cs="宋体"/>
          <w:sz w:val="21"/>
          <w:szCs w:val="21"/>
        </w:rPr>
        <w:t>搜索</w:t>
      </w:r>
    </w:p>
    <w:p w14:paraId="32785BA0">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3.</w:t>
      </w:r>
      <w:r>
        <w:rPr>
          <w:rFonts w:ascii="宋体" w:hAnsi="宋体" w:cs="宋体"/>
          <w:sz w:val="21"/>
          <w:szCs w:val="21"/>
        </w:rPr>
        <w:t>1智能搜索：通过技术关键词、技术问题准确找到技术解决方案</w:t>
      </w:r>
      <w:r>
        <w:rPr>
          <w:rFonts w:hint="eastAsia" w:ascii="宋体" w:hAnsi="宋体" w:cs="宋体"/>
          <w:sz w:val="21"/>
          <w:szCs w:val="21"/>
          <w:lang w:eastAsia="zh-CN"/>
        </w:rPr>
        <w:t>。</w:t>
      </w:r>
    </w:p>
    <w:p w14:paraId="520C91AF">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3.</w:t>
      </w:r>
      <w:r>
        <w:rPr>
          <w:rFonts w:ascii="宋体" w:hAnsi="宋体" w:cs="宋体"/>
          <w:sz w:val="21"/>
          <w:szCs w:val="21"/>
        </w:rPr>
        <w:t>2图像搜索：通过图像找到最相关的技术解决方案</w:t>
      </w:r>
      <w:r>
        <w:rPr>
          <w:rFonts w:hint="eastAsia" w:ascii="宋体" w:hAnsi="宋体" w:cs="宋体"/>
          <w:sz w:val="21"/>
          <w:szCs w:val="21"/>
          <w:lang w:eastAsia="zh-CN"/>
        </w:rPr>
        <w:t>。</w:t>
      </w:r>
    </w:p>
    <w:p w14:paraId="27259E36">
      <w:pPr>
        <w:pStyle w:val="201"/>
        <w:spacing w:line="400" w:lineRule="exact"/>
        <w:ind w:firstLine="420"/>
        <w:rPr>
          <w:rFonts w:hint="eastAsia" w:ascii="宋体" w:hAnsi="宋体" w:eastAsia="宋体" w:cs="宋体"/>
          <w:sz w:val="21"/>
          <w:szCs w:val="21"/>
          <w:lang w:eastAsia="zh-CN"/>
        </w:rPr>
      </w:pPr>
      <w:r>
        <w:rPr>
          <w:rFonts w:ascii="宋体" w:hAnsi="宋体" w:cs="宋体"/>
          <w:sz w:val="21"/>
          <w:szCs w:val="21"/>
        </w:rPr>
        <w:t>3</w:t>
      </w:r>
      <w:r>
        <w:rPr>
          <w:rFonts w:hint="eastAsia" w:ascii="宋体" w:hAnsi="宋体" w:cs="宋体"/>
          <w:sz w:val="21"/>
          <w:szCs w:val="21"/>
        </w:rPr>
        <w:t>.3</w:t>
      </w:r>
      <w:r>
        <w:rPr>
          <w:rFonts w:ascii="宋体" w:hAnsi="宋体" w:cs="宋体"/>
          <w:sz w:val="21"/>
          <w:szCs w:val="21"/>
        </w:rPr>
        <w:t>高级搜索：通过多种字段组合，在全球数据库中精准检索技术方案</w:t>
      </w:r>
      <w:r>
        <w:rPr>
          <w:rFonts w:hint="eastAsia" w:ascii="宋体" w:hAnsi="宋体" w:cs="宋体"/>
          <w:sz w:val="21"/>
          <w:szCs w:val="21"/>
          <w:lang w:eastAsia="zh-CN"/>
        </w:rPr>
        <w:t>。</w:t>
      </w:r>
    </w:p>
    <w:p w14:paraId="6ED256FC">
      <w:pPr>
        <w:pStyle w:val="201"/>
        <w:spacing w:line="400" w:lineRule="exact"/>
        <w:ind w:firstLine="420"/>
        <w:rPr>
          <w:rFonts w:ascii="宋体" w:hAnsi="宋体" w:cs="宋体"/>
          <w:sz w:val="21"/>
          <w:szCs w:val="21"/>
        </w:rPr>
      </w:pPr>
      <w:r>
        <w:rPr>
          <w:rFonts w:hint="eastAsia" w:ascii="宋体" w:hAnsi="宋体" w:cs="宋体"/>
          <w:sz w:val="21"/>
          <w:szCs w:val="21"/>
        </w:rPr>
        <w:t>4.</w:t>
      </w:r>
      <w:r>
        <w:rPr>
          <w:rFonts w:ascii="宋体" w:hAnsi="宋体" w:cs="宋体"/>
          <w:sz w:val="21"/>
          <w:szCs w:val="21"/>
        </w:rPr>
        <w:t>高效阅读</w:t>
      </w:r>
    </w:p>
    <w:p w14:paraId="405731E5">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4.1</w:t>
      </w:r>
      <w:r>
        <w:rPr>
          <w:rFonts w:ascii="宋体" w:hAnsi="宋体" w:cs="宋体"/>
          <w:sz w:val="21"/>
          <w:szCs w:val="21"/>
        </w:rPr>
        <w:t>特色分类筛选：支持在搜索结果中筛选技术主题和技术效果，帮助用户明确技术优化方向</w:t>
      </w:r>
      <w:r>
        <w:rPr>
          <w:rFonts w:hint="eastAsia" w:ascii="宋体" w:hAnsi="宋体" w:cs="宋体"/>
          <w:sz w:val="21"/>
          <w:szCs w:val="21"/>
          <w:lang w:eastAsia="zh-CN"/>
        </w:rPr>
        <w:t>。</w:t>
      </w:r>
    </w:p>
    <w:p w14:paraId="2AD3CEF3">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4.2</w:t>
      </w:r>
      <w:r>
        <w:rPr>
          <w:rFonts w:ascii="宋体" w:hAnsi="宋体" w:cs="宋体"/>
          <w:sz w:val="21"/>
          <w:szCs w:val="21"/>
        </w:rPr>
        <w:t>特征属性筛选：支持在搜索结果中筛选特征属性，包括材料性能参数、其他性能参数</w:t>
      </w:r>
      <w:r>
        <w:rPr>
          <w:rFonts w:hint="eastAsia" w:ascii="宋体" w:hAnsi="宋体" w:cs="宋体"/>
          <w:sz w:val="21"/>
          <w:szCs w:val="21"/>
          <w:lang w:eastAsia="zh-CN"/>
        </w:rPr>
        <w:t>。</w:t>
      </w:r>
    </w:p>
    <w:p w14:paraId="365612B2">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4.3</w:t>
      </w:r>
      <w:r>
        <w:rPr>
          <w:rFonts w:ascii="宋体" w:hAnsi="宋体" w:cs="宋体"/>
          <w:sz w:val="21"/>
          <w:szCs w:val="21"/>
        </w:rPr>
        <w:t>翻译文本查看：支持检索结果中文翻译、英文翻译、日文翻译，翻译时可同时展示原文</w:t>
      </w:r>
      <w:r>
        <w:rPr>
          <w:rFonts w:hint="eastAsia" w:ascii="宋体" w:hAnsi="宋体" w:cs="宋体"/>
          <w:sz w:val="21"/>
          <w:szCs w:val="21"/>
          <w:lang w:eastAsia="zh-CN"/>
        </w:rPr>
        <w:t>。</w:t>
      </w:r>
    </w:p>
    <w:p w14:paraId="673775FF">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4.4</w:t>
      </w:r>
      <w:r>
        <w:rPr>
          <w:rFonts w:ascii="宋体" w:hAnsi="宋体" w:cs="宋体"/>
          <w:sz w:val="21"/>
          <w:szCs w:val="21"/>
        </w:rPr>
        <w:t>AI技术标题/摘要查看：AI技术改写专利标题，还原并优先展示专利中的技术信息，快速掌握核心技术内容</w:t>
      </w:r>
      <w:r>
        <w:rPr>
          <w:rFonts w:hint="eastAsia" w:ascii="宋体" w:hAnsi="宋体" w:cs="宋体"/>
          <w:sz w:val="21"/>
          <w:szCs w:val="21"/>
          <w:lang w:eastAsia="zh-CN"/>
        </w:rPr>
        <w:t>。</w:t>
      </w:r>
    </w:p>
    <w:p w14:paraId="5C83822F">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4.5</w:t>
      </w:r>
      <w:r>
        <w:rPr>
          <w:rFonts w:ascii="宋体" w:hAnsi="宋体" w:cs="宋体"/>
          <w:sz w:val="21"/>
          <w:szCs w:val="21"/>
        </w:rPr>
        <w:t>实施例查看：通过表格呈现专利中的实验组分、反应条件、实验效果和实验结论等实验信息</w:t>
      </w:r>
      <w:r>
        <w:rPr>
          <w:rFonts w:hint="eastAsia" w:ascii="宋体" w:hAnsi="宋体" w:cs="宋体"/>
          <w:sz w:val="21"/>
          <w:szCs w:val="21"/>
          <w:lang w:eastAsia="zh-CN"/>
        </w:rPr>
        <w:t>。</w:t>
      </w:r>
    </w:p>
    <w:p w14:paraId="6341986F">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4.</w:t>
      </w:r>
      <w:r>
        <w:rPr>
          <w:rFonts w:ascii="宋体" w:hAnsi="宋体" w:cs="宋体"/>
          <w:sz w:val="21"/>
          <w:szCs w:val="21"/>
        </w:rPr>
        <w:t>6智能附图查看：识别附图中的文字说明，将附图的部位标</w:t>
      </w:r>
      <w:r>
        <w:rPr>
          <w:rFonts w:hint="eastAsia" w:ascii="宋体" w:hAnsi="宋体" w:cs="宋体"/>
          <w:sz w:val="21"/>
          <w:szCs w:val="21"/>
          <w:lang w:eastAsia="zh-CN"/>
        </w:rPr>
        <w:t>识</w:t>
      </w:r>
      <w:r>
        <w:rPr>
          <w:rFonts w:ascii="宋体" w:hAnsi="宋体" w:cs="宋体"/>
          <w:sz w:val="21"/>
          <w:szCs w:val="21"/>
        </w:rPr>
        <w:t>与专利文本中编号联动</w:t>
      </w:r>
      <w:r>
        <w:rPr>
          <w:rFonts w:hint="eastAsia" w:ascii="宋体" w:hAnsi="宋体" w:cs="宋体"/>
          <w:sz w:val="21"/>
          <w:szCs w:val="21"/>
          <w:lang w:eastAsia="zh-CN"/>
        </w:rPr>
        <w:t>。</w:t>
      </w:r>
    </w:p>
    <w:p w14:paraId="4ED768E6">
      <w:pPr>
        <w:pStyle w:val="201"/>
        <w:spacing w:line="400" w:lineRule="exact"/>
        <w:ind w:firstLine="420"/>
        <w:rPr>
          <w:rFonts w:ascii="宋体" w:hAnsi="宋体" w:cs="宋体"/>
          <w:sz w:val="21"/>
          <w:szCs w:val="21"/>
        </w:rPr>
      </w:pPr>
      <w:r>
        <w:rPr>
          <w:rFonts w:hint="eastAsia" w:ascii="宋体" w:hAnsi="宋体" w:cs="宋体"/>
          <w:sz w:val="21"/>
          <w:szCs w:val="21"/>
        </w:rPr>
        <w:t>4.</w:t>
      </w:r>
      <w:r>
        <w:rPr>
          <w:rFonts w:ascii="宋体" w:hAnsi="宋体" w:cs="宋体"/>
          <w:sz w:val="21"/>
          <w:szCs w:val="21"/>
        </w:rPr>
        <w:t>7AI智能助手：支持总结搜索结果当前页面所有的专利、技术效果等，可以提问想了解的信息。</w:t>
      </w:r>
    </w:p>
    <w:p w14:paraId="582372FE">
      <w:pPr>
        <w:pStyle w:val="201"/>
        <w:spacing w:line="400" w:lineRule="exact"/>
        <w:ind w:firstLine="420"/>
        <w:rPr>
          <w:rFonts w:ascii="宋体" w:hAnsi="宋体" w:cs="宋体"/>
          <w:sz w:val="21"/>
          <w:szCs w:val="21"/>
        </w:rPr>
      </w:pPr>
      <w:r>
        <w:rPr>
          <w:rFonts w:hint="eastAsia" w:ascii="宋体" w:hAnsi="宋体" w:cs="宋体"/>
          <w:sz w:val="21"/>
          <w:szCs w:val="21"/>
        </w:rPr>
        <w:t>5.</w:t>
      </w:r>
      <w:r>
        <w:rPr>
          <w:rFonts w:ascii="宋体" w:hAnsi="宋体" w:cs="宋体"/>
          <w:sz w:val="21"/>
          <w:szCs w:val="21"/>
        </w:rPr>
        <w:t>分析协同</w:t>
      </w:r>
    </w:p>
    <w:p w14:paraId="34303A96">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5.1</w:t>
      </w:r>
      <w:r>
        <w:rPr>
          <w:rFonts w:ascii="宋体" w:hAnsi="宋体" w:cs="宋体"/>
          <w:sz w:val="21"/>
          <w:szCs w:val="21"/>
        </w:rPr>
        <w:t>分析视图</w:t>
      </w:r>
      <w:r>
        <w:rPr>
          <w:rFonts w:hint="eastAsia" w:ascii="宋体" w:hAnsi="宋体" w:cs="宋体"/>
          <w:sz w:val="21"/>
          <w:szCs w:val="21"/>
          <w:lang w:eastAsia="zh-CN"/>
        </w:rPr>
        <w:t>：</w:t>
      </w:r>
      <w:r>
        <w:rPr>
          <w:rFonts w:ascii="宋体" w:hAnsi="宋体" w:cs="宋体"/>
          <w:sz w:val="21"/>
          <w:szCs w:val="21"/>
        </w:rPr>
        <w:t>基于搜索出的技术方案，一键形成多张分析图表，帮助判断技术重点和发展趋势</w:t>
      </w:r>
      <w:r>
        <w:rPr>
          <w:rFonts w:hint="eastAsia" w:ascii="宋体" w:hAnsi="宋体" w:cs="宋体"/>
          <w:sz w:val="21"/>
          <w:szCs w:val="21"/>
          <w:lang w:eastAsia="zh-CN"/>
        </w:rPr>
        <w:t>。</w:t>
      </w:r>
    </w:p>
    <w:p w14:paraId="0F58BFFD">
      <w:pPr>
        <w:pStyle w:val="201"/>
        <w:spacing w:line="400" w:lineRule="exact"/>
        <w:ind w:firstLine="420"/>
        <w:rPr>
          <w:rFonts w:ascii="宋体" w:hAnsi="宋体" w:cs="宋体"/>
          <w:sz w:val="21"/>
          <w:szCs w:val="21"/>
        </w:rPr>
      </w:pPr>
      <w:r>
        <w:rPr>
          <w:rFonts w:hint="eastAsia" w:ascii="宋体" w:hAnsi="宋体" w:cs="宋体"/>
          <w:sz w:val="21"/>
          <w:szCs w:val="21"/>
        </w:rPr>
        <w:t>5.</w:t>
      </w:r>
      <w:r>
        <w:rPr>
          <w:rFonts w:ascii="宋体" w:hAnsi="宋体" w:cs="宋体"/>
          <w:sz w:val="21"/>
          <w:szCs w:val="21"/>
        </w:rPr>
        <w:t>2技术分析：搜索结果分析支持查看主要技术问题、热门技术领域、技术演进路线、技术效果布局等等，有利于筛选评估结果。</w:t>
      </w:r>
    </w:p>
    <w:p w14:paraId="0B5E32B5">
      <w:pPr>
        <w:pStyle w:val="201"/>
        <w:spacing w:line="400" w:lineRule="exact"/>
        <w:ind w:firstLine="420"/>
        <w:rPr>
          <w:rFonts w:ascii="宋体" w:hAnsi="宋体" w:cs="宋体"/>
          <w:sz w:val="21"/>
          <w:szCs w:val="21"/>
        </w:rPr>
      </w:pPr>
      <w:r>
        <w:rPr>
          <w:rFonts w:hint="eastAsia" w:ascii="宋体" w:hAnsi="宋体" w:cs="宋体"/>
          <w:sz w:val="21"/>
          <w:szCs w:val="21"/>
        </w:rPr>
        <w:t>5.</w:t>
      </w:r>
      <w:r>
        <w:rPr>
          <w:rFonts w:ascii="宋体" w:hAnsi="宋体" w:cs="宋体"/>
          <w:sz w:val="21"/>
          <w:szCs w:val="21"/>
        </w:rPr>
        <w:t>3关联分析：支持推荐查看相关公司，支持查看对应公司的技术动态、技术关系突破、专利、文献等。</w:t>
      </w:r>
    </w:p>
    <w:p w14:paraId="042EAB86">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5.</w:t>
      </w:r>
      <w:r>
        <w:rPr>
          <w:rFonts w:ascii="宋体" w:hAnsi="宋体" w:cs="宋体"/>
          <w:sz w:val="21"/>
          <w:szCs w:val="21"/>
        </w:rPr>
        <w:t>4个人文件夹：保存专利至个人文件夹，可以设置多层级的文件夹</w:t>
      </w:r>
      <w:r>
        <w:rPr>
          <w:rFonts w:hint="eastAsia" w:ascii="宋体" w:hAnsi="宋体" w:cs="宋体"/>
          <w:sz w:val="21"/>
          <w:szCs w:val="21"/>
          <w:lang w:eastAsia="zh-CN"/>
        </w:rPr>
        <w:t>。</w:t>
      </w:r>
    </w:p>
    <w:p w14:paraId="6B42A917">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5.</w:t>
      </w:r>
      <w:r>
        <w:rPr>
          <w:rFonts w:ascii="宋体" w:hAnsi="宋体" w:cs="宋体"/>
          <w:sz w:val="21"/>
          <w:szCs w:val="21"/>
        </w:rPr>
        <w:t>5文件夹分享：分享工作文件夹给其他账号</w:t>
      </w:r>
      <w:r>
        <w:rPr>
          <w:rFonts w:hint="eastAsia" w:ascii="宋体" w:hAnsi="宋体" w:cs="宋体"/>
          <w:sz w:val="21"/>
          <w:szCs w:val="21"/>
          <w:lang w:eastAsia="zh-CN"/>
        </w:rPr>
        <w:t>。</w:t>
      </w:r>
    </w:p>
    <w:p w14:paraId="68E573F7">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5.</w:t>
      </w:r>
      <w:r>
        <w:rPr>
          <w:rFonts w:ascii="宋体" w:hAnsi="宋体" w:cs="宋体"/>
          <w:sz w:val="21"/>
          <w:szCs w:val="21"/>
        </w:rPr>
        <w:t>6团队协作：团队在分享的文件夹中一起工作，并且数据保持同步更新</w:t>
      </w:r>
      <w:r>
        <w:rPr>
          <w:rFonts w:hint="eastAsia" w:ascii="宋体" w:hAnsi="宋体" w:cs="宋体"/>
          <w:sz w:val="21"/>
          <w:szCs w:val="21"/>
          <w:lang w:eastAsia="zh-CN"/>
        </w:rPr>
        <w:t>。</w:t>
      </w:r>
    </w:p>
    <w:p w14:paraId="70C5F0B9">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5.</w:t>
      </w:r>
      <w:r>
        <w:rPr>
          <w:rFonts w:ascii="宋体" w:hAnsi="宋体" w:cs="宋体"/>
          <w:sz w:val="21"/>
          <w:szCs w:val="21"/>
        </w:rPr>
        <w:t>7自定义字段：在文件夹中添加自定义字段，在自定义字段下对每条专利添加标引备注</w:t>
      </w:r>
      <w:r>
        <w:rPr>
          <w:rFonts w:hint="eastAsia" w:ascii="宋体" w:hAnsi="宋体" w:cs="宋体"/>
          <w:sz w:val="21"/>
          <w:szCs w:val="21"/>
          <w:lang w:eastAsia="zh-CN"/>
        </w:rPr>
        <w:t>。</w:t>
      </w:r>
    </w:p>
    <w:p w14:paraId="0A22C038">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5.</w:t>
      </w:r>
      <w:r>
        <w:rPr>
          <w:rFonts w:ascii="宋体" w:hAnsi="宋体" w:cs="宋体"/>
          <w:sz w:val="21"/>
          <w:szCs w:val="21"/>
        </w:rPr>
        <w:t>8权限管理：设置分享权限，包括查看、编辑和管理</w:t>
      </w:r>
      <w:r>
        <w:rPr>
          <w:rFonts w:hint="eastAsia" w:ascii="宋体" w:hAnsi="宋体" w:cs="宋体"/>
          <w:sz w:val="21"/>
          <w:szCs w:val="21"/>
          <w:lang w:eastAsia="zh-CN"/>
        </w:rPr>
        <w:t>。</w:t>
      </w:r>
    </w:p>
    <w:p w14:paraId="644D5CC5">
      <w:pPr>
        <w:pStyle w:val="201"/>
        <w:spacing w:line="400" w:lineRule="exact"/>
        <w:ind w:firstLine="420"/>
        <w:rPr>
          <w:rFonts w:ascii="宋体" w:hAnsi="宋体" w:cs="宋体"/>
          <w:sz w:val="21"/>
          <w:szCs w:val="21"/>
        </w:rPr>
      </w:pPr>
      <w:r>
        <w:rPr>
          <w:rFonts w:hint="eastAsia" w:ascii="宋体" w:hAnsi="宋体" w:cs="宋体"/>
          <w:sz w:val="21"/>
          <w:szCs w:val="21"/>
        </w:rPr>
        <w:t>6.</w:t>
      </w:r>
      <w:r>
        <w:rPr>
          <w:rFonts w:ascii="宋体" w:hAnsi="宋体" w:cs="宋体"/>
          <w:sz w:val="21"/>
          <w:szCs w:val="21"/>
        </w:rPr>
        <w:t>安全和控制</w:t>
      </w:r>
    </w:p>
    <w:p w14:paraId="18D4CF50">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6.</w:t>
      </w:r>
      <w:r>
        <w:rPr>
          <w:rFonts w:ascii="宋体" w:hAnsi="宋体" w:cs="宋体"/>
          <w:sz w:val="21"/>
          <w:szCs w:val="21"/>
        </w:rPr>
        <w:t>1具有垂直领域知识的论文/专利数据自主训练研发的大模型，保障安全</w:t>
      </w:r>
      <w:r>
        <w:rPr>
          <w:rFonts w:hint="eastAsia" w:ascii="宋体" w:hAnsi="宋体" w:cs="宋体"/>
          <w:sz w:val="21"/>
          <w:szCs w:val="21"/>
          <w:lang w:eastAsia="zh-CN"/>
        </w:rPr>
        <w:t>。</w:t>
      </w:r>
    </w:p>
    <w:p w14:paraId="430A0F05">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6.</w:t>
      </w:r>
      <w:r>
        <w:rPr>
          <w:rFonts w:ascii="宋体" w:hAnsi="宋体" w:cs="宋体"/>
          <w:sz w:val="21"/>
          <w:szCs w:val="21"/>
        </w:rPr>
        <w:t>2无痕浏览模式：不记录使用者在产品使用中产生的任何数据</w:t>
      </w:r>
      <w:r>
        <w:rPr>
          <w:rFonts w:hint="eastAsia" w:ascii="宋体" w:hAnsi="宋体" w:cs="宋体"/>
          <w:sz w:val="21"/>
          <w:szCs w:val="21"/>
          <w:lang w:eastAsia="zh-CN"/>
        </w:rPr>
        <w:t>。</w:t>
      </w:r>
    </w:p>
    <w:p w14:paraId="43C5C68D">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6.</w:t>
      </w:r>
      <w:r>
        <w:rPr>
          <w:rFonts w:ascii="宋体" w:hAnsi="宋体" w:cs="宋体"/>
          <w:sz w:val="21"/>
          <w:szCs w:val="21"/>
        </w:rPr>
        <w:t>3记录删除：用户可删除操作记录</w:t>
      </w:r>
      <w:r>
        <w:rPr>
          <w:rFonts w:hint="eastAsia" w:ascii="宋体" w:hAnsi="宋体" w:cs="宋体"/>
          <w:sz w:val="21"/>
          <w:szCs w:val="21"/>
          <w:lang w:eastAsia="zh-CN"/>
        </w:rPr>
        <w:t>。</w:t>
      </w:r>
    </w:p>
    <w:p w14:paraId="045056B5">
      <w:pPr>
        <w:pStyle w:val="201"/>
        <w:spacing w:line="400" w:lineRule="exact"/>
        <w:ind w:firstLine="420"/>
        <w:rPr>
          <w:rFonts w:hint="eastAsia" w:ascii="宋体" w:hAnsi="宋体" w:eastAsia="宋体" w:cs="宋体"/>
          <w:sz w:val="21"/>
          <w:szCs w:val="21"/>
          <w:lang w:eastAsia="zh-CN"/>
        </w:rPr>
      </w:pPr>
      <w:r>
        <w:rPr>
          <w:rFonts w:hint="eastAsia" w:ascii="宋体" w:hAnsi="宋体" w:cs="宋体"/>
          <w:sz w:val="21"/>
          <w:szCs w:val="21"/>
        </w:rPr>
        <w:t>6.</w:t>
      </w:r>
      <w:r>
        <w:rPr>
          <w:rFonts w:ascii="宋体" w:hAnsi="宋体" w:cs="宋体"/>
          <w:sz w:val="21"/>
          <w:szCs w:val="21"/>
        </w:rPr>
        <w:t>4账号管理工作台：</w:t>
      </w:r>
      <w:r>
        <w:rPr>
          <w:rFonts w:hint="eastAsia" w:ascii="宋体" w:hAnsi="宋体" w:cs="宋体"/>
          <w:sz w:val="21"/>
          <w:szCs w:val="21"/>
          <w:lang w:val="en-US" w:eastAsia="zh-CN"/>
        </w:rPr>
        <w:t>校园IP范围内注册，支持校内外账号登陆，同时</w:t>
      </w:r>
      <w:r>
        <w:rPr>
          <w:rFonts w:ascii="宋体" w:hAnsi="宋体" w:cs="宋体"/>
          <w:sz w:val="21"/>
          <w:szCs w:val="21"/>
        </w:rPr>
        <w:t>支持帮助管理员更好</w:t>
      </w:r>
      <w:r>
        <w:rPr>
          <w:rFonts w:hint="eastAsia" w:ascii="宋体" w:hAnsi="宋体" w:cs="宋体"/>
          <w:sz w:val="21"/>
          <w:szCs w:val="21"/>
          <w:lang w:eastAsia="zh-CN"/>
        </w:rPr>
        <w:t>地</w:t>
      </w:r>
      <w:r>
        <w:rPr>
          <w:rFonts w:ascii="宋体" w:hAnsi="宋体" w:cs="宋体"/>
          <w:sz w:val="21"/>
          <w:szCs w:val="21"/>
        </w:rPr>
        <w:t>进行产品账号、用户、安全、权限和登</w:t>
      </w:r>
      <w:r>
        <w:rPr>
          <w:rFonts w:hint="eastAsia" w:ascii="宋体" w:hAnsi="宋体" w:cs="宋体"/>
          <w:sz w:val="21"/>
          <w:szCs w:val="21"/>
          <w:lang w:eastAsia="zh-CN"/>
        </w:rPr>
        <w:t>录</w:t>
      </w:r>
      <w:r>
        <w:rPr>
          <w:rFonts w:ascii="宋体" w:hAnsi="宋体" w:cs="宋体"/>
          <w:sz w:val="21"/>
          <w:szCs w:val="21"/>
        </w:rPr>
        <w:t>管理</w:t>
      </w:r>
      <w:r>
        <w:rPr>
          <w:rFonts w:hint="eastAsia" w:ascii="宋体" w:hAnsi="宋体" w:cs="宋体"/>
          <w:sz w:val="21"/>
          <w:szCs w:val="21"/>
          <w:lang w:eastAsia="zh-CN"/>
        </w:rPr>
        <w:t>。</w:t>
      </w:r>
    </w:p>
    <w:p w14:paraId="30239A09">
      <w:pPr>
        <w:pStyle w:val="201"/>
        <w:spacing w:line="400" w:lineRule="exact"/>
        <w:ind w:firstLine="420"/>
        <w:rPr>
          <w:rFonts w:ascii="宋体" w:hAnsi="宋体" w:cs="宋体"/>
          <w:sz w:val="21"/>
          <w:szCs w:val="21"/>
        </w:rPr>
      </w:pPr>
      <w:r>
        <w:rPr>
          <w:rFonts w:hint="eastAsia" w:ascii="宋体" w:hAnsi="宋体" w:cs="宋体"/>
          <w:sz w:val="21"/>
          <w:szCs w:val="21"/>
        </w:rPr>
        <w:t>7.</w:t>
      </w:r>
      <w:r>
        <w:rPr>
          <w:rFonts w:ascii="宋体" w:hAnsi="宋体" w:cs="宋体"/>
          <w:sz w:val="21"/>
          <w:szCs w:val="21"/>
        </w:rPr>
        <w:t>售后</w:t>
      </w:r>
    </w:p>
    <w:p w14:paraId="151709F0">
      <w:pPr>
        <w:pStyle w:val="201"/>
        <w:spacing w:line="400" w:lineRule="exact"/>
        <w:ind w:firstLine="420"/>
        <w:rPr>
          <w:rFonts w:ascii="宋体" w:hAnsi="宋体" w:cs="宋体"/>
          <w:sz w:val="21"/>
          <w:szCs w:val="21"/>
        </w:rPr>
      </w:pPr>
      <w:r>
        <w:rPr>
          <w:rFonts w:hint="eastAsia" w:ascii="宋体" w:hAnsi="宋体" w:cs="宋体"/>
          <w:sz w:val="21"/>
          <w:szCs w:val="21"/>
        </w:rPr>
        <w:t>7.</w:t>
      </w:r>
      <w:r>
        <w:rPr>
          <w:rFonts w:ascii="宋体" w:hAnsi="宋体" w:cs="宋体"/>
          <w:sz w:val="21"/>
          <w:szCs w:val="21"/>
        </w:rPr>
        <w:t>1服务期内，为</w:t>
      </w:r>
      <w:r>
        <w:rPr>
          <w:rFonts w:hint="eastAsia" w:ascii="宋体" w:hAnsi="宋体" w:cs="宋体"/>
          <w:sz w:val="21"/>
          <w:szCs w:val="21"/>
          <w:lang w:eastAsia="zh-CN"/>
        </w:rPr>
        <w:t>采购人无条件</w:t>
      </w:r>
      <w:r>
        <w:rPr>
          <w:rFonts w:ascii="宋体" w:hAnsi="宋体" w:cs="宋体"/>
          <w:sz w:val="21"/>
          <w:szCs w:val="21"/>
        </w:rPr>
        <w:t>提供数据库培训等活动一年内不少于2次，具体时间和形式，双方协商确认。</w:t>
      </w:r>
    </w:p>
    <w:p w14:paraId="1A626DCF">
      <w:pPr>
        <w:pStyle w:val="201"/>
        <w:spacing w:line="400" w:lineRule="exact"/>
        <w:ind w:firstLine="420"/>
        <w:rPr>
          <w:rFonts w:hint="eastAsia" w:ascii="宋体" w:hAnsi="宋体" w:cs="宋体"/>
          <w:sz w:val="21"/>
          <w:szCs w:val="21"/>
          <w:lang w:eastAsia="zh-CN"/>
        </w:rPr>
      </w:pPr>
      <w:r>
        <w:rPr>
          <w:rFonts w:hint="eastAsia" w:ascii="宋体" w:hAnsi="宋体" w:cs="宋体"/>
          <w:sz w:val="21"/>
          <w:szCs w:val="21"/>
        </w:rPr>
        <w:t>7.</w:t>
      </w:r>
      <w:r>
        <w:rPr>
          <w:rFonts w:ascii="宋体" w:hAnsi="宋体" w:cs="宋体"/>
          <w:sz w:val="21"/>
          <w:szCs w:val="21"/>
        </w:rPr>
        <w:t>2定期提供数据库使用统计数据</w:t>
      </w:r>
      <w:r>
        <w:rPr>
          <w:rFonts w:hint="eastAsia" w:ascii="宋体" w:hAnsi="宋体" w:cs="宋体"/>
          <w:sz w:val="21"/>
          <w:szCs w:val="21"/>
          <w:lang w:eastAsia="zh-CN"/>
        </w:rPr>
        <w:t>。</w:t>
      </w:r>
    </w:p>
    <w:p w14:paraId="2D36A2F9">
      <w:pPr>
        <w:pStyle w:val="201"/>
        <w:spacing w:line="400" w:lineRule="exact"/>
        <w:ind w:firstLine="420"/>
        <w:rPr>
          <w:rFonts w:hint="default" w:ascii="宋体" w:hAnsi="宋体" w:cs="宋体"/>
          <w:sz w:val="21"/>
          <w:szCs w:val="21"/>
          <w:lang w:val="en-US" w:eastAsia="zh-CN"/>
        </w:rPr>
      </w:pPr>
      <w:r>
        <w:rPr>
          <w:rFonts w:hint="eastAsia" w:ascii="宋体" w:hAnsi="宋体" w:cs="宋体"/>
          <w:sz w:val="21"/>
          <w:szCs w:val="21"/>
          <w:lang w:val="en-US" w:eastAsia="zh-CN"/>
        </w:rPr>
        <w:t>7.3提供网络、电话及E-mail支持服务，响应时间不超过24小时。</w:t>
      </w:r>
    </w:p>
    <w:p w14:paraId="5FEF7863">
      <w:pPr>
        <w:pStyle w:val="201"/>
        <w:spacing w:line="400" w:lineRule="exact"/>
        <w:ind w:firstLine="420"/>
        <w:rPr>
          <w:rFonts w:ascii="宋体" w:hAnsi="宋体" w:cs="宋体"/>
          <w:sz w:val="21"/>
          <w:szCs w:val="21"/>
        </w:rPr>
      </w:pPr>
      <w:r>
        <w:rPr>
          <w:rFonts w:hint="eastAsia" w:ascii="宋体" w:hAnsi="宋体" w:cs="宋体"/>
          <w:sz w:val="21"/>
          <w:szCs w:val="21"/>
        </w:rPr>
        <w:t>8.服务期限：202</w:t>
      </w:r>
      <w:r>
        <w:rPr>
          <w:rFonts w:hint="eastAsia" w:ascii="宋体" w:hAnsi="宋体" w:cs="宋体"/>
          <w:sz w:val="21"/>
          <w:szCs w:val="21"/>
          <w:lang w:val="en-US" w:eastAsia="zh-CN"/>
        </w:rPr>
        <w:t>6</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月1日至2026年</w:t>
      </w:r>
      <w:r>
        <w:rPr>
          <w:rFonts w:hint="eastAsia" w:ascii="宋体" w:hAnsi="宋体" w:cs="宋体"/>
          <w:sz w:val="21"/>
          <w:szCs w:val="21"/>
          <w:lang w:val="en-US" w:eastAsia="zh-CN"/>
        </w:rPr>
        <w:t>12</w:t>
      </w:r>
      <w:r>
        <w:rPr>
          <w:rFonts w:hint="eastAsia" w:ascii="宋体" w:hAnsi="宋体" w:cs="宋体"/>
          <w:sz w:val="21"/>
          <w:szCs w:val="21"/>
        </w:rPr>
        <w:t>月31日。</w:t>
      </w:r>
    </w:p>
    <w:p w14:paraId="5982AA9A">
      <w:pPr>
        <w:pStyle w:val="18"/>
        <w:spacing w:line="400" w:lineRule="exact"/>
        <w:rPr>
          <w:rFonts w:hAnsi="宋体" w:cs="宋体"/>
          <w:b/>
          <w:kern w:val="2"/>
          <w:sz w:val="21"/>
          <w:szCs w:val="21"/>
        </w:rPr>
      </w:pPr>
      <w:r>
        <w:rPr>
          <w:rFonts w:hint="eastAsia" w:hAnsi="宋体" w:cs="宋体"/>
          <w:b/>
          <w:sz w:val="21"/>
          <w:szCs w:val="21"/>
        </w:rPr>
        <w:br w:type="page"/>
      </w:r>
      <w:r>
        <w:rPr>
          <w:rFonts w:hint="eastAsia" w:hAnsi="宋体" w:cs="宋体"/>
          <w:b/>
          <w:sz w:val="21"/>
          <w:szCs w:val="21"/>
        </w:rPr>
        <w:t xml:space="preserve">    </w:t>
      </w:r>
      <w:r>
        <w:rPr>
          <w:rFonts w:hint="eastAsia" w:hAnsi="宋体" w:cs="宋体"/>
          <w:b/>
          <w:kern w:val="2"/>
          <w:sz w:val="21"/>
          <w:szCs w:val="21"/>
        </w:rPr>
        <w:t>标项十六（华知·文鉴）：</w:t>
      </w:r>
    </w:p>
    <w:p w14:paraId="7FE76288">
      <w:pPr>
        <w:pStyle w:val="201"/>
        <w:spacing w:line="400" w:lineRule="exact"/>
        <w:ind w:firstLine="420"/>
        <w:rPr>
          <w:rFonts w:ascii="宋体" w:hAnsi="宋体" w:cs="宋体"/>
          <w:sz w:val="21"/>
          <w:szCs w:val="21"/>
        </w:rPr>
      </w:pPr>
      <w:r>
        <w:rPr>
          <w:rFonts w:hint="eastAsia" w:ascii="宋体" w:hAnsi="宋体" w:cs="宋体"/>
          <w:sz w:val="21"/>
          <w:szCs w:val="21"/>
        </w:rPr>
        <w:t>华知·文鉴是一款AI赋能的智能化科技查新工具，依托中华知识大模型和知网海量的科研成果库，助力科研工作者高效、精准地把握科技前沿动态，引领科技创新方向。</w:t>
      </w:r>
    </w:p>
    <w:p w14:paraId="4DF00C26">
      <w:pPr>
        <w:pStyle w:val="201"/>
        <w:spacing w:line="400" w:lineRule="exact"/>
        <w:ind w:firstLine="420"/>
        <w:rPr>
          <w:rFonts w:ascii="宋体" w:hAnsi="宋体" w:cs="宋体"/>
          <w:sz w:val="21"/>
          <w:szCs w:val="21"/>
        </w:rPr>
      </w:pPr>
      <w:r>
        <w:rPr>
          <w:rFonts w:hint="eastAsia" w:ascii="宋体" w:hAnsi="宋体" w:cs="宋体"/>
          <w:sz w:val="21"/>
          <w:szCs w:val="21"/>
        </w:rPr>
        <w:t>1.依托中华知识大模型和知网学术期刊、专利文献、学位论文、会议论文等多元文献资源，并广泛搜集网络公开科技、技术等资源，全面覆盖各学科。为科研项目、成果评估、专利申请等提供权威信息支持。</w:t>
      </w:r>
    </w:p>
    <w:p w14:paraId="0DE4B205">
      <w:pPr>
        <w:pStyle w:val="201"/>
        <w:spacing w:line="400" w:lineRule="exact"/>
        <w:ind w:firstLine="420"/>
        <w:rPr>
          <w:rFonts w:ascii="宋体" w:hAnsi="宋体" w:cs="宋体"/>
          <w:sz w:val="21"/>
          <w:szCs w:val="21"/>
        </w:rPr>
      </w:pPr>
      <w:r>
        <w:rPr>
          <w:rFonts w:hint="eastAsia" w:ascii="宋体" w:hAnsi="宋体" w:cs="宋体"/>
          <w:sz w:val="21"/>
          <w:szCs w:val="21"/>
        </w:rPr>
        <w:t>2.智能语义检索：可智能分析查新点，融合语义智能匹配和推荐相关资料；可依据查新点分点智能检索排序；支持中英文检索结果自由切换；支持人工审查调整查新结果。</w:t>
      </w:r>
    </w:p>
    <w:p w14:paraId="39E16085">
      <w:pPr>
        <w:pStyle w:val="201"/>
        <w:spacing w:line="400" w:lineRule="exact"/>
        <w:ind w:firstLine="420"/>
        <w:rPr>
          <w:rFonts w:ascii="宋体" w:hAnsi="宋体" w:cs="宋体"/>
          <w:sz w:val="21"/>
          <w:szCs w:val="21"/>
        </w:rPr>
      </w:pPr>
      <w:r>
        <w:rPr>
          <w:rFonts w:hint="eastAsia" w:ascii="宋体" w:hAnsi="宋体" w:cs="宋体"/>
          <w:sz w:val="21"/>
          <w:szCs w:val="21"/>
        </w:rPr>
        <w:t>3.智能报告生成：可智能总结相关文献内容；可依据查新点分点比对分析，可切换查看国内外；可逐条与查新点语义比对，分析是否相同；可依据比对结果智能给出最终查新结果，并支持导出文档。</w:t>
      </w:r>
    </w:p>
    <w:p w14:paraId="5EB13B9B">
      <w:pPr>
        <w:pStyle w:val="201"/>
        <w:spacing w:line="400" w:lineRule="exact"/>
        <w:ind w:firstLine="420"/>
        <w:rPr>
          <w:rFonts w:ascii="宋体" w:hAnsi="宋体" w:cs="宋体"/>
          <w:sz w:val="21"/>
          <w:szCs w:val="21"/>
        </w:rPr>
      </w:pPr>
      <w:r>
        <w:rPr>
          <w:rFonts w:hint="eastAsia" w:ascii="宋体" w:hAnsi="宋体" w:cs="宋体"/>
          <w:sz w:val="21"/>
          <w:szCs w:val="21"/>
        </w:rPr>
        <w:t>4.售后服务：</w:t>
      </w:r>
    </w:p>
    <w:p w14:paraId="6523BE9E">
      <w:pPr>
        <w:pStyle w:val="201"/>
        <w:spacing w:line="400" w:lineRule="exact"/>
        <w:ind w:firstLine="420"/>
        <w:rPr>
          <w:rFonts w:ascii="宋体" w:hAnsi="宋体" w:cs="宋体"/>
          <w:sz w:val="21"/>
          <w:szCs w:val="21"/>
        </w:rPr>
      </w:pPr>
      <w:r>
        <w:rPr>
          <w:rFonts w:hint="eastAsia" w:ascii="宋体" w:hAnsi="宋体" w:cs="宋体"/>
          <w:sz w:val="21"/>
          <w:szCs w:val="21"/>
        </w:rPr>
        <w:t>4.1安装调试</w:t>
      </w:r>
    </w:p>
    <w:p w14:paraId="7B75B336">
      <w:pPr>
        <w:pStyle w:val="201"/>
        <w:spacing w:line="400" w:lineRule="exact"/>
        <w:ind w:firstLine="420"/>
        <w:rPr>
          <w:rFonts w:ascii="宋体" w:hAnsi="宋体" w:cs="宋体"/>
          <w:sz w:val="21"/>
          <w:szCs w:val="21"/>
        </w:rPr>
      </w:pPr>
      <w:r>
        <w:rPr>
          <w:rFonts w:hint="eastAsia" w:ascii="宋体" w:hAnsi="宋体" w:cs="宋体"/>
          <w:sz w:val="21"/>
          <w:szCs w:val="21"/>
        </w:rPr>
        <w:t>镜像模式：向采购人提供产品的首次安装调试服务，采购人和成交人共同组织验收。</w:t>
      </w:r>
    </w:p>
    <w:p w14:paraId="71310763">
      <w:pPr>
        <w:pStyle w:val="201"/>
        <w:spacing w:line="400" w:lineRule="exact"/>
        <w:ind w:firstLine="420"/>
        <w:rPr>
          <w:rFonts w:ascii="宋体" w:hAnsi="宋体" w:cs="宋体"/>
          <w:sz w:val="21"/>
          <w:szCs w:val="21"/>
        </w:rPr>
      </w:pPr>
      <w:r>
        <w:rPr>
          <w:rFonts w:hint="eastAsia" w:ascii="宋体" w:hAnsi="宋体" w:cs="宋体"/>
          <w:sz w:val="21"/>
          <w:szCs w:val="21"/>
        </w:rPr>
        <w:t>培训用户的系统管理员。</w:t>
      </w:r>
    </w:p>
    <w:p w14:paraId="7683047E">
      <w:pPr>
        <w:pStyle w:val="201"/>
        <w:spacing w:line="400" w:lineRule="exact"/>
        <w:ind w:firstLine="420"/>
        <w:rPr>
          <w:rFonts w:ascii="宋体" w:hAnsi="宋体" w:cs="宋体"/>
          <w:sz w:val="21"/>
          <w:szCs w:val="21"/>
        </w:rPr>
      </w:pPr>
      <w:r>
        <w:rPr>
          <w:rFonts w:hint="eastAsia" w:ascii="宋体" w:hAnsi="宋体" w:cs="宋体"/>
          <w:sz w:val="21"/>
          <w:szCs w:val="21"/>
        </w:rPr>
        <w:t>4.2系统维护</w:t>
      </w:r>
    </w:p>
    <w:p w14:paraId="0E0F6A58">
      <w:pPr>
        <w:pStyle w:val="201"/>
        <w:spacing w:line="400" w:lineRule="exact"/>
        <w:ind w:firstLine="420"/>
        <w:rPr>
          <w:rFonts w:ascii="宋体" w:hAnsi="宋体" w:cs="宋体"/>
          <w:sz w:val="21"/>
          <w:szCs w:val="21"/>
        </w:rPr>
      </w:pPr>
      <w:r>
        <w:rPr>
          <w:rFonts w:hint="eastAsia" w:ascii="宋体" w:hAnsi="宋体" w:cs="宋体"/>
          <w:sz w:val="21"/>
          <w:szCs w:val="21"/>
        </w:rPr>
        <w:t>每月通过远程对产品运行状况进行一次全面监测，对系统运行管理状况提供管理建议。</w:t>
      </w:r>
    </w:p>
    <w:p w14:paraId="012B215B">
      <w:pPr>
        <w:pStyle w:val="201"/>
        <w:spacing w:line="400" w:lineRule="exact"/>
        <w:ind w:firstLine="420"/>
        <w:rPr>
          <w:rFonts w:ascii="宋体" w:hAnsi="宋体" w:cs="宋体"/>
          <w:sz w:val="21"/>
          <w:szCs w:val="21"/>
        </w:rPr>
      </w:pPr>
      <w:r>
        <w:rPr>
          <w:rFonts w:hint="eastAsia" w:ascii="宋体" w:hAnsi="宋体" w:cs="宋体"/>
          <w:sz w:val="21"/>
          <w:szCs w:val="21"/>
        </w:rPr>
        <w:t>采购人原因造成的产品使用故障，通过电话支持、网络服务等方式协助采购人排查。特殊情况下可派技术人员上门协助解决。</w:t>
      </w:r>
    </w:p>
    <w:p w14:paraId="3412E69A">
      <w:pPr>
        <w:pStyle w:val="201"/>
        <w:spacing w:line="400" w:lineRule="exact"/>
        <w:ind w:firstLine="420"/>
        <w:rPr>
          <w:rFonts w:ascii="宋体" w:hAnsi="宋体" w:cs="宋体"/>
          <w:sz w:val="21"/>
          <w:szCs w:val="21"/>
        </w:rPr>
      </w:pPr>
      <w:r>
        <w:rPr>
          <w:rFonts w:hint="eastAsia" w:ascii="宋体" w:hAnsi="宋体" w:cs="宋体"/>
          <w:sz w:val="21"/>
          <w:szCs w:val="21"/>
        </w:rPr>
        <w:t>产品本身原因造成的使用故障由成交人负责排除。</w:t>
      </w:r>
    </w:p>
    <w:p w14:paraId="74BE9C36">
      <w:pPr>
        <w:pStyle w:val="201"/>
        <w:spacing w:line="400" w:lineRule="exact"/>
        <w:ind w:firstLine="420"/>
        <w:rPr>
          <w:rFonts w:ascii="宋体" w:hAnsi="宋体" w:cs="宋体"/>
          <w:sz w:val="21"/>
          <w:szCs w:val="21"/>
        </w:rPr>
      </w:pPr>
      <w:r>
        <w:rPr>
          <w:rFonts w:hint="eastAsia" w:ascii="宋体" w:hAnsi="宋体" w:cs="宋体"/>
          <w:sz w:val="21"/>
          <w:szCs w:val="21"/>
        </w:rPr>
        <w:t>4.3紧急服务</w:t>
      </w:r>
    </w:p>
    <w:p w14:paraId="30214C8B">
      <w:pPr>
        <w:pStyle w:val="201"/>
        <w:spacing w:line="400" w:lineRule="exact"/>
        <w:ind w:firstLine="420"/>
        <w:rPr>
          <w:rFonts w:ascii="宋体" w:hAnsi="宋体" w:cs="宋体"/>
          <w:sz w:val="21"/>
          <w:szCs w:val="21"/>
        </w:rPr>
      </w:pPr>
      <w:r>
        <w:rPr>
          <w:rFonts w:hint="eastAsia" w:ascii="宋体" w:hAnsi="宋体" w:cs="宋体"/>
          <w:sz w:val="21"/>
          <w:szCs w:val="21"/>
        </w:rPr>
        <w:t>向采购人提供产品的紧急备份访问服务，保证采购人可持续使用产品。镜像服务中断时，经采购人申请、成交人核实后即为用户开通CNKI中心网站或交换服务中心的备用账号。</w:t>
      </w:r>
    </w:p>
    <w:p w14:paraId="39A3D885">
      <w:pPr>
        <w:pStyle w:val="201"/>
        <w:spacing w:line="400" w:lineRule="exact"/>
        <w:ind w:firstLine="420"/>
        <w:rPr>
          <w:rFonts w:ascii="宋体" w:hAnsi="宋体" w:cs="宋体"/>
          <w:sz w:val="21"/>
          <w:szCs w:val="21"/>
        </w:rPr>
      </w:pPr>
      <w:r>
        <w:rPr>
          <w:rFonts w:hint="eastAsia" w:ascii="宋体" w:hAnsi="宋体" w:cs="宋体"/>
          <w:sz w:val="21"/>
          <w:szCs w:val="21"/>
        </w:rPr>
        <w:t>用户原因造成的服务中断，每年使用备用账号累计时间不超过3个月。</w:t>
      </w:r>
    </w:p>
    <w:p w14:paraId="0512A777">
      <w:pPr>
        <w:pStyle w:val="201"/>
        <w:spacing w:line="400" w:lineRule="exact"/>
        <w:ind w:firstLine="420"/>
        <w:rPr>
          <w:rFonts w:ascii="宋体" w:hAnsi="宋体" w:cs="宋体"/>
          <w:sz w:val="21"/>
          <w:szCs w:val="21"/>
        </w:rPr>
      </w:pPr>
      <w:r>
        <w:rPr>
          <w:rFonts w:hint="eastAsia" w:ascii="宋体" w:hAnsi="宋体" w:cs="宋体"/>
          <w:sz w:val="21"/>
          <w:szCs w:val="21"/>
        </w:rPr>
        <w:t>产品本身原因造成的服务中断，备用账号使用到产品恢复正常使用时为止。</w:t>
      </w:r>
    </w:p>
    <w:p w14:paraId="40C539ED">
      <w:pPr>
        <w:pStyle w:val="201"/>
        <w:spacing w:line="400" w:lineRule="exact"/>
        <w:ind w:firstLine="420"/>
        <w:rPr>
          <w:rFonts w:hint="eastAsia" w:ascii="宋体" w:hAnsi="宋体" w:cs="宋体"/>
          <w:sz w:val="21"/>
          <w:szCs w:val="21"/>
          <w:lang w:val="en-US" w:eastAsia="zh-CN"/>
        </w:rPr>
      </w:pPr>
      <w:r>
        <w:rPr>
          <w:rFonts w:hint="eastAsia" w:ascii="宋体" w:hAnsi="宋体" w:cs="宋体"/>
          <w:sz w:val="21"/>
          <w:szCs w:val="21"/>
        </w:rPr>
        <w:t>4.4</w:t>
      </w:r>
      <w:r>
        <w:rPr>
          <w:rFonts w:hint="eastAsia" w:ascii="宋体" w:hAnsi="宋体" w:cs="宋体"/>
          <w:sz w:val="21"/>
          <w:szCs w:val="21"/>
          <w:lang w:val="en-US" w:eastAsia="zh-CN"/>
        </w:rPr>
        <w:t>登录方式</w:t>
      </w:r>
    </w:p>
    <w:p w14:paraId="5DD0CD9F">
      <w:pPr>
        <w:pStyle w:val="201"/>
        <w:spacing w:line="400" w:lineRule="exact"/>
        <w:ind w:firstLine="420"/>
        <w:rPr>
          <w:rFonts w:hint="default" w:ascii="宋体" w:hAnsi="宋体" w:cs="宋体"/>
          <w:sz w:val="21"/>
          <w:szCs w:val="21"/>
          <w:lang w:val="en-US" w:eastAsia="zh-CN"/>
        </w:rPr>
      </w:pPr>
      <w:r>
        <w:rPr>
          <w:rFonts w:hint="default" w:ascii="宋体" w:hAnsi="宋体" w:cs="宋体"/>
          <w:sz w:val="21"/>
          <w:szCs w:val="21"/>
          <w:lang w:val="en-US" w:eastAsia="zh-CN"/>
        </w:rPr>
        <w:t>个人手机号注册，绑定至机构账号后校内外均可登陆</w:t>
      </w:r>
      <w:r>
        <w:rPr>
          <w:rFonts w:hint="eastAsia" w:ascii="宋体" w:hAnsi="宋体" w:cs="宋体"/>
          <w:sz w:val="21"/>
          <w:szCs w:val="21"/>
          <w:lang w:val="en-US" w:eastAsia="zh-CN"/>
        </w:rPr>
        <w:t>。</w:t>
      </w:r>
    </w:p>
    <w:p w14:paraId="6787A86F">
      <w:pPr>
        <w:pStyle w:val="201"/>
        <w:spacing w:line="400" w:lineRule="exact"/>
        <w:ind w:firstLine="420"/>
        <w:rPr>
          <w:rFonts w:ascii="宋体" w:hAnsi="宋体" w:cs="宋体"/>
          <w:sz w:val="21"/>
          <w:szCs w:val="21"/>
        </w:rPr>
      </w:pPr>
      <w:r>
        <w:rPr>
          <w:rFonts w:hint="eastAsia" w:ascii="宋体" w:hAnsi="宋体" w:cs="宋体"/>
          <w:sz w:val="21"/>
          <w:szCs w:val="21"/>
          <w:lang w:val="en-US" w:eastAsia="zh-CN"/>
        </w:rPr>
        <w:t>4.5</w:t>
      </w:r>
      <w:r>
        <w:rPr>
          <w:rFonts w:hint="eastAsia" w:ascii="宋体" w:hAnsi="宋体" w:cs="宋体"/>
          <w:sz w:val="21"/>
          <w:szCs w:val="21"/>
        </w:rPr>
        <w:t>技术支持</w:t>
      </w:r>
    </w:p>
    <w:p w14:paraId="4B5AEAD1">
      <w:pPr>
        <w:pStyle w:val="201"/>
        <w:spacing w:line="400" w:lineRule="exact"/>
        <w:ind w:firstLine="420"/>
        <w:rPr>
          <w:rFonts w:ascii="宋体" w:hAnsi="宋体" w:cs="宋体"/>
          <w:sz w:val="21"/>
          <w:szCs w:val="21"/>
        </w:rPr>
      </w:pPr>
      <w:r>
        <w:rPr>
          <w:rFonts w:hint="eastAsia" w:ascii="宋体" w:hAnsi="宋体" w:cs="宋体"/>
          <w:sz w:val="21"/>
          <w:szCs w:val="21"/>
        </w:rPr>
        <w:t>向采购人提供热线、邮件、网络、上门等服务方式的咨询解答和技术支持服务。</w:t>
      </w:r>
    </w:p>
    <w:p w14:paraId="7A4C5407">
      <w:pPr>
        <w:pStyle w:val="201"/>
        <w:spacing w:line="400" w:lineRule="exact"/>
        <w:ind w:firstLine="420"/>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en-US" w:eastAsia="zh-CN"/>
        </w:rPr>
        <w:t>6</w:t>
      </w:r>
      <w:r>
        <w:rPr>
          <w:rFonts w:hint="eastAsia" w:ascii="宋体" w:hAnsi="宋体" w:cs="宋体"/>
          <w:sz w:val="21"/>
          <w:szCs w:val="21"/>
        </w:rPr>
        <w:t>培训</w:t>
      </w:r>
    </w:p>
    <w:p w14:paraId="60E99B88">
      <w:pPr>
        <w:pStyle w:val="201"/>
        <w:spacing w:line="400" w:lineRule="exact"/>
        <w:ind w:firstLine="420"/>
        <w:rPr>
          <w:rFonts w:ascii="宋体" w:hAnsi="宋体" w:cs="宋体"/>
          <w:sz w:val="21"/>
          <w:szCs w:val="21"/>
        </w:rPr>
      </w:pPr>
      <w:r>
        <w:rPr>
          <w:rFonts w:hint="eastAsia" w:ascii="宋体" w:hAnsi="宋体" w:cs="宋体"/>
          <w:sz w:val="21"/>
          <w:szCs w:val="21"/>
        </w:rPr>
        <w:t>服务期内，为</w:t>
      </w:r>
      <w:r>
        <w:rPr>
          <w:rFonts w:hint="eastAsia" w:ascii="宋体" w:hAnsi="宋体" w:cs="宋体"/>
          <w:sz w:val="21"/>
          <w:szCs w:val="21"/>
          <w:lang w:eastAsia="zh-CN"/>
        </w:rPr>
        <w:t>采购人无条件</w:t>
      </w:r>
      <w:r>
        <w:rPr>
          <w:rFonts w:hint="eastAsia" w:ascii="宋体" w:hAnsi="宋体" w:cs="宋体"/>
          <w:sz w:val="21"/>
          <w:szCs w:val="21"/>
        </w:rPr>
        <w:t>提供数据库培训等活动一年内不少于2次，具体时间和形式，双方协商确认。</w:t>
      </w:r>
    </w:p>
    <w:p w14:paraId="44C8C204">
      <w:pPr>
        <w:pStyle w:val="201"/>
        <w:spacing w:line="400" w:lineRule="exact"/>
        <w:ind w:firstLine="420"/>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en-US" w:eastAsia="zh-CN"/>
        </w:rPr>
        <w:t>7</w:t>
      </w:r>
      <w:r>
        <w:rPr>
          <w:rFonts w:hint="eastAsia" w:ascii="宋体" w:hAnsi="宋体" w:cs="宋体"/>
          <w:sz w:val="21"/>
          <w:szCs w:val="21"/>
        </w:rPr>
        <w:t>数据统计</w:t>
      </w:r>
    </w:p>
    <w:p w14:paraId="47280C00">
      <w:pPr>
        <w:pStyle w:val="201"/>
        <w:spacing w:line="400" w:lineRule="exact"/>
        <w:ind w:firstLine="420"/>
        <w:rPr>
          <w:rFonts w:ascii="宋体" w:hAnsi="宋体" w:cs="宋体"/>
          <w:sz w:val="21"/>
          <w:szCs w:val="21"/>
        </w:rPr>
      </w:pPr>
      <w:r>
        <w:rPr>
          <w:rFonts w:hint="eastAsia" w:ascii="宋体" w:hAnsi="宋体" w:cs="宋体"/>
          <w:sz w:val="21"/>
          <w:szCs w:val="21"/>
        </w:rPr>
        <w:t>根据采购人要求定期提供数据库使用统计。</w:t>
      </w:r>
    </w:p>
    <w:p w14:paraId="6ECFCA6A">
      <w:pPr>
        <w:pStyle w:val="201"/>
        <w:spacing w:line="400" w:lineRule="exact"/>
        <w:ind w:firstLine="420"/>
        <w:rPr>
          <w:rFonts w:ascii="宋体" w:hAnsi="宋体" w:cs="宋体"/>
          <w:sz w:val="21"/>
          <w:szCs w:val="21"/>
        </w:rPr>
      </w:pPr>
      <w:r>
        <w:rPr>
          <w:rFonts w:hint="eastAsia" w:ascii="宋体" w:hAnsi="宋体" w:cs="宋体"/>
          <w:sz w:val="21"/>
          <w:szCs w:val="21"/>
        </w:rPr>
        <w:t>5.服务期限：202</w:t>
      </w:r>
      <w:r>
        <w:rPr>
          <w:rFonts w:hint="eastAsia" w:ascii="宋体" w:hAnsi="宋体" w:cs="宋体"/>
          <w:sz w:val="21"/>
          <w:szCs w:val="21"/>
          <w:lang w:val="en-US" w:eastAsia="zh-CN"/>
        </w:rPr>
        <w:t>6</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月1日至2026年</w:t>
      </w:r>
      <w:r>
        <w:rPr>
          <w:rFonts w:hint="eastAsia" w:ascii="宋体" w:hAnsi="宋体" w:cs="宋体"/>
          <w:sz w:val="21"/>
          <w:szCs w:val="21"/>
          <w:lang w:val="en-US" w:eastAsia="zh-CN"/>
        </w:rPr>
        <w:t>12</w:t>
      </w:r>
      <w:r>
        <w:rPr>
          <w:rFonts w:hint="eastAsia" w:ascii="宋体" w:hAnsi="宋体" w:cs="宋体"/>
          <w:sz w:val="21"/>
          <w:szCs w:val="21"/>
        </w:rPr>
        <w:t>月31日。</w:t>
      </w:r>
    </w:p>
    <w:p w14:paraId="5C237C20">
      <w:pPr>
        <w:pStyle w:val="18"/>
        <w:spacing w:line="400" w:lineRule="exact"/>
        <w:rPr>
          <w:rFonts w:hAnsi="宋体" w:cs="宋体"/>
          <w:b/>
          <w:sz w:val="21"/>
          <w:szCs w:val="21"/>
        </w:rPr>
      </w:pPr>
      <w:r>
        <w:rPr>
          <w:rFonts w:hint="eastAsia" w:hAnsi="宋体" w:cs="宋体"/>
          <w:b/>
          <w:kern w:val="2"/>
          <w:sz w:val="21"/>
          <w:szCs w:val="21"/>
        </w:rPr>
        <w:br w:type="page"/>
      </w:r>
      <w:r>
        <w:rPr>
          <w:rFonts w:hint="eastAsia" w:hAnsi="宋体" w:cs="宋体"/>
          <w:b/>
          <w:kern w:val="2"/>
          <w:sz w:val="21"/>
          <w:szCs w:val="21"/>
        </w:rPr>
        <w:t xml:space="preserve">    </w:t>
      </w:r>
      <w:r>
        <w:rPr>
          <w:rFonts w:hint="eastAsia" w:hAnsi="宋体" w:cs="宋体"/>
          <w:b/>
          <w:sz w:val="21"/>
          <w:szCs w:val="21"/>
        </w:rPr>
        <w:t>标项十七（大为全球专利检索分析系统）：</w:t>
      </w:r>
    </w:p>
    <w:p w14:paraId="6E2415E2">
      <w:pPr>
        <w:pStyle w:val="397"/>
        <w:ind w:firstLine="420" w:firstLineChars="200"/>
        <w:rPr>
          <w:rFonts w:ascii="宋体" w:hAnsi="宋体" w:cs="宋体"/>
          <w:sz w:val="21"/>
          <w:szCs w:val="21"/>
        </w:rPr>
      </w:pPr>
      <w:r>
        <w:rPr>
          <w:rFonts w:hint="eastAsia" w:ascii="宋体" w:hAnsi="宋体" w:cs="宋体"/>
          <w:sz w:val="21"/>
          <w:szCs w:val="21"/>
        </w:rPr>
        <w:t>1.数据范围</w:t>
      </w:r>
    </w:p>
    <w:p w14:paraId="6C1C74FD">
      <w:pPr>
        <w:pStyle w:val="397"/>
        <w:ind w:firstLine="420" w:firstLineChars="200"/>
        <w:rPr>
          <w:rFonts w:hint="eastAsia" w:ascii="宋体" w:hAnsi="宋体" w:eastAsia="宋体" w:cs="宋体"/>
          <w:sz w:val="21"/>
          <w:szCs w:val="21"/>
          <w:lang w:val="en-US" w:eastAsia="zh-CN"/>
        </w:rPr>
      </w:pPr>
      <w:r>
        <w:rPr>
          <w:rFonts w:hint="eastAsia" w:ascii="宋体" w:hAnsi="宋体" w:cs="宋体"/>
          <w:sz w:val="21"/>
          <w:szCs w:val="21"/>
        </w:rPr>
        <w:t>1.1收录全球不低于170个国家/地区专利数据，不低于1.8亿件全球专利信息，117个国家/地区的法律事件，不低于56个国家/地区的代码化全文，100多个国家/地区的小语种优质英文翻译</w:t>
      </w:r>
      <w:r>
        <w:rPr>
          <w:rFonts w:hint="eastAsia" w:ascii="宋体" w:hAnsi="宋体" w:cs="宋体"/>
          <w:sz w:val="21"/>
          <w:szCs w:val="21"/>
          <w:lang w:val="en-US" w:eastAsia="zh-CN"/>
        </w:rPr>
        <w:t>.</w:t>
      </w:r>
    </w:p>
    <w:p w14:paraId="3F192424">
      <w:pPr>
        <w:pStyle w:val="397"/>
        <w:ind w:firstLine="420" w:firstLineChars="200"/>
        <w:rPr>
          <w:rFonts w:hint="eastAsia" w:ascii="宋体" w:hAnsi="宋体" w:eastAsia="宋体" w:cs="宋体"/>
          <w:sz w:val="21"/>
          <w:szCs w:val="21"/>
          <w:lang w:val="en-US" w:eastAsia="zh-CN"/>
        </w:rPr>
      </w:pPr>
      <w:r>
        <w:rPr>
          <w:rFonts w:hint="eastAsia" w:ascii="宋体" w:hAnsi="宋体" w:cs="宋体"/>
          <w:sz w:val="21"/>
          <w:szCs w:val="21"/>
        </w:rPr>
        <w:t>1.2支持提供ETSI、ITU、IEC、IEEE、ISO、CEN六大组织标准专利数据，经深加工的中国上市公司数据等</w:t>
      </w:r>
      <w:r>
        <w:rPr>
          <w:rFonts w:hint="eastAsia" w:ascii="宋体" w:hAnsi="宋体" w:cs="宋体"/>
          <w:sz w:val="21"/>
          <w:szCs w:val="21"/>
          <w:lang w:eastAsia="zh-CN"/>
        </w:rPr>
        <w:t>。</w:t>
      </w:r>
    </w:p>
    <w:p w14:paraId="49BD5670">
      <w:pPr>
        <w:pStyle w:val="397"/>
        <w:ind w:firstLine="420" w:firstLineChars="200"/>
        <w:rPr>
          <w:rFonts w:ascii="宋体" w:hAnsi="宋体" w:cs="宋体"/>
          <w:sz w:val="21"/>
          <w:szCs w:val="21"/>
        </w:rPr>
      </w:pPr>
      <w:r>
        <w:rPr>
          <w:rFonts w:hint="eastAsia" w:ascii="宋体" w:hAnsi="宋体" w:cs="宋体"/>
          <w:sz w:val="21"/>
          <w:szCs w:val="21"/>
        </w:rPr>
        <w:t>1.3支持全球范围内名称摘要的中文数据，全文在线即时中文翻译。</w:t>
      </w:r>
    </w:p>
    <w:p w14:paraId="230F7360">
      <w:pPr>
        <w:pStyle w:val="397"/>
        <w:ind w:firstLine="420" w:firstLineChars="200"/>
        <w:rPr>
          <w:rFonts w:ascii="宋体" w:hAnsi="宋体" w:cs="宋体"/>
          <w:sz w:val="21"/>
          <w:szCs w:val="21"/>
        </w:rPr>
      </w:pPr>
      <w:r>
        <w:rPr>
          <w:rFonts w:hint="eastAsia" w:ascii="宋体" w:hAnsi="宋体" w:cs="宋体"/>
          <w:sz w:val="21"/>
          <w:szCs w:val="21"/>
        </w:rPr>
        <w:t>2.数据更新：数据每日更新。</w:t>
      </w:r>
    </w:p>
    <w:p w14:paraId="76BE1446">
      <w:pPr>
        <w:pStyle w:val="397"/>
        <w:ind w:firstLine="420" w:firstLineChars="200"/>
        <w:rPr>
          <w:rFonts w:hint="eastAsia" w:ascii="宋体" w:hAnsi="宋体" w:eastAsia="宋体" w:cs="宋体"/>
          <w:sz w:val="21"/>
          <w:szCs w:val="21"/>
          <w:lang w:eastAsia="zh-CN"/>
        </w:rPr>
      </w:pPr>
      <w:r>
        <w:rPr>
          <w:rFonts w:hint="eastAsia" w:ascii="宋体" w:hAnsi="宋体" w:cs="宋体"/>
          <w:sz w:val="21"/>
          <w:szCs w:val="21"/>
        </w:rPr>
        <w:t>3.专利检索：支持预检索、DPI专利价值检索、AI语义检索、STEP检索、法律检索、图片检索、文献检索等检索方式</w:t>
      </w:r>
      <w:r>
        <w:rPr>
          <w:rFonts w:hint="eastAsia" w:ascii="宋体" w:hAnsi="宋体" w:cs="宋体"/>
          <w:sz w:val="21"/>
          <w:szCs w:val="21"/>
          <w:lang w:eastAsia="zh-CN"/>
        </w:rPr>
        <w:t>。</w:t>
      </w:r>
    </w:p>
    <w:p w14:paraId="53255693">
      <w:pPr>
        <w:pStyle w:val="397"/>
        <w:ind w:firstLine="420" w:firstLineChars="200"/>
        <w:rPr>
          <w:rFonts w:ascii="宋体" w:hAnsi="宋体" w:cs="宋体"/>
          <w:sz w:val="21"/>
          <w:szCs w:val="21"/>
        </w:rPr>
      </w:pPr>
      <w:r>
        <w:rPr>
          <w:rFonts w:hint="eastAsia" w:ascii="宋体" w:hAnsi="宋体" w:cs="宋体"/>
          <w:sz w:val="21"/>
          <w:szCs w:val="21"/>
        </w:rPr>
        <w:t>4.检索助手：支持IPC分类、CPC分类、LOC分类、FI分类、F-term分类、国民经济分类、战略</w:t>
      </w:r>
      <w:r>
        <w:rPr>
          <w:rFonts w:hint="eastAsia" w:ascii="宋体" w:hAnsi="宋体" w:cs="宋体"/>
          <w:sz w:val="21"/>
          <w:szCs w:val="21"/>
          <w:lang w:eastAsia="zh-CN"/>
        </w:rPr>
        <w:t>性</w:t>
      </w:r>
      <w:r>
        <w:rPr>
          <w:rFonts w:hint="eastAsia" w:ascii="宋体" w:hAnsi="宋体" w:cs="宋体"/>
          <w:sz w:val="21"/>
          <w:szCs w:val="21"/>
        </w:rPr>
        <w:t>新兴产业分类、数字经济核心产业分类、绿色低碳技术分类等不低于9种分类方式；提供申请人助手，至少包括中国上市公司分子公司数据，并提供申请人分组功能，可以将其保存到用户自定义分组，用于检索和合并分析。</w:t>
      </w:r>
    </w:p>
    <w:p w14:paraId="262FE7E9">
      <w:pPr>
        <w:pStyle w:val="397"/>
        <w:ind w:firstLine="420" w:firstLineChars="200"/>
        <w:rPr>
          <w:rFonts w:ascii="宋体" w:hAnsi="宋体" w:cs="宋体"/>
          <w:sz w:val="21"/>
          <w:szCs w:val="21"/>
        </w:rPr>
      </w:pPr>
      <w:r>
        <w:rPr>
          <w:rFonts w:hint="eastAsia" w:ascii="宋体" w:hAnsi="宋体" w:cs="宋体"/>
          <w:sz w:val="21"/>
          <w:szCs w:val="21"/>
        </w:rPr>
        <w:t xml:space="preserve">5.专利阅读：支持按照受理局、申请日、公开(公告)日、文本类型等设定多种合并顺序和方式；支持利用AI助手提供AI摘要、术语解释、关键词提取、同义词扩展、语义检索等智能辅助功能；支持云笔记功能，将专利内容或创新灵感保存到云笔记，支持添加编辑文本内容、图片等，可选择笔记显示模式以支撑边阅读边记录；支持专利价值评估，用雷达图展示专利五大价值维度的分数，并详细显示各个指标的数值，为专利价值评估提供参考。 </w:t>
      </w:r>
    </w:p>
    <w:p w14:paraId="52C664EF">
      <w:pPr>
        <w:pStyle w:val="397"/>
        <w:ind w:firstLine="420" w:firstLineChars="200"/>
        <w:rPr>
          <w:rFonts w:ascii="宋体" w:hAnsi="宋体" w:cs="宋体"/>
          <w:sz w:val="21"/>
          <w:szCs w:val="21"/>
        </w:rPr>
      </w:pPr>
      <w:r>
        <w:rPr>
          <w:rFonts w:hint="eastAsia" w:ascii="宋体" w:hAnsi="宋体" w:cs="宋体"/>
          <w:sz w:val="21"/>
          <w:szCs w:val="21"/>
        </w:rPr>
        <w:t>6.数据导出：系统支持专利单件或批量下载，下载格式包括excel、csv、pdf、word、txt五种下载格式，下载字段可自定义选择，工作空间支持标引项的下载；支持导出AI查新报告和专利价值评估报告。</w:t>
      </w:r>
    </w:p>
    <w:p w14:paraId="4740C188">
      <w:pPr>
        <w:pStyle w:val="397"/>
        <w:ind w:firstLine="420" w:firstLineChars="200"/>
        <w:rPr>
          <w:rFonts w:ascii="宋体" w:hAnsi="宋体" w:cs="宋体"/>
          <w:sz w:val="21"/>
          <w:szCs w:val="21"/>
        </w:rPr>
      </w:pPr>
      <w:r>
        <w:rPr>
          <w:rFonts w:hint="eastAsia" w:ascii="宋体" w:hAnsi="宋体" w:cs="宋体"/>
          <w:sz w:val="21"/>
          <w:szCs w:val="21"/>
        </w:rPr>
        <w:t>7.工作空间：支持工作空间中新建项目、外部数据导入、项目协作权限管控、交互空间、AI标引、同族扩展等，实现多种角色之间高效协同标引；同时可以实现项目加密，操作该项目时需要输入密码，最大限度</w:t>
      </w:r>
      <w:r>
        <w:rPr>
          <w:rFonts w:hint="eastAsia" w:ascii="宋体" w:hAnsi="宋体" w:cs="宋体"/>
          <w:sz w:val="21"/>
          <w:szCs w:val="21"/>
          <w:lang w:eastAsia="zh-CN"/>
        </w:rPr>
        <w:t>地</w:t>
      </w:r>
      <w:r>
        <w:rPr>
          <w:rFonts w:hint="eastAsia" w:ascii="宋体" w:hAnsi="宋体" w:cs="宋体"/>
          <w:sz w:val="21"/>
          <w:szCs w:val="21"/>
        </w:rPr>
        <w:t>保护项目数据的安全。单项目可支持导入不低于1000万条专利数据，项目内单导航节点支持导入100万条专利数据，每个分类节点均支持分析报告管理，包括分析报告的上传、在线预览、下载、编辑公开权限等。</w:t>
      </w:r>
    </w:p>
    <w:p w14:paraId="139DF480">
      <w:pPr>
        <w:pStyle w:val="397"/>
        <w:ind w:firstLine="420" w:firstLineChars="200"/>
        <w:rPr>
          <w:rFonts w:ascii="宋体" w:hAnsi="宋体" w:cs="宋体"/>
          <w:sz w:val="21"/>
          <w:szCs w:val="21"/>
        </w:rPr>
      </w:pPr>
      <w:r>
        <w:rPr>
          <w:rFonts w:hint="eastAsia" w:ascii="宋体" w:hAnsi="宋体" w:cs="宋体"/>
          <w:sz w:val="21"/>
          <w:szCs w:val="21"/>
        </w:rPr>
        <w:t>8.专利监控：支持新增专利监控，自定义设置内容和周期，信息变更可通过Email/微信自动提醒相关人，实现专利预警；支持查看和操作监控列表，查看监控动态。</w:t>
      </w:r>
    </w:p>
    <w:p w14:paraId="7DDA32BE">
      <w:pPr>
        <w:pStyle w:val="397"/>
        <w:ind w:firstLine="420" w:firstLineChars="200"/>
        <w:rPr>
          <w:rFonts w:ascii="宋体" w:hAnsi="宋体" w:cs="宋体"/>
          <w:sz w:val="21"/>
          <w:szCs w:val="21"/>
        </w:rPr>
      </w:pPr>
      <w:r>
        <w:rPr>
          <w:rFonts w:hint="eastAsia" w:ascii="宋体" w:hAnsi="宋体" w:cs="宋体"/>
          <w:sz w:val="21"/>
          <w:szCs w:val="21"/>
        </w:rPr>
        <w:t>9.专利分析：支持全景报告、科技报告、机构报告、竞争报告等各类报告模板；支持百余种图表分析（一维、二维、三维</w:t>
      </w:r>
      <w:r>
        <w:rPr>
          <w:rFonts w:hint="eastAsia" w:ascii="宋体" w:hAnsi="宋体" w:cs="宋体"/>
          <w:sz w:val="21"/>
          <w:szCs w:val="21"/>
          <w:lang w:eastAsia="zh-CN"/>
        </w:rPr>
        <w:t>，</w:t>
      </w:r>
      <w:r>
        <w:rPr>
          <w:rFonts w:hint="eastAsia" w:ascii="宋体" w:hAnsi="宋体" w:cs="宋体"/>
          <w:sz w:val="21"/>
          <w:szCs w:val="21"/>
        </w:rPr>
        <w:t>以及多维图表分析，支持内嵌柱状图+折线图、气泡饼图、堆叠柱状图+折线图等组合图形）；专利下载支持word、ppt，分析图表的导出支持Excel和图片，其中Excel中修改数据可以联动修改Excel中的分析。</w:t>
      </w:r>
    </w:p>
    <w:p w14:paraId="4566A24C">
      <w:pPr>
        <w:pStyle w:val="397"/>
        <w:ind w:firstLine="420" w:firstLineChars="200"/>
        <w:rPr>
          <w:rFonts w:ascii="宋体" w:hAnsi="宋体" w:cs="宋体"/>
          <w:sz w:val="21"/>
          <w:szCs w:val="21"/>
        </w:rPr>
      </w:pPr>
      <w:r>
        <w:rPr>
          <w:rFonts w:hint="eastAsia" w:ascii="宋体" w:hAnsi="宋体" w:cs="宋体"/>
          <w:sz w:val="21"/>
          <w:szCs w:val="21"/>
        </w:rPr>
        <w:t>10.个人中心：支持申请人分组并实现分组的检索、创建、编辑、删除、导入、导出、分享等功能。支持云笔记功能，能随时记录、整理和保管专利相关内容和创新成果，提供全文搜索功能，并能导出笔记。</w:t>
      </w:r>
    </w:p>
    <w:p w14:paraId="7E28C4AF">
      <w:pPr>
        <w:pStyle w:val="397"/>
        <w:ind w:firstLine="420" w:firstLineChars="200"/>
        <w:rPr>
          <w:rFonts w:ascii="宋体" w:hAnsi="宋体" w:cs="宋体"/>
          <w:sz w:val="21"/>
          <w:szCs w:val="21"/>
        </w:rPr>
      </w:pPr>
      <w:r>
        <w:rPr>
          <w:rFonts w:hint="eastAsia" w:ascii="宋体" w:hAnsi="宋体" w:cs="宋体"/>
          <w:sz w:val="21"/>
          <w:szCs w:val="21"/>
        </w:rPr>
        <w:t xml:space="preserve">11.上市公司排行榜：须包含上交所、深交所、北京证券交易所的近5000家上市公司的数据，支持按照证券板块、股票代码、注册地、所属行业等的检索，对上市公司做详细的介绍和分析。 </w:t>
      </w:r>
    </w:p>
    <w:p w14:paraId="2DB9DDA3">
      <w:pPr>
        <w:pStyle w:val="397"/>
        <w:ind w:firstLine="420" w:firstLineChars="200"/>
        <w:rPr>
          <w:rFonts w:ascii="宋体" w:hAnsi="宋体" w:cs="宋体"/>
          <w:sz w:val="21"/>
          <w:szCs w:val="21"/>
        </w:rPr>
      </w:pPr>
      <w:r>
        <w:rPr>
          <w:rFonts w:hint="eastAsia" w:ascii="宋体" w:hAnsi="宋体" w:cs="宋体"/>
          <w:sz w:val="21"/>
          <w:szCs w:val="21"/>
        </w:rPr>
        <w:t>12.发明专利年度排行榜：须包含企业年度排行榜、大学年度排行榜、研究所年度排行榜、外国在华申请年度排行、代理机构年度排行。</w:t>
      </w:r>
    </w:p>
    <w:p w14:paraId="494F17E5">
      <w:pPr>
        <w:pStyle w:val="397"/>
        <w:ind w:firstLine="420" w:firstLineChars="200"/>
        <w:rPr>
          <w:rFonts w:ascii="宋体" w:hAnsi="宋体" w:cs="宋体"/>
          <w:sz w:val="21"/>
          <w:szCs w:val="21"/>
        </w:rPr>
      </w:pPr>
      <w:r>
        <w:rPr>
          <w:rFonts w:hint="eastAsia" w:ascii="宋体" w:hAnsi="宋体" w:cs="宋体"/>
          <w:sz w:val="21"/>
          <w:szCs w:val="21"/>
        </w:rPr>
        <w:t>13.AI创新实验室：实现AI智能检索，</w:t>
      </w:r>
      <w:r>
        <w:rPr>
          <w:rFonts w:hint="eastAsia" w:ascii="宋体" w:hAnsi="宋体" w:cs="宋体"/>
          <w:sz w:val="21"/>
          <w:szCs w:val="21"/>
          <w:lang w:eastAsia="zh-CN"/>
        </w:rPr>
        <w:t>自</w:t>
      </w:r>
      <w:r>
        <w:rPr>
          <w:rFonts w:hint="eastAsia" w:ascii="宋体" w:hAnsi="宋体" w:cs="宋体"/>
          <w:sz w:val="21"/>
          <w:szCs w:val="21"/>
        </w:rPr>
        <w:t>动提炼、扩展检索要素，然后自动生成检索式；支持AI查新检索，通过语义向量模型对输入的创新点或技术方案进行深度分析，深度评估新颖性；实现AI技术问答，以对话的形式辅助研发人员进行创新的发散思考，从多个维度提供启发性的回答，帮助用户进一步针对技术方案进行发掘；实现AI交底书助手，基于大模型在用户简短的技术核心文本基础上扩展生成更丰富的内容，满足专利技术方案撰写的目的。</w:t>
      </w:r>
    </w:p>
    <w:p w14:paraId="511AEACC">
      <w:pPr>
        <w:pStyle w:val="397"/>
        <w:ind w:firstLine="420" w:firstLineChars="200"/>
        <w:rPr>
          <w:rFonts w:ascii="宋体" w:hAnsi="宋体" w:cs="宋体"/>
          <w:sz w:val="21"/>
          <w:szCs w:val="21"/>
        </w:rPr>
      </w:pPr>
      <w:r>
        <w:rPr>
          <w:rFonts w:hint="eastAsia" w:ascii="宋体" w:hAnsi="宋体" w:cs="宋体"/>
          <w:sz w:val="21"/>
          <w:szCs w:val="21"/>
        </w:rPr>
        <w:t>14.服务市场：提供竞争报告模块，支持多个主体或者多个分组进行全面竞争分析；提供全国3117所高校专题库，直观展示按照各个分类体系下各高校的专利情况；提供电动汽车/锂电池/光伏等热门技术领域专利专题库。</w:t>
      </w:r>
    </w:p>
    <w:p w14:paraId="13B4809E">
      <w:pPr>
        <w:pStyle w:val="397"/>
        <w:ind w:firstLine="420" w:firstLineChars="200"/>
        <w:rPr>
          <w:rFonts w:ascii="宋体" w:hAnsi="宋体" w:cs="宋体"/>
          <w:sz w:val="21"/>
          <w:szCs w:val="21"/>
        </w:rPr>
      </w:pPr>
      <w:r>
        <w:rPr>
          <w:rFonts w:hint="eastAsia" w:ascii="宋体" w:hAnsi="宋体" w:cs="宋体"/>
          <w:sz w:val="21"/>
          <w:szCs w:val="21"/>
        </w:rPr>
        <w:t>15.服务内容：</w:t>
      </w:r>
    </w:p>
    <w:p w14:paraId="1F2F7C58">
      <w:pPr>
        <w:pStyle w:val="397"/>
        <w:ind w:firstLine="420" w:firstLineChars="200"/>
        <w:rPr>
          <w:rFonts w:ascii="宋体" w:hAnsi="宋体" w:cs="宋体"/>
          <w:sz w:val="21"/>
          <w:szCs w:val="21"/>
        </w:rPr>
      </w:pPr>
      <w:r>
        <w:rPr>
          <w:rFonts w:hint="eastAsia" w:ascii="宋体" w:hAnsi="宋体" w:cs="宋体"/>
          <w:sz w:val="21"/>
          <w:szCs w:val="21"/>
        </w:rPr>
        <w:t>15.1服务期内，为采购人</w:t>
      </w:r>
      <w:r>
        <w:rPr>
          <w:rFonts w:hint="eastAsia" w:ascii="宋体" w:hAnsi="宋体" w:cs="宋体"/>
          <w:sz w:val="21"/>
          <w:szCs w:val="21"/>
          <w:lang w:eastAsia="zh-CN"/>
        </w:rPr>
        <w:t>无条件</w:t>
      </w:r>
      <w:r>
        <w:rPr>
          <w:rFonts w:hint="eastAsia" w:ascii="宋体" w:hAnsi="宋体" w:cs="宋体"/>
          <w:sz w:val="21"/>
          <w:szCs w:val="21"/>
        </w:rPr>
        <w:t>提供数据库培训等活动一年内不少于2次，具体时间和形式，双方协商确认。</w:t>
      </w:r>
    </w:p>
    <w:p w14:paraId="59480CA2">
      <w:pPr>
        <w:pStyle w:val="397"/>
        <w:ind w:firstLine="420" w:firstLineChars="200"/>
        <w:rPr>
          <w:rFonts w:ascii="宋体" w:hAnsi="宋体" w:cs="宋体"/>
          <w:sz w:val="21"/>
          <w:szCs w:val="21"/>
        </w:rPr>
      </w:pPr>
      <w:r>
        <w:rPr>
          <w:rFonts w:hint="eastAsia" w:ascii="宋体" w:hAnsi="宋体" w:cs="宋体"/>
          <w:sz w:val="21"/>
          <w:szCs w:val="21"/>
        </w:rPr>
        <w:t>15.2定期提供数据库使用统计报告。</w:t>
      </w:r>
    </w:p>
    <w:p w14:paraId="28283DA3">
      <w:pPr>
        <w:pStyle w:val="397"/>
        <w:numPr>
          <w:ilvl w:val="0"/>
          <w:numId w:val="0"/>
        </w:numPr>
        <w:ind w:firstLine="420" w:firstLineChars="200"/>
        <w:rPr>
          <w:rFonts w:hint="eastAsia" w:ascii="宋体" w:hAnsi="宋体" w:cs="宋体"/>
          <w:sz w:val="21"/>
          <w:szCs w:val="21"/>
          <w:lang w:eastAsia="zh-CN"/>
        </w:rPr>
      </w:pPr>
      <w:r>
        <w:rPr>
          <w:rFonts w:hint="eastAsia" w:ascii="宋体" w:hAnsi="宋体" w:cs="宋体"/>
          <w:sz w:val="21"/>
          <w:szCs w:val="21"/>
          <w:lang w:val="en-US" w:eastAsia="zh-CN"/>
        </w:rPr>
        <w:t>16.</w:t>
      </w:r>
      <w:r>
        <w:rPr>
          <w:rFonts w:hint="eastAsia" w:ascii="宋体" w:hAnsi="宋体" w:cs="宋体"/>
          <w:sz w:val="21"/>
          <w:szCs w:val="21"/>
        </w:rPr>
        <w:t>校园IP范围内访问登录</w:t>
      </w:r>
      <w:r>
        <w:rPr>
          <w:rFonts w:hint="eastAsia" w:ascii="宋体" w:hAnsi="宋体" w:cs="宋体"/>
          <w:sz w:val="21"/>
          <w:szCs w:val="21"/>
          <w:lang w:eastAsia="zh-CN"/>
        </w:rPr>
        <w:t>。</w:t>
      </w:r>
    </w:p>
    <w:p w14:paraId="06AA68EC">
      <w:pPr>
        <w:pStyle w:val="397"/>
        <w:numPr>
          <w:ilvl w:val="0"/>
          <w:numId w:val="0"/>
        </w:numPr>
        <w:ind w:firstLine="420" w:firstLineChars="200"/>
        <w:rPr>
          <w:rFonts w:hint="eastAsia" w:ascii="宋体" w:hAnsi="宋体" w:cs="宋体"/>
          <w:sz w:val="21"/>
          <w:szCs w:val="21"/>
          <w:lang w:eastAsia="zh-CN"/>
        </w:rPr>
      </w:pPr>
      <w:r>
        <w:rPr>
          <w:rFonts w:hint="eastAsia" w:ascii="宋体" w:hAnsi="宋体" w:cs="宋体"/>
          <w:sz w:val="21"/>
          <w:szCs w:val="21"/>
          <w:lang w:val="en-US" w:eastAsia="zh-CN"/>
        </w:rPr>
        <w:t>17.</w:t>
      </w:r>
      <w:r>
        <w:rPr>
          <w:rFonts w:hint="eastAsia" w:ascii="宋体" w:hAnsi="宋体" w:cs="宋体"/>
          <w:sz w:val="21"/>
          <w:szCs w:val="21"/>
          <w:lang w:eastAsia="zh-CN"/>
        </w:rPr>
        <w:t>提供网络、电话及E-mail支持服务，响应时间不超过24小时。</w:t>
      </w:r>
    </w:p>
    <w:p w14:paraId="72037FC2">
      <w:pPr>
        <w:pStyle w:val="397"/>
        <w:ind w:firstLine="420" w:firstLineChars="200"/>
        <w:rPr>
          <w:rFonts w:ascii="宋体" w:hAnsi="宋体" w:cs="宋体"/>
          <w:sz w:val="21"/>
          <w:szCs w:val="21"/>
        </w:rPr>
      </w:pPr>
      <w:r>
        <w:rPr>
          <w:rFonts w:hint="eastAsia" w:ascii="宋体" w:hAnsi="宋体" w:cs="宋体"/>
          <w:sz w:val="21"/>
          <w:szCs w:val="21"/>
          <w:lang w:val="en-US" w:eastAsia="zh-CN"/>
        </w:rPr>
        <w:t>18.</w:t>
      </w:r>
      <w:r>
        <w:rPr>
          <w:rFonts w:hint="eastAsia" w:ascii="宋体" w:hAnsi="宋体" w:cs="宋体"/>
          <w:sz w:val="21"/>
          <w:szCs w:val="21"/>
        </w:rPr>
        <w:t>服务期限：202</w:t>
      </w:r>
      <w:r>
        <w:rPr>
          <w:rFonts w:hint="eastAsia" w:ascii="宋体" w:hAnsi="宋体" w:cs="宋体"/>
          <w:sz w:val="21"/>
          <w:szCs w:val="21"/>
          <w:lang w:val="en-US" w:eastAsia="zh-CN"/>
        </w:rPr>
        <w:t>6</w:t>
      </w:r>
      <w:r>
        <w:rPr>
          <w:rFonts w:hint="eastAsia" w:ascii="宋体" w:hAnsi="宋体" w:cs="宋体"/>
          <w:sz w:val="21"/>
          <w:szCs w:val="21"/>
        </w:rPr>
        <w:t>年</w:t>
      </w:r>
      <w:r>
        <w:rPr>
          <w:rFonts w:hint="eastAsia" w:ascii="宋体" w:hAnsi="宋体" w:cs="宋体"/>
          <w:sz w:val="21"/>
          <w:szCs w:val="21"/>
          <w:lang w:val="en-US" w:eastAsia="zh-CN"/>
        </w:rPr>
        <w:t>1</w:t>
      </w:r>
      <w:r>
        <w:rPr>
          <w:rFonts w:hint="eastAsia" w:ascii="宋体" w:hAnsi="宋体" w:cs="宋体"/>
          <w:sz w:val="21"/>
          <w:szCs w:val="21"/>
        </w:rPr>
        <w:t>月1日至2026年</w:t>
      </w:r>
      <w:r>
        <w:rPr>
          <w:rFonts w:hint="eastAsia" w:ascii="宋体" w:hAnsi="宋体" w:cs="宋体"/>
          <w:sz w:val="21"/>
          <w:szCs w:val="21"/>
          <w:lang w:val="en-US" w:eastAsia="zh-CN"/>
        </w:rPr>
        <w:t>12</w:t>
      </w:r>
      <w:r>
        <w:rPr>
          <w:rFonts w:hint="eastAsia" w:ascii="宋体" w:hAnsi="宋体" w:cs="宋体"/>
          <w:sz w:val="21"/>
          <w:szCs w:val="21"/>
        </w:rPr>
        <w:t>月31日。</w:t>
      </w:r>
    </w:p>
    <w:p w14:paraId="752AEA30">
      <w:pPr>
        <w:spacing w:line="400" w:lineRule="exact"/>
        <w:rPr>
          <w:rFonts w:ascii="宋体" w:hAnsi="宋体" w:cs="宋体"/>
          <w:szCs w:val="21"/>
        </w:rPr>
      </w:pPr>
    </w:p>
    <w:p w14:paraId="048A4D5E">
      <w:pPr>
        <w:spacing w:line="400" w:lineRule="exact"/>
        <w:rPr>
          <w:rFonts w:ascii="宋体" w:hAnsi="宋体" w:cs="宋体"/>
          <w:b/>
          <w:szCs w:val="21"/>
        </w:rPr>
      </w:pPr>
      <w:r>
        <w:rPr>
          <w:rFonts w:hint="eastAsia" w:ascii="宋体" w:hAnsi="宋体" w:cs="宋体"/>
          <w:b/>
          <w:szCs w:val="21"/>
        </w:rPr>
        <w:br w:type="page"/>
      </w:r>
      <w:r>
        <w:rPr>
          <w:rFonts w:hint="eastAsia" w:ascii="宋体" w:hAnsi="宋体" w:cs="宋体"/>
          <w:b/>
          <w:szCs w:val="21"/>
        </w:rPr>
        <w:t xml:space="preserve">    标项十八（泛研全球科研项目数据库）：</w:t>
      </w:r>
    </w:p>
    <w:p w14:paraId="4FACEFEE">
      <w:pPr>
        <w:numPr>
          <w:ilvl w:val="255"/>
          <w:numId w:val="0"/>
        </w:num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内容参数</w:t>
      </w:r>
      <w:r>
        <w:rPr>
          <w:rFonts w:hint="eastAsia" w:ascii="宋体" w:hAnsi="宋体" w:cs="宋体"/>
          <w:szCs w:val="21"/>
        </w:rPr>
        <w:t>：</w:t>
      </w:r>
    </w:p>
    <w:p w14:paraId="1FBEACCC">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需要</w:t>
      </w:r>
      <w:r>
        <w:rPr>
          <w:rFonts w:hint="eastAsia" w:ascii="宋体" w:hAnsi="宋体" w:cs="宋体"/>
          <w:szCs w:val="21"/>
        </w:rPr>
        <w:t xml:space="preserve">致力于为科学工作者、学习者打造基于科研项目为核心的综合情报门户平台，提供情报数据库、情报分析系统、科研工具及领先的科研资讯等服务。 </w:t>
      </w:r>
      <w:r>
        <w:rPr>
          <w:rFonts w:hint="eastAsia" w:ascii="宋体" w:hAnsi="宋体" w:cs="宋体"/>
          <w:szCs w:val="21"/>
          <w:lang w:val="en-US" w:eastAsia="zh-CN"/>
        </w:rPr>
        <w:t>包含</w:t>
      </w:r>
      <w:r>
        <w:rPr>
          <w:rFonts w:hint="eastAsia" w:ascii="宋体" w:hAnsi="宋体" w:cs="宋体"/>
          <w:szCs w:val="21"/>
        </w:rPr>
        <w:t>“全球科研项目数据库”、“全球科研项目指南库”、“科技奖项竞赛数据库”、“科技专家人才数据库”、“全球科研信息资讯数据库”、“科研工具集系统”六大情报服务矩阵的数十种子库及工具系统。</w:t>
      </w:r>
    </w:p>
    <w:p w14:paraId="51A936D2">
      <w:pPr>
        <w:numPr>
          <w:ilvl w:val="255"/>
          <w:numId w:val="0"/>
        </w:numPr>
        <w:spacing w:line="400" w:lineRule="exact"/>
        <w:ind w:firstLine="420" w:firstLineChars="200"/>
        <w:rPr>
          <w:rFonts w:ascii="宋体" w:hAnsi="宋体" w:cs="宋体"/>
          <w:szCs w:val="21"/>
        </w:rPr>
      </w:pPr>
      <w:r>
        <w:rPr>
          <w:rFonts w:hint="eastAsia" w:ascii="宋体" w:hAnsi="宋体" w:cs="宋体"/>
          <w:szCs w:val="21"/>
        </w:rPr>
        <w:t>科研大数据平台</w:t>
      </w:r>
      <w:r>
        <w:rPr>
          <w:rFonts w:hint="eastAsia" w:ascii="宋体" w:hAnsi="宋体" w:cs="宋体"/>
          <w:szCs w:val="21"/>
          <w:lang w:val="en-US" w:eastAsia="zh-CN"/>
        </w:rPr>
        <w:t>需</w:t>
      </w:r>
      <w:r>
        <w:rPr>
          <w:rFonts w:hint="eastAsia" w:ascii="宋体" w:hAnsi="宋体" w:cs="宋体"/>
          <w:szCs w:val="21"/>
        </w:rPr>
        <w:t>汇聚世界上二十多个科技发达国家和地区的1000多万个受资助科研项目数据以及3000多万条科研成果链接，从上世纪60年代至今，学科覆盖领域全，动态实时更新，同时涵盖了一些人才专家、竞赛奖项信息及科研工具分析系统。</w:t>
      </w:r>
    </w:p>
    <w:p w14:paraId="2905DEB0">
      <w:pPr>
        <w:numPr>
          <w:ilvl w:val="255"/>
          <w:numId w:val="0"/>
        </w:numPr>
        <w:spacing w:line="400" w:lineRule="exact"/>
        <w:ind w:firstLine="420" w:firstLineChars="200"/>
        <w:rPr>
          <w:rFonts w:ascii="宋体" w:hAnsi="宋体" w:cs="宋体"/>
          <w:szCs w:val="21"/>
        </w:rPr>
      </w:pPr>
      <w:r>
        <w:rPr>
          <w:rFonts w:hint="eastAsia" w:ascii="宋体" w:hAnsi="宋体" w:cs="宋体"/>
          <w:szCs w:val="21"/>
        </w:rPr>
        <w:t>1.1收录范围广、数据规模大，更新效率领先。</w:t>
      </w:r>
    </w:p>
    <w:p w14:paraId="25D70F6C">
      <w:pPr>
        <w:numPr>
          <w:ilvl w:val="255"/>
          <w:numId w:val="0"/>
        </w:numPr>
        <w:spacing w:line="400" w:lineRule="exact"/>
        <w:ind w:firstLine="420" w:firstLineChars="200"/>
        <w:rPr>
          <w:rFonts w:ascii="宋体" w:hAnsi="宋体" w:cs="宋体"/>
          <w:szCs w:val="21"/>
        </w:rPr>
      </w:pPr>
      <w:r>
        <w:rPr>
          <w:rFonts w:hint="eastAsia" w:ascii="宋体" w:hAnsi="宋体" w:cs="宋体"/>
          <w:szCs w:val="21"/>
        </w:rPr>
        <w:t>1.2实现以科研项目视角为入口直达相关科研成果（含文献、科技报告）链接指向，构建了一种新型的科研学术路径，且提供全球文献服务。</w:t>
      </w:r>
    </w:p>
    <w:p w14:paraId="3D808305">
      <w:pPr>
        <w:numPr>
          <w:ilvl w:val="255"/>
          <w:numId w:val="0"/>
        </w:numPr>
        <w:spacing w:line="400" w:lineRule="exact"/>
        <w:ind w:firstLine="420" w:firstLineChars="200"/>
        <w:rPr>
          <w:rFonts w:ascii="宋体" w:hAnsi="宋体" w:cs="宋体"/>
          <w:szCs w:val="21"/>
        </w:rPr>
      </w:pPr>
      <w:r>
        <w:rPr>
          <w:rFonts w:hint="eastAsia" w:ascii="宋体" w:hAnsi="宋体" w:cs="宋体"/>
          <w:szCs w:val="21"/>
        </w:rPr>
        <w:t>1.3实现多种维度交互分析。</w:t>
      </w:r>
    </w:p>
    <w:p w14:paraId="24E14FE8">
      <w:pPr>
        <w:numPr>
          <w:ilvl w:val="255"/>
          <w:numId w:val="0"/>
        </w:numPr>
        <w:spacing w:line="400" w:lineRule="exact"/>
        <w:ind w:firstLine="420" w:firstLineChars="200"/>
        <w:rPr>
          <w:rFonts w:ascii="宋体" w:hAnsi="宋体" w:cs="宋体"/>
          <w:szCs w:val="21"/>
        </w:rPr>
      </w:pPr>
      <w:r>
        <w:rPr>
          <w:rFonts w:hint="eastAsia" w:ascii="宋体" w:hAnsi="宋体" w:cs="宋体"/>
          <w:szCs w:val="21"/>
        </w:rPr>
        <w:t>2.主要功能：</w:t>
      </w:r>
    </w:p>
    <w:p w14:paraId="7F033432">
      <w:pPr>
        <w:numPr>
          <w:ilvl w:val="255"/>
          <w:numId w:val="0"/>
        </w:numPr>
        <w:spacing w:line="400" w:lineRule="exact"/>
        <w:ind w:firstLine="420" w:firstLineChars="200"/>
        <w:rPr>
          <w:rFonts w:ascii="宋体" w:hAnsi="宋体" w:cs="宋体"/>
          <w:szCs w:val="21"/>
        </w:rPr>
      </w:pPr>
      <w:r>
        <w:rPr>
          <w:rFonts w:hint="eastAsia" w:ascii="宋体" w:hAnsi="宋体" w:cs="宋体"/>
          <w:szCs w:val="21"/>
        </w:rPr>
        <w:t>适用于课题申报前查重查新，获取国内外最新的立项及项目成果前沿情报，了解国内各地区最新的项目资助情报、奖项申报评选、竞赛通知、人才选拔评选通知、往年公示的基金专家、科技专家库专家以及其他科技人才等信息，发现与市场、行业对接，科研成果转化机会，及时全面获取国内外文献专著，国家自然科学基金、国家社会科学基金、国家重点研发计划定制化检索，提供快捷检索入口，支持个性化定制对标分析等。</w:t>
      </w:r>
    </w:p>
    <w:p w14:paraId="7A2E6741">
      <w:pPr>
        <w:numPr>
          <w:ilvl w:val="255"/>
          <w:numId w:val="0"/>
        </w:numPr>
        <w:spacing w:line="400" w:lineRule="exact"/>
        <w:ind w:firstLine="420" w:firstLineChars="200"/>
        <w:rPr>
          <w:rFonts w:ascii="宋体" w:hAnsi="宋体" w:cs="宋体"/>
          <w:szCs w:val="21"/>
        </w:rPr>
      </w:pPr>
      <w:r>
        <w:rPr>
          <w:rFonts w:hint="eastAsia" w:ascii="宋体" w:hAnsi="宋体" w:cs="宋体"/>
          <w:szCs w:val="21"/>
        </w:rPr>
        <w:t>资源类型涉及科研项目及人才专家相关事实数据、项目成果链接指向、科技报告、文献专著、交互分析系统等。</w:t>
      </w:r>
    </w:p>
    <w:p w14:paraId="65540058">
      <w:pPr>
        <w:numPr>
          <w:ilvl w:val="255"/>
          <w:numId w:val="0"/>
        </w:numPr>
        <w:spacing w:line="400" w:lineRule="exact"/>
        <w:ind w:firstLine="420" w:firstLineChars="200"/>
        <w:rPr>
          <w:rFonts w:ascii="宋体" w:hAnsi="宋体" w:cs="宋体"/>
          <w:szCs w:val="21"/>
        </w:rPr>
      </w:pPr>
      <w:r>
        <w:rPr>
          <w:rFonts w:hint="eastAsia" w:ascii="宋体" w:hAnsi="宋体" w:cs="宋体"/>
          <w:szCs w:val="21"/>
        </w:rPr>
        <w:t>3.服务内容：</w:t>
      </w:r>
    </w:p>
    <w:p w14:paraId="76406FC6">
      <w:pPr>
        <w:numPr>
          <w:ilvl w:val="255"/>
          <w:numId w:val="0"/>
        </w:numPr>
        <w:spacing w:line="400" w:lineRule="exact"/>
        <w:ind w:firstLine="420" w:firstLineChars="200"/>
        <w:rPr>
          <w:rFonts w:ascii="宋体" w:hAnsi="宋体" w:cs="宋体"/>
          <w:szCs w:val="21"/>
        </w:rPr>
      </w:pPr>
      <w:r>
        <w:rPr>
          <w:rFonts w:hint="eastAsia" w:ascii="宋体" w:hAnsi="宋体" w:cs="宋体"/>
          <w:szCs w:val="21"/>
        </w:rPr>
        <w:t>3.1服务期内，为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3847EE8C">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3.2根据</w:t>
      </w:r>
      <w:r>
        <w:rPr>
          <w:rFonts w:hint="eastAsia" w:ascii="宋体" w:hAnsi="宋体" w:cs="宋体"/>
          <w:szCs w:val="21"/>
          <w:lang w:eastAsia="zh-CN"/>
        </w:rPr>
        <w:t>采购人</w:t>
      </w:r>
      <w:r>
        <w:rPr>
          <w:rFonts w:hint="eastAsia" w:ascii="宋体" w:hAnsi="宋体" w:cs="宋体"/>
          <w:szCs w:val="21"/>
        </w:rPr>
        <w:t>需要，定期提供数据库使用统计。</w:t>
      </w:r>
    </w:p>
    <w:p w14:paraId="16DB6BF6">
      <w:pPr>
        <w:numPr>
          <w:ilvl w:val="255"/>
          <w:numId w:val="0"/>
        </w:numPr>
        <w:spacing w:line="400" w:lineRule="exact"/>
        <w:ind w:firstLine="420" w:firstLineChars="200"/>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校园IP范围内访问登录，支持VPN登录访问</w:t>
      </w:r>
      <w:r>
        <w:rPr>
          <w:rFonts w:hint="eastAsia" w:ascii="宋体" w:hAnsi="宋体" w:cs="宋体"/>
          <w:szCs w:val="21"/>
          <w:lang w:eastAsia="zh-CN"/>
        </w:rPr>
        <w:t>。</w:t>
      </w:r>
    </w:p>
    <w:p w14:paraId="1D1DF485">
      <w:pPr>
        <w:numPr>
          <w:ilvl w:val="-1"/>
          <w:numId w:val="0"/>
        </w:numPr>
        <w:spacing w:line="400" w:lineRule="exact"/>
        <w:ind w:firstLine="420" w:firstLineChars="200"/>
        <w:rPr>
          <w:rFonts w:hint="eastAsia" w:ascii="宋体" w:hAnsi="宋体" w:cs="宋体"/>
          <w:szCs w:val="21"/>
          <w:lang w:eastAsia="zh-CN"/>
        </w:rPr>
      </w:pPr>
      <w:r>
        <w:rPr>
          <w:rFonts w:hint="eastAsia" w:ascii="宋体" w:hAnsi="宋体" w:cs="宋体"/>
          <w:szCs w:val="21"/>
          <w:lang w:val="en-US" w:eastAsia="zh-CN"/>
        </w:rPr>
        <w:t>5.</w:t>
      </w:r>
      <w:r>
        <w:rPr>
          <w:rFonts w:hint="eastAsia" w:ascii="宋体" w:hAnsi="宋体" w:cs="宋体"/>
          <w:szCs w:val="21"/>
          <w:lang w:eastAsia="zh-CN"/>
        </w:rPr>
        <w:t>提供网络、电话及E-mail支持服务，响应时间不超过24小时。</w:t>
      </w:r>
    </w:p>
    <w:p w14:paraId="47F303B7">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服务期限：2026年1月1日至2026年12月31日。</w:t>
      </w:r>
    </w:p>
    <w:p w14:paraId="2026D46E">
      <w:pPr>
        <w:spacing w:line="400" w:lineRule="exact"/>
        <w:ind w:firstLine="420" w:firstLineChars="200"/>
        <w:rPr>
          <w:rFonts w:ascii="宋体" w:hAnsi="宋体" w:cs="宋体"/>
          <w:b/>
          <w:szCs w:val="21"/>
        </w:rPr>
      </w:pPr>
      <w:r>
        <w:rPr>
          <w:rFonts w:hint="eastAsia" w:ascii="宋体" w:hAnsi="宋体" w:cs="宋体"/>
          <w:szCs w:val="21"/>
        </w:rPr>
        <w:br w:type="page"/>
      </w:r>
      <w:r>
        <w:rPr>
          <w:rFonts w:hint="eastAsia" w:ascii="宋体" w:hAnsi="宋体" w:cs="宋体"/>
          <w:b/>
          <w:szCs w:val="21"/>
        </w:rPr>
        <w:t>标项十九（Ai HUB）：</w:t>
      </w:r>
    </w:p>
    <w:p w14:paraId="769815D3">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1.人工智能学术资源集成平台服务（</w:t>
      </w:r>
      <w:r>
        <w:rPr>
          <w:rFonts w:hint="eastAsia"/>
          <w:highlight w:val="none"/>
        </w:rPr>
        <w:t>以下所有“★</w:t>
      </w:r>
      <w:r>
        <w:rPr>
          <w:rFonts w:hint="eastAsia" w:ascii="PingFang SC" w:hAnsi="PingFang SC" w:eastAsia="PingFang SC" w:cs="PingFang SC"/>
          <w:szCs w:val="21"/>
          <w:highlight w:val="none"/>
        </w:rPr>
        <w:t>”</w:t>
      </w:r>
      <w:r>
        <w:rPr>
          <w:rFonts w:hint="eastAsia"/>
          <w:highlight w:val="none"/>
        </w:rPr>
        <w:t>项需提供投标证明材料，包括但不限于功能截图、功能详细说明，并加盖</w:t>
      </w:r>
      <w:r>
        <w:rPr>
          <w:rFonts w:hint="eastAsia"/>
          <w:highlight w:val="none"/>
          <w:lang w:eastAsia="zh-CN"/>
        </w:rPr>
        <w:t>供应商</w:t>
      </w:r>
      <w:r>
        <w:rPr>
          <w:rFonts w:hint="eastAsia"/>
          <w:highlight w:val="none"/>
        </w:rPr>
        <w:t>公章；未按照要求完整提供的，视为无效投标</w:t>
      </w:r>
      <w:r>
        <w:rPr>
          <w:rFonts w:hint="eastAsia" w:ascii="宋体" w:hAnsi="宋体" w:cs="宋体"/>
          <w:szCs w:val="21"/>
        </w:rPr>
        <w:t>）</w:t>
      </w:r>
      <w:r>
        <w:rPr>
          <w:rFonts w:hint="eastAsia" w:ascii="宋体" w:hAnsi="宋体" w:cs="宋体"/>
          <w:szCs w:val="21"/>
          <w:lang w:eastAsia="zh-CN"/>
        </w:rPr>
        <w:t>。</w:t>
      </w:r>
    </w:p>
    <w:p w14:paraId="123249E9">
      <w:pPr>
        <w:numPr>
          <w:ilvl w:val="255"/>
          <w:numId w:val="0"/>
        </w:numPr>
        <w:spacing w:line="400" w:lineRule="exact"/>
        <w:ind w:firstLine="420" w:firstLineChars="200"/>
        <w:rPr>
          <w:rFonts w:ascii="宋体" w:hAnsi="宋体" w:cs="宋体"/>
          <w:szCs w:val="21"/>
        </w:rPr>
      </w:pPr>
      <w:r>
        <w:rPr>
          <w:rFonts w:hint="eastAsia" w:ascii="宋体" w:hAnsi="宋体" w:cs="宋体"/>
          <w:szCs w:val="21"/>
        </w:rPr>
        <w:t>1.1服务期限与容量</w:t>
      </w:r>
    </w:p>
    <w:p w14:paraId="2E4A3435">
      <w:pPr>
        <w:numPr>
          <w:ilvl w:val="255"/>
          <w:numId w:val="0"/>
        </w:numPr>
        <w:spacing w:line="400" w:lineRule="exact"/>
        <w:ind w:firstLine="420" w:firstLineChars="200"/>
        <w:rPr>
          <w:rFonts w:ascii="宋体" w:hAnsi="宋体" w:cs="宋体"/>
          <w:szCs w:val="21"/>
        </w:rPr>
      </w:pPr>
      <w:r>
        <w:rPr>
          <w:rFonts w:hint="eastAsia" w:ascii="宋体" w:hAnsi="宋体" w:cs="宋体"/>
          <w:szCs w:val="21"/>
        </w:rPr>
        <w:t>服务期限和Token容量：提供为期12个月的服务，在此期间内，用户可享受不少于2亿Token的大模型推理服务。</w:t>
      </w:r>
    </w:p>
    <w:p w14:paraId="6FC19072">
      <w:pPr>
        <w:numPr>
          <w:ilvl w:val="255"/>
          <w:numId w:val="0"/>
        </w:numPr>
        <w:spacing w:line="400" w:lineRule="exact"/>
        <w:ind w:firstLine="420" w:firstLineChars="200"/>
        <w:rPr>
          <w:rFonts w:ascii="宋体" w:hAnsi="宋体" w:cs="宋体"/>
          <w:szCs w:val="21"/>
        </w:rPr>
      </w:pPr>
      <w:r>
        <w:rPr>
          <w:rFonts w:hint="eastAsia" w:ascii="宋体" w:hAnsi="宋体" w:cs="宋体"/>
          <w:szCs w:val="21"/>
        </w:rPr>
        <w:t>★1.2平台兼容性与安全隔离</w:t>
      </w:r>
    </w:p>
    <w:p w14:paraId="6FCF5248">
      <w:pPr>
        <w:numPr>
          <w:ilvl w:val="255"/>
          <w:numId w:val="0"/>
        </w:numPr>
        <w:spacing w:line="400" w:lineRule="exact"/>
        <w:ind w:firstLine="420" w:firstLineChars="200"/>
        <w:rPr>
          <w:rFonts w:ascii="宋体" w:hAnsi="宋体" w:cs="宋体"/>
          <w:szCs w:val="21"/>
        </w:rPr>
      </w:pPr>
      <w:r>
        <w:rPr>
          <w:rFonts w:hint="eastAsia" w:ascii="宋体" w:hAnsi="宋体" w:cs="宋体"/>
          <w:szCs w:val="21"/>
        </w:rPr>
        <w:t>平台模式与浏览器兼容性：采用B/S架构设计，完全兼容Chrome、Edge等主流浏览器。前端用户交互操作与后端运营管理独立部署，实现安全隔离，保障数据安全和服务稳定。</w:t>
      </w:r>
    </w:p>
    <w:p w14:paraId="7F949182">
      <w:pPr>
        <w:numPr>
          <w:ilvl w:val="255"/>
          <w:numId w:val="0"/>
        </w:numPr>
        <w:spacing w:line="400" w:lineRule="exact"/>
        <w:ind w:firstLine="420" w:firstLineChars="200"/>
        <w:rPr>
          <w:rFonts w:ascii="宋体" w:hAnsi="宋体" w:cs="宋体"/>
          <w:szCs w:val="21"/>
        </w:rPr>
      </w:pPr>
      <w:r>
        <w:rPr>
          <w:rFonts w:hint="eastAsia" w:ascii="宋体" w:hAnsi="宋体" w:cs="宋体"/>
          <w:szCs w:val="21"/>
        </w:rPr>
        <w:t>★1.3身份认证与单点登录</w:t>
      </w:r>
    </w:p>
    <w:p w14:paraId="019F2416">
      <w:pPr>
        <w:numPr>
          <w:ilvl w:val="255"/>
          <w:numId w:val="0"/>
        </w:numPr>
        <w:spacing w:line="400" w:lineRule="exact"/>
        <w:ind w:firstLine="420" w:firstLineChars="200"/>
        <w:rPr>
          <w:rFonts w:ascii="宋体" w:hAnsi="宋体" w:cs="宋体"/>
          <w:szCs w:val="21"/>
        </w:rPr>
      </w:pPr>
      <w:r>
        <w:rPr>
          <w:rFonts w:hint="eastAsia" w:ascii="宋体" w:hAnsi="宋体" w:cs="宋体"/>
          <w:szCs w:val="21"/>
        </w:rPr>
        <w:t>身份认证与数据接口：集成</w:t>
      </w:r>
      <w:r>
        <w:rPr>
          <w:rFonts w:hint="eastAsia" w:ascii="宋体" w:hAnsi="宋体" w:cs="宋体"/>
          <w:szCs w:val="21"/>
          <w:lang w:eastAsia="zh-CN"/>
        </w:rPr>
        <w:t>采购人</w:t>
      </w:r>
      <w:r>
        <w:rPr>
          <w:rFonts w:hint="eastAsia" w:ascii="宋体" w:hAnsi="宋体" w:cs="宋体"/>
          <w:szCs w:val="21"/>
        </w:rPr>
        <w:t>统一身份认证系统，支持用户身份验证及单点登录，并通过数据接口向</w:t>
      </w:r>
      <w:r>
        <w:rPr>
          <w:rFonts w:hint="eastAsia" w:ascii="宋体" w:hAnsi="宋体" w:cs="宋体"/>
          <w:szCs w:val="21"/>
          <w:lang w:eastAsia="zh-CN"/>
        </w:rPr>
        <w:t>采购人</w:t>
      </w:r>
      <w:r>
        <w:rPr>
          <w:rFonts w:hint="eastAsia" w:ascii="宋体" w:hAnsi="宋体" w:cs="宋体"/>
          <w:szCs w:val="21"/>
        </w:rPr>
        <w:t>提供用户使用数据和日志记录，确保透明度和安全性。</w:t>
      </w:r>
    </w:p>
    <w:p w14:paraId="51381D35">
      <w:pPr>
        <w:numPr>
          <w:ilvl w:val="255"/>
          <w:numId w:val="0"/>
        </w:numPr>
        <w:spacing w:line="400" w:lineRule="exact"/>
        <w:ind w:firstLine="420" w:firstLineChars="200"/>
        <w:rPr>
          <w:rFonts w:ascii="宋体" w:hAnsi="宋体" w:cs="宋体"/>
          <w:szCs w:val="21"/>
        </w:rPr>
      </w:pPr>
      <w:r>
        <w:rPr>
          <w:rFonts w:hint="eastAsia" w:ascii="宋体" w:hAnsi="宋体" w:cs="宋体"/>
          <w:szCs w:val="21"/>
        </w:rPr>
        <w:t>1.4安全措施与性能监控</w:t>
      </w:r>
    </w:p>
    <w:p w14:paraId="70C56374">
      <w:pPr>
        <w:numPr>
          <w:ilvl w:val="255"/>
          <w:numId w:val="0"/>
        </w:numPr>
        <w:spacing w:line="400" w:lineRule="exact"/>
        <w:ind w:firstLine="420" w:firstLineChars="200"/>
        <w:rPr>
          <w:rFonts w:ascii="宋体" w:hAnsi="宋体" w:cs="宋体"/>
          <w:szCs w:val="21"/>
        </w:rPr>
      </w:pPr>
      <w:r>
        <w:rPr>
          <w:rFonts w:hint="eastAsia" w:ascii="宋体" w:hAnsi="宋体" w:cs="宋体"/>
          <w:szCs w:val="21"/>
        </w:rPr>
        <w:t>全面的安全措施：包括HTTPS访问、数据加密、访问控制、审计日志等，以及建立监控和优化机制，确保系统的长期稳定运行。此外，系统支持至少50台主机用户同时访问，满足高并发需求。</w:t>
      </w:r>
    </w:p>
    <w:p w14:paraId="5F853F57">
      <w:pPr>
        <w:numPr>
          <w:ilvl w:val="255"/>
          <w:numId w:val="0"/>
        </w:numPr>
        <w:spacing w:line="400" w:lineRule="exact"/>
        <w:ind w:firstLine="420" w:firstLineChars="200"/>
        <w:rPr>
          <w:rFonts w:ascii="宋体" w:hAnsi="宋体" w:cs="宋体"/>
          <w:szCs w:val="21"/>
        </w:rPr>
      </w:pPr>
      <w:r>
        <w:rPr>
          <w:rFonts w:hint="eastAsia" w:ascii="宋体" w:hAnsi="宋体" w:cs="宋体"/>
          <w:szCs w:val="21"/>
        </w:rPr>
        <w:t>★1.5前端功能丰富性</w:t>
      </w:r>
    </w:p>
    <w:p w14:paraId="15DBE385">
      <w:pPr>
        <w:numPr>
          <w:ilvl w:val="255"/>
          <w:numId w:val="0"/>
        </w:numPr>
        <w:spacing w:line="400" w:lineRule="exact"/>
        <w:ind w:firstLine="420" w:firstLineChars="200"/>
        <w:rPr>
          <w:rFonts w:ascii="宋体" w:hAnsi="宋体" w:cs="宋体"/>
          <w:szCs w:val="21"/>
        </w:rPr>
      </w:pPr>
      <w:r>
        <w:rPr>
          <w:rFonts w:hint="eastAsia" w:ascii="宋体" w:hAnsi="宋体" w:cs="宋体"/>
          <w:szCs w:val="21"/>
        </w:rPr>
        <w:t>用户登录与配额管理：用户登录时显示剩余配额信息，支持基于机器特征码的二次授权验证，为特权用户提供验证豁免。</w:t>
      </w:r>
    </w:p>
    <w:p w14:paraId="2FB422E9">
      <w:pPr>
        <w:numPr>
          <w:ilvl w:val="255"/>
          <w:numId w:val="0"/>
        </w:numPr>
        <w:spacing w:line="400" w:lineRule="exact"/>
        <w:ind w:firstLine="420" w:firstLineChars="200"/>
        <w:rPr>
          <w:rFonts w:ascii="宋体" w:hAnsi="宋体" w:cs="宋体"/>
          <w:szCs w:val="21"/>
        </w:rPr>
      </w:pPr>
      <w:r>
        <w:rPr>
          <w:rFonts w:hint="eastAsia" w:ascii="宋体" w:hAnsi="宋体" w:cs="宋体"/>
          <w:szCs w:val="21"/>
        </w:rPr>
        <w:t>AI产品导航与智能体对话：提供详细的AI产品服务介绍和链接地址，智能体对话界面支持一站式AIGC交互能力，聚合不同模型驱动的智能体，支持多话题会话和自动话题命名等功能。</w:t>
      </w:r>
    </w:p>
    <w:p w14:paraId="2CAC03F6">
      <w:pPr>
        <w:numPr>
          <w:ilvl w:val="255"/>
          <w:numId w:val="0"/>
        </w:numPr>
        <w:spacing w:line="400" w:lineRule="exact"/>
        <w:ind w:firstLine="420" w:firstLineChars="200"/>
        <w:rPr>
          <w:rFonts w:ascii="宋体" w:hAnsi="宋体" w:cs="宋体"/>
          <w:szCs w:val="21"/>
        </w:rPr>
      </w:pPr>
      <w:r>
        <w:rPr>
          <w:rFonts w:hint="eastAsia" w:ascii="宋体" w:hAnsi="宋体" w:cs="宋体"/>
          <w:szCs w:val="21"/>
        </w:rPr>
        <w:t>智能体仓库：提供包括但不限于由深度求索DeepSeek V3/R1、通义千问qwen-max、字节跳动Doubao-1.5-pro、智谱清言GLM、月之暗面moonshot、文心一言、OpenAI GPT驱动的智能体，且能灵活选择进行对话交互的智能体；支持通过名称、功能和模型标签进行智能体搜索；支持智能体列表展示，展示内容包括且不限于智能体的功能、智能体的参数等；支持从智能体仓库直接激活智能体对话。</w:t>
      </w:r>
    </w:p>
    <w:p w14:paraId="5E20BA80">
      <w:pPr>
        <w:numPr>
          <w:ilvl w:val="255"/>
          <w:numId w:val="0"/>
        </w:numPr>
        <w:spacing w:line="400" w:lineRule="exact"/>
        <w:ind w:firstLine="420" w:firstLineChars="200"/>
        <w:rPr>
          <w:rFonts w:ascii="宋体" w:hAnsi="宋体" w:cs="宋体"/>
          <w:szCs w:val="21"/>
        </w:rPr>
      </w:pPr>
      <w:r>
        <w:rPr>
          <w:rFonts w:hint="eastAsia" w:ascii="宋体" w:hAnsi="宋体" w:cs="宋体"/>
          <w:szCs w:val="21"/>
        </w:rPr>
        <w:t>★1.6运营管理端功能强化</w:t>
      </w:r>
    </w:p>
    <w:p w14:paraId="289F9AF1">
      <w:pPr>
        <w:numPr>
          <w:ilvl w:val="255"/>
          <w:numId w:val="0"/>
        </w:numPr>
        <w:spacing w:line="400" w:lineRule="exact"/>
        <w:ind w:firstLine="420" w:firstLineChars="200"/>
        <w:rPr>
          <w:rFonts w:ascii="宋体" w:hAnsi="宋体" w:cs="宋体"/>
          <w:szCs w:val="21"/>
        </w:rPr>
      </w:pPr>
      <w:r>
        <w:rPr>
          <w:rFonts w:hint="eastAsia" w:ascii="宋体" w:hAnsi="宋体" w:cs="宋体"/>
          <w:szCs w:val="21"/>
        </w:rPr>
        <w:t>用户管理和配额分配：根据</w:t>
      </w:r>
      <w:r>
        <w:rPr>
          <w:rFonts w:hint="eastAsia" w:ascii="宋体" w:hAnsi="宋体" w:cs="宋体"/>
          <w:szCs w:val="21"/>
          <w:lang w:eastAsia="zh-CN"/>
        </w:rPr>
        <w:t>采购人</w:t>
      </w:r>
      <w:r>
        <w:rPr>
          <w:rFonts w:hint="eastAsia" w:ascii="宋体" w:hAnsi="宋体" w:cs="宋体"/>
          <w:szCs w:val="21"/>
        </w:rPr>
        <w:t>统一身份认证源实现自动化绑定，支持新增、禁用、编辑用户等功能，提供详细的用户操作日志记录。配额管理灵活多样，支持动态分配和临时调整。</w:t>
      </w:r>
    </w:p>
    <w:p w14:paraId="0E07CC3F">
      <w:pPr>
        <w:numPr>
          <w:ilvl w:val="255"/>
          <w:numId w:val="0"/>
        </w:numPr>
        <w:spacing w:line="400" w:lineRule="exact"/>
        <w:ind w:firstLine="420" w:firstLineChars="200"/>
        <w:rPr>
          <w:rFonts w:ascii="宋体" w:hAnsi="宋体" w:cs="宋体"/>
          <w:szCs w:val="21"/>
        </w:rPr>
      </w:pPr>
      <w:r>
        <w:rPr>
          <w:rFonts w:hint="eastAsia" w:ascii="宋体" w:hAnsi="宋体" w:cs="宋体"/>
          <w:szCs w:val="21"/>
        </w:rPr>
        <w:t>数据分析与报告：Token使用日志记录时间不少于365天，提供自定义周期的数据分析和可视化报表，帮助用户深入了解token使用情况。</w:t>
      </w:r>
    </w:p>
    <w:p w14:paraId="5C33454E">
      <w:pPr>
        <w:numPr>
          <w:ilvl w:val="255"/>
          <w:numId w:val="0"/>
        </w:numPr>
        <w:spacing w:line="400" w:lineRule="exact"/>
        <w:ind w:firstLine="420" w:firstLineChars="200"/>
        <w:rPr>
          <w:rFonts w:ascii="宋体" w:hAnsi="宋体" w:cs="宋体"/>
          <w:szCs w:val="21"/>
        </w:rPr>
      </w:pPr>
      <w:r>
        <w:rPr>
          <w:rFonts w:hint="eastAsia" w:ascii="宋体" w:hAnsi="宋体" w:cs="宋体"/>
          <w:szCs w:val="21"/>
        </w:rPr>
        <w:t>前端内容管理：允许管理员自由调整前端页面元素，包括LOGO、图片、文字等内容，提升个性化定制体验。</w:t>
      </w:r>
    </w:p>
    <w:p w14:paraId="5D6E6593">
      <w:pPr>
        <w:numPr>
          <w:ilvl w:val="255"/>
          <w:numId w:val="0"/>
        </w:numPr>
        <w:spacing w:line="400" w:lineRule="exact"/>
        <w:ind w:firstLine="420" w:firstLineChars="200"/>
        <w:rPr>
          <w:rFonts w:ascii="宋体" w:hAnsi="宋体" w:cs="宋体"/>
          <w:szCs w:val="21"/>
        </w:rPr>
      </w:pPr>
      <w:r>
        <w:rPr>
          <w:rFonts w:hint="eastAsia" w:ascii="宋体" w:hAnsi="宋体" w:cs="宋体"/>
          <w:szCs w:val="21"/>
        </w:rPr>
        <w:t>聊天日志与API接口：服务器端记录基于话题会话的聊天日志不少于180天，提供基于智能体和时间的查询功能，并通过API接口供第三方系统调用数据，增强数据互通性。</w:t>
      </w:r>
    </w:p>
    <w:p w14:paraId="7454ED01">
      <w:pPr>
        <w:numPr>
          <w:ilvl w:val="255"/>
          <w:numId w:val="0"/>
        </w:numPr>
        <w:spacing w:line="400" w:lineRule="exact"/>
        <w:ind w:firstLine="420" w:firstLineChars="200"/>
        <w:rPr>
          <w:rFonts w:ascii="宋体" w:hAnsi="宋体" w:cs="宋体"/>
          <w:szCs w:val="21"/>
        </w:rPr>
      </w:pPr>
      <w:r>
        <w:rPr>
          <w:rFonts w:hint="eastAsia" w:ascii="宋体" w:hAnsi="宋体" w:cs="宋体"/>
          <w:szCs w:val="21"/>
        </w:rPr>
        <w:t>2.学术支持服务</w:t>
      </w:r>
    </w:p>
    <w:p w14:paraId="2B431669">
      <w:pPr>
        <w:numPr>
          <w:ilvl w:val="255"/>
          <w:numId w:val="0"/>
        </w:numPr>
        <w:spacing w:line="400" w:lineRule="exact"/>
        <w:ind w:firstLine="420" w:firstLineChars="200"/>
        <w:rPr>
          <w:rFonts w:ascii="宋体" w:hAnsi="宋体" w:cs="宋体"/>
          <w:szCs w:val="21"/>
        </w:rPr>
      </w:pPr>
      <w:r>
        <w:rPr>
          <w:rFonts w:hint="eastAsia" w:ascii="宋体" w:hAnsi="宋体" w:cs="宋体"/>
          <w:szCs w:val="21"/>
        </w:rPr>
        <w:t>2.1服务频次与内容定制</w:t>
      </w:r>
    </w:p>
    <w:p w14:paraId="47BF7EEE">
      <w:pPr>
        <w:numPr>
          <w:ilvl w:val="255"/>
          <w:numId w:val="0"/>
        </w:numPr>
        <w:spacing w:line="400" w:lineRule="exact"/>
        <w:ind w:firstLine="420" w:firstLineChars="200"/>
        <w:rPr>
          <w:rFonts w:ascii="宋体" w:hAnsi="宋体" w:cs="宋体"/>
          <w:szCs w:val="21"/>
        </w:rPr>
      </w:pPr>
      <w:r>
        <w:rPr>
          <w:rFonts w:hint="eastAsia" w:ascii="宋体" w:hAnsi="宋体" w:cs="宋体"/>
          <w:szCs w:val="21"/>
        </w:rPr>
        <w:t>服务频次：在服务期内，资源库将提供不少于两次的生成式人工智能素养研学活动现场支持服务。</w:t>
      </w:r>
    </w:p>
    <w:p w14:paraId="18754090">
      <w:pPr>
        <w:numPr>
          <w:ilvl w:val="255"/>
          <w:numId w:val="0"/>
        </w:numPr>
        <w:spacing w:line="400" w:lineRule="exact"/>
        <w:ind w:firstLine="420" w:firstLineChars="200"/>
        <w:rPr>
          <w:rFonts w:ascii="宋体" w:hAnsi="宋体" w:cs="宋体"/>
          <w:szCs w:val="21"/>
        </w:rPr>
      </w:pPr>
      <w:r>
        <w:rPr>
          <w:rFonts w:hint="eastAsia" w:ascii="宋体" w:hAnsi="宋体" w:cs="宋体"/>
          <w:szCs w:val="21"/>
        </w:rPr>
        <w:t>活动内容：每次活动都将根据师生的具体需求量身定制，涵盖但不限于基于项目的学习（PBL）方式的AI素养讲解、实际操作演示、实操指导以及互动答疑环节。确保活动内容能够适应不同水平和背景的参与者，最大化满足其学习和发展需求。</w:t>
      </w:r>
    </w:p>
    <w:p w14:paraId="653A8E74">
      <w:pPr>
        <w:numPr>
          <w:ilvl w:val="255"/>
          <w:numId w:val="0"/>
        </w:numPr>
        <w:spacing w:line="400" w:lineRule="exact"/>
        <w:ind w:firstLine="420" w:firstLineChars="200"/>
        <w:rPr>
          <w:rFonts w:ascii="宋体" w:hAnsi="宋体" w:cs="宋体"/>
          <w:szCs w:val="21"/>
        </w:rPr>
      </w:pPr>
      <w:r>
        <w:rPr>
          <w:rFonts w:hint="eastAsia" w:ascii="宋体" w:hAnsi="宋体" w:cs="宋体"/>
          <w:szCs w:val="21"/>
        </w:rPr>
        <w:t>2.2活动方案设计与配套材料</w:t>
      </w:r>
    </w:p>
    <w:p w14:paraId="1277F68C">
      <w:pPr>
        <w:numPr>
          <w:ilvl w:val="255"/>
          <w:numId w:val="0"/>
        </w:numPr>
        <w:spacing w:line="400" w:lineRule="exact"/>
        <w:ind w:firstLine="420" w:firstLineChars="200"/>
        <w:rPr>
          <w:rFonts w:ascii="宋体" w:hAnsi="宋体" w:cs="宋体"/>
          <w:szCs w:val="21"/>
        </w:rPr>
      </w:pPr>
      <w:r>
        <w:rPr>
          <w:rFonts w:hint="eastAsia" w:ascii="宋体" w:hAnsi="宋体" w:cs="宋体"/>
          <w:szCs w:val="21"/>
        </w:rPr>
        <w:t>活动方案设计：为每场活动精心准备详细的执行方案，包括明确的活动目标、时间安排、内容大纲及预期成果等，以确保活动高效有序地进行并达成预期效果。</w:t>
      </w:r>
    </w:p>
    <w:p w14:paraId="1F3A1CBF">
      <w:pPr>
        <w:numPr>
          <w:ilvl w:val="255"/>
          <w:numId w:val="0"/>
        </w:numPr>
        <w:spacing w:line="400" w:lineRule="exact"/>
        <w:ind w:firstLine="420" w:firstLineChars="200"/>
        <w:rPr>
          <w:rFonts w:ascii="宋体" w:hAnsi="宋体" w:cs="宋体"/>
          <w:szCs w:val="21"/>
        </w:rPr>
      </w:pPr>
      <w:r>
        <w:rPr>
          <w:rFonts w:hint="eastAsia" w:ascii="宋体" w:hAnsi="宋体" w:cs="宋体"/>
          <w:szCs w:val="21"/>
        </w:rPr>
        <w:t>配套材料提供：提供全面的活动配套资料，包括讲义、操作手册、案例分析资料、实验数据集以及活动礼品等，旨在帮助参与者深入理解并实践生成式AI技术，同时提升参与者的积极性和满意度。</w:t>
      </w:r>
    </w:p>
    <w:p w14:paraId="136D9498">
      <w:pPr>
        <w:numPr>
          <w:ilvl w:val="255"/>
          <w:numId w:val="0"/>
        </w:numPr>
        <w:spacing w:line="400" w:lineRule="exact"/>
        <w:ind w:firstLine="420" w:firstLineChars="200"/>
        <w:rPr>
          <w:rFonts w:ascii="宋体" w:hAnsi="宋体" w:cs="宋体"/>
          <w:szCs w:val="21"/>
        </w:rPr>
      </w:pPr>
      <w:r>
        <w:rPr>
          <w:rFonts w:hint="eastAsia" w:ascii="宋体" w:hAnsi="宋体" w:cs="宋体"/>
          <w:szCs w:val="21"/>
        </w:rPr>
        <w:t>2.3现场活动执行保障</w:t>
      </w:r>
    </w:p>
    <w:p w14:paraId="6DEA5073">
      <w:pPr>
        <w:numPr>
          <w:ilvl w:val="255"/>
          <w:numId w:val="0"/>
        </w:numPr>
        <w:spacing w:line="400" w:lineRule="exact"/>
        <w:ind w:firstLine="420" w:firstLineChars="200"/>
        <w:rPr>
          <w:rFonts w:ascii="宋体" w:hAnsi="宋体" w:cs="宋体"/>
          <w:szCs w:val="21"/>
        </w:rPr>
      </w:pPr>
      <w:r>
        <w:rPr>
          <w:rFonts w:hint="eastAsia" w:ascii="宋体" w:hAnsi="宋体" w:cs="宋体"/>
          <w:szCs w:val="21"/>
        </w:rPr>
        <w:t>前期准备：提前做好场地布置、设备调试及物料准备工作，确保活动现场一切就绪，为活动顺利进行奠定基础。</w:t>
      </w:r>
    </w:p>
    <w:p w14:paraId="511D45AF">
      <w:pPr>
        <w:numPr>
          <w:ilvl w:val="255"/>
          <w:numId w:val="0"/>
        </w:numPr>
        <w:spacing w:line="400" w:lineRule="exact"/>
        <w:ind w:firstLine="420" w:firstLineChars="200"/>
        <w:rPr>
          <w:rFonts w:ascii="宋体" w:hAnsi="宋体" w:cs="宋体"/>
          <w:szCs w:val="21"/>
        </w:rPr>
      </w:pPr>
      <w:r>
        <w:rPr>
          <w:rFonts w:hint="eastAsia" w:ascii="宋体" w:hAnsi="宋体" w:cs="宋体"/>
          <w:szCs w:val="21"/>
        </w:rPr>
        <w:t>专业讲师团队：邀请具有深厚AI技术背景和丰富教学经验的讲师团队负责活动讲解、演示及互动环节，保证教学质量。</w:t>
      </w:r>
    </w:p>
    <w:p w14:paraId="6B0738CB">
      <w:pPr>
        <w:numPr>
          <w:ilvl w:val="255"/>
          <w:numId w:val="0"/>
        </w:numPr>
        <w:spacing w:line="400" w:lineRule="exact"/>
        <w:ind w:firstLine="420" w:firstLineChars="200"/>
        <w:rPr>
          <w:rFonts w:ascii="宋体" w:hAnsi="宋体" w:cs="宋体"/>
          <w:szCs w:val="21"/>
        </w:rPr>
      </w:pPr>
      <w:r>
        <w:rPr>
          <w:rFonts w:hint="eastAsia" w:ascii="宋体" w:hAnsi="宋体" w:cs="宋体"/>
          <w:szCs w:val="21"/>
        </w:rPr>
        <w:t>技术支持团队：活动现场配备专业的技术支持团队，及时解决参与者在操作过程中遇到的技术难题，确保活动流畅无阻。</w:t>
      </w:r>
    </w:p>
    <w:p w14:paraId="0F1AA502">
      <w:pPr>
        <w:numPr>
          <w:ilvl w:val="255"/>
          <w:numId w:val="0"/>
        </w:numPr>
        <w:spacing w:line="400" w:lineRule="exact"/>
        <w:ind w:firstLine="420" w:firstLineChars="200"/>
        <w:rPr>
          <w:rFonts w:ascii="宋体" w:hAnsi="宋体" w:cs="宋体"/>
          <w:szCs w:val="21"/>
        </w:rPr>
      </w:pPr>
      <w:r>
        <w:rPr>
          <w:rFonts w:hint="eastAsia" w:ascii="宋体" w:hAnsi="宋体" w:cs="宋体"/>
          <w:szCs w:val="21"/>
        </w:rPr>
        <w:t>互动环节设计：特别设计了诸如小组讨论、实际操作练习、问答环节等多种形式的互动环节，增强活动的互动性和实用性。</w:t>
      </w:r>
    </w:p>
    <w:p w14:paraId="0C38E884">
      <w:pPr>
        <w:numPr>
          <w:ilvl w:val="255"/>
          <w:numId w:val="0"/>
        </w:numPr>
        <w:spacing w:line="400" w:lineRule="exact"/>
        <w:ind w:firstLine="420" w:firstLineChars="200"/>
        <w:rPr>
          <w:rFonts w:ascii="宋体" w:hAnsi="宋体" w:cs="宋体"/>
          <w:szCs w:val="21"/>
        </w:rPr>
      </w:pPr>
      <w:r>
        <w:rPr>
          <w:rFonts w:hint="eastAsia" w:ascii="宋体" w:hAnsi="宋体" w:cs="宋体"/>
          <w:szCs w:val="21"/>
        </w:rPr>
        <w:t>2.4后续支持与持续改进</w:t>
      </w:r>
    </w:p>
    <w:p w14:paraId="7E3CB890">
      <w:pPr>
        <w:numPr>
          <w:ilvl w:val="255"/>
          <w:numId w:val="0"/>
        </w:numPr>
        <w:spacing w:line="400" w:lineRule="exact"/>
        <w:ind w:firstLine="420" w:firstLineChars="200"/>
        <w:rPr>
          <w:rFonts w:ascii="宋体" w:hAnsi="宋体" w:cs="宋体"/>
          <w:szCs w:val="21"/>
        </w:rPr>
      </w:pPr>
      <w:r>
        <w:rPr>
          <w:rFonts w:hint="eastAsia" w:ascii="宋体" w:hAnsi="宋体" w:cs="宋体"/>
          <w:szCs w:val="21"/>
        </w:rPr>
        <w:t>后续支持服务：在服务期内提供不间断的线上支持，帮助参与者解决在实际应用中遇到的问题，助力其不断进步。</w:t>
      </w:r>
    </w:p>
    <w:p w14:paraId="7A815762">
      <w:pPr>
        <w:numPr>
          <w:ilvl w:val="255"/>
          <w:numId w:val="0"/>
        </w:numPr>
        <w:spacing w:line="400" w:lineRule="exact"/>
        <w:ind w:firstLine="420" w:firstLineChars="200"/>
        <w:rPr>
          <w:rFonts w:ascii="宋体" w:hAnsi="宋体" w:cs="宋体"/>
          <w:szCs w:val="21"/>
        </w:rPr>
      </w:pPr>
      <w:r>
        <w:rPr>
          <w:rFonts w:hint="eastAsia" w:ascii="宋体" w:hAnsi="宋体" w:cs="宋体"/>
          <w:szCs w:val="21"/>
        </w:rPr>
        <w:t>反馈收集机制：通过问卷调查、面对面访谈等方式广泛收集参与者对活动的反馈意见，并以此为基础持续优化活动内容和形式，不断提高服务质量。</w:t>
      </w:r>
    </w:p>
    <w:p w14:paraId="4F023A2B">
      <w:pPr>
        <w:numPr>
          <w:ilvl w:val="255"/>
          <w:numId w:val="0"/>
        </w:numPr>
        <w:spacing w:line="400" w:lineRule="exact"/>
        <w:ind w:firstLine="420" w:firstLineChars="200"/>
        <w:rPr>
          <w:rFonts w:ascii="宋体" w:hAnsi="宋体" w:cs="宋体"/>
          <w:szCs w:val="21"/>
        </w:rPr>
      </w:pPr>
      <w:r>
        <w:rPr>
          <w:rFonts w:hint="eastAsia" w:ascii="宋体" w:hAnsi="宋体" w:cs="宋体"/>
          <w:szCs w:val="21"/>
        </w:rPr>
        <w:t>2.5数据安全保障</w:t>
      </w:r>
    </w:p>
    <w:p w14:paraId="148F6B58">
      <w:pPr>
        <w:numPr>
          <w:ilvl w:val="255"/>
          <w:numId w:val="0"/>
        </w:numPr>
        <w:spacing w:line="400" w:lineRule="exact"/>
        <w:ind w:firstLine="420" w:firstLineChars="200"/>
        <w:rPr>
          <w:rFonts w:ascii="宋体" w:hAnsi="宋体" w:cs="宋体"/>
          <w:szCs w:val="21"/>
        </w:rPr>
      </w:pPr>
      <w:r>
        <w:rPr>
          <w:rFonts w:hint="eastAsia" w:ascii="宋体" w:hAnsi="宋体" w:cs="宋体"/>
          <w:szCs w:val="21"/>
        </w:rPr>
        <w:t>严格的数据保护措施：在整个活动过程中，我们将严格执行数据安全保护措施，遵守相关法律法规，确保所有参与者的数据安全和个人隐私得到有效保护。</w:t>
      </w:r>
    </w:p>
    <w:p w14:paraId="2AAE8560">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3.提供网络、电话及E-mail支持服务，响应时间不超过24小时。</w:t>
      </w:r>
    </w:p>
    <w:p w14:paraId="4AE199DF">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服务期内，配合</w:t>
      </w:r>
      <w:r>
        <w:rPr>
          <w:rFonts w:hint="eastAsia" w:ascii="宋体" w:hAnsi="宋体" w:cs="宋体"/>
          <w:szCs w:val="21"/>
          <w:lang w:eastAsia="zh-CN"/>
        </w:rPr>
        <w:t>采购人</w:t>
      </w:r>
      <w:r>
        <w:rPr>
          <w:rFonts w:hint="eastAsia" w:ascii="宋体" w:hAnsi="宋体" w:cs="宋体"/>
          <w:szCs w:val="21"/>
          <w:lang w:val="en-US" w:eastAsia="zh-CN"/>
        </w:rPr>
        <w:t>无条件</w:t>
      </w:r>
      <w:r>
        <w:rPr>
          <w:rFonts w:hint="eastAsia" w:ascii="宋体" w:hAnsi="宋体" w:cs="宋体"/>
          <w:szCs w:val="21"/>
        </w:rPr>
        <w:t>提供数据库培训等活动一年内不少于2次，具体时间和形式，双方协商确认。</w:t>
      </w:r>
    </w:p>
    <w:p w14:paraId="39964ABD">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服务期限：202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月1日至2026年1</w:t>
      </w:r>
      <w:r>
        <w:rPr>
          <w:rFonts w:hint="eastAsia" w:ascii="宋体" w:hAnsi="宋体" w:cs="宋体"/>
          <w:szCs w:val="21"/>
          <w:lang w:val="en-US" w:eastAsia="zh-CN"/>
        </w:rPr>
        <w:t>0</w:t>
      </w:r>
      <w:r>
        <w:rPr>
          <w:rFonts w:hint="eastAsia" w:ascii="宋体" w:hAnsi="宋体" w:cs="宋体"/>
          <w:szCs w:val="21"/>
        </w:rPr>
        <w:t>月31日。</w:t>
      </w:r>
      <w:r>
        <w:rPr>
          <w:rFonts w:hint="eastAsia" w:ascii="宋体" w:hAnsi="宋体" w:cs="宋体"/>
          <w:szCs w:val="21"/>
        </w:rPr>
        <w:br w:type="page"/>
      </w:r>
    </w:p>
    <w:p w14:paraId="3076E998">
      <w:pPr>
        <w:spacing w:line="400" w:lineRule="exact"/>
        <w:ind w:firstLine="422" w:firstLineChars="200"/>
        <w:rPr>
          <w:rFonts w:ascii="宋体" w:hAnsi="宋体" w:cs="宋体"/>
          <w:b/>
          <w:szCs w:val="21"/>
        </w:rPr>
      </w:pPr>
      <w:r>
        <w:rPr>
          <w:rFonts w:hint="eastAsia" w:ascii="宋体" w:hAnsi="宋体" w:cs="宋体"/>
          <w:b/>
          <w:szCs w:val="21"/>
        </w:rPr>
        <w:t>标项二十（ERS资源利用绩效分析平台）：</w:t>
      </w:r>
    </w:p>
    <w:p w14:paraId="00D7A8F8">
      <w:pPr>
        <w:numPr>
          <w:ilvl w:val="255"/>
          <w:numId w:val="0"/>
        </w:num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内容参数：</w:t>
      </w:r>
    </w:p>
    <w:p w14:paraId="455F114F">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与</w:t>
      </w:r>
      <w:r>
        <w:rPr>
          <w:rFonts w:hint="eastAsia" w:ascii="宋体" w:hAnsi="宋体" w:cs="宋体"/>
          <w:szCs w:val="21"/>
        </w:rPr>
        <w:t>上海交通大学图书馆合作研发</w:t>
      </w:r>
      <w:r>
        <w:rPr>
          <w:rFonts w:hint="eastAsia" w:ascii="宋体" w:hAnsi="宋体" w:cs="宋体"/>
          <w:szCs w:val="21"/>
          <w:lang w:val="en-US" w:eastAsia="zh-CN"/>
        </w:rPr>
        <w:t>的</w:t>
      </w:r>
      <w:r>
        <w:rPr>
          <w:rFonts w:hint="eastAsia" w:ascii="宋体" w:hAnsi="宋体" w:cs="宋体"/>
          <w:szCs w:val="21"/>
        </w:rPr>
        <w:t>电子资源利用绩效分析平台。基于上海交通大学图书馆多年的研究成果，并参考了国内多所高校专家学者建议，形成了一套较为完整的资源分析体系。专业为图书馆馆藏资源提供利用绩效评价分析。</w:t>
      </w:r>
    </w:p>
    <w:p w14:paraId="213BDB97">
      <w:pPr>
        <w:numPr>
          <w:ilvl w:val="255"/>
          <w:numId w:val="0"/>
        </w:numPr>
        <w:spacing w:line="400" w:lineRule="exact"/>
        <w:ind w:firstLine="420" w:firstLineChars="200"/>
        <w:rPr>
          <w:rFonts w:ascii="宋体" w:hAnsi="宋体" w:cs="宋体"/>
          <w:szCs w:val="21"/>
        </w:rPr>
      </w:pPr>
      <w:r>
        <w:rPr>
          <w:rFonts w:hint="eastAsia" w:ascii="宋体" w:hAnsi="宋体" w:cs="宋体"/>
          <w:szCs w:val="21"/>
        </w:rPr>
        <w:t>可以覆盖外文期刊、外文图书、中文期刊、文摘及事实数据库等主要资源类别的利用绩效评价分析工作。从分析整体馆藏到单个数据库，再具体到每份刊或每本书，通过层层递进的方式来对资源进行评估，对于未订购或试用资源，以分析本校对该资源的需求迫切性、其资源的优劣等多个指标为决策提供意见。以大量指标、数据作为支撑，为图书馆资源订购以科学性的方法提供参考。</w:t>
      </w:r>
    </w:p>
    <w:p w14:paraId="06D76DF6">
      <w:pPr>
        <w:numPr>
          <w:ilvl w:val="255"/>
          <w:numId w:val="0"/>
        </w:numPr>
        <w:spacing w:line="400" w:lineRule="exact"/>
        <w:ind w:firstLine="420" w:firstLineChars="200"/>
        <w:rPr>
          <w:rFonts w:ascii="宋体" w:hAnsi="宋体" w:cs="宋体"/>
          <w:szCs w:val="21"/>
        </w:rPr>
      </w:pPr>
      <w:r>
        <w:rPr>
          <w:rFonts w:hint="eastAsia" w:ascii="宋体" w:hAnsi="宋体" w:cs="宋体"/>
          <w:szCs w:val="21"/>
        </w:rPr>
        <w:t>在资源利用绩效分析深度上较为领先，</w:t>
      </w:r>
      <w:r>
        <w:rPr>
          <w:rFonts w:hint="eastAsia" w:ascii="宋体" w:hAnsi="宋体" w:cs="宋体"/>
          <w:szCs w:val="21"/>
          <w:lang w:val="en-US" w:eastAsia="zh-CN"/>
        </w:rPr>
        <w:t>能</w:t>
      </w:r>
      <w:r>
        <w:rPr>
          <w:rFonts w:hint="eastAsia" w:ascii="宋体" w:hAnsi="宋体" w:cs="宋体"/>
          <w:szCs w:val="21"/>
        </w:rPr>
        <w:t>为学科馆员提供针对性学科资源保障及利用服务。在学科服务中，</w:t>
      </w:r>
      <w:r>
        <w:rPr>
          <w:rFonts w:hint="eastAsia" w:ascii="宋体" w:hAnsi="宋体" w:cs="宋体"/>
          <w:szCs w:val="21"/>
          <w:lang w:val="en-US" w:eastAsia="zh-CN"/>
        </w:rPr>
        <w:t>需要产品能</w:t>
      </w:r>
      <w:r>
        <w:rPr>
          <w:rFonts w:hint="eastAsia" w:ascii="宋体" w:hAnsi="宋体" w:cs="宋体"/>
          <w:szCs w:val="21"/>
        </w:rPr>
        <w:t>融合国内外学科分类方法，对于学科建设中所需要</w:t>
      </w:r>
      <w:r>
        <w:rPr>
          <w:rFonts w:hint="eastAsia" w:ascii="宋体" w:hAnsi="宋体" w:cs="宋体"/>
          <w:szCs w:val="21"/>
          <w:lang w:eastAsia="zh-CN"/>
        </w:rPr>
        <w:t>的</w:t>
      </w:r>
      <w:r>
        <w:rPr>
          <w:rFonts w:hint="eastAsia" w:ascii="宋体" w:hAnsi="宋体" w:cs="宋体"/>
          <w:szCs w:val="21"/>
        </w:rPr>
        <w:t>保障资源提供意见。尤其以目前国内外流行的ESI学科和教育部一、二级学科挖掘最为深入，若匹配本校的发文数据，可把服务推送至各学院及个人。对于学校的学科建设能起到积极有力的作用。所用分析视角及方法独特。</w:t>
      </w:r>
    </w:p>
    <w:p w14:paraId="28A2F608">
      <w:pPr>
        <w:numPr>
          <w:ilvl w:val="255"/>
          <w:numId w:val="0"/>
        </w:numPr>
        <w:spacing w:line="400" w:lineRule="exact"/>
        <w:ind w:firstLine="420" w:firstLineChars="200"/>
        <w:rPr>
          <w:rFonts w:ascii="宋体" w:hAnsi="宋体" w:cs="宋体"/>
          <w:szCs w:val="21"/>
        </w:rPr>
      </w:pPr>
      <w:r>
        <w:rPr>
          <w:rFonts w:hint="eastAsia" w:ascii="宋体" w:hAnsi="宋体" w:cs="宋体"/>
          <w:szCs w:val="21"/>
        </w:rPr>
        <w:t>2.服务内容：</w:t>
      </w:r>
    </w:p>
    <w:p w14:paraId="3858FF9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2.1数据清洗、数据加工，提供馆藏资源保障、利用及学科分析服务等其他增值性服务</w:t>
      </w:r>
      <w:r>
        <w:rPr>
          <w:rFonts w:hint="eastAsia" w:ascii="宋体" w:hAnsi="宋体" w:cs="宋体"/>
          <w:szCs w:val="21"/>
          <w:lang w:eastAsia="zh-CN"/>
        </w:rPr>
        <w:t>。</w:t>
      </w:r>
    </w:p>
    <w:p w14:paraId="1D50C00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2.2服务期内每年提供两次及以上产品培训，培训时间和地点由</w:t>
      </w:r>
      <w:r>
        <w:rPr>
          <w:rFonts w:hint="eastAsia" w:ascii="宋体" w:hAnsi="宋体" w:cs="宋体"/>
          <w:szCs w:val="21"/>
          <w:lang w:eastAsia="zh-CN"/>
        </w:rPr>
        <w:t>采购人</w:t>
      </w:r>
      <w:r>
        <w:rPr>
          <w:rFonts w:hint="eastAsia" w:ascii="宋体" w:hAnsi="宋体" w:cs="宋体"/>
          <w:szCs w:val="21"/>
        </w:rPr>
        <w:t>选择</w:t>
      </w:r>
      <w:r>
        <w:rPr>
          <w:rFonts w:hint="eastAsia" w:ascii="宋体" w:hAnsi="宋体" w:cs="宋体"/>
          <w:szCs w:val="21"/>
          <w:lang w:eastAsia="zh-CN"/>
        </w:rPr>
        <w:t>。</w:t>
      </w:r>
    </w:p>
    <w:p w14:paraId="4530C05D">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2.3提供资源采购及其</w:t>
      </w:r>
      <w:r>
        <w:rPr>
          <w:rFonts w:hint="eastAsia" w:ascii="宋体" w:hAnsi="宋体" w:cs="宋体"/>
          <w:szCs w:val="21"/>
          <w:lang w:eastAsia="zh-CN"/>
        </w:rPr>
        <w:t>他</w:t>
      </w:r>
      <w:r>
        <w:rPr>
          <w:rFonts w:hint="eastAsia" w:ascii="宋体" w:hAnsi="宋体" w:cs="宋体"/>
          <w:szCs w:val="21"/>
        </w:rPr>
        <w:t>业务咨询</w:t>
      </w:r>
      <w:r>
        <w:rPr>
          <w:rFonts w:hint="eastAsia" w:ascii="宋体" w:hAnsi="宋体" w:cs="宋体"/>
          <w:szCs w:val="21"/>
          <w:lang w:eastAsia="zh-CN"/>
        </w:rPr>
        <w:t>。</w:t>
      </w:r>
    </w:p>
    <w:p w14:paraId="101211E3">
      <w:pPr>
        <w:numPr>
          <w:ilvl w:val="255"/>
          <w:numId w:val="0"/>
        </w:numPr>
        <w:spacing w:line="400" w:lineRule="exact"/>
        <w:ind w:firstLine="420" w:firstLineChars="200"/>
        <w:rPr>
          <w:rFonts w:ascii="宋体" w:hAnsi="宋体" w:cs="宋体"/>
          <w:szCs w:val="21"/>
        </w:rPr>
      </w:pPr>
      <w:r>
        <w:rPr>
          <w:rFonts w:hint="eastAsia" w:ascii="宋体" w:hAnsi="宋体" w:cs="宋体"/>
          <w:szCs w:val="21"/>
        </w:rPr>
        <w:t>2.4提供沟通交流平台，为宁波大学图书馆与上海交通大学图书馆及其</w:t>
      </w:r>
      <w:r>
        <w:rPr>
          <w:rFonts w:hint="eastAsia" w:ascii="宋体" w:hAnsi="宋体" w:cs="宋体"/>
          <w:szCs w:val="21"/>
          <w:lang w:eastAsia="zh-CN"/>
        </w:rPr>
        <w:t>他</w:t>
      </w:r>
      <w:r>
        <w:rPr>
          <w:rFonts w:hint="eastAsia" w:ascii="宋体" w:hAnsi="宋体" w:cs="宋体"/>
          <w:szCs w:val="21"/>
        </w:rPr>
        <w:t>订购</w:t>
      </w:r>
      <w:r>
        <w:rPr>
          <w:rFonts w:hint="eastAsia" w:ascii="宋体" w:hAnsi="宋体" w:cs="宋体"/>
          <w:szCs w:val="21"/>
          <w:lang w:val="en-US" w:eastAsia="zh-CN"/>
        </w:rPr>
        <w:t>同样产品的</w:t>
      </w:r>
      <w:r>
        <w:rPr>
          <w:rFonts w:hint="eastAsia" w:ascii="宋体" w:hAnsi="宋体" w:cs="宋体"/>
          <w:szCs w:val="21"/>
        </w:rPr>
        <w:t>图书馆提供沟通交流的平台，促进图书馆之间的交流学习。</w:t>
      </w:r>
    </w:p>
    <w:p w14:paraId="3A25771A">
      <w:pPr>
        <w:numPr>
          <w:ilvl w:val="255"/>
          <w:numId w:val="0"/>
        </w:numPr>
        <w:spacing w:line="400" w:lineRule="exact"/>
        <w:ind w:firstLine="420" w:firstLineChars="200"/>
        <w:rPr>
          <w:rFonts w:ascii="宋体" w:hAnsi="宋体" w:cs="宋体"/>
          <w:szCs w:val="21"/>
        </w:rPr>
      </w:pPr>
      <w:r>
        <w:rPr>
          <w:rFonts w:hint="eastAsia" w:ascii="宋体" w:hAnsi="宋体" w:cs="宋体"/>
          <w:szCs w:val="21"/>
        </w:rPr>
        <w:t>3.售后服务</w:t>
      </w:r>
    </w:p>
    <w:p w14:paraId="777E8142">
      <w:pPr>
        <w:numPr>
          <w:ilvl w:val="255"/>
          <w:numId w:val="0"/>
        </w:numPr>
        <w:spacing w:line="4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3.1校园IP范围内通过账号密码登录。</w:t>
      </w:r>
    </w:p>
    <w:p w14:paraId="62EC20EB">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3.2</w:t>
      </w:r>
      <w:r>
        <w:rPr>
          <w:rFonts w:hint="eastAsia" w:ascii="宋体" w:hAnsi="宋体" w:cs="宋体"/>
          <w:szCs w:val="21"/>
        </w:rPr>
        <w:t>提供5×8小时的日常售后服务，通过即时聊天工具进行7×24小时响应，一般问题两天内解决，需上门服务的与客户另行约定完成时间。</w:t>
      </w:r>
    </w:p>
    <w:p w14:paraId="5F753993">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eastAsia="宋体" w:cs="宋体"/>
          <w:bCs/>
          <w:sz w:val="21"/>
          <w:szCs w:val="21"/>
        </w:rPr>
        <w:t>服务期内，配合</w:t>
      </w:r>
      <w:r>
        <w:rPr>
          <w:rFonts w:hint="eastAsia" w:ascii="宋体" w:hAnsi="宋体" w:cs="宋体"/>
          <w:bCs/>
          <w:sz w:val="21"/>
          <w:szCs w:val="21"/>
          <w:lang w:eastAsia="zh-CN"/>
        </w:rPr>
        <w:t>采购人</w:t>
      </w:r>
      <w:r>
        <w:rPr>
          <w:rFonts w:hint="eastAsia" w:ascii="宋体" w:hAnsi="宋体" w:eastAsia="宋体" w:cs="宋体"/>
          <w:bCs/>
          <w:sz w:val="21"/>
          <w:szCs w:val="21"/>
          <w:lang w:val="en-US" w:eastAsia="zh-CN"/>
        </w:rPr>
        <w:t>无条件</w:t>
      </w:r>
      <w:r>
        <w:rPr>
          <w:rFonts w:hint="eastAsia" w:ascii="宋体" w:hAnsi="宋体" w:eastAsia="宋体" w:cs="宋体"/>
          <w:bCs/>
          <w:sz w:val="21"/>
          <w:szCs w:val="21"/>
        </w:rPr>
        <w:t>提供数据库培训等活动一年内不少于2次，具体时间和形式，双方协商确认。</w:t>
      </w:r>
    </w:p>
    <w:p w14:paraId="70B256A1">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服务期限：2026年1月1日至2026年12月31日。</w:t>
      </w:r>
      <w:r>
        <w:rPr>
          <w:rFonts w:hint="eastAsia" w:ascii="宋体" w:hAnsi="宋体" w:cs="宋体"/>
          <w:szCs w:val="21"/>
        </w:rPr>
        <w:br w:type="page"/>
      </w:r>
    </w:p>
    <w:p w14:paraId="6F52E154">
      <w:pPr>
        <w:spacing w:line="400" w:lineRule="exact"/>
        <w:ind w:firstLine="422" w:firstLineChars="200"/>
        <w:rPr>
          <w:rFonts w:ascii="宋体" w:hAnsi="宋体" w:cs="宋体"/>
          <w:b/>
          <w:szCs w:val="21"/>
        </w:rPr>
      </w:pPr>
      <w:r>
        <w:rPr>
          <w:rFonts w:hint="eastAsia" w:ascii="宋体" w:hAnsi="宋体" w:cs="宋体"/>
          <w:b/>
          <w:szCs w:val="21"/>
        </w:rPr>
        <w:t>标项二十一（雅乐经典视频数据库）：</w:t>
      </w:r>
    </w:p>
    <w:p w14:paraId="34193AD7">
      <w:pPr>
        <w:numPr>
          <w:ilvl w:val="255"/>
          <w:numId w:val="0"/>
        </w:numPr>
        <w:spacing w:line="400" w:lineRule="exact"/>
        <w:ind w:firstLine="420" w:firstLineChars="200"/>
        <w:rPr>
          <w:rFonts w:ascii="宋体" w:hAnsi="宋体" w:cs="宋体"/>
          <w:szCs w:val="21"/>
        </w:rPr>
      </w:pPr>
      <w:r>
        <w:rPr>
          <w:rFonts w:hint="eastAsia" w:ascii="宋体" w:hAnsi="宋体" w:cs="宋体"/>
          <w:szCs w:val="21"/>
        </w:rPr>
        <w:t>1.多媒体视频点播系统，基于雅乐影院V3版内核，支持任意点播拖拽，PC端和移动端均支持</w:t>
      </w:r>
      <w:r>
        <w:rPr>
          <w:rFonts w:hint="eastAsia" w:ascii="宋体" w:hAnsi="宋体" w:cs="宋体"/>
          <w:sz w:val="21"/>
          <w:szCs w:val="21"/>
          <w:lang w:eastAsia="zh-CN"/>
        </w:rPr>
        <w:t>无条件</w:t>
      </w:r>
      <w:r>
        <w:rPr>
          <w:rFonts w:hint="eastAsia" w:ascii="宋体" w:hAnsi="宋体" w:cs="宋体"/>
          <w:szCs w:val="21"/>
        </w:rPr>
        <w:t>在线播放，数据库包含影视类、综艺类、纪录片、体育类、动漫类等海量的精彩大片和丰富的影视资源，影片画面清晰、播放流畅、无广告弹窗，数据常态化同步更新。</w:t>
      </w:r>
    </w:p>
    <w:p w14:paraId="2E806142">
      <w:pPr>
        <w:numPr>
          <w:ilvl w:val="255"/>
          <w:numId w:val="0"/>
        </w:numPr>
        <w:spacing w:line="400" w:lineRule="exact"/>
        <w:ind w:firstLine="420" w:firstLineChars="200"/>
        <w:rPr>
          <w:rFonts w:ascii="宋体" w:hAnsi="宋体" w:cs="宋体"/>
          <w:szCs w:val="21"/>
        </w:rPr>
      </w:pPr>
      <w:r>
        <w:rPr>
          <w:rFonts w:hint="eastAsia" w:ascii="宋体" w:hAnsi="宋体" w:cs="宋体"/>
          <w:szCs w:val="21"/>
        </w:rPr>
        <w:t>2.提供良好的视频分享平台。采用本地服务器缓存技术，占带宽的内容自动缓存到本地服务器，其他信息从网上读取，不会对用户造成任何影响。具备调动本地H5播放器，提供专业化制作、维护的浏览界面，能满足电影浏览、电影观看、优秀电影评论交流等需求，软件在线可自动实时更新。</w:t>
      </w:r>
    </w:p>
    <w:p w14:paraId="500A50E5">
      <w:pPr>
        <w:numPr>
          <w:ilvl w:val="255"/>
          <w:numId w:val="0"/>
        </w:numPr>
        <w:spacing w:line="400" w:lineRule="exact"/>
        <w:ind w:firstLine="420" w:firstLineChars="200"/>
        <w:rPr>
          <w:rFonts w:ascii="宋体" w:hAnsi="宋体" w:cs="宋体"/>
          <w:szCs w:val="21"/>
        </w:rPr>
      </w:pPr>
      <w:r>
        <w:rPr>
          <w:rFonts w:hint="eastAsia" w:ascii="宋体" w:hAnsi="宋体" w:cs="宋体"/>
          <w:szCs w:val="21"/>
        </w:rPr>
        <w:t>3.所有提供的影视资源均经过严密的审核制度保证其质量和合法性，数据库因版权引发的纠纷，均与学校无关。</w:t>
      </w:r>
    </w:p>
    <w:p w14:paraId="482068B7">
      <w:pPr>
        <w:numPr>
          <w:ilvl w:val="255"/>
          <w:numId w:val="0"/>
        </w:numPr>
        <w:spacing w:line="400" w:lineRule="exact"/>
        <w:ind w:firstLine="420" w:firstLineChars="200"/>
        <w:rPr>
          <w:rFonts w:ascii="宋体" w:hAnsi="宋体" w:cs="宋体"/>
          <w:szCs w:val="21"/>
        </w:rPr>
      </w:pPr>
      <w:r>
        <w:rPr>
          <w:rFonts w:hint="eastAsia" w:ascii="宋体" w:hAnsi="宋体" w:cs="宋体"/>
          <w:szCs w:val="21"/>
        </w:rPr>
        <w:t>4.提供产品包库数据量不少于1200G（不低于2500个小时），每季度更新不少100G，产品内容包括：经典影视资源、国产（含港台）中文影视剧及欧美大片和综艺体育类资源等。</w:t>
      </w:r>
    </w:p>
    <w:p w14:paraId="0B73BAF9">
      <w:pPr>
        <w:numPr>
          <w:ilvl w:val="255"/>
          <w:numId w:val="0"/>
        </w:numPr>
        <w:spacing w:line="400" w:lineRule="exact"/>
        <w:ind w:firstLine="420" w:firstLineChars="200"/>
        <w:rPr>
          <w:rFonts w:ascii="宋体" w:hAnsi="宋体" w:cs="宋体"/>
          <w:szCs w:val="21"/>
        </w:rPr>
      </w:pPr>
      <w:r>
        <w:rPr>
          <w:rFonts w:hint="eastAsia" w:ascii="宋体" w:hAnsi="宋体" w:cs="宋体"/>
          <w:szCs w:val="21"/>
        </w:rPr>
        <w:t>5.访问控制：校园IP范围内包库使用，无并发数限制（IP范围内可直接访问，IP范围外，需登录</w:t>
      </w:r>
      <w:r>
        <w:rPr>
          <w:rFonts w:hint="eastAsia" w:ascii="宋体" w:hAnsi="宋体" w:cs="宋体"/>
          <w:szCs w:val="21"/>
          <w:lang w:val="en-US" w:eastAsia="zh-CN"/>
        </w:rPr>
        <w:t>VPN</w:t>
      </w:r>
      <w:r>
        <w:rPr>
          <w:rFonts w:hint="eastAsia" w:ascii="宋体" w:hAnsi="宋体" w:cs="宋体"/>
          <w:szCs w:val="21"/>
        </w:rPr>
        <w:t>后访问）。</w:t>
      </w:r>
    </w:p>
    <w:p w14:paraId="676428C1">
      <w:pPr>
        <w:numPr>
          <w:ilvl w:val="255"/>
          <w:numId w:val="0"/>
        </w:numPr>
        <w:spacing w:line="400" w:lineRule="exact"/>
        <w:ind w:firstLine="420" w:firstLineChars="200"/>
        <w:rPr>
          <w:rFonts w:ascii="宋体" w:hAnsi="宋体" w:cs="宋体"/>
          <w:szCs w:val="21"/>
        </w:rPr>
      </w:pPr>
      <w:r>
        <w:rPr>
          <w:rFonts w:hint="eastAsia" w:ascii="宋体" w:hAnsi="宋体" w:cs="宋体"/>
          <w:szCs w:val="21"/>
        </w:rPr>
        <w:t>6.平台可确保对客户问题的全天候快速响应，一天24小时在线监控。提供相关电话服务专线，响应时间不超过3小时。若电话无法解决故障，则在12小时内响应上门服务。</w:t>
      </w:r>
    </w:p>
    <w:p w14:paraId="5A0C1DA7">
      <w:pPr>
        <w:numPr>
          <w:ilvl w:val="255"/>
          <w:numId w:val="0"/>
        </w:numPr>
        <w:spacing w:line="400" w:lineRule="exact"/>
        <w:ind w:firstLine="420" w:firstLineChars="200"/>
        <w:rPr>
          <w:rFonts w:ascii="宋体" w:hAnsi="宋体" w:cs="宋体"/>
          <w:szCs w:val="21"/>
        </w:rPr>
      </w:pPr>
      <w:r>
        <w:rPr>
          <w:rFonts w:hint="eastAsia" w:ascii="宋体" w:hAnsi="宋体" w:cs="宋体"/>
          <w:szCs w:val="21"/>
        </w:rPr>
        <w:t>7.服务期内，为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7765AF91">
      <w:pPr>
        <w:numPr>
          <w:ilvl w:val="255"/>
          <w:numId w:val="0"/>
        </w:numPr>
        <w:spacing w:line="400" w:lineRule="exact"/>
        <w:ind w:firstLine="420" w:firstLineChars="200"/>
        <w:rPr>
          <w:rFonts w:ascii="宋体" w:hAnsi="宋体" w:cs="宋体"/>
          <w:szCs w:val="21"/>
        </w:rPr>
      </w:pPr>
      <w:r>
        <w:rPr>
          <w:rFonts w:hint="eastAsia" w:ascii="宋体" w:hAnsi="宋体" w:cs="宋体"/>
          <w:szCs w:val="21"/>
        </w:rPr>
        <w:t>8.按照</w:t>
      </w:r>
      <w:r>
        <w:rPr>
          <w:rFonts w:hint="eastAsia" w:ascii="宋体" w:hAnsi="宋体" w:cs="宋体"/>
          <w:szCs w:val="21"/>
          <w:lang w:eastAsia="zh-CN"/>
        </w:rPr>
        <w:t>采购人</w:t>
      </w:r>
      <w:r>
        <w:rPr>
          <w:rFonts w:hint="eastAsia" w:ascii="宋体" w:hAnsi="宋体" w:cs="宋体"/>
          <w:szCs w:val="21"/>
        </w:rPr>
        <w:t>要求定期提供数据库使用统计。</w:t>
      </w:r>
    </w:p>
    <w:p w14:paraId="681169A3">
      <w:pPr>
        <w:numPr>
          <w:ilvl w:val="255"/>
          <w:numId w:val="0"/>
        </w:numPr>
        <w:spacing w:line="400" w:lineRule="exact"/>
        <w:ind w:firstLine="420" w:firstLineChars="200"/>
        <w:rPr>
          <w:rFonts w:ascii="宋体" w:hAnsi="宋体" w:cs="宋体"/>
          <w:szCs w:val="21"/>
        </w:rPr>
      </w:pPr>
      <w:r>
        <w:rPr>
          <w:rFonts w:hint="eastAsia" w:ascii="宋体" w:hAnsi="宋体" w:cs="宋体"/>
          <w:szCs w:val="21"/>
        </w:rPr>
        <w:t>9.服务期限：2026年1月1日至2026年12月31日。</w:t>
      </w:r>
      <w:r>
        <w:rPr>
          <w:rFonts w:hint="eastAsia" w:ascii="宋体" w:hAnsi="宋体" w:cs="宋体"/>
          <w:szCs w:val="21"/>
        </w:rPr>
        <w:br w:type="page"/>
      </w:r>
    </w:p>
    <w:p w14:paraId="711C198C">
      <w:pPr>
        <w:spacing w:line="400" w:lineRule="exact"/>
        <w:ind w:firstLine="422" w:firstLineChars="200"/>
        <w:rPr>
          <w:rFonts w:ascii="宋体" w:hAnsi="宋体" w:cs="宋体"/>
          <w:b/>
          <w:szCs w:val="21"/>
        </w:rPr>
      </w:pPr>
      <w:r>
        <w:rPr>
          <w:rFonts w:hint="eastAsia" w:ascii="宋体" w:hAnsi="宋体" w:cs="宋体"/>
          <w:b/>
          <w:szCs w:val="21"/>
        </w:rPr>
        <w:t>标项二十二（NoteExpress）：</w:t>
      </w:r>
    </w:p>
    <w:p w14:paraId="1844D46B">
      <w:pPr>
        <w:numPr>
          <w:ilvl w:val="255"/>
          <w:numId w:val="0"/>
        </w:numPr>
        <w:spacing w:line="400" w:lineRule="exact"/>
        <w:ind w:firstLine="420" w:firstLineChars="200"/>
        <w:rPr>
          <w:rFonts w:ascii="宋体" w:hAnsi="宋体" w:cs="宋体"/>
          <w:szCs w:val="21"/>
        </w:rPr>
      </w:pPr>
      <w:r>
        <w:rPr>
          <w:rFonts w:hint="eastAsia" w:ascii="宋体" w:hAnsi="宋体" w:cs="宋体"/>
          <w:szCs w:val="21"/>
        </w:rPr>
        <w:t>1.系统功能要求</w:t>
      </w:r>
    </w:p>
    <w:p w14:paraId="5A3D04E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1.1管理的文献种类覆盖期刊论文、会议论文、学位论文、专著、专利、标准、报告、互联网文献古籍、档案、软件、数据库等常见文献类型，并支持用户自定义文献类型</w:t>
      </w:r>
      <w:r>
        <w:rPr>
          <w:rFonts w:hint="eastAsia" w:ascii="宋体" w:hAnsi="宋体" w:cs="宋体"/>
          <w:szCs w:val="21"/>
          <w:lang w:eastAsia="zh-CN"/>
        </w:rPr>
        <w:t>。</w:t>
      </w:r>
    </w:p>
    <w:p w14:paraId="138D771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1.2在联网状态下，支持使用主流云盘服务（微软 OneDrive、百度云盘等）进行数据库的同步和备份</w:t>
      </w:r>
      <w:r>
        <w:rPr>
          <w:rFonts w:hint="eastAsia" w:ascii="宋体" w:hAnsi="宋体" w:cs="宋体"/>
          <w:szCs w:val="21"/>
          <w:lang w:eastAsia="zh-CN"/>
        </w:rPr>
        <w:t>。</w:t>
      </w:r>
    </w:p>
    <w:p w14:paraId="1FF2958D">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1.3支持从 PDF格式的全文文献中识别文献的核心信息，并通过智能更新功能补全文献的其他信息</w:t>
      </w:r>
      <w:r>
        <w:rPr>
          <w:rFonts w:hint="eastAsia" w:ascii="宋体" w:hAnsi="宋体" w:cs="宋体"/>
          <w:szCs w:val="21"/>
          <w:lang w:eastAsia="zh-CN"/>
        </w:rPr>
        <w:t>。</w:t>
      </w:r>
    </w:p>
    <w:p w14:paraId="41CC2E1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1.4具备智能更新帮助用户补全中外文文献的元数据信息</w:t>
      </w:r>
      <w:r>
        <w:rPr>
          <w:rFonts w:hint="eastAsia" w:ascii="宋体" w:hAnsi="宋体" w:cs="宋体"/>
          <w:szCs w:val="21"/>
          <w:lang w:eastAsia="zh-CN"/>
        </w:rPr>
        <w:t>。</w:t>
      </w:r>
    </w:p>
    <w:p w14:paraId="7577A95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1.5具备文献全文批量下载</w:t>
      </w:r>
      <w:r>
        <w:rPr>
          <w:rFonts w:hint="eastAsia" w:ascii="宋体" w:hAnsi="宋体" w:cs="宋体"/>
          <w:szCs w:val="21"/>
          <w:lang w:eastAsia="zh-CN"/>
        </w:rPr>
        <w:t>。</w:t>
      </w:r>
    </w:p>
    <w:p w14:paraId="48D8045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1.6具备在线检索功能，支持主流中外文数据库，包括但不限于中国期刊网、万方、WOS、PubMed、ScienceDirect、SpringerLink</w:t>
      </w:r>
      <w:r>
        <w:rPr>
          <w:rFonts w:hint="eastAsia" w:ascii="宋体" w:hAnsi="宋体" w:cs="宋体"/>
          <w:szCs w:val="21"/>
          <w:lang w:eastAsia="zh-CN"/>
        </w:rPr>
        <w:t>。</w:t>
      </w:r>
    </w:p>
    <w:p w14:paraId="3D50323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1.7具备Chromium内核浏览器插件，帮助用户在通过浏览器使用专业数据库或一般网页时，保存题录及全文到桌面端</w:t>
      </w:r>
      <w:r>
        <w:rPr>
          <w:rFonts w:hint="eastAsia" w:ascii="宋体" w:hAnsi="宋体" w:cs="宋体"/>
          <w:szCs w:val="21"/>
          <w:lang w:eastAsia="zh-CN"/>
        </w:rPr>
        <w:t>。</w:t>
      </w:r>
    </w:p>
    <w:p w14:paraId="48FEDBEB">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1.8文献查重—按照用户自定义标准对全库或指定文件夹内的文献进行查重</w:t>
      </w:r>
      <w:r>
        <w:rPr>
          <w:rFonts w:hint="eastAsia" w:ascii="宋体" w:hAnsi="宋体" w:cs="宋体"/>
          <w:szCs w:val="21"/>
          <w:lang w:eastAsia="zh-CN"/>
        </w:rPr>
        <w:t>。</w:t>
      </w:r>
    </w:p>
    <w:p w14:paraId="034D6BD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1.9支持笔记功能，方便用户在文献阅读时随时记录，并对用户记录的笔记高效有序</w:t>
      </w:r>
      <w:r>
        <w:rPr>
          <w:rFonts w:hint="eastAsia" w:ascii="宋体" w:hAnsi="宋体" w:cs="宋体"/>
          <w:szCs w:val="21"/>
          <w:lang w:eastAsia="zh-CN"/>
        </w:rPr>
        <w:t>地</w:t>
      </w:r>
      <w:r>
        <w:rPr>
          <w:rFonts w:hint="eastAsia" w:ascii="宋体" w:hAnsi="宋体" w:cs="宋体"/>
          <w:szCs w:val="21"/>
        </w:rPr>
        <w:t>管理，方便以后查阅和使用</w:t>
      </w:r>
      <w:r>
        <w:rPr>
          <w:rFonts w:hint="eastAsia" w:ascii="宋体" w:hAnsi="宋体" w:cs="宋体"/>
          <w:szCs w:val="21"/>
          <w:lang w:eastAsia="zh-CN"/>
        </w:rPr>
        <w:t>。</w:t>
      </w:r>
    </w:p>
    <w:p w14:paraId="07E4C103">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1.10具备写作插件，支持MS Word和金山WPS文字，方便用户在撰写科研文献的时候自动生成文中标引和文末（页末）参考文献列表</w:t>
      </w:r>
      <w:r>
        <w:rPr>
          <w:rFonts w:hint="eastAsia" w:ascii="宋体" w:hAnsi="宋体" w:cs="宋体"/>
          <w:szCs w:val="21"/>
          <w:lang w:eastAsia="zh-CN"/>
        </w:rPr>
        <w:t>。</w:t>
      </w:r>
    </w:p>
    <w:p w14:paraId="4096535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1.11提供 4000 多种期刊、协会、出版社和国家标准的参考文献样式，方便用户进行参考文献样式的一键转换</w:t>
      </w:r>
      <w:r>
        <w:rPr>
          <w:rFonts w:hint="eastAsia" w:ascii="宋体" w:hAnsi="宋体" w:cs="宋体"/>
          <w:szCs w:val="21"/>
          <w:lang w:eastAsia="zh-CN"/>
        </w:rPr>
        <w:t>。</w:t>
      </w:r>
    </w:p>
    <w:p w14:paraId="69A79BE8">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1.12提供引证报告，能指出参考文献中存在的必填字段信息缺失</w:t>
      </w:r>
      <w:r>
        <w:rPr>
          <w:rFonts w:hint="eastAsia" w:ascii="宋体" w:hAnsi="宋体" w:cs="宋体"/>
          <w:szCs w:val="21"/>
          <w:lang w:eastAsia="zh-CN"/>
        </w:rPr>
        <w:t>。</w:t>
      </w:r>
    </w:p>
    <w:p w14:paraId="70C6732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1.13支持生成双语参考文献样式</w:t>
      </w:r>
      <w:r>
        <w:rPr>
          <w:rFonts w:hint="eastAsia" w:ascii="宋体" w:hAnsi="宋体" w:cs="宋体"/>
          <w:szCs w:val="21"/>
          <w:lang w:eastAsia="zh-CN"/>
        </w:rPr>
        <w:t>。</w:t>
      </w:r>
    </w:p>
    <w:p w14:paraId="1078F80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1.14支持生成尾注、脚注</w:t>
      </w:r>
      <w:r>
        <w:rPr>
          <w:rFonts w:hint="eastAsia" w:ascii="宋体" w:hAnsi="宋体" w:cs="宋体"/>
          <w:szCs w:val="21"/>
          <w:lang w:eastAsia="zh-CN"/>
        </w:rPr>
        <w:t>。</w:t>
      </w:r>
    </w:p>
    <w:p w14:paraId="5879844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1.15支持用户自定义参考文献样式</w:t>
      </w:r>
      <w:r>
        <w:rPr>
          <w:rFonts w:hint="eastAsia" w:ascii="宋体" w:hAnsi="宋体" w:cs="宋体"/>
          <w:szCs w:val="21"/>
          <w:lang w:eastAsia="zh-CN"/>
        </w:rPr>
        <w:t>。</w:t>
      </w:r>
    </w:p>
    <w:p w14:paraId="3EA1D27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1.16自动识别期刊的收录范围，包含（SCIE、SCI、EI、SSCI、AHCI、CSCD、CSSCI、PKU、ISTIC）</w:t>
      </w:r>
      <w:r>
        <w:rPr>
          <w:rFonts w:hint="eastAsia" w:ascii="宋体" w:hAnsi="宋体" w:cs="宋体"/>
          <w:szCs w:val="21"/>
          <w:lang w:eastAsia="zh-CN"/>
        </w:rPr>
        <w:t>。</w:t>
      </w:r>
    </w:p>
    <w:p w14:paraId="013992C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1.17支持查询期刊近五年的JCR期刊影响因子</w:t>
      </w:r>
      <w:r>
        <w:rPr>
          <w:rFonts w:hint="eastAsia" w:ascii="宋体" w:hAnsi="宋体" w:cs="宋体"/>
          <w:szCs w:val="21"/>
          <w:lang w:eastAsia="zh-CN"/>
        </w:rPr>
        <w:t>。</w:t>
      </w:r>
    </w:p>
    <w:p w14:paraId="3F8074D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1.18支持查询期刊的</w:t>
      </w:r>
      <w:r>
        <w:t>中国科学院文献情报中心期刊</w:t>
      </w:r>
      <w:r>
        <w:rPr>
          <w:rFonts w:hint="eastAsia" w:ascii="宋体" w:hAnsi="宋体" w:cs="宋体"/>
          <w:szCs w:val="21"/>
        </w:rPr>
        <w:t>分区表信息</w:t>
      </w:r>
      <w:r>
        <w:rPr>
          <w:rFonts w:hint="eastAsia" w:ascii="宋体" w:hAnsi="宋体" w:cs="宋体"/>
          <w:szCs w:val="21"/>
          <w:lang w:eastAsia="zh-CN"/>
        </w:rPr>
        <w:t>。</w:t>
      </w:r>
    </w:p>
    <w:p w14:paraId="2564B37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1.19具备文件夹统计分析功能，支持对所有字段进行统计，包括作者、关键词等；分析结果能导出为TXT或者CSV格式文件</w:t>
      </w:r>
      <w:r>
        <w:rPr>
          <w:rFonts w:hint="eastAsia" w:ascii="宋体" w:hAnsi="宋体" w:cs="宋体"/>
          <w:szCs w:val="21"/>
          <w:lang w:eastAsia="zh-CN"/>
        </w:rPr>
        <w:t>。</w:t>
      </w:r>
    </w:p>
    <w:p w14:paraId="3E2DF4DB">
      <w:pPr>
        <w:numPr>
          <w:ilvl w:val="255"/>
          <w:numId w:val="0"/>
        </w:numPr>
        <w:spacing w:line="400" w:lineRule="exact"/>
        <w:ind w:firstLine="420" w:firstLineChars="200"/>
        <w:rPr>
          <w:rFonts w:ascii="宋体" w:hAnsi="宋体" w:cs="宋体"/>
          <w:szCs w:val="21"/>
        </w:rPr>
      </w:pPr>
      <w:r>
        <w:rPr>
          <w:rFonts w:hint="eastAsia" w:ascii="宋体" w:hAnsi="宋体" w:cs="宋体"/>
          <w:szCs w:val="21"/>
        </w:rPr>
        <w:t>1.20具备基于词共现的文献元数据统计分析功能，支持自动对文献标题进行分词，可以绘制词云图、词共现关系图，计算词共现次数矩阵和相关、相异系数矩阵。</w:t>
      </w:r>
    </w:p>
    <w:p w14:paraId="7FBA7B16">
      <w:pPr>
        <w:numPr>
          <w:ilvl w:val="255"/>
          <w:numId w:val="0"/>
        </w:numPr>
        <w:spacing w:line="400" w:lineRule="exact"/>
        <w:ind w:firstLine="420" w:firstLineChars="200"/>
        <w:rPr>
          <w:rFonts w:ascii="宋体" w:hAnsi="宋体" w:cs="宋体"/>
          <w:szCs w:val="21"/>
        </w:rPr>
      </w:pPr>
      <w:r>
        <w:rPr>
          <w:rFonts w:hint="eastAsia" w:ascii="宋体" w:hAnsi="宋体" w:cs="宋体"/>
          <w:szCs w:val="21"/>
        </w:rPr>
        <w:t>2.访问方式</w:t>
      </w:r>
    </w:p>
    <w:p w14:paraId="626A0E2B">
      <w:pPr>
        <w:numPr>
          <w:ilvl w:val="255"/>
          <w:numId w:val="0"/>
        </w:numPr>
        <w:spacing w:line="400" w:lineRule="exact"/>
        <w:ind w:firstLine="420" w:firstLineChars="200"/>
        <w:rPr>
          <w:rFonts w:ascii="宋体" w:hAnsi="宋体" w:cs="宋体"/>
          <w:szCs w:val="21"/>
        </w:rPr>
      </w:pPr>
      <w:r>
        <w:rPr>
          <w:rFonts w:hint="eastAsia" w:ascii="宋体" w:hAnsi="宋体" w:cs="宋体"/>
          <w:szCs w:val="21"/>
        </w:rPr>
        <w:t>开放宁波大学IP地址段</w:t>
      </w:r>
      <w:r>
        <w:rPr>
          <w:rFonts w:hint="eastAsia" w:ascii="宋体" w:hAnsi="宋体" w:cs="宋体"/>
          <w:szCs w:val="21"/>
          <w:lang w:eastAsia="zh-CN"/>
        </w:rPr>
        <w:t>并</w:t>
      </w:r>
      <w:r>
        <w:rPr>
          <w:rFonts w:hint="eastAsia" w:ascii="宋体" w:hAnsi="宋体" w:cs="宋体"/>
          <w:szCs w:val="21"/>
        </w:rPr>
        <w:t>提供远程网络访问服务。</w:t>
      </w:r>
    </w:p>
    <w:p w14:paraId="5471EB12">
      <w:pPr>
        <w:numPr>
          <w:ilvl w:val="255"/>
          <w:numId w:val="0"/>
        </w:numPr>
        <w:spacing w:line="400" w:lineRule="exact"/>
        <w:ind w:firstLine="420" w:firstLineChars="200"/>
        <w:rPr>
          <w:rFonts w:ascii="宋体" w:hAnsi="宋体" w:cs="宋体"/>
          <w:szCs w:val="21"/>
        </w:rPr>
      </w:pPr>
      <w:r>
        <w:rPr>
          <w:rFonts w:hint="eastAsia" w:ascii="宋体" w:hAnsi="宋体" w:cs="宋体"/>
          <w:szCs w:val="21"/>
        </w:rPr>
        <w:t>3.售后服务要求</w:t>
      </w:r>
    </w:p>
    <w:p w14:paraId="1E71C3D2">
      <w:pPr>
        <w:numPr>
          <w:ilvl w:val="255"/>
          <w:numId w:val="0"/>
        </w:numPr>
        <w:spacing w:line="400" w:lineRule="exact"/>
        <w:ind w:firstLine="420" w:firstLineChars="200"/>
        <w:rPr>
          <w:rFonts w:ascii="宋体" w:hAnsi="宋体" w:cs="宋体"/>
          <w:szCs w:val="21"/>
        </w:rPr>
      </w:pPr>
      <w:r>
        <w:rPr>
          <w:rFonts w:hint="eastAsia" w:ascii="宋体" w:hAnsi="宋体" w:cs="宋体"/>
          <w:szCs w:val="21"/>
        </w:rPr>
        <w:t>3.1服务期内，为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1FF5F67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3.2定期提供数据库使用统计</w:t>
      </w:r>
      <w:r>
        <w:rPr>
          <w:rFonts w:hint="eastAsia" w:ascii="宋体" w:hAnsi="宋体" w:cs="宋体"/>
          <w:szCs w:val="21"/>
          <w:lang w:eastAsia="zh-CN"/>
        </w:rPr>
        <w:t>。</w:t>
      </w:r>
    </w:p>
    <w:p w14:paraId="69E7232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3.3积极配合</w:t>
      </w:r>
      <w:r>
        <w:rPr>
          <w:rFonts w:hint="eastAsia" w:ascii="宋体" w:hAnsi="宋体" w:cs="宋体"/>
          <w:szCs w:val="21"/>
          <w:lang w:eastAsia="zh-CN"/>
        </w:rPr>
        <w:t>采购人</w:t>
      </w:r>
      <w:r>
        <w:rPr>
          <w:rFonts w:hint="eastAsia" w:ascii="宋体" w:hAnsi="宋体" w:cs="宋体"/>
          <w:szCs w:val="21"/>
        </w:rPr>
        <w:t>完成数据库的宣传推广工作</w:t>
      </w:r>
      <w:r>
        <w:rPr>
          <w:rFonts w:hint="eastAsia" w:ascii="宋体" w:hAnsi="宋体" w:cs="宋体"/>
          <w:szCs w:val="21"/>
          <w:lang w:eastAsia="zh-CN"/>
        </w:rPr>
        <w:t>。</w:t>
      </w:r>
    </w:p>
    <w:p w14:paraId="1E6DDC10">
      <w:pPr>
        <w:numPr>
          <w:ilvl w:val="255"/>
          <w:numId w:val="0"/>
        </w:numPr>
        <w:spacing w:line="400" w:lineRule="exact"/>
        <w:ind w:firstLine="420" w:firstLineChars="200"/>
        <w:rPr>
          <w:rFonts w:ascii="宋体" w:hAnsi="宋体" w:cs="宋体"/>
          <w:szCs w:val="21"/>
        </w:rPr>
      </w:pPr>
      <w:r>
        <w:rPr>
          <w:rFonts w:hint="eastAsia" w:ascii="宋体" w:hAnsi="宋体" w:cs="宋体"/>
          <w:szCs w:val="21"/>
        </w:rPr>
        <w:t>3.4提供电话、邮件、QQ、微信等方式、7×24小时专人服务，商务响应时间不超过24小时。</w:t>
      </w:r>
    </w:p>
    <w:p w14:paraId="4EE6760C">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服务期限：2026年1月1日至2026年12月31日</w:t>
      </w:r>
      <w:r>
        <w:rPr>
          <w:rFonts w:hint="eastAsia" w:ascii="宋体" w:hAnsi="宋体" w:cs="宋体"/>
          <w:szCs w:val="21"/>
          <w:lang w:eastAsia="zh-CN"/>
        </w:rPr>
        <w:t>。</w:t>
      </w:r>
      <w:r>
        <w:rPr>
          <w:rFonts w:hint="eastAsia" w:ascii="宋体" w:hAnsi="宋体" w:cs="宋体"/>
          <w:szCs w:val="21"/>
        </w:rPr>
        <w:br w:type="page"/>
      </w:r>
    </w:p>
    <w:p w14:paraId="54173268">
      <w:pPr>
        <w:spacing w:line="400" w:lineRule="exact"/>
        <w:ind w:firstLine="422" w:firstLineChars="200"/>
        <w:rPr>
          <w:rFonts w:ascii="宋体" w:hAnsi="宋体" w:cs="宋体"/>
          <w:b/>
          <w:szCs w:val="21"/>
        </w:rPr>
      </w:pPr>
      <w:r>
        <w:rPr>
          <w:rFonts w:hint="eastAsia" w:ascii="宋体" w:hAnsi="宋体" w:cs="宋体"/>
          <w:b/>
          <w:szCs w:val="21"/>
        </w:rPr>
        <w:t>标项二十三（京东读书）：</w:t>
      </w:r>
    </w:p>
    <w:p w14:paraId="1ABD9EC0">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1.资源</w:t>
      </w:r>
    </w:p>
    <w:p w14:paraId="588BBDA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1.1包含中文电子图书20万种</w:t>
      </w:r>
      <w:r>
        <w:rPr>
          <w:rFonts w:hint="eastAsia" w:ascii="宋体" w:hAnsi="宋体" w:cs="宋体"/>
          <w:szCs w:val="21"/>
          <w:lang w:eastAsia="zh-CN"/>
        </w:rPr>
        <w:t>。</w:t>
      </w:r>
    </w:p>
    <w:p w14:paraId="24CDF78C">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1.2全部版权合法，提供5份以上出版社授权协议复印件，其中以下出版社至少包含3家（人民邮电出版社、知识产权出版社、北京大学出版社、中信出版社、中华书局）</w:t>
      </w:r>
      <w:r>
        <w:rPr>
          <w:rFonts w:hint="eastAsia" w:ascii="宋体" w:hAnsi="宋体" w:cs="宋体"/>
          <w:szCs w:val="21"/>
          <w:lang w:eastAsia="zh-CN"/>
        </w:rPr>
        <w:t>。</w:t>
      </w:r>
    </w:p>
    <w:p w14:paraId="4650E33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1.3资源要求为pdf\epub格式，epub格式占比85%以上</w:t>
      </w:r>
      <w:r>
        <w:rPr>
          <w:rFonts w:hint="eastAsia" w:ascii="宋体" w:hAnsi="宋体" w:cs="宋体"/>
          <w:szCs w:val="21"/>
          <w:lang w:eastAsia="zh-CN"/>
        </w:rPr>
        <w:t>。</w:t>
      </w:r>
    </w:p>
    <w:p w14:paraId="24B037F8">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1.4图书更新速度快，每月要有新书更新，年更新数量3</w:t>
      </w:r>
      <w:r>
        <w:rPr>
          <w:rFonts w:hint="eastAsia" w:ascii="宋体" w:hAnsi="宋体" w:cs="宋体"/>
          <w:szCs w:val="21"/>
          <w:lang w:eastAsia="zh-CN"/>
        </w:rPr>
        <w:t>万</w:t>
      </w:r>
      <w:r>
        <w:rPr>
          <w:rFonts w:hint="eastAsia" w:ascii="宋体" w:hAnsi="宋体" w:cs="宋体"/>
          <w:szCs w:val="21"/>
        </w:rPr>
        <w:t>-5万种</w:t>
      </w:r>
      <w:r>
        <w:rPr>
          <w:rFonts w:hint="eastAsia" w:ascii="宋体" w:hAnsi="宋体" w:cs="宋体"/>
          <w:szCs w:val="21"/>
          <w:lang w:eastAsia="zh-CN"/>
        </w:rPr>
        <w:t>。</w:t>
      </w:r>
    </w:p>
    <w:p w14:paraId="5837D92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1.5近5年出版图书占比不低于40%。</w:t>
      </w:r>
    </w:p>
    <w:p w14:paraId="517F7AEE">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2.平台</w:t>
      </w:r>
    </w:p>
    <w:p w14:paraId="7E887D0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2.1提供多种阅读方式：包括IOS\Android端APP，微网页、WEB网页；并支持电子墨水屏阅读器</w:t>
      </w:r>
      <w:r>
        <w:rPr>
          <w:rFonts w:hint="eastAsia" w:ascii="宋体" w:hAnsi="宋体" w:cs="宋体"/>
          <w:szCs w:val="21"/>
          <w:lang w:eastAsia="zh-CN"/>
        </w:rPr>
        <w:t>。</w:t>
      </w:r>
    </w:p>
    <w:p w14:paraId="293735F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2.2支持多种平台认证方式，包括IP认证、统一身份认证</w:t>
      </w:r>
      <w:r>
        <w:rPr>
          <w:rFonts w:hint="eastAsia" w:ascii="宋体" w:hAnsi="宋体" w:cs="宋体"/>
          <w:szCs w:val="21"/>
          <w:lang w:eastAsia="zh-CN"/>
        </w:rPr>
        <w:t>。</w:t>
      </w:r>
    </w:p>
    <w:p w14:paraId="0D6D567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2.3支持账号授权阅读模式，校内校外均可阅读，不受IP限制</w:t>
      </w:r>
      <w:r>
        <w:rPr>
          <w:rFonts w:hint="eastAsia" w:ascii="宋体" w:hAnsi="宋体" w:cs="宋体"/>
          <w:szCs w:val="21"/>
          <w:lang w:eastAsia="zh-CN"/>
        </w:rPr>
        <w:t>。</w:t>
      </w:r>
    </w:p>
    <w:p w14:paraId="29AFDEC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2.4支持馆内自助推荐阅读书单、支持馆内刊物上传发布</w:t>
      </w:r>
      <w:r>
        <w:rPr>
          <w:rFonts w:hint="eastAsia" w:ascii="宋体" w:hAnsi="宋体" w:cs="宋体"/>
          <w:szCs w:val="21"/>
          <w:lang w:eastAsia="zh-CN"/>
        </w:rPr>
        <w:t>。</w:t>
      </w:r>
    </w:p>
    <w:p w14:paraId="0810815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2.5提供本馆读者阅读分析统计，团队阅历包括阅读时间、阅读书籍类型分布；个人阅历支持阅读偏好分析，能根据个人阅读数据智能显示性格标签等。通过阅读数据，为当前读者推荐喜欢阅读的书籍</w:t>
      </w:r>
      <w:r>
        <w:rPr>
          <w:rFonts w:hint="eastAsia" w:ascii="宋体" w:hAnsi="宋体" w:cs="宋体"/>
          <w:szCs w:val="21"/>
          <w:lang w:eastAsia="zh-CN"/>
        </w:rPr>
        <w:t>。</w:t>
      </w:r>
    </w:p>
    <w:p w14:paraId="20916B7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2.6软件功能应包括阅览室、我的书架、猜你喜欢、阅读圈、个人阅历等</w:t>
      </w:r>
      <w:r>
        <w:rPr>
          <w:rFonts w:hint="eastAsia" w:ascii="宋体" w:hAnsi="宋体" w:cs="宋体"/>
          <w:szCs w:val="21"/>
          <w:lang w:eastAsia="zh-CN"/>
        </w:rPr>
        <w:t>。</w:t>
      </w:r>
    </w:p>
    <w:p w14:paraId="5E3CE37B">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2.7提供图书检索和下载服务，支持部分章节内容复制</w:t>
      </w:r>
      <w:r>
        <w:rPr>
          <w:rFonts w:hint="eastAsia" w:ascii="宋体" w:hAnsi="宋体" w:cs="宋体"/>
          <w:szCs w:val="21"/>
          <w:lang w:eastAsia="zh-CN"/>
        </w:rPr>
        <w:t>。</w:t>
      </w:r>
    </w:p>
    <w:p w14:paraId="2EAC32D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2.8个人书架可以对图书进行自定义分组管理，支持按书籍类型及阅读进度状态自动分类，书架信息在不同的设备上登录后自动同步更新，书籍云端保存，实现多终端同步</w:t>
      </w:r>
      <w:r>
        <w:rPr>
          <w:rFonts w:hint="eastAsia" w:ascii="宋体" w:hAnsi="宋体" w:cs="宋体"/>
          <w:szCs w:val="21"/>
          <w:lang w:eastAsia="zh-CN"/>
        </w:rPr>
        <w:t>。</w:t>
      </w:r>
    </w:p>
    <w:p w14:paraId="192646B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2.9支持阅读分享，可分享到微信、微博、QQ，也可以分享在系统自带的校友阅读圈；阅读平台支持在线笔记和笔记导出到邮件、印象笔记等</w:t>
      </w:r>
      <w:r>
        <w:rPr>
          <w:rFonts w:hint="eastAsia" w:ascii="宋体" w:hAnsi="宋体" w:cs="宋体"/>
          <w:szCs w:val="21"/>
          <w:lang w:eastAsia="zh-CN"/>
        </w:rPr>
        <w:t>。</w:t>
      </w:r>
    </w:p>
    <w:p w14:paraId="6DA19EB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2.10阅读格式支持 PDF 和EPUB 格式</w:t>
      </w:r>
      <w:r>
        <w:rPr>
          <w:rFonts w:hint="eastAsia" w:ascii="宋体" w:hAnsi="宋体" w:cs="宋体"/>
          <w:szCs w:val="21"/>
          <w:lang w:eastAsia="zh-CN"/>
        </w:rPr>
        <w:t>。</w:t>
      </w:r>
    </w:p>
    <w:p w14:paraId="72E1CB2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2.11提供电子图书语音朗读功能；支持多种声音角色选择、播放语速选择、定时播放等</w:t>
      </w:r>
      <w:r>
        <w:rPr>
          <w:rFonts w:hint="eastAsia" w:ascii="宋体" w:hAnsi="宋体" w:cs="宋体"/>
          <w:szCs w:val="21"/>
          <w:lang w:eastAsia="zh-CN"/>
        </w:rPr>
        <w:t>。</w:t>
      </w:r>
    </w:p>
    <w:p w14:paraId="7815BF8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2.12计算机类图书要求图书中涉及的程序代码段能以代码编辑器形式打开阅读，关键词有颜色标记，能一键复制代码段。</w:t>
      </w:r>
    </w:p>
    <w:p w14:paraId="0527090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2.13阅读模式下可自由调整字体大小，背景颜色、亮度、夜间模式、音量键翻页、横屏时支持双页显示等个性化设置</w:t>
      </w:r>
      <w:r>
        <w:rPr>
          <w:rFonts w:hint="eastAsia" w:ascii="宋体" w:hAnsi="宋体" w:cs="宋体"/>
          <w:szCs w:val="21"/>
          <w:lang w:eastAsia="zh-CN"/>
        </w:rPr>
        <w:t>。</w:t>
      </w:r>
    </w:p>
    <w:p w14:paraId="3E60931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2.14提供馆内读者线上交流功能，读者可以在圈子里发布读后感、分享书籍等，还可以就书评进行点赞、评论、回复等互动交流，加强图书馆与读者之间的联系</w:t>
      </w:r>
      <w:r>
        <w:rPr>
          <w:rFonts w:hint="eastAsia" w:ascii="宋体" w:hAnsi="宋体" w:cs="宋体"/>
          <w:szCs w:val="21"/>
          <w:lang w:eastAsia="zh-CN"/>
        </w:rPr>
        <w:t>。</w:t>
      </w:r>
    </w:p>
    <w:p w14:paraId="2743AA8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2.15阅读环境下，读者可以自由增加书签、自由记录阅读笔记，并自动同步到云端，数据永不丢失。</w:t>
      </w:r>
    </w:p>
    <w:p w14:paraId="7EDBAA1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3.服务</w:t>
      </w:r>
    </w:p>
    <w:p w14:paraId="676992DF">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3.1在订购有效期限内，保证经身份认证的本校读者无限制阅读平台内所有电子图书。</w:t>
      </w:r>
    </w:p>
    <w:p w14:paraId="0D4C8E9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3.2平台在订购期内应及时做好产品升级服务，提供7×8小时电话支持，7×24小时网络支持，解决出现的问题。</w:t>
      </w:r>
    </w:p>
    <w:p w14:paraId="15EFEA56">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3.3阅读平台应7×24小时无间断运行，出现故障应在2小时内响应，4小时内恢复。</w:t>
      </w:r>
    </w:p>
    <w:p w14:paraId="166EB60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3.4服务期内，为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4A7B36E2">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3.5定期提供数据库使用统计。</w:t>
      </w:r>
    </w:p>
    <w:p w14:paraId="5E8C4D13">
      <w:pPr>
        <w:numPr>
          <w:ilvl w:val="255"/>
          <w:numId w:val="0"/>
        </w:numPr>
        <w:spacing w:line="400" w:lineRule="exact"/>
        <w:ind w:left="399" w:leftChars="190" w:firstLine="0" w:firstLineChars="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服务期限：2026年1月1日至2026年12月31日</w:t>
      </w:r>
      <w:r>
        <w:rPr>
          <w:rFonts w:hint="eastAsia" w:ascii="宋体" w:hAnsi="宋体" w:cs="宋体"/>
          <w:szCs w:val="21"/>
          <w:lang w:eastAsia="zh-CN"/>
        </w:rPr>
        <w:t>。</w:t>
      </w:r>
      <w:r>
        <w:rPr>
          <w:rFonts w:hint="eastAsia" w:ascii="宋体" w:hAnsi="宋体" w:cs="宋体"/>
          <w:szCs w:val="21"/>
        </w:rPr>
        <w:br w:type="page"/>
      </w:r>
    </w:p>
    <w:p w14:paraId="493F9DF9">
      <w:pPr>
        <w:spacing w:line="400" w:lineRule="exact"/>
        <w:ind w:firstLine="422" w:firstLineChars="200"/>
        <w:rPr>
          <w:rFonts w:ascii="宋体" w:hAnsi="宋体" w:cs="宋体"/>
          <w:b/>
          <w:szCs w:val="21"/>
        </w:rPr>
      </w:pPr>
      <w:r>
        <w:rPr>
          <w:rFonts w:hint="eastAsia" w:ascii="宋体" w:hAnsi="宋体" w:cs="宋体"/>
          <w:b/>
          <w:szCs w:val="21"/>
        </w:rPr>
        <w:t>标项二十四（MeTel多媒体教学资源）：</w:t>
      </w:r>
    </w:p>
    <w:p w14:paraId="0A22CE4D">
      <w:pPr>
        <w:numPr>
          <w:ilvl w:val="255"/>
          <w:numId w:val="0"/>
        </w:numPr>
        <w:spacing w:line="400" w:lineRule="exact"/>
        <w:ind w:firstLine="420" w:firstLineChars="200"/>
        <w:rPr>
          <w:rFonts w:ascii="宋体" w:hAnsi="宋体" w:cs="宋体"/>
          <w:szCs w:val="21"/>
        </w:rPr>
      </w:pPr>
      <w:r>
        <w:rPr>
          <w:rFonts w:hint="eastAsia" w:ascii="宋体" w:hAnsi="宋体" w:cs="宋体"/>
          <w:szCs w:val="21"/>
        </w:rPr>
        <w:t>1.技术需求</w:t>
      </w:r>
    </w:p>
    <w:p w14:paraId="077D20BB">
      <w:pPr>
        <w:numPr>
          <w:ilvl w:val="255"/>
          <w:numId w:val="0"/>
        </w:numPr>
        <w:spacing w:line="400" w:lineRule="exact"/>
        <w:ind w:firstLine="420" w:firstLineChars="200"/>
        <w:rPr>
          <w:rFonts w:ascii="宋体" w:hAnsi="宋体" w:cs="宋体"/>
          <w:szCs w:val="21"/>
        </w:rPr>
      </w:pPr>
      <w:r>
        <w:rPr>
          <w:rFonts w:hint="eastAsia" w:ascii="宋体" w:hAnsi="宋体" w:cs="宋体"/>
          <w:szCs w:val="21"/>
        </w:rPr>
        <w:t>1.1采购内容</w:t>
      </w:r>
    </w:p>
    <w:p w14:paraId="119176C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1.1.1《理学》：涵盖12550余门课程，72万余个资源，主要包括数学（基础数学、计算数学、概率论与数理统计、应用数学、运筹学与控制论）、物理学（理论物理、粒子物理与原子核物理、原子与分子物理、等离子体物理、凝聚态物理、光学、无线电物理）、化学（无机化学、分析化学、有机化学、物理化学、高分子化学与物理）、天文学、地理学、大气科学、海洋科学、地球物理学、地质学、生物学、系统科学、科学技术史、生态学等</w:t>
      </w:r>
      <w:r>
        <w:rPr>
          <w:rFonts w:hint="eastAsia" w:ascii="宋体" w:hAnsi="宋体" w:cs="宋体"/>
          <w:szCs w:val="21"/>
          <w:lang w:eastAsia="zh-CN"/>
        </w:rPr>
        <w:t>。</w:t>
      </w:r>
    </w:p>
    <w:p w14:paraId="72287F70">
      <w:pPr>
        <w:numPr>
          <w:ilvl w:val="255"/>
          <w:numId w:val="0"/>
        </w:numPr>
        <w:spacing w:line="400" w:lineRule="exact"/>
        <w:ind w:firstLine="420" w:firstLineChars="200"/>
        <w:rPr>
          <w:rFonts w:ascii="宋体" w:hAnsi="宋体" w:cs="宋体"/>
          <w:szCs w:val="21"/>
        </w:rPr>
      </w:pPr>
      <w:r>
        <w:rPr>
          <w:rFonts w:hint="eastAsia" w:ascii="宋体" w:hAnsi="宋体" w:cs="宋体"/>
          <w:szCs w:val="21"/>
        </w:rPr>
        <w:t>1.1.2《工学》：涵盖13428门课程，88万余个资源，包括力学、机械工程、光学工程、材料科学与工程、冶金工程、动力工程及工程热物理、电气工程、电子科学与技术、信息与通信工程、控制科学与工程、计算机科学与技术、建筑学、土木工程、水利工程、测绘科学与技术、化学工程与技术、地质资源与地质工程、矿业工程、交通运输工程、航空宇航科学与技术、兵器科学与技术、核科学与技术、农业工程、环境科学与工程、生物医学工程、食品科学与工程等。</w:t>
      </w:r>
    </w:p>
    <w:p w14:paraId="5BFBF2D3">
      <w:pPr>
        <w:numPr>
          <w:ilvl w:val="255"/>
          <w:numId w:val="0"/>
        </w:numPr>
        <w:spacing w:line="400" w:lineRule="exact"/>
        <w:ind w:firstLine="420" w:firstLineChars="200"/>
        <w:rPr>
          <w:rFonts w:ascii="宋体" w:hAnsi="宋体" w:cs="宋体"/>
          <w:szCs w:val="21"/>
        </w:rPr>
      </w:pPr>
      <w:r>
        <w:rPr>
          <w:rFonts w:hint="eastAsia" w:ascii="宋体" w:hAnsi="宋体" w:cs="宋体"/>
          <w:szCs w:val="21"/>
        </w:rPr>
        <w:t>2.技术支持及售后服务承诺</w:t>
      </w:r>
    </w:p>
    <w:p w14:paraId="4D5B01D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2.1供应商负责产品的正常使用和维护，如出现技术故障，供应商及时解决</w:t>
      </w:r>
      <w:r>
        <w:rPr>
          <w:rFonts w:hint="eastAsia" w:ascii="宋体" w:hAnsi="宋体" w:cs="宋体"/>
          <w:szCs w:val="21"/>
          <w:lang w:eastAsia="zh-CN"/>
        </w:rPr>
        <w:t>，提供网络、电话及E-mail支持服务，响应时间不超过24小时。</w:t>
      </w:r>
    </w:p>
    <w:p w14:paraId="1C3F2DD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2.2客户自付款购买之日起，提供技术售后服务，</w:t>
      </w:r>
      <w:r>
        <w:rPr>
          <w:rFonts w:hint="eastAsia" w:ascii="宋体" w:hAnsi="宋体" w:cs="宋体"/>
          <w:sz w:val="21"/>
          <w:szCs w:val="21"/>
          <w:lang w:eastAsia="zh-CN"/>
        </w:rPr>
        <w:t>无条件</w:t>
      </w:r>
      <w:r>
        <w:rPr>
          <w:rFonts w:hint="eastAsia" w:ascii="宋体" w:hAnsi="宋体" w:cs="宋体"/>
          <w:szCs w:val="21"/>
        </w:rPr>
        <w:t>软件系统升级</w:t>
      </w:r>
      <w:r>
        <w:rPr>
          <w:rFonts w:hint="eastAsia" w:ascii="宋体" w:hAnsi="宋体" w:cs="宋体"/>
          <w:szCs w:val="21"/>
          <w:lang w:eastAsia="zh-CN"/>
        </w:rPr>
        <w:t>。</w:t>
      </w:r>
    </w:p>
    <w:p w14:paraId="67E82E1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2.3包库数据库及时更新，如遇供应商服务器调试，将</w:t>
      </w:r>
      <w:r>
        <w:rPr>
          <w:rFonts w:hint="eastAsia" w:ascii="宋体" w:hAnsi="宋体" w:cs="宋体"/>
          <w:szCs w:val="21"/>
          <w:lang w:eastAsia="zh-CN"/>
        </w:rPr>
        <w:t>及</w:t>
      </w:r>
      <w:r>
        <w:rPr>
          <w:rFonts w:hint="eastAsia" w:ascii="宋体" w:hAnsi="宋体" w:cs="宋体"/>
          <w:szCs w:val="21"/>
        </w:rPr>
        <w:t>时通知客户方，保证在客户方提供的IP地址内该数据库使用的顺畅</w:t>
      </w:r>
      <w:r>
        <w:rPr>
          <w:rFonts w:hint="eastAsia" w:ascii="宋体" w:hAnsi="宋体" w:cs="宋体"/>
          <w:szCs w:val="21"/>
          <w:lang w:eastAsia="zh-CN"/>
        </w:rPr>
        <w:t>。</w:t>
      </w:r>
    </w:p>
    <w:p w14:paraId="2548533D">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2.4供应商授权图书馆远程包库使用的数据库，并发数不低于500</w:t>
      </w:r>
      <w:r>
        <w:rPr>
          <w:rFonts w:hint="eastAsia" w:ascii="宋体" w:hAnsi="宋体" w:cs="宋体"/>
          <w:szCs w:val="21"/>
          <w:lang w:eastAsia="zh-CN"/>
        </w:rPr>
        <w:t>。</w:t>
      </w:r>
    </w:p>
    <w:p w14:paraId="5260F05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2.5供应商提供全程可持续技术支持服务</w:t>
      </w:r>
      <w:r>
        <w:rPr>
          <w:rFonts w:hint="eastAsia" w:ascii="宋体" w:hAnsi="宋体" w:cs="宋体"/>
          <w:szCs w:val="21"/>
          <w:lang w:eastAsia="zh-CN"/>
        </w:rPr>
        <w:t>。</w:t>
      </w:r>
    </w:p>
    <w:p w14:paraId="23D6552B">
      <w:pPr>
        <w:numPr>
          <w:ilvl w:val="255"/>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2.6校园IP范围内访问登录，支持VPN、CARSI等校外登录访问</w:t>
      </w:r>
      <w:r>
        <w:rPr>
          <w:rFonts w:hint="eastAsia" w:ascii="宋体" w:hAnsi="宋体" w:cs="宋体"/>
          <w:szCs w:val="21"/>
          <w:lang w:eastAsia="zh-CN"/>
        </w:rPr>
        <w:t>。</w:t>
      </w:r>
    </w:p>
    <w:p w14:paraId="2B4FE05C">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val="en-US" w:eastAsia="zh-CN"/>
        </w:rPr>
        <w:t>2.7</w:t>
      </w:r>
      <w:r>
        <w:rPr>
          <w:rFonts w:hint="eastAsia" w:ascii="宋体" w:hAnsi="宋体" w:cs="宋体"/>
          <w:szCs w:val="21"/>
        </w:rPr>
        <w:t>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r>
        <w:rPr>
          <w:rFonts w:hint="eastAsia" w:ascii="宋体" w:hAnsi="宋体" w:cs="宋体"/>
          <w:szCs w:val="21"/>
          <w:lang w:eastAsia="zh-CN"/>
        </w:rPr>
        <w:t>。</w:t>
      </w:r>
    </w:p>
    <w:p w14:paraId="63FB6ACB">
      <w:pPr>
        <w:numPr>
          <w:ilvl w:val="255"/>
          <w:numId w:val="0"/>
        </w:numPr>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定期提供数据库使用统计。</w:t>
      </w:r>
    </w:p>
    <w:p w14:paraId="78930313">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3.服务期限：2025年12月1日至2026年11月30日</w:t>
      </w:r>
      <w:r>
        <w:rPr>
          <w:rFonts w:hint="eastAsia" w:ascii="宋体" w:hAnsi="宋体" w:cs="宋体"/>
          <w:szCs w:val="21"/>
          <w:lang w:eastAsia="zh-CN"/>
        </w:rPr>
        <w:t>。</w:t>
      </w:r>
    </w:p>
    <w:p w14:paraId="626DC980">
      <w:pPr>
        <w:rPr>
          <w:rFonts w:hint="eastAsia" w:ascii="宋体" w:hAnsi="宋体" w:cs="宋体"/>
          <w:b/>
          <w:szCs w:val="21"/>
        </w:rPr>
      </w:pPr>
      <w:r>
        <w:rPr>
          <w:rFonts w:hint="eastAsia" w:ascii="宋体" w:hAnsi="宋体" w:cs="宋体"/>
          <w:b/>
          <w:szCs w:val="21"/>
        </w:rPr>
        <w:br w:type="page"/>
      </w:r>
    </w:p>
    <w:p w14:paraId="3D8372B8">
      <w:pPr>
        <w:spacing w:line="400" w:lineRule="exact"/>
        <w:ind w:firstLine="422" w:firstLineChars="200"/>
        <w:rPr>
          <w:rFonts w:ascii="宋体" w:hAnsi="宋体" w:cs="宋体"/>
          <w:b/>
          <w:szCs w:val="21"/>
        </w:rPr>
      </w:pPr>
      <w:r>
        <w:rPr>
          <w:rFonts w:hint="eastAsia" w:ascii="宋体" w:hAnsi="宋体" w:cs="宋体"/>
          <w:b/>
          <w:szCs w:val="21"/>
        </w:rPr>
        <w:t>标项二十五（智慧芽专利数据库）：</w:t>
      </w:r>
    </w:p>
    <w:p w14:paraId="41C417CB">
      <w:pPr>
        <w:numPr>
          <w:ilvl w:val="255"/>
          <w:numId w:val="0"/>
        </w:numPr>
        <w:spacing w:line="400" w:lineRule="exact"/>
        <w:ind w:firstLine="420" w:firstLineChars="200"/>
        <w:rPr>
          <w:rFonts w:ascii="宋体" w:hAnsi="宋体" w:cs="宋体"/>
          <w:szCs w:val="21"/>
        </w:rPr>
      </w:pPr>
      <w:r>
        <w:rPr>
          <w:rFonts w:hint="eastAsia" w:ascii="宋体" w:hAnsi="宋体" w:cs="宋体"/>
          <w:szCs w:val="21"/>
        </w:rPr>
        <w:t>1.专利数据</w:t>
      </w:r>
    </w:p>
    <w:p w14:paraId="6402F487">
      <w:pPr>
        <w:numPr>
          <w:ilvl w:val="255"/>
          <w:numId w:val="0"/>
        </w:numPr>
        <w:spacing w:line="400" w:lineRule="exact"/>
        <w:ind w:firstLine="420" w:firstLineChars="200"/>
        <w:rPr>
          <w:rFonts w:ascii="宋体" w:hAnsi="宋体" w:cs="宋体"/>
          <w:szCs w:val="21"/>
        </w:rPr>
      </w:pPr>
      <w:r>
        <w:rPr>
          <w:rFonts w:hint="eastAsia" w:ascii="宋体" w:hAnsi="宋体" w:cs="宋体"/>
          <w:szCs w:val="21"/>
        </w:rPr>
        <w:t>1.1基础数据</w:t>
      </w:r>
    </w:p>
    <w:p w14:paraId="40498564">
      <w:pPr>
        <w:numPr>
          <w:ilvl w:val="255"/>
          <w:numId w:val="0"/>
        </w:numPr>
        <w:spacing w:line="400" w:lineRule="exact"/>
        <w:ind w:firstLine="420" w:firstLineChars="200"/>
        <w:rPr>
          <w:rFonts w:ascii="宋体" w:hAnsi="宋体" w:cs="宋体"/>
          <w:szCs w:val="21"/>
        </w:rPr>
      </w:pPr>
      <w:r>
        <w:rPr>
          <w:rFonts w:hint="eastAsia" w:ascii="宋体" w:hAnsi="宋体" w:cs="宋体"/>
          <w:szCs w:val="21"/>
        </w:rPr>
        <w:t>1.1.1覆盖170多个国家/地区/组织、1.9亿条以上专利著录项目数据。</w:t>
      </w:r>
    </w:p>
    <w:p w14:paraId="5BDC5332">
      <w:pPr>
        <w:numPr>
          <w:ilvl w:val="255"/>
          <w:numId w:val="0"/>
        </w:numPr>
        <w:spacing w:line="400" w:lineRule="exact"/>
        <w:ind w:firstLine="420" w:firstLineChars="200"/>
        <w:rPr>
          <w:rFonts w:ascii="宋体" w:hAnsi="宋体" w:cs="宋体"/>
          <w:szCs w:val="21"/>
        </w:rPr>
      </w:pPr>
      <w:r>
        <w:rPr>
          <w:rFonts w:hint="eastAsia" w:ascii="宋体" w:hAnsi="宋体" w:cs="宋体"/>
          <w:szCs w:val="21"/>
        </w:rPr>
        <w:t>1.1.2覆盖90个以上国家/地区/组织的专利说明书全文，90多个国家/地区/组织发明专利全文附图。</w:t>
      </w:r>
    </w:p>
    <w:p w14:paraId="7BCE8F6E">
      <w:pPr>
        <w:numPr>
          <w:ilvl w:val="255"/>
          <w:numId w:val="0"/>
        </w:numPr>
        <w:spacing w:line="400" w:lineRule="exact"/>
        <w:ind w:firstLine="420" w:firstLineChars="200"/>
        <w:rPr>
          <w:rFonts w:ascii="宋体" w:hAnsi="宋体" w:cs="宋体"/>
          <w:szCs w:val="21"/>
        </w:rPr>
      </w:pPr>
      <w:r>
        <w:rPr>
          <w:rFonts w:hint="eastAsia" w:ascii="宋体" w:hAnsi="宋体" w:cs="宋体"/>
          <w:szCs w:val="21"/>
        </w:rPr>
        <w:t>1.1.3覆盖90多个国家/地区/组织的外观设计专利数据。</w:t>
      </w:r>
    </w:p>
    <w:p w14:paraId="6BCE95AE">
      <w:pPr>
        <w:numPr>
          <w:ilvl w:val="255"/>
          <w:numId w:val="0"/>
        </w:numPr>
        <w:spacing w:line="400" w:lineRule="exact"/>
        <w:ind w:firstLine="420" w:firstLineChars="200"/>
        <w:rPr>
          <w:rFonts w:ascii="宋体" w:hAnsi="宋体" w:cs="宋体"/>
          <w:szCs w:val="21"/>
        </w:rPr>
      </w:pPr>
      <w:r>
        <w:rPr>
          <w:rFonts w:hint="eastAsia" w:ascii="宋体" w:hAnsi="宋体" w:cs="宋体"/>
          <w:szCs w:val="21"/>
        </w:rPr>
        <w:t>1.1.4包含160多个国家/地区/组织同族专利数据与60多个国家/地区/组织引用数据。</w:t>
      </w:r>
    </w:p>
    <w:p w14:paraId="0A39CBC1">
      <w:pPr>
        <w:numPr>
          <w:ilvl w:val="255"/>
          <w:numId w:val="0"/>
        </w:numPr>
        <w:spacing w:line="400" w:lineRule="exact"/>
        <w:ind w:firstLine="420" w:firstLineChars="200"/>
        <w:rPr>
          <w:rFonts w:ascii="宋体" w:hAnsi="宋体" w:cs="宋体"/>
          <w:szCs w:val="21"/>
        </w:rPr>
      </w:pPr>
      <w:r>
        <w:rPr>
          <w:rFonts w:hint="eastAsia" w:ascii="宋体" w:hAnsi="宋体" w:cs="宋体"/>
          <w:szCs w:val="21"/>
        </w:rPr>
        <w:t>1.1.5包含丰富的法律信息数据，包括法律状态、审查文件、复审、无效、海关备案数据、标准必要专利。</w:t>
      </w:r>
    </w:p>
    <w:p w14:paraId="4BA2B87D">
      <w:pPr>
        <w:numPr>
          <w:ilvl w:val="255"/>
          <w:numId w:val="0"/>
        </w:numPr>
        <w:spacing w:line="400" w:lineRule="exact"/>
        <w:ind w:firstLine="420" w:firstLineChars="200"/>
        <w:rPr>
          <w:rFonts w:ascii="宋体" w:hAnsi="宋体" w:cs="宋体"/>
          <w:szCs w:val="21"/>
        </w:rPr>
      </w:pPr>
      <w:r>
        <w:rPr>
          <w:rFonts w:hint="eastAsia" w:ascii="宋体" w:hAnsi="宋体" w:cs="宋体"/>
          <w:szCs w:val="21"/>
        </w:rPr>
        <w:t>1.1.6法律状态数据覆盖100多个国家/地区/组织；审查文件数据至少覆盖知识产权五局；专利诉讼数据覆盖80多个国家/地区；标准必要专利覆盖5个以上国际标准组织。</w:t>
      </w:r>
    </w:p>
    <w:p w14:paraId="7D1711C3">
      <w:pPr>
        <w:numPr>
          <w:ilvl w:val="255"/>
          <w:numId w:val="0"/>
        </w:numPr>
        <w:spacing w:line="400" w:lineRule="exact"/>
        <w:ind w:firstLine="420" w:firstLineChars="200"/>
        <w:rPr>
          <w:rFonts w:ascii="宋体" w:hAnsi="宋体" w:cs="宋体"/>
          <w:szCs w:val="21"/>
        </w:rPr>
      </w:pPr>
      <w:r>
        <w:rPr>
          <w:rFonts w:hint="eastAsia" w:ascii="宋体" w:hAnsi="宋体" w:cs="宋体"/>
          <w:szCs w:val="21"/>
        </w:rPr>
        <w:t>1.1.7包含丰富的专利运营数据，包括转让、许可、质押等，其中，转让数据覆盖20多个国家/地区/组织，许可数据覆盖60多个国家/地区/组织。</w:t>
      </w:r>
    </w:p>
    <w:p w14:paraId="4BDC6F55">
      <w:pPr>
        <w:numPr>
          <w:ilvl w:val="255"/>
          <w:numId w:val="0"/>
        </w:numPr>
        <w:spacing w:line="400" w:lineRule="exact"/>
        <w:ind w:firstLine="420" w:firstLineChars="200"/>
        <w:rPr>
          <w:rFonts w:ascii="宋体" w:hAnsi="宋体" w:cs="宋体"/>
          <w:szCs w:val="21"/>
        </w:rPr>
      </w:pPr>
      <w:r>
        <w:rPr>
          <w:rFonts w:hint="eastAsia" w:ascii="宋体" w:hAnsi="宋体" w:cs="宋体"/>
          <w:szCs w:val="21"/>
        </w:rPr>
        <w:t>1.1.8包含全量专利数据著录项目和摘要的中英文翻译，提供90个以上国家/地区/组织的权利要求书和说明书全文的中英文翻译。</w:t>
      </w:r>
    </w:p>
    <w:p w14:paraId="2F9794C8">
      <w:pPr>
        <w:numPr>
          <w:ilvl w:val="255"/>
          <w:numId w:val="0"/>
        </w:numPr>
        <w:spacing w:line="400" w:lineRule="exact"/>
        <w:ind w:firstLine="420" w:firstLineChars="200"/>
        <w:rPr>
          <w:rFonts w:ascii="宋体" w:hAnsi="宋体" w:cs="宋体"/>
          <w:szCs w:val="21"/>
        </w:rPr>
      </w:pPr>
      <w:r>
        <w:rPr>
          <w:rFonts w:hint="eastAsia" w:ascii="宋体" w:hAnsi="宋体" w:cs="宋体"/>
          <w:szCs w:val="21"/>
        </w:rPr>
        <w:t>1.2加工数据</w:t>
      </w:r>
    </w:p>
    <w:p w14:paraId="119D8788">
      <w:pPr>
        <w:numPr>
          <w:ilvl w:val="255"/>
          <w:numId w:val="0"/>
        </w:numPr>
        <w:spacing w:line="400" w:lineRule="exact"/>
        <w:ind w:firstLine="420" w:firstLineChars="200"/>
        <w:rPr>
          <w:rFonts w:ascii="宋体" w:hAnsi="宋体" w:cs="宋体"/>
          <w:szCs w:val="21"/>
        </w:rPr>
      </w:pPr>
      <w:r>
        <w:rPr>
          <w:rFonts w:hint="eastAsia" w:ascii="宋体" w:hAnsi="宋体" w:cs="宋体"/>
          <w:szCs w:val="21"/>
        </w:rPr>
        <w:t>1.2.1包括标准化申请人（全球实体名称），即对申请人的不同名称，如全称、缩写、大小写、翻译方式、公司后缀等多种不同写法进行了规范化处理，将确定为同一公司的名称统一整理为标准名称；支持采用标准化申请人名称检索。</w:t>
      </w:r>
    </w:p>
    <w:p w14:paraId="42CDFB01">
      <w:pPr>
        <w:numPr>
          <w:ilvl w:val="255"/>
          <w:numId w:val="0"/>
        </w:numPr>
        <w:spacing w:line="400" w:lineRule="exact"/>
        <w:ind w:firstLine="420" w:firstLineChars="200"/>
        <w:rPr>
          <w:rFonts w:ascii="宋体" w:hAnsi="宋体" w:cs="宋体"/>
          <w:szCs w:val="21"/>
        </w:rPr>
      </w:pPr>
      <w:r>
        <w:rPr>
          <w:rFonts w:hint="eastAsia" w:ascii="宋体" w:hAnsi="宋体" w:cs="宋体"/>
          <w:szCs w:val="21"/>
        </w:rPr>
        <w:t>1.2.2拥有全球公司关系图谱，可以查看公司之间的关联关系，并查找一个公司及其控股公司的所有专利。</w:t>
      </w:r>
    </w:p>
    <w:p w14:paraId="78C8442A">
      <w:pPr>
        <w:numPr>
          <w:ilvl w:val="255"/>
          <w:numId w:val="0"/>
        </w:numPr>
        <w:spacing w:line="400" w:lineRule="exact"/>
        <w:ind w:firstLine="420" w:firstLineChars="200"/>
        <w:rPr>
          <w:rFonts w:ascii="宋体" w:hAnsi="宋体" w:cs="宋体"/>
          <w:szCs w:val="21"/>
        </w:rPr>
      </w:pPr>
      <w:r>
        <w:rPr>
          <w:rFonts w:hint="eastAsia" w:ascii="宋体" w:hAnsi="宋体" w:cs="宋体"/>
          <w:szCs w:val="21"/>
        </w:rPr>
        <w:t>1.2.3包括自主研发的表征应用领域的技术分类体系，能够覆盖全领域且支持检索。</w:t>
      </w:r>
    </w:p>
    <w:p w14:paraId="08E89C26">
      <w:pPr>
        <w:numPr>
          <w:ilvl w:val="255"/>
          <w:numId w:val="0"/>
        </w:numPr>
        <w:spacing w:line="400" w:lineRule="exact"/>
        <w:ind w:firstLine="420" w:firstLineChars="200"/>
        <w:rPr>
          <w:rFonts w:ascii="宋体" w:hAnsi="宋体" w:cs="宋体"/>
          <w:szCs w:val="21"/>
        </w:rPr>
      </w:pPr>
      <w:r>
        <w:rPr>
          <w:rFonts w:hint="eastAsia" w:ascii="宋体" w:hAnsi="宋体" w:cs="宋体"/>
          <w:szCs w:val="21"/>
        </w:rPr>
        <w:t>1.2.4拥有专利价值评估标签，以货币衡量，并支持5个维度的评分。</w:t>
      </w:r>
    </w:p>
    <w:p w14:paraId="385F7986">
      <w:pPr>
        <w:numPr>
          <w:ilvl w:val="255"/>
          <w:numId w:val="0"/>
        </w:numPr>
        <w:spacing w:line="400" w:lineRule="exact"/>
        <w:ind w:firstLine="420" w:firstLineChars="200"/>
        <w:rPr>
          <w:rFonts w:ascii="宋体" w:hAnsi="宋体" w:cs="宋体"/>
          <w:szCs w:val="21"/>
        </w:rPr>
      </w:pPr>
      <w:r>
        <w:rPr>
          <w:rFonts w:hint="eastAsia" w:ascii="宋体" w:hAnsi="宋体" w:cs="宋体"/>
          <w:szCs w:val="21"/>
        </w:rPr>
        <w:t>2.专利检索</w:t>
      </w:r>
    </w:p>
    <w:p w14:paraId="3FACF711">
      <w:pPr>
        <w:numPr>
          <w:ilvl w:val="255"/>
          <w:numId w:val="0"/>
        </w:numPr>
        <w:spacing w:line="400" w:lineRule="exact"/>
        <w:ind w:firstLine="420" w:firstLineChars="200"/>
        <w:rPr>
          <w:rFonts w:ascii="宋体" w:hAnsi="宋体" w:cs="宋体"/>
          <w:szCs w:val="21"/>
        </w:rPr>
      </w:pPr>
      <w:r>
        <w:rPr>
          <w:rFonts w:hint="eastAsia" w:ascii="宋体" w:hAnsi="宋体" w:cs="宋体"/>
          <w:szCs w:val="21"/>
        </w:rPr>
        <w:t>2.1支持简单检索、高级检索、批量检索、语义检索、扩展检索、分类号检索、法律搜索、图像检索等多种检索方式。</w:t>
      </w:r>
    </w:p>
    <w:p w14:paraId="589120BC">
      <w:pPr>
        <w:numPr>
          <w:ilvl w:val="255"/>
          <w:numId w:val="0"/>
        </w:numPr>
        <w:spacing w:line="400" w:lineRule="exact"/>
        <w:ind w:firstLine="420" w:firstLineChars="200"/>
        <w:rPr>
          <w:rFonts w:ascii="宋体" w:hAnsi="宋体" w:cs="宋体"/>
          <w:szCs w:val="21"/>
        </w:rPr>
      </w:pPr>
      <w:r>
        <w:rPr>
          <w:rFonts w:hint="eastAsia" w:ascii="宋体" w:hAnsi="宋体" w:cs="宋体"/>
          <w:szCs w:val="21"/>
        </w:rPr>
        <w:t>2.2检索支持项目关联工作空间，将对比文件保存至工作空间，导出检索过程、对比文件与检索报告。</w:t>
      </w:r>
    </w:p>
    <w:p w14:paraId="734E93E4">
      <w:pPr>
        <w:numPr>
          <w:ilvl w:val="255"/>
          <w:numId w:val="0"/>
        </w:numPr>
        <w:spacing w:line="400" w:lineRule="exact"/>
        <w:ind w:firstLine="420" w:firstLineChars="200"/>
        <w:rPr>
          <w:rFonts w:ascii="宋体" w:hAnsi="宋体" w:cs="宋体"/>
          <w:szCs w:val="21"/>
        </w:rPr>
      </w:pPr>
      <w:r>
        <w:rPr>
          <w:rFonts w:hint="eastAsia" w:ascii="宋体" w:hAnsi="宋体" w:cs="宋体"/>
          <w:szCs w:val="21"/>
        </w:rPr>
        <w:t>2.3分类号检索支持提供IPC、CPC、UPC、LOC、国民经济行业分类、战略</w:t>
      </w:r>
      <w:r>
        <w:rPr>
          <w:rFonts w:hint="eastAsia" w:ascii="宋体" w:hAnsi="宋体" w:cs="宋体"/>
          <w:szCs w:val="21"/>
          <w:lang w:eastAsia="zh-CN"/>
        </w:rPr>
        <w:t>性</w:t>
      </w:r>
      <w:r>
        <w:rPr>
          <w:rFonts w:hint="eastAsia" w:ascii="宋体" w:hAnsi="宋体" w:cs="宋体"/>
          <w:szCs w:val="21"/>
        </w:rPr>
        <w:t>新兴产业分类与自主研发的技术分类体系检索。</w:t>
      </w:r>
    </w:p>
    <w:p w14:paraId="56ECD9C5">
      <w:pPr>
        <w:numPr>
          <w:ilvl w:val="255"/>
          <w:numId w:val="0"/>
        </w:numPr>
        <w:spacing w:line="400" w:lineRule="exact"/>
        <w:ind w:firstLine="420" w:firstLineChars="200"/>
        <w:rPr>
          <w:rFonts w:ascii="宋体" w:hAnsi="宋体" w:cs="宋体"/>
          <w:szCs w:val="21"/>
        </w:rPr>
      </w:pPr>
      <w:r>
        <w:rPr>
          <w:rFonts w:hint="eastAsia" w:ascii="宋体" w:hAnsi="宋体" w:cs="宋体"/>
          <w:szCs w:val="21"/>
        </w:rPr>
        <w:t>2.4图像搜索支持外观设计专利与实用新型专利数据的检索，支持多图检索。</w:t>
      </w:r>
    </w:p>
    <w:p w14:paraId="2414E5F9">
      <w:pPr>
        <w:numPr>
          <w:ilvl w:val="255"/>
          <w:numId w:val="0"/>
        </w:numPr>
        <w:spacing w:line="400" w:lineRule="exact"/>
        <w:ind w:firstLine="420" w:firstLineChars="200"/>
        <w:rPr>
          <w:rFonts w:ascii="宋体" w:hAnsi="宋体" w:cs="宋体"/>
          <w:szCs w:val="21"/>
        </w:rPr>
      </w:pPr>
      <w:r>
        <w:rPr>
          <w:rFonts w:hint="eastAsia" w:ascii="宋体" w:hAnsi="宋体" w:cs="宋体"/>
          <w:szCs w:val="21"/>
        </w:rPr>
        <w:t>2.5支持采用企业中国工商数据检索，可检索字段包括公司英文名、统一信用社会代码、注册号、注册地址、企业类型、成立日期、登记状态与上市公司代码。</w:t>
      </w:r>
    </w:p>
    <w:p w14:paraId="777E1475">
      <w:pPr>
        <w:numPr>
          <w:ilvl w:val="255"/>
          <w:numId w:val="0"/>
        </w:numPr>
        <w:spacing w:line="400" w:lineRule="exact"/>
        <w:ind w:firstLine="420" w:firstLineChars="200"/>
        <w:rPr>
          <w:rFonts w:ascii="宋体" w:hAnsi="宋体" w:cs="宋体"/>
          <w:szCs w:val="21"/>
        </w:rPr>
      </w:pPr>
      <w:r>
        <w:rPr>
          <w:rFonts w:hint="eastAsia" w:ascii="宋体" w:hAnsi="宋体" w:cs="宋体"/>
          <w:szCs w:val="21"/>
        </w:rPr>
        <w:t>2.6包含1.5亿条以上的文献期刊数据，并支持检索。</w:t>
      </w:r>
    </w:p>
    <w:p w14:paraId="741F9FF6">
      <w:pPr>
        <w:numPr>
          <w:ilvl w:val="255"/>
          <w:numId w:val="0"/>
        </w:numPr>
        <w:spacing w:line="400" w:lineRule="exact"/>
        <w:ind w:firstLine="420" w:firstLineChars="200"/>
        <w:rPr>
          <w:rFonts w:ascii="宋体" w:hAnsi="宋体" w:cs="宋体"/>
          <w:szCs w:val="21"/>
        </w:rPr>
      </w:pPr>
      <w:r>
        <w:rPr>
          <w:rFonts w:hint="eastAsia" w:ascii="宋体" w:hAnsi="宋体" w:cs="宋体"/>
          <w:szCs w:val="21"/>
        </w:rPr>
        <w:t>2.7提供帮助扩展检索要素的多样化助手工具，包括关键词助手、公司树、IPC助手、CPC助手、国民经济行业分类助手、战略</w:t>
      </w:r>
      <w:r>
        <w:rPr>
          <w:rFonts w:hint="eastAsia" w:ascii="宋体" w:hAnsi="宋体" w:cs="宋体"/>
          <w:szCs w:val="21"/>
          <w:lang w:eastAsia="zh-CN"/>
        </w:rPr>
        <w:t>性</w:t>
      </w:r>
      <w:r>
        <w:rPr>
          <w:rFonts w:hint="eastAsia" w:ascii="宋体" w:hAnsi="宋体" w:cs="宋体"/>
          <w:szCs w:val="21"/>
        </w:rPr>
        <w:t>新兴产业分类助手等。</w:t>
      </w:r>
    </w:p>
    <w:p w14:paraId="2E4744AD">
      <w:pPr>
        <w:numPr>
          <w:ilvl w:val="255"/>
          <w:numId w:val="0"/>
        </w:numPr>
        <w:spacing w:line="400" w:lineRule="exact"/>
        <w:ind w:firstLine="420" w:firstLineChars="200"/>
        <w:rPr>
          <w:rFonts w:ascii="宋体" w:hAnsi="宋体" w:cs="宋体"/>
          <w:szCs w:val="21"/>
        </w:rPr>
      </w:pPr>
      <w:r>
        <w:rPr>
          <w:rFonts w:hint="eastAsia" w:ascii="宋体" w:hAnsi="宋体" w:cs="宋体"/>
          <w:szCs w:val="21"/>
        </w:rPr>
        <w:t>3.专利数据查看</w:t>
      </w:r>
    </w:p>
    <w:p w14:paraId="7FEDFDC1">
      <w:pPr>
        <w:numPr>
          <w:ilvl w:val="255"/>
          <w:numId w:val="0"/>
        </w:numPr>
        <w:spacing w:line="400" w:lineRule="exact"/>
        <w:ind w:firstLine="420" w:firstLineChars="200"/>
        <w:rPr>
          <w:rFonts w:ascii="宋体" w:hAnsi="宋体" w:cs="宋体"/>
          <w:szCs w:val="21"/>
        </w:rPr>
      </w:pPr>
      <w:r>
        <w:rPr>
          <w:rFonts w:hint="eastAsia" w:ascii="宋体" w:hAnsi="宋体" w:cs="宋体"/>
          <w:szCs w:val="21"/>
        </w:rPr>
        <w:t>3.1专利文献的阅读支持权利要求树、智能附图、图文并排、双视图功能，图文并排时支持准确展示数学公式、表格、化学结构式、标号标记等。</w:t>
      </w:r>
    </w:p>
    <w:p w14:paraId="5637E74E">
      <w:pPr>
        <w:numPr>
          <w:ilvl w:val="255"/>
          <w:numId w:val="0"/>
        </w:numPr>
        <w:spacing w:line="400" w:lineRule="exact"/>
        <w:ind w:firstLine="420" w:firstLineChars="200"/>
        <w:rPr>
          <w:rFonts w:ascii="宋体" w:hAnsi="宋体" w:cs="宋体"/>
          <w:szCs w:val="21"/>
        </w:rPr>
      </w:pPr>
      <w:r>
        <w:rPr>
          <w:rFonts w:hint="eastAsia" w:ascii="宋体" w:hAnsi="宋体" w:cs="宋体"/>
          <w:szCs w:val="21"/>
        </w:rPr>
        <w:t>3.2支持在线对专利文本进行“划重点”、“注释”与“语义搜索”，便于及时、快捷标注重要内容、记录想法。</w:t>
      </w:r>
    </w:p>
    <w:p w14:paraId="0F15FAFB">
      <w:pPr>
        <w:numPr>
          <w:ilvl w:val="255"/>
          <w:numId w:val="0"/>
        </w:numPr>
        <w:spacing w:line="400" w:lineRule="exact"/>
        <w:ind w:firstLine="420" w:firstLineChars="200"/>
        <w:rPr>
          <w:rFonts w:ascii="宋体" w:hAnsi="宋体" w:cs="宋体"/>
          <w:szCs w:val="21"/>
        </w:rPr>
      </w:pPr>
      <w:r>
        <w:rPr>
          <w:rFonts w:hint="eastAsia" w:ascii="宋体" w:hAnsi="宋体" w:cs="宋体"/>
          <w:szCs w:val="21"/>
        </w:rPr>
        <w:t>3.3支持任意两件专利文本的对比，并给出相似度。</w:t>
      </w:r>
    </w:p>
    <w:p w14:paraId="6A91435C">
      <w:pPr>
        <w:numPr>
          <w:ilvl w:val="255"/>
          <w:numId w:val="0"/>
        </w:numPr>
        <w:spacing w:line="400" w:lineRule="exact"/>
        <w:ind w:firstLine="420" w:firstLineChars="200"/>
        <w:rPr>
          <w:rFonts w:ascii="宋体" w:hAnsi="宋体" w:cs="宋体"/>
          <w:szCs w:val="21"/>
        </w:rPr>
      </w:pPr>
      <w:r>
        <w:rPr>
          <w:rFonts w:hint="eastAsia" w:ascii="宋体" w:hAnsi="宋体" w:cs="宋体"/>
          <w:szCs w:val="21"/>
        </w:rPr>
        <w:t>3.4专利概览界面提供相似专利推荐与相关文献推荐功能。</w:t>
      </w:r>
    </w:p>
    <w:p w14:paraId="68F5A823">
      <w:pPr>
        <w:numPr>
          <w:ilvl w:val="255"/>
          <w:numId w:val="0"/>
        </w:numPr>
        <w:spacing w:line="400" w:lineRule="exact"/>
        <w:ind w:firstLine="420" w:firstLineChars="200"/>
        <w:rPr>
          <w:rFonts w:ascii="宋体" w:hAnsi="宋体" w:cs="宋体"/>
          <w:szCs w:val="21"/>
        </w:rPr>
      </w:pPr>
      <w:r>
        <w:rPr>
          <w:rFonts w:hint="eastAsia" w:ascii="宋体" w:hAnsi="宋体" w:cs="宋体"/>
          <w:szCs w:val="21"/>
        </w:rPr>
        <w:t>3.5拥有AI提炼的发明要点。</w:t>
      </w:r>
    </w:p>
    <w:p w14:paraId="06EAFBD7">
      <w:pPr>
        <w:numPr>
          <w:ilvl w:val="255"/>
          <w:numId w:val="0"/>
        </w:numPr>
        <w:spacing w:line="400" w:lineRule="exact"/>
        <w:ind w:firstLine="420" w:firstLineChars="200"/>
        <w:rPr>
          <w:rFonts w:ascii="宋体" w:hAnsi="宋体" w:cs="宋体"/>
          <w:szCs w:val="21"/>
        </w:rPr>
      </w:pPr>
      <w:r>
        <w:rPr>
          <w:rFonts w:hint="eastAsia" w:ascii="宋体" w:hAnsi="宋体" w:cs="宋体"/>
          <w:szCs w:val="21"/>
        </w:rPr>
        <w:t>3.6提供跟踪预警功能，包括邮件提醒与微信预警，提醒频次可自主设置为每天、每周或每月。</w:t>
      </w:r>
    </w:p>
    <w:p w14:paraId="0756B4EF">
      <w:pPr>
        <w:numPr>
          <w:ilvl w:val="255"/>
          <w:numId w:val="0"/>
        </w:numPr>
        <w:spacing w:line="400" w:lineRule="exact"/>
        <w:ind w:firstLine="420" w:firstLineChars="200"/>
        <w:rPr>
          <w:rFonts w:ascii="宋体" w:hAnsi="宋体" w:cs="宋体"/>
          <w:szCs w:val="21"/>
        </w:rPr>
      </w:pPr>
      <w:r>
        <w:rPr>
          <w:rFonts w:hint="eastAsia" w:ascii="宋体" w:hAnsi="宋体" w:cs="宋体"/>
          <w:szCs w:val="21"/>
        </w:rPr>
        <w:t>3.7提供审查文件监控功能。</w:t>
      </w:r>
    </w:p>
    <w:p w14:paraId="57010B31">
      <w:pPr>
        <w:numPr>
          <w:ilvl w:val="255"/>
          <w:numId w:val="0"/>
        </w:numPr>
        <w:spacing w:line="400" w:lineRule="exact"/>
        <w:ind w:firstLine="420" w:firstLineChars="200"/>
        <w:rPr>
          <w:rFonts w:ascii="宋体" w:hAnsi="宋体" w:cs="宋体"/>
          <w:szCs w:val="21"/>
        </w:rPr>
      </w:pPr>
      <w:r>
        <w:rPr>
          <w:rFonts w:hint="eastAsia" w:ascii="宋体" w:hAnsi="宋体" w:cs="宋体"/>
          <w:szCs w:val="21"/>
        </w:rPr>
        <w:t>3.8支持数据的导入导出。</w:t>
      </w:r>
    </w:p>
    <w:p w14:paraId="65889016">
      <w:pPr>
        <w:numPr>
          <w:ilvl w:val="255"/>
          <w:numId w:val="0"/>
        </w:numPr>
        <w:spacing w:line="400" w:lineRule="exact"/>
        <w:ind w:firstLine="420" w:firstLineChars="200"/>
        <w:rPr>
          <w:rFonts w:ascii="宋体" w:hAnsi="宋体" w:cs="宋体"/>
          <w:szCs w:val="21"/>
        </w:rPr>
      </w:pPr>
      <w:r>
        <w:rPr>
          <w:rFonts w:hint="eastAsia" w:ascii="宋体" w:hAnsi="宋体" w:cs="宋体"/>
          <w:szCs w:val="21"/>
        </w:rPr>
        <w:t>4.专利分析</w:t>
      </w:r>
    </w:p>
    <w:p w14:paraId="10C23265">
      <w:pPr>
        <w:numPr>
          <w:ilvl w:val="255"/>
          <w:numId w:val="0"/>
        </w:numPr>
        <w:spacing w:line="400" w:lineRule="exact"/>
        <w:ind w:firstLine="420" w:firstLineChars="200"/>
        <w:rPr>
          <w:rFonts w:ascii="宋体" w:hAnsi="宋体" w:cs="宋体"/>
          <w:szCs w:val="21"/>
        </w:rPr>
      </w:pPr>
      <w:r>
        <w:rPr>
          <w:rFonts w:hint="eastAsia" w:ascii="宋体" w:hAnsi="宋体" w:cs="宋体"/>
          <w:szCs w:val="21"/>
        </w:rPr>
        <w:t>4.1提供统计分析，包括申请人、发明人、时间分析、分类分析、国家/地区/组织、代理机构、法律状态等分析。</w:t>
      </w:r>
    </w:p>
    <w:p w14:paraId="6384EE69">
      <w:pPr>
        <w:numPr>
          <w:ilvl w:val="255"/>
          <w:numId w:val="0"/>
        </w:numPr>
        <w:spacing w:line="400" w:lineRule="exact"/>
        <w:ind w:firstLine="420" w:firstLineChars="200"/>
        <w:rPr>
          <w:rFonts w:ascii="宋体" w:hAnsi="宋体" w:cs="宋体"/>
          <w:szCs w:val="21"/>
        </w:rPr>
      </w:pPr>
      <w:r>
        <w:rPr>
          <w:rFonts w:hint="eastAsia" w:ascii="宋体" w:hAnsi="宋体" w:cs="宋体"/>
          <w:szCs w:val="21"/>
        </w:rPr>
        <w:t>4.2提供自定义分析，可自主选择分析的字段；分析结果支持多种可视化图表，包括折线图、柱状图、条形图、饼图、环形图、气泡图、旭日图、矩形树状图、和弦图、热力图、地图、雷达图、词云等。</w:t>
      </w:r>
    </w:p>
    <w:p w14:paraId="67BBD744">
      <w:pPr>
        <w:numPr>
          <w:ilvl w:val="255"/>
          <w:numId w:val="0"/>
        </w:numPr>
        <w:spacing w:line="400" w:lineRule="exact"/>
        <w:ind w:firstLine="420" w:firstLineChars="200"/>
        <w:rPr>
          <w:rFonts w:ascii="宋体" w:hAnsi="宋体" w:cs="宋体"/>
          <w:szCs w:val="21"/>
        </w:rPr>
      </w:pPr>
      <w:r>
        <w:rPr>
          <w:rFonts w:hint="eastAsia" w:ascii="宋体" w:hAnsi="宋体" w:cs="宋体"/>
          <w:szCs w:val="21"/>
        </w:rPr>
        <w:t>4.3提供专利地图分析，机器学习，利用分析的专利全文文本进行聚类整合。</w:t>
      </w:r>
    </w:p>
    <w:p w14:paraId="1482BDE7">
      <w:pPr>
        <w:numPr>
          <w:ilvl w:val="255"/>
          <w:numId w:val="0"/>
        </w:numPr>
        <w:spacing w:line="400" w:lineRule="exact"/>
        <w:ind w:firstLine="420" w:firstLineChars="200"/>
        <w:rPr>
          <w:rFonts w:ascii="宋体" w:hAnsi="宋体" w:cs="宋体"/>
          <w:szCs w:val="21"/>
        </w:rPr>
      </w:pPr>
      <w:r>
        <w:rPr>
          <w:rFonts w:hint="eastAsia" w:ascii="宋体" w:hAnsi="宋体" w:cs="宋体"/>
          <w:szCs w:val="21"/>
        </w:rPr>
        <w:t>4.4提供智能模板分析，可针对某技术领域、某企业或多家企业等一键生成报告，并导出报告。</w:t>
      </w:r>
    </w:p>
    <w:p w14:paraId="4F166FAC">
      <w:pPr>
        <w:numPr>
          <w:ilvl w:val="255"/>
          <w:numId w:val="0"/>
        </w:numPr>
        <w:spacing w:line="400" w:lineRule="exact"/>
        <w:ind w:firstLine="420" w:firstLineChars="200"/>
        <w:rPr>
          <w:rFonts w:ascii="宋体" w:hAnsi="宋体" w:cs="宋体"/>
          <w:szCs w:val="21"/>
        </w:rPr>
      </w:pPr>
      <w:r>
        <w:rPr>
          <w:rFonts w:hint="eastAsia" w:ascii="宋体" w:hAnsi="宋体" w:cs="宋体"/>
          <w:szCs w:val="21"/>
        </w:rPr>
        <w:t>4.5单篇专利提供引用追踪分析，支持无限层级引用代系追踪，前向引用找到技术的源头，后向引用查看技术传承情况。</w:t>
      </w:r>
    </w:p>
    <w:p w14:paraId="601D6C2B">
      <w:pPr>
        <w:numPr>
          <w:ilvl w:val="255"/>
          <w:numId w:val="0"/>
        </w:numPr>
        <w:spacing w:line="400" w:lineRule="exact"/>
        <w:ind w:firstLine="420" w:firstLineChars="200"/>
        <w:rPr>
          <w:rFonts w:ascii="宋体" w:hAnsi="宋体" w:cs="宋体"/>
          <w:szCs w:val="21"/>
        </w:rPr>
      </w:pPr>
      <w:r>
        <w:rPr>
          <w:rFonts w:hint="eastAsia" w:ascii="宋体" w:hAnsi="宋体" w:cs="宋体"/>
          <w:szCs w:val="21"/>
        </w:rPr>
        <w:t>4.6单篇专利可提供同族分析，支持列表、地图与树状图展示形式。</w:t>
      </w:r>
    </w:p>
    <w:p w14:paraId="184EA2CA">
      <w:pPr>
        <w:numPr>
          <w:ilvl w:val="255"/>
          <w:numId w:val="0"/>
        </w:numPr>
        <w:spacing w:line="400" w:lineRule="exact"/>
        <w:ind w:firstLine="420" w:firstLineChars="200"/>
        <w:rPr>
          <w:rFonts w:ascii="宋体" w:hAnsi="宋体" w:cs="宋体"/>
          <w:szCs w:val="21"/>
        </w:rPr>
      </w:pPr>
      <w:r>
        <w:rPr>
          <w:rFonts w:hint="eastAsia" w:ascii="宋体" w:hAnsi="宋体" w:cs="宋体"/>
          <w:szCs w:val="21"/>
        </w:rPr>
        <w:t>4.7支持构建导航库，导航库中数据可根据检索式实时更新，支持添加自定义字段，并进行标引。</w:t>
      </w:r>
    </w:p>
    <w:p w14:paraId="22D392C0">
      <w:pPr>
        <w:numPr>
          <w:ilvl w:val="255"/>
          <w:numId w:val="0"/>
        </w:numPr>
        <w:spacing w:line="400" w:lineRule="exact"/>
        <w:ind w:firstLine="420" w:firstLineChars="200"/>
        <w:rPr>
          <w:rFonts w:ascii="宋体" w:hAnsi="宋体" w:cs="宋体"/>
          <w:szCs w:val="21"/>
        </w:rPr>
      </w:pPr>
      <w:r>
        <w:rPr>
          <w:rFonts w:hint="eastAsia" w:ascii="宋体" w:hAnsi="宋体" w:cs="宋体"/>
          <w:szCs w:val="21"/>
        </w:rPr>
        <w:t>4.8支持对自定义字段进行规则自动标引。</w:t>
      </w:r>
    </w:p>
    <w:p w14:paraId="33003CC0">
      <w:pPr>
        <w:numPr>
          <w:ilvl w:val="255"/>
          <w:numId w:val="0"/>
        </w:numPr>
        <w:spacing w:line="400" w:lineRule="exact"/>
        <w:ind w:firstLine="420" w:firstLineChars="200"/>
        <w:rPr>
          <w:rFonts w:ascii="宋体" w:hAnsi="宋体" w:cs="宋体"/>
          <w:szCs w:val="21"/>
        </w:rPr>
      </w:pPr>
      <w:r>
        <w:rPr>
          <w:rFonts w:hint="eastAsia" w:ascii="宋体" w:hAnsi="宋体" w:cs="宋体"/>
          <w:szCs w:val="21"/>
        </w:rPr>
        <w:t>4.9导航库支持分享、协同，分享时可选择被分享人角色与权限。</w:t>
      </w:r>
    </w:p>
    <w:p w14:paraId="75CEBDCC">
      <w:pPr>
        <w:numPr>
          <w:ilvl w:val="255"/>
          <w:numId w:val="0"/>
        </w:numPr>
        <w:spacing w:line="400" w:lineRule="exact"/>
        <w:ind w:firstLine="420" w:firstLineChars="200"/>
        <w:rPr>
          <w:rFonts w:ascii="宋体" w:hAnsi="宋体" w:cs="宋体"/>
          <w:szCs w:val="21"/>
        </w:rPr>
      </w:pPr>
      <w:r>
        <w:rPr>
          <w:rFonts w:hint="eastAsia" w:ascii="宋体" w:hAnsi="宋体" w:cs="宋体"/>
          <w:szCs w:val="21"/>
        </w:rPr>
        <w:t>4.10数据库中应当已经录入不少于90个行业导航库，方便使用参考以及模式借鉴。</w:t>
      </w:r>
    </w:p>
    <w:p w14:paraId="2A3C56D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5.校园IP范围内访问登录，支持VPN登录访问</w:t>
      </w:r>
      <w:r>
        <w:rPr>
          <w:rFonts w:hint="eastAsia" w:ascii="宋体" w:hAnsi="宋体" w:cs="宋体"/>
          <w:szCs w:val="21"/>
          <w:lang w:eastAsia="zh-CN"/>
        </w:rPr>
        <w:t>。</w:t>
      </w:r>
    </w:p>
    <w:p w14:paraId="4623AC59">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售后</w:t>
      </w:r>
    </w:p>
    <w:p w14:paraId="2145B25B">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.1服务期内，为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4542F49C">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val="en-US" w:eastAsia="zh-CN"/>
        </w:rPr>
        <w:t>6</w:t>
      </w:r>
      <w:r>
        <w:rPr>
          <w:rFonts w:hint="eastAsia" w:ascii="宋体" w:hAnsi="宋体" w:cs="宋体"/>
          <w:szCs w:val="21"/>
        </w:rPr>
        <w:t>.2定期提供数据库使用统计数据</w:t>
      </w:r>
      <w:r>
        <w:rPr>
          <w:rFonts w:hint="eastAsia" w:ascii="宋体" w:hAnsi="宋体" w:cs="宋体"/>
          <w:szCs w:val="21"/>
          <w:lang w:eastAsia="zh-CN"/>
        </w:rPr>
        <w:t>。</w:t>
      </w:r>
    </w:p>
    <w:p w14:paraId="321FF55E">
      <w:pPr>
        <w:numPr>
          <w:ilvl w:val="255"/>
          <w:numId w:val="0"/>
        </w:num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6.3提供网络、电话及E-mail支持服务，响应时间不超过24小时。</w:t>
      </w:r>
    </w:p>
    <w:p w14:paraId="491289D5">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.服务期限：</w:t>
      </w:r>
      <w:r>
        <w:rPr>
          <w:rFonts w:hint="eastAsia" w:ascii="宋体" w:hAnsi="宋体" w:cs="宋体"/>
          <w:szCs w:val="21"/>
          <w:lang w:val="en-US" w:eastAsia="zh-CN"/>
        </w:rPr>
        <w:t>2025</w:t>
      </w:r>
      <w:r>
        <w:rPr>
          <w:rFonts w:hint="eastAsia" w:ascii="宋体" w:hAnsi="宋体" w:cs="宋体"/>
          <w:szCs w:val="21"/>
        </w:rPr>
        <w:t>年</w:t>
      </w:r>
      <w:r>
        <w:rPr>
          <w:rFonts w:hint="eastAsia" w:ascii="宋体" w:hAnsi="宋体" w:cs="宋体"/>
          <w:szCs w:val="21"/>
          <w:lang w:val="en-US" w:eastAsia="zh-CN"/>
        </w:rPr>
        <w:t>12月5</w:t>
      </w:r>
      <w:r>
        <w:rPr>
          <w:rFonts w:hint="eastAsia" w:ascii="宋体" w:hAnsi="宋体" w:cs="宋体"/>
          <w:szCs w:val="21"/>
        </w:rPr>
        <w:t>日至2026年12月</w:t>
      </w:r>
      <w:r>
        <w:rPr>
          <w:rFonts w:hint="eastAsia" w:ascii="宋体" w:hAnsi="宋体" w:cs="宋体"/>
          <w:szCs w:val="21"/>
          <w:lang w:val="en-US" w:eastAsia="zh-CN"/>
        </w:rPr>
        <w:t>4</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rPr>
        <w:br w:type="page"/>
      </w:r>
    </w:p>
    <w:p w14:paraId="461E1B52">
      <w:pPr>
        <w:spacing w:line="400" w:lineRule="exact"/>
        <w:ind w:firstLine="422" w:firstLineChars="200"/>
        <w:rPr>
          <w:rFonts w:ascii="宋体" w:hAnsi="宋体" w:cs="宋体"/>
          <w:b/>
          <w:szCs w:val="21"/>
        </w:rPr>
      </w:pPr>
      <w:r>
        <w:rPr>
          <w:rFonts w:hint="eastAsia" w:ascii="宋体" w:hAnsi="宋体" w:cs="宋体"/>
          <w:b/>
          <w:szCs w:val="21"/>
        </w:rPr>
        <w:t>标项二十六（科研人事论文诚信档案管理系统）：</w:t>
      </w:r>
    </w:p>
    <w:p w14:paraId="022FBF43">
      <w:pPr>
        <w:numPr>
          <w:ilvl w:val="255"/>
          <w:numId w:val="0"/>
        </w:numPr>
        <w:spacing w:line="400" w:lineRule="exact"/>
        <w:ind w:firstLine="420" w:firstLineChars="200"/>
        <w:rPr>
          <w:rFonts w:ascii="宋体" w:hAnsi="宋体" w:cs="宋体"/>
          <w:szCs w:val="21"/>
        </w:rPr>
      </w:pPr>
      <w:r>
        <w:rPr>
          <w:rFonts w:hint="eastAsia" w:ascii="宋体" w:hAnsi="宋体" w:cs="宋体"/>
          <w:szCs w:val="21"/>
        </w:rPr>
        <w:t>1.比对库资源涵盖国内主要学术期刊8000种以上，累积总量至少达6000万篇以上。</w:t>
      </w:r>
    </w:p>
    <w:p w14:paraId="1A48C58A">
      <w:pPr>
        <w:numPr>
          <w:ilvl w:val="255"/>
          <w:numId w:val="0"/>
        </w:numPr>
        <w:spacing w:line="400" w:lineRule="exact"/>
        <w:ind w:firstLine="420" w:firstLineChars="200"/>
        <w:rPr>
          <w:rFonts w:ascii="宋体" w:hAnsi="宋体" w:cs="宋体"/>
          <w:szCs w:val="21"/>
        </w:rPr>
      </w:pPr>
      <w:r>
        <w:rPr>
          <w:rFonts w:hint="eastAsia" w:ascii="宋体" w:hAnsi="宋体" w:cs="宋体"/>
          <w:szCs w:val="21"/>
        </w:rPr>
        <w:t>2.比对库资源涵盖国内大多数高校的博硕士学位论文，实时总量至少达500万篇以上。</w:t>
      </w:r>
    </w:p>
    <w:p w14:paraId="797073CB">
      <w:pPr>
        <w:numPr>
          <w:ilvl w:val="255"/>
          <w:numId w:val="0"/>
        </w:numPr>
        <w:spacing w:line="400" w:lineRule="exact"/>
        <w:ind w:firstLine="420" w:firstLineChars="200"/>
        <w:rPr>
          <w:rFonts w:ascii="宋体" w:hAnsi="宋体" w:cs="宋体"/>
          <w:szCs w:val="21"/>
        </w:rPr>
      </w:pPr>
      <w:r>
        <w:rPr>
          <w:rFonts w:hint="eastAsia" w:ascii="宋体" w:hAnsi="宋体" w:cs="宋体"/>
          <w:szCs w:val="21"/>
        </w:rPr>
        <w:t>3.比对库资源涵盖国内外学术会议论文，实时总量至少达350万篇以上。</w:t>
      </w:r>
    </w:p>
    <w:p w14:paraId="58B8913E">
      <w:pPr>
        <w:numPr>
          <w:ilvl w:val="255"/>
          <w:numId w:val="0"/>
        </w:numPr>
        <w:spacing w:line="400" w:lineRule="exact"/>
        <w:ind w:firstLine="420" w:firstLineChars="200"/>
        <w:rPr>
          <w:rFonts w:ascii="宋体" w:hAnsi="宋体" w:cs="宋体"/>
          <w:szCs w:val="21"/>
        </w:rPr>
      </w:pPr>
      <w:r>
        <w:rPr>
          <w:rFonts w:hint="eastAsia" w:ascii="宋体" w:hAnsi="宋体" w:cs="宋体"/>
          <w:szCs w:val="21"/>
        </w:rPr>
        <w:t>4.比对库资源涵盖专利数据库，《中国专利全文数据库》《海外专利数据库》，实时总量1.4亿条以上。</w:t>
      </w:r>
    </w:p>
    <w:p w14:paraId="639E1063">
      <w:pPr>
        <w:numPr>
          <w:ilvl w:val="255"/>
          <w:numId w:val="0"/>
        </w:numPr>
        <w:spacing w:line="400" w:lineRule="exact"/>
        <w:ind w:firstLine="420" w:firstLineChars="200"/>
        <w:rPr>
          <w:rFonts w:ascii="宋体" w:hAnsi="宋体" w:cs="宋体"/>
          <w:szCs w:val="21"/>
        </w:rPr>
      </w:pPr>
      <w:r>
        <w:rPr>
          <w:rFonts w:hint="eastAsia" w:ascii="宋体" w:hAnsi="宋体" w:cs="宋体"/>
          <w:szCs w:val="21"/>
        </w:rPr>
        <w:t>5.含互联网资源，港澳台数据资源和第三方英文数据库，同时支持用户自建比对库，实现比对资源的持续扩充，最大程度保证检测结果的客观可靠。</w:t>
      </w:r>
    </w:p>
    <w:p w14:paraId="297F1821">
      <w:pPr>
        <w:numPr>
          <w:ilvl w:val="255"/>
          <w:numId w:val="0"/>
        </w:numPr>
        <w:spacing w:line="400" w:lineRule="exact"/>
        <w:ind w:firstLine="420" w:firstLineChars="200"/>
        <w:rPr>
          <w:rFonts w:ascii="宋体" w:hAnsi="宋体" w:cs="宋体"/>
          <w:szCs w:val="21"/>
        </w:rPr>
      </w:pPr>
      <w:r>
        <w:rPr>
          <w:rFonts w:hint="eastAsia" w:ascii="宋体" w:hAnsi="宋体" w:cs="宋体"/>
          <w:szCs w:val="21"/>
        </w:rPr>
        <w:t>6.系统支持英文检测，支持跨语言检测（中英文互抄识别）；表格自动抽取检测；繁简体转化识别检测。</w:t>
      </w:r>
    </w:p>
    <w:p w14:paraId="364F8402">
      <w:pPr>
        <w:numPr>
          <w:ilvl w:val="255"/>
          <w:numId w:val="0"/>
        </w:numPr>
        <w:spacing w:line="400" w:lineRule="exact"/>
        <w:ind w:firstLine="420" w:firstLineChars="200"/>
        <w:rPr>
          <w:rFonts w:ascii="宋体" w:hAnsi="宋体" w:cs="宋体"/>
          <w:szCs w:val="21"/>
        </w:rPr>
      </w:pPr>
      <w:r>
        <w:rPr>
          <w:rFonts w:hint="eastAsia" w:ascii="宋体" w:hAnsi="宋体" w:cs="宋体"/>
          <w:szCs w:val="21"/>
        </w:rPr>
        <w:t>7.建立机构内科研人员诚信档案，动态监测机构内学术成果，提供学者关注，辅助把关人才引进关注各项学术指标的动态统计数据、学术文献（H因子指标）。</w:t>
      </w:r>
    </w:p>
    <w:p w14:paraId="1A7177C4">
      <w:pPr>
        <w:numPr>
          <w:ilvl w:val="255"/>
          <w:numId w:val="0"/>
        </w:numPr>
        <w:spacing w:line="400" w:lineRule="exact"/>
        <w:ind w:firstLine="420" w:firstLineChars="200"/>
        <w:rPr>
          <w:rFonts w:ascii="宋体" w:hAnsi="宋体" w:cs="宋体"/>
          <w:szCs w:val="21"/>
        </w:rPr>
      </w:pPr>
      <w:r>
        <w:rPr>
          <w:rFonts w:hint="eastAsia" w:ascii="宋体" w:hAnsi="宋体" w:cs="宋体"/>
          <w:szCs w:val="21"/>
        </w:rPr>
        <w:t>8.支持已发表文献检测功能。</w:t>
      </w:r>
    </w:p>
    <w:p w14:paraId="363FE914">
      <w:pPr>
        <w:numPr>
          <w:ilvl w:val="255"/>
          <w:numId w:val="0"/>
        </w:numPr>
        <w:spacing w:line="400" w:lineRule="exact"/>
        <w:ind w:firstLine="420" w:firstLineChars="200"/>
        <w:rPr>
          <w:rFonts w:ascii="宋体" w:hAnsi="宋体" w:cs="宋体"/>
          <w:szCs w:val="21"/>
        </w:rPr>
      </w:pPr>
      <w:r>
        <w:rPr>
          <w:rFonts w:hint="eastAsia" w:ascii="宋体" w:hAnsi="宋体" w:cs="宋体"/>
          <w:szCs w:val="21"/>
        </w:rPr>
        <w:t>9.支持可对各文件夹的文献进行转移工作，方便对检测结果进行归档管理工作。</w:t>
      </w:r>
    </w:p>
    <w:p w14:paraId="6CE67BF4">
      <w:pPr>
        <w:numPr>
          <w:ilvl w:val="255"/>
          <w:numId w:val="0"/>
        </w:numPr>
        <w:spacing w:line="400" w:lineRule="exact"/>
        <w:ind w:firstLine="420" w:firstLineChars="200"/>
        <w:rPr>
          <w:rFonts w:ascii="宋体" w:hAnsi="宋体" w:cs="宋体"/>
          <w:szCs w:val="21"/>
        </w:rPr>
      </w:pPr>
      <w:r>
        <w:rPr>
          <w:rFonts w:hint="eastAsia" w:ascii="宋体" w:hAnsi="宋体" w:cs="宋体"/>
          <w:szCs w:val="21"/>
        </w:rPr>
        <w:t>10.系统支持问题库管理，可以把检测过程中发现的疑似抄袭剽窃的文献统一放到问题库集中处理。</w:t>
      </w:r>
    </w:p>
    <w:p w14:paraId="70264932">
      <w:pPr>
        <w:numPr>
          <w:ilvl w:val="255"/>
          <w:numId w:val="0"/>
        </w:numPr>
        <w:spacing w:line="400" w:lineRule="exact"/>
        <w:ind w:firstLine="420" w:firstLineChars="200"/>
        <w:rPr>
          <w:rFonts w:ascii="宋体" w:hAnsi="宋体" w:cs="宋体"/>
          <w:szCs w:val="21"/>
        </w:rPr>
      </w:pPr>
      <w:r>
        <w:rPr>
          <w:rFonts w:hint="eastAsia" w:ascii="宋体" w:hAnsi="宋体" w:cs="宋体"/>
          <w:szCs w:val="21"/>
        </w:rPr>
        <w:t>11.支持多手段的文献上传功能（支持批量上传检测、批量报告单导出）。</w:t>
      </w:r>
    </w:p>
    <w:p w14:paraId="5AE8BE85">
      <w:pPr>
        <w:numPr>
          <w:ilvl w:val="255"/>
          <w:numId w:val="0"/>
        </w:numPr>
        <w:spacing w:line="400" w:lineRule="exact"/>
        <w:ind w:firstLine="420" w:firstLineChars="200"/>
        <w:rPr>
          <w:rFonts w:ascii="宋体" w:hAnsi="宋体" w:cs="宋体"/>
          <w:szCs w:val="21"/>
        </w:rPr>
      </w:pPr>
      <w:r>
        <w:rPr>
          <w:rFonts w:hint="eastAsia" w:ascii="宋体" w:hAnsi="宋体" w:cs="宋体"/>
          <w:szCs w:val="21"/>
        </w:rPr>
        <w:t>12.支持多格式的文献自动解析功能（支持wps、doc、docx、pdf、caj、txt 等格式文档自动处理）。</w:t>
      </w:r>
    </w:p>
    <w:p w14:paraId="5948A48D">
      <w:pPr>
        <w:numPr>
          <w:ilvl w:val="255"/>
          <w:numId w:val="0"/>
        </w:numPr>
        <w:spacing w:line="400" w:lineRule="exact"/>
        <w:ind w:firstLine="420" w:firstLineChars="200"/>
        <w:rPr>
          <w:rFonts w:ascii="宋体" w:hAnsi="宋体" w:cs="宋体"/>
          <w:szCs w:val="21"/>
        </w:rPr>
      </w:pPr>
      <w:r>
        <w:rPr>
          <w:rFonts w:hint="eastAsia" w:ascii="宋体" w:hAnsi="宋体" w:cs="宋体"/>
          <w:szCs w:val="21"/>
        </w:rPr>
        <w:t>13.快速准确的自动定位功能，可迅速定位某一段文字的出处；高效的文献溯源功能，快速定位某一段文字的最早出处。</w:t>
      </w:r>
    </w:p>
    <w:p w14:paraId="3A7FC30D">
      <w:pPr>
        <w:numPr>
          <w:ilvl w:val="255"/>
          <w:numId w:val="0"/>
        </w:numPr>
        <w:spacing w:line="400" w:lineRule="exact"/>
        <w:ind w:firstLine="420" w:firstLineChars="200"/>
        <w:rPr>
          <w:rFonts w:ascii="宋体" w:hAnsi="宋体" w:cs="宋体"/>
          <w:szCs w:val="21"/>
        </w:rPr>
      </w:pPr>
      <w:r>
        <w:rPr>
          <w:rFonts w:hint="eastAsia" w:ascii="宋体" w:hAnsi="宋体" w:cs="宋体"/>
          <w:szCs w:val="21"/>
        </w:rPr>
        <w:t>14.校园IP范围内访问登录</w:t>
      </w:r>
      <w:r>
        <w:rPr>
          <w:rFonts w:hint="eastAsia" w:ascii="宋体" w:hAnsi="宋体" w:cs="宋体"/>
          <w:szCs w:val="21"/>
          <w:lang w:eastAsia="zh-CN"/>
        </w:rPr>
        <w:t>。</w:t>
      </w:r>
      <w:r>
        <w:rPr>
          <w:rFonts w:hint="eastAsia" w:ascii="宋体" w:hAnsi="宋体" w:cs="宋体"/>
          <w:szCs w:val="21"/>
        </w:rPr>
        <w:t>灵活的账号分级管理，可设置管理员账号与子账号两级账号，管理员可自主分配子账号，可设置子账号的检测篇数，可修改子账号信息，停用子账号；可查阅所有子账号的检测文献，提供丰富的检索功能。</w:t>
      </w:r>
    </w:p>
    <w:p w14:paraId="6E609F33">
      <w:pPr>
        <w:numPr>
          <w:ilvl w:val="255"/>
          <w:numId w:val="0"/>
        </w:numPr>
        <w:spacing w:line="400" w:lineRule="exact"/>
        <w:ind w:firstLine="420" w:firstLineChars="200"/>
        <w:rPr>
          <w:rFonts w:ascii="宋体" w:hAnsi="宋体" w:cs="宋体"/>
          <w:szCs w:val="21"/>
        </w:rPr>
      </w:pPr>
      <w:r>
        <w:rPr>
          <w:rFonts w:hint="eastAsia" w:ascii="宋体" w:hAnsi="宋体" w:cs="宋体"/>
          <w:szCs w:val="21"/>
        </w:rPr>
        <w:t>15.比对数据库定期更新，保证比对数据全面。</w:t>
      </w:r>
    </w:p>
    <w:p w14:paraId="4B2650E2">
      <w:pPr>
        <w:numPr>
          <w:ilvl w:val="255"/>
          <w:numId w:val="0"/>
        </w:numPr>
        <w:spacing w:line="400" w:lineRule="exact"/>
        <w:ind w:firstLine="420" w:firstLineChars="200"/>
        <w:rPr>
          <w:rFonts w:ascii="宋体" w:hAnsi="宋体" w:cs="宋体"/>
          <w:szCs w:val="21"/>
        </w:rPr>
      </w:pPr>
      <w:r>
        <w:rPr>
          <w:rFonts w:hint="eastAsia" w:ascii="宋体" w:hAnsi="宋体" w:cs="宋体"/>
          <w:szCs w:val="21"/>
        </w:rPr>
        <w:t>16.目录、创作</w:t>
      </w:r>
      <w:r>
        <w:rPr>
          <w:rFonts w:hint="eastAsia" w:ascii="宋体" w:hAnsi="宋体" w:cs="宋体"/>
          <w:szCs w:val="21"/>
          <w:lang w:eastAsia="zh-CN"/>
        </w:rPr>
        <w:t>性</w:t>
      </w:r>
      <w:r>
        <w:rPr>
          <w:rFonts w:hint="eastAsia" w:ascii="宋体" w:hAnsi="宋体" w:cs="宋体"/>
          <w:szCs w:val="21"/>
        </w:rPr>
        <w:t>声明、参考文献不参与全文比对。</w:t>
      </w:r>
    </w:p>
    <w:p w14:paraId="6DD2CFC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17.能够提供多种详细的检测报告，包含总的文字复制比、去除引用文献后的复制比、去除作者本人的复制比，提供单独的跨语言抄袭检测复制比；支持引用，非引用区分检测并标注引用内容所占比例，用不同的颜色将引用内容与疑似抄袭内容区别开</w:t>
      </w:r>
      <w:r>
        <w:rPr>
          <w:rFonts w:hint="eastAsia" w:ascii="宋体" w:hAnsi="宋体" w:cs="宋体"/>
          <w:szCs w:val="21"/>
          <w:lang w:eastAsia="zh-CN"/>
        </w:rPr>
        <w:t>。</w:t>
      </w:r>
    </w:p>
    <w:p w14:paraId="2D4FEE34">
      <w:pPr>
        <w:numPr>
          <w:ilvl w:val="255"/>
          <w:numId w:val="0"/>
        </w:numPr>
        <w:spacing w:line="400" w:lineRule="exact"/>
        <w:ind w:firstLine="420" w:firstLineChars="200"/>
        <w:rPr>
          <w:rFonts w:ascii="宋体" w:hAnsi="宋体" w:cs="宋体"/>
          <w:szCs w:val="21"/>
        </w:rPr>
      </w:pPr>
      <w:r>
        <w:rPr>
          <w:rFonts w:hint="eastAsia" w:ascii="宋体" w:hAnsi="宋体" w:cs="宋体"/>
          <w:szCs w:val="21"/>
        </w:rPr>
        <w:t>18.自动生成检测指标结果，包括剽窃观点、自我剽窃、过度引用、整体剽窃和剽窃文字等内容，有效减少使用部门通过组织专家进行判别所耗费的时间和成本。</w:t>
      </w:r>
    </w:p>
    <w:p w14:paraId="404654C2">
      <w:pPr>
        <w:numPr>
          <w:ilvl w:val="255"/>
          <w:numId w:val="0"/>
        </w:numPr>
        <w:spacing w:line="400" w:lineRule="exact"/>
        <w:ind w:firstLine="420" w:firstLineChars="200"/>
        <w:rPr>
          <w:rFonts w:ascii="宋体" w:hAnsi="宋体" w:cs="宋体"/>
          <w:szCs w:val="21"/>
        </w:rPr>
      </w:pPr>
      <w:r>
        <w:rPr>
          <w:rFonts w:hint="eastAsia" w:ascii="宋体" w:hAnsi="宋体" w:cs="宋体"/>
          <w:szCs w:val="21"/>
        </w:rPr>
        <w:t>★投标产品必须完全解决版权问题，保证所</w:t>
      </w:r>
      <w:r>
        <w:rPr>
          <w:rFonts w:hint="eastAsia" w:ascii="宋体" w:hAnsi="宋体" w:cs="宋体"/>
          <w:szCs w:val="21"/>
          <w:lang w:eastAsia="zh-CN"/>
        </w:rPr>
        <w:t>提</w:t>
      </w:r>
      <w:r>
        <w:rPr>
          <w:rFonts w:hint="eastAsia" w:ascii="宋体" w:hAnsi="宋体" w:cs="宋体"/>
          <w:szCs w:val="21"/>
        </w:rPr>
        <w:t>供的数据库信息内容符合中华人民共和国相关法律，保证所供信息不会引起知识产权纠纷等法律责任。</w:t>
      </w:r>
    </w:p>
    <w:p w14:paraId="29176EB5">
      <w:pPr>
        <w:numPr>
          <w:ilvl w:val="255"/>
          <w:numId w:val="0"/>
        </w:numPr>
        <w:spacing w:line="400" w:lineRule="exact"/>
        <w:ind w:firstLine="420" w:firstLineChars="200"/>
        <w:rPr>
          <w:rFonts w:ascii="宋体" w:hAnsi="宋体" w:cs="宋体"/>
          <w:szCs w:val="21"/>
        </w:rPr>
      </w:pPr>
      <w:r>
        <w:rPr>
          <w:rFonts w:hint="eastAsia" w:ascii="宋体" w:hAnsi="宋体" w:cs="宋体"/>
          <w:szCs w:val="21"/>
        </w:rPr>
        <w:t>19.售后服务：</w:t>
      </w:r>
    </w:p>
    <w:p w14:paraId="43B56525">
      <w:pPr>
        <w:numPr>
          <w:ilvl w:val="255"/>
          <w:numId w:val="0"/>
        </w:numPr>
        <w:spacing w:line="400" w:lineRule="exact"/>
        <w:ind w:firstLine="420" w:firstLineChars="200"/>
        <w:rPr>
          <w:rFonts w:ascii="宋体" w:hAnsi="宋体" w:cs="宋体"/>
          <w:szCs w:val="21"/>
        </w:rPr>
      </w:pPr>
      <w:r>
        <w:rPr>
          <w:rFonts w:hint="eastAsia" w:ascii="宋体" w:hAnsi="宋体" w:cs="宋体"/>
          <w:szCs w:val="21"/>
        </w:rPr>
        <w:t>19.1安装调试</w:t>
      </w:r>
    </w:p>
    <w:p w14:paraId="0D17EFAC">
      <w:pPr>
        <w:numPr>
          <w:ilvl w:val="255"/>
          <w:numId w:val="0"/>
        </w:numPr>
        <w:spacing w:line="400" w:lineRule="exact"/>
        <w:ind w:firstLine="420" w:firstLineChars="200"/>
        <w:rPr>
          <w:rFonts w:ascii="宋体" w:hAnsi="宋体" w:cs="宋体"/>
          <w:szCs w:val="21"/>
        </w:rPr>
      </w:pPr>
      <w:r>
        <w:rPr>
          <w:rFonts w:hint="eastAsia" w:ascii="宋体" w:hAnsi="宋体" w:cs="宋体"/>
          <w:szCs w:val="21"/>
        </w:rPr>
        <w:t>镜像模式：向采购人提供产品的首次安装调试服务，采购人和成交人共同组织验收。</w:t>
      </w:r>
    </w:p>
    <w:p w14:paraId="70BD0F19">
      <w:pPr>
        <w:numPr>
          <w:ilvl w:val="255"/>
          <w:numId w:val="0"/>
        </w:numPr>
        <w:spacing w:line="400" w:lineRule="exact"/>
        <w:ind w:firstLine="420" w:firstLineChars="200"/>
        <w:rPr>
          <w:rFonts w:ascii="宋体" w:hAnsi="宋体" w:cs="宋体"/>
          <w:szCs w:val="21"/>
        </w:rPr>
      </w:pPr>
      <w:r>
        <w:rPr>
          <w:rFonts w:hint="eastAsia" w:ascii="宋体" w:hAnsi="宋体" w:cs="宋体"/>
          <w:szCs w:val="21"/>
        </w:rPr>
        <w:t>培训用户的系统管理员。</w:t>
      </w:r>
    </w:p>
    <w:p w14:paraId="193FC786">
      <w:pPr>
        <w:numPr>
          <w:ilvl w:val="255"/>
          <w:numId w:val="0"/>
        </w:numPr>
        <w:spacing w:line="400" w:lineRule="exact"/>
        <w:ind w:firstLine="420" w:firstLineChars="200"/>
        <w:rPr>
          <w:rFonts w:ascii="宋体" w:hAnsi="宋体" w:cs="宋体"/>
          <w:szCs w:val="21"/>
        </w:rPr>
      </w:pPr>
      <w:r>
        <w:rPr>
          <w:rFonts w:hint="eastAsia" w:ascii="宋体" w:hAnsi="宋体" w:cs="宋体"/>
          <w:szCs w:val="21"/>
        </w:rPr>
        <w:t>19.2系统维护</w:t>
      </w:r>
    </w:p>
    <w:p w14:paraId="47BD5325">
      <w:pPr>
        <w:numPr>
          <w:ilvl w:val="255"/>
          <w:numId w:val="0"/>
        </w:numPr>
        <w:spacing w:line="400" w:lineRule="exact"/>
        <w:ind w:firstLine="420" w:firstLineChars="200"/>
        <w:rPr>
          <w:rFonts w:ascii="宋体" w:hAnsi="宋体" w:cs="宋体"/>
          <w:szCs w:val="21"/>
        </w:rPr>
      </w:pPr>
      <w:r>
        <w:rPr>
          <w:rFonts w:hint="eastAsia" w:ascii="宋体" w:hAnsi="宋体" w:cs="宋体"/>
          <w:szCs w:val="21"/>
        </w:rPr>
        <w:t>每月通过远程对产品运行状况进行一次全面监测，对系统运行管理状况提供管理建议。</w:t>
      </w:r>
    </w:p>
    <w:p w14:paraId="5446E061">
      <w:pPr>
        <w:numPr>
          <w:ilvl w:val="255"/>
          <w:numId w:val="0"/>
        </w:numPr>
        <w:spacing w:line="400" w:lineRule="exact"/>
        <w:ind w:firstLine="420" w:firstLineChars="200"/>
        <w:rPr>
          <w:rFonts w:ascii="宋体" w:hAnsi="宋体" w:cs="宋体"/>
          <w:szCs w:val="21"/>
        </w:rPr>
      </w:pPr>
      <w:r>
        <w:rPr>
          <w:rFonts w:hint="eastAsia" w:ascii="宋体" w:hAnsi="宋体" w:cs="宋体"/>
          <w:szCs w:val="21"/>
        </w:rPr>
        <w:t>采购人原因造成的产品使用故障，通过电话支持、网络服务等方式协助采购人排查。特殊情况下可派技术人员上门协助解决。</w:t>
      </w:r>
    </w:p>
    <w:p w14:paraId="6996C439">
      <w:pPr>
        <w:numPr>
          <w:ilvl w:val="255"/>
          <w:numId w:val="0"/>
        </w:numPr>
        <w:spacing w:line="400" w:lineRule="exact"/>
        <w:ind w:firstLine="420" w:firstLineChars="200"/>
        <w:rPr>
          <w:rFonts w:ascii="宋体" w:hAnsi="宋体" w:cs="宋体"/>
          <w:szCs w:val="21"/>
        </w:rPr>
      </w:pPr>
      <w:r>
        <w:rPr>
          <w:rFonts w:hint="eastAsia" w:ascii="宋体" w:hAnsi="宋体" w:cs="宋体"/>
          <w:szCs w:val="21"/>
        </w:rPr>
        <w:t>产品本身原因造成的使用故障由成交人负责排除。</w:t>
      </w:r>
    </w:p>
    <w:p w14:paraId="10E89FC4">
      <w:pPr>
        <w:numPr>
          <w:ilvl w:val="255"/>
          <w:numId w:val="0"/>
        </w:numPr>
        <w:spacing w:line="400" w:lineRule="exact"/>
        <w:ind w:firstLine="420" w:firstLineChars="200"/>
        <w:rPr>
          <w:rFonts w:ascii="宋体" w:hAnsi="宋体" w:cs="宋体"/>
          <w:szCs w:val="21"/>
        </w:rPr>
      </w:pPr>
      <w:r>
        <w:rPr>
          <w:rFonts w:hint="eastAsia" w:ascii="宋体" w:hAnsi="宋体" w:cs="宋体"/>
          <w:szCs w:val="21"/>
        </w:rPr>
        <w:t>19.3紧急服务</w:t>
      </w:r>
    </w:p>
    <w:p w14:paraId="1DCA53D7">
      <w:pPr>
        <w:numPr>
          <w:ilvl w:val="255"/>
          <w:numId w:val="0"/>
        </w:numPr>
        <w:spacing w:line="400" w:lineRule="exact"/>
        <w:ind w:firstLine="420" w:firstLineChars="200"/>
        <w:rPr>
          <w:rFonts w:ascii="宋体" w:hAnsi="宋体" w:cs="宋体"/>
          <w:szCs w:val="21"/>
        </w:rPr>
      </w:pPr>
      <w:r>
        <w:rPr>
          <w:rFonts w:hint="eastAsia" w:ascii="宋体" w:hAnsi="宋体" w:cs="宋体"/>
          <w:szCs w:val="21"/>
        </w:rPr>
        <w:t>向采购人提供产品的紧急备份访问服务，保证采购人可持续使用产品。镜像服务中断时，经采购人申请、成交人核实后即为用户开通CNKI中心网站或交换服务中心的备用账号。</w:t>
      </w:r>
    </w:p>
    <w:p w14:paraId="47B0CE31">
      <w:pPr>
        <w:numPr>
          <w:ilvl w:val="255"/>
          <w:numId w:val="0"/>
        </w:numPr>
        <w:spacing w:line="400" w:lineRule="exact"/>
        <w:ind w:firstLine="420" w:firstLineChars="200"/>
        <w:rPr>
          <w:rFonts w:ascii="宋体" w:hAnsi="宋体" w:cs="宋体"/>
          <w:szCs w:val="21"/>
        </w:rPr>
      </w:pPr>
      <w:r>
        <w:rPr>
          <w:rFonts w:hint="eastAsia" w:ascii="宋体" w:hAnsi="宋体" w:cs="宋体"/>
          <w:szCs w:val="21"/>
        </w:rPr>
        <w:t>用户原因造成的服务中断，每年使用备用账号累计时间不超过3个月。</w:t>
      </w:r>
    </w:p>
    <w:p w14:paraId="4D925299">
      <w:pPr>
        <w:numPr>
          <w:ilvl w:val="255"/>
          <w:numId w:val="0"/>
        </w:numPr>
        <w:spacing w:line="400" w:lineRule="exact"/>
        <w:ind w:firstLine="420" w:firstLineChars="200"/>
        <w:rPr>
          <w:rFonts w:ascii="宋体" w:hAnsi="宋体" w:cs="宋体"/>
          <w:szCs w:val="21"/>
        </w:rPr>
      </w:pPr>
      <w:r>
        <w:rPr>
          <w:rFonts w:hint="eastAsia" w:ascii="宋体" w:hAnsi="宋体" w:cs="宋体"/>
          <w:szCs w:val="21"/>
        </w:rPr>
        <w:t>产品本身原因造成的服务中断，备用账号使用到产品恢复正常使用时为止。</w:t>
      </w:r>
    </w:p>
    <w:p w14:paraId="5096004F">
      <w:pPr>
        <w:numPr>
          <w:ilvl w:val="255"/>
          <w:numId w:val="0"/>
        </w:numPr>
        <w:spacing w:line="400" w:lineRule="exact"/>
        <w:ind w:firstLine="420" w:firstLineChars="200"/>
        <w:rPr>
          <w:rFonts w:ascii="宋体" w:hAnsi="宋体" w:cs="宋体"/>
          <w:szCs w:val="21"/>
        </w:rPr>
      </w:pPr>
      <w:r>
        <w:rPr>
          <w:rFonts w:hint="eastAsia" w:ascii="宋体" w:hAnsi="宋体" w:cs="宋体"/>
          <w:szCs w:val="21"/>
        </w:rPr>
        <w:t>19.4技术支持</w:t>
      </w:r>
    </w:p>
    <w:p w14:paraId="1B701584">
      <w:pPr>
        <w:numPr>
          <w:ilvl w:val="255"/>
          <w:numId w:val="0"/>
        </w:numPr>
        <w:spacing w:line="400" w:lineRule="exact"/>
        <w:ind w:firstLine="420" w:firstLineChars="200"/>
        <w:rPr>
          <w:rFonts w:ascii="宋体" w:hAnsi="宋体" w:cs="宋体"/>
          <w:szCs w:val="21"/>
        </w:rPr>
      </w:pPr>
      <w:r>
        <w:rPr>
          <w:rFonts w:hint="eastAsia" w:ascii="宋体" w:hAnsi="宋体" w:cs="宋体"/>
          <w:szCs w:val="21"/>
        </w:rPr>
        <w:t>向采购人提供热线、邮件、网络、上门等服务方式的咨询解答和技术支持服务</w:t>
      </w:r>
      <w:r>
        <w:rPr>
          <w:rFonts w:hint="eastAsia" w:ascii="宋体" w:hAnsi="宋体" w:cs="宋体"/>
          <w:szCs w:val="21"/>
          <w:lang w:eastAsia="zh-CN"/>
        </w:rPr>
        <w:t>，响应时间不超过24小时</w:t>
      </w:r>
      <w:r>
        <w:rPr>
          <w:rFonts w:hint="eastAsia" w:ascii="宋体" w:hAnsi="宋体" w:cs="宋体"/>
          <w:szCs w:val="21"/>
        </w:rPr>
        <w:t>。</w:t>
      </w:r>
    </w:p>
    <w:p w14:paraId="2EFF21D5">
      <w:pPr>
        <w:numPr>
          <w:ilvl w:val="255"/>
          <w:numId w:val="0"/>
        </w:numPr>
        <w:spacing w:line="400" w:lineRule="exact"/>
        <w:ind w:firstLine="420" w:firstLineChars="200"/>
        <w:rPr>
          <w:rFonts w:ascii="宋体" w:hAnsi="宋体" w:cs="宋体"/>
          <w:szCs w:val="21"/>
        </w:rPr>
      </w:pPr>
      <w:r>
        <w:rPr>
          <w:rFonts w:hint="eastAsia" w:ascii="宋体" w:hAnsi="宋体" w:cs="宋体"/>
          <w:szCs w:val="21"/>
        </w:rPr>
        <w:t>19.5培训</w:t>
      </w:r>
    </w:p>
    <w:p w14:paraId="3252DFDA">
      <w:pPr>
        <w:numPr>
          <w:ilvl w:val="255"/>
          <w:numId w:val="0"/>
        </w:numPr>
        <w:spacing w:line="400" w:lineRule="exact"/>
        <w:ind w:firstLine="420" w:firstLineChars="200"/>
        <w:rPr>
          <w:rFonts w:ascii="宋体" w:hAnsi="宋体" w:cs="宋体"/>
          <w:szCs w:val="21"/>
        </w:rPr>
      </w:pPr>
      <w:r>
        <w:rPr>
          <w:rFonts w:hint="eastAsia" w:ascii="宋体" w:hAnsi="宋体" w:cs="宋体"/>
          <w:szCs w:val="21"/>
        </w:rPr>
        <w:t>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1018A2C3">
      <w:pPr>
        <w:numPr>
          <w:ilvl w:val="255"/>
          <w:numId w:val="0"/>
        </w:numPr>
        <w:spacing w:line="400" w:lineRule="exact"/>
        <w:ind w:firstLine="420" w:firstLineChars="200"/>
        <w:rPr>
          <w:rFonts w:ascii="宋体" w:hAnsi="宋体" w:cs="宋体"/>
          <w:szCs w:val="21"/>
        </w:rPr>
      </w:pPr>
      <w:r>
        <w:rPr>
          <w:rFonts w:hint="eastAsia" w:ascii="宋体" w:hAnsi="宋体" w:cs="宋体"/>
          <w:szCs w:val="21"/>
        </w:rPr>
        <w:t>19.6数据统计</w:t>
      </w:r>
    </w:p>
    <w:p w14:paraId="5CEE26FF">
      <w:pPr>
        <w:numPr>
          <w:ilvl w:val="255"/>
          <w:numId w:val="0"/>
        </w:numPr>
        <w:spacing w:line="400" w:lineRule="exact"/>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lang w:eastAsia="zh-CN"/>
        </w:rPr>
        <w:t>采购人</w:t>
      </w:r>
      <w:r>
        <w:rPr>
          <w:rFonts w:hint="eastAsia" w:ascii="宋体" w:hAnsi="宋体" w:cs="宋体"/>
          <w:szCs w:val="21"/>
        </w:rPr>
        <w:t>要求定期提供数据库使用统计。</w:t>
      </w:r>
    </w:p>
    <w:p w14:paraId="3E6B0615">
      <w:pPr>
        <w:numPr>
          <w:ilvl w:val="255"/>
          <w:numId w:val="0"/>
        </w:numPr>
        <w:spacing w:line="400" w:lineRule="exact"/>
        <w:ind w:firstLine="420" w:firstLineChars="200"/>
        <w:rPr>
          <w:rFonts w:ascii="宋体" w:hAnsi="宋体" w:cs="宋体"/>
          <w:szCs w:val="21"/>
        </w:rPr>
      </w:pPr>
      <w:r>
        <w:rPr>
          <w:rFonts w:hint="eastAsia" w:ascii="宋体" w:hAnsi="宋体" w:cs="宋体"/>
          <w:szCs w:val="21"/>
        </w:rPr>
        <w:t>20.服务期限：2026年1月1日至2026年12月31日</w:t>
      </w:r>
      <w:r>
        <w:rPr>
          <w:rFonts w:hint="eastAsia" w:ascii="宋体" w:hAnsi="宋体" w:cs="宋体"/>
          <w:szCs w:val="21"/>
          <w:lang w:eastAsia="zh-CN"/>
        </w:rPr>
        <w:t>。</w:t>
      </w:r>
      <w:r>
        <w:rPr>
          <w:rFonts w:hint="eastAsia" w:ascii="宋体" w:hAnsi="宋体" w:cs="宋体"/>
          <w:szCs w:val="21"/>
        </w:rPr>
        <w:br w:type="page"/>
      </w:r>
    </w:p>
    <w:p w14:paraId="44EC534D">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szCs w:val="21"/>
        </w:rPr>
      </w:pPr>
      <w:r>
        <w:rPr>
          <w:rFonts w:hint="eastAsia" w:ascii="宋体" w:hAnsi="宋体" w:cs="宋体"/>
          <w:b/>
          <w:szCs w:val="21"/>
        </w:rPr>
        <w:t>标项二十七（incoPat专利数据库）：</w:t>
      </w:r>
    </w:p>
    <w:p w14:paraId="0412CBDB">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1.通过输入账号名和密码后登录系统，账号登录可独立存储个人信息，检索历史、智能库、导航库等个性化功能。</w:t>
      </w:r>
    </w:p>
    <w:p w14:paraId="5AD960A2">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2.数据</w:t>
      </w:r>
    </w:p>
    <w:p w14:paraId="5156659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2.1专利基本数据</w:t>
      </w:r>
      <w:r>
        <w:rPr>
          <w:rFonts w:hint="eastAsia" w:ascii="宋体" w:hAnsi="宋体" w:cs="宋体"/>
          <w:szCs w:val="21"/>
          <w:lang w:eastAsia="zh-CN"/>
        </w:rPr>
        <w:t>：</w:t>
      </w:r>
    </w:p>
    <w:p w14:paraId="26245DC7">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收录不少于170个国家/地区/组织超过1.94亿件的专利著录数据和部分PDF格式的说明书全文</w:t>
      </w:r>
      <w:r>
        <w:rPr>
          <w:rFonts w:hint="eastAsia" w:ascii="宋体" w:hAnsi="宋体" w:cs="宋体"/>
          <w:szCs w:val="21"/>
          <w:lang w:eastAsia="zh-CN"/>
        </w:rPr>
        <w:t>。</w:t>
      </w:r>
      <w:r>
        <w:rPr>
          <w:rFonts w:hint="eastAsia" w:ascii="宋体" w:hAnsi="宋体" w:cs="宋体"/>
          <w:szCs w:val="21"/>
        </w:rPr>
        <w:br w:type="textWrapping"/>
      </w:r>
      <w:r>
        <w:rPr>
          <w:rFonts w:hint="eastAsia" w:ascii="宋体" w:hAnsi="宋体" w:cs="宋体"/>
          <w:szCs w:val="21"/>
        </w:rPr>
        <w:t xml:space="preserve">    数据来源于官方和商业数据提供商，每周至少更新三次。</w:t>
      </w:r>
    </w:p>
    <w:p w14:paraId="21C8FB85">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2.2法律运营数据</w:t>
      </w:r>
    </w:p>
    <w:p w14:paraId="427736FE">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收录法律状态、诉讼（中国、美国、日本、</w:t>
      </w:r>
      <w:r>
        <w:rPr>
          <w:rFonts w:hint="eastAsia" w:ascii="宋体" w:hAnsi="宋体" w:cs="宋体"/>
          <w:szCs w:val="21"/>
          <w:lang w:eastAsia="zh-CN"/>
        </w:rPr>
        <w:t>中国</w:t>
      </w:r>
      <w:r>
        <w:rPr>
          <w:rFonts w:hint="eastAsia" w:ascii="宋体" w:hAnsi="宋体" w:cs="宋体"/>
          <w:szCs w:val="21"/>
        </w:rPr>
        <w:t>台湾）、许可（中国）、质押（中国）、复审（中国）、无效数据（中国）、转让（中国、美国）数据、海关备案数据、ETSI通信标准数据</w:t>
      </w:r>
      <w:r>
        <w:rPr>
          <w:rFonts w:hint="eastAsia" w:ascii="宋体" w:hAnsi="宋体" w:cs="宋体"/>
          <w:szCs w:val="21"/>
          <w:lang w:eastAsia="zh-CN"/>
        </w:rPr>
        <w:t>。</w:t>
      </w:r>
      <w:r>
        <w:rPr>
          <w:rFonts w:hint="eastAsia" w:ascii="宋体" w:hAnsi="宋体" w:cs="宋体"/>
          <w:szCs w:val="21"/>
        </w:rPr>
        <w:br w:type="textWrapping"/>
      </w:r>
      <w:r>
        <w:rPr>
          <w:rFonts w:hint="eastAsia" w:ascii="宋体" w:hAnsi="宋体" w:cs="宋体"/>
          <w:szCs w:val="21"/>
        </w:rPr>
        <w:t xml:space="preserve">    对中国专利和国外专利进行法律状态的有效性加工，分为“有效”、“失效”和“审中”等状态。</w:t>
      </w:r>
    </w:p>
    <w:p w14:paraId="3DB52EEE">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2.3专利引文数据</w:t>
      </w:r>
    </w:p>
    <w:p w14:paraId="26A79968">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收录国内外专利引文数据，可实现引文数据与专利基本数据的关联检索及查阅。</w:t>
      </w:r>
    </w:p>
    <w:p w14:paraId="2F3F64C9">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2.4同族数据</w:t>
      </w:r>
    </w:p>
    <w:p w14:paraId="1AFE4A48">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收录简单同族、扩展同族和DocDB同族，可从不同角度查看和分析同族情况。</w:t>
      </w:r>
    </w:p>
    <w:p w14:paraId="7D1F6397">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2.5翻译数据</w:t>
      </w:r>
    </w:p>
    <w:p w14:paraId="55E377C4">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收录专利的标题和摘要中英文机器翻译数据，可实现输入中英文关键词同时检索到国内外专利，并且有助于提高检索结果的阅读效率。</w:t>
      </w:r>
    </w:p>
    <w:p w14:paraId="6212A295">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2.6专利权人手工整理</w:t>
      </w:r>
    </w:p>
    <w:p w14:paraId="63649DFF">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将公司的子母关系整理成为标准化申请人，方便检索和统计分析。</w:t>
      </w:r>
    </w:p>
    <w:p w14:paraId="6BF79098">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3.检索方式</w:t>
      </w:r>
    </w:p>
    <w:p w14:paraId="4A26BA1F">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3.1简单检索</w:t>
      </w:r>
    </w:p>
    <w:p w14:paraId="373B996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对关键词、名称、号码、分类等主要字段信息提供快速检索入口，用户可输入任意内容进行模糊查询。</w:t>
      </w:r>
    </w:p>
    <w:p w14:paraId="396F279F">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3.2表格检索</w:t>
      </w:r>
    </w:p>
    <w:p w14:paraId="64B2FDE7">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支持以扩展表格的形式提供50多个常用检索入口，以及380多个字段的自定义检索入口，字段之间可灵活</w:t>
      </w:r>
      <w:r>
        <w:rPr>
          <w:rFonts w:hint="eastAsia" w:ascii="宋体" w:hAnsi="宋体" w:cs="宋体"/>
          <w:szCs w:val="21"/>
          <w:lang w:eastAsia="zh-CN"/>
        </w:rPr>
        <w:t>地</w:t>
      </w:r>
      <w:r>
        <w:rPr>
          <w:rFonts w:hint="eastAsia" w:ascii="宋体" w:hAnsi="宋体" w:cs="宋体"/>
          <w:szCs w:val="21"/>
        </w:rPr>
        <w:t>进行逻辑组配</w:t>
      </w:r>
      <w:r>
        <w:rPr>
          <w:rFonts w:hint="eastAsia" w:ascii="宋体" w:hAnsi="宋体" w:cs="宋体"/>
          <w:szCs w:val="21"/>
          <w:lang w:eastAsia="zh-CN"/>
        </w:rPr>
        <w:t>。</w:t>
      </w:r>
      <w:r>
        <w:rPr>
          <w:rFonts w:hint="eastAsia" w:ascii="宋体" w:hAnsi="宋体" w:cs="宋体"/>
          <w:szCs w:val="21"/>
        </w:rPr>
        <w:br w:type="textWrapping"/>
      </w:r>
      <w:r>
        <w:rPr>
          <w:rFonts w:hint="eastAsia" w:ascii="宋体" w:hAnsi="宋体" w:cs="宋体"/>
          <w:szCs w:val="21"/>
        </w:rPr>
        <w:t xml:space="preserve">    支持表格检索的条件自动生成指令检索式。</w:t>
      </w:r>
    </w:p>
    <w:p w14:paraId="017CD24C">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3.3指令检索</w:t>
      </w:r>
    </w:p>
    <w:p w14:paraId="6760FA13">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以编写指令检索式的形式实现复杂逻辑运算的入口，支持的指令检索字段达380余个</w:t>
      </w:r>
      <w:r>
        <w:rPr>
          <w:rFonts w:hint="eastAsia" w:ascii="宋体" w:hAnsi="宋体" w:cs="宋体"/>
          <w:szCs w:val="21"/>
          <w:lang w:eastAsia="zh-CN"/>
        </w:rPr>
        <w:t>。</w:t>
      </w:r>
      <w:r>
        <w:rPr>
          <w:rFonts w:hint="eastAsia" w:ascii="宋体" w:hAnsi="宋体" w:cs="宋体"/>
          <w:szCs w:val="21"/>
        </w:rPr>
        <w:br w:type="textWrapping"/>
      </w:r>
      <w:r>
        <w:rPr>
          <w:rFonts w:hint="eastAsia" w:ascii="宋体" w:hAnsi="宋体" w:cs="宋体"/>
          <w:szCs w:val="21"/>
        </w:rPr>
        <w:t>支持多种逻辑算符、截词符和位置算符、同句算符、同段算符、语义排序算符、范围运算</w:t>
      </w:r>
      <w:r>
        <w:rPr>
          <w:rFonts w:hint="eastAsia" w:ascii="宋体" w:hAnsi="宋体" w:cs="宋体"/>
          <w:szCs w:val="21"/>
          <w:lang w:eastAsia="zh-CN"/>
        </w:rPr>
        <w:t>。</w:t>
      </w:r>
      <w:r>
        <w:rPr>
          <w:rFonts w:hint="eastAsia" w:ascii="宋体" w:hAnsi="宋体" w:cs="宋体"/>
          <w:szCs w:val="21"/>
        </w:rPr>
        <w:br w:type="textWrapping"/>
      </w:r>
      <w:r>
        <w:rPr>
          <w:rFonts w:hint="eastAsia" w:ascii="宋体" w:hAnsi="宋体" w:cs="宋体"/>
          <w:szCs w:val="21"/>
        </w:rPr>
        <w:t xml:space="preserve">    指令检索式的长度支持上万字符。</w:t>
      </w:r>
    </w:p>
    <w:p w14:paraId="3A3FD2A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szCs w:val="21"/>
        </w:rPr>
      </w:pPr>
      <w:r>
        <w:rPr>
          <w:rFonts w:hint="eastAsia" w:ascii="宋体" w:hAnsi="宋体" w:cs="宋体"/>
          <w:szCs w:val="21"/>
        </w:rPr>
        <w:t>3.4块检索</w:t>
      </w:r>
    </w:p>
    <w:p w14:paraId="5B3DFBCB">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块检索是将检索主题划分成几个基本检索要素，针对每个检索要素，创建─个独立的检索块，然后将各个块按照组合的方式进行检索，当调整检索策略时，只需要调整对应检索式块即可，从而达到快捷方便的调整检索策略的目的。</w:t>
      </w:r>
    </w:p>
    <w:p w14:paraId="3873BBBE">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3.5批量检索</w:t>
      </w:r>
    </w:p>
    <w:p w14:paraId="50938227">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批量输入申请号/公开号/优先权号/申请人检索、号码检索支持所有号码混检、号码精确检索及转换格式模糊匹配检索。</w:t>
      </w:r>
    </w:p>
    <w:p w14:paraId="720971D0">
      <w:pPr>
        <w:numPr>
          <w:ilvl w:val="255"/>
          <w:numId w:val="0"/>
        </w:numPr>
        <w:spacing w:line="400" w:lineRule="exact"/>
        <w:ind w:firstLine="420" w:firstLineChars="200"/>
        <w:rPr>
          <w:rFonts w:hint="eastAsia" w:ascii="宋体" w:hAnsi="宋体" w:cs="宋体"/>
          <w:szCs w:val="21"/>
          <w:highlight w:val="yellow"/>
        </w:rPr>
      </w:pPr>
      <w:r>
        <w:rPr>
          <w:rFonts w:hint="eastAsia" w:ascii="宋体" w:hAnsi="宋体" w:cs="宋体"/>
          <w:szCs w:val="21"/>
          <w:highlight w:val="none"/>
        </w:rPr>
        <w:t>一次批量检索数量不少于：5000条/精确，2000条/模糊。</w:t>
      </w:r>
    </w:p>
    <w:p w14:paraId="783E53BC">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3.6引证检索</w:t>
      </w:r>
    </w:p>
    <w:p w14:paraId="3E8CCAD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支持对专利进行前后引证信息检索，把握关键技术的发展脉络</w:t>
      </w:r>
      <w:r>
        <w:rPr>
          <w:rFonts w:hint="eastAsia" w:ascii="宋体" w:hAnsi="宋体" w:cs="宋体"/>
          <w:szCs w:val="21"/>
          <w:lang w:eastAsia="zh-CN"/>
        </w:rPr>
        <w:t>。</w:t>
      </w:r>
    </w:p>
    <w:p w14:paraId="612E7A1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支持用其他检索字段对查询结果进行限制</w:t>
      </w:r>
      <w:r>
        <w:rPr>
          <w:rFonts w:hint="eastAsia" w:ascii="宋体" w:hAnsi="宋体" w:cs="宋体"/>
          <w:szCs w:val="21"/>
          <w:lang w:eastAsia="zh-CN"/>
        </w:rPr>
        <w:t>。</w:t>
      </w:r>
    </w:p>
    <w:p w14:paraId="5594ECAF">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支持检索批量专利的前后多级引证信息。</w:t>
      </w:r>
    </w:p>
    <w:p w14:paraId="415BF05D">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3.7法律信息检索</w:t>
      </w:r>
    </w:p>
    <w:p w14:paraId="25620C81">
      <w:pPr>
        <w:numPr>
          <w:ilvl w:val="255"/>
          <w:numId w:val="0"/>
        </w:numPr>
        <w:spacing w:line="400" w:lineRule="exact"/>
        <w:ind w:left="420" w:leftChars="200" w:firstLine="0" w:firstLineChars="0"/>
        <w:rPr>
          <w:rFonts w:hint="eastAsia" w:ascii="宋体" w:hAnsi="宋体" w:cs="宋体"/>
          <w:szCs w:val="21"/>
          <w:lang w:eastAsia="zh-CN"/>
        </w:rPr>
      </w:pPr>
      <w:r>
        <w:rPr>
          <w:rFonts w:hint="eastAsia" w:ascii="宋体" w:hAnsi="宋体" w:cs="宋体"/>
          <w:szCs w:val="21"/>
        </w:rPr>
        <w:t>支持对国内外的专利法律状态检索</w:t>
      </w:r>
      <w:r>
        <w:rPr>
          <w:rFonts w:hint="eastAsia" w:ascii="宋体" w:hAnsi="宋体" w:cs="宋体"/>
          <w:szCs w:val="21"/>
          <w:lang w:eastAsia="zh-CN"/>
        </w:rPr>
        <w:t>。</w:t>
      </w:r>
    </w:p>
    <w:p w14:paraId="1EB34DC6">
      <w:pPr>
        <w:numPr>
          <w:ilvl w:val="255"/>
          <w:numId w:val="0"/>
        </w:numPr>
        <w:spacing w:line="400" w:lineRule="exact"/>
        <w:ind w:left="420" w:leftChars="200" w:firstLine="0" w:firstLineChars="0"/>
        <w:rPr>
          <w:rFonts w:hint="eastAsia" w:ascii="宋体" w:hAnsi="宋体" w:cs="宋体"/>
          <w:szCs w:val="21"/>
          <w:lang w:eastAsia="zh-CN"/>
        </w:rPr>
      </w:pPr>
      <w:r>
        <w:rPr>
          <w:rFonts w:hint="eastAsia" w:ascii="宋体" w:hAnsi="宋体" w:cs="宋体"/>
          <w:szCs w:val="21"/>
        </w:rPr>
        <w:t>支持对中国专利有效性和当前法律状态检索</w:t>
      </w:r>
      <w:r>
        <w:rPr>
          <w:rFonts w:hint="eastAsia" w:ascii="宋体" w:hAnsi="宋体" w:cs="宋体"/>
          <w:szCs w:val="21"/>
          <w:lang w:eastAsia="zh-CN"/>
        </w:rPr>
        <w:t>。</w:t>
      </w:r>
    </w:p>
    <w:p w14:paraId="39481152">
      <w:pPr>
        <w:numPr>
          <w:ilvl w:val="255"/>
          <w:numId w:val="0"/>
        </w:numPr>
        <w:spacing w:line="400" w:lineRule="exact"/>
        <w:ind w:firstLine="420" w:firstLineChars="200"/>
        <w:rPr>
          <w:rFonts w:hint="eastAsia" w:ascii="宋体" w:hAnsi="宋体" w:cs="宋体"/>
          <w:szCs w:val="21"/>
          <w:lang w:eastAsia="zh-CN"/>
        </w:rPr>
      </w:pPr>
      <w:r>
        <w:rPr>
          <w:rFonts w:hint="eastAsia" w:ascii="宋体" w:hAnsi="宋体" w:cs="宋体"/>
          <w:szCs w:val="21"/>
        </w:rPr>
        <w:t>支持对中美诉讼、中美专利转让、中国专利许可、中国专利质押和中国专利复审无效信息进行检索</w:t>
      </w:r>
      <w:r>
        <w:rPr>
          <w:rFonts w:hint="eastAsia" w:ascii="宋体" w:hAnsi="宋体" w:cs="宋体"/>
          <w:szCs w:val="21"/>
          <w:lang w:eastAsia="zh-CN"/>
        </w:rPr>
        <w:t>。</w:t>
      </w:r>
    </w:p>
    <w:p w14:paraId="1C1C8DF9">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支持用其他检索字段对查询结果进行限制。</w:t>
      </w:r>
    </w:p>
    <w:p w14:paraId="356E9A39">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3.8语义检索</w:t>
      </w:r>
    </w:p>
    <w:p w14:paraId="653F0E6C">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支持输入公开（公告）号或一段技术描述，可自动匹配出与目标专利/技术最相似的专利；</w:t>
      </w:r>
      <w:r>
        <w:rPr>
          <w:rFonts w:hint="eastAsia" w:ascii="宋体" w:hAnsi="宋体" w:cs="宋体"/>
          <w:szCs w:val="21"/>
        </w:rPr>
        <w:br w:type="textWrapping"/>
      </w:r>
      <w:r>
        <w:rPr>
          <w:rFonts w:hint="eastAsia" w:ascii="宋体" w:hAnsi="宋体" w:cs="宋体"/>
          <w:szCs w:val="21"/>
        </w:rPr>
        <w:t>可从检索结果中提示相关词，供用户选取后优化语义检索策略。</w:t>
      </w:r>
    </w:p>
    <w:p w14:paraId="367EB0BE">
      <w:pPr>
        <w:numPr>
          <w:ilvl w:val="255"/>
          <w:numId w:val="0"/>
        </w:num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一次检索数量不少于：2000条</w:t>
      </w:r>
      <w:r>
        <w:rPr>
          <w:rFonts w:hint="eastAsia" w:ascii="宋体" w:hAnsi="宋体" w:cs="宋体"/>
          <w:szCs w:val="21"/>
          <w:highlight w:val="none"/>
          <w:lang w:eastAsia="zh-CN"/>
        </w:rPr>
        <w:t>。</w:t>
      </w:r>
    </w:p>
    <w:p w14:paraId="128CF7D1">
      <w:pPr>
        <w:numPr>
          <w:ilvl w:val="255"/>
          <w:numId w:val="0"/>
        </w:num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3.9AI检索</w:t>
      </w:r>
    </w:p>
    <w:p w14:paraId="34DDBB76">
      <w:pPr>
        <w:numPr>
          <w:ilvl w:val="255"/>
          <w:numId w:val="0"/>
        </w:num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AI检索使用知识图谱及人工智能技术，借鉴了DNA识别的理念和算法，识别专利文献中发明核心结构，可以比较出哪些组件是一致的或相似的，哪些组件没有被公开，实现了多维、全面的技术对比，针对场景化的检索大幅的提升了检索效果。</w:t>
      </w:r>
    </w:p>
    <w:p w14:paraId="400B1DE1">
      <w:pPr>
        <w:numPr>
          <w:ilvl w:val="255"/>
          <w:numId w:val="0"/>
        </w:num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支持查新检索、无效检索、侵权风险检索。</w:t>
      </w:r>
    </w:p>
    <w:p w14:paraId="37FC3575">
      <w:pPr>
        <w:numPr>
          <w:ilvl w:val="255"/>
          <w:numId w:val="0"/>
        </w:numPr>
        <w:spacing w:line="400" w:lineRule="exact"/>
        <w:ind w:firstLine="420" w:firstLineChars="200"/>
        <w:rPr>
          <w:rFonts w:hint="eastAsia" w:ascii="宋体" w:hAnsi="宋体" w:eastAsia="宋体" w:cs="宋体"/>
          <w:szCs w:val="21"/>
          <w:highlight w:val="yellow"/>
          <w:lang w:eastAsia="zh-CN"/>
        </w:rPr>
      </w:pPr>
      <w:r>
        <w:rPr>
          <w:rFonts w:hint="eastAsia" w:ascii="宋体" w:hAnsi="宋体" w:cs="宋体"/>
          <w:szCs w:val="21"/>
          <w:highlight w:val="none"/>
        </w:rPr>
        <w:t>一次检索数量不少于：2000条</w:t>
      </w:r>
      <w:r>
        <w:rPr>
          <w:rFonts w:hint="eastAsia" w:ascii="宋体" w:hAnsi="宋体" w:cs="宋体"/>
          <w:szCs w:val="21"/>
          <w:highlight w:val="none"/>
          <w:lang w:eastAsia="zh-CN"/>
        </w:rPr>
        <w:t>。</w:t>
      </w:r>
    </w:p>
    <w:p w14:paraId="23557D8D">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3.10扩展检索</w:t>
      </w:r>
    </w:p>
    <w:p w14:paraId="2221689F">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支持输入公开（公告）号或一段技术描述，可智能提示出一系列相关词，供用户选取后编写指令检索式。</w:t>
      </w:r>
    </w:p>
    <w:p w14:paraId="5A6868D5">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3.11图形检索</w:t>
      </w:r>
    </w:p>
    <w:p w14:paraId="476CF470">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使用全局的图像特点来进行基于内容的图像检索，帮助您快速找到与目标设计最相近的外观设计专利，比对过程自动进行，不需要人工进行参与或辅导。</w:t>
      </w:r>
    </w:p>
    <w:p w14:paraId="5E0C9FE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 xml:space="preserve">支持实用新型和外观设计专利的图片检索。 </w:t>
      </w:r>
    </w:p>
    <w:p w14:paraId="4BC215B0">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3.12检索历史</w:t>
      </w:r>
    </w:p>
    <w:p w14:paraId="7057612C">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系统将自动保存最近1个月的检索历史</w:t>
      </w:r>
      <w:r>
        <w:rPr>
          <w:rFonts w:hint="eastAsia" w:ascii="宋体" w:hAnsi="宋体" w:cs="宋体"/>
          <w:szCs w:val="21"/>
          <w:lang w:eastAsia="zh-CN"/>
        </w:rPr>
        <w:t>。</w:t>
      </w:r>
    </w:p>
    <w:p w14:paraId="0B331977">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支持对临时保存的历史检索式进行逻辑组配运算，便于用户实现“块检索”。</w:t>
      </w:r>
    </w:p>
    <w:p w14:paraId="4DD3BC39">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4.检索结果显示</w:t>
      </w:r>
    </w:p>
    <w:p w14:paraId="4C80D5B4">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4.1二次检索</w:t>
      </w:r>
    </w:p>
    <w:p w14:paraId="7D49EA3D">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支持对检索结果进行进一步检索，以缩小检索范围。</w:t>
      </w:r>
      <w:r>
        <w:rPr>
          <w:rFonts w:hint="eastAsia" w:ascii="宋体" w:hAnsi="宋体" w:cs="宋体"/>
          <w:szCs w:val="21"/>
        </w:rPr>
        <w:tab/>
      </w:r>
    </w:p>
    <w:p w14:paraId="38CF21D3">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4.2即时统计筛选</w:t>
      </w:r>
    </w:p>
    <w:p w14:paraId="172BEFE3">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支持对专利类别、法律状态、申请人、发明人、分类号、申请日、公开日等130余个字段进行即时统计</w:t>
      </w:r>
      <w:r>
        <w:rPr>
          <w:rFonts w:hint="eastAsia" w:ascii="宋体" w:hAnsi="宋体" w:cs="宋体"/>
          <w:szCs w:val="21"/>
          <w:lang w:eastAsia="zh-CN"/>
        </w:rPr>
        <w:t>。</w:t>
      </w:r>
      <w:r>
        <w:rPr>
          <w:rFonts w:hint="eastAsia" w:ascii="宋体" w:hAnsi="宋体" w:cs="宋体"/>
          <w:szCs w:val="21"/>
        </w:rPr>
        <w:br w:type="textWrapping"/>
      </w:r>
      <w:r>
        <w:rPr>
          <w:rFonts w:hint="eastAsia" w:ascii="宋体" w:hAnsi="宋体" w:cs="宋体"/>
          <w:szCs w:val="21"/>
        </w:rPr>
        <w:t xml:space="preserve">    支持按照统计结果对检索结果进行二次筛选。</w:t>
      </w:r>
      <w:r>
        <w:rPr>
          <w:rFonts w:hint="eastAsia" w:ascii="宋体" w:hAnsi="宋体" w:cs="宋体"/>
          <w:szCs w:val="21"/>
        </w:rPr>
        <w:tab/>
      </w:r>
    </w:p>
    <w:p w14:paraId="052BCA55">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4.3筛选关键词</w:t>
      </w:r>
      <w:r>
        <w:rPr>
          <w:rFonts w:hint="eastAsia" w:ascii="宋体" w:hAnsi="宋体" w:cs="宋体"/>
          <w:szCs w:val="21"/>
        </w:rPr>
        <w:tab/>
      </w:r>
    </w:p>
    <w:p w14:paraId="02B90CB1">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支持从检索结果中提取关键词，用户可对关键词进行筛选和过滤，或者选取用户优化检索表达式。</w:t>
      </w:r>
    </w:p>
    <w:p w14:paraId="480CCDA7">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4.4浏览模式</w:t>
      </w:r>
      <w:r>
        <w:rPr>
          <w:rFonts w:hint="eastAsia" w:ascii="宋体" w:hAnsi="宋体" w:cs="宋体"/>
          <w:szCs w:val="21"/>
        </w:rPr>
        <w:tab/>
      </w:r>
    </w:p>
    <w:p w14:paraId="690365A6">
      <w:pPr>
        <w:numPr>
          <w:ilvl w:val="255"/>
          <w:numId w:val="0"/>
        </w:numPr>
        <w:spacing w:line="400" w:lineRule="exact"/>
        <w:ind w:firstLine="420" w:firstLineChars="200"/>
        <w:rPr>
          <w:rFonts w:hint="eastAsia" w:ascii="宋体" w:hAnsi="宋体" w:cs="宋体"/>
          <w:szCs w:val="21"/>
          <w:lang w:eastAsia="zh-CN"/>
        </w:rPr>
      </w:pPr>
      <w:r>
        <w:rPr>
          <w:rFonts w:hint="eastAsia" w:ascii="宋体" w:hAnsi="宋体" w:cs="宋体"/>
          <w:szCs w:val="21"/>
        </w:rPr>
        <w:t>支持列表、图文、首图、全图和深度浏览五种检索结果浏览模式</w:t>
      </w:r>
      <w:r>
        <w:rPr>
          <w:rFonts w:hint="eastAsia" w:ascii="宋体" w:hAnsi="宋体" w:cs="宋体"/>
          <w:szCs w:val="21"/>
          <w:lang w:eastAsia="zh-CN"/>
        </w:rPr>
        <w:t>。</w:t>
      </w:r>
    </w:p>
    <w:p w14:paraId="1D8A9C79">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图文模式支持自定义显示字段，其中英文专利可对照查看题录文摘的中文翻译信息。</w:t>
      </w:r>
      <w:r>
        <w:rPr>
          <w:rFonts w:hint="eastAsia" w:ascii="宋体" w:hAnsi="宋体" w:cs="宋体"/>
          <w:szCs w:val="21"/>
        </w:rPr>
        <w:tab/>
      </w:r>
    </w:p>
    <w:p w14:paraId="578DCB51">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4.5法律信息标签</w:t>
      </w:r>
      <w:r>
        <w:rPr>
          <w:rFonts w:hint="eastAsia" w:ascii="宋体" w:hAnsi="宋体" w:cs="宋体"/>
          <w:szCs w:val="21"/>
        </w:rPr>
        <w:tab/>
      </w:r>
    </w:p>
    <w:p w14:paraId="57EF757C">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在检索结果中会标识出专利的有效性（有效、失效、审中、PCT有效期内、PCT有效期满）、涉诉标签、转让标签、复审无效标签等。</w:t>
      </w:r>
      <w:r>
        <w:rPr>
          <w:rFonts w:hint="eastAsia" w:ascii="宋体" w:hAnsi="宋体" w:cs="宋体"/>
          <w:szCs w:val="21"/>
        </w:rPr>
        <w:tab/>
      </w:r>
    </w:p>
    <w:p w14:paraId="02D09664">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4.6专利族合并</w:t>
      </w:r>
      <w:r>
        <w:rPr>
          <w:rFonts w:hint="eastAsia" w:ascii="宋体" w:hAnsi="宋体" w:cs="宋体"/>
          <w:szCs w:val="21"/>
        </w:rPr>
        <w:tab/>
      </w:r>
    </w:p>
    <w:p w14:paraId="7AF0FB75">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支持将检索结果中的同族专利进行合并处理，可以根据简单同族、扩展同族、DocDB同族三种方式进行合并，从而提高阅读和数据分析的效率。</w:t>
      </w:r>
      <w:r>
        <w:rPr>
          <w:rFonts w:hint="eastAsia" w:ascii="宋体" w:hAnsi="宋体" w:cs="宋体"/>
          <w:szCs w:val="21"/>
        </w:rPr>
        <w:tab/>
      </w:r>
    </w:p>
    <w:p w14:paraId="64A3FE46">
      <w:pPr>
        <w:numPr>
          <w:ilvl w:val="255"/>
          <w:numId w:val="0"/>
        </w:num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显示数量不少于：100万条</w:t>
      </w:r>
      <w:r>
        <w:rPr>
          <w:rFonts w:hint="eastAsia" w:ascii="宋体" w:hAnsi="宋体" w:cs="宋体"/>
          <w:szCs w:val="21"/>
          <w:highlight w:val="none"/>
          <w:lang w:eastAsia="zh-CN"/>
        </w:rPr>
        <w:t>。</w:t>
      </w:r>
    </w:p>
    <w:p w14:paraId="2CD65346">
      <w:pPr>
        <w:numPr>
          <w:ilvl w:val="255"/>
          <w:numId w:val="0"/>
        </w:num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4.7申请号合并</w:t>
      </w:r>
      <w:r>
        <w:rPr>
          <w:rFonts w:hint="eastAsia" w:ascii="宋体" w:hAnsi="宋体" w:cs="宋体"/>
          <w:szCs w:val="21"/>
          <w:highlight w:val="none"/>
        </w:rPr>
        <w:tab/>
      </w:r>
    </w:p>
    <w:p w14:paraId="3362B6AA">
      <w:pPr>
        <w:numPr>
          <w:ilvl w:val="255"/>
          <w:numId w:val="0"/>
        </w:num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支持将检索结果中的专利按照相同申请号进行合并处理，自行设置保留申请文本或授权文本，方便查阅目标文本的专利信息。</w:t>
      </w:r>
      <w:r>
        <w:rPr>
          <w:rFonts w:hint="eastAsia" w:ascii="宋体" w:hAnsi="宋体" w:cs="宋体"/>
          <w:szCs w:val="21"/>
          <w:highlight w:val="none"/>
        </w:rPr>
        <w:tab/>
      </w:r>
    </w:p>
    <w:p w14:paraId="341C2EBF">
      <w:pPr>
        <w:numPr>
          <w:ilvl w:val="255"/>
          <w:numId w:val="0"/>
        </w:numPr>
        <w:spacing w:line="400" w:lineRule="exact"/>
        <w:ind w:firstLine="420" w:firstLineChars="200"/>
        <w:rPr>
          <w:rFonts w:hint="eastAsia" w:ascii="宋体" w:hAnsi="宋体" w:eastAsia="宋体" w:cs="宋体"/>
          <w:szCs w:val="21"/>
          <w:highlight w:val="yellow"/>
          <w:lang w:eastAsia="zh-CN"/>
        </w:rPr>
      </w:pPr>
      <w:r>
        <w:rPr>
          <w:rFonts w:hint="eastAsia" w:ascii="宋体" w:hAnsi="宋体" w:cs="宋体"/>
          <w:szCs w:val="21"/>
          <w:highlight w:val="none"/>
        </w:rPr>
        <w:t>显示数量不少于：100万条</w:t>
      </w:r>
      <w:r>
        <w:rPr>
          <w:rFonts w:hint="eastAsia" w:ascii="宋体" w:hAnsi="宋体" w:cs="宋体"/>
          <w:szCs w:val="21"/>
          <w:highlight w:val="none"/>
          <w:lang w:eastAsia="zh-CN"/>
        </w:rPr>
        <w:t>。</w:t>
      </w:r>
    </w:p>
    <w:p w14:paraId="55E42B7F">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4.8排序方式</w:t>
      </w:r>
      <w:r>
        <w:rPr>
          <w:rFonts w:hint="eastAsia" w:ascii="宋体" w:hAnsi="宋体" w:cs="宋体"/>
          <w:szCs w:val="21"/>
        </w:rPr>
        <w:tab/>
      </w:r>
    </w:p>
    <w:p w14:paraId="7A41EE83">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支持按照相关度、被引证次数、同族专利数量、专利价值度、公开日、申请日等37个字段共74种排序方式（包括智能库6个特定排序字段），方便用户以不同的方式聚焦重点专利。</w:t>
      </w:r>
      <w:r>
        <w:rPr>
          <w:rFonts w:hint="eastAsia" w:ascii="宋体" w:hAnsi="宋体" w:cs="宋体"/>
          <w:szCs w:val="21"/>
        </w:rPr>
        <w:tab/>
      </w:r>
    </w:p>
    <w:p w14:paraId="495F4849">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4.9关键词高亮</w:t>
      </w:r>
      <w:r>
        <w:rPr>
          <w:rFonts w:hint="eastAsia" w:ascii="宋体" w:hAnsi="宋体" w:cs="宋体"/>
          <w:szCs w:val="21"/>
        </w:rPr>
        <w:tab/>
      </w:r>
    </w:p>
    <w:p w14:paraId="13DE5FA4">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支持自定义多个高亮显示的关键词，可设置关键词高亮显示字段，为用户提供更人性化的阅读辅助工具。</w:t>
      </w:r>
      <w:r>
        <w:rPr>
          <w:rFonts w:hint="eastAsia" w:ascii="宋体" w:hAnsi="宋体" w:cs="宋体"/>
          <w:szCs w:val="21"/>
        </w:rPr>
        <w:tab/>
      </w:r>
    </w:p>
    <w:p w14:paraId="7991BEDD">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4.10专利详览</w:t>
      </w:r>
      <w:r>
        <w:rPr>
          <w:rFonts w:hint="eastAsia" w:ascii="宋体" w:hAnsi="宋体" w:cs="宋体"/>
          <w:szCs w:val="21"/>
        </w:rPr>
        <w:tab/>
      </w:r>
    </w:p>
    <w:p w14:paraId="3DDC74CB">
      <w:pPr>
        <w:numPr>
          <w:ilvl w:val="255"/>
          <w:numId w:val="0"/>
        </w:numPr>
        <w:spacing w:line="400" w:lineRule="exact"/>
        <w:ind w:firstLine="420" w:firstLineChars="200"/>
        <w:rPr>
          <w:rFonts w:hint="eastAsia" w:ascii="宋体" w:hAnsi="宋体" w:cs="宋体"/>
          <w:szCs w:val="21"/>
          <w:lang w:eastAsia="zh-CN"/>
        </w:rPr>
      </w:pPr>
      <w:r>
        <w:rPr>
          <w:rFonts w:hint="eastAsia" w:ascii="宋体" w:hAnsi="宋体" w:cs="宋体"/>
          <w:szCs w:val="21"/>
        </w:rPr>
        <w:t>支持查看单篇专利的题录摘要、权利要求、说明书全文、附图、PDF全文、法律信息、引证文献和同族专利等信息</w:t>
      </w:r>
      <w:r>
        <w:rPr>
          <w:rFonts w:hint="eastAsia" w:ascii="宋体" w:hAnsi="宋体" w:cs="宋体"/>
          <w:szCs w:val="21"/>
          <w:lang w:eastAsia="zh-CN"/>
        </w:rPr>
        <w:t>。</w:t>
      </w:r>
    </w:p>
    <w:p w14:paraId="3FE6D480">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支持查看检索结果的简单同族、扩展同族和优先权信息，更全面地把握竞争对手公司和目标技术领域的世界专利布局。</w:t>
      </w:r>
    </w:p>
    <w:p w14:paraId="4F1E04C7">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4.11双页对照浏览</w:t>
      </w:r>
      <w:r>
        <w:rPr>
          <w:rFonts w:hint="eastAsia" w:ascii="宋体" w:hAnsi="宋体" w:cs="宋体"/>
          <w:szCs w:val="21"/>
        </w:rPr>
        <w:tab/>
      </w:r>
    </w:p>
    <w:p w14:paraId="6AA28D2D">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专利详览页面提供了双页对照浏览模式，便于快速比对和查看同一篇专利的不同信息。</w:t>
      </w:r>
    </w:p>
    <w:p w14:paraId="18D8C606">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4.12超级附图</w:t>
      </w:r>
      <w:r>
        <w:rPr>
          <w:rFonts w:hint="eastAsia" w:ascii="宋体" w:hAnsi="宋体" w:cs="宋体"/>
          <w:szCs w:val="21"/>
        </w:rPr>
        <w:tab/>
      </w:r>
    </w:p>
    <w:p w14:paraId="1FFCA856">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有说明书的专利提供</w:t>
      </w:r>
      <w:r>
        <w:rPr>
          <w:rFonts w:hint="eastAsia" w:ascii="宋体" w:hAnsi="宋体" w:cs="宋体"/>
          <w:szCs w:val="21"/>
          <w:lang w:eastAsia="zh-CN"/>
        </w:rPr>
        <w:t>“</w:t>
      </w:r>
      <w:r>
        <w:rPr>
          <w:rFonts w:hint="eastAsia" w:ascii="宋体" w:hAnsi="宋体" w:cs="宋体"/>
          <w:szCs w:val="21"/>
        </w:rPr>
        <w:t>超级附图”模式，可在附图上智能显示附图标</w:t>
      </w:r>
      <w:r>
        <w:rPr>
          <w:rFonts w:hint="eastAsia" w:ascii="宋体" w:hAnsi="宋体" w:cs="宋体"/>
          <w:szCs w:val="21"/>
          <w:lang w:eastAsia="zh-CN"/>
        </w:rPr>
        <w:t>注</w:t>
      </w:r>
      <w:r>
        <w:rPr>
          <w:rFonts w:hint="eastAsia" w:ascii="宋体" w:hAnsi="宋体" w:cs="宋体"/>
          <w:szCs w:val="21"/>
        </w:rPr>
        <w:t>的部件名称，辅助用户快速掌握图片内容。</w:t>
      </w:r>
    </w:p>
    <w:p w14:paraId="562D49C6">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4.13权利要求树</w:t>
      </w:r>
      <w:r>
        <w:rPr>
          <w:rFonts w:hint="eastAsia" w:ascii="宋体" w:hAnsi="宋体" w:cs="宋体"/>
          <w:szCs w:val="21"/>
        </w:rPr>
        <w:tab/>
      </w:r>
    </w:p>
    <w:p w14:paraId="1E09E4DB">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提供中文和英文申请的专利展示独立权利要求和从属权利要求的层级关系，以及每个权利要求中描述的部件连接关系，辅助快速识别高价值专利和技术点。</w:t>
      </w:r>
    </w:p>
    <w:p w14:paraId="61782C30">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5.分析</w:t>
      </w:r>
    </w:p>
    <w:p w14:paraId="4F78E812">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5.1自定义统计分析</w:t>
      </w:r>
    </w:p>
    <w:p w14:paraId="1F12CFD3">
      <w:pPr>
        <w:numPr>
          <w:ilvl w:val="255"/>
          <w:numId w:val="0"/>
        </w:numPr>
        <w:spacing w:line="400" w:lineRule="exact"/>
        <w:ind w:firstLine="420" w:firstLineChars="200"/>
        <w:rPr>
          <w:rFonts w:hint="eastAsia" w:ascii="宋体" w:hAnsi="宋体" w:cs="宋体"/>
          <w:szCs w:val="21"/>
          <w:lang w:eastAsia="zh-CN"/>
        </w:rPr>
      </w:pPr>
      <w:r>
        <w:rPr>
          <w:rFonts w:hint="eastAsia" w:ascii="宋体" w:hAnsi="宋体" w:cs="宋体"/>
          <w:szCs w:val="21"/>
        </w:rPr>
        <w:t>支持自定义二维统计分析的字段维度达130多个</w:t>
      </w:r>
      <w:r>
        <w:rPr>
          <w:rFonts w:hint="eastAsia" w:ascii="宋体" w:hAnsi="宋体" w:cs="宋体"/>
          <w:szCs w:val="21"/>
          <w:lang w:eastAsia="zh-CN"/>
        </w:rPr>
        <w:t>。</w:t>
      </w:r>
    </w:p>
    <w:p w14:paraId="0C269810">
      <w:pPr>
        <w:numPr>
          <w:ilvl w:val="255"/>
          <w:numId w:val="0"/>
        </w:numPr>
        <w:spacing w:line="400" w:lineRule="exact"/>
        <w:ind w:firstLine="420" w:firstLineChars="200"/>
        <w:rPr>
          <w:rFonts w:hint="eastAsia" w:ascii="宋体" w:hAnsi="宋体" w:cs="宋体"/>
          <w:szCs w:val="21"/>
          <w:lang w:eastAsia="zh-CN"/>
        </w:rPr>
      </w:pPr>
      <w:r>
        <w:rPr>
          <w:rFonts w:hint="eastAsia" w:ascii="宋体" w:hAnsi="宋体" w:cs="宋体"/>
          <w:szCs w:val="21"/>
        </w:rPr>
        <w:t>支持对文件夹和专业库中的自定义标引内容进行统计</w:t>
      </w:r>
      <w:r>
        <w:rPr>
          <w:rFonts w:hint="eastAsia" w:ascii="宋体" w:hAnsi="宋体" w:cs="宋体"/>
          <w:szCs w:val="21"/>
          <w:lang w:eastAsia="zh-CN"/>
        </w:rPr>
        <w:t>。</w:t>
      </w:r>
    </w:p>
    <w:p w14:paraId="2C05D69C">
      <w:pPr>
        <w:numPr>
          <w:ilvl w:val="255"/>
          <w:numId w:val="0"/>
        </w:numPr>
        <w:spacing w:line="400" w:lineRule="exact"/>
        <w:ind w:firstLine="420" w:firstLineChars="200"/>
        <w:rPr>
          <w:rFonts w:hint="eastAsia" w:ascii="宋体" w:hAnsi="宋体" w:cs="宋体"/>
          <w:szCs w:val="21"/>
          <w:lang w:eastAsia="zh-CN"/>
        </w:rPr>
      </w:pPr>
      <w:r>
        <w:rPr>
          <w:rFonts w:hint="eastAsia" w:ascii="宋体" w:hAnsi="宋体" w:cs="宋体"/>
          <w:szCs w:val="21"/>
        </w:rPr>
        <w:t>支持的图表类型包括饼图、柱图、折线、雷达、气泡、地图、玫瑰图、极坐标柱形图、面积图、矩形树状图、表格等</w:t>
      </w:r>
      <w:r>
        <w:rPr>
          <w:rFonts w:hint="eastAsia" w:ascii="宋体" w:hAnsi="宋体" w:cs="宋体"/>
          <w:szCs w:val="21"/>
          <w:lang w:eastAsia="zh-CN"/>
        </w:rPr>
        <w:t>。</w:t>
      </w:r>
    </w:p>
    <w:p w14:paraId="275F3387">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支持对统计数据进行自定义设置。</w:t>
      </w:r>
    </w:p>
    <w:p w14:paraId="5E43FA0E">
      <w:pPr>
        <w:keepNext w:val="0"/>
        <w:keepLines w:val="0"/>
        <w:pageBreakBefore w:val="0"/>
        <w:widowControl w:val="0"/>
        <w:tabs>
          <w:tab w:val="left" w:pos="1114"/>
          <w:tab w:val="left" w:pos="6822"/>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不少于：500万条</w:t>
      </w:r>
      <w:r>
        <w:rPr>
          <w:rFonts w:hint="eastAsia" w:ascii="宋体" w:hAnsi="宋体" w:cs="宋体"/>
          <w:szCs w:val="21"/>
          <w:highlight w:val="none"/>
          <w:lang w:eastAsia="zh-CN"/>
        </w:rPr>
        <w:t>。</w:t>
      </w:r>
    </w:p>
    <w:p w14:paraId="11579747">
      <w:pPr>
        <w:keepNext w:val="0"/>
        <w:keepLines w:val="0"/>
        <w:pageBreakBefore w:val="0"/>
        <w:widowControl w:val="0"/>
        <w:tabs>
          <w:tab w:val="left" w:pos="1114"/>
          <w:tab w:val="left" w:pos="6822"/>
        </w:tabs>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szCs w:val="21"/>
          <w:highlight w:val="none"/>
        </w:rPr>
      </w:pPr>
      <w:r>
        <w:rPr>
          <w:rFonts w:hint="eastAsia" w:ascii="宋体" w:hAnsi="宋体" w:cs="宋体"/>
          <w:szCs w:val="21"/>
          <w:highlight w:val="none"/>
        </w:rPr>
        <w:t>5.2自动导出报告</w:t>
      </w:r>
      <w:r>
        <w:rPr>
          <w:rFonts w:hint="eastAsia" w:ascii="宋体" w:hAnsi="宋体" w:cs="宋体"/>
          <w:szCs w:val="21"/>
          <w:highlight w:val="none"/>
        </w:rPr>
        <w:tab/>
      </w:r>
    </w:p>
    <w:p w14:paraId="03BC00DA">
      <w:pPr>
        <w:keepNext w:val="0"/>
        <w:keepLines w:val="0"/>
        <w:pageBreakBefore w:val="0"/>
        <w:widowControl w:val="0"/>
        <w:tabs>
          <w:tab w:val="left" w:pos="1114"/>
          <w:tab w:val="left" w:pos="6822"/>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支持将统计分析结果一键导出分析报告，可选WORD/EXCEL/PPT/PDF格式</w:t>
      </w:r>
      <w:r>
        <w:rPr>
          <w:rFonts w:hint="eastAsia" w:ascii="宋体" w:hAnsi="宋体" w:cs="宋体"/>
          <w:szCs w:val="21"/>
          <w:highlight w:val="none"/>
          <w:lang w:eastAsia="zh-CN"/>
        </w:rPr>
        <w:t>。</w:t>
      </w:r>
    </w:p>
    <w:p w14:paraId="396E285A">
      <w:pPr>
        <w:keepNext w:val="0"/>
        <w:keepLines w:val="0"/>
        <w:pageBreakBefore w:val="0"/>
        <w:widowControl w:val="0"/>
        <w:tabs>
          <w:tab w:val="left" w:pos="1114"/>
          <w:tab w:val="left" w:pos="6822"/>
        </w:tabs>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szCs w:val="21"/>
          <w:highlight w:val="none"/>
        </w:rPr>
      </w:pPr>
      <w:r>
        <w:rPr>
          <w:rFonts w:hint="eastAsia" w:ascii="宋体" w:hAnsi="宋体" w:cs="宋体"/>
          <w:szCs w:val="21"/>
          <w:highlight w:val="none"/>
        </w:rPr>
        <w:t>5.3用途功效分析</w:t>
      </w:r>
      <w:r>
        <w:rPr>
          <w:rFonts w:hint="eastAsia" w:ascii="宋体" w:hAnsi="宋体" w:cs="宋体"/>
          <w:szCs w:val="21"/>
          <w:highlight w:val="none"/>
        </w:rPr>
        <w:tab/>
      </w:r>
    </w:p>
    <w:p w14:paraId="00AE5548">
      <w:pPr>
        <w:keepNext w:val="0"/>
        <w:keepLines w:val="0"/>
        <w:pageBreakBefore w:val="0"/>
        <w:widowControl w:val="0"/>
        <w:tabs>
          <w:tab w:val="left" w:pos="1114"/>
          <w:tab w:val="left" w:pos="6822"/>
        </w:tabs>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szCs w:val="21"/>
          <w:highlight w:val="none"/>
        </w:rPr>
      </w:pPr>
      <w:r>
        <w:rPr>
          <w:rFonts w:hint="eastAsia" w:ascii="宋体" w:hAnsi="宋体" w:cs="宋体"/>
          <w:szCs w:val="21"/>
          <w:highlight w:val="none"/>
        </w:rPr>
        <w:t>基于AI技术和专家提炼，自研发描述专利用途的字段，支持检索/统计筛选/分析，支持对专利用途的一键多层级分析、通过层别限定逐层展开分析</w:t>
      </w:r>
      <w:r>
        <w:rPr>
          <w:rFonts w:hint="eastAsia" w:ascii="宋体" w:hAnsi="宋体" w:cs="宋体"/>
          <w:szCs w:val="21"/>
          <w:highlight w:val="none"/>
          <w:lang w:eastAsia="zh-CN"/>
        </w:rPr>
        <w:t>，</w:t>
      </w:r>
      <w:r>
        <w:rPr>
          <w:rFonts w:hint="eastAsia" w:ascii="宋体" w:hAnsi="宋体" w:cs="宋体"/>
          <w:szCs w:val="21"/>
          <w:highlight w:val="none"/>
        </w:rPr>
        <w:t>以及用途与其</w:t>
      </w:r>
      <w:r>
        <w:rPr>
          <w:rFonts w:hint="eastAsia" w:ascii="宋体" w:hAnsi="宋体" w:cs="宋体"/>
          <w:szCs w:val="21"/>
          <w:highlight w:val="none"/>
          <w:lang w:eastAsia="zh-CN"/>
        </w:rPr>
        <w:t>他</w:t>
      </w:r>
      <w:r>
        <w:rPr>
          <w:rFonts w:hint="eastAsia" w:ascii="宋体" w:hAnsi="宋体" w:cs="宋体"/>
          <w:szCs w:val="21"/>
          <w:highlight w:val="none"/>
        </w:rPr>
        <w:t>分析维度的交叉分析(技术功效、申请人、时间趋势、专利法律状态、布局市场等)</w:t>
      </w:r>
      <w:r>
        <w:rPr>
          <w:rFonts w:hint="eastAsia" w:ascii="宋体" w:hAnsi="宋体" w:cs="宋体"/>
          <w:szCs w:val="21"/>
          <w:highlight w:val="none"/>
          <w:lang w:eastAsia="zh-CN"/>
        </w:rPr>
        <w:t>。</w:t>
      </w:r>
      <w:r>
        <w:rPr>
          <w:rFonts w:hint="eastAsia" w:ascii="宋体" w:hAnsi="宋体" w:cs="宋体"/>
          <w:szCs w:val="21"/>
          <w:highlight w:val="none"/>
        </w:rPr>
        <w:tab/>
      </w:r>
    </w:p>
    <w:p w14:paraId="302A935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ascii="宋体" w:hAnsi="宋体" w:cs="宋体"/>
          <w:szCs w:val="21"/>
          <w:highlight w:val="none"/>
        </w:rPr>
      </w:pPr>
      <w:r>
        <w:rPr>
          <w:rFonts w:hint="eastAsia" w:ascii="宋体" w:hAnsi="宋体" w:cs="宋体"/>
          <w:szCs w:val="21"/>
          <w:highlight w:val="none"/>
        </w:rPr>
        <w:t>5.4聚类分析</w:t>
      </w:r>
      <w:r>
        <w:rPr>
          <w:rFonts w:hint="eastAsia" w:ascii="宋体" w:hAnsi="宋体" w:cs="宋体"/>
          <w:szCs w:val="21"/>
          <w:highlight w:val="none"/>
        </w:rPr>
        <w:tab/>
      </w:r>
    </w:p>
    <w:p w14:paraId="127045FD">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支持从语义层面对检索结果执行聚类，可生成专利地图、分子图、矩阵图和饼图；并且支持自定义聚类分析。</w:t>
      </w:r>
      <w:r>
        <w:rPr>
          <w:rFonts w:hint="eastAsia" w:ascii="宋体" w:hAnsi="宋体" w:cs="宋体"/>
          <w:szCs w:val="21"/>
          <w:highlight w:val="none"/>
        </w:rPr>
        <w:br w:type="textWrapping"/>
      </w:r>
      <w:r>
        <w:rPr>
          <w:rFonts w:hint="eastAsia" w:ascii="宋体" w:hAnsi="宋体" w:cs="宋体"/>
          <w:szCs w:val="21"/>
          <w:highlight w:val="none"/>
        </w:rPr>
        <w:t xml:space="preserve">    专利地图中支持对数据进行局部统计，以及显示数据点</w:t>
      </w:r>
      <w:r>
        <w:rPr>
          <w:rFonts w:hint="eastAsia" w:ascii="宋体" w:hAnsi="宋体" w:cs="宋体"/>
          <w:szCs w:val="21"/>
          <w:highlight w:val="none"/>
          <w:lang w:eastAsia="zh-CN"/>
        </w:rPr>
        <w:t>。</w:t>
      </w:r>
    </w:p>
    <w:p w14:paraId="4E72BED7">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highlight w:val="none"/>
        </w:rPr>
        <w:t>不少于：1万条</w:t>
      </w:r>
      <w:r>
        <w:rPr>
          <w:rFonts w:hint="eastAsia" w:ascii="宋体" w:hAnsi="宋体" w:cs="宋体"/>
          <w:szCs w:val="21"/>
          <w:highlight w:val="none"/>
          <w:lang w:eastAsia="zh-CN"/>
        </w:rPr>
        <w:t>。</w:t>
      </w:r>
    </w:p>
    <w:p w14:paraId="67E8A80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5.5 3D专利沙盘</w:t>
      </w:r>
      <w:r>
        <w:rPr>
          <w:rFonts w:hint="eastAsia" w:ascii="宋体" w:hAnsi="宋体" w:cs="宋体"/>
          <w:szCs w:val="21"/>
        </w:rPr>
        <w:tab/>
      </w:r>
    </w:p>
    <w:p w14:paraId="46AD55F5">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3D专利沙盘是专利战略分析的高级工具。在3D专利沙盘中进行模拟推演，可以快速聚焦专利布局的热点，掌握竞争对手的研发方向和专利布局，提升自身的专利质量和市场竞争力。</w:t>
      </w:r>
    </w:p>
    <w:p w14:paraId="1C9315B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不少于：1万条</w:t>
      </w:r>
      <w:r>
        <w:rPr>
          <w:rFonts w:hint="eastAsia" w:ascii="宋体" w:hAnsi="宋体" w:cs="宋体"/>
          <w:szCs w:val="21"/>
          <w:lang w:eastAsia="zh-CN"/>
        </w:rPr>
        <w:t>。</w:t>
      </w:r>
    </w:p>
    <w:p w14:paraId="4244FBC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5.6引证专利分析</w:t>
      </w:r>
      <w:r>
        <w:rPr>
          <w:rFonts w:hint="eastAsia" w:ascii="宋体" w:hAnsi="宋体" w:cs="宋体"/>
          <w:szCs w:val="21"/>
        </w:rPr>
        <w:tab/>
      </w:r>
    </w:p>
    <w:p w14:paraId="35A8E435">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lang w:eastAsia="zh-CN"/>
        </w:rPr>
      </w:pPr>
      <w:r>
        <w:rPr>
          <w:rFonts w:hint="eastAsia" w:ascii="宋体" w:hAnsi="宋体" w:cs="宋体"/>
          <w:szCs w:val="21"/>
        </w:rPr>
        <w:t>支持以引证树的形式展示目标专利的前后引证专利，清晰展示目标技术的发展脉络</w:t>
      </w:r>
      <w:r>
        <w:rPr>
          <w:rFonts w:hint="eastAsia" w:ascii="宋体" w:hAnsi="宋体" w:cs="宋体"/>
          <w:szCs w:val="21"/>
          <w:lang w:eastAsia="zh-CN"/>
        </w:rPr>
        <w:t>。</w:t>
      </w:r>
    </w:p>
    <w:p w14:paraId="5BEDEB1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支持多级引证树的展开查看及导出。</w:t>
      </w:r>
    </w:p>
    <w:p w14:paraId="214B783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6.在线保存和导出</w:t>
      </w:r>
    </w:p>
    <w:p w14:paraId="4EB7C396">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6.1著录信息批量下载</w:t>
      </w:r>
    </w:p>
    <w:p w14:paraId="10AD26F4">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支持自定义选择几十项专利著录信息，以EXCEL、WORD、PDF、HTML格式下载。</w:t>
      </w:r>
    </w:p>
    <w:p w14:paraId="7E98F636">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数量：1万/次</w:t>
      </w:r>
      <w:r>
        <w:rPr>
          <w:rFonts w:hint="eastAsia" w:ascii="宋体" w:hAnsi="宋体" w:cs="宋体"/>
          <w:szCs w:val="21"/>
          <w:lang w:eastAsia="zh-CN"/>
        </w:rPr>
        <w:t>，</w:t>
      </w:r>
      <w:r>
        <w:rPr>
          <w:rFonts w:hint="eastAsia" w:ascii="宋体" w:hAnsi="宋体" w:cs="宋体"/>
          <w:szCs w:val="21"/>
        </w:rPr>
        <w:t>10万/天</w:t>
      </w:r>
      <w:r>
        <w:rPr>
          <w:rFonts w:hint="eastAsia" w:ascii="宋体" w:hAnsi="宋体" w:cs="宋体"/>
          <w:szCs w:val="21"/>
          <w:lang w:eastAsia="zh-CN"/>
        </w:rPr>
        <w:t>。</w:t>
      </w:r>
    </w:p>
    <w:p w14:paraId="2E264AD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6.2 PDF说明书全文下载</w:t>
      </w:r>
    </w:p>
    <w:p w14:paraId="0BF8E68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支持批量下载著录项目和PDF专利全文。</w:t>
      </w:r>
      <w:r>
        <w:rPr>
          <w:rFonts w:hint="eastAsia" w:ascii="宋体" w:hAnsi="宋体" w:cs="宋体"/>
          <w:szCs w:val="21"/>
        </w:rPr>
        <w:tab/>
      </w:r>
    </w:p>
    <w:p w14:paraId="2FDEDFF6">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数量：1000条/次</w:t>
      </w:r>
      <w:r>
        <w:rPr>
          <w:rFonts w:hint="eastAsia" w:ascii="宋体" w:hAnsi="宋体" w:cs="宋体"/>
          <w:szCs w:val="21"/>
          <w:lang w:eastAsia="zh-CN"/>
        </w:rPr>
        <w:t>，</w:t>
      </w:r>
      <w:r>
        <w:rPr>
          <w:rFonts w:hint="eastAsia" w:ascii="宋体" w:hAnsi="宋体" w:cs="宋体"/>
          <w:szCs w:val="21"/>
        </w:rPr>
        <w:t>3000/天</w:t>
      </w:r>
      <w:r>
        <w:rPr>
          <w:rFonts w:hint="eastAsia" w:ascii="宋体" w:hAnsi="宋体" w:cs="宋体"/>
          <w:szCs w:val="21"/>
          <w:lang w:eastAsia="zh-CN"/>
        </w:rPr>
        <w:t>。</w:t>
      </w:r>
    </w:p>
    <w:p w14:paraId="1328EB7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6.3审查信息下载</w:t>
      </w:r>
    </w:p>
    <w:p w14:paraId="22196340">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支持单篇下载中国专利的审查通知书</w:t>
      </w:r>
      <w:r>
        <w:rPr>
          <w:rFonts w:hint="eastAsia" w:ascii="宋体" w:hAnsi="宋体" w:cs="宋体"/>
          <w:szCs w:val="21"/>
          <w:lang w:eastAsia="zh-CN"/>
        </w:rPr>
        <w:t>。</w:t>
      </w:r>
    </w:p>
    <w:p w14:paraId="15DABC15">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6.4下载历史</w:t>
      </w:r>
    </w:p>
    <w:p w14:paraId="4C78A79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系统自动保存下载历史1周，期间可多次重复下载。</w:t>
      </w:r>
    </w:p>
    <w:p w14:paraId="2BC62D20">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6.5打印、发送邮件</w:t>
      </w:r>
    </w:p>
    <w:p w14:paraId="66A96960">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lang w:eastAsia="zh-CN"/>
        </w:rPr>
      </w:pPr>
      <w:r>
        <w:rPr>
          <w:rFonts w:hint="eastAsia" w:ascii="宋体" w:hAnsi="宋体" w:cs="宋体"/>
          <w:szCs w:val="21"/>
        </w:rPr>
        <w:t>支持直接打印和电子邮件发送检索结果，可自定义数据导出字段内容</w:t>
      </w:r>
      <w:r>
        <w:rPr>
          <w:rFonts w:hint="eastAsia" w:ascii="宋体" w:hAnsi="宋体" w:cs="宋体"/>
          <w:szCs w:val="21"/>
          <w:lang w:eastAsia="zh-CN"/>
        </w:rPr>
        <w:t>。</w:t>
      </w:r>
    </w:p>
    <w:p w14:paraId="2C7EA477">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将选中专利在线上发送邮件给指定邮箱，支持多种文件格式。</w:t>
      </w:r>
    </w:p>
    <w:p w14:paraId="1B3932F6">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6.6保存的检索式</w:t>
      </w:r>
    </w:p>
    <w:p w14:paraId="2010363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支持将检索式进行在线保存，再次点击时将会运行得到最新结果。</w:t>
      </w:r>
    </w:p>
    <w:p w14:paraId="142167D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6.7智能库</w:t>
      </w:r>
    </w:p>
    <w:p w14:paraId="17682733">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lang w:eastAsia="zh-CN"/>
        </w:rPr>
      </w:pPr>
      <w:r>
        <w:rPr>
          <w:rFonts w:hint="eastAsia" w:ascii="宋体" w:hAnsi="宋体" w:cs="宋体"/>
          <w:szCs w:val="21"/>
        </w:rPr>
        <w:t>支持将专利收藏到个人文件夹，以便查看、分析、评论和标引</w:t>
      </w:r>
      <w:r>
        <w:rPr>
          <w:rFonts w:hint="eastAsia" w:ascii="宋体" w:hAnsi="宋体" w:cs="宋体"/>
          <w:szCs w:val="21"/>
          <w:lang w:eastAsia="zh-CN"/>
        </w:rPr>
        <w:t>。</w:t>
      </w:r>
    </w:p>
    <w:p w14:paraId="6358BD97">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智能库可设置为多级的树状导航结构；每个节点对应一批专利数据，点击导航节点即可查看最新的专利状态。</w:t>
      </w:r>
    </w:p>
    <w:p w14:paraId="587A7D1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数量：50个库/总量30万条</w:t>
      </w:r>
      <w:r>
        <w:rPr>
          <w:rFonts w:hint="eastAsia" w:ascii="宋体" w:hAnsi="宋体" w:cs="宋体"/>
          <w:szCs w:val="21"/>
          <w:lang w:eastAsia="zh-CN"/>
        </w:rPr>
        <w:t>。</w:t>
      </w:r>
    </w:p>
    <w:p w14:paraId="2DFC56F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6.8导航库</w:t>
      </w:r>
    </w:p>
    <w:p w14:paraId="6A48770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lang w:eastAsia="zh-CN"/>
        </w:rPr>
      </w:pPr>
      <w:r>
        <w:rPr>
          <w:rFonts w:hint="eastAsia" w:ascii="宋体" w:hAnsi="宋体" w:cs="宋体"/>
          <w:szCs w:val="21"/>
        </w:rPr>
        <w:t>企业管理员和授权用户可在线自建智能库</w:t>
      </w:r>
      <w:r>
        <w:rPr>
          <w:rFonts w:hint="eastAsia" w:ascii="宋体" w:hAnsi="宋体" w:cs="宋体"/>
          <w:szCs w:val="21"/>
          <w:lang w:eastAsia="zh-CN"/>
        </w:rPr>
        <w:t>。</w:t>
      </w:r>
    </w:p>
    <w:p w14:paraId="1F395487">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基础库的导航树状结构中，每个节点对应一个表达式，点击导航节点即可查看对应的最新检索结果及专利状态</w:t>
      </w:r>
      <w:r>
        <w:rPr>
          <w:rFonts w:hint="eastAsia" w:ascii="宋体" w:hAnsi="宋体" w:cs="宋体"/>
          <w:szCs w:val="21"/>
          <w:lang w:eastAsia="zh-CN"/>
        </w:rPr>
        <w:t>。</w:t>
      </w:r>
    </w:p>
    <w:p w14:paraId="4391B6B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数量：10个库/专利量不限</w:t>
      </w:r>
      <w:r>
        <w:rPr>
          <w:rFonts w:hint="eastAsia" w:ascii="宋体" w:hAnsi="宋体" w:cs="宋体"/>
          <w:szCs w:val="21"/>
          <w:lang w:eastAsia="zh-CN"/>
        </w:rPr>
        <w:t>。</w:t>
      </w:r>
    </w:p>
    <w:p w14:paraId="7E5A2222">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6.8分析图表的下载</w:t>
      </w:r>
    </w:p>
    <w:p w14:paraId="174D728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lang w:eastAsia="zh-CN"/>
        </w:rPr>
      </w:pPr>
      <w:r>
        <w:rPr>
          <w:rFonts w:hint="eastAsia" w:ascii="宋体" w:hAnsi="宋体" w:cs="宋体"/>
          <w:szCs w:val="21"/>
        </w:rPr>
        <w:t>支持分析图表的图片格式导出</w:t>
      </w:r>
      <w:r>
        <w:rPr>
          <w:rFonts w:hint="eastAsia" w:ascii="宋体" w:hAnsi="宋体" w:cs="宋体"/>
          <w:szCs w:val="21"/>
          <w:lang w:eastAsia="zh-CN"/>
        </w:rPr>
        <w:t>。</w:t>
      </w:r>
    </w:p>
    <w:p w14:paraId="76009076">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支持多个分析数据的批量EXCEL导出。</w:t>
      </w:r>
    </w:p>
    <w:p w14:paraId="3B199F8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6.9保存的分析项目</w:t>
      </w:r>
    </w:p>
    <w:p w14:paraId="6D6E242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支持在线保存多个分析项目，系统会记录各分析字段的最终修改状态，便于下一次继续调用。</w:t>
      </w:r>
    </w:p>
    <w:p w14:paraId="18ACB202">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6.10个性设置</w:t>
      </w:r>
    </w:p>
    <w:p w14:paraId="539BC80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登录账号可以修改个人信息，可以对页面显示和数据导出格式等进行用户使用偏好设置。</w:t>
      </w:r>
    </w:p>
    <w:p w14:paraId="5D419A3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6.11专利关注</w:t>
      </w:r>
    </w:p>
    <w:p w14:paraId="1A72F33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可以对于指定检索表达式周期性地监控最新检索结果命中，或者对指定文件夹和专业库中的文件周期性监控其专利状态（法律状态、同族专利、引证信息、专利权人等）变化，并根据用户设置的监视周期，文件格式和显示内容，定期向用户指定邮箱发送专利监视报告，从而跟踪了解技术领域和竞争对手的技术研发动态，实现专利预警功能。</w:t>
      </w:r>
    </w:p>
    <w:p w14:paraId="053FE4D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可建100条关注；500条/次</w:t>
      </w:r>
      <w:r>
        <w:rPr>
          <w:rFonts w:hint="eastAsia" w:ascii="宋体" w:hAnsi="宋体" w:cs="宋体"/>
          <w:szCs w:val="21"/>
          <w:highlight w:val="none"/>
          <w:lang w:eastAsia="zh-CN"/>
        </w:rPr>
        <w:t>。</w:t>
      </w:r>
    </w:p>
    <w:p w14:paraId="576BD87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highlight w:val="none"/>
          <w:lang w:eastAsia="zh-CN"/>
        </w:rPr>
      </w:pPr>
      <w:r>
        <w:rPr>
          <w:rFonts w:hint="eastAsia" w:ascii="宋体" w:hAnsi="宋体" w:cs="宋体"/>
          <w:szCs w:val="21"/>
          <w:highlight w:val="none"/>
        </w:rPr>
        <w:t>支持审查文件更新监视 10条</w:t>
      </w:r>
      <w:r>
        <w:rPr>
          <w:rFonts w:hint="eastAsia" w:ascii="宋体" w:hAnsi="宋体" w:cs="宋体"/>
          <w:szCs w:val="21"/>
          <w:highlight w:val="none"/>
          <w:lang w:eastAsia="zh-CN"/>
        </w:rPr>
        <w:t>。</w:t>
      </w:r>
    </w:p>
    <w:p w14:paraId="48D8B3AB">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7.售后服务</w:t>
      </w:r>
    </w:p>
    <w:p w14:paraId="7DA1677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7.1使用培训</w:t>
      </w:r>
    </w:p>
    <w:p w14:paraId="7C15739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lang w:eastAsia="zh-CN"/>
        </w:rPr>
      </w:pPr>
      <w:r>
        <w:rPr>
          <w:rFonts w:hint="eastAsia" w:ascii="宋体" w:hAnsi="宋体" w:cs="宋体"/>
          <w:szCs w:val="21"/>
        </w:rPr>
        <w:t>不定期在线的系统使用培训，可多次参加</w:t>
      </w:r>
      <w:r>
        <w:rPr>
          <w:rFonts w:hint="eastAsia" w:ascii="宋体" w:hAnsi="宋体" w:cs="宋体"/>
          <w:szCs w:val="21"/>
          <w:lang w:eastAsia="zh-CN"/>
        </w:rPr>
        <w:t>。</w:t>
      </w:r>
    </w:p>
    <w:p w14:paraId="3C96A13D">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12DEF9B0">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7.2专家实时咨询</w:t>
      </w:r>
    </w:p>
    <w:p w14:paraId="52345A6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工作时间内，可通过线上咨询工具、电话和邮件进行即时咨询</w:t>
      </w:r>
      <w:r>
        <w:rPr>
          <w:rFonts w:hint="eastAsia" w:ascii="宋体" w:hAnsi="宋体" w:cs="宋体"/>
          <w:szCs w:val="21"/>
          <w:lang w:eastAsia="zh-CN"/>
        </w:rPr>
        <w:t>。</w:t>
      </w:r>
    </w:p>
    <w:p w14:paraId="5386977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7.3服务响应</w:t>
      </w:r>
    </w:p>
    <w:p w14:paraId="6270F4C3">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提供网络、电话及E-mail支持服务，响应时间不超过24小时。</w:t>
      </w:r>
    </w:p>
    <w:p w14:paraId="367FF0AD">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lang w:eastAsia="zh-CN"/>
        </w:rPr>
      </w:pPr>
      <w:r>
        <w:rPr>
          <w:rFonts w:hint="eastAsia" w:ascii="宋体" w:hAnsi="宋体" w:cs="宋体"/>
          <w:szCs w:val="21"/>
        </w:rPr>
        <w:t>8.服务</w:t>
      </w:r>
      <w:r>
        <w:rPr>
          <w:rFonts w:hint="eastAsia" w:ascii="宋体" w:hAnsi="宋体" w:cs="宋体"/>
          <w:szCs w:val="21"/>
          <w:lang w:eastAsia="zh-CN"/>
        </w:rPr>
        <w:t>期限</w:t>
      </w:r>
      <w:r>
        <w:rPr>
          <w:rFonts w:hint="eastAsia" w:ascii="宋体" w:hAnsi="宋体" w:cs="宋体"/>
          <w:szCs w:val="21"/>
        </w:rPr>
        <w:t>：2025</w:t>
      </w:r>
      <w:r>
        <w:rPr>
          <w:rFonts w:hint="eastAsia" w:ascii="宋体" w:hAnsi="宋体" w:cs="宋体"/>
          <w:szCs w:val="21"/>
          <w:lang w:eastAsia="zh-CN"/>
        </w:rPr>
        <w:t>年</w:t>
      </w:r>
      <w:r>
        <w:rPr>
          <w:rFonts w:hint="eastAsia" w:ascii="宋体" w:hAnsi="宋体" w:cs="宋体"/>
          <w:szCs w:val="21"/>
        </w:rPr>
        <w:t>11</w:t>
      </w:r>
      <w:r>
        <w:rPr>
          <w:rFonts w:hint="eastAsia" w:ascii="宋体" w:hAnsi="宋体" w:cs="宋体"/>
          <w:szCs w:val="21"/>
          <w:lang w:eastAsia="zh-CN"/>
        </w:rPr>
        <w:t>月</w:t>
      </w:r>
      <w:r>
        <w:rPr>
          <w:rFonts w:hint="eastAsia" w:ascii="宋体" w:hAnsi="宋体" w:cs="宋体"/>
          <w:szCs w:val="21"/>
        </w:rPr>
        <w:t>27</w:t>
      </w:r>
      <w:r>
        <w:rPr>
          <w:rFonts w:hint="eastAsia" w:ascii="宋体" w:hAnsi="宋体" w:cs="宋体"/>
          <w:szCs w:val="21"/>
          <w:lang w:eastAsia="zh-CN"/>
        </w:rPr>
        <w:t>日至</w:t>
      </w:r>
      <w:r>
        <w:rPr>
          <w:rFonts w:hint="eastAsia" w:ascii="宋体" w:hAnsi="宋体" w:cs="宋体"/>
          <w:szCs w:val="21"/>
        </w:rPr>
        <w:t>2026</w:t>
      </w:r>
      <w:r>
        <w:rPr>
          <w:rFonts w:hint="eastAsia" w:ascii="宋体" w:hAnsi="宋体" w:cs="宋体"/>
          <w:szCs w:val="21"/>
          <w:lang w:eastAsia="zh-CN"/>
        </w:rPr>
        <w:t>年</w:t>
      </w:r>
      <w:r>
        <w:rPr>
          <w:rFonts w:hint="eastAsia" w:ascii="宋体" w:hAnsi="宋体" w:cs="宋体"/>
          <w:szCs w:val="21"/>
        </w:rPr>
        <w:t>11</w:t>
      </w:r>
      <w:r>
        <w:rPr>
          <w:rFonts w:hint="eastAsia" w:ascii="宋体" w:hAnsi="宋体" w:cs="宋体"/>
          <w:szCs w:val="21"/>
          <w:lang w:eastAsia="zh-CN"/>
        </w:rPr>
        <w:t>月</w:t>
      </w:r>
      <w:r>
        <w:rPr>
          <w:rFonts w:hint="eastAsia" w:ascii="宋体" w:hAnsi="宋体" w:cs="宋体"/>
          <w:szCs w:val="21"/>
        </w:rPr>
        <w:t>26</w:t>
      </w:r>
      <w:r>
        <w:rPr>
          <w:rFonts w:hint="eastAsia" w:ascii="宋体" w:hAnsi="宋体" w:cs="宋体"/>
          <w:szCs w:val="21"/>
          <w:lang w:eastAsia="zh-CN"/>
        </w:rPr>
        <w:t>日。</w:t>
      </w:r>
    </w:p>
    <w:p w14:paraId="505F3360">
      <w:pPr>
        <w:rPr>
          <w:rFonts w:hint="eastAsia" w:ascii="宋体" w:hAnsi="宋体" w:cs="宋体"/>
          <w:szCs w:val="21"/>
          <w:lang w:eastAsia="zh-CN"/>
        </w:rPr>
      </w:pPr>
      <w:r>
        <w:rPr>
          <w:rFonts w:hint="eastAsia" w:ascii="宋体" w:hAnsi="宋体" w:cs="宋体"/>
          <w:szCs w:val="21"/>
          <w:lang w:eastAsia="zh-CN"/>
        </w:rPr>
        <w:br w:type="page"/>
      </w:r>
    </w:p>
    <w:p w14:paraId="5AD1F3E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2" w:firstLineChars="200"/>
        <w:textAlignment w:val="auto"/>
        <w:rPr>
          <w:rFonts w:ascii="宋体" w:hAnsi="宋体" w:cs="宋体"/>
          <w:b/>
          <w:szCs w:val="21"/>
        </w:rPr>
      </w:pPr>
      <w:r>
        <w:rPr>
          <w:rFonts w:hint="eastAsia" w:ascii="宋体" w:hAnsi="宋体" w:cs="宋体"/>
          <w:b/>
          <w:szCs w:val="21"/>
        </w:rPr>
        <w:t>标项二十八（爱读宝微书房）：</w:t>
      </w:r>
    </w:p>
    <w:p w14:paraId="171314AB">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1.资源参数</w:t>
      </w:r>
    </w:p>
    <w:p w14:paraId="0892CDB2">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eastAsia="宋体" w:cs="宋体"/>
          <w:lang w:eastAsia="zh-CN"/>
        </w:rPr>
        <w:t>★</w:t>
      </w:r>
      <w:r>
        <w:rPr>
          <w:rFonts w:hint="eastAsia" w:ascii="宋体" w:hAnsi="宋体" w:cs="宋体"/>
          <w:szCs w:val="21"/>
        </w:rPr>
        <w:t>1.1期刊内容</w:t>
      </w:r>
    </w:p>
    <w:p w14:paraId="3AF80F57">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期刊总数量不少于3500种，涵盖12个主题分类，家庭生活、教育教学、科技科普、汽车数码、商业财经、时尚运动、文学文艺、新闻人物、休闲娱乐、医药健康、游戏动漫、政法军事分类。电子期刊必须包含以下国内畅销知名期刊：《读者》、《环球人物》、《人民周刊》、《知音》、《人民画报》、《环球探索》、《北京青年研究》、《丝路瞭望》、《中国女性》、《中国美术报》、《海外文摘》、《中国商界》、《中国经济社会论坛》、《纵横》、《中国记者》、《第一财经日报》，投标文件中承诺中标后必须提供以上期刊相对应版权授权证明电子版或者复印件。</w:t>
      </w:r>
      <w:r>
        <w:rPr>
          <w:rFonts w:hint="eastAsia" w:ascii="宋体" w:hAnsi="宋体" w:cs="宋体"/>
          <w:szCs w:val="21"/>
        </w:rPr>
        <w:br w:type="textWrapping"/>
      </w:r>
      <w:r>
        <w:rPr>
          <w:rFonts w:hint="eastAsia" w:ascii="宋体" w:hAnsi="宋体" w:cs="宋体"/>
          <w:szCs w:val="21"/>
          <w:lang w:val="en-US" w:eastAsia="zh-CN"/>
        </w:rPr>
        <w:t xml:space="preserve">    </w:t>
      </w:r>
      <w:r>
        <w:rPr>
          <w:rFonts w:hint="eastAsia" w:ascii="宋体" w:hAnsi="宋体" w:eastAsia="宋体" w:cs="宋体"/>
          <w:lang w:eastAsia="zh-CN"/>
        </w:rPr>
        <w:t>★</w:t>
      </w:r>
      <w:r>
        <w:rPr>
          <w:rFonts w:hint="eastAsia" w:ascii="宋体" w:hAnsi="宋体" w:cs="宋体"/>
          <w:szCs w:val="21"/>
        </w:rPr>
        <w:t>1.2图书资源</w:t>
      </w:r>
      <w:r>
        <w:rPr>
          <w:rFonts w:hint="eastAsia" w:ascii="宋体" w:hAnsi="宋体" w:cs="宋体"/>
          <w:szCs w:val="21"/>
        </w:rPr>
        <w:br w:type="textWrapping"/>
      </w:r>
      <w:r>
        <w:rPr>
          <w:rFonts w:hint="eastAsia" w:ascii="宋体" w:hAnsi="宋体" w:cs="宋体"/>
          <w:szCs w:val="21"/>
          <w:lang w:val="en-US" w:eastAsia="zh-CN"/>
        </w:rPr>
        <w:t xml:space="preserve">    </w:t>
      </w:r>
      <w:r>
        <w:rPr>
          <w:rFonts w:hint="eastAsia" w:ascii="宋体" w:hAnsi="宋体" w:cs="宋体"/>
          <w:szCs w:val="21"/>
        </w:rPr>
        <w:t>电子图书不低于2万册。每册电子书均提供精美高清的图片。电子书内容均为经典读物及畅销内容，包含畅销好书、党建读物、法律读物、防疫养生、经典国学、经济管理、农业科技、人物传记、商业财经、少儿读物、生活休闲、体育健身、心理学、职场励志分类。必须包含：《你是这世间所有的美妙》、《亲密关系》、《中国神话》、《像我这样笨拙的生活》、《教出懂规矩的孩子》、《生活之美》、《改变历史的香料商人》、《长安客》、《性格心理学》、《我们这一代》、《正念领导力》、《自然之美》、《非理性决策：在信息焦虑的时代如何掌握真相》、《易中天中华史：大航海时代》、《落实要讲方法》、《像钻石一样闪耀》、《苦乐年华》等优质图书；投标文件中承诺中标后必须提供以上电子书相对应版权授权证明电子版或者复印件。</w:t>
      </w:r>
      <w:r>
        <w:rPr>
          <w:rFonts w:hint="eastAsia" w:ascii="宋体" w:hAnsi="宋体" w:cs="宋体"/>
          <w:szCs w:val="21"/>
        </w:rPr>
        <w:br w:type="textWrapping"/>
      </w:r>
      <w:r>
        <w:rPr>
          <w:rFonts w:hint="eastAsia" w:ascii="宋体" w:hAnsi="宋体" w:cs="宋体"/>
          <w:szCs w:val="21"/>
          <w:lang w:val="en-US" w:eastAsia="zh-CN"/>
        </w:rPr>
        <w:t xml:space="preserve">    </w:t>
      </w:r>
      <w:r>
        <w:rPr>
          <w:rFonts w:hint="eastAsia" w:ascii="宋体" w:hAnsi="宋体" w:cs="宋体"/>
          <w:szCs w:val="21"/>
        </w:rPr>
        <w:t>1.3听书资源</w:t>
      </w:r>
      <w:r>
        <w:rPr>
          <w:rFonts w:hint="eastAsia" w:ascii="宋体" w:hAnsi="宋体" w:cs="宋体"/>
          <w:szCs w:val="21"/>
        </w:rPr>
        <w:br w:type="textWrapping"/>
      </w:r>
      <w:r>
        <w:rPr>
          <w:rFonts w:hint="eastAsia" w:ascii="宋体" w:hAnsi="宋体" w:cs="宋体"/>
          <w:szCs w:val="21"/>
          <w:lang w:val="en-US" w:eastAsia="zh-CN"/>
        </w:rPr>
        <w:t xml:space="preserve">    </w:t>
      </w:r>
      <w:r>
        <w:rPr>
          <w:rFonts w:hint="eastAsia" w:ascii="宋体" w:hAnsi="宋体" w:cs="宋体"/>
          <w:szCs w:val="21"/>
        </w:rPr>
        <w:t>有声书不低于8000集，内容全部为真人朗读，全部内容均为正版授权。</w:t>
      </w:r>
      <w:r>
        <w:rPr>
          <w:rFonts w:hint="eastAsia" w:ascii="宋体" w:hAnsi="宋体" w:cs="宋体"/>
          <w:szCs w:val="21"/>
        </w:rPr>
        <w:br w:type="textWrapping"/>
      </w:r>
      <w:r>
        <w:rPr>
          <w:rFonts w:hint="eastAsia" w:ascii="宋体" w:hAnsi="宋体" w:cs="宋体"/>
          <w:szCs w:val="21"/>
          <w:lang w:val="en-US" w:eastAsia="zh-CN"/>
        </w:rPr>
        <w:t xml:space="preserve">    </w:t>
      </w:r>
      <w:r>
        <w:rPr>
          <w:rFonts w:hint="eastAsia" w:ascii="宋体" w:hAnsi="宋体" w:cs="宋体"/>
          <w:szCs w:val="21"/>
        </w:rPr>
        <w:t>1.4资源均为正版授权资源。</w:t>
      </w:r>
    </w:p>
    <w:p w14:paraId="2899ECD6">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.功能参数</w:t>
      </w:r>
      <w:r>
        <w:rPr>
          <w:rFonts w:hint="eastAsia" w:ascii="宋体" w:hAnsi="宋体" w:cs="宋体"/>
          <w:szCs w:val="21"/>
        </w:rPr>
        <w:tab/>
      </w:r>
    </w:p>
    <w:p w14:paraId="0F3EE90B">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420" w:leftChars="200" w:firstLine="0" w:firstLineChars="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.1个性推荐：</w:t>
      </w:r>
      <w:r>
        <w:rPr>
          <w:rFonts w:hint="eastAsia" w:ascii="宋体" w:hAnsi="宋体" w:cs="宋体"/>
          <w:szCs w:val="21"/>
          <w:lang w:val="en-US" w:eastAsia="zh-CN"/>
        </w:rPr>
        <w:t>能</w:t>
      </w:r>
      <w:r>
        <w:rPr>
          <w:rFonts w:hint="eastAsia" w:ascii="宋体" w:hAnsi="宋体" w:cs="宋体"/>
          <w:szCs w:val="21"/>
        </w:rPr>
        <w:t>提供热门资源的推荐等功能。</w:t>
      </w:r>
    </w:p>
    <w:p w14:paraId="41BE5876">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.2图文原貌切换阅读：支持文本阅读、原貌阅读，支持阅读器切换，支持文本阅读时长预估，支持文本阅读返回上次阅读页面，支持原貌阅读单双页切换。</w:t>
      </w:r>
    </w:p>
    <w:p w14:paraId="303C7F1A">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 xml:space="preserve">.3文章朗读：期刊的图文正文支持文章朗读。 </w:t>
      </w:r>
    </w:p>
    <w:p w14:paraId="17EB6DD1">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.4全文检索：支持一个关键词即可搜索相关资源，并</w:t>
      </w:r>
      <w:r>
        <w:rPr>
          <w:rFonts w:hint="eastAsia" w:ascii="宋体" w:hAnsi="宋体" w:cs="宋体"/>
          <w:szCs w:val="21"/>
          <w:lang w:eastAsia="zh-CN"/>
        </w:rPr>
        <w:t>以</w:t>
      </w:r>
      <w:r>
        <w:rPr>
          <w:rFonts w:hint="eastAsia" w:ascii="宋体" w:hAnsi="宋体" w:cs="宋体"/>
          <w:szCs w:val="21"/>
        </w:rPr>
        <w:t>特殊颜色标识；用户也可根据阅读需要在搜索界面对相关内容进行历史搜索的快速阅读；支持对期刊原貌页面进行原貌全文检索。</w:t>
      </w:r>
    </w:p>
    <w:p w14:paraId="4D2777F2">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.5音频资源检索：支持使用关键字对听书资源进行全文检索。</w:t>
      </w:r>
    </w:p>
    <w:p w14:paraId="30B23777">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.6多维分类：支持多种分类形式，提供不同的阅读选择。</w:t>
      </w:r>
    </w:p>
    <w:p w14:paraId="647E189A">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.7试读：支持未登录用户试读一定内容的期刊、图书、听书和报刊资源。</w:t>
      </w:r>
    </w:p>
    <w:p w14:paraId="32672917">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.8往期追溯阅读：提供期刊的往期回顾，满足历史阅读的需求。</w:t>
      </w:r>
    </w:p>
    <w:p w14:paraId="28BDCCFC">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.9分享阅读功能：支持分享期刊、图书、听书和报刊资源，可分享至微信、微博、QQ空间。</w:t>
      </w:r>
    </w:p>
    <w:p w14:paraId="6B1B6FA5">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.10资源图文正文提供字体大小、夜间模式设置，提供保护视力的功能，阅读页面以视觉舒适的样式展示。</w:t>
      </w:r>
    </w:p>
    <w:p w14:paraId="6AC8CA4A">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.11个人书架：提供资源的收藏、保留阅读记录等功能，可删除书架内的阅听记录与已收藏资源。</w:t>
      </w:r>
    </w:p>
    <w:p w14:paraId="345152D8">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.12个性化配置：支持自定义LOGO、首页广告位，展示服务单位形象和特色。</w:t>
      </w:r>
    </w:p>
    <w:p w14:paraId="0E711D66">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13自有资源库：服务单位可以创建自有资源库，从后台上传本馆资源，支持图片、视频、图文等资源类型；除此外，还支持上传文件，并直接在前台展示文件内容（支持上传PDF/WORD/PPT/TXT/EXCEL/JPG/PNG/MP3/MP4等格式的资源）；可配置外链，用户可通过外链跳转到外部网址平台。</w:t>
      </w:r>
    </w:p>
    <w:p w14:paraId="621FFDFB">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.14通知推送：根据用户需要，可以在后台实时推送通知信息实时展示，支持最新通知弹窗，点击弹窗可查看该通知。</w:t>
      </w:r>
    </w:p>
    <w:p w14:paraId="093021BC">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.15专题：可根据不同场景和时期配置相关专题资源，定期举办阅读或节日专题。根据不同专题需求自定义栏目名称，专题详情展示专题banner和专题资源，用户点击资源列表进行阅览。</w:t>
      </w:r>
    </w:p>
    <w:p w14:paraId="2FA8540A">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16读者活动：为了增加服务单位和用户之间的关联互动，平台提供可便捷发布的活动模块，机构可根据阶段需求举办阅读、讲座、培训等线下主题活动。可配置活动封面、活动内容、举办时间、举办地点，活动内容可配置图片、文本、音频、视频。支持活动报名，支持报名人员统计。支持活动进行状态显示。</w:t>
      </w:r>
    </w:p>
    <w:p w14:paraId="3565D4AA">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.17特色活动：</w:t>
      </w:r>
    </w:p>
    <w:p w14:paraId="5AE78D45">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阅读锦鲤活动：系统在活动期间进入中邮爱读宝活动页面，随机自动抽取读书锦鲤。</w:t>
      </w:r>
    </w:p>
    <w:p w14:paraId="4CBDB57C">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定位打卡活动：可支持学校图书馆在线设置打卡时间和打卡地点，打卡时间段内，用户可前往打卡地点线下打卡。</w:t>
      </w:r>
    </w:p>
    <w:p w14:paraId="7EA92A50">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共读活动：可创建共读活动，以领导荐书的形式组织阅读竞赛，通过共读一本书的形式进行阅读竞赛。</w:t>
      </w:r>
    </w:p>
    <w:p w14:paraId="17BE98F3">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问卷调查：可根据客户需求创建问卷调查，支持配置单选、多选、评分和文本题多种题型，支持设置文本题的回答字数，支持设置单道题的必答状态。支持按时间、分终端查看作答数据，支持查看所有用户的作答记录。</w:t>
      </w:r>
    </w:p>
    <w:p w14:paraId="77E6246B">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知识问答：用户可在前台终端进行知识问答测试，试题包含单选题、复选题、判断题三种形式。用户可收藏试卷，还可以把试卷分享给身边的朋友一起答题。</w:t>
      </w:r>
    </w:p>
    <w:p w14:paraId="6C0E3BF6">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投票活动：支持客户配置图片、视频等类型参赛作品，支持所有人在线投票，评选优秀作品。</w:t>
      </w:r>
    </w:p>
    <w:p w14:paraId="79EB6153">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趣味拼图：根据活动主题，发布主题图片，将图片随机打乱后，读者正确拼接恢复即为拼图成功，拼图成功的读者耗时越短排名越高。</w:t>
      </w:r>
    </w:p>
    <w:p w14:paraId="639DB970">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.18资讯：机构可根据馆内特色自定义资讯栏目名称，可创建下级分类并定义分类名称，发布各类资讯和时事新闻；用户可对资讯点赞认同，支持用户分享给身边的朋友。</w:t>
      </w:r>
    </w:p>
    <w:p w14:paraId="5847BA6B">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.19换肤：自定义产品主色调，随时更换皮肤。</w:t>
      </w:r>
    </w:p>
    <w:p w14:paraId="47512175">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.20个人中心：可查看已参加的活动、收到的通知、已测知识问答、已收藏知识问答，可点击测试已测或已收藏的知识问答；积分商城，可获取积分和兑换商品。</w:t>
      </w:r>
    </w:p>
    <w:p w14:paraId="63E7932C">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.21后台数据统计：各资源点击量、用户阅读时长和次数等数据统计。</w:t>
      </w:r>
    </w:p>
    <w:p w14:paraId="229ADD58">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.22账号权限</w:t>
      </w:r>
    </w:p>
    <w:p w14:paraId="0788A3F7">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小程序端：支持微信授权一键登录、手机号登录、机构账号登录、个人用户账号登录；</w:t>
      </w:r>
    </w:p>
    <w:p w14:paraId="4D5975DF">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H5端：手机号登录、机构账号登录、个人用户账号登录。手机号登录支持密码修改与密码找回</w:t>
      </w:r>
      <w:r>
        <w:rPr>
          <w:rFonts w:hint="eastAsia" w:ascii="宋体" w:hAnsi="宋体" w:cs="宋体"/>
          <w:szCs w:val="21"/>
          <w:lang w:eastAsia="zh-CN"/>
        </w:rPr>
        <w:t>，</w:t>
      </w:r>
      <w:r>
        <w:rPr>
          <w:rFonts w:hint="eastAsia" w:ascii="宋体" w:hAnsi="宋体" w:cs="宋体"/>
          <w:szCs w:val="21"/>
        </w:rPr>
        <w:t>个人用户账号登录支持密码修改。</w:t>
      </w:r>
    </w:p>
    <w:p w14:paraId="36446922">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.23注册IP段：IP段内注册时机构名称将自动填入，无需手动填写；如用户处于IP段外，不可注册，仅可登录。</w:t>
      </w:r>
    </w:p>
    <w:p w14:paraId="3CA1F81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.客户服务</w:t>
      </w:r>
    </w:p>
    <w:p w14:paraId="0567A977">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.1提供QQ、邮箱、电话服务支持</w:t>
      </w:r>
      <w:r>
        <w:rPr>
          <w:rFonts w:hint="eastAsia" w:ascii="宋体" w:hAnsi="宋体" w:cs="宋体"/>
          <w:szCs w:val="21"/>
          <w:lang w:eastAsia="zh-CN"/>
        </w:rPr>
        <w:t>。</w:t>
      </w:r>
    </w:p>
    <w:p w14:paraId="0B120DE3">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.2</w:t>
      </w:r>
      <w:r>
        <w:rPr>
          <w:rFonts w:hint="eastAsia" w:ascii="宋体" w:hAnsi="宋体" w:cs="宋体"/>
          <w:szCs w:val="21"/>
          <w:lang w:val="en-US" w:eastAsia="zh-CN"/>
        </w:rPr>
        <w:t>服务响应</w:t>
      </w:r>
      <w:r>
        <w:rPr>
          <w:rFonts w:hint="eastAsia" w:ascii="宋体" w:hAnsi="宋体" w:cs="宋体"/>
          <w:szCs w:val="21"/>
        </w:rPr>
        <w:t>最长答复时间不超过12小时。资源、系统故障，小批量数据维护故障一个工作日内予以解决。</w:t>
      </w:r>
    </w:p>
    <w:p w14:paraId="3A1A0EE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.培训服务期内，为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4CA6E37C">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.数据统计</w:t>
      </w:r>
      <w:r>
        <w:rPr>
          <w:rFonts w:hint="eastAsia" w:ascii="宋体" w:hAnsi="宋体" w:cs="宋体"/>
          <w:szCs w:val="21"/>
          <w:lang w:eastAsia="zh-CN"/>
        </w:rPr>
        <w:t>：</w:t>
      </w:r>
      <w:r>
        <w:rPr>
          <w:rFonts w:hint="eastAsia" w:ascii="宋体" w:hAnsi="宋体" w:cs="宋体"/>
          <w:szCs w:val="21"/>
        </w:rPr>
        <w:t>定期提供数据库使用统计。</w:t>
      </w:r>
    </w:p>
    <w:p w14:paraId="069EFE3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.服务期限：202</w:t>
      </w:r>
      <w:r>
        <w:rPr>
          <w:rFonts w:hint="eastAsia" w:ascii="宋体" w:hAnsi="宋体" w:cs="宋体"/>
          <w:szCs w:val="21"/>
          <w:lang w:val="en-US" w:eastAsia="zh-CN"/>
        </w:rPr>
        <w:t>6</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日至2026年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w:t>
      </w:r>
      <w:r>
        <w:rPr>
          <w:rFonts w:hint="eastAsia" w:ascii="宋体" w:hAnsi="宋体" w:cs="宋体"/>
          <w:szCs w:val="21"/>
          <w:lang w:eastAsia="zh-CN"/>
        </w:rPr>
        <w:t>。</w:t>
      </w:r>
      <w:r>
        <w:rPr>
          <w:rFonts w:hint="eastAsia" w:ascii="宋体" w:hAnsi="宋体" w:cs="宋体"/>
          <w:szCs w:val="21"/>
        </w:rPr>
        <w:br w:type="page"/>
      </w:r>
    </w:p>
    <w:p w14:paraId="207356EB">
      <w:pPr>
        <w:spacing w:line="400" w:lineRule="exact"/>
        <w:ind w:firstLine="422" w:firstLineChars="200"/>
        <w:rPr>
          <w:kern w:val="0"/>
          <w:szCs w:val="21"/>
        </w:rPr>
      </w:pPr>
      <w:r>
        <w:rPr>
          <w:rFonts w:hint="eastAsia" w:ascii="宋体" w:hAnsi="宋体" w:cs="宋体"/>
          <w:b/>
          <w:szCs w:val="21"/>
        </w:rPr>
        <w:t>标项二十九（正保多媒体数据库）：</w:t>
      </w:r>
      <w:r>
        <w:rPr>
          <w:rFonts w:hint="eastAsia"/>
          <w:kern w:val="0"/>
          <w:szCs w:val="21"/>
        </w:rPr>
        <w:tab/>
      </w:r>
    </w:p>
    <w:p w14:paraId="21BA3E6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1.资源</w:t>
      </w:r>
    </w:p>
    <w:p w14:paraId="5F03A099">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eastAsia="宋体" w:cs="宋体"/>
          <w:szCs w:val="21"/>
        </w:rPr>
        <w:t>★</w:t>
      </w: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提供会计类教育数字资源，包含但不仅限以下资源：</w:t>
      </w:r>
    </w:p>
    <w:p w14:paraId="626D5DFD">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1.1.1初级会计职称</w:t>
      </w:r>
    </w:p>
    <w:p w14:paraId="4410CAEC">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包含：初级会计实务、经济法基础</w:t>
      </w:r>
      <w:r>
        <w:rPr>
          <w:rFonts w:hint="eastAsia" w:ascii="宋体" w:hAnsi="宋体" w:cs="宋体"/>
          <w:szCs w:val="21"/>
          <w:lang w:eastAsia="zh-CN"/>
        </w:rPr>
        <w:t>。</w:t>
      </w:r>
    </w:p>
    <w:p w14:paraId="4FB8EB44">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1.1.2中级会计职称</w:t>
      </w:r>
    </w:p>
    <w:p w14:paraId="4B47019B">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包含：财务管理、中级经济法、中级会计实务</w:t>
      </w:r>
      <w:r>
        <w:rPr>
          <w:rFonts w:hint="eastAsia" w:ascii="宋体" w:hAnsi="宋体" w:cs="宋体"/>
          <w:szCs w:val="21"/>
          <w:lang w:eastAsia="zh-CN"/>
        </w:rPr>
        <w:t>。</w:t>
      </w:r>
    </w:p>
    <w:p w14:paraId="47D55F37">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1.1.3税务师</w:t>
      </w:r>
    </w:p>
    <w:p w14:paraId="6EC825A1">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包含：税法、财务与会计、涉税服务相关法律、涉税服务实务</w:t>
      </w:r>
      <w:r>
        <w:rPr>
          <w:rFonts w:hint="eastAsia" w:ascii="宋体" w:hAnsi="宋体" w:cs="宋体"/>
          <w:szCs w:val="21"/>
          <w:lang w:eastAsia="zh-CN"/>
        </w:rPr>
        <w:t>。</w:t>
      </w:r>
    </w:p>
    <w:p w14:paraId="5C8C4BE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1.1.4注册会计</w:t>
      </w:r>
    </w:p>
    <w:p w14:paraId="67BD0A7C">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包含：财务成本管理、公司战略与风险管理、经济法、税法</w:t>
      </w:r>
      <w:r>
        <w:rPr>
          <w:rFonts w:hint="eastAsia" w:ascii="宋体" w:hAnsi="宋体" w:cs="宋体"/>
          <w:szCs w:val="21"/>
          <w:lang w:eastAsia="zh-CN"/>
        </w:rPr>
        <w:t>。</w:t>
      </w:r>
    </w:p>
    <w:p w14:paraId="7438D4AB">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1.1.5初级审计师</w:t>
      </w:r>
    </w:p>
    <w:p w14:paraId="09B1D5B5">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包含：审计相关基础知识、审计理论与实务</w:t>
      </w:r>
      <w:r>
        <w:rPr>
          <w:rFonts w:hint="eastAsia" w:ascii="宋体" w:hAnsi="宋体" w:cs="宋体"/>
          <w:szCs w:val="21"/>
          <w:lang w:eastAsia="zh-CN"/>
        </w:rPr>
        <w:t>。</w:t>
      </w:r>
    </w:p>
    <w:p w14:paraId="2E9709E3">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1.1.6中级审计师</w:t>
      </w:r>
    </w:p>
    <w:p w14:paraId="1CC9188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包含：审计相关基础知识、审计理论与实务</w:t>
      </w:r>
      <w:r>
        <w:rPr>
          <w:rFonts w:hint="eastAsia" w:ascii="宋体" w:hAnsi="宋体" w:cs="宋体"/>
          <w:szCs w:val="21"/>
          <w:lang w:eastAsia="zh-CN"/>
        </w:rPr>
        <w:t>。</w:t>
      </w:r>
    </w:p>
    <w:p w14:paraId="3B548A01">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1.2提供资源总量不少于1100课时。</w:t>
      </w:r>
    </w:p>
    <w:p w14:paraId="2A5895AD">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1.3提供的所有内容需保证无版权问题，并承担版权所引起</w:t>
      </w:r>
      <w:r>
        <w:rPr>
          <w:rFonts w:hint="eastAsia" w:ascii="宋体" w:hAnsi="宋体" w:cs="宋体"/>
          <w:szCs w:val="21"/>
          <w:lang w:eastAsia="zh-CN"/>
        </w:rPr>
        <w:t>的</w:t>
      </w:r>
      <w:r>
        <w:rPr>
          <w:rFonts w:hint="eastAsia" w:ascii="宋体" w:hAnsi="宋体" w:cs="宋体"/>
          <w:szCs w:val="21"/>
        </w:rPr>
        <w:t>一切法律和经济后果。</w:t>
      </w:r>
    </w:p>
    <w:p w14:paraId="5926D02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2.功能</w:t>
      </w:r>
    </w:p>
    <w:p w14:paraId="5BCA7526">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2.1课件采用高清视频技术，支持高清课堂、同步板书、单屏/三分屏模式、语速调节的功能。</w:t>
      </w:r>
    </w:p>
    <w:p w14:paraId="6A2ACF3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2.2资源库通过授权的IP访问</w:t>
      </w:r>
      <w:r>
        <w:rPr>
          <w:rFonts w:hint="eastAsia" w:ascii="宋体" w:hAnsi="宋体" w:cs="宋体"/>
          <w:szCs w:val="21"/>
          <w:lang w:eastAsia="zh-CN"/>
        </w:rPr>
        <w:t>。</w:t>
      </w:r>
    </w:p>
    <w:p w14:paraId="4A71D713">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3.服务</w:t>
      </w:r>
    </w:p>
    <w:p w14:paraId="4D4DE2ED">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3.1开放范围：馆内访问采用</w:t>
      </w:r>
      <w:r>
        <w:rPr>
          <w:rFonts w:hint="eastAsia" w:ascii="宋体" w:hAnsi="宋体" w:cs="宋体"/>
          <w:szCs w:val="21"/>
          <w:lang w:val="en-US" w:eastAsia="zh-CN"/>
        </w:rPr>
        <w:t>校园</w:t>
      </w:r>
      <w:r>
        <w:rPr>
          <w:rFonts w:hint="eastAsia" w:ascii="宋体" w:hAnsi="宋体" w:cs="宋体"/>
          <w:szCs w:val="21"/>
        </w:rPr>
        <w:t>IP</w:t>
      </w:r>
      <w:r>
        <w:rPr>
          <w:rFonts w:hint="eastAsia" w:ascii="宋体" w:hAnsi="宋体" w:cs="宋体"/>
          <w:szCs w:val="21"/>
          <w:lang w:val="en-US" w:eastAsia="zh-CN"/>
        </w:rPr>
        <w:t>范围内</w:t>
      </w:r>
      <w:r>
        <w:rPr>
          <w:rFonts w:hint="eastAsia" w:ascii="宋体" w:hAnsi="宋体" w:cs="宋体"/>
          <w:szCs w:val="21"/>
        </w:rPr>
        <w:t>控制，馆外访问</w:t>
      </w:r>
      <w:r>
        <w:rPr>
          <w:rFonts w:hint="eastAsia" w:ascii="宋体" w:hAnsi="宋体" w:cs="宋体"/>
          <w:szCs w:val="21"/>
          <w:lang w:val="en-US" w:eastAsia="zh-CN"/>
        </w:rPr>
        <w:t>支持VPN登录</w:t>
      </w:r>
      <w:r>
        <w:rPr>
          <w:rFonts w:hint="eastAsia" w:ascii="宋体" w:hAnsi="宋体" w:cs="宋体"/>
          <w:szCs w:val="21"/>
          <w:lang w:eastAsia="zh-CN"/>
        </w:rPr>
        <w:t>。</w:t>
      </w:r>
    </w:p>
    <w:p w14:paraId="0E9432B4">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3.2</w:t>
      </w:r>
      <w:r>
        <w:rPr>
          <w:rFonts w:hint="eastAsia" w:ascii="宋体" w:hAnsi="宋体" w:cs="宋体"/>
          <w:szCs w:val="21"/>
          <w:lang w:eastAsia="zh-CN"/>
        </w:rPr>
        <w:t>服务期限</w:t>
      </w:r>
      <w:r>
        <w:rPr>
          <w:rFonts w:hint="eastAsia" w:ascii="宋体" w:hAnsi="宋体" w:cs="宋体"/>
          <w:szCs w:val="21"/>
        </w:rPr>
        <w:t>：2025年11月27日</w:t>
      </w:r>
      <w:r>
        <w:rPr>
          <w:rFonts w:hint="eastAsia" w:ascii="宋体" w:hAnsi="宋体" w:cs="宋体"/>
          <w:szCs w:val="21"/>
          <w:lang w:eastAsia="zh-CN"/>
        </w:rPr>
        <w:t>至</w:t>
      </w:r>
      <w:r>
        <w:rPr>
          <w:rFonts w:hint="eastAsia" w:ascii="宋体" w:hAnsi="宋体" w:cs="宋体"/>
          <w:szCs w:val="21"/>
        </w:rPr>
        <w:t>2026年1</w:t>
      </w:r>
      <w:r>
        <w:rPr>
          <w:rFonts w:hint="eastAsia" w:ascii="宋体" w:hAnsi="宋体" w:cs="宋体"/>
          <w:szCs w:val="21"/>
          <w:lang w:val="en-US" w:eastAsia="zh-CN"/>
        </w:rPr>
        <w:t>1</w:t>
      </w:r>
      <w:r>
        <w:rPr>
          <w:rFonts w:hint="eastAsia" w:ascii="宋体" w:hAnsi="宋体" w:cs="宋体"/>
          <w:szCs w:val="21"/>
        </w:rPr>
        <w:t>月26日</w:t>
      </w:r>
      <w:r>
        <w:rPr>
          <w:rFonts w:hint="eastAsia" w:ascii="宋体" w:hAnsi="宋体" w:cs="宋体"/>
          <w:szCs w:val="21"/>
          <w:lang w:eastAsia="zh-CN"/>
        </w:rPr>
        <w:t>。</w:t>
      </w:r>
    </w:p>
    <w:p w14:paraId="6349E50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3.3服务方式：远程访问</w:t>
      </w:r>
      <w:r>
        <w:rPr>
          <w:rFonts w:hint="eastAsia" w:ascii="宋体" w:hAnsi="宋体" w:cs="宋体"/>
          <w:szCs w:val="21"/>
          <w:lang w:eastAsia="zh-CN"/>
        </w:rPr>
        <w:t>。</w:t>
      </w:r>
    </w:p>
    <w:p w14:paraId="7E1930CD">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3.4服务响应：</w:t>
      </w:r>
    </w:p>
    <w:p w14:paraId="12681541">
      <w:pPr>
        <w:keepNext w:val="0"/>
        <w:keepLines w:val="0"/>
        <w:pageBreakBefore w:val="0"/>
        <w:widowControl w:val="0"/>
        <w:tabs>
          <w:tab w:val="left" w:pos="1114"/>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rPr>
      </w:pPr>
      <w:r>
        <w:rPr>
          <w:rFonts w:hint="eastAsia" w:ascii="宋体" w:hAnsi="宋体" w:cs="宋体"/>
          <w:szCs w:val="21"/>
        </w:rPr>
        <w:t>（1）响应流程</w:t>
      </w:r>
    </w:p>
    <w:p w14:paraId="454F7527">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Email服务：提供7*8小时接收处理。</w:t>
      </w:r>
    </w:p>
    <w:p w14:paraId="24F555D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电话服务：提供7*24小时电话技术支持服务。</w:t>
      </w:r>
    </w:p>
    <w:p w14:paraId="2E392473">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网络远程服务：提供7*8小时的专业远程服务。</w:t>
      </w:r>
    </w:p>
    <w:p w14:paraId="1ABF99F2">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（2）响应时间</w:t>
      </w:r>
    </w:p>
    <w:p w14:paraId="534FA684">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服务响应时间（小时）：承诺30分钟内做出响应。</w:t>
      </w:r>
    </w:p>
    <w:p w14:paraId="41754EAB">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服务到场时间（小时）：承诺72小时内上门服务。</w:t>
      </w:r>
    </w:p>
    <w:p w14:paraId="43D33F9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服务完成时限（天）：承诺3天内解决问题。</w:t>
      </w:r>
    </w:p>
    <w:p w14:paraId="7E16C6C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3.5服务期内，为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4CA73147">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3.6定期提供数据库使用统计数据。</w:t>
      </w:r>
    </w:p>
    <w:p w14:paraId="556130E4">
      <w:pPr>
        <w:rPr>
          <w:rFonts w:ascii="宋体" w:hAnsi="宋体" w:cs="宋体"/>
          <w:b/>
          <w:szCs w:val="21"/>
        </w:rPr>
      </w:pPr>
      <w:r>
        <w:rPr>
          <w:rFonts w:hint="eastAsia" w:ascii="宋体" w:hAnsi="宋体" w:cs="宋体"/>
          <w:b/>
          <w:szCs w:val="21"/>
        </w:rPr>
        <w:br w:type="page"/>
      </w:r>
    </w:p>
    <w:p w14:paraId="2202B163">
      <w:pPr>
        <w:spacing w:line="400" w:lineRule="exact"/>
        <w:ind w:firstLine="422" w:firstLineChars="200"/>
        <w:rPr>
          <w:rFonts w:ascii="宋体" w:hAnsi="宋体" w:cs="宋体"/>
          <w:b/>
          <w:szCs w:val="21"/>
        </w:rPr>
      </w:pPr>
      <w:r>
        <w:rPr>
          <w:rFonts w:hint="eastAsia" w:ascii="宋体" w:hAnsi="宋体" w:cs="宋体"/>
          <w:b/>
          <w:szCs w:val="21"/>
        </w:rPr>
        <w:t>标项三十（壹专利数据库）：</w:t>
      </w:r>
    </w:p>
    <w:p w14:paraId="5BCC839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1.平台数据源</w:t>
      </w:r>
    </w:p>
    <w:p w14:paraId="28FDA18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收录包括美国、欧洲、世界知识产权组织、日本、中国等171个国家和地区的1.8亿条专利数据，中国数据每周更新，国外数据每两周更新。</w:t>
      </w:r>
    </w:p>
    <w:p w14:paraId="4E89414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2.检索方式</w:t>
      </w:r>
    </w:p>
    <w:p w14:paraId="7AA99E91">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1）分类检索：包括IPC分类检索、国民经济分类检索、洛迦诺分类检索、CPC分类检索、战略性新兴产业、双十产业集群检索。分类检索提供了两种操作方式，一种是按照分类号分级查找，另一种通过分类号或分类描述检索，点击“查看专利”，可以快速查找属于各个分类的全量专利</w:t>
      </w:r>
      <w:r>
        <w:rPr>
          <w:rFonts w:hint="eastAsia" w:ascii="宋体" w:hAnsi="宋体" w:cs="宋体"/>
          <w:szCs w:val="21"/>
          <w:lang w:eastAsia="zh-CN"/>
        </w:rPr>
        <w:t>。</w:t>
      </w:r>
    </w:p>
    <w:p w14:paraId="597A33D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2）国防解密专利检索：支持对中国国防专利局已解密的国防专利数据进行检索，包括十大军工企业，尤其是军民共建行业及技术领域的解密专利进行快速检索。可以根据申请号、发明名称、专利权人、IPC分类、代理人、代理机构、发明人、申请日、授权日、发布日期、国防专利法律状态、申请主体和摘要进行检索</w:t>
      </w:r>
      <w:r>
        <w:rPr>
          <w:rFonts w:hint="eastAsia" w:ascii="宋体" w:hAnsi="宋体" w:cs="宋体"/>
          <w:szCs w:val="21"/>
          <w:lang w:eastAsia="zh-CN"/>
        </w:rPr>
        <w:t>。</w:t>
      </w:r>
    </w:p>
    <w:p w14:paraId="49299361">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3）高级检索：适用于对专利文献知识有初步了解的人群，提供超过176字段检索，可以按照逻辑关系对多个字段进行组合检索，满足基于不同主题的检索需求。字段既包括标题、摘要、权利要求、说明书、申请人、发明人、专利权人、转让人、受让人、代理人、公开日等常见标准检索字段，还包括第一申请人、申请人（机构树）、申请人数量、第一专利权人、专利权人（机构树）、第一发明人、专利状态、法律状态、奖励名称、奖励等级、奖励届次等深加工字段。</w:t>
      </w:r>
    </w:p>
    <w:p w14:paraId="126F35C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3.检索结果筛选</w:t>
      </w:r>
    </w:p>
    <w:p w14:paraId="5C919BBB">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（1）数据排序：检索结果可以按照相关度、申请号、公开号、公开日、申请日、引用次数、被引用次数、权利要求数、申请人数量等多个字段进行排序</w:t>
      </w:r>
      <w:r>
        <w:rPr>
          <w:rFonts w:hint="eastAsia" w:ascii="宋体" w:hAnsi="宋体" w:cs="宋体"/>
          <w:szCs w:val="21"/>
          <w:lang w:eastAsia="zh-CN"/>
        </w:rPr>
        <w:t>。</w:t>
      </w:r>
    </w:p>
    <w:p w14:paraId="595E720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（2）二次筛选：对于检索结果支持包括国别、申请年、公开年、申请人、申请人类型（中国）、发明人、IPC分类、专利类型、代理人、专利代理机构、专利状态（有效、审查中、失效）等多个字段的二次筛选。</w:t>
      </w:r>
    </w:p>
    <w:p w14:paraId="5EF10CB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4.数据分析</w:t>
      </w:r>
    </w:p>
    <w:p w14:paraId="4BCA72D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（1）提供九大分析维度，包括：年份分析、申请人分析、发明人分析、地域分析、代理人及机构分析、技术领域分析、运营分析等维度，点击相应维度即可直接查看统计图表</w:t>
      </w:r>
      <w:r>
        <w:rPr>
          <w:rFonts w:hint="eastAsia" w:ascii="宋体" w:hAnsi="宋体" w:cs="宋体"/>
          <w:szCs w:val="21"/>
          <w:lang w:eastAsia="zh-CN"/>
        </w:rPr>
        <w:t>。</w:t>
      </w:r>
    </w:p>
    <w:p w14:paraId="035D651D">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支持的图表类型包括柱状图、折线图、热力图、关系图、气泡图、条形图、地图、玫瑰图、饼状图等超20种图表类型</w:t>
      </w:r>
      <w:r>
        <w:rPr>
          <w:rFonts w:hint="eastAsia" w:ascii="宋体" w:hAnsi="宋体" w:cs="宋体"/>
          <w:szCs w:val="21"/>
          <w:lang w:eastAsia="zh-CN"/>
        </w:rPr>
        <w:t>。</w:t>
      </w:r>
    </w:p>
    <w:p w14:paraId="22AE15C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支持对统计数据、图表颜色进行自定义设置。</w:t>
      </w:r>
    </w:p>
    <w:p w14:paraId="5892A09B">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（2）特色专利分析：</w:t>
      </w:r>
    </w:p>
    <w:p w14:paraId="7F34A650">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①申请人合作分析：对申请人合作申请情况进行分析，可选择不同的申请人类型并按合作专利数排名和合作次数排名进行展示</w:t>
      </w:r>
      <w:r>
        <w:rPr>
          <w:rFonts w:hint="eastAsia" w:ascii="宋体" w:hAnsi="宋体" w:cs="宋体"/>
          <w:szCs w:val="21"/>
          <w:lang w:eastAsia="zh-CN"/>
        </w:rPr>
        <w:t>。</w:t>
      </w:r>
    </w:p>
    <w:p w14:paraId="762B6405">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②发明人合作分析：对发明人合作情况进行分析，可按合作专利数排名和合作次数排名进行展示</w:t>
      </w:r>
      <w:r>
        <w:rPr>
          <w:rFonts w:hint="eastAsia" w:ascii="宋体" w:hAnsi="宋体" w:cs="宋体"/>
          <w:szCs w:val="21"/>
          <w:lang w:eastAsia="zh-CN"/>
        </w:rPr>
        <w:t>。</w:t>
      </w:r>
    </w:p>
    <w:p w14:paraId="1BA605C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③对技术领域和产业进行分析：发现不同技术领域及产业之间的关联，并对专利的国民经济行业分类、战略性新兴产业分类进行统计分析，支持趋势分析、排名分析及区域分析</w:t>
      </w:r>
      <w:r>
        <w:rPr>
          <w:rFonts w:hint="eastAsia" w:ascii="宋体" w:hAnsi="宋体" w:cs="宋体"/>
          <w:szCs w:val="21"/>
          <w:lang w:eastAsia="zh-CN"/>
        </w:rPr>
        <w:t>。</w:t>
      </w:r>
    </w:p>
    <w:p w14:paraId="7BEB0E3D">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④专利代理分析：对专利代理机构、代理人进行统计分析，支持代理趋势分析、代理排名分析</w:t>
      </w:r>
      <w:r>
        <w:rPr>
          <w:rFonts w:hint="eastAsia" w:ascii="宋体" w:hAnsi="宋体" w:cs="宋体"/>
          <w:szCs w:val="21"/>
          <w:lang w:eastAsia="zh-CN"/>
        </w:rPr>
        <w:t>。</w:t>
      </w:r>
    </w:p>
    <w:p w14:paraId="04DFD7A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⑤产业分析：对技术领域和产业进行分析，发现不同技术领域及产业之间的关联，并对专利的国民经济行业分类、战略性新兴产业分类进行统计分析，支持趋势分析、排名分析及区域分析。</w:t>
      </w:r>
    </w:p>
    <w:p w14:paraId="6D445A32">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5.数据管理</w:t>
      </w:r>
    </w:p>
    <w:p w14:paraId="184F8860">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1）专利漫步：通过可视化地图工具及层级化结构设置，快速查看全国各省、市、区范围内对应产业、技术领域、创新主体及服务机构的专利统计数据，包括各省份企业、高校专利有效量、各市代理机构申请量排名、国民经济产业专利总量分布情况等</w:t>
      </w:r>
      <w:r>
        <w:rPr>
          <w:rFonts w:hint="eastAsia" w:ascii="宋体" w:hAnsi="宋体" w:cs="宋体"/>
          <w:szCs w:val="21"/>
          <w:lang w:eastAsia="zh-CN"/>
        </w:rPr>
        <w:t>。</w:t>
      </w:r>
    </w:p>
    <w:p w14:paraId="47A4CE5C">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（2）支持专利数据管理，可对检索结果进行在线收藏，并可在收藏文件夹中进行标引、分享、下载等操作</w:t>
      </w:r>
      <w:r>
        <w:rPr>
          <w:rFonts w:hint="eastAsia" w:ascii="宋体" w:hAnsi="宋体" w:cs="宋体"/>
          <w:szCs w:val="21"/>
          <w:lang w:eastAsia="zh-CN"/>
        </w:rPr>
        <w:t>。</w:t>
      </w:r>
    </w:p>
    <w:p w14:paraId="3676E0E5">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（3）支持数据批量导入和批量下载，提供多种下载字段和格式</w:t>
      </w:r>
      <w:r>
        <w:rPr>
          <w:rFonts w:hint="eastAsia" w:ascii="宋体" w:hAnsi="宋体" w:cs="宋体"/>
          <w:szCs w:val="21"/>
          <w:lang w:eastAsia="zh-CN"/>
        </w:rPr>
        <w:t>。</w:t>
      </w:r>
    </w:p>
    <w:p w14:paraId="680E17C6">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（4）提供专利预警功能，包括对特定专利状态变化的监控、对特定检索式的精准监控以及对目标公司专利情况的监控。</w:t>
      </w:r>
    </w:p>
    <w:p w14:paraId="4D952A86">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bookmarkStart w:id="80" w:name="_Toc18490"/>
      <w:bookmarkStart w:id="81" w:name="_Toc30222"/>
      <w:r>
        <w:rPr>
          <w:rFonts w:hint="eastAsia" w:ascii="宋体" w:hAnsi="宋体" w:cs="宋体"/>
          <w:szCs w:val="21"/>
        </w:rPr>
        <w:t>6.服务内容</w:t>
      </w:r>
      <w:bookmarkEnd w:id="80"/>
      <w:bookmarkEnd w:id="81"/>
    </w:p>
    <w:p w14:paraId="57556935">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（1）用户购买后凭账号密码登录www.patyee.com在线使用。</w:t>
      </w:r>
    </w:p>
    <w:p w14:paraId="1F40B4E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（2）培训教材：账号开通后</w:t>
      </w:r>
      <w:r>
        <w:rPr>
          <w:rFonts w:hint="eastAsia" w:ascii="宋体" w:hAnsi="宋体" w:cs="宋体"/>
          <w:szCs w:val="21"/>
          <w:lang w:eastAsia="zh-CN"/>
        </w:rPr>
        <w:t>供应商</w:t>
      </w:r>
      <w:r>
        <w:rPr>
          <w:rFonts w:hint="eastAsia" w:ascii="宋体" w:hAnsi="宋体" w:cs="宋体"/>
          <w:szCs w:val="21"/>
        </w:rPr>
        <w:t>提供培训手册1份。之后根据系统更新情况定期</w:t>
      </w:r>
      <w:r>
        <w:rPr>
          <w:rFonts w:hint="eastAsia" w:ascii="宋体" w:hAnsi="宋体" w:cs="宋体"/>
          <w:sz w:val="21"/>
          <w:szCs w:val="21"/>
          <w:lang w:eastAsia="zh-CN"/>
        </w:rPr>
        <w:t>无条件</w:t>
      </w:r>
      <w:r>
        <w:rPr>
          <w:rFonts w:hint="eastAsia" w:ascii="宋体" w:hAnsi="宋体" w:cs="宋体"/>
          <w:szCs w:val="21"/>
        </w:rPr>
        <w:t>提供最新教材。</w:t>
      </w:r>
    </w:p>
    <w:p w14:paraId="193AEE1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（3）增值培训：提供1次现场操作培训。</w:t>
      </w:r>
    </w:p>
    <w:p w14:paraId="21DB33F8">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（4）售后服务：</w:t>
      </w:r>
    </w:p>
    <w:p w14:paraId="2FDF2FD0">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维护期：系统为7*24小时运行，</w:t>
      </w:r>
      <w:r>
        <w:rPr>
          <w:rFonts w:hint="eastAsia" w:ascii="宋体" w:hAnsi="宋体" w:cs="宋体"/>
          <w:szCs w:val="21"/>
          <w:lang w:eastAsia="zh-CN"/>
        </w:rPr>
        <w:t>供应商</w:t>
      </w:r>
      <w:r>
        <w:rPr>
          <w:rFonts w:hint="eastAsia" w:ascii="宋体" w:hAnsi="宋体" w:cs="宋体"/>
          <w:szCs w:val="21"/>
        </w:rPr>
        <w:t>在合同有效期内保障系统稳定正常使用，并提供附件所述的维护服务，如遇不可抗因素包括但不限于地震等自然灾害，战争，</w:t>
      </w:r>
      <w:r>
        <w:rPr>
          <w:rFonts w:hint="eastAsia" w:ascii="宋体" w:hAnsi="宋体" w:cs="宋体"/>
          <w:szCs w:val="21"/>
          <w:lang w:eastAsia="zh-CN"/>
        </w:rPr>
        <w:t>不可抗力</w:t>
      </w:r>
      <w:r>
        <w:rPr>
          <w:rFonts w:hint="eastAsia" w:ascii="宋体" w:hAnsi="宋体" w:cs="宋体"/>
          <w:szCs w:val="21"/>
        </w:rPr>
        <w:t>及第三方断网导致系统无法访问，</w:t>
      </w:r>
      <w:r>
        <w:rPr>
          <w:rFonts w:hint="eastAsia" w:ascii="宋体" w:hAnsi="宋体" w:cs="宋体"/>
          <w:szCs w:val="21"/>
          <w:lang w:eastAsia="zh-CN"/>
        </w:rPr>
        <w:t>供应商</w:t>
      </w:r>
      <w:r>
        <w:rPr>
          <w:rFonts w:hint="eastAsia" w:ascii="宋体" w:hAnsi="宋体" w:cs="宋体"/>
          <w:szCs w:val="21"/>
        </w:rPr>
        <w:t>不承担赔偿责任</w:t>
      </w:r>
      <w:r>
        <w:rPr>
          <w:rFonts w:hint="eastAsia" w:ascii="宋体" w:hAnsi="宋体" w:cs="宋体"/>
          <w:szCs w:val="21"/>
          <w:lang w:eastAsia="zh-CN"/>
        </w:rPr>
        <w:t>。</w:t>
      </w:r>
    </w:p>
    <w:p w14:paraId="420C474C">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合同有效期内</w:t>
      </w:r>
      <w:r>
        <w:rPr>
          <w:rFonts w:hint="eastAsia" w:ascii="宋体" w:hAnsi="宋体" w:cs="宋体"/>
          <w:szCs w:val="21"/>
          <w:lang w:eastAsia="zh-CN"/>
        </w:rPr>
        <w:t>供应商</w:t>
      </w:r>
      <w:r>
        <w:rPr>
          <w:rFonts w:hint="eastAsia" w:ascii="宋体" w:hAnsi="宋体" w:cs="宋体"/>
          <w:sz w:val="21"/>
          <w:szCs w:val="21"/>
          <w:lang w:eastAsia="zh-CN"/>
        </w:rPr>
        <w:t>无条件</w:t>
      </w:r>
      <w:r>
        <w:rPr>
          <w:rFonts w:hint="eastAsia" w:ascii="宋体" w:hAnsi="宋体" w:cs="宋体"/>
          <w:szCs w:val="21"/>
        </w:rPr>
        <w:t>提供系统常规功能新版本升级、系统插件的升级服务。</w:t>
      </w:r>
    </w:p>
    <w:p w14:paraId="4A35C4AE">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在正常工作时间内(9:00-18:00)，由公司客户服务组负责受理客户的服务请求，并对服务支持请求进行分类，包括培训、故障处理、系统维护与升级、技术支持与咨询等。按照不同的服务支持类别，安排相应的服务支持方式（如电话、现场支持、电子邮件、远程网络、传真等），服务完成后会进行存档和跟踪。</w:t>
      </w:r>
    </w:p>
    <w:p w14:paraId="5CF2CDBA">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bookmarkStart w:id="82" w:name="_Toc20015"/>
      <w:bookmarkStart w:id="83" w:name="_Toc47368592"/>
      <w:r>
        <w:rPr>
          <w:rFonts w:hint="eastAsia" w:ascii="宋体" w:hAnsi="宋体" w:cs="宋体"/>
          <w:szCs w:val="21"/>
        </w:rPr>
        <w:t>7.服务承诺</w:t>
      </w:r>
      <w:bookmarkEnd w:id="82"/>
      <w:bookmarkEnd w:id="83"/>
    </w:p>
    <w:p w14:paraId="3CE77589">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vertAlign w:val="baseline"/>
        </w:rPr>
      </w:pPr>
      <w:r>
        <w:rPr>
          <w:rFonts w:hint="eastAsia" w:ascii="宋体" w:hAnsi="宋体" w:cs="宋体"/>
          <w:szCs w:val="21"/>
        </w:rPr>
        <w:t>在服务有效期内，承诺提供以下服务内容：</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594"/>
        <w:gridCol w:w="3919"/>
        <w:gridCol w:w="2396"/>
      </w:tblGrid>
      <w:tr w14:paraId="67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64" w:type="dxa"/>
            <w:vAlign w:val="center"/>
          </w:tcPr>
          <w:p w14:paraId="72A781C6">
            <w:pPr>
              <w:jc w:val="center"/>
              <w:rPr>
                <w:rFonts w:hint="eastAsia" w:ascii="宋体" w:hAnsi="宋体" w:eastAsia="宋体" w:cs="宋体"/>
                <w:sz w:val="21"/>
                <w:szCs w:val="21"/>
                <w:vertAlign w:val="baseline"/>
              </w:rPr>
            </w:pPr>
            <w:r>
              <w:rPr>
                <w:rFonts w:hint="eastAsia" w:ascii="宋体" w:hAnsi="宋体" w:eastAsia="宋体" w:cs="宋体"/>
                <w:b/>
                <w:sz w:val="21"/>
                <w:szCs w:val="21"/>
              </w:rPr>
              <w:t>服务类别</w:t>
            </w:r>
          </w:p>
        </w:tc>
        <w:tc>
          <w:tcPr>
            <w:tcW w:w="1594" w:type="dxa"/>
            <w:vAlign w:val="center"/>
          </w:tcPr>
          <w:p w14:paraId="53623FE5">
            <w:pPr>
              <w:jc w:val="center"/>
              <w:rPr>
                <w:rFonts w:hint="eastAsia" w:ascii="宋体" w:hAnsi="宋体" w:eastAsia="宋体" w:cs="宋体"/>
                <w:sz w:val="21"/>
                <w:szCs w:val="21"/>
                <w:vertAlign w:val="baseline"/>
              </w:rPr>
            </w:pPr>
            <w:r>
              <w:rPr>
                <w:rFonts w:hint="eastAsia" w:ascii="宋体" w:hAnsi="宋体" w:eastAsia="宋体" w:cs="宋体"/>
                <w:b/>
                <w:sz w:val="21"/>
                <w:szCs w:val="21"/>
              </w:rPr>
              <w:t>服务项目</w:t>
            </w:r>
          </w:p>
        </w:tc>
        <w:tc>
          <w:tcPr>
            <w:tcW w:w="3919" w:type="dxa"/>
            <w:vAlign w:val="center"/>
          </w:tcPr>
          <w:p w14:paraId="4E68FA9B">
            <w:pPr>
              <w:jc w:val="center"/>
              <w:rPr>
                <w:rFonts w:hint="eastAsia" w:ascii="宋体" w:hAnsi="宋体" w:eastAsia="宋体" w:cs="宋体"/>
                <w:sz w:val="21"/>
                <w:szCs w:val="21"/>
                <w:vertAlign w:val="baseline"/>
              </w:rPr>
            </w:pPr>
            <w:r>
              <w:rPr>
                <w:rFonts w:hint="eastAsia" w:ascii="宋体" w:hAnsi="宋体" w:eastAsia="宋体" w:cs="宋体"/>
                <w:b/>
                <w:sz w:val="21"/>
                <w:szCs w:val="21"/>
              </w:rPr>
              <w:t>服务内容</w:t>
            </w:r>
          </w:p>
        </w:tc>
        <w:tc>
          <w:tcPr>
            <w:tcW w:w="2396" w:type="dxa"/>
            <w:vAlign w:val="center"/>
          </w:tcPr>
          <w:p w14:paraId="6901E128">
            <w:pPr>
              <w:jc w:val="center"/>
              <w:rPr>
                <w:rFonts w:hint="eastAsia" w:ascii="宋体" w:hAnsi="宋体" w:eastAsia="宋体" w:cs="宋体"/>
                <w:sz w:val="21"/>
                <w:szCs w:val="21"/>
                <w:vertAlign w:val="baseline"/>
              </w:rPr>
            </w:pPr>
            <w:r>
              <w:rPr>
                <w:rFonts w:hint="eastAsia" w:ascii="宋体" w:hAnsi="宋体" w:eastAsia="宋体" w:cs="宋体"/>
                <w:b/>
                <w:sz w:val="21"/>
                <w:szCs w:val="21"/>
              </w:rPr>
              <w:t>服务方式</w:t>
            </w:r>
          </w:p>
        </w:tc>
      </w:tr>
      <w:tr w14:paraId="7203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4" w:type="dxa"/>
            <w:vMerge w:val="restart"/>
            <w:vAlign w:val="center"/>
          </w:tcPr>
          <w:p w14:paraId="08332635">
            <w:pPr>
              <w:keepNext w:val="0"/>
              <w:keepLines w:val="0"/>
              <w:pageBreakBefore w:val="0"/>
              <w:widowControl w:val="0"/>
              <w:tabs>
                <w:tab w:val="left" w:pos="1114"/>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rPr>
              <w:t>支持服务</w:t>
            </w:r>
          </w:p>
        </w:tc>
        <w:tc>
          <w:tcPr>
            <w:tcW w:w="1594" w:type="dxa"/>
            <w:vAlign w:val="center"/>
          </w:tcPr>
          <w:p w14:paraId="1A42FE20">
            <w:pPr>
              <w:jc w:val="center"/>
              <w:rPr>
                <w:rFonts w:hint="eastAsia" w:ascii="宋体" w:hAnsi="宋体" w:eastAsia="宋体" w:cs="宋体"/>
                <w:sz w:val="21"/>
                <w:szCs w:val="21"/>
                <w:vertAlign w:val="baseline"/>
              </w:rPr>
            </w:pPr>
            <w:r>
              <w:rPr>
                <w:rFonts w:hint="eastAsia" w:ascii="宋体" w:hAnsi="宋体" w:eastAsia="宋体" w:cs="宋体"/>
                <w:sz w:val="21"/>
                <w:szCs w:val="21"/>
              </w:rPr>
              <w:t>系统应用问题</w:t>
            </w:r>
          </w:p>
        </w:tc>
        <w:tc>
          <w:tcPr>
            <w:tcW w:w="3919" w:type="dxa"/>
            <w:vAlign w:val="center"/>
          </w:tcPr>
          <w:p w14:paraId="58E5985B">
            <w:pPr>
              <w:spacing w:line="400" w:lineRule="exact"/>
              <w:jc w:val="left"/>
              <w:rPr>
                <w:rFonts w:hint="eastAsia" w:ascii="宋体" w:hAnsi="宋体" w:eastAsia="宋体" w:cs="宋体"/>
                <w:sz w:val="21"/>
                <w:szCs w:val="21"/>
                <w:vertAlign w:val="baseline"/>
              </w:rPr>
            </w:pPr>
            <w:r>
              <w:rPr>
                <w:rFonts w:hint="eastAsia" w:ascii="宋体" w:hAnsi="宋体" w:eastAsia="宋体" w:cs="宋体"/>
                <w:sz w:val="21"/>
                <w:szCs w:val="21"/>
              </w:rPr>
              <w:t>日常使用中的系统问题(BUG)，</w:t>
            </w:r>
            <w:r>
              <w:rPr>
                <w:rFonts w:hint="eastAsia" w:ascii="宋体" w:hAnsi="宋体" w:cs="宋体"/>
                <w:szCs w:val="21"/>
                <w:lang w:eastAsia="zh-CN"/>
              </w:rPr>
              <w:t>供应商</w:t>
            </w:r>
            <w:r>
              <w:rPr>
                <w:rFonts w:hint="eastAsia" w:ascii="宋体" w:hAnsi="宋体" w:eastAsia="宋体" w:cs="宋体"/>
                <w:sz w:val="21"/>
                <w:szCs w:val="21"/>
              </w:rPr>
              <w:t>要及时解决；</w:t>
            </w:r>
          </w:p>
        </w:tc>
        <w:tc>
          <w:tcPr>
            <w:tcW w:w="2396" w:type="dxa"/>
            <w:vMerge w:val="restart"/>
            <w:vAlign w:val="center"/>
          </w:tcPr>
          <w:p w14:paraId="12A34590">
            <w:pPr>
              <w:jc w:val="left"/>
              <w:rPr>
                <w:rFonts w:hint="eastAsia" w:ascii="宋体" w:hAnsi="宋体" w:eastAsia="宋体" w:cs="宋体"/>
                <w:sz w:val="21"/>
                <w:szCs w:val="21"/>
              </w:rPr>
            </w:pPr>
            <w:r>
              <w:rPr>
                <w:rFonts w:hint="eastAsia" w:ascii="宋体" w:hAnsi="宋体" w:eastAsia="宋体" w:cs="宋体"/>
                <w:sz w:val="21"/>
                <w:szCs w:val="21"/>
              </w:rPr>
              <w:t>一、服务方式：</w:t>
            </w:r>
          </w:p>
          <w:p w14:paraId="7807F97F">
            <w:pPr>
              <w:jc w:val="left"/>
              <w:rPr>
                <w:rFonts w:hint="eastAsia" w:ascii="宋体" w:hAnsi="宋体" w:eastAsia="宋体" w:cs="宋体"/>
                <w:sz w:val="21"/>
                <w:szCs w:val="21"/>
              </w:rPr>
            </w:pPr>
            <w:r>
              <w:rPr>
                <w:rFonts w:hint="eastAsia" w:ascii="宋体" w:hAnsi="宋体" w:eastAsia="宋体" w:cs="宋体"/>
                <w:sz w:val="21"/>
                <w:szCs w:val="21"/>
              </w:rPr>
              <w:t>1.远程支持：</w:t>
            </w:r>
          </w:p>
          <w:p w14:paraId="0696E27E">
            <w:pPr>
              <w:jc w:val="left"/>
              <w:rPr>
                <w:rFonts w:hint="eastAsia" w:ascii="宋体" w:hAnsi="宋体" w:eastAsia="宋体" w:cs="宋体"/>
                <w:sz w:val="21"/>
                <w:szCs w:val="21"/>
              </w:rPr>
            </w:pPr>
            <w:r>
              <w:rPr>
                <w:rFonts w:hint="eastAsia" w:ascii="宋体" w:hAnsi="宋体" w:eastAsia="宋体" w:cs="宋体"/>
                <w:sz w:val="21"/>
                <w:szCs w:val="21"/>
              </w:rPr>
              <w:t>提供7*12小时电话、邮件支持。</w:t>
            </w:r>
          </w:p>
          <w:p w14:paraId="71875648">
            <w:pPr>
              <w:jc w:val="left"/>
              <w:rPr>
                <w:rFonts w:hint="eastAsia" w:ascii="宋体" w:hAnsi="宋体" w:eastAsia="宋体" w:cs="宋体"/>
                <w:sz w:val="21"/>
                <w:szCs w:val="21"/>
              </w:rPr>
            </w:pPr>
            <w:r>
              <w:rPr>
                <w:rFonts w:hint="eastAsia" w:ascii="宋体" w:hAnsi="宋体" w:eastAsia="宋体" w:cs="宋体"/>
                <w:sz w:val="21"/>
                <w:szCs w:val="21"/>
              </w:rPr>
              <w:t>2.现场服务：</w:t>
            </w:r>
          </w:p>
          <w:p w14:paraId="546AA1E1">
            <w:pPr>
              <w:jc w:val="left"/>
              <w:rPr>
                <w:rFonts w:hint="eastAsia" w:ascii="宋体" w:hAnsi="宋体" w:eastAsia="宋体" w:cs="宋体"/>
                <w:sz w:val="21"/>
                <w:szCs w:val="21"/>
              </w:rPr>
            </w:pPr>
            <w:r>
              <w:rPr>
                <w:rFonts w:hint="eastAsia" w:ascii="宋体" w:hAnsi="宋体" w:eastAsia="宋体" w:cs="宋体"/>
                <w:sz w:val="21"/>
                <w:szCs w:val="21"/>
              </w:rPr>
              <w:t>维护期内，程序、数据库服务器、文件服务器、中间件等故障影响系统使用，远程不能解决时，</w:t>
            </w:r>
            <w:r>
              <w:rPr>
                <w:rFonts w:hint="eastAsia" w:ascii="宋体" w:hAnsi="宋体" w:cs="宋体"/>
                <w:szCs w:val="21"/>
                <w:lang w:eastAsia="zh-CN"/>
              </w:rPr>
              <w:t>供应商</w:t>
            </w:r>
            <w:r>
              <w:rPr>
                <w:rFonts w:hint="eastAsia" w:ascii="宋体" w:hAnsi="宋体" w:eastAsia="宋体" w:cs="宋体"/>
                <w:sz w:val="21"/>
                <w:szCs w:val="21"/>
              </w:rPr>
              <w:t>需要提供现场服务。</w:t>
            </w:r>
          </w:p>
          <w:p w14:paraId="7CD48536">
            <w:pPr>
              <w:jc w:val="left"/>
              <w:rPr>
                <w:rFonts w:hint="eastAsia" w:ascii="宋体" w:hAnsi="宋体" w:eastAsia="宋体" w:cs="宋体"/>
                <w:sz w:val="21"/>
                <w:szCs w:val="21"/>
              </w:rPr>
            </w:pPr>
            <w:r>
              <w:rPr>
                <w:rFonts w:hint="eastAsia" w:ascii="宋体" w:hAnsi="宋体" w:eastAsia="宋体" w:cs="宋体"/>
                <w:sz w:val="21"/>
                <w:szCs w:val="21"/>
              </w:rPr>
              <w:t>二、服务质量</w:t>
            </w:r>
          </w:p>
          <w:p w14:paraId="56FFDF08">
            <w:pPr>
              <w:jc w:val="left"/>
              <w:rPr>
                <w:rFonts w:hint="eastAsia" w:ascii="宋体" w:hAnsi="宋体" w:eastAsia="宋体" w:cs="宋体"/>
                <w:sz w:val="21"/>
                <w:szCs w:val="21"/>
              </w:rPr>
            </w:pPr>
            <w:r>
              <w:rPr>
                <w:rFonts w:hint="eastAsia" w:ascii="宋体" w:hAnsi="宋体" w:eastAsia="宋体" w:cs="宋体"/>
                <w:sz w:val="21"/>
                <w:szCs w:val="21"/>
              </w:rPr>
              <w:t>对于系统故障4小时内响应，24小时内提出解决方案，否则需提供现场服务</w:t>
            </w:r>
          </w:p>
          <w:p w14:paraId="67BB1F13">
            <w:pPr>
              <w:jc w:val="left"/>
              <w:rPr>
                <w:rFonts w:hint="eastAsia" w:ascii="宋体" w:hAnsi="宋体" w:eastAsia="宋体" w:cs="宋体"/>
                <w:sz w:val="21"/>
                <w:szCs w:val="21"/>
                <w:vertAlign w:val="baseline"/>
              </w:rPr>
            </w:pPr>
          </w:p>
        </w:tc>
      </w:tr>
      <w:tr w14:paraId="03F6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4" w:type="dxa"/>
            <w:vMerge w:val="continue"/>
            <w:vAlign w:val="center"/>
          </w:tcPr>
          <w:p w14:paraId="79E208A4">
            <w:pPr>
              <w:keepNext w:val="0"/>
              <w:keepLines w:val="0"/>
              <w:pageBreakBefore w:val="0"/>
              <w:widowControl w:val="0"/>
              <w:tabs>
                <w:tab w:val="left" w:pos="1114"/>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594" w:type="dxa"/>
            <w:vAlign w:val="center"/>
          </w:tcPr>
          <w:p w14:paraId="7282D1C0">
            <w:pPr>
              <w:jc w:val="center"/>
              <w:rPr>
                <w:rFonts w:hint="eastAsia" w:ascii="宋体" w:hAnsi="宋体" w:eastAsia="宋体" w:cs="宋体"/>
                <w:sz w:val="21"/>
                <w:szCs w:val="21"/>
                <w:vertAlign w:val="baseline"/>
              </w:rPr>
            </w:pPr>
            <w:r>
              <w:rPr>
                <w:rFonts w:hint="eastAsia" w:ascii="宋体" w:hAnsi="宋体" w:eastAsia="宋体" w:cs="宋体"/>
                <w:sz w:val="21"/>
                <w:szCs w:val="21"/>
              </w:rPr>
              <w:t>系统巡检</w:t>
            </w:r>
          </w:p>
        </w:tc>
        <w:tc>
          <w:tcPr>
            <w:tcW w:w="3919" w:type="dxa"/>
            <w:vAlign w:val="center"/>
          </w:tcPr>
          <w:p w14:paraId="1D7B9199">
            <w:pPr>
              <w:spacing w:line="400" w:lineRule="exact"/>
              <w:jc w:val="left"/>
              <w:rPr>
                <w:rFonts w:hint="eastAsia" w:ascii="宋体" w:hAnsi="宋体" w:eastAsia="宋体" w:cs="宋体"/>
                <w:sz w:val="21"/>
                <w:szCs w:val="21"/>
              </w:rPr>
            </w:pPr>
            <w:r>
              <w:rPr>
                <w:rFonts w:hint="eastAsia" w:ascii="宋体" w:hAnsi="宋体" w:eastAsia="宋体" w:cs="宋体"/>
                <w:sz w:val="21"/>
                <w:szCs w:val="21"/>
              </w:rPr>
              <w:t>1.系统使用情况检测：如环境、部署、关键点检查是否正常；</w:t>
            </w:r>
          </w:p>
          <w:p w14:paraId="7CC98580">
            <w:pPr>
              <w:spacing w:line="400" w:lineRule="exact"/>
              <w:jc w:val="left"/>
              <w:rPr>
                <w:rFonts w:hint="eastAsia" w:ascii="宋体" w:hAnsi="宋体" w:eastAsia="宋体" w:cs="宋体"/>
                <w:sz w:val="21"/>
                <w:szCs w:val="21"/>
                <w:vertAlign w:val="baseline"/>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故障问题收集及处理：对客户所反</w:t>
            </w:r>
            <w:r>
              <w:rPr>
                <w:rFonts w:hint="eastAsia" w:ascii="宋体" w:hAnsi="宋体" w:cs="宋体"/>
                <w:sz w:val="21"/>
                <w:szCs w:val="21"/>
                <w:lang w:eastAsia="zh-CN"/>
              </w:rPr>
              <w:t>映</w:t>
            </w:r>
            <w:r>
              <w:rPr>
                <w:rFonts w:hint="eastAsia" w:ascii="宋体" w:hAnsi="宋体" w:eastAsia="宋体" w:cs="宋体"/>
                <w:sz w:val="21"/>
                <w:szCs w:val="21"/>
              </w:rPr>
              <w:t>的问题进行收集、整理。</w:t>
            </w:r>
          </w:p>
        </w:tc>
        <w:tc>
          <w:tcPr>
            <w:tcW w:w="2396" w:type="dxa"/>
            <w:vMerge w:val="continue"/>
            <w:vAlign w:val="center"/>
          </w:tcPr>
          <w:p w14:paraId="3EC65211">
            <w:pPr>
              <w:jc w:val="left"/>
              <w:rPr>
                <w:rFonts w:hint="eastAsia" w:ascii="宋体" w:hAnsi="宋体" w:eastAsia="宋体" w:cs="宋体"/>
                <w:sz w:val="21"/>
                <w:szCs w:val="21"/>
                <w:vertAlign w:val="baseline"/>
              </w:rPr>
            </w:pPr>
          </w:p>
        </w:tc>
      </w:tr>
      <w:tr w14:paraId="118A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4" w:type="dxa"/>
            <w:vMerge w:val="continue"/>
            <w:vAlign w:val="center"/>
          </w:tcPr>
          <w:p w14:paraId="1A8D1869">
            <w:pPr>
              <w:keepNext w:val="0"/>
              <w:keepLines w:val="0"/>
              <w:pageBreakBefore w:val="0"/>
              <w:widowControl w:val="0"/>
              <w:tabs>
                <w:tab w:val="left" w:pos="1114"/>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594" w:type="dxa"/>
            <w:vAlign w:val="center"/>
          </w:tcPr>
          <w:p w14:paraId="0B2551DD">
            <w:pPr>
              <w:jc w:val="center"/>
              <w:rPr>
                <w:rFonts w:hint="eastAsia" w:ascii="宋体" w:hAnsi="宋体" w:eastAsia="宋体" w:cs="宋体"/>
                <w:sz w:val="21"/>
                <w:szCs w:val="21"/>
                <w:vertAlign w:val="baseline"/>
              </w:rPr>
            </w:pPr>
            <w:r>
              <w:rPr>
                <w:rFonts w:hint="eastAsia" w:ascii="宋体" w:hAnsi="宋体" w:eastAsia="宋体" w:cs="宋体"/>
                <w:sz w:val="21"/>
                <w:szCs w:val="21"/>
              </w:rPr>
              <w:t>性能优化及数据安全</w:t>
            </w:r>
          </w:p>
        </w:tc>
        <w:tc>
          <w:tcPr>
            <w:tcW w:w="3919" w:type="dxa"/>
            <w:vAlign w:val="center"/>
          </w:tcPr>
          <w:p w14:paraId="0E078692">
            <w:pPr>
              <w:numPr>
                <w:ilvl w:val="0"/>
                <w:numId w:val="0"/>
              </w:numPr>
              <w:spacing w:line="400" w:lineRule="exact"/>
              <w:jc w:val="lef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协助进行应用程序、数据库性能优化；</w:t>
            </w:r>
          </w:p>
          <w:p w14:paraId="1B08DCF2">
            <w:pPr>
              <w:numPr>
                <w:ilvl w:val="0"/>
                <w:numId w:val="0"/>
              </w:numPr>
              <w:spacing w:line="400" w:lineRule="exact"/>
              <w:jc w:val="left"/>
              <w:rPr>
                <w:rFonts w:hint="eastAsia" w:ascii="宋体" w:hAnsi="宋体" w:eastAsia="宋体" w:cs="宋体"/>
                <w:sz w:val="21"/>
                <w:szCs w:val="21"/>
                <w:vertAlign w:val="baseline"/>
              </w:rPr>
            </w:pPr>
            <w:r>
              <w:rPr>
                <w:rFonts w:hint="eastAsia" w:ascii="宋体" w:hAnsi="宋体" w:cs="宋体"/>
                <w:sz w:val="21"/>
                <w:szCs w:val="21"/>
                <w:lang w:val="en-US" w:eastAsia="zh-CN"/>
              </w:rPr>
              <w:t>2.</w:t>
            </w:r>
            <w:r>
              <w:rPr>
                <w:rFonts w:hint="eastAsia" w:ascii="宋体" w:hAnsi="宋体" w:eastAsia="宋体" w:cs="宋体"/>
                <w:sz w:val="21"/>
                <w:szCs w:val="21"/>
              </w:rPr>
              <w:t>帮助建立安全、有效的数据备份/恢复机制，保证数据、应用程序安全。</w:t>
            </w:r>
          </w:p>
        </w:tc>
        <w:tc>
          <w:tcPr>
            <w:tcW w:w="2396" w:type="dxa"/>
            <w:vAlign w:val="center"/>
          </w:tcPr>
          <w:p w14:paraId="32505A63">
            <w:pPr>
              <w:jc w:val="left"/>
              <w:rPr>
                <w:rFonts w:hint="eastAsia" w:ascii="宋体" w:hAnsi="宋体" w:eastAsia="宋体" w:cs="宋体"/>
                <w:sz w:val="21"/>
                <w:szCs w:val="21"/>
                <w:vertAlign w:val="baseline"/>
              </w:rPr>
            </w:pPr>
          </w:p>
        </w:tc>
      </w:tr>
      <w:tr w14:paraId="129E1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4" w:type="dxa"/>
            <w:vMerge w:val="continue"/>
            <w:vAlign w:val="center"/>
          </w:tcPr>
          <w:p w14:paraId="451F42BD">
            <w:pPr>
              <w:keepNext w:val="0"/>
              <w:keepLines w:val="0"/>
              <w:pageBreakBefore w:val="0"/>
              <w:widowControl w:val="0"/>
              <w:tabs>
                <w:tab w:val="left" w:pos="1114"/>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vertAlign w:val="baseline"/>
              </w:rPr>
            </w:pPr>
          </w:p>
        </w:tc>
        <w:tc>
          <w:tcPr>
            <w:tcW w:w="1594" w:type="dxa"/>
            <w:vAlign w:val="center"/>
          </w:tcPr>
          <w:p w14:paraId="3E8AF244">
            <w:pPr>
              <w:jc w:val="center"/>
              <w:rPr>
                <w:rFonts w:hint="eastAsia" w:ascii="宋体" w:hAnsi="宋体" w:eastAsia="宋体" w:cs="宋体"/>
                <w:sz w:val="21"/>
                <w:szCs w:val="21"/>
                <w:vertAlign w:val="baseline"/>
              </w:rPr>
            </w:pPr>
            <w:r>
              <w:rPr>
                <w:rFonts w:hint="eastAsia" w:ascii="宋体" w:hAnsi="宋体" w:eastAsia="宋体" w:cs="宋体"/>
                <w:sz w:val="21"/>
                <w:szCs w:val="21"/>
              </w:rPr>
              <w:t>系统升级服务</w:t>
            </w:r>
          </w:p>
        </w:tc>
        <w:tc>
          <w:tcPr>
            <w:tcW w:w="3919" w:type="dxa"/>
            <w:vAlign w:val="center"/>
          </w:tcPr>
          <w:p w14:paraId="516D5F24">
            <w:pPr>
              <w:spacing w:line="400" w:lineRule="exact"/>
              <w:jc w:val="left"/>
              <w:rPr>
                <w:rFonts w:hint="eastAsia" w:ascii="宋体" w:hAnsi="宋体" w:eastAsia="宋体" w:cs="宋体"/>
                <w:sz w:val="21"/>
                <w:szCs w:val="21"/>
                <w:vertAlign w:val="baseline"/>
              </w:rPr>
            </w:pPr>
            <w:r>
              <w:rPr>
                <w:rFonts w:hint="eastAsia" w:ascii="宋体" w:hAnsi="宋体" w:eastAsia="宋体" w:cs="宋体"/>
                <w:sz w:val="21"/>
                <w:szCs w:val="21"/>
              </w:rPr>
              <w:t>合同有效期内，</w:t>
            </w:r>
            <w:r>
              <w:rPr>
                <w:rFonts w:hint="eastAsia" w:ascii="宋体" w:hAnsi="宋体" w:cs="宋体"/>
                <w:sz w:val="21"/>
                <w:szCs w:val="21"/>
                <w:lang w:eastAsia="zh-CN"/>
              </w:rPr>
              <w:t>无条件</w:t>
            </w:r>
            <w:r>
              <w:rPr>
                <w:rFonts w:hint="eastAsia" w:ascii="宋体" w:hAnsi="宋体" w:eastAsia="宋体" w:cs="宋体"/>
                <w:sz w:val="21"/>
                <w:szCs w:val="21"/>
              </w:rPr>
              <w:t>提供系统常规功能新版本升级、系统插件的升级服务。</w:t>
            </w:r>
          </w:p>
        </w:tc>
        <w:tc>
          <w:tcPr>
            <w:tcW w:w="2396" w:type="dxa"/>
            <w:vAlign w:val="center"/>
          </w:tcPr>
          <w:p w14:paraId="1E9CC204">
            <w:pPr>
              <w:jc w:val="left"/>
              <w:rPr>
                <w:rFonts w:hint="eastAsia" w:ascii="宋体" w:hAnsi="宋体" w:eastAsia="宋体" w:cs="宋体"/>
                <w:sz w:val="21"/>
                <w:szCs w:val="21"/>
                <w:vertAlign w:val="baseline"/>
              </w:rPr>
            </w:pPr>
          </w:p>
        </w:tc>
      </w:tr>
      <w:tr w14:paraId="7784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4" w:type="dxa"/>
            <w:vAlign w:val="center"/>
          </w:tcPr>
          <w:p w14:paraId="1BA263B8">
            <w:pPr>
              <w:jc w:val="center"/>
              <w:rPr>
                <w:rFonts w:hint="eastAsia" w:ascii="宋体" w:hAnsi="宋体" w:eastAsia="宋体" w:cs="宋体"/>
                <w:sz w:val="21"/>
                <w:szCs w:val="21"/>
                <w:vertAlign w:val="baseline"/>
              </w:rPr>
            </w:pPr>
            <w:r>
              <w:rPr>
                <w:rFonts w:hint="eastAsia" w:ascii="宋体" w:hAnsi="宋体" w:eastAsia="宋体" w:cs="宋体"/>
                <w:sz w:val="21"/>
                <w:szCs w:val="21"/>
              </w:rPr>
              <w:t>培训服务</w:t>
            </w:r>
          </w:p>
        </w:tc>
        <w:tc>
          <w:tcPr>
            <w:tcW w:w="1594" w:type="dxa"/>
            <w:vAlign w:val="center"/>
          </w:tcPr>
          <w:p w14:paraId="495F897D">
            <w:pPr>
              <w:jc w:val="center"/>
              <w:rPr>
                <w:rFonts w:hint="eastAsia" w:ascii="宋体" w:hAnsi="宋体" w:eastAsia="宋体" w:cs="宋体"/>
                <w:sz w:val="21"/>
                <w:szCs w:val="21"/>
                <w:vertAlign w:val="baseline"/>
              </w:rPr>
            </w:pPr>
            <w:r>
              <w:rPr>
                <w:rFonts w:hint="eastAsia" w:ascii="宋体" w:hAnsi="宋体" w:eastAsia="宋体" w:cs="宋体"/>
                <w:sz w:val="21"/>
                <w:szCs w:val="21"/>
              </w:rPr>
              <w:t>操作培训</w:t>
            </w:r>
          </w:p>
        </w:tc>
        <w:tc>
          <w:tcPr>
            <w:tcW w:w="3919" w:type="dxa"/>
            <w:vAlign w:val="center"/>
          </w:tcPr>
          <w:p w14:paraId="2F8405A4">
            <w:pPr>
              <w:jc w:val="left"/>
              <w:rPr>
                <w:rFonts w:hint="eastAsia" w:ascii="宋体" w:hAnsi="宋体" w:eastAsia="宋体" w:cs="宋体"/>
                <w:sz w:val="21"/>
                <w:szCs w:val="21"/>
                <w:vertAlign w:val="baseline"/>
              </w:rPr>
            </w:pPr>
            <w:r>
              <w:rPr>
                <w:rFonts w:hint="eastAsia" w:ascii="宋体" w:hAnsi="宋体" w:eastAsia="宋体" w:cs="宋体"/>
                <w:sz w:val="21"/>
                <w:szCs w:val="21"/>
              </w:rPr>
              <w:t>普通用户产品使用培训。</w:t>
            </w:r>
          </w:p>
        </w:tc>
        <w:tc>
          <w:tcPr>
            <w:tcW w:w="2396" w:type="dxa"/>
            <w:vAlign w:val="center"/>
          </w:tcPr>
          <w:p w14:paraId="5CA2BE89">
            <w:pPr>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cs="宋体"/>
                <w:szCs w:val="21"/>
                <w:lang w:eastAsia="zh-CN"/>
              </w:rPr>
              <w:t>供应商</w:t>
            </w:r>
            <w:r>
              <w:rPr>
                <w:rFonts w:hint="eastAsia" w:ascii="宋体" w:hAnsi="宋体" w:eastAsia="宋体" w:cs="宋体"/>
                <w:sz w:val="21"/>
                <w:szCs w:val="21"/>
              </w:rPr>
              <w:t>提供1次远程操作培训，通常需提前3个工作日预约；</w:t>
            </w:r>
          </w:p>
          <w:p w14:paraId="5E0325F5">
            <w:pPr>
              <w:jc w:val="left"/>
              <w:rPr>
                <w:rFonts w:hint="eastAsia" w:ascii="宋体" w:hAnsi="宋体" w:eastAsia="宋体" w:cs="宋体"/>
                <w:sz w:val="21"/>
                <w:szCs w:val="21"/>
                <w:vertAlign w:val="baseline"/>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合同金额10万以上大客户可提供1次现场操作培训</w:t>
            </w:r>
          </w:p>
        </w:tc>
      </w:tr>
      <w:tr w14:paraId="6E99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4" w:type="dxa"/>
            <w:vAlign w:val="center"/>
          </w:tcPr>
          <w:p w14:paraId="29B2039B">
            <w:pPr>
              <w:jc w:val="center"/>
              <w:rPr>
                <w:rFonts w:hint="eastAsia" w:ascii="宋体" w:hAnsi="宋体" w:eastAsia="宋体" w:cs="宋体"/>
                <w:sz w:val="21"/>
                <w:szCs w:val="21"/>
                <w:vertAlign w:val="baseline"/>
              </w:rPr>
            </w:pPr>
            <w:r>
              <w:rPr>
                <w:rFonts w:hint="eastAsia" w:ascii="宋体" w:hAnsi="宋体" w:eastAsia="宋体" w:cs="宋体"/>
                <w:sz w:val="21"/>
                <w:szCs w:val="21"/>
              </w:rPr>
              <w:t>客户关怀</w:t>
            </w:r>
          </w:p>
        </w:tc>
        <w:tc>
          <w:tcPr>
            <w:tcW w:w="1594" w:type="dxa"/>
            <w:vAlign w:val="center"/>
          </w:tcPr>
          <w:p w14:paraId="0F1685F4">
            <w:pPr>
              <w:jc w:val="center"/>
              <w:rPr>
                <w:rFonts w:hint="eastAsia" w:ascii="宋体" w:hAnsi="宋体" w:eastAsia="宋体" w:cs="宋体"/>
                <w:sz w:val="21"/>
                <w:szCs w:val="21"/>
                <w:vertAlign w:val="baseline"/>
              </w:rPr>
            </w:pPr>
            <w:r>
              <w:rPr>
                <w:rFonts w:hint="eastAsia" w:ascii="宋体" w:hAnsi="宋体" w:eastAsia="宋体" w:cs="宋体"/>
                <w:sz w:val="21"/>
                <w:szCs w:val="21"/>
              </w:rPr>
              <w:t>电话回访</w:t>
            </w:r>
          </w:p>
        </w:tc>
        <w:tc>
          <w:tcPr>
            <w:tcW w:w="3919" w:type="dxa"/>
            <w:vAlign w:val="center"/>
          </w:tcPr>
          <w:p w14:paraId="5040C55E">
            <w:pPr>
              <w:jc w:val="left"/>
              <w:rPr>
                <w:rFonts w:hint="eastAsia" w:ascii="宋体" w:hAnsi="宋体" w:eastAsia="宋体" w:cs="宋体"/>
                <w:sz w:val="21"/>
                <w:szCs w:val="21"/>
                <w:vertAlign w:val="baseline"/>
              </w:rPr>
            </w:pPr>
            <w:r>
              <w:rPr>
                <w:rFonts w:hint="eastAsia" w:ascii="宋体" w:hAnsi="宋体" w:eastAsia="宋体" w:cs="宋体"/>
                <w:sz w:val="21"/>
                <w:szCs w:val="21"/>
              </w:rPr>
              <w:t>定期电话回访，了解问题。</w:t>
            </w:r>
          </w:p>
        </w:tc>
        <w:tc>
          <w:tcPr>
            <w:tcW w:w="2396" w:type="dxa"/>
            <w:vAlign w:val="center"/>
          </w:tcPr>
          <w:p w14:paraId="45865A2C">
            <w:pPr>
              <w:jc w:val="center"/>
              <w:rPr>
                <w:rFonts w:hint="eastAsia" w:ascii="宋体" w:hAnsi="宋体" w:eastAsia="宋体" w:cs="宋体"/>
                <w:sz w:val="21"/>
                <w:szCs w:val="21"/>
                <w:vertAlign w:val="baseline"/>
              </w:rPr>
            </w:pPr>
          </w:p>
        </w:tc>
      </w:tr>
    </w:tbl>
    <w:p w14:paraId="64D37D9F">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szCs w:val="21"/>
        </w:rPr>
      </w:pPr>
      <w:r>
        <w:rPr>
          <w:rFonts w:hint="eastAsia" w:ascii="宋体" w:hAnsi="宋体" w:cs="宋体"/>
          <w:szCs w:val="21"/>
        </w:rPr>
        <w:t>8.服务期内，为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23E054B0">
      <w:pPr>
        <w:keepNext w:val="0"/>
        <w:keepLines w:val="0"/>
        <w:pageBreakBefore w:val="0"/>
        <w:widowControl w:val="0"/>
        <w:tabs>
          <w:tab w:val="left" w:pos="1114"/>
        </w:tabs>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rPr>
        <w:t>9.</w:t>
      </w:r>
      <w:r>
        <w:rPr>
          <w:rFonts w:hint="eastAsia" w:ascii="宋体" w:hAnsi="宋体" w:cs="宋体"/>
          <w:szCs w:val="21"/>
          <w:lang w:eastAsia="zh-CN"/>
        </w:rPr>
        <w:t>服务期限</w:t>
      </w:r>
      <w:r>
        <w:rPr>
          <w:rFonts w:hint="eastAsia" w:ascii="宋体" w:hAnsi="宋体" w:cs="宋体"/>
          <w:szCs w:val="21"/>
        </w:rPr>
        <w:t>：2025</w:t>
      </w:r>
      <w:r>
        <w:rPr>
          <w:rFonts w:hint="eastAsia" w:ascii="宋体" w:hAnsi="宋体" w:cs="宋体"/>
          <w:szCs w:val="21"/>
          <w:lang w:eastAsia="zh-CN"/>
        </w:rPr>
        <w:t>年</w:t>
      </w:r>
      <w:r>
        <w:rPr>
          <w:rFonts w:hint="eastAsia" w:ascii="宋体" w:hAnsi="宋体" w:cs="宋体"/>
          <w:szCs w:val="21"/>
        </w:rPr>
        <w:t>12</w:t>
      </w:r>
      <w:r>
        <w:rPr>
          <w:rFonts w:hint="eastAsia" w:ascii="宋体" w:hAnsi="宋体" w:cs="宋体"/>
          <w:szCs w:val="21"/>
          <w:lang w:eastAsia="zh-CN"/>
        </w:rPr>
        <w:t>月</w:t>
      </w:r>
      <w:r>
        <w:rPr>
          <w:rFonts w:hint="eastAsia" w:ascii="宋体" w:hAnsi="宋体" w:cs="宋体"/>
          <w:szCs w:val="21"/>
        </w:rPr>
        <w:t>1</w:t>
      </w:r>
      <w:r>
        <w:rPr>
          <w:rFonts w:hint="eastAsia" w:ascii="宋体" w:hAnsi="宋体" w:cs="宋体"/>
          <w:szCs w:val="21"/>
          <w:lang w:eastAsia="zh-CN"/>
        </w:rPr>
        <w:t>日至</w:t>
      </w:r>
      <w:r>
        <w:rPr>
          <w:rFonts w:hint="eastAsia" w:ascii="宋体" w:hAnsi="宋体" w:cs="宋体"/>
          <w:szCs w:val="21"/>
        </w:rPr>
        <w:t>2026</w:t>
      </w:r>
      <w:r>
        <w:rPr>
          <w:rFonts w:hint="eastAsia" w:ascii="宋体" w:hAnsi="宋体" w:cs="宋体"/>
          <w:szCs w:val="21"/>
          <w:lang w:eastAsia="zh-CN"/>
        </w:rPr>
        <w:t>年</w:t>
      </w:r>
      <w:r>
        <w:rPr>
          <w:rFonts w:hint="eastAsia" w:ascii="宋体" w:hAnsi="宋体" w:cs="宋体"/>
          <w:szCs w:val="21"/>
        </w:rPr>
        <w:t>11</w:t>
      </w:r>
      <w:r>
        <w:rPr>
          <w:rFonts w:hint="eastAsia" w:ascii="宋体" w:hAnsi="宋体" w:cs="宋体"/>
          <w:szCs w:val="21"/>
          <w:lang w:eastAsia="zh-CN"/>
        </w:rPr>
        <w:t>月</w:t>
      </w:r>
      <w:r>
        <w:rPr>
          <w:rFonts w:hint="eastAsia" w:ascii="宋体" w:hAnsi="宋体" w:cs="宋体"/>
          <w:szCs w:val="21"/>
        </w:rPr>
        <w:t>30</w:t>
      </w:r>
      <w:r>
        <w:rPr>
          <w:rFonts w:hint="eastAsia" w:ascii="宋体" w:hAnsi="宋体" w:cs="宋体"/>
          <w:szCs w:val="21"/>
          <w:lang w:eastAsia="zh-CN"/>
        </w:rPr>
        <w:t>日。</w:t>
      </w:r>
    </w:p>
    <w:p w14:paraId="289BBC24">
      <w:pPr>
        <w:rPr>
          <w:rFonts w:ascii="宋体" w:hAnsi="宋体" w:cs="宋体"/>
          <w:b/>
          <w:szCs w:val="21"/>
        </w:rPr>
      </w:pPr>
      <w:r>
        <w:rPr>
          <w:rFonts w:hint="eastAsia" w:ascii="宋体" w:hAnsi="宋体" w:cs="宋体"/>
          <w:b/>
          <w:szCs w:val="21"/>
        </w:rPr>
        <w:br w:type="page"/>
      </w:r>
    </w:p>
    <w:p w14:paraId="2F02759B">
      <w:pPr>
        <w:spacing w:line="400" w:lineRule="exact"/>
        <w:ind w:firstLine="422" w:firstLineChars="200"/>
        <w:rPr>
          <w:rFonts w:ascii="宋体" w:hAnsi="宋体" w:cs="宋体"/>
          <w:b/>
          <w:szCs w:val="21"/>
        </w:rPr>
      </w:pPr>
      <w:r>
        <w:rPr>
          <w:rFonts w:hint="eastAsia" w:ascii="宋体" w:hAnsi="宋体" w:cs="宋体"/>
          <w:b/>
          <w:szCs w:val="21"/>
        </w:rPr>
        <w:t>标项三十一（新东方多媒体学习库）：</w:t>
      </w:r>
    </w:p>
    <w:p w14:paraId="664B20F5">
      <w:pPr>
        <w:numPr>
          <w:ilvl w:val="255"/>
          <w:numId w:val="0"/>
        </w:numPr>
        <w:spacing w:line="400" w:lineRule="exact"/>
        <w:ind w:firstLine="420" w:firstLineChars="200"/>
        <w:rPr>
          <w:rFonts w:ascii="宋体" w:hAnsi="宋体" w:cs="宋体"/>
          <w:szCs w:val="21"/>
        </w:rPr>
      </w:pPr>
      <w:r>
        <w:rPr>
          <w:rFonts w:hint="eastAsia" w:ascii="宋体" w:hAnsi="宋体" w:cs="宋体"/>
          <w:szCs w:val="21"/>
        </w:rPr>
        <w:t>1.技术参数：</w:t>
      </w:r>
    </w:p>
    <w:p w14:paraId="25E3B1CA">
      <w:pPr>
        <w:numPr>
          <w:ilvl w:val="255"/>
          <w:numId w:val="0"/>
        </w:numPr>
        <w:spacing w:line="400" w:lineRule="exact"/>
        <w:ind w:firstLine="420" w:firstLineChars="200"/>
        <w:rPr>
          <w:rFonts w:ascii="宋体" w:hAnsi="宋体" w:cs="宋体"/>
          <w:szCs w:val="21"/>
        </w:rPr>
      </w:pPr>
      <w:r>
        <w:rPr>
          <w:rFonts w:hint="eastAsia" w:ascii="宋体" w:hAnsi="宋体" w:cs="宋体"/>
          <w:szCs w:val="21"/>
        </w:rPr>
        <w:t>1.1数据库通过IP段远程访问，并在IP地址段发生变化时应及时予以调整，校园网内师生可以不限次数使用资源。</w:t>
      </w:r>
    </w:p>
    <w:p w14:paraId="1D60876C">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1.2课程内容为原创资源，以最大程度保证使用者的权益</w:t>
      </w:r>
      <w:r>
        <w:rPr>
          <w:rFonts w:hint="eastAsia" w:ascii="宋体" w:hAnsi="宋体" w:cs="宋体"/>
          <w:szCs w:val="21"/>
          <w:lang w:eastAsia="zh-CN"/>
        </w:rPr>
        <w:t>。</w:t>
      </w:r>
    </w:p>
    <w:p w14:paraId="128198E6">
      <w:pPr>
        <w:numPr>
          <w:ilvl w:val="255"/>
          <w:numId w:val="0"/>
        </w:numPr>
        <w:spacing w:line="400" w:lineRule="exact"/>
        <w:ind w:firstLine="420" w:firstLineChars="200"/>
        <w:rPr>
          <w:rFonts w:ascii="宋体" w:hAnsi="宋体" w:cs="宋体"/>
          <w:szCs w:val="21"/>
        </w:rPr>
      </w:pPr>
      <w:r>
        <w:rPr>
          <w:rFonts w:hint="eastAsia" w:ascii="宋体" w:hAnsi="宋体" w:cs="宋体"/>
          <w:szCs w:val="21"/>
        </w:rPr>
        <w:t>1.3支持读者注册个人</w:t>
      </w:r>
      <w:r>
        <w:rPr>
          <w:rFonts w:hint="eastAsia" w:ascii="宋体" w:hAnsi="宋体" w:cs="宋体"/>
          <w:szCs w:val="21"/>
          <w:lang w:eastAsia="zh-CN"/>
        </w:rPr>
        <w:t>账</w:t>
      </w:r>
      <w:r>
        <w:rPr>
          <w:rFonts w:hint="eastAsia" w:ascii="宋体" w:hAnsi="宋体" w:cs="宋体"/>
          <w:szCs w:val="21"/>
        </w:rPr>
        <w:t>户，并管理学习进度；系统能提供完备的分类浏览和检索功能。</w:t>
      </w:r>
    </w:p>
    <w:p w14:paraId="71C8352B">
      <w:pPr>
        <w:numPr>
          <w:ilvl w:val="255"/>
          <w:numId w:val="0"/>
        </w:numPr>
        <w:spacing w:line="400" w:lineRule="exact"/>
        <w:ind w:firstLine="420" w:firstLineChars="200"/>
        <w:rPr>
          <w:rFonts w:ascii="宋体" w:hAnsi="宋体" w:cs="宋体"/>
          <w:szCs w:val="21"/>
        </w:rPr>
      </w:pPr>
      <w:r>
        <w:rPr>
          <w:rFonts w:hint="eastAsia" w:ascii="宋体" w:hAnsi="宋体" w:eastAsia="宋体" w:cs="宋体"/>
          <w:lang w:eastAsia="zh-CN"/>
        </w:rPr>
        <w:t>★</w:t>
      </w:r>
      <w:r>
        <w:rPr>
          <w:rFonts w:hint="eastAsia" w:ascii="宋体" w:hAnsi="宋体" w:cs="宋体"/>
          <w:szCs w:val="21"/>
        </w:rPr>
        <w:t>1.4平台必须提供校外访问解决方案，保证学生在校园以外也可以无障碍地学习所有课程。</w:t>
      </w:r>
    </w:p>
    <w:p w14:paraId="1F577218">
      <w:pPr>
        <w:numPr>
          <w:ilvl w:val="255"/>
          <w:numId w:val="0"/>
        </w:numPr>
        <w:spacing w:line="400" w:lineRule="exact"/>
        <w:ind w:firstLine="420" w:firstLineChars="200"/>
        <w:rPr>
          <w:rFonts w:ascii="宋体" w:hAnsi="宋体" w:cs="宋体"/>
          <w:szCs w:val="21"/>
        </w:rPr>
      </w:pPr>
      <w:r>
        <w:rPr>
          <w:rFonts w:hint="eastAsia" w:ascii="宋体" w:hAnsi="宋体" w:cs="宋体"/>
          <w:szCs w:val="21"/>
        </w:rPr>
        <w:t>1.5视频要求为：视频亮度对比度合适，不能出现逆光，光线过强或过暗，画面构图合理，画面稳定清晰，课堂拍摄，画面紧跟随老师和焦点；无内容残缺和马赛克之类视频损伤。</w:t>
      </w:r>
    </w:p>
    <w:p w14:paraId="0ED32205">
      <w:pPr>
        <w:numPr>
          <w:ilvl w:val="255"/>
          <w:numId w:val="0"/>
        </w:numPr>
        <w:spacing w:line="400" w:lineRule="exact"/>
        <w:ind w:firstLine="420" w:firstLineChars="200"/>
        <w:rPr>
          <w:rFonts w:ascii="宋体" w:hAnsi="宋体" w:cs="宋体"/>
          <w:szCs w:val="21"/>
        </w:rPr>
      </w:pPr>
      <w:r>
        <w:rPr>
          <w:rFonts w:hint="eastAsia" w:ascii="宋体" w:hAnsi="宋体" w:cs="宋体"/>
          <w:szCs w:val="21"/>
        </w:rPr>
        <w:t>1.6平台包含课程、考试、资讯、直播及AI作文批改五大板块；课程内容采用视频制作，清晰详细的</w:t>
      </w:r>
      <w:r>
        <w:rPr>
          <w:rFonts w:hint="eastAsia" w:ascii="宋体" w:hAnsi="宋体" w:cs="宋体"/>
          <w:szCs w:val="21"/>
          <w:lang w:eastAsia="zh-CN"/>
        </w:rPr>
        <w:t>板</w:t>
      </w:r>
      <w:r>
        <w:rPr>
          <w:rFonts w:hint="eastAsia" w:ascii="宋体" w:hAnsi="宋体" w:cs="宋体"/>
          <w:szCs w:val="21"/>
        </w:rPr>
        <w:t>书，听课进度自行调节，支持网络访问并保持</w:t>
      </w:r>
      <w:r>
        <w:rPr>
          <w:rFonts w:hint="eastAsia" w:ascii="宋体" w:hAnsi="宋体" w:cs="宋体"/>
          <w:szCs w:val="21"/>
          <w:lang w:eastAsia="zh-CN"/>
        </w:rPr>
        <w:t>实时</w:t>
      </w:r>
      <w:r>
        <w:rPr>
          <w:rFonts w:hint="eastAsia" w:ascii="宋体" w:hAnsi="宋体" w:cs="宋体"/>
          <w:szCs w:val="21"/>
        </w:rPr>
        <w:t>更新。本期采购课程资源包含：大学英语四级、大学英语六级、考研（考研规划指导、考研英语、考研政治、考研数学）、出国留学（托福、雅思、GRE、GMAT）。</w:t>
      </w:r>
    </w:p>
    <w:p w14:paraId="6092A878">
      <w:pPr>
        <w:numPr>
          <w:ilvl w:val="255"/>
          <w:numId w:val="0"/>
        </w:numPr>
        <w:spacing w:line="400" w:lineRule="exact"/>
        <w:ind w:firstLine="420" w:firstLineChars="200"/>
        <w:rPr>
          <w:rFonts w:ascii="宋体" w:hAnsi="宋体" w:cs="宋体"/>
          <w:szCs w:val="21"/>
        </w:rPr>
      </w:pPr>
      <w:r>
        <w:rPr>
          <w:rFonts w:hint="eastAsia" w:ascii="宋体" w:hAnsi="宋体" w:cs="宋体"/>
          <w:szCs w:val="21"/>
        </w:rPr>
        <w:t>1.7拥有便捷高效的服务管理平台，如提供</w:t>
      </w:r>
      <w:r>
        <w:rPr>
          <w:rFonts w:hint="eastAsia" w:ascii="宋体" w:hAnsi="宋体" w:cs="宋体"/>
          <w:sz w:val="21"/>
          <w:szCs w:val="21"/>
          <w:lang w:eastAsia="zh-CN"/>
        </w:rPr>
        <w:t>无条件</w:t>
      </w:r>
      <w:r>
        <w:rPr>
          <w:rFonts w:hint="eastAsia" w:ascii="宋体" w:hAnsi="宋体" w:cs="宋体"/>
          <w:szCs w:val="21"/>
        </w:rPr>
        <w:t>在线练习、模拟考试、直播互动等功能并且提供远程访问，动态更新，管理平台中同时还包含大量考试资讯内容。</w:t>
      </w:r>
    </w:p>
    <w:p w14:paraId="7ACF1219">
      <w:pPr>
        <w:numPr>
          <w:ilvl w:val="255"/>
          <w:numId w:val="0"/>
        </w:numPr>
        <w:spacing w:line="400" w:lineRule="exact"/>
        <w:ind w:firstLine="420" w:firstLineChars="200"/>
        <w:rPr>
          <w:rFonts w:ascii="宋体" w:hAnsi="宋体" w:cs="宋体"/>
          <w:szCs w:val="21"/>
        </w:rPr>
      </w:pPr>
      <w:r>
        <w:rPr>
          <w:rFonts w:hint="eastAsia" w:ascii="宋体" w:hAnsi="宋体" w:cs="宋体"/>
          <w:szCs w:val="21"/>
        </w:rPr>
        <w:t>1.8服务方式：因特网上访问，学校IP范围内开放，无并发用户数限制。</w:t>
      </w:r>
    </w:p>
    <w:p w14:paraId="4485427E">
      <w:pPr>
        <w:numPr>
          <w:ilvl w:val="255"/>
          <w:numId w:val="0"/>
        </w:numPr>
        <w:spacing w:line="400" w:lineRule="exact"/>
        <w:ind w:firstLine="420" w:firstLineChars="200"/>
        <w:rPr>
          <w:rFonts w:ascii="宋体" w:hAnsi="宋体" w:cs="宋体"/>
          <w:szCs w:val="21"/>
        </w:rPr>
      </w:pPr>
      <w:r>
        <w:rPr>
          <w:rFonts w:hint="eastAsia" w:ascii="宋体" w:hAnsi="宋体" w:cs="宋体"/>
          <w:szCs w:val="21"/>
        </w:rPr>
        <w:t>1.9安装、调试与培训要求：网络远程提供服务。合同期内根据采购方的要求安排培训、宣传等活动。</w:t>
      </w:r>
    </w:p>
    <w:p w14:paraId="7714D72C">
      <w:pPr>
        <w:numPr>
          <w:ilvl w:val="255"/>
          <w:numId w:val="0"/>
        </w:numPr>
        <w:spacing w:line="400" w:lineRule="exact"/>
        <w:ind w:firstLine="420" w:firstLineChars="200"/>
        <w:rPr>
          <w:rFonts w:ascii="宋体" w:hAnsi="宋体" w:cs="宋体"/>
          <w:szCs w:val="21"/>
        </w:rPr>
      </w:pPr>
      <w:r>
        <w:rPr>
          <w:rFonts w:hint="eastAsia" w:ascii="宋体" w:hAnsi="宋体" w:cs="宋体"/>
          <w:szCs w:val="21"/>
        </w:rPr>
        <w:t>2.服务参数：</w:t>
      </w:r>
    </w:p>
    <w:p w14:paraId="39BE22E8">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2.1供应商应对数字资源内容及其版权承担责任，采购方对所购产品拥有相应的使用权利（以合同约定为准）。由版权问题产生的一切后果由供应商全权承担</w:t>
      </w:r>
      <w:r>
        <w:rPr>
          <w:rFonts w:hint="eastAsia" w:ascii="宋体" w:hAnsi="宋体" w:cs="宋体"/>
          <w:szCs w:val="21"/>
          <w:lang w:eastAsia="zh-CN"/>
        </w:rPr>
        <w:t>。</w:t>
      </w:r>
    </w:p>
    <w:p w14:paraId="769BB2DB">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2.2供应商须定期回访，了解采购方使用情况并解答疑难问题，负责</w:t>
      </w:r>
      <w:r>
        <w:rPr>
          <w:rFonts w:hint="eastAsia" w:ascii="宋体" w:hAnsi="宋体" w:cs="宋体"/>
          <w:sz w:val="21"/>
          <w:szCs w:val="21"/>
          <w:lang w:eastAsia="zh-CN"/>
        </w:rPr>
        <w:t>无条件</w:t>
      </w:r>
      <w:r>
        <w:rPr>
          <w:rFonts w:hint="eastAsia" w:ascii="宋体" w:hAnsi="宋体" w:cs="宋体"/>
          <w:szCs w:val="21"/>
        </w:rPr>
        <w:t>维护以确保数据库产品的正常使用，并定期提供数据库使用统计</w:t>
      </w:r>
      <w:r>
        <w:rPr>
          <w:rFonts w:hint="eastAsia" w:ascii="宋体" w:hAnsi="宋体" w:cs="宋体"/>
          <w:szCs w:val="21"/>
          <w:lang w:eastAsia="zh-CN"/>
        </w:rPr>
        <w:t>。</w:t>
      </w:r>
    </w:p>
    <w:p w14:paraId="299A42CC">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2.3</w:t>
      </w:r>
      <w:r>
        <w:rPr>
          <w:rFonts w:hint="eastAsia" w:ascii="宋体" w:hAnsi="宋体" w:cs="宋体"/>
          <w:szCs w:val="21"/>
          <w:lang w:eastAsia="zh-CN"/>
        </w:rPr>
        <w:t>供应商负责向采购人提供网络、电话及EMAIL支持服务，响应时间不超过1小时，以保证数据库产品的正常使用；若远程支持无法解决问题的，供应商须承诺24小时内上门服务，3天内解决。</w:t>
      </w:r>
    </w:p>
    <w:p w14:paraId="1A83EA3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2.4在使用过程中因数据库系统本身原因导致的异常和错误，供应商须提供</w:t>
      </w:r>
      <w:r>
        <w:rPr>
          <w:rFonts w:hint="eastAsia" w:ascii="宋体" w:hAnsi="宋体" w:cs="宋体"/>
          <w:sz w:val="21"/>
          <w:szCs w:val="21"/>
          <w:lang w:eastAsia="zh-CN"/>
        </w:rPr>
        <w:t>无条件</w:t>
      </w:r>
      <w:r>
        <w:rPr>
          <w:rFonts w:hint="eastAsia" w:ascii="宋体" w:hAnsi="宋体" w:cs="宋体"/>
          <w:szCs w:val="21"/>
        </w:rPr>
        <w:t>修正和维护。因非系统原因造成的异常与错误，供应商须根据情况尽可能地为采购方提供帮助</w:t>
      </w:r>
      <w:r>
        <w:rPr>
          <w:rFonts w:hint="eastAsia" w:ascii="宋体" w:hAnsi="宋体" w:cs="宋体"/>
          <w:szCs w:val="21"/>
          <w:lang w:eastAsia="zh-CN"/>
        </w:rPr>
        <w:t>。</w:t>
      </w:r>
    </w:p>
    <w:p w14:paraId="07AF7D2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2.5供应商应保障采购方所购数据库产品在使用期内的完整性，供应商未经采购方许可，不得擅自改变采购方所购数据的服务模式</w:t>
      </w:r>
      <w:r>
        <w:rPr>
          <w:rFonts w:hint="eastAsia" w:ascii="宋体" w:hAnsi="宋体" w:cs="宋体"/>
          <w:szCs w:val="21"/>
          <w:lang w:eastAsia="zh-CN"/>
        </w:rPr>
        <w:t>。</w:t>
      </w:r>
    </w:p>
    <w:p w14:paraId="2E3BFB08">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2.6供应商须定时向采购方通报数据库产品开发进展情况、宣传计划和资料，供应商应按采购方需要提供数据库资源目录</w:t>
      </w:r>
      <w:r>
        <w:rPr>
          <w:rFonts w:hint="eastAsia" w:ascii="宋体" w:hAnsi="宋体" w:cs="宋体"/>
          <w:szCs w:val="21"/>
          <w:lang w:eastAsia="zh-CN"/>
        </w:rPr>
        <w:t>。</w:t>
      </w:r>
    </w:p>
    <w:p w14:paraId="4E62353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2.7服务期内，为采购方</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r>
        <w:rPr>
          <w:rFonts w:hint="eastAsia" w:ascii="宋体" w:hAnsi="宋体" w:cs="宋体"/>
          <w:szCs w:val="21"/>
          <w:lang w:eastAsia="zh-CN"/>
        </w:rPr>
        <w:t>。</w:t>
      </w:r>
    </w:p>
    <w:p w14:paraId="348FC6FC">
      <w:pPr>
        <w:numPr>
          <w:ilvl w:val="255"/>
          <w:numId w:val="0"/>
        </w:numPr>
        <w:spacing w:line="400" w:lineRule="exact"/>
        <w:ind w:firstLine="420" w:firstLineChars="200"/>
        <w:rPr>
          <w:rFonts w:ascii="宋体" w:hAnsi="宋体" w:cs="宋体"/>
          <w:szCs w:val="21"/>
        </w:rPr>
      </w:pPr>
      <w:r>
        <w:rPr>
          <w:rFonts w:hint="eastAsia" w:ascii="宋体" w:hAnsi="宋体" w:cs="宋体"/>
          <w:szCs w:val="21"/>
        </w:rPr>
        <w:t>2.8针对实际操作过程中出现的问题和分歧，或其他未尽事宜，按采购方要求协商解决。</w:t>
      </w:r>
    </w:p>
    <w:p w14:paraId="3EC5F573">
      <w:pPr>
        <w:numPr>
          <w:ilvl w:val="255"/>
          <w:numId w:val="0"/>
        </w:numPr>
        <w:spacing w:line="400" w:lineRule="exact"/>
        <w:ind w:firstLine="420" w:firstLineChars="200"/>
        <w:rPr>
          <w:rFonts w:ascii="宋体" w:hAnsi="宋体" w:cs="宋体"/>
          <w:szCs w:val="21"/>
        </w:rPr>
      </w:pPr>
      <w:r>
        <w:rPr>
          <w:rFonts w:hint="eastAsia" w:ascii="宋体" w:hAnsi="宋体" w:cs="宋体"/>
          <w:szCs w:val="21"/>
        </w:rPr>
        <w:t>3.服务期限：2026年1月1日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3AF8D1A4">
      <w:pPr>
        <w:spacing w:line="400" w:lineRule="exact"/>
        <w:ind w:firstLine="422" w:firstLineChars="200"/>
        <w:rPr>
          <w:rFonts w:ascii="宋体" w:hAnsi="宋体" w:cs="宋体"/>
          <w:b/>
          <w:szCs w:val="21"/>
        </w:rPr>
      </w:pPr>
      <w:r>
        <w:rPr>
          <w:rFonts w:hint="eastAsia" w:ascii="宋体" w:hAnsi="宋体" w:cs="宋体"/>
          <w:b/>
          <w:szCs w:val="21"/>
        </w:rPr>
        <w:t>标项三十二（智图知识资源整合数据库）：</w:t>
      </w:r>
    </w:p>
    <w:p w14:paraId="6DA69510">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1.数据库文献数据管理</w:t>
      </w:r>
    </w:p>
    <w:p w14:paraId="2AB1776E">
      <w:pPr>
        <w:numPr>
          <w:ilvl w:val="255"/>
          <w:numId w:val="0"/>
        </w:numPr>
        <w:spacing w:line="400" w:lineRule="exact"/>
        <w:ind w:firstLine="420" w:firstLineChars="200"/>
        <w:rPr>
          <w:rFonts w:hint="eastAsia" w:ascii="宋体" w:hAnsi="宋体" w:cs="宋体"/>
          <w:szCs w:val="21"/>
        </w:rPr>
      </w:pPr>
      <w:bookmarkStart w:id="84" w:name="_Toc24790"/>
      <w:r>
        <w:rPr>
          <w:rFonts w:hint="eastAsia" w:ascii="宋体" w:hAnsi="宋体" w:eastAsia="宋体" w:cs="宋体"/>
          <w:lang w:eastAsia="zh-CN"/>
        </w:rPr>
        <w:t>★</w:t>
      </w:r>
      <w:r>
        <w:rPr>
          <w:rFonts w:hint="eastAsia" w:ascii="宋体" w:hAnsi="宋体" w:cs="宋体"/>
          <w:szCs w:val="21"/>
        </w:rPr>
        <w:t>1.1 能够对图书馆购买的图书、期刊文献、学位论文、专利、视频等类型电子文献资源的元数据以文献篇级为单位加工处理。各种渠道加工的元数据汇总后必须按照文献类型统一的字段标准存储。元数据存储字段使用DC标准，单条元数据的描述信息应不小于30个字段，包括基本的标题、副标题、外文标题、作者、作者机构、作者介绍、作者外文名、出版单位、出版时间、卷、期、封面、关键词、外文关键词、摘要、外文摘要、基金赞助、核心收录、ISSN/ISBN、EISSN/EISBN、国内出版号、分类、学科、DOI、页码、封面、语言、价格、来源、资源路径等。可以对字段的深度进行扩展，支持增加自定义的元数据描述属性。自定义的元数据属性可以显示在系统中。</w:t>
      </w:r>
      <w:bookmarkEnd w:id="84"/>
    </w:p>
    <w:p w14:paraId="753F9119">
      <w:pPr>
        <w:numPr>
          <w:ilvl w:val="255"/>
          <w:numId w:val="0"/>
        </w:numPr>
        <w:spacing w:line="400" w:lineRule="exact"/>
        <w:ind w:firstLine="420" w:firstLineChars="200"/>
        <w:rPr>
          <w:rFonts w:hint="eastAsia" w:ascii="宋体" w:hAnsi="宋体" w:cs="宋体"/>
          <w:szCs w:val="21"/>
        </w:rPr>
      </w:pPr>
      <w:bookmarkStart w:id="85" w:name="_Toc6782"/>
      <w:r>
        <w:rPr>
          <w:rFonts w:hint="eastAsia" w:ascii="宋体" w:hAnsi="宋体" w:cs="宋体"/>
          <w:szCs w:val="21"/>
        </w:rPr>
        <w:t>1.2应具备自动化定期更新元数据的能力，当来源数据库的文献数据更新后，系统需要及时</w:t>
      </w:r>
      <w:r>
        <w:rPr>
          <w:rFonts w:hint="eastAsia" w:ascii="宋体" w:hAnsi="宋体" w:cs="宋体"/>
          <w:szCs w:val="21"/>
          <w:lang w:eastAsia="zh-CN"/>
        </w:rPr>
        <w:t>地</w:t>
      </w:r>
      <w:r>
        <w:rPr>
          <w:rFonts w:hint="eastAsia" w:ascii="宋体" w:hAnsi="宋体" w:cs="宋体"/>
          <w:szCs w:val="21"/>
        </w:rPr>
        <w:t>补充加工处理新数据。补充的数据只需要新增部分，通过对指定的数据来源进行差异化比较，将新增部分的元数据自动化地更新进平台。</w:t>
      </w:r>
      <w:bookmarkEnd w:id="85"/>
    </w:p>
    <w:p w14:paraId="22AE59A1">
      <w:pPr>
        <w:numPr>
          <w:ilvl w:val="255"/>
          <w:numId w:val="0"/>
        </w:numPr>
        <w:spacing w:line="400" w:lineRule="exact"/>
        <w:ind w:firstLine="420" w:firstLineChars="200"/>
        <w:rPr>
          <w:rFonts w:hint="eastAsia" w:ascii="宋体" w:hAnsi="宋体" w:cs="宋体"/>
          <w:szCs w:val="21"/>
        </w:rPr>
      </w:pPr>
      <w:bookmarkStart w:id="86" w:name="_Toc6834"/>
      <w:r>
        <w:rPr>
          <w:rFonts w:hint="eastAsia" w:ascii="宋体" w:hAnsi="宋体" w:cs="宋体"/>
          <w:szCs w:val="21"/>
        </w:rPr>
        <w:t>1.3商业数据库的元数据更新周期应该符合要求范围，电子期刊在一周内，其他电子文献类型可根据实际更新量决定更新周期。纸本文献元数据的更新周期不高于两天，并且每2周与集成业务系统执行一次全量元数据对比，保证同步后纸本数据的完整性。元数据更新结果（含资源名称，更新元数据数量、更新时间以及更新状态），能够通过记录状态显示提醒馆员，便于及时了解数据更新内容。</w:t>
      </w:r>
      <w:bookmarkEnd w:id="86"/>
    </w:p>
    <w:p w14:paraId="15B13E8C">
      <w:pPr>
        <w:numPr>
          <w:ilvl w:val="255"/>
          <w:numId w:val="0"/>
        </w:numPr>
        <w:spacing w:line="400" w:lineRule="exact"/>
        <w:ind w:firstLine="420" w:firstLineChars="200"/>
        <w:rPr>
          <w:rFonts w:hint="eastAsia" w:ascii="宋体" w:hAnsi="宋体" w:cs="宋体"/>
          <w:szCs w:val="21"/>
        </w:rPr>
      </w:pPr>
      <w:bookmarkStart w:id="87" w:name="_Toc29759"/>
      <w:r>
        <w:rPr>
          <w:rFonts w:hint="eastAsia" w:ascii="宋体" w:hAnsi="宋体" w:eastAsia="宋体" w:cs="宋体"/>
          <w:lang w:eastAsia="zh-CN"/>
        </w:rPr>
        <w:t>★</w:t>
      </w:r>
      <w:r>
        <w:rPr>
          <w:rFonts w:hint="eastAsia" w:ascii="宋体" w:hAnsi="宋体" w:cs="宋体"/>
          <w:szCs w:val="21"/>
        </w:rPr>
        <w:t>1.4加工过程中必须对多个数据库的同一条资源元数据进行合并去重，合并依据的字段按文献类型决定（文献类型应包括第1条中列举出所有类型）。图书应该包括书名、</w:t>
      </w:r>
      <w:r>
        <w:rPr>
          <w:rFonts w:hint="eastAsia" w:ascii="宋体" w:hAnsi="宋体" w:cs="宋体"/>
          <w:szCs w:val="21"/>
          <w:lang w:val="en-US" w:eastAsia="zh-CN"/>
        </w:rPr>
        <w:t>ISBN</w:t>
      </w:r>
      <w:r>
        <w:rPr>
          <w:rFonts w:hint="eastAsia" w:ascii="宋体" w:hAnsi="宋体" w:cs="宋体"/>
          <w:szCs w:val="21"/>
        </w:rPr>
        <w:t>、出版机构、作者、出版年份等。期刊文献包括标题、作者、期刊名称、出版期号、ISSN等。学位论文包括标题、作者、发表年份、发表机构等。去重过程中应选择质量最高的字段，最终合并成质量最高的记录。保留数据库的来源信息，可以知道是由哪些数据库的记录合并而成。</w:t>
      </w:r>
      <w:bookmarkEnd w:id="87"/>
    </w:p>
    <w:p w14:paraId="4BB93828">
      <w:pPr>
        <w:numPr>
          <w:ilvl w:val="255"/>
          <w:numId w:val="0"/>
        </w:numPr>
        <w:spacing w:line="400" w:lineRule="exact"/>
        <w:ind w:firstLine="420" w:firstLineChars="200"/>
        <w:rPr>
          <w:rFonts w:hint="eastAsia" w:ascii="宋体" w:hAnsi="宋体" w:cs="宋体"/>
          <w:szCs w:val="21"/>
        </w:rPr>
      </w:pPr>
      <w:bookmarkStart w:id="88" w:name="_Toc29705"/>
      <w:r>
        <w:rPr>
          <w:rFonts w:hint="eastAsia" w:ascii="宋体" w:hAnsi="宋体" w:eastAsia="宋体" w:cs="宋体"/>
          <w:lang w:eastAsia="zh-CN"/>
        </w:rPr>
        <w:t>★</w:t>
      </w:r>
      <w:r>
        <w:rPr>
          <w:rFonts w:hint="eastAsia" w:ascii="宋体" w:hAnsi="宋体" w:cs="宋体"/>
          <w:szCs w:val="21"/>
        </w:rPr>
        <w:t>1.5加工整合好的元数据必须提供管理系统，实现文献元数据管理，粒度细化到篇级。文献管理的类型包括图书、期刊、学位论文、多媒体资源等。元数据的管理形式包括查看、删除、修改、授权、分析。资源类型可以在管理系统中自定义扩展，并提供元数据字段的管理。系统提供基础元数据的定义，馆员可以自定义新的元数据字段，基础字段+自定义字段完成元数据的完整定义。管理系统必须提供对完整字段的信息内容管理。</w:t>
      </w:r>
      <w:bookmarkEnd w:id="88"/>
    </w:p>
    <w:p w14:paraId="1BAC3252">
      <w:pPr>
        <w:numPr>
          <w:ilvl w:val="255"/>
          <w:numId w:val="0"/>
        </w:numPr>
        <w:spacing w:line="400" w:lineRule="exact"/>
        <w:ind w:firstLine="420" w:firstLineChars="200"/>
        <w:rPr>
          <w:rFonts w:hint="eastAsia" w:ascii="宋体" w:hAnsi="宋体" w:cs="宋体"/>
          <w:szCs w:val="21"/>
        </w:rPr>
      </w:pPr>
      <w:bookmarkStart w:id="89" w:name="_Toc16006"/>
      <w:r>
        <w:rPr>
          <w:rFonts w:hint="eastAsia" w:ascii="宋体" w:hAnsi="宋体" w:cs="宋体"/>
          <w:szCs w:val="21"/>
        </w:rPr>
        <w:t>1.6管理系统支持馆员可以查看所有整合的电子与纸本资源库全部元数据信息，查看维度可以按数据库厂商、更新批次、资源类型、学科分类等多个维度对元数据进行组织查看，并支持将查看结果导出。可以查看到每个数据库的元数据总量、更新的次数、每次更新时间、更新类型。可以点击更新总量或者更新时间，查看详细的元数据列表，列表以文献篇级为单位进行展示。支持按教育部学科分类、中图分类单个分类下的文献进行筛选查看。可以查看全馆所有期刊、图书数据的篇级学科分类，可以统计出各学科分类的篇级总量，并可对筛选的分类结果进行文献篇级的详细查看与导出。学科分类导航需要支持到二级分类的选择。</w:t>
      </w:r>
      <w:bookmarkEnd w:id="89"/>
    </w:p>
    <w:p w14:paraId="38133AD2">
      <w:pPr>
        <w:numPr>
          <w:ilvl w:val="255"/>
          <w:numId w:val="0"/>
        </w:numPr>
        <w:spacing w:line="400" w:lineRule="exact"/>
        <w:ind w:firstLine="420" w:firstLineChars="200"/>
        <w:rPr>
          <w:rFonts w:hint="eastAsia" w:ascii="宋体" w:hAnsi="宋体" w:cs="宋体"/>
          <w:szCs w:val="21"/>
        </w:rPr>
      </w:pPr>
      <w:bookmarkStart w:id="90" w:name="_Toc29681"/>
      <w:r>
        <w:rPr>
          <w:rFonts w:hint="eastAsia" w:ascii="宋体" w:hAnsi="宋体" w:eastAsia="宋体" w:cs="宋体"/>
          <w:lang w:eastAsia="zh-CN"/>
        </w:rPr>
        <w:t>★</w:t>
      </w:r>
      <w:r>
        <w:rPr>
          <w:rFonts w:hint="eastAsia" w:ascii="宋体" w:hAnsi="宋体" w:cs="宋体"/>
          <w:szCs w:val="21"/>
        </w:rPr>
        <w:t>1.7管理系统中期刊元数据必须支持按期刊名进行排列查看，并可以看到每种期刊下的所有文献。元数据支持按设置规则（机构前缀+数字编号）分配唯一的数字馆藏号，实现纸电资源全面馆藏化.如果在多个数据库中存在相同的文献记录，需要进行元数据合并，在显示中列举出全部来源数据库的信息。在元素详情中可以看到他的授权情况，允许在哪个应用中使用。可以看到单条的元数据历史使用数据。</w:t>
      </w:r>
      <w:bookmarkEnd w:id="90"/>
    </w:p>
    <w:p w14:paraId="54C46B9F">
      <w:pPr>
        <w:numPr>
          <w:ilvl w:val="255"/>
          <w:numId w:val="0"/>
        </w:numPr>
        <w:spacing w:line="400" w:lineRule="exact"/>
        <w:ind w:firstLine="420" w:firstLineChars="200"/>
        <w:rPr>
          <w:rFonts w:hint="eastAsia" w:ascii="宋体" w:hAnsi="宋体" w:cs="宋体"/>
          <w:szCs w:val="21"/>
        </w:rPr>
      </w:pPr>
      <w:bookmarkStart w:id="91" w:name="_Toc32185"/>
      <w:r>
        <w:rPr>
          <w:rFonts w:hint="eastAsia" w:ascii="宋体" w:hAnsi="宋体" w:cs="宋体"/>
          <w:szCs w:val="21"/>
        </w:rPr>
        <w:t>1.8管理系统支持馆员对元数据的字段进行检索，检索条件应当有标题、作者、出版社、学科、年份等字段。检索结果和列表按文献篇级为最小粒度进行内容的管理和展示。展示的字段应当包括标题、副标题、作者、作者机构、出版单位、出版时间、封面、关键词、摘要、ISSN/ISBN、学科、DOI、来源、资源路径等。允许后台对还未正式入库准备状态资源进行删除和修改。</w:t>
      </w:r>
      <w:bookmarkEnd w:id="91"/>
    </w:p>
    <w:p w14:paraId="0E618ABB">
      <w:pPr>
        <w:numPr>
          <w:ilvl w:val="255"/>
          <w:numId w:val="0"/>
        </w:numPr>
        <w:spacing w:line="400" w:lineRule="exact"/>
        <w:ind w:firstLine="420" w:firstLineChars="200"/>
        <w:rPr>
          <w:rFonts w:hint="eastAsia" w:ascii="宋体" w:hAnsi="宋体" w:cs="宋体"/>
          <w:szCs w:val="21"/>
        </w:rPr>
      </w:pPr>
      <w:bookmarkStart w:id="92" w:name="_Toc26680"/>
      <w:r>
        <w:rPr>
          <w:rFonts w:hint="eastAsia" w:ascii="宋体" w:hAnsi="宋体" w:cs="宋体"/>
          <w:szCs w:val="21"/>
        </w:rPr>
        <w:t>2.数据库数据更新</w:t>
      </w:r>
      <w:bookmarkEnd w:id="92"/>
    </w:p>
    <w:p w14:paraId="4F13E4DA">
      <w:pPr>
        <w:numPr>
          <w:ilvl w:val="255"/>
          <w:numId w:val="0"/>
        </w:numPr>
        <w:spacing w:line="400" w:lineRule="exact"/>
        <w:ind w:firstLine="420" w:firstLineChars="200"/>
        <w:rPr>
          <w:rFonts w:hint="eastAsia" w:ascii="宋体" w:hAnsi="宋体" w:cs="宋体"/>
          <w:szCs w:val="21"/>
        </w:rPr>
      </w:pPr>
      <w:bookmarkStart w:id="93" w:name="_Toc16233"/>
      <w:r>
        <w:rPr>
          <w:rFonts w:hint="eastAsia" w:ascii="宋体" w:hAnsi="宋体" w:cs="宋体"/>
          <w:szCs w:val="21"/>
        </w:rPr>
        <w:t>2.1数据格式规范及要求：为规范数据标准，本系统所有数据更新按照数据类型需要统一标准要求。</w:t>
      </w:r>
      <w:bookmarkEnd w:id="93"/>
    </w:p>
    <w:p w14:paraId="493F4C85">
      <w:pPr>
        <w:numPr>
          <w:ilvl w:val="255"/>
          <w:numId w:val="0"/>
        </w:numPr>
        <w:spacing w:line="400" w:lineRule="exact"/>
        <w:ind w:firstLine="420" w:firstLineChars="200"/>
        <w:rPr>
          <w:rFonts w:hint="eastAsia" w:ascii="宋体" w:hAnsi="宋体" w:cs="宋体"/>
          <w:szCs w:val="21"/>
        </w:rPr>
      </w:pPr>
      <w:bookmarkStart w:id="94" w:name="_Toc11067"/>
      <w:r>
        <w:rPr>
          <w:rFonts w:hint="eastAsia" w:ascii="宋体" w:hAnsi="宋体" w:cs="宋体"/>
          <w:szCs w:val="21"/>
        </w:rPr>
        <w:t>2.2数据处理：对于图书馆收割不能提供的数据需要供应商进行数据处理加工。并按照数据筛选标准进行数据归类，形成本系统所需要的元数据文件。</w:t>
      </w:r>
      <w:bookmarkEnd w:id="94"/>
    </w:p>
    <w:p w14:paraId="1C67758B">
      <w:pPr>
        <w:numPr>
          <w:ilvl w:val="255"/>
          <w:numId w:val="0"/>
        </w:numPr>
        <w:spacing w:line="400" w:lineRule="exact"/>
        <w:ind w:firstLine="420" w:firstLineChars="200"/>
        <w:rPr>
          <w:rFonts w:hint="eastAsia" w:ascii="宋体" w:hAnsi="宋体" w:eastAsia="宋体" w:cs="宋体"/>
          <w:szCs w:val="21"/>
          <w:lang w:eastAsia="zh-CN"/>
        </w:rPr>
      </w:pPr>
      <w:bookmarkStart w:id="95" w:name="_Toc13129"/>
      <w:r>
        <w:rPr>
          <w:rFonts w:hint="eastAsia" w:ascii="宋体" w:hAnsi="宋体" w:cs="宋体"/>
          <w:szCs w:val="21"/>
        </w:rPr>
        <w:t>2.3题录数量的完整性：需要完整地采集服务时限内对象数据库的新增所有数据，包含数据更新题录数据及数据增补题录数据，保持采集数据与原数据相同时间节点的数据统一性</w:t>
      </w:r>
      <w:bookmarkEnd w:id="95"/>
      <w:r>
        <w:rPr>
          <w:rFonts w:hint="eastAsia" w:ascii="宋体" w:hAnsi="宋体" w:cs="宋体"/>
          <w:szCs w:val="21"/>
          <w:lang w:eastAsia="zh-CN"/>
        </w:rPr>
        <w:t>。</w:t>
      </w:r>
    </w:p>
    <w:p w14:paraId="48150633">
      <w:pPr>
        <w:numPr>
          <w:ilvl w:val="255"/>
          <w:numId w:val="0"/>
        </w:numPr>
        <w:spacing w:line="400" w:lineRule="exact"/>
        <w:ind w:firstLine="420" w:firstLineChars="200"/>
        <w:rPr>
          <w:rFonts w:hint="eastAsia" w:ascii="宋体" w:hAnsi="宋体" w:eastAsia="宋体" w:cs="宋体"/>
          <w:szCs w:val="21"/>
          <w:lang w:eastAsia="zh-CN"/>
        </w:rPr>
      </w:pPr>
      <w:bookmarkStart w:id="96" w:name="_Toc6531"/>
      <w:r>
        <w:rPr>
          <w:rFonts w:hint="eastAsia" w:ascii="宋体" w:hAnsi="宋体" w:cs="宋体"/>
          <w:szCs w:val="21"/>
        </w:rPr>
        <w:t>2.4题录字段的完整性：需要完整采集数据规范要求的目标数据库字段，对由于采集源数据缺失的，通过定期的数据增补实现数据完整性的不断完善，不能漏采、错采数据字段</w:t>
      </w:r>
      <w:bookmarkEnd w:id="96"/>
      <w:r>
        <w:rPr>
          <w:rFonts w:hint="eastAsia" w:ascii="宋体" w:hAnsi="宋体" w:cs="宋体"/>
          <w:szCs w:val="21"/>
          <w:lang w:eastAsia="zh-CN"/>
        </w:rPr>
        <w:t>。</w:t>
      </w:r>
    </w:p>
    <w:p w14:paraId="699BAEE9">
      <w:pPr>
        <w:numPr>
          <w:ilvl w:val="255"/>
          <w:numId w:val="0"/>
        </w:numPr>
        <w:spacing w:line="400" w:lineRule="exact"/>
        <w:ind w:firstLine="420" w:firstLineChars="200"/>
        <w:rPr>
          <w:rFonts w:hint="eastAsia" w:ascii="宋体" w:hAnsi="宋体" w:cs="宋体"/>
          <w:szCs w:val="21"/>
        </w:rPr>
      </w:pPr>
      <w:bookmarkStart w:id="97" w:name="_Toc2260"/>
      <w:r>
        <w:rPr>
          <w:rFonts w:hint="eastAsia" w:ascii="宋体" w:hAnsi="宋体" w:cs="宋体"/>
          <w:szCs w:val="21"/>
        </w:rPr>
        <w:t>2.5字段解析的正确性：针对不同数据库采集源的某些字段，由于多个数据库存在分类等字段的不统一性，需要按照统一标准进行规范，在采集过程中对不同定义、不同标准的数据进行定义翻译和转化。</w:t>
      </w:r>
      <w:bookmarkEnd w:id="97"/>
    </w:p>
    <w:p w14:paraId="14921F6D">
      <w:pPr>
        <w:numPr>
          <w:ilvl w:val="255"/>
          <w:numId w:val="0"/>
        </w:numPr>
        <w:spacing w:line="400" w:lineRule="exact"/>
        <w:ind w:firstLine="420" w:firstLineChars="200"/>
        <w:rPr>
          <w:rFonts w:hint="eastAsia" w:ascii="宋体" w:hAnsi="宋体" w:eastAsia="宋体" w:cs="宋体"/>
          <w:szCs w:val="21"/>
          <w:lang w:eastAsia="zh-CN"/>
        </w:rPr>
      </w:pPr>
      <w:bookmarkStart w:id="98" w:name="_Toc15701"/>
      <w:r>
        <w:rPr>
          <w:rFonts w:hint="eastAsia" w:ascii="宋体" w:hAnsi="宋体" w:cs="宋体"/>
          <w:szCs w:val="21"/>
        </w:rPr>
        <w:t>2.6数据去重：对采集的数据进行去重处理，在去重过程中做好规则判定，不得损坏、错删数据，对于多数据来源的相同数据进行数据打标处理（去重按照事先约定的规则执行，只保证约定规则内的去重）</w:t>
      </w:r>
      <w:bookmarkEnd w:id="98"/>
      <w:r>
        <w:rPr>
          <w:rFonts w:hint="eastAsia" w:ascii="宋体" w:hAnsi="宋体" w:cs="宋体"/>
          <w:szCs w:val="21"/>
          <w:lang w:eastAsia="zh-CN"/>
        </w:rPr>
        <w:t>。</w:t>
      </w:r>
    </w:p>
    <w:p w14:paraId="44CC58F6">
      <w:pPr>
        <w:numPr>
          <w:ilvl w:val="255"/>
          <w:numId w:val="0"/>
        </w:numPr>
        <w:spacing w:line="400" w:lineRule="exact"/>
        <w:ind w:firstLine="420" w:firstLineChars="200"/>
        <w:rPr>
          <w:rFonts w:hint="eastAsia" w:ascii="宋体" w:hAnsi="宋体" w:cs="宋体"/>
          <w:szCs w:val="21"/>
        </w:rPr>
      </w:pPr>
      <w:bookmarkStart w:id="99" w:name="_Toc7979"/>
      <w:r>
        <w:rPr>
          <w:rFonts w:hint="eastAsia" w:ascii="宋体" w:hAnsi="宋体" w:cs="宋体"/>
          <w:szCs w:val="21"/>
        </w:rPr>
        <w:t>2.7数据质检：对采集完成的数据进行完善的质量检查工作，对发现的错误进行修复或制定新规则重新采集，确保数据的质量。</w:t>
      </w:r>
      <w:bookmarkEnd w:id="99"/>
    </w:p>
    <w:p w14:paraId="6E7DB054">
      <w:pPr>
        <w:numPr>
          <w:ilvl w:val="255"/>
          <w:numId w:val="0"/>
        </w:numPr>
        <w:spacing w:line="400" w:lineRule="exact"/>
        <w:ind w:firstLine="420" w:firstLineChars="200"/>
        <w:rPr>
          <w:rFonts w:hint="eastAsia" w:ascii="宋体" w:hAnsi="宋体" w:cs="宋体"/>
          <w:szCs w:val="21"/>
        </w:rPr>
      </w:pPr>
      <w:bookmarkStart w:id="100" w:name="_Toc10121"/>
      <w:r>
        <w:rPr>
          <w:rFonts w:hint="eastAsia" w:ascii="宋体" w:hAnsi="宋体" w:cs="宋体"/>
          <w:szCs w:val="21"/>
        </w:rPr>
        <w:t>2.8数据验证：对已经质检核的数据进行数据验证，验证数据的逻辑性、准确性和原文的可追溯性。</w:t>
      </w:r>
      <w:bookmarkEnd w:id="100"/>
    </w:p>
    <w:p w14:paraId="66E273FC">
      <w:pPr>
        <w:numPr>
          <w:ilvl w:val="255"/>
          <w:numId w:val="0"/>
        </w:numPr>
        <w:spacing w:line="400" w:lineRule="exact"/>
        <w:ind w:firstLine="420" w:firstLineChars="200"/>
        <w:rPr>
          <w:rFonts w:hint="eastAsia" w:ascii="宋体" w:hAnsi="宋体" w:cs="宋体"/>
          <w:szCs w:val="21"/>
        </w:rPr>
      </w:pPr>
      <w:bookmarkStart w:id="101" w:name="_Toc16636"/>
      <w:r>
        <w:rPr>
          <w:rFonts w:hint="eastAsia" w:ascii="宋体" w:hAnsi="宋体" w:cs="宋体"/>
          <w:szCs w:val="21"/>
        </w:rPr>
        <w:t>2.9数据上线：每周对已经处理的数据进行封装并上线，更新检索和应用系统的数据基础池，实现新数据的使用。</w:t>
      </w:r>
      <w:bookmarkEnd w:id="101"/>
    </w:p>
    <w:p w14:paraId="188872ED">
      <w:pPr>
        <w:numPr>
          <w:ilvl w:val="255"/>
          <w:numId w:val="0"/>
        </w:numPr>
        <w:spacing w:line="400" w:lineRule="exact"/>
        <w:ind w:firstLine="420" w:firstLineChars="200"/>
        <w:rPr>
          <w:rFonts w:hint="eastAsia" w:ascii="宋体" w:hAnsi="宋体" w:cs="宋体"/>
          <w:szCs w:val="21"/>
        </w:rPr>
      </w:pPr>
      <w:bookmarkStart w:id="102" w:name="_Toc26734"/>
      <w:r>
        <w:rPr>
          <w:rFonts w:hint="eastAsia" w:ascii="宋体" w:hAnsi="宋体" w:cs="宋体"/>
          <w:szCs w:val="21"/>
        </w:rPr>
        <w:t>2.10数据质保：在系统使用过程中，供应商不断优化数据提升数据质量，对发现的数据错误进行不断</w:t>
      </w:r>
      <w:r>
        <w:rPr>
          <w:rFonts w:hint="eastAsia" w:ascii="宋体" w:hAnsi="宋体" w:cs="宋体"/>
          <w:szCs w:val="21"/>
          <w:lang w:eastAsia="zh-CN"/>
        </w:rPr>
        <w:t>地</w:t>
      </w:r>
      <w:r>
        <w:rPr>
          <w:rFonts w:hint="eastAsia" w:ascii="宋体" w:hAnsi="宋体" w:cs="宋体"/>
          <w:szCs w:val="21"/>
        </w:rPr>
        <w:t>修复。</w:t>
      </w:r>
      <w:bookmarkEnd w:id="102"/>
    </w:p>
    <w:p w14:paraId="45ADA28C">
      <w:pPr>
        <w:numPr>
          <w:ilvl w:val="255"/>
          <w:numId w:val="0"/>
        </w:numPr>
        <w:spacing w:line="400" w:lineRule="exact"/>
        <w:ind w:firstLine="420" w:firstLineChars="200"/>
        <w:rPr>
          <w:rFonts w:hint="eastAsia" w:ascii="宋体" w:hAnsi="宋体" w:cs="宋体"/>
          <w:szCs w:val="21"/>
        </w:rPr>
      </w:pPr>
      <w:bookmarkStart w:id="103" w:name="_Toc13413"/>
      <w:r>
        <w:rPr>
          <w:rFonts w:hint="eastAsia" w:ascii="宋体" w:hAnsi="宋体" w:cs="宋体"/>
          <w:szCs w:val="21"/>
        </w:rPr>
        <w:t>3.港口物流特色资源库数据维护</w:t>
      </w:r>
      <w:bookmarkEnd w:id="103"/>
    </w:p>
    <w:p w14:paraId="3141B465">
      <w:pPr>
        <w:numPr>
          <w:ilvl w:val="255"/>
          <w:numId w:val="0"/>
        </w:numPr>
        <w:spacing w:line="400" w:lineRule="exact"/>
        <w:ind w:firstLine="420" w:firstLineChars="200"/>
        <w:rPr>
          <w:rFonts w:hint="eastAsia" w:ascii="宋体" w:hAnsi="宋体" w:cs="宋体"/>
          <w:szCs w:val="21"/>
        </w:rPr>
      </w:pPr>
      <w:bookmarkStart w:id="104" w:name="_Toc28808"/>
      <w:r>
        <w:rPr>
          <w:rFonts w:hint="eastAsia" w:ascii="宋体" w:hAnsi="宋体" w:cs="宋体"/>
          <w:szCs w:val="21"/>
        </w:rPr>
        <w:t>3.1平台提供把宁波港口物流特色资源库中已有的自建资源全部通过标准DC格式整合到智慧图书馆门户平台底层元数据中去，智慧图书馆平台通过接口方式向宁波创意产业特色数字文献资源库提供数据。</w:t>
      </w:r>
      <w:bookmarkEnd w:id="104"/>
    </w:p>
    <w:p w14:paraId="40B250DF">
      <w:pPr>
        <w:numPr>
          <w:ilvl w:val="255"/>
          <w:numId w:val="0"/>
        </w:numPr>
        <w:spacing w:line="400" w:lineRule="exact"/>
        <w:ind w:firstLine="420" w:firstLineChars="200"/>
        <w:rPr>
          <w:rFonts w:hint="eastAsia" w:ascii="宋体" w:hAnsi="宋体" w:cs="宋体"/>
          <w:szCs w:val="21"/>
        </w:rPr>
      </w:pPr>
      <w:bookmarkStart w:id="105" w:name="_Toc26421"/>
      <w:r>
        <w:rPr>
          <w:rFonts w:hint="eastAsia" w:ascii="宋体" w:hAnsi="宋体" w:cs="宋体"/>
          <w:szCs w:val="21"/>
        </w:rPr>
        <w:t>3.2整合管理的专题数据资源，包括创意产业相关的中外文期刊论文、学位论文、会议论文、图书目录、OA资源、实证研究、课件资源、视频资源、管理机制、规划、统计数据、规章制度等。</w:t>
      </w:r>
      <w:bookmarkEnd w:id="105"/>
    </w:p>
    <w:p w14:paraId="13D54E1C">
      <w:pPr>
        <w:numPr>
          <w:ilvl w:val="255"/>
          <w:numId w:val="0"/>
        </w:numPr>
        <w:spacing w:line="400" w:lineRule="exact"/>
        <w:ind w:firstLine="420" w:firstLineChars="200"/>
        <w:rPr>
          <w:rFonts w:hint="eastAsia" w:ascii="宋体" w:hAnsi="宋体" w:cs="宋体"/>
          <w:szCs w:val="21"/>
        </w:rPr>
      </w:pPr>
      <w:bookmarkStart w:id="106" w:name="_Toc8288"/>
      <w:r>
        <w:rPr>
          <w:rFonts w:hint="eastAsia" w:ascii="宋体" w:hAnsi="宋体" w:cs="宋体"/>
          <w:szCs w:val="21"/>
        </w:rPr>
        <w:t>3.3对于本地自建馆藏的特色独有电子资源，采用本地化数据导入工具导入相关本地化数据到资源管理平台的特色库中。</w:t>
      </w:r>
      <w:bookmarkEnd w:id="106"/>
    </w:p>
    <w:p w14:paraId="79224C81">
      <w:pPr>
        <w:numPr>
          <w:ilvl w:val="255"/>
          <w:numId w:val="0"/>
        </w:numPr>
        <w:spacing w:line="400" w:lineRule="exact"/>
        <w:ind w:firstLine="420" w:firstLineChars="200"/>
        <w:rPr>
          <w:rFonts w:hint="eastAsia" w:ascii="宋体" w:hAnsi="宋体" w:cs="宋体"/>
          <w:szCs w:val="21"/>
        </w:rPr>
      </w:pPr>
      <w:bookmarkStart w:id="107" w:name="_Toc507"/>
      <w:r>
        <w:rPr>
          <w:rFonts w:hint="eastAsia" w:ascii="宋体" w:hAnsi="宋体" w:cs="宋体"/>
          <w:szCs w:val="21"/>
        </w:rPr>
        <w:t>3.4采用设定如（主题词、关键词、学科等）方式自动提取智慧图书馆门户平台已整合的本馆商业数据库资源相关元数据填充特色资源库。</w:t>
      </w:r>
      <w:bookmarkEnd w:id="107"/>
    </w:p>
    <w:p w14:paraId="33DDE3E1">
      <w:pPr>
        <w:numPr>
          <w:ilvl w:val="255"/>
          <w:numId w:val="0"/>
        </w:numPr>
        <w:spacing w:line="400" w:lineRule="exact"/>
        <w:ind w:firstLine="420" w:firstLineChars="200"/>
        <w:rPr>
          <w:rFonts w:hint="eastAsia" w:ascii="宋体" w:hAnsi="宋体" w:cs="宋体"/>
          <w:szCs w:val="21"/>
        </w:rPr>
      </w:pPr>
      <w:bookmarkStart w:id="108" w:name="_Toc18373"/>
      <w:r>
        <w:rPr>
          <w:rFonts w:hint="eastAsia" w:ascii="宋体" w:hAnsi="宋体" w:cs="宋体"/>
          <w:szCs w:val="21"/>
        </w:rPr>
        <w:t>3.5数据更新周期为来自主流常用的商业数据库的特色库资源为1-2周，专业性很高或者较特殊的数据库更新周期为1个月。</w:t>
      </w:r>
      <w:bookmarkEnd w:id="108"/>
    </w:p>
    <w:p w14:paraId="627C01AF">
      <w:pPr>
        <w:numPr>
          <w:ilvl w:val="255"/>
          <w:numId w:val="0"/>
        </w:numPr>
        <w:spacing w:line="400" w:lineRule="exact"/>
        <w:ind w:firstLine="420" w:firstLineChars="200"/>
        <w:rPr>
          <w:rFonts w:hint="eastAsia" w:ascii="宋体" w:hAnsi="宋体" w:cs="宋体"/>
          <w:szCs w:val="21"/>
        </w:rPr>
      </w:pPr>
      <w:bookmarkStart w:id="109" w:name="_Toc16577"/>
      <w:r>
        <w:rPr>
          <w:rFonts w:hint="eastAsia" w:ascii="宋体" w:hAnsi="宋体" w:cs="宋体"/>
          <w:szCs w:val="21"/>
        </w:rPr>
        <w:t>4.中文期刊服务平台数据库文献服务</w:t>
      </w:r>
      <w:bookmarkEnd w:id="109"/>
    </w:p>
    <w:p w14:paraId="4A597356">
      <w:pPr>
        <w:numPr>
          <w:ilvl w:val="255"/>
          <w:numId w:val="0"/>
        </w:numPr>
        <w:spacing w:line="400" w:lineRule="exact"/>
        <w:ind w:firstLine="420" w:firstLineChars="200"/>
        <w:rPr>
          <w:rFonts w:hint="eastAsia" w:ascii="宋体" w:hAnsi="宋体" w:eastAsia="宋体" w:cs="宋体"/>
          <w:szCs w:val="21"/>
          <w:lang w:eastAsia="zh-CN"/>
        </w:rPr>
      </w:pPr>
      <w:bookmarkStart w:id="110" w:name="_Toc6195"/>
      <w:r>
        <w:rPr>
          <w:rFonts w:hint="eastAsia" w:ascii="宋体" w:hAnsi="宋体" w:cs="宋体"/>
          <w:szCs w:val="21"/>
        </w:rPr>
        <w:t>4.1.许可使用时间为2025年11月27日—2026年11月26日</w:t>
      </w:r>
      <w:bookmarkEnd w:id="110"/>
      <w:r>
        <w:rPr>
          <w:rFonts w:hint="eastAsia" w:ascii="宋体" w:hAnsi="宋体" w:cs="宋体"/>
          <w:szCs w:val="21"/>
          <w:lang w:eastAsia="zh-CN"/>
        </w:rPr>
        <w:t>。</w:t>
      </w:r>
    </w:p>
    <w:p w14:paraId="64AA7F22">
      <w:pPr>
        <w:numPr>
          <w:ilvl w:val="255"/>
          <w:numId w:val="0"/>
        </w:numPr>
        <w:spacing w:line="400" w:lineRule="exact"/>
        <w:ind w:firstLine="420" w:firstLineChars="200"/>
        <w:rPr>
          <w:rFonts w:hint="eastAsia" w:ascii="宋体" w:hAnsi="宋体" w:cs="宋体"/>
          <w:szCs w:val="21"/>
        </w:rPr>
      </w:pPr>
      <w:bookmarkStart w:id="111" w:name="_Toc9827"/>
      <w:r>
        <w:rPr>
          <w:rFonts w:hint="eastAsia" w:ascii="宋体" w:hAnsi="宋体" w:cs="宋体"/>
          <w:szCs w:val="21"/>
        </w:rPr>
        <w:t>4.2.期刊收录量：累计收录期刊15300余种，其中现刊9200余种。</w:t>
      </w:r>
      <w:bookmarkEnd w:id="111"/>
    </w:p>
    <w:p w14:paraId="7BDC33D5">
      <w:pPr>
        <w:numPr>
          <w:ilvl w:val="255"/>
          <w:numId w:val="0"/>
        </w:numPr>
        <w:spacing w:line="400" w:lineRule="exact"/>
        <w:ind w:firstLine="420" w:firstLineChars="200"/>
        <w:rPr>
          <w:rFonts w:hint="eastAsia" w:ascii="宋体" w:hAnsi="宋体" w:cs="宋体"/>
          <w:szCs w:val="21"/>
        </w:rPr>
      </w:pPr>
      <w:bookmarkStart w:id="112" w:name="_Toc27439"/>
      <w:r>
        <w:rPr>
          <w:rFonts w:hint="eastAsia" w:ascii="宋体" w:hAnsi="宋体" w:cs="宋体"/>
          <w:szCs w:val="21"/>
        </w:rPr>
        <w:t>4.3.文献总量：7300余万篇，全文率98.3%。</w:t>
      </w:r>
      <w:bookmarkEnd w:id="112"/>
    </w:p>
    <w:p w14:paraId="49BD7594">
      <w:pPr>
        <w:numPr>
          <w:ilvl w:val="255"/>
          <w:numId w:val="0"/>
        </w:numPr>
        <w:spacing w:line="400" w:lineRule="exact"/>
        <w:ind w:firstLine="420" w:firstLineChars="200"/>
        <w:rPr>
          <w:rFonts w:hint="eastAsia" w:ascii="宋体" w:hAnsi="宋体" w:cs="宋体"/>
          <w:szCs w:val="21"/>
        </w:rPr>
      </w:pPr>
      <w:bookmarkStart w:id="113" w:name="_Toc2021"/>
      <w:r>
        <w:rPr>
          <w:rFonts w:hint="eastAsia" w:ascii="宋体" w:hAnsi="宋体" w:cs="宋体"/>
          <w:szCs w:val="21"/>
        </w:rPr>
        <w:t>4.4.学科范围：社会科学、经济管理、图书情报、教育科学、自然科学、医药卫生、农业科学、工程技术八大专辑，全学科覆盖。</w:t>
      </w:r>
      <w:bookmarkEnd w:id="113"/>
    </w:p>
    <w:p w14:paraId="04548AB5">
      <w:pPr>
        <w:numPr>
          <w:ilvl w:val="255"/>
          <w:numId w:val="0"/>
        </w:numPr>
        <w:spacing w:line="400" w:lineRule="exact"/>
        <w:ind w:firstLine="420" w:firstLineChars="200"/>
        <w:rPr>
          <w:rFonts w:hint="eastAsia" w:ascii="宋体" w:hAnsi="宋体" w:cs="宋体"/>
          <w:szCs w:val="21"/>
        </w:rPr>
      </w:pPr>
      <w:bookmarkStart w:id="114" w:name="_Toc1250"/>
      <w:r>
        <w:rPr>
          <w:rFonts w:hint="eastAsia" w:ascii="宋体" w:hAnsi="宋体" w:cs="宋体"/>
          <w:szCs w:val="21"/>
        </w:rPr>
        <w:t>4.5原文保障：提供多种渠道的原文保障服务，包括在线阅读、下载全文和OA链接、文献传递等。</w:t>
      </w:r>
      <w:bookmarkEnd w:id="114"/>
    </w:p>
    <w:p w14:paraId="3A59F05C">
      <w:pPr>
        <w:numPr>
          <w:ilvl w:val="255"/>
          <w:numId w:val="0"/>
        </w:numPr>
        <w:spacing w:line="400" w:lineRule="exact"/>
        <w:ind w:firstLine="420" w:firstLineChars="200"/>
        <w:rPr>
          <w:rFonts w:hint="eastAsia" w:ascii="宋体" w:hAnsi="宋体" w:cs="宋体"/>
          <w:szCs w:val="21"/>
        </w:rPr>
      </w:pPr>
      <w:bookmarkStart w:id="115" w:name="_Toc5944"/>
      <w:r>
        <w:rPr>
          <w:rFonts w:hint="eastAsia" w:ascii="宋体" w:hAnsi="宋体" w:cs="宋体"/>
          <w:szCs w:val="21"/>
        </w:rPr>
        <w:t>4.6服务模式：WEB版（网络远程包库）。</w:t>
      </w:r>
      <w:bookmarkEnd w:id="115"/>
    </w:p>
    <w:p w14:paraId="2766D283">
      <w:pPr>
        <w:numPr>
          <w:ilvl w:val="255"/>
          <w:numId w:val="0"/>
        </w:numPr>
        <w:spacing w:line="400" w:lineRule="exact"/>
        <w:ind w:firstLine="420" w:firstLineChars="200"/>
        <w:rPr>
          <w:rFonts w:hint="eastAsia" w:ascii="宋体" w:hAnsi="宋体" w:cs="宋体"/>
          <w:szCs w:val="21"/>
        </w:rPr>
      </w:pPr>
      <w:bookmarkStart w:id="116" w:name="_Toc31807"/>
      <w:r>
        <w:rPr>
          <w:rFonts w:hint="eastAsia" w:ascii="宋体" w:hAnsi="宋体" w:cs="宋体"/>
          <w:szCs w:val="21"/>
        </w:rPr>
        <w:t>4.7数据标引：期刊和文献均按《中国图书馆分类法》做人工标引，每篇文献入类时以文献内容特征为依据，科学准确，保证查全率和数据统计准确性。</w:t>
      </w:r>
      <w:bookmarkEnd w:id="116"/>
    </w:p>
    <w:p w14:paraId="2EA6C44E">
      <w:pPr>
        <w:numPr>
          <w:ilvl w:val="255"/>
          <w:numId w:val="0"/>
        </w:numPr>
        <w:spacing w:line="400" w:lineRule="exact"/>
        <w:ind w:firstLine="420" w:firstLineChars="200"/>
        <w:rPr>
          <w:rFonts w:hint="eastAsia" w:ascii="宋体" w:hAnsi="宋体" w:cs="宋体"/>
          <w:szCs w:val="21"/>
        </w:rPr>
      </w:pPr>
      <w:bookmarkStart w:id="117" w:name="_Toc4418"/>
      <w:r>
        <w:rPr>
          <w:rFonts w:hint="eastAsia" w:ascii="宋体" w:hAnsi="宋体" w:cs="宋体"/>
          <w:szCs w:val="21"/>
        </w:rPr>
        <w:t>4.8检索方式：基本检索、传统检索、高级检索、期刊检索、作者检索、机构检索、地区检索、主题检索、基金检索。</w:t>
      </w:r>
      <w:bookmarkEnd w:id="117"/>
    </w:p>
    <w:p w14:paraId="4EC5C092">
      <w:pPr>
        <w:numPr>
          <w:ilvl w:val="255"/>
          <w:numId w:val="0"/>
        </w:numPr>
        <w:spacing w:line="400" w:lineRule="exact"/>
        <w:ind w:firstLine="420" w:firstLineChars="200"/>
        <w:rPr>
          <w:rFonts w:hint="eastAsia" w:ascii="宋体" w:hAnsi="宋体" w:cs="宋体"/>
          <w:szCs w:val="21"/>
        </w:rPr>
      </w:pPr>
      <w:bookmarkStart w:id="118" w:name="_Toc32098"/>
      <w:r>
        <w:rPr>
          <w:rFonts w:hint="eastAsia" w:ascii="宋体" w:hAnsi="宋体" w:cs="宋体"/>
          <w:szCs w:val="21"/>
        </w:rPr>
        <w:t>4.9数据标准：元数据错误率小于0.05%；参考文献数据加工率不低于99%；引文反证率不低于99%。</w:t>
      </w:r>
      <w:bookmarkEnd w:id="118"/>
    </w:p>
    <w:p w14:paraId="137991E2">
      <w:pPr>
        <w:numPr>
          <w:ilvl w:val="255"/>
          <w:numId w:val="0"/>
        </w:numPr>
        <w:spacing w:line="400" w:lineRule="exact"/>
        <w:ind w:firstLine="420" w:firstLineChars="200"/>
        <w:rPr>
          <w:rFonts w:hint="eastAsia" w:ascii="宋体" w:hAnsi="宋体" w:cs="宋体"/>
          <w:szCs w:val="21"/>
        </w:rPr>
      </w:pPr>
      <w:bookmarkStart w:id="119" w:name="_Toc4403"/>
      <w:r>
        <w:rPr>
          <w:rFonts w:hint="eastAsia" w:ascii="宋体" w:hAnsi="宋体" w:cs="宋体"/>
          <w:szCs w:val="21"/>
        </w:rPr>
        <w:t>4.10移动应用：提供适用于机构成员的移动应用APP，解决用户资源馆外访问和移动端应用体验问题。</w:t>
      </w:r>
      <w:bookmarkEnd w:id="119"/>
    </w:p>
    <w:p w14:paraId="39DE53B5">
      <w:pPr>
        <w:numPr>
          <w:ilvl w:val="255"/>
          <w:numId w:val="0"/>
        </w:numPr>
        <w:spacing w:line="400" w:lineRule="exact"/>
        <w:ind w:firstLine="420" w:firstLineChars="200"/>
        <w:rPr>
          <w:rFonts w:hint="eastAsia" w:ascii="宋体" w:hAnsi="宋体" w:cs="宋体"/>
          <w:szCs w:val="21"/>
        </w:rPr>
      </w:pPr>
      <w:bookmarkStart w:id="120" w:name="_Toc34"/>
      <w:r>
        <w:rPr>
          <w:rFonts w:hint="eastAsia" w:ascii="宋体" w:hAnsi="宋体" w:cs="宋体"/>
          <w:szCs w:val="21"/>
        </w:rPr>
        <w:t>4.11</w:t>
      </w:r>
      <w:r>
        <w:rPr>
          <w:rFonts w:hint="eastAsia" w:ascii="宋体" w:hAnsi="宋体" w:cs="宋体"/>
          <w:szCs w:val="21"/>
          <w:lang w:val="en-US" w:eastAsia="zh-CN"/>
        </w:rPr>
        <w:t>馆内校园IP范围内登录。</w:t>
      </w:r>
      <w:r>
        <w:rPr>
          <w:rFonts w:hint="eastAsia" w:ascii="宋体" w:hAnsi="宋体" w:cs="宋体"/>
          <w:szCs w:val="21"/>
        </w:rPr>
        <w:t>馆外授权访问：基于二维码技术和wifi定位技术，为用户手机APP授权，使得用户取得平台的馆外访问权限；同时支持APP取得的权限反向传递回指定PC设备，用户可在馆外继续使用PC设备访问平台。</w:t>
      </w:r>
      <w:bookmarkEnd w:id="120"/>
    </w:p>
    <w:p w14:paraId="213E20F8">
      <w:pPr>
        <w:numPr>
          <w:ilvl w:val="255"/>
          <w:numId w:val="0"/>
        </w:numPr>
        <w:spacing w:line="400" w:lineRule="exact"/>
        <w:ind w:firstLine="420" w:firstLineChars="200"/>
        <w:rPr>
          <w:rFonts w:hint="eastAsia" w:ascii="宋体" w:hAnsi="宋体" w:cs="宋体"/>
          <w:szCs w:val="21"/>
        </w:rPr>
      </w:pPr>
      <w:bookmarkStart w:id="121" w:name="_Toc23395"/>
      <w:r>
        <w:rPr>
          <w:rFonts w:hint="eastAsia" w:ascii="宋体" w:hAnsi="宋体" w:cs="宋体"/>
          <w:szCs w:val="21"/>
        </w:rPr>
        <w:t>5.资源整合</w:t>
      </w:r>
      <w:r>
        <w:rPr>
          <w:rFonts w:hint="eastAsia" w:ascii="宋体" w:hAnsi="宋体" w:cs="宋体"/>
          <w:szCs w:val="21"/>
          <w:lang w:val="en-US" w:eastAsia="zh-CN"/>
        </w:rPr>
        <w:t>平台</w:t>
      </w:r>
      <w:r>
        <w:rPr>
          <w:rFonts w:hint="eastAsia" w:ascii="宋体" w:hAnsi="宋体" w:cs="宋体"/>
          <w:szCs w:val="21"/>
        </w:rPr>
        <w:t>需要包含以下60中外文数据库的元数据</w:t>
      </w:r>
      <w:bookmarkEnd w:id="121"/>
    </w:p>
    <w:tbl>
      <w:tblPr>
        <w:tblStyle w:val="52"/>
        <w:tblW w:w="4999" w:type="pct"/>
        <w:jc w:val="center"/>
        <w:tblLayout w:type="autofit"/>
        <w:tblCellMar>
          <w:top w:w="0" w:type="dxa"/>
          <w:left w:w="108" w:type="dxa"/>
          <w:bottom w:w="0" w:type="dxa"/>
          <w:right w:w="108" w:type="dxa"/>
        </w:tblCellMar>
      </w:tblPr>
      <w:tblGrid>
        <w:gridCol w:w="1124"/>
        <w:gridCol w:w="8047"/>
      </w:tblGrid>
      <w:tr w14:paraId="13A02F96">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983E">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6DA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ACS（美国化学学会）</w:t>
            </w:r>
          </w:p>
        </w:tc>
      </w:tr>
      <w:tr w14:paraId="5BBF77DD">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47A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1041">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（International Press）国际出版社电子期刊</w:t>
            </w:r>
          </w:p>
        </w:tc>
      </w:tr>
      <w:tr w14:paraId="5D58E398">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3991">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592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ACM</w:t>
            </w:r>
          </w:p>
        </w:tc>
      </w:tr>
      <w:tr w14:paraId="28E5AD7A">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2CBD">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256E">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AIMS（美国数学科学研究所）期刊数据库</w:t>
            </w:r>
          </w:p>
        </w:tc>
      </w:tr>
      <w:tr w14:paraId="422F6112">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E3D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2DC9">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American Physical Society（美国物理学会）</w:t>
            </w:r>
          </w:p>
        </w:tc>
      </w:tr>
      <w:tr w14:paraId="7EE54E0E">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BC58">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366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Annals of Mathematics</w:t>
            </w:r>
          </w:p>
        </w:tc>
      </w:tr>
      <w:tr w14:paraId="05BAE5D4">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6F37">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5BD5">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ASCE</w:t>
            </w:r>
          </w:p>
        </w:tc>
      </w:tr>
      <w:tr w14:paraId="79D4C057">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BB9F">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B925">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Benjamins电子期刊数据库</w:t>
            </w:r>
          </w:p>
        </w:tc>
      </w:tr>
      <w:tr w14:paraId="52ECEFD9">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CC3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D7CF">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Cairn法语数据库</w:t>
            </w:r>
          </w:p>
        </w:tc>
      </w:tr>
      <w:tr w14:paraId="65D95238">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34E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FF99">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CNKI中国知网</w:t>
            </w:r>
          </w:p>
        </w:tc>
      </w:tr>
      <w:tr w14:paraId="4C4B7E37">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0CAD">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3CFD">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EBSCO（asc/bsc）</w:t>
            </w:r>
          </w:p>
        </w:tc>
      </w:tr>
      <w:tr w14:paraId="5373BAE7">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E8B0">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6036">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Elsevier期刊(ScienceDirect)</w:t>
            </w:r>
          </w:p>
        </w:tc>
      </w:tr>
      <w:tr w14:paraId="31C86DDB">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0E1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E1A6">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Engineering Village</w:t>
            </w:r>
          </w:p>
        </w:tc>
      </w:tr>
      <w:tr w14:paraId="42B49E41">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2826">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1F7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EV Compendex</w:t>
            </w:r>
          </w:p>
        </w:tc>
      </w:tr>
      <w:tr w14:paraId="30ACF7E9">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0506">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6FC0">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Heinonline（法学院）</w:t>
            </w:r>
          </w:p>
        </w:tc>
      </w:tr>
      <w:tr w14:paraId="57B32EF2">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7358">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DEA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IEEE Electronic Library（IEL）</w:t>
            </w:r>
          </w:p>
        </w:tc>
      </w:tr>
      <w:tr w14:paraId="7105B3F5">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D82D">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FD28">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IOP Journals （英国物理学会）</w:t>
            </w:r>
          </w:p>
        </w:tc>
      </w:tr>
      <w:tr w14:paraId="11500609">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A256">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791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JSTOR西文过刊全文库</w:t>
            </w:r>
          </w:p>
        </w:tc>
      </w:tr>
      <w:tr w14:paraId="426A92AE">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501A">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BE3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MarinLit海洋天然产物研究数据库</w:t>
            </w:r>
          </w:p>
        </w:tc>
      </w:tr>
      <w:tr w14:paraId="5115182A">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E31F">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E1C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MathSciNet</w:t>
            </w:r>
          </w:p>
        </w:tc>
      </w:tr>
      <w:tr w14:paraId="235E1CD2">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E0FF">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5307">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MeTeL多媒体教学资源库</w:t>
            </w:r>
          </w:p>
        </w:tc>
      </w:tr>
      <w:tr w14:paraId="36ED022D">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5FB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7E2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Nature电子期刊</w:t>
            </w:r>
          </w:p>
        </w:tc>
      </w:tr>
      <w:tr w14:paraId="69E4D98A">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47E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FED3">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Optica Publishing Group</w:t>
            </w:r>
          </w:p>
        </w:tc>
      </w:tr>
      <w:tr w14:paraId="2CEE7D43">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6AC3">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7655">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PNAS</w:t>
            </w:r>
          </w:p>
        </w:tc>
      </w:tr>
      <w:tr w14:paraId="3BEF6433">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39D9">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10BF">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PQDT 博硕士论文全文数据库</w:t>
            </w:r>
          </w:p>
        </w:tc>
      </w:tr>
      <w:tr w14:paraId="17742C9F">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D942">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26</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A5E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RSC英国皇家化学协会</w:t>
            </w:r>
          </w:p>
        </w:tc>
      </w:tr>
      <w:tr w14:paraId="1266C96C">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9A17">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27</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4563">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Science Online （科学在线）</w:t>
            </w:r>
          </w:p>
        </w:tc>
      </w:tr>
      <w:tr w14:paraId="05E1F6F2">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01A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28</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960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SCOPUS</w:t>
            </w:r>
          </w:p>
        </w:tc>
      </w:tr>
      <w:tr w14:paraId="11DB8E21">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5850">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29</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C9F5">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SIAM (美国工业与应用数学会)</w:t>
            </w:r>
          </w:p>
        </w:tc>
      </w:tr>
      <w:tr w14:paraId="09DBA3F0">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3E76">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10B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SPIE 国际光学工程学会</w:t>
            </w:r>
          </w:p>
        </w:tc>
      </w:tr>
      <w:tr w14:paraId="47E2DA6E">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E509">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629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Springer 电子期刊全文数据库</w:t>
            </w:r>
          </w:p>
        </w:tc>
      </w:tr>
      <w:tr w14:paraId="44277A2D">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8D0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32</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CC17">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Web of Science</w:t>
            </w:r>
          </w:p>
        </w:tc>
      </w:tr>
      <w:tr w14:paraId="451A853E">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F8C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8BE5">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Web of Science</w:t>
            </w:r>
          </w:p>
        </w:tc>
      </w:tr>
      <w:tr w14:paraId="35C2FA33">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661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34</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DCD7">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Wiley电子期刊数据库</w:t>
            </w:r>
          </w:p>
        </w:tc>
      </w:tr>
      <w:tr w14:paraId="3AEF9730">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450E">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35</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EB5A">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爱迪科森网上报告厅</w:t>
            </w:r>
          </w:p>
        </w:tc>
      </w:tr>
      <w:tr w14:paraId="16DEED29">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EED2">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36</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B4B9">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爱读宝微书房</w:t>
            </w:r>
          </w:p>
        </w:tc>
      </w:tr>
      <w:tr w14:paraId="75141411">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EA1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37</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C7B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爱学术（iresearch）电子书库</w:t>
            </w:r>
          </w:p>
        </w:tc>
      </w:tr>
      <w:tr w14:paraId="2218A20E">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D24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38</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37B9">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北大法宝</w:t>
            </w:r>
          </w:p>
        </w:tc>
      </w:tr>
      <w:tr w14:paraId="441D07F9">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B181">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39</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611A">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畅想之星电子书</w:t>
            </w:r>
          </w:p>
        </w:tc>
      </w:tr>
      <w:tr w14:paraId="1CC97A8D">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BA18">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40</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EE02">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超星（汇雅）电子图书</w:t>
            </w:r>
          </w:p>
        </w:tc>
      </w:tr>
      <w:tr w14:paraId="669B5673">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330F">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BD5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超星期刊</w:t>
            </w:r>
          </w:p>
        </w:tc>
      </w:tr>
      <w:tr w14:paraId="6A8DAC8F">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666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42</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259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鼎秀古籍全文检索平台</w:t>
            </w:r>
          </w:p>
        </w:tc>
      </w:tr>
      <w:tr w14:paraId="48154FFF">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D073">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43</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B833">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京东读书本地电子书</w:t>
            </w:r>
          </w:p>
        </w:tc>
      </w:tr>
      <w:tr w14:paraId="6934BA33">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D0CF">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44</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99F9">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京东读书专业版</w:t>
            </w:r>
          </w:p>
        </w:tc>
      </w:tr>
      <w:tr w14:paraId="75070A4B">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211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45</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BAF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可知电子图书数据库</w:t>
            </w:r>
          </w:p>
        </w:tc>
      </w:tr>
      <w:tr w14:paraId="0E634C0A">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DAA8">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46</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18CE">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人大复印报刊资料</w:t>
            </w:r>
          </w:p>
        </w:tc>
      </w:tr>
      <w:tr w14:paraId="7BF763D3">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CDC3">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47</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92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人卫医学网数据库</w:t>
            </w:r>
          </w:p>
        </w:tc>
      </w:tr>
      <w:tr w14:paraId="2A594D5B">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837F">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48</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8410">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上图晚清民国期刊全文数据库</w:t>
            </w:r>
          </w:p>
        </w:tc>
      </w:tr>
      <w:tr w14:paraId="08B6FF32">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5322">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49</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063B">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万方知识服务平台</w:t>
            </w:r>
          </w:p>
        </w:tc>
      </w:tr>
      <w:tr w14:paraId="1A24283D">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DB15">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9E21">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维普中文科技期刊数据库</w:t>
            </w:r>
          </w:p>
        </w:tc>
      </w:tr>
      <w:tr w14:paraId="7B63BADC">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743D">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3E52">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新东方多媒体学习库</w:t>
            </w:r>
          </w:p>
        </w:tc>
      </w:tr>
      <w:tr w14:paraId="6DE86261">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796A">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BC2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雅昌艺术图书数据库</w:t>
            </w:r>
          </w:p>
        </w:tc>
      </w:tr>
      <w:tr w14:paraId="33ADEC5D">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1103">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579E">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中国历史文献总库：民国图书数据库</w:t>
            </w:r>
          </w:p>
        </w:tc>
      </w:tr>
      <w:tr w14:paraId="35FE8927">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8CD2">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54</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1BE1">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中国社会科学文库</w:t>
            </w:r>
          </w:p>
        </w:tc>
      </w:tr>
      <w:tr w14:paraId="08EA0321">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6986">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55</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F0AD">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中华医学期刊全文数据库</w:t>
            </w:r>
          </w:p>
        </w:tc>
      </w:tr>
      <w:tr w14:paraId="6A19D7F7">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C59C">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56</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A321">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中文社会科学引文索引（CSSCI）</w:t>
            </w:r>
          </w:p>
        </w:tc>
      </w:tr>
      <w:tr w14:paraId="211DB5D6">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1AA9">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57</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AFDE">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CADAL百万册数字图书馆</w:t>
            </w:r>
          </w:p>
        </w:tc>
      </w:tr>
      <w:tr w14:paraId="13BC86CE">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9296">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58</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2EAE">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Frontiers in China系列期刊</w:t>
            </w:r>
          </w:p>
        </w:tc>
      </w:tr>
      <w:tr w14:paraId="3C937669">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4C27">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59</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3A4E">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鼎秀古籍全文检索平台V2.0</w:t>
            </w:r>
          </w:p>
        </w:tc>
      </w:tr>
      <w:tr w14:paraId="2DEB8A4A">
        <w:tblPrEx>
          <w:tblCellMar>
            <w:top w:w="0" w:type="dxa"/>
            <w:left w:w="108" w:type="dxa"/>
            <w:bottom w:w="0" w:type="dxa"/>
            <w:right w:w="108" w:type="dxa"/>
          </w:tblCellMar>
        </w:tblPrEx>
        <w:trPr>
          <w:trHeight w:val="454" w:hRule="atLeast"/>
          <w:jc w:val="cent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7D34">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60</w:t>
            </w:r>
          </w:p>
        </w:tc>
        <w:tc>
          <w:tcPr>
            <w:tcW w:w="4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EC50">
            <w:pPr>
              <w:keepNext w:val="0"/>
              <w:keepLines w:val="0"/>
              <w:pageBreakBefore w:val="0"/>
              <w:widowControl w:val="0"/>
              <w:kinsoku/>
              <w:wordWrap/>
              <w:overflowPunct/>
              <w:topLinePunct w:val="0"/>
              <w:bidi w:val="0"/>
              <w:adjustRightInd/>
              <w:snapToGrid/>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科学文库数据库</w:t>
            </w:r>
          </w:p>
        </w:tc>
      </w:tr>
    </w:tbl>
    <w:p w14:paraId="651EC4FC">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6.学院分馆</w:t>
      </w:r>
    </w:p>
    <w:p w14:paraId="6877F5CD">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6.1支持创建学院学科主页，管理员可以从学院列表中选择需要创建的学院主页，并设置资源推荐规则。</w:t>
      </w:r>
    </w:p>
    <w:p w14:paraId="5D1D95C8">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6.2学院学科资源主页设置管理可提供智能数据分析。管理员选择学院列表，系统可根据该学院用户的使用行为自动分析出资源匹配规则提供推荐参考，辅助管理员操作。</w:t>
      </w:r>
    </w:p>
    <w:p w14:paraId="53081177">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6.3学院主页栏目自动生成本院最新文献推荐、数据库推荐、教学资源专题、活跃读者排名、本院使用统计数据。</w:t>
      </w:r>
    </w:p>
    <w:p w14:paraId="7792ED13">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6.4学院学科资源主页提供该学院用户的最新发文成果展示，可与图书馆机构库知识库对接，对清理好的发文成果按列表显示。直接对列表按发文类型筛选。可引导用户到机构库查看详细数据。</w:t>
      </w:r>
    </w:p>
    <w:p w14:paraId="5A9DF2D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7.学科专题数据库</w:t>
      </w:r>
    </w:p>
    <w:p w14:paraId="787A8642">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7.1智能推荐：根据用户身份信息及行文数据，智能化为其推送感兴趣且有价值的期刊文献、新闻资讯等数据。</w:t>
      </w:r>
    </w:p>
    <w:p w14:paraId="0F7D95DB">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7.2用户订阅：支持期刊订阅、网站来源订阅。系统每日推送所订阅的期刊或网站的最新内容。</w:t>
      </w:r>
    </w:p>
    <w:p w14:paraId="5FEA9A0B">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7.3数据类型：期刊论文、学位论文、新闻资讯（论文解析、学术新闻、科研动态、基金项目）。</w:t>
      </w:r>
    </w:p>
    <w:p w14:paraId="46248DA2">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7.4数据语言：中文、英文。</w:t>
      </w:r>
    </w:p>
    <w:p w14:paraId="035A6070">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7.5数据范围：包括JCR评价报告、中国科技卓越期刊、中文核心期刊共计收录14000余种期刊，总计5000万余篇中外文文献和科技前沿新闻资讯。</w:t>
      </w:r>
    </w:p>
    <w:p w14:paraId="3D326155">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7.6更新周期：元数据日更新。</w:t>
      </w:r>
    </w:p>
    <w:p w14:paraId="50CCE001">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7.7原文保障：提供多种渠道的原文保障服务，支持中外文文献原文的在线阅读、文献传递以及原文链接。</w:t>
      </w:r>
    </w:p>
    <w:p w14:paraId="5EBA764E">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7.8学科范围：按教育部学科分类，涵盖人文社会学科、理学学科、工学学科、农学学科、医学学科共5个学科大类，哲学、经济学、天文学、地质学、心理学、生物工程、管理科学与工程等76个学科小类。</w:t>
      </w:r>
    </w:p>
    <w:p w14:paraId="3259766A">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7.9学科订阅：支持按学科订阅数据范围，系统将根据指定的学科类型推送或展示相关数据。</w:t>
      </w:r>
    </w:p>
    <w:p w14:paraId="2D207F73">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7.10学术兴趣词：除系统自动智能化地根据用户行为逻辑推荐数据外，用户还可自定义学术兴趣词，主动改变系统推荐逻辑，打造更具个性化的推荐结果。</w:t>
      </w:r>
    </w:p>
    <w:p w14:paraId="52C6286E">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7.11收藏与历史：支持收藏文献或新闻资讯，收藏的数据永久存在。系统自动记录近期的阅读历史。</w:t>
      </w:r>
    </w:p>
    <w:p w14:paraId="1709F302">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7.12数据检索：支持智能化的分词权重检索，支持中英文混检，简繁体混检，标题、作者、摘要等字段统一检索。</w:t>
      </w:r>
    </w:p>
    <w:p w14:paraId="73BC4E8B">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7.13产品特点：集成多种类型的学术资源，提供智能化及个性化的推荐服务，实现由“用户搜索资源”到“资源寻找用户”的知识服务思想转变。智能推荐系统聚焦于当前用户最感兴趣的学术资源，满足科研人员、教师和学生对最新文献的追踪需求，并提供中外文学术资源的收录及强大的全文保障服务。</w:t>
      </w:r>
    </w:p>
    <w:p w14:paraId="1A1E1AE4">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8.其他服务要求</w:t>
      </w:r>
    </w:p>
    <w:p w14:paraId="0FFA61FD">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8.1服务期内，为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138DF37D">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8.2定期提供数据库使用统计。</w:t>
      </w:r>
    </w:p>
    <w:p w14:paraId="039F7FBF">
      <w:pPr>
        <w:numPr>
          <w:ilvl w:val="255"/>
          <w:numId w:val="0"/>
        </w:numPr>
        <w:spacing w:line="4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8.3提供网络、电话及E-mail支持服务，响应时间不超过24小时。</w:t>
      </w:r>
    </w:p>
    <w:p w14:paraId="1D7F20FA">
      <w:pPr>
        <w:rPr>
          <w:rFonts w:ascii="宋体" w:hAnsi="宋体" w:cs="宋体"/>
          <w:b/>
          <w:szCs w:val="21"/>
        </w:rPr>
      </w:pPr>
    </w:p>
    <w:p w14:paraId="75E2E33E">
      <w:pPr>
        <w:spacing w:line="400" w:lineRule="exact"/>
        <w:ind w:firstLine="422" w:firstLineChars="200"/>
        <w:rPr>
          <w:rFonts w:ascii="宋体" w:hAnsi="宋体" w:cs="宋体"/>
          <w:b/>
          <w:szCs w:val="21"/>
        </w:rPr>
      </w:pPr>
      <w:r>
        <w:rPr>
          <w:rFonts w:ascii="宋体" w:hAnsi="宋体" w:cs="宋体"/>
          <w:b/>
          <w:szCs w:val="21"/>
        </w:rPr>
        <w:br w:type="page"/>
      </w:r>
    </w:p>
    <w:p w14:paraId="1EB386F9">
      <w:pPr>
        <w:spacing w:line="400" w:lineRule="exact"/>
        <w:ind w:firstLine="422" w:firstLineChars="200"/>
        <w:rPr>
          <w:rFonts w:ascii="宋体" w:hAnsi="宋体" w:cs="宋体"/>
          <w:b/>
          <w:szCs w:val="21"/>
        </w:rPr>
      </w:pPr>
      <w:r>
        <w:rPr>
          <w:rFonts w:hint="eastAsia" w:ascii="宋体" w:hAnsi="宋体" w:cs="宋体"/>
          <w:b/>
          <w:szCs w:val="21"/>
        </w:rPr>
        <w:t>标项三十三（网上报告厅）：</w:t>
      </w:r>
    </w:p>
    <w:p w14:paraId="1DC7D94C">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1.资源要求</w:t>
      </w:r>
    </w:p>
    <w:p w14:paraId="16E7FD3F">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1.1供应商所提供的平台应以大学生综合素质提升为产品理念，其所有应用功能应按照大学生的使用兴趣与学习习惯进行设计，并与全面的、有效</w:t>
      </w:r>
      <w:r>
        <w:rPr>
          <w:rFonts w:hint="eastAsia" w:ascii="宋体" w:hAnsi="宋体" w:cs="宋体"/>
          <w:szCs w:val="21"/>
          <w:lang w:eastAsia="zh-CN"/>
        </w:rPr>
        <w:t>地</w:t>
      </w:r>
      <w:r>
        <w:rPr>
          <w:rFonts w:hint="eastAsia" w:ascii="宋体" w:hAnsi="宋体" w:eastAsia="宋体" w:cs="宋体"/>
          <w:szCs w:val="21"/>
        </w:rPr>
        <w:t>提升大学生专业素质和综合素养的视频学习资源相结合。</w:t>
      </w:r>
    </w:p>
    <w:p w14:paraId="5CEB1C0C">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平台视频资源应满足在校大学生学习的需求，应包含“学术报告”和“学术鉴赏”两大资源板块。其中“学术报告”部分应包括综合素质、营销系列、医学系列、心理健康、文史系列、外语学习、体育系列、农林系列、理工系列、就业择业、经管系列、教育培训、法律视点、党政系列共计14大学术报告系列，视频总计不少于22000篇；“学术鉴赏”包括旅游地理、军事系列、探索发现、对话四大栏目，视频总计不少于3500篇。</w:t>
      </w:r>
    </w:p>
    <w:p w14:paraId="429FE11C">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lang w:eastAsia="zh-CN"/>
        </w:rPr>
        <w:t>★</w:t>
      </w:r>
      <w:r>
        <w:rPr>
          <w:rFonts w:hint="eastAsia" w:ascii="宋体" w:hAnsi="宋体" w:eastAsia="宋体" w:cs="宋体"/>
          <w:szCs w:val="21"/>
        </w:rPr>
        <w:t>1.3课程资源要求要与优秀版权资源方合作，要求供应商产品的收录合作单位应包括但不限于中共中央党校出版社、国家图书馆、北京大学音像出版社、深圳市英盛网络教育科技有限公司、欧亚法苑（北京）文化传播有限公司、中国计算机学会、中国农业科学技术出版社有限公司、中国农影音像出版社等优秀资源版权方，且供应商必须提供合作单位相关的授权文件。用以保证课程资源的质量。</w:t>
      </w:r>
    </w:p>
    <w:p w14:paraId="0A8BC678">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lang w:eastAsia="zh-CN"/>
        </w:rPr>
        <w:t>★</w:t>
      </w:r>
      <w:r>
        <w:rPr>
          <w:rFonts w:hint="eastAsia" w:ascii="宋体" w:hAnsi="宋体" w:eastAsia="宋体" w:cs="宋体"/>
          <w:szCs w:val="21"/>
        </w:rPr>
        <w:t>1.4要求供应商必须有自行拍摄研发课程的能力，能提供课程定制服务。</w:t>
      </w:r>
    </w:p>
    <w:p w14:paraId="2F498E29">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1.5要求供应商提供的视频资源为mp4格式，支持本地缓存播放。近2年视频资源支持提供1080P以上分辨率高清文件。</w:t>
      </w:r>
    </w:p>
    <w:p w14:paraId="33DF86F3">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lang w:eastAsia="zh-CN"/>
        </w:rPr>
        <w:t>★</w:t>
      </w:r>
      <w:r>
        <w:rPr>
          <w:rFonts w:hint="eastAsia" w:ascii="宋体" w:hAnsi="宋体" w:eastAsia="宋体" w:cs="宋体"/>
          <w:szCs w:val="21"/>
        </w:rPr>
        <w:t>1.6要求供应商每年更新累积必须超过4000篇，便于以后采购更新。</w:t>
      </w:r>
    </w:p>
    <w:p w14:paraId="2148D9C4">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2.功能要求</w:t>
      </w:r>
    </w:p>
    <w:p w14:paraId="02D7049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2.1支持手机端访问。要求供应商提供手机WAP版、微信小程序版的访问方式，实现资源内容的移动学习功能。</w:t>
      </w:r>
    </w:p>
    <w:p w14:paraId="0DD85DF7">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2.2WAP端平台应支持绑定机构官方微信公众号，用户通过入口直接输入账号和密码即可进入观看。</w:t>
      </w:r>
    </w:p>
    <w:p w14:paraId="4099944A">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2.3每个课程应包含视频、视频封面、课程简介、讲师简介、视频选集及相关课程等内容，方便用户找到核心内容，快速吸收知识点，增强学习效果。</w:t>
      </w:r>
    </w:p>
    <w:p w14:paraId="5EDAB745">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2.4应提供学习笔记功能，用户可以发布合规的笔记内容， 支持收录他人的公开笔记。帮助用户记录知识点与学习心得。</w:t>
      </w:r>
    </w:p>
    <w:p w14:paraId="07B5AA7C">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2.5视频播放功能支持全屏播放、倍速播放、单集循环播放、截图等，并提供收藏、点赞和分享功能，帮助用户更加全面、便捷、流畅</w:t>
      </w:r>
      <w:r>
        <w:rPr>
          <w:rFonts w:hint="eastAsia" w:ascii="宋体" w:hAnsi="宋体" w:cs="宋体"/>
          <w:szCs w:val="21"/>
          <w:lang w:eastAsia="zh-CN"/>
        </w:rPr>
        <w:t>地</w:t>
      </w:r>
      <w:r>
        <w:rPr>
          <w:rFonts w:hint="eastAsia" w:ascii="宋体" w:hAnsi="宋体" w:eastAsia="宋体" w:cs="宋体"/>
          <w:szCs w:val="21"/>
        </w:rPr>
        <w:t>学习使用。</w:t>
      </w:r>
    </w:p>
    <w:p w14:paraId="5F5A1769">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2.6提供全库检索功能，用户可通过关键词检索课程、视频、专题、讲师信息，以便高效、便捷、精准</w:t>
      </w:r>
      <w:r>
        <w:rPr>
          <w:rFonts w:hint="eastAsia" w:ascii="宋体" w:hAnsi="宋体" w:cs="宋体"/>
          <w:szCs w:val="21"/>
          <w:lang w:eastAsia="zh-CN"/>
        </w:rPr>
        <w:t>地</w:t>
      </w:r>
      <w:r>
        <w:rPr>
          <w:rFonts w:hint="eastAsia" w:ascii="宋体" w:hAnsi="宋体" w:eastAsia="宋体" w:cs="宋体"/>
          <w:szCs w:val="21"/>
        </w:rPr>
        <w:t>检索出多维度匹配内容。</w:t>
      </w:r>
    </w:p>
    <w:p w14:paraId="1E40F21C">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2.7平台应针对不同程度的用户，进行个性化的信息管理，提供个人中心功能。用户可以根据自身情况，注册相关个人信息，选择感兴趣的资源学习。</w:t>
      </w:r>
    </w:p>
    <w:p w14:paraId="3C94E348">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2.8满足后台辅助管理功能。通过管理员账号登录后台管理系统，实现课程资源数量、访问情况、播放情况的及时查询。</w:t>
      </w:r>
    </w:p>
    <w:p w14:paraId="36E00318">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3.技术要求</w:t>
      </w:r>
    </w:p>
    <w:p w14:paraId="4AE3839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3.1为使平台具备更高的安全性、稳定性，平台开发语言应该采用与Web紧密结合的完全面向对象的C#；网站技术采用 ASP.NET。</w:t>
      </w:r>
    </w:p>
    <w:p w14:paraId="153B0EF8">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3.2平台应具备及时的数据在线发布服务技术，保证与数据源同步更新。</w:t>
      </w:r>
    </w:p>
    <w:p w14:paraId="15BA09E7">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3.3要求供应商在国内至少3台备用服务器，确保使用者正常使用。</w:t>
      </w:r>
    </w:p>
    <w:p w14:paraId="1D1A932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3.4平台应具备数据加密技术，以保证视频课程的安全性，防止视频课程被非法传播。</w:t>
      </w:r>
    </w:p>
    <w:p w14:paraId="1F8CD7E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3.5使用的服务器配置</w:t>
      </w:r>
    </w:p>
    <w:tbl>
      <w:tblPr>
        <w:tblStyle w:val="52"/>
        <w:tblW w:w="4996"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888"/>
        <w:gridCol w:w="1740"/>
        <w:gridCol w:w="4785"/>
        <w:gridCol w:w="1753"/>
      </w:tblGrid>
      <w:tr w14:paraId="5552679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54" w:hRule="atLeast"/>
          <w:jc w:val="center"/>
        </w:trPr>
        <w:tc>
          <w:tcPr>
            <w:tcW w:w="484" w:type="pct"/>
            <w:tcBorders>
              <w:tl2br w:val="nil"/>
              <w:tr2bl w:val="nil"/>
            </w:tcBorders>
            <w:vAlign w:val="center"/>
          </w:tcPr>
          <w:p w14:paraId="38B1F333">
            <w:pPr>
              <w:spacing w:line="360" w:lineRule="auto"/>
              <w:jc w:val="center"/>
              <w:rPr>
                <w:rFonts w:hint="eastAsia" w:cs="微软雅黑" w:asciiTheme="minorEastAsia" w:hAnsiTheme="minorEastAsia" w:eastAsiaTheme="minorEastAsia"/>
                <w:b/>
                <w:bCs/>
                <w:szCs w:val="21"/>
                <w:lang w:val="en-US" w:eastAsia="zh-CN"/>
              </w:rPr>
            </w:pPr>
            <w:r>
              <w:rPr>
                <w:rFonts w:hint="eastAsia" w:cs="微软雅黑" w:asciiTheme="minorEastAsia" w:hAnsiTheme="minorEastAsia" w:eastAsiaTheme="minorEastAsia"/>
                <w:b/>
                <w:bCs/>
                <w:szCs w:val="21"/>
                <w:lang w:val="en-US" w:eastAsia="zh-CN"/>
              </w:rPr>
              <w:t>序号</w:t>
            </w:r>
          </w:p>
        </w:tc>
        <w:tc>
          <w:tcPr>
            <w:tcW w:w="949" w:type="pct"/>
            <w:tcBorders>
              <w:tl2br w:val="nil"/>
              <w:tr2bl w:val="nil"/>
            </w:tcBorders>
            <w:vAlign w:val="center"/>
          </w:tcPr>
          <w:p w14:paraId="1DCBD029">
            <w:pPr>
              <w:spacing w:line="360" w:lineRule="auto"/>
              <w:jc w:val="center"/>
              <w:rPr>
                <w:rFonts w:hint="eastAsia" w:cs="微软雅黑" w:asciiTheme="minorEastAsia" w:hAnsiTheme="minorEastAsia" w:eastAsiaTheme="minorEastAsia"/>
                <w:b/>
                <w:bCs/>
                <w:szCs w:val="21"/>
                <w:lang w:val="en-US" w:eastAsia="zh-CN"/>
              </w:rPr>
            </w:pPr>
            <w:r>
              <w:rPr>
                <w:rFonts w:hint="eastAsia" w:cs="微软雅黑" w:asciiTheme="minorEastAsia" w:hAnsiTheme="minorEastAsia" w:eastAsiaTheme="minorEastAsia"/>
                <w:b/>
                <w:bCs/>
                <w:szCs w:val="21"/>
                <w:lang w:val="en-US" w:eastAsia="zh-CN"/>
              </w:rPr>
              <w:t>设备</w:t>
            </w:r>
          </w:p>
        </w:tc>
        <w:tc>
          <w:tcPr>
            <w:tcW w:w="2609" w:type="pct"/>
            <w:tcBorders>
              <w:tl2br w:val="nil"/>
              <w:tr2bl w:val="nil"/>
            </w:tcBorders>
            <w:vAlign w:val="center"/>
          </w:tcPr>
          <w:p w14:paraId="2EFD6633">
            <w:pPr>
              <w:spacing w:line="360" w:lineRule="auto"/>
              <w:jc w:val="center"/>
              <w:rPr>
                <w:rFonts w:hint="default" w:cs="微软雅黑" w:asciiTheme="minorEastAsia" w:hAnsiTheme="minorEastAsia" w:eastAsiaTheme="minorEastAsia"/>
                <w:b/>
                <w:bCs/>
                <w:szCs w:val="21"/>
                <w:lang w:val="en-US" w:eastAsia="zh-CN"/>
              </w:rPr>
            </w:pPr>
            <w:r>
              <w:rPr>
                <w:rFonts w:hint="eastAsia" w:cs="微软雅黑" w:asciiTheme="minorEastAsia" w:hAnsiTheme="minorEastAsia" w:eastAsiaTheme="minorEastAsia"/>
                <w:b/>
                <w:bCs/>
                <w:szCs w:val="21"/>
                <w:lang w:val="en-US" w:eastAsia="zh-CN"/>
              </w:rPr>
              <w:t>推荐配置</w:t>
            </w:r>
          </w:p>
        </w:tc>
        <w:tc>
          <w:tcPr>
            <w:tcW w:w="956" w:type="pct"/>
            <w:tcBorders>
              <w:tl2br w:val="nil"/>
              <w:tr2bl w:val="nil"/>
            </w:tcBorders>
            <w:vAlign w:val="center"/>
          </w:tcPr>
          <w:p w14:paraId="0CC0A3A3">
            <w:pPr>
              <w:spacing w:line="360" w:lineRule="auto"/>
              <w:jc w:val="center"/>
              <w:rPr>
                <w:rFonts w:hint="eastAsia" w:cs="微软雅黑" w:asciiTheme="minorEastAsia" w:hAnsiTheme="minorEastAsia" w:eastAsiaTheme="minorEastAsia"/>
                <w:b/>
                <w:bCs/>
                <w:szCs w:val="21"/>
                <w:lang w:val="en-US" w:eastAsia="zh-CN"/>
              </w:rPr>
            </w:pPr>
            <w:r>
              <w:rPr>
                <w:rFonts w:hint="eastAsia" w:cs="微软雅黑" w:asciiTheme="minorEastAsia" w:hAnsiTheme="minorEastAsia" w:eastAsiaTheme="minorEastAsia"/>
                <w:b/>
                <w:bCs/>
                <w:szCs w:val="21"/>
                <w:lang w:val="en-US" w:eastAsia="zh-CN"/>
              </w:rPr>
              <w:t>备注</w:t>
            </w:r>
          </w:p>
        </w:tc>
      </w:tr>
      <w:tr w14:paraId="273B924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54" w:hRule="atLeast"/>
          <w:jc w:val="center"/>
        </w:trPr>
        <w:tc>
          <w:tcPr>
            <w:tcW w:w="484" w:type="pct"/>
            <w:tcBorders>
              <w:tl2br w:val="nil"/>
              <w:tr2bl w:val="nil"/>
            </w:tcBorders>
            <w:shd w:val="clear" w:color="auto" w:fill="auto"/>
            <w:vAlign w:val="center"/>
          </w:tcPr>
          <w:p w14:paraId="4733A664">
            <w:pPr>
              <w:spacing w:line="360" w:lineRule="auto"/>
              <w:jc w:val="center"/>
              <w:rPr>
                <w:rFonts w:hint="eastAsia" w:cs="微软雅黑"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1</w:t>
            </w:r>
          </w:p>
        </w:tc>
        <w:tc>
          <w:tcPr>
            <w:tcW w:w="949" w:type="pct"/>
            <w:tcBorders>
              <w:tl2br w:val="nil"/>
              <w:tr2bl w:val="nil"/>
            </w:tcBorders>
            <w:shd w:val="clear" w:color="auto" w:fill="auto"/>
            <w:vAlign w:val="center"/>
          </w:tcPr>
          <w:p w14:paraId="36C9B485">
            <w:pPr>
              <w:spacing w:line="360" w:lineRule="auto"/>
              <w:jc w:val="center"/>
              <w:rPr>
                <w:rFonts w:hint="eastAsia" w:cs="微软雅黑"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应用服务器</w:t>
            </w:r>
          </w:p>
        </w:tc>
        <w:tc>
          <w:tcPr>
            <w:tcW w:w="2609" w:type="pct"/>
            <w:tcBorders>
              <w:tl2br w:val="nil"/>
              <w:tr2bl w:val="nil"/>
            </w:tcBorders>
            <w:shd w:val="clear" w:color="auto" w:fill="auto"/>
            <w:vAlign w:val="center"/>
          </w:tcPr>
          <w:p w14:paraId="1BF46288">
            <w:pPr>
              <w:spacing w:line="360" w:lineRule="auto"/>
              <w:jc w:val="center"/>
              <w:rPr>
                <w:rFonts w:hint="eastAsia" w:cs="微软雅黑"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2*英特尔至强处理器(八核）/16GB内存/4T硬盘</w:t>
            </w:r>
          </w:p>
        </w:tc>
        <w:tc>
          <w:tcPr>
            <w:tcW w:w="956" w:type="pct"/>
            <w:tcBorders>
              <w:tl2br w:val="nil"/>
              <w:tr2bl w:val="nil"/>
            </w:tcBorders>
            <w:shd w:val="clear" w:color="auto" w:fill="auto"/>
            <w:vAlign w:val="center"/>
          </w:tcPr>
          <w:p w14:paraId="68E14870">
            <w:pPr>
              <w:spacing w:line="360" w:lineRule="auto"/>
              <w:jc w:val="center"/>
              <w:rPr>
                <w:rFonts w:hint="eastAsia" w:cs="微软雅黑" w:asciiTheme="minorEastAsia" w:hAnsiTheme="minorEastAsia" w:eastAsiaTheme="minorEastAsia"/>
                <w:szCs w:val="21"/>
              </w:rPr>
            </w:pPr>
            <w:r>
              <w:rPr>
                <w:rFonts w:hint="eastAsia" w:cs="微软雅黑" w:asciiTheme="minorEastAsia" w:hAnsiTheme="minorEastAsia" w:eastAsiaTheme="minorEastAsia"/>
                <w:szCs w:val="21"/>
              </w:rPr>
              <w:t>部署平台、防病毒软件</w:t>
            </w:r>
          </w:p>
          <w:p w14:paraId="01BD795C">
            <w:pPr>
              <w:spacing w:line="360" w:lineRule="auto"/>
              <w:jc w:val="center"/>
              <w:rPr>
                <w:rFonts w:hint="eastAsia" w:cs="微软雅黑" w:asciiTheme="minorEastAsia" w:hAnsiTheme="minorEastAsia" w:eastAsiaTheme="minorEastAsia"/>
                <w:kern w:val="2"/>
                <w:sz w:val="21"/>
                <w:szCs w:val="21"/>
                <w:lang w:val="en-US" w:eastAsia="zh-CN" w:bidi="ar-SA"/>
              </w:rPr>
            </w:pPr>
            <w:r>
              <w:rPr>
                <w:rFonts w:hint="eastAsia" w:cs="微软雅黑" w:asciiTheme="minorEastAsia" w:hAnsiTheme="minorEastAsia" w:eastAsiaTheme="minorEastAsia"/>
                <w:szCs w:val="21"/>
              </w:rPr>
              <w:t>数据资源</w:t>
            </w:r>
          </w:p>
        </w:tc>
      </w:tr>
      <w:tr w14:paraId="52FA880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54" w:hRule="atLeast"/>
          <w:jc w:val="center"/>
        </w:trPr>
        <w:tc>
          <w:tcPr>
            <w:tcW w:w="484" w:type="pct"/>
            <w:tcBorders>
              <w:tl2br w:val="nil"/>
              <w:tr2bl w:val="nil"/>
            </w:tcBorders>
            <w:vAlign w:val="center"/>
          </w:tcPr>
          <w:p w14:paraId="555C578E">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2</w:t>
            </w:r>
          </w:p>
        </w:tc>
        <w:tc>
          <w:tcPr>
            <w:tcW w:w="949" w:type="pct"/>
            <w:tcBorders>
              <w:tl2br w:val="nil"/>
              <w:tr2bl w:val="nil"/>
            </w:tcBorders>
            <w:vAlign w:val="center"/>
          </w:tcPr>
          <w:p w14:paraId="5297C4AB">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数据库服务器</w:t>
            </w:r>
          </w:p>
        </w:tc>
        <w:tc>
          <w:tcPr>
            <w:tcW w:w="2609" w:type="pct"/>
            <w:tcBorders>
              <w:tl2br w:val="nil"/>
              <w:tr2bl w:val="nil"/>
            </w:tcBorders>
            <w:vAlign w:val="center"/>
          </w:tcPr>
          <w:p w14:paraId="2360A50C">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2*英特尔至强处理器(四核）/8GB内存/500G硬盘</w:t>
            </w:r>
          </w:p>
        </w:tc>
        <w:tc>
          <w:tcPr>
            <w:tcW w:w="956" w:type="pct"/>
            <w:tcBorders>
              <w:tl2br w:val="nil"/>
              <w:tr2bl w:val="nil"/>
            </w:tcBorders>
            <w:vAlign w:val="center"/>
          </w:tcPr>
          <w:p w14:paraId="4DA8776E">
            <w:pPr>
              <w:spacing w:line="360" w:lineRule="auto"/>
              <w:jc w:val="center"/>
              <w:rPr>
                <w:rFonts w:hint="eastAsia" w:cs="微软雅黑" w:asciiTheme="minorEastAsia" w:hAnsiTheme="minorEastAsia" w:eastAsiaTheme="minorEastAsia"/>
                <w:szCs w:val="21"/>
              </w:rPr>
            </w:pPr>
          </w:p>
        </w:tc>
      </w:tr>
      <w:tr w14:paraId="1343FABD">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54" w:hRule="atLeast"/>
          <w:jc w:val="center"/>
        </w:trPr>
        <w:tc>
          <w:tcPr>
            <w:tcW w:w="484" w:type="pct"/>
            <w:tcBorders>
              <w:tl2br w:val="nil"/>
              <w:tr2bl w:val="nil"/>
            </w:tcBorders>
            <w:vAlign w:val="center"/>
          </w:tcPr>
          <w:p w14:paraId="70418946">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3</w:t>
            </w:r>
          </w:p>
        </w:tc>
        <w:tc>
          <w:tcPr>
            <w:tcW w:w="949" w:type="pct"/>
            <w:tcBorders>
              <w:tl2br w:val="nil"/>
              <w:tr2bl w:val="nil"/>
            </w:tcBorders>
            <w:vAlign w:val="center"/>
          </w:tcPr>
          <w:p w14:paraId="1D3C31A0">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操作系统</w:t>
            </w:r>
          </w:p>
        </w:tc>
        <w:tc>
          <w:tcPr>
            <w:tcW w:w="2609" w:type="pct"/>
            <w:tcBorders>
              <w:tl2br w:val="nil"/>
              <w:tr2bl w:val="nil"/>
            </w:tcBorders>
            <w:vAlign w:val="center"/>
          </w:tcPr>
          <w:p w14:paraId="29488FE2">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Microsoft Windows server 2012/2016/2019</w:t>
            </w:r>
          </w:p>
        </w:tc>
        <w:tc>
          <w:tcPr>
            <w:tcW w:w="956" w:type="pct"/>
            <w:tcBorders>
              <w:tl2br w:val="nil"/>
              <w:tr2bl w:val="nil"/>
            </w:tcBorders>
            <w:vAlign w:val="center"/>
          </w:tcPr>
          <w:p w14:paraId="5FC492E3">
            <w:pPr>
              <w:spacing w:line="360" w:lineRule="auto"/>
              <w:jc w:val="center"/>
              <w:rPr>
                <w:rFonts w:hint="eastAsia" w:cs="微软雅黑" w:asciiTheme="minorEastAsia" w:hAnsiTheme="minorEastAsia" w:eastAsiaTheme="minorEastAsia"/>
                <w:szCs w:val="21"/>
              </w:rPr>
            </w:pPr>
          </w:p>
        </w:tc>
      </w:tr>
      <w:tr w14:paraId="571B9833">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454" w:hRule="atLeast"/>
          <w:jc w:val="center"/>
        </w:trPr>
        <w:tc>
          <w:tcPr>
            <w:tcW w:w="484" w:type="pct"/>
            <w:tcBorders>
              <w:tl2br w:val="nil"/>
              <w:tr2bl w:val="nil"/>
            </w:tcBorders>
            <w:vAlign w:val="center"/>
          </w:tcPr>
          <w:p w14:paraId="31F6EA32">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4</w:t>
            </w:r>
          </w:p>
        </w:tc>
        <w:tc>
          <w:tcPr>
            <w:tcW w:w="949" w:type="pct"/>
            <w:tcBorders>
              <w:tl2br w:val="nil"/>
              <w:tr2bl w:val="nil"/>
            </w:tcBorders>
            <w:vAlign w:val="center"/>
          </w:tcPr>
          <w:p w14:paraId="68834938">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数据库</w:t>
            </w:r>
          </w:p>
        </w:tc>
        <w:tc>
          <w:tcPr>
            <w:tcW w:w="2609" w:type="pct"/>
            <w:tcBorders>
              <w:tl2br w:val="nil"/>
              <w:tr2bl w:val="nil"/>
            </w:tcBorders>
            <w:vAlign w:val="center"/>
          </w:tcPr>
          <w:p w14:paraId="0F9CC702">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MySQL 5.7 +</w:t>
            </w:r>
          </w:p>
        </w:tc>
        <w:tc>
          <w:tcPr>
            <w:tcW w:w="956" w:type="pct"/>
            <w:tcBorders>
              <w:tl2br w:val="nil"/>
              <w:tr2bl w:val="nil"/>
            </w:tcBorders>
            <w:vAlign w:val="center"/>
          </w:tcPr>
          <w:p w14:paraId="0C8B4D27">
            <w:pPr>
              <w:spacing w:line="360" w:lineRule="auto"/>
              <w:jc w:val="center"/>
              <w:rPr>
                <w:rFonts w:hint="eastAsia" w:cs="微软雅黑" w:asciiTheme="minorEastAsia" w:hAnsiTheme="minorEastAsia" w:eastAsiaTheme="minorEastAsia"/>
                <w:szCs w:val="21"/>
              </w:rPr>
            </w:pPr>
          </w:p>
        </w:tc>
      </w:tr>
    </w:tbl>
    <w:p w14:paraId="58AABDDC">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3</w:t>
      </w:r>
      <w:r>
        <w:rPr>
          <w:rFonts w:cs="微软雅黑" w:asciiTheme="minorEastAsia" w:hAnsiTheme="minorEastAsia" w:eastAsiaTheme="minorEastAsia"/>
          <w:color w:val="000000"/>
          <w:szCs w:val="21"/>
        </w:rPr>
        <w:t>.6</w:t>
      </w:r>
      <w:r>
        <w:rPr>
          <w:rFonts w:hint="eastAsia" w:cs="微软雅黑" w:asciiTheme="minorEastAsia" w:hAnsiTheme="minorEastAsia" w:eastAsiaTheme="minorEastAsia"/>
          <w:color w:val="000000"/>
          <w:szCs w:val="21"/>
        </w:rPr>
        <w:t>使用的客户端配置</w:t>
      </w:r>
    </w:p>
    <w:tbl>
      <w:tblPr>
        <w:tblStyle w:val="52"/>
        <w:tblW w:w="4999"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Layout w:type="autofit"/>
        <w:tblCellMar>
          <w:top w:w="0" w:type="dxa"/>
          <w:left w:w="108" w:type="dxa"/>
          <w:bottom w:w="0" w:type="dxa"/>
          <w:right w:w="108" w:type="dxa"/>
        </w:tblCellMar>
      </w:tblPr>
      <w:tblGrid>
        <w:gridCol w:w="820"/>
        <w:gridCol w:w="1699"/>
        <w:gridCol w:w="4918"/>
        <w:gridCol w:w="1734"/>
      </w:tblGrid>
      <w:tr w14:paraId="6B29F4BF">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454" w:hRule="atLeast"/>
          <w:tblHeader/>
          <w:jc w:val="center"/>
        </w:trPr>
        <w:tc>
          <w:tcPr>
            <w:tcW w:w="447" w:type="pct"/>
            <w:tcBorders>
              <w:tl2br w:val="nil"/>
              <w:tr2bl w:val="nil"/>
            </w:tcBorders>
            <w:shd w:val="clear" w:color="auto" w:fill="FFFFFF" w:themeFill="background1"/>
            <w:vAlign w:val="center"/>
          </w:tcPr>
          <w:p w14:paraId="294278E4">
            <w:pPr>
              <w:spacing w:line="360" w:lineRule="auto"/>
              <w:jc w:val="center"/>
              <w:rPr>
                <w:rFonts w:hint="eastAsia" w:cs="微软雅黑" w:asciiTheme="minorEastAsia" w:hAnsiTheme="minorEastAsia" w:eastAsiaTheme="minorEastAsia"/>
                <w:b/>
                <w:bCs/>
                <w:szCs w:val="21"/>
                <w:lang w:val="en-US" w:eastAsia="zh-CN"/>
              </w:rPr>
            </w:pPr>
            <w:r>
              <w:rPr>
                <w:rFonts w:hint="eastAsia" w:cs="微软雅黑" w:asciiTheme="minorEastAsia" w:hAnsiTheme="minorEastAsia" w:eastAsiaTheme="minorEastAsia"/>
                <w:b/>
                <w:bCs/>
                <w:szCs w:val="21"/>
                <w:lang w:val="en-US" w:eastAsia="zh-CN"/>
              </w:rPr>
              <w:t>序号</w:t>
            </w:r>
          </w:p>
        </w:tc>
        <w:tc>
          <w:tcPr>
            <w:tcW w:w="926" w:type="pct"/>
            <w:tcBorders>
              <w:tl2br w:val="nil"/>
              <w:tr2bl w:val="nil"/>
            </w:tcBorders>
            <w:shd w:val="clear" w:color="auto" w:fill="FFFFFF" w:themeFill="background1"/>
            <w:vAlign w:val="center"/>
          </w:tcPr>
          <w:p w14:paraId="76247FBE">
            <w:pPr>
              <w:spacing w:line="360" w:lineRule="auto"/>
              <w:jc w:val="center"/>
              <w:rPr>
                <w:rFonts w:hint="eastAsia" w:cs="微软雅黑" w:asciiTheme="minorEastAsia" w:hAnsiTheme="minorEastAsia" w:eastAsiaTheme="minorEastAsia"/>
                <w:b/>
                <w:bCs/>
                <w:szCs w:val="21"/>
                <w:lang w:val="en-US" w:eastAsia="zh-CN"/>
              </w:rPr>
            </w:pPr>
            <w:r>
              <w:rPr>
                <w:rFonts w:hint="eastAsia" w:cs="微软雅黑" w:asciiTheme="minorEastAsia" w:hAnsiTheme="minorEastAsia" w:eastAsiaTheme="minorEastAsia"/>
                <w:b/>
                <w:bCs/>
                <w:szCs w:val="21"/>
                <w:lang w:val="en-US" w:eastAsia="zh-CN"/>
              </w:rPr>
              <w:t>设备</w:t>
            </w:r>
          </w:p>
        </w:tc>
        <w:tc>
          <w:tcPr>
            <w:tcW w:w="2680" w:type="pct"/>
            <w:tcBorders>
              <w:tl2br w:val="nil"/>
              <w:tr2bl w:val="nil"/>
            </w:tcBorders>
            <w:shd w:val="clear" w:color="auto" w:fill="FFFFFF" w:themeFill="background1"/>
            <w:vAlign w:val="center"/>
          </w:tcPr>
          <w:p w14:paraId="71458FB6">
            <w:pPr>
              <w:spacing w:line="360" w:lineRule="auto"/>
              <w:jc w:val="center"/>
              <w:rPr>
                <w:rFonts w:hint="eastAsia" w:cs="微软雅黑" w:asciiTheme="minorEastAsia" w:hAnsiTheme="minorEastAsia" w:eastAsiaTheme="minorEastAsia"/>
                <w:b/>
                <w:bCs/>
                <w:szCs w:val="21"/>
                <w:lang w:val="en-US" w:eastAsia="zh-CN"/>
              </w:rPr>
            </w:pPr>
            <w:r>
              <w:rPr>
                <w:rFonts w:hint="eastAsia" w:cs="微软雅黑" w:asciiTheme="minorEastAsia" w:hAnsiTheme="minorEastAsia" w:eastAsiaTheme="minorEastAsia"/>
                <w:b/>
                <w:bCs/>
                <w:szCs w:val="21"/>
                <w:lang w:val="en-US" w:eastAsia="zh-CN"/>
              </w:rPr>
              <w:t>推荐配置</w:t>
            </w:r>
          </w:p>
        </w:tc>
        <w:tc>
          <w:tcPr>
            <w:tcW w:w="945" w:type="pct"/>
            <w:tcBorders>
              <w:tl2br w:val="nil"/>
              <w:tr2bl w:val="nil"/>
            </w:tcBorders>
            <w:shd w:val="clear" w:color="auto" w:fill="FFFFFF" w:themeFill="background1"/>
            <w:vAlign w:val="center"/>
          </w:tcPr>
          <w:p w14:paraId="14A72458">
            <w:pPr>
              <w:spacing w:line="360" w:lineRule="auto"/>
              <w:jc w:val="center"/>
              <w:rPr>
                <w:rFonts w:hint="eastAsia" w:cs="微软雅黑" w:asciiTheme="minorEastAsia" w:hAnsiTheme="minorEastAsia" w:eastAsiaTheme="minorEastAsia"/>
                <w:b/>
                <w:bCs/>
                <w:szCs w:val="21"/>
                <w:lang w:val="en-US" w:eastAsia="zh-CN"/>
              </w:rPr>
            </w:pPr>
            <w:r>
              <w:rPr>
                <w:rFonts w:hint="eastAsia" w:cs="微软雅黑" w:asciiTheme="minorEastAsia" w:hAnsiTheme="minorEastAsia" w:eastAsiaTheme="minorEastAsia"/>
                <w:b/>
                <w:bCs/>
                <w:szCs w:val="21"/>
                <w:lang w:val="en-US" w:eastAsia="zh-CN"/>
              </w:rPr>
              <w:t>备注</w:t>
            </w:r>
          </w:p>
        </w:tc>
      </w:tr>
      <w:tr w14:paraId="5EA0F951">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454" w:hRule="atLeast"/>
          <w:jc w:val="center"/>
        </w:trPr>
        <w:tc>
          <w:tcPr>
            <w:tcW w:w="447" w:type="pct"/>
            <w:tcBorders>
              <w:tl2br w:val="nil"/>
              <w:tr2bl w:val="nil"/>
            </w:tcBorders>
            <w:shd w:val="clear" w:color="auto" w:fill="FFFFFF" w:themeFill="background1"/>
            <w:vAlign w:val="center"/>
          </w:tcPr>
          <w:p w14:paraId="439F26BE">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1</w:t>
            </w:r>
          </w:p>
        </w:tc>
        <w:tc>
          <w:tcPr>
            <w:tcW w:w="926" w:type="pct"/>
            <w:tcBorders>
              <w:tl2br w:val="nil"/>
              <w:tr2bl w:val="nil"/>
            </w:tcBorders>
            <w:shd w:val="clear" w:color="auto" w:fill="FFFFFF" w:themeFill="background1"/>
            <w:vAlign w:val="center"/>
          </w:tcPr>
          <w:p w14:paraId="4B9E1B78">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PC主要配置</w:t>
            </w:r>
          </w:p>
        </w:tc>
        <w:tc>
          <w:tcPr>
            <w:tcW w:w="2680" w:type="pct"/>
            <w:tcBorders>
              <w:tl2br w:val="nil"/>
              <w:tr2bl w:val="nil"/>
            </w:tcBorders>
            <w:shd w:val="clear" w:color="auto" w:fill="FFFFFF" w:themeFill="background1"/>
            <w:vAlign w:val="center"/>
          </w:tcPr>
          <w:p w14:paraId="0B909946">
            <w:pPr>
              <w:spacing w:line="360" w:lineRule="auto"/>
              <w:rPr>
                <w:rFonts w:hint="eastAsia" w:cs="微软雅黑" w:asciiTheme="minorEastAsia" w:hAnsiTheme="minorEastAsia" w:eastAsiaTheme="minorEastAsia"/>
                <w:szCs w:val="21"/>
              </w:rPr>
            </w:pPr>
            <w:r>
              <w:rPr>
                <w:rFonts w:hint="eastAsia" w:asciiTheme="minorEastAsia" w:hAnsiTheme="minorEastAsia" w:eastAsiaTheme="minorEastAsia"/>
                <w:szCs w:val="21"/>
              </w:rPr>
              <w:t>硬件无具体要求</w:t>
            </w:r>
          </w:p>
        </w:tc>
        <w:tc>
          <w:tcPr>
            <w:tcW w:w="945" w:type="pct"/>
            <w:tcBorders>
              <w:tl2br w:val="nil"/>
              <w:tr2bl w:val="nil"/>
            </w:tcBorders>
            <w:shd w:val="clear" w:color="auto" w:fill="FFFFFF" w:themeFill="background1"/>
          </w:tcPr>
          <w:p w14:paraId="4554BB44">
            <w:pPr>
              <w:spacing w:line="360" w:lineRule="auto"/>
              <w:rPr>
                <w:rFonts w:hint="eastAsia" w:cs="微软雅黑" w:asciiTheme="minorEastAsia" w:hAnsiTheme="minorEastAsia" w:eastAsiaTheme="minorEastAsia"/>
                <w:szCs w:val="21"/>
              </w:rPr>
            </w:pPr>
          </w:p>
        </w:tc>
      </w:tr>
      <w:tr w14:paraId="3DEC45F8">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454" w:hRule="atLeast"/>
          <w:jc w:val="center"/>
        </w:trPr>
        <w:tc>
          <w:tcPr>
            <w:tcW w:w="447" w:type="pct"/>
            <w:tcBorders>
              <w:tl2br w:val="nil"/>
              <w:tr2bl w:val="nil"/>
            </w:tcBorders>
            <w:shd w:val="clear" w:color="auto" w:fill="FFFFFF" w:themeFill="background1"/>
            <w:vAlign w:val="center"/>
          </w:tcPr>
          <w:p w14:paraId="60897B8E">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2</w:t>
            </w:r>
          </w:p>
        </w:tc>
        <w:tc>
          <w:tcPr>
            <w:tcW w:w="926" w:type="pct"/>
            <w:tcBorders>
              <w:tl2br w:val="nil"/>
              <w:tr2bl w:val="nil"/>
            </w:tcBorders>
            <w:shd w:val="clear" w:color="auto" w:fill="FFFFFF" w:themeFill="background1"/>
            <w:vAlign w:val="center"/>
          </w:tcPr>
          <w:p w14:paraId="1555DC57">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操作系统</w:t>
            </w:r>
          </w:p>
        </w:tc>
        <w:tc>
          <w:tcPr>
            <w:tcW w:w="2680" w:type="pct"/>
            <w:tcBorders>
              <w:tl2br w:val="nil"/>
              <w:tr2bl w:val="nil"/>
            </w:tcBorders>
            <w:shd w:val="clear" w:color="auto" w:fill="FFFFFF" w:themeFill="background1"/>
            <w:vAlign w:val="center"/>
          </w:tcPr>
          <w:p w14:paraId="19F2C2B6">
            <w:pPr>
              <w:spacing w:line="360" w:lineRule="auto"/>
              <w:rPr>
                <w:rFonts w:hint="eastAsia" w:cs="微软雅黑" w:asciiTheme="minorEastAsia" w:hAnsiTheme="minorEastAsia" w:eastAsiaTheme="minorEastAsia"/>
                <w:szCs w:val="21"/>
              </w:rPr>
            </w:pPr>
            <w:r>
              <w:rPr>
                <w:rFonts w:hint="eastAsia" w:cs="宋体" w:asciiTheme="minorEastAsia" w:hAnsiTheme="minorEastAsia" w:eastAsiaTheme="minorEastAsia"/>
                <w:szCs w:val="21"/>
                <w:lang w:bidi="ar"/>
              </w:rPr>
              <w:t>Windows 10、Windows 11、macOS Ventura、macOS Sonoma</w:t>
            </w:r>
          </w:p>
        </w:tc>
        <w:tc>
          <w:tcPr>
            <w:tcW w:w="945" w:type="pct"/>
            <w:tcBorders>
              <w:tl2br w:val="nil"/>
              <w:tr2bl w:val="nil"/>
            </w:tcBorders>
            <w:shd w:val="clear" w:color="auto" w:fill="FFFFFF" w:themeFill="background1"/>
          </w:tcPr>
          <w:p w14:paraId="11247013">
            <w:pPr>
              <w:spacing w:line="360" w:lineRule="auto"/>
              <w:rPr>
                <w:rFonts w:hint="eastAsia" w:cs="微软雅黑" w:asciiTheme="minorEastAsia" w:hAnsiTheme="minorEastAsia" w:eastAsiaTheme="minorEastAsia"/>
                <w:szCs w:val="21"/>
              </w:rPr>
            </w:pPr>
          </w:p>
        </w:tc>
      </w:tr>
      <w:tr w14:paraId="0B768AD5">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shd w:val="clear" w:color="auto" w:fill="FFFFFF" w:themeFill="background1"/>
          <w:tblCellMar>
            <w:top w:w="0" w:type="dxa"/>
            <w:left w:w="108" w:type="dxa"/>
            <w:bottom w:w="0" w:type="dxa"/>
            <w:right w:w="108" w:type="dxa"/>
          </w:tblCellMar>
        </w:tblPrEx>
        <w:trPr>
          <w:trHeight w:val="454" w:hRule="atLeast"/>
          <w:jc w:val="center"/>
        </w:trPr>
        <w:tc>
          <w:tcPr>
            <w:tcW w:w="447" w:type="pct"/>
            <w:tcBorders>
              <w:tl2br w:val="nil"/>
              <w:tr2bl w:val="nil"/>
            </w:tcBorders>
            <w:shd w:val="clear" w:color="auto" w:fill="FFFFFF" w:themeFill="background1"/>
            <w:vAlign w:val="center"/>
          </w:tcPr>
          <w:p w14:paraId="2C45165C">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3</w:t>
            </w:r>
          </w:p>
        </w:tc>
        <w:tc>
          <w:tcPr>
            <w:tcW w:w="926" w:type="pct"/>
            <w:tcBorders>
              <w:tl2br w:val="nil"/>
              <w:tr2bl w:val="nil"/>
            </w:tcBorders>
            <w:shd w:val="clear" w:color="auto" w:fill="FFFFFF" w:themeFill="background1"/>
            <w:vAlign w:val="center"/>
          </w:tcPr>
          <w:p w14:paraId="71778409">
            <w:pPr>
              <w:spacing w:line="360" w:lineRule="auto"/>
              <w:jc w:val="center"/>
              <w:rPr>
                <w:rFonts w:hint="eastAsia" w:cs="微软雅黑" w:asciiTheme="minorEastAsia" w:hAnsiTheme="minorEastAsia" w:eastAsiaTheme="minorEastAsia"/>
                <w:szCs w:val="21"/>
              </w:rPr>
            </w:pPr>
            <w:r>
              <w:rPr>
                <w:rFonts w:hint="eastAsia" w:asciiTheme="minorEastAsia" w:hAnsiTheme="minorEastAsia" w:eastAsiaTheme="minorEastAsia"/>
                <w:szCs w:val="21"/>
              </w:rPr>
              <w:t>浏览器</w:t>
            </w:r>
          </w:p>
        </w:tc>
        <w:tc>
          <w:tcPr>
            <w:tcW w:w="2680" w:type="pct"/>
            <w:tcBorders>
              <w:tl2br w:val="nil"/>
              <w:tr2bl w:val="nil"/>
            </w:tcBorders>
            <w:shd w:val="clear" w:color="auto" w:fill="FFFFFF" w:themeFill="background1"/>
            <w:vAlign w:val="center"/>
          </w:tcPr>
          <w:p w14:paraId="11114B74">
            <w:pPr>
              <w:widowControl/>
              <w:jc w:val="left"/>
              <w:rPr>
                <w:rFonts w:hint="eastAsia" w:asciiTheme="minorEastAsia" w:hAnsiTheme="minorEastAsia" w:eastAsiaTheme="minorEastAsia"/>
                <w:szCs w:val="21"/>
              </w:rPr>
            </w:pPr>
            <w:r>
              <w:rPr>
                <w:rFonts w:hint="eastAsia" w:cs="宋体" w:asciiTheme="minorEastAsia" w:hAnsiTheme="minorEastAsia" w:eastAsiaTheme="minorEastAsia"/>
                <w:szCs w:val="21"/>
                <w:lang w:bidi="ar"/>
              </w:rPr>
              <w:t>Chrome 100+、Safari 15+、Firefox 110+</w:t>
            </w:r>
          </w:p>
        </w:tc>
        <w:tc>
          <w:tcPr>
            <w:tcW w:w="945" w:type="pct"/>
            <w:tcBorders>
              <w:tl2br w:val="nil"/>
              <w:tr2bl w:val="nil"/>
            </w:tcBorders>
            <w:shd w:val="clear" w:color="auto" w:fill="FFFFFF" w:themeFill="background1"/>
          </w:tcPr>
          <w:p w14:paraId="5F88501E">
            <w:pPr>
              <w:spacing w:line="360" w:lineRule="auto"/>
              <w:rPr>
                <w:rFonts w:hint="eastAsia" w:cs="微软雅黑" w:asciiTheme="minorEastAsia" w:hAnsiTheme="minorEastAsia" w:eastAsiaTheme="minorEastAsia"/>
                <w:szCs w:val="21"/>
              </w:rPr>
            </w:pPr>
          </w:p>
        </w:tc>
      </w:tr>
    </w:tbl>
    <w:p w14:paraId="5DB8D17D">
      <w:pPr>
        <w:spacing w:line="360" w:lineRule="auto"/>
        <w:ind w:firstLine="422" w:firstLineChars="200"/>
        <w:rPr>
          <w:rFonts w:hint="eastAsia" w:cs="微软雅黑" w:asciiTheme="minorEastAsia" w:hAnsiTheme="minorEastAsia" w:eastAsiaTheme="minorEastAsia"/>
          <w:b/>
          <w:szCs w:val="21"/>
        </w:rPr>
      </w:pPr>
      <w:r>
        <w:rPr>
          <w:rFonts w:hint="eastAsia" w:cs="微软雅黑" w:asciiTheme="minorEastAsia" w:hAnsiTheme="minorEastAsia" w:eastAsiaTheme="minorEastAsia"/>
          <w:b/>
          <w:szCs w:val="21"/>
        </w:rPr>
        <w:t>4</w:t>
      </w:r>
      <w:r>
        <w:rPr>
          <w:rFonts w:cs="微软雅黑" w:asciiTheme="minorEastAsia" w:hAnsiTheme="minorEastAsia" w:eastAsiaTheme="minorEastAsia"/>
          <w:b/>
          <w:szCs w:val="21"/>
        </w:rPr>
        <w:t>.</w:t>
      </w:r>
      <w:r>
        <w:rPr>
          <w:rFonts w:hint="eastAsia" w:cs="微软雅黑" w:asciiTheme="minorEastAsia" w:hAnsiTheme="minorEastAsia" w:eastAsiaTheme="minorEastAsia"/>
          <w:b/>
          <w:szCs w:val="21"/>
        </w:rPr>
        <w:t>商务要求</w:t>
      </w:r>
    </w:p>
    <w:p w14:paraId="1622A4E5">
      <w:pPr>
        <w:spacing w:line="360" w:lineRule="auto"/>
        <w:ind w:firstLine="420" w:firstLineChars="200"/>
        <w:rPr>
          <w:rFonts w:hint="eastAsia" w:cs="微软雅黑" w:asciiTheme="minorEastAsia" w:hAnsiTheme="minorEastAsia" w:eastAsiaTheme="minorEastAsia"/>
          <w:color w:val="000000"/>
          <w:szCs w:val="21"/>
        </w:rPr>
      </w:pPr>
      <w:r>
        <w:rPr>
          <w:rFonts w:hint="eastAsia" w:ascii="宋体" w:hAnsi="宋体" w:eastAsia="宋体" w:cs="宋体"/>
          <w:lang w:eastAsia="zh-CN"/>
        </w:rPr>
        <w:t>★</w:t>
      </w:r>
      <w:r>
        <w:rPr>
          <w:rFonts w:cs="微软雅黑" w:asciiTheme="minorEastAsia" w:hAnsiTheme="minorEastAsia" w:eastAsiaTheme="minorEastAsia"/>
          <w:color w:val="000000"/>
          <w:szCs w:val="21"/>
        </w:rPr>
        <w:t>4.1</w:t>
      </w:r>
      <w:r>
        <w:rPr>
          <w:rFonts w:hint="eastAsia" w:cs="微软雅黑" w:asciiTheme="minorEastAsia" w:hAnsiTheme="minorEastAsia" w:eastAsiaTheme="minorEastAsia"/>
          <w:color w:val="000000"/>
          <w:szCs w:val="21"/>
          <w:lang w:eastAsia="zh-CN"/>
        </w:rPr>
        <w:t>供应商</w:t>
      </w:r>
      <w:r>
        <w:rPr>
          <w:rFonts w:hint="eastAsia" w:cs="微软雅黑" w:asciiTheme="minorEastAsia" w:hAnsiTheme="minorEastAsia" w:eastAsiaTheme="minorEastAsia"/>
          <w:color w:val="000000"/>
          <w:szCs w:val="21"/>
        </w:rPr>
        <w:t>必须保证所供应数据库的合法性，合法解决版权，保证所供数据库信息内容符合中华人民共和国相关法律，并保证所供信息不会引起知识产权纠纷等法律责任，如有第三方向采购人提出侵犯其知识产权的主张，该责任应由</w:t>
      </w:r>
      <w:r>
        <w:rPr>
          <w:rFonts w:hint="eastAsia" w:cs="微软雅黑" w:asciiTheme="minorEastAsia" w:hAnsiTheme="minorEastAsia" w:eastAsiaTheme="minorEastAsia"/>
          <w:color w:val="000000"/>
          <w:szCs w:val="21"/>
          <w:lang w:eastAsia="zh-CN"/>
        </w:rPr>
        <w:t>供应商</w:t>
      </w:r>
      <w:r>
        <w:rPr>
          <w:rFonts w:hint="eastAsia" w:cs="微软雅黑" w:asciiTheme="minorEastAsia" w:hAnsiTheme="minorEastAsia" w:eastAsiaTheme="minorEastAsia"/>
          <w:color w:val="000000"/>
          <w:szCs w:val="21"/>
        </w:rPr>
        <w:t>承担。</w:t>
      </w:r>
    </w:p>
    <w:p w14:paraId="6152275B">
      <w:pPr>
        <w:spacing w:line="360" w:lineRule="auto"/>
        <w:ind w:firstLine="420" w:firstLineChars="200"/>
        <w:rPr>
          <w:rFonts w:hint="eastAsia" w:cs="微软雅黑" w:asciiTheme="minorEastAsia" w:hAnsiTheme="minorEastAsia" w:eastAsiaTheme="minorEastAsia"/>
          <w:color w:val="000000"/>
          <w:szCs w:val="21"/>
          <w:lang w:eastAsia="zh-CN"/>
        </w:rPr>
      </w:pPr>
      <w:r>
        <w:rPr>
          <w:rFonts w:hint="eastAsia" w:cs="微软雅黑" w:asciiTheme="minorEastAsia" w:hAnsiTheme="minorEastAsia" w:eastAsiaTheme="minorEastAsia"/>
          <w:color w:val="000000"/>
          <w:szCs w:val="21"/>
          <w:highlight w:val="none"/>
        </w:rPr>
        <w:t>4</w:t>
      </w:r>
      <w:r>
        <w:rPr>
          <w:rFonts w:cs="微软雅黑" w:asciiTheme="minorEastAsia" w:hAnsiTheme="minorEastAsia" w:eastAsiaTheme="minorEastAsia"/>
          <w:color w:val="000000"/>
          <w:szCs w:val="21"/>
          <w:highlight w:val="none"/>
        </w:rPr>
        <w:t>.2服务期限：</w:t>
      </w:r>
      <w:r>
        <w:rPr>
          <w:rFonts w:hint="eastAsia" w:cs="微软雅黑" w:asciiTheme="minorEastAsia" w:hAnsiTheme="minorEastAsia" w:eastAsiaTheme="minorEastAsia"/>
          <w:color w:val="000000"/>
          <w:szCs w:val="21"/>
          <w:highlight w:val="none"/>
        </w:rPr>
        <w:t>2026</w:t>
      </w:r>
      <w:r>
        <w:rPr>
          <w:rFonts w:hint="eastAsia" w:cs="微软雅黑" w:asciiTheme="minorEastAsia" w:hAnsiTheme="minorEastAsia" w:eastAsiaTheme="minorEastAsia"/>
          <w:color w:val="000000"/>
          <w:szCs w:val="21"/>
          <w:highlight w:val="none"/>
          <w:lang w:eastAsia="zh-CN"/>
        </w:rPr>
        <w:t>年</w:t>
      </w:r>
      <w:r>
        <w:rPr>
          <w:rFonts w:hint="eastAsia" w:cs="微软雅黑" w:asciiTheme="minorEastAsia" w:hAnsiTheme="minorEastAsia" w:eastAsiaTheme="minorEastAsia"/>
          <w:color w:val="000000"/>
          <w:szCs w:val="21"/>
          <w:highlight w:val="none"/>
        </w:rPr>
        <w:t>1</w:t>
      </w:r>
      <w:r>
        <w:rPr>
          <w:rFonts w:hint="eastAsia" w:cs="微软雅黑" w:asciiTheme="minorEastAsia" w:hAnsiTheme="minorEastAsia" w:eastAsiaTheme="minorEastAsia"/>
          <w:color w:val="000000"/>
          <w:szCs w:val="21"/>
          <w:highlight w:val="none"/>
          <w:lang w:eastAsia="zh-CN"/>
        </w:rPr>
        <w:t>月</w:t>
      </w:r>
      <w:r>
        <w:rPr>
          <w:rFonts w:hint="eastAsia" w:cs="微软雅黑" w:asciiTheme="minorEastAsia" w:hAnsiTheme="minorEastAsia" w:eastAsiaTheme="minorEastAsia"/>
          <w:color w:val="000000"/>
          <w:szCs w:val="21"/>
          <w:highlight w:val="none"/>
        </w:rPr>
        <w:t>1</w:t>
      </w:r>
      <w:r>
        <w:rPr>
          <w:rFonts w:hint="eastAsia" w:cs="微软雅黑" w:asciiTheme="minorEastAsia" w:hAnsiTheme="minorEastAsia" w:eastAsiaTheme="minorEastAsia"/>
          <w:color w:val="000000"/>
          <w:szCs w:val="21"/>
          <w:highlight w:val="none"/>
          <w:lang w:eastAsia="zh-CN"/>
        </w:rPr>
        <w:t>日至</w:t>
      </w:r>
      <w:r>
        <w:rPr>
          <w:rFonts w:hint="eastAsia" w:cs="微软雅黑" w:asciiTheme="minorEastAsia" w:hAnsiTheme="minorEastAsia" w:eastAsiaTheme="minorEastAsia"/>
          <w:color w:val="000000"/>
          <w:szCs w:val="21"/>
          <w:highlight w:val="none"/>
        </w:rPr>
        <w:t>2026</w:t>
      </w:r>
      <w:r>
        <w:rPr>
          <w:rFonts w:hint="eastAsia" w:cs="微软雅黑" w:asciiTheme="minorEastAsia" w:hAnsiTheme="minorEastAsia" w:eastAsiaTheme="minorEastAsia"/>
          <w:color w:val="000000"/>
          <w:szCs w:val="21"/>
          <w:highlight w:val="none"/>
          <w:lang w:eastAsia="zh-CN"/>
        </w:rPr>
        <w:t>年</w:t>
      </w:r>
      <w:r>
        <w:rPr>
          <w:rFonts w:hint="eastAsia" w:cs="微软雅黑" w:asciiTheme="minorEastAsia" w:hAnsiTheme="minorEastAsia" w:eastAsiaTheme="minorEastAsia"/>
          <w:color w:val="000000"/>
          <w:szCs w:val="21"/>
          <w:highlight w:val="none"/>
        </w:rPr>
        <w:t>12</w:t>
      </w:r>
      <w:r>
        <w:rPr>
          <w:rFonts w:hint="eastAsia" w:cs="微软雅黑" w:asciiTheme="minorEastAsia" w:hAnsiTheme="minorEastAsia" w:eastAsiaTheme="minorEastAsia"/>
          <w:color w:val="000000"/>
          <w:szCs w:val="21"/>
          <w:highlight w:val="none"/>
          <w:lang w:eastAsia="zh-CN"/>
        </w:rPr>
        <w:t>月</w:t>
      </w:r>
      <w:r>
        <w:rPr>
          <w:rFonts w:hint="eastAsia" w:cs="微软雅黑" w:asciiTheme="minorEastAsia" w:hAnsiTheme="minorEastAsia" w:eastAsiaTheme="minorEastAsia"/>
          <w:color w:val="000000"/>
          <w:szCs w:val="21"/>
          <w:highlight w:val="none"/>
        </w:rPr>
        <w:t>31</w:t>
      </w:r>
      <w:r>
        <w:rPr>
          <w:rFonts w:hint="eastAsia" w:cs="微软雅黑" w:asciiTheme="minorEastAsia" w:hAnsiTheme="minorEastAsia" w:eastAsiaTheme="minorEastAsia"/>
          <w:color w:val="000000"/>
          <w:szCs w:val="21"/>
          <w:highlight w:val="none"/>
          <w:lang w:eastAsia="zh-CN"/>
        </w:rPr>
        <w:t>日。</w:t>
      </w:r>
    </w:p>
    <w:p w14:paraId="478F58FB">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5.售后及其</w:t>
      </w:r>
      <w:r>
        <w:rPr>
          <w:rFonts w:hint="eastAsia" w:cs="微软雅黑" w:asciiTheme="minorEastAsia" w:hAnsiTheme="minorEastAsia" w:eastAsiaTheme="minorEastAsia"/>
          <w:color w:val="000000"/>
          <w:szCs w:val="21"/>
          <w:lang w:eastAsia="zh-CN"/>
        </w:rPr>
        <w:t>他</w:t>
      </w:r>
      <w:r>
        <w:rPr>
          <w:rFonts w:hint="eastAsia" w:cs="微软雅黑" w:asciiTheme="minorEastAsia" w:hAnsiTheme="minorEastAsia" w:eastAsiaTheme="minorEastAsia"/>
          <w:color w:val="000000"/>
          <w:szCs w:val="21"/>
        </w:rPr>
        <w:t>要求</w:t>
      </w:r>
    </w:p>
    <w:p w14:paraId="61556FEC">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5.1根据IP地址段提供网络服务，个人账户登录，支持</w:t>
      </w:r>
      <w:r>
        <w:rPr>
          <w:rFonts w:hint="eastAsia" w:cs="微软雅黑" w:asciiTheme="minorEastAsia" w:hAnsiTheme="minorEastAsia" w:eastAsiaTheme="minorEastAsia"/>
          <w:color w:val="000000"/>
          <w:szCs w:val="21"/>
          <w:lang w:val="en-US" w:eastAsia="zh-CN"/>
        </w:rPr>
        <w:t>VPN、CARSI登录</w:t>
      </w:r>
      <w:r>
        <w:rPr>
          <w:rFonts w:hint="eastAsia" w:cs="微软雅黑" w:asciiTheme="minorEastAsia" w:hAnsiTheme="minorEastAsia" w:eastAsiaTheme="minorEastAsia"/>
          <w:color w:val="000000"/>
          <w:szCs w:val="21"/>
        </w:rPr>
        <w:t>访问。版权问题由供应商负责。</w:t>
      </w:r>
    </w:p>
    <w:p w14:paraId="25B3894D">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5.2供应商须每半年对图书馆回访一次，了解用户使用情况并解答疑难问题，负责产品合同期内的</w:t>
      </w:r>
      <w:r>
        <w:rPr>
          <w:rFonts w:hint="eastAsia" w:cs="微软雅黑" w:asciiTheme="minorEastAsia" w:hAnsiTheme="minorEastAsia" w:eastAsiaTheme="minorEastAsia"/>
          <w:color w:val="000000"/>
          <w:szCs w:val="21"/>
          <w:lang w:eastAsia="zh-CN"/>
        </w:rPr>
        <w:t>无条件</w:t>
      </w:r>
      <w:r>
        <w:rPr>
          <w:rFonts w:hint="eastAsia" w:cs="微软雅黑" w:asciiTheme="minorEastAsia" w:hAnsiTheme="minorEastAsia" w:eastAsiaTheme="minorEastAsia"/>
          <w:color w:val="000000"/>
          <w:szCs w:val="21"/>
        </w:rPr>
        <w:t>维护。</w:t>
      </w:r>
      <w:r>
        <w:rPr>
          <w:rFonts w:hint="eastAsia" w:cs="微软雅黑" w:asciiTheme="minorEastAsia" w:hAnsiTheme="minorEastAsia" w:eastAsiaTheme="minorEastAsia"/>
          <w:color w:val="000000"/>
          <w:szCs w:val="21"/>
        </w:rPr>
        <w:tab/>
      </w:r>
    </w:p>
    <w:p w14:paraId="73A71D45">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5.3供应商须提供7*24小时</w:t>
      </w:r>
      <w:r>
        <w:rPr>
          <w:rFonts w:hint="eastAsia" w:ascii="宋体" w:hAnsi="宋体" w:cs="宋体"/>
          <w:sz w:val="21"/>
          <w:szCs w:val="21"/>
          <w:lang w:eastAsia="zh-CN"/>
        </w:rPr>
        <w:t>无条件</w:t>
      </w:r>
      <w:r>
        <w:rPr>
          <w:rFonts w:hint="eastAsia" w:cs="微软雅黑" w:asciiTheme="minorEastAsia" w:hAnsiTheme="minorEastAsia" w:eastAsiaTheme="minorEastAsia"/>
          <w:color w:val="000000"/>
          <w:szCs w:val="21"/>
        </w:rPr>
        <w:t>服务电话。电话无法解决时，48小时内提供上门服务。</w:t>
      </w:r>
    </w:p>
    <w:p w14:paraId="6D1AD926">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5.4产品供应商要提供课程的备份，合同期内采购方数据丢失和损坏时要</w:t>
      </w:r>
      <w:r>
        <w:rPr>
          <w:rFonts w:hint="eastAsia" w:ascii="宋体" w:hAnsi="宋体" w:cs="宋体"/>
          <w:sz w:val="21"/>
          <w:szCs w:val="21"/>
          <w:lang w:eastAsia="zh-CN"/>
        </w:rPr>
        <w:t>无条件</w:t>
      </w:r>
      <w:r>
        <w:rPr>
          <w:rFonts w:hint="eastAsia" w:cs="微软雅黑" w:asciiTheme="minorEastAsia" w:hAnsiTheme="minorEastAsia" w:eastAsiaTheme="minorEastAsia"/>
          <w:color w:val="000000"/>
          <w:szCs w:val="21"/>
        </w:rPr>
        <w:t>重新上门安装。</w:t>
      </w:r>
    </w:p>
    <w:p w14:paraId="3A097506">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5.5要求供应商对投标产品版权负责。</w:t>
      </w:r>
    </w:p>
    <w:p w14:paraId="17DB4884">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5.6中标方负责安装、调试及搬运、培训，并</w:t>
      </w:r>
      <w:r>
        <w:rPr>
          <w:rFonts w:hint="eastAsia" w:ascii="宋体" w:hAnsi="宋体" w:cs="宋体"/>
          <w:sz w:val="21"/>
          <w:szCs w:val="21"/>
          <w:lang w:eastAsia="zh-CN"/>
        </w:rPr>
        <w:t>无条件</w:t>
      </w:r>
      <w:r>
        <w:rPr>
          <w:rFonts w:hint="eastAsia" w:cs="微软雅黑" w:asciiTheme="minorEastAsia" w:hAnsiTheme="minorEastAsia" w:eastAsiaTheme="minorEastAsia"/>
          <w:color w:val="000000"/>
          <w:szCs w:val="21"/>
        </w:rPr>
        <w:t>提供安装调试所需要的各种辅助材料。</w:t>
      </w:r>
    </w:p>
    <w:p w14:paraId="5279A18E">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5.7服务期内，为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cs="微软雅黑" w:asciiTheme="minorEastAsia" w:hAnsiTheme="minorEastAsia" w:eastAsiaTheme="minorEastAsia"/>
          <w:color w:val="000000"/>
          <w:szCs w:val="21"/>
        </w:rPr>
        <w:t>提供数据库培训等活动一年内不少于2次，具体时间和形式，双方协商确认。</w:t>
      </w:r>
    </w:p>
    <w:p w14:paraId="1F37A7DE">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5.8定期提供数据库使用统计。</w:t>
      </w:r>
    </w:p>
    <w:p w14:paraId="352FBCFA">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6.培训要求</w:t>
      </w:r>
    </w:p>
    <w:p w14:paraId="037187AF">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6.1提供商保证使用期间网络畅通，并每年至少提供两次技术培训服务，主要针对图书馆相关管理人员</w:t>
      </w:r>
      <w:r>
        <w:rPr>
          <w:rFonts w:hint="eastAsia" w:ascii="宋体" w:hAnsi="宋体" w:cs="宋体"/>
          <w:sz w:val="21"/>
          <w:szCs w:val="21"/>
          <w:lang w:eastAsia="zh-CN"/>
        </w:rPr>
        <w:t>无条件</w:t>
      </w:r>
      <w:r>
        <w:rPr>
          <w:rFonts w:hint="eastAsia" w:cs="微软雅黑" w:asciiTheme="minorEastAsia" w:hAnsiTheme="minorEastAsia" w:eastAsiaTheme="minorEastAsia"/>
          <w:color w:val="000000"/>
          <w:szCs w:val="21"/>
        </w:rPr>
        <w:t>进行软硬件的使用培训，并配合图书馆一起对读者进行使用培训。</w:t>
      </w:r>
    </w:p>
    <w:p w14:paraId="356EF547">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6.2服务器端的日常维护培训和产品功能的使用培训可配合图书馆相关管理人员进行远程在线培训指导。</w:t>
      </w:r>
    </w:p>
    <w:p w14:paraId="7CC4812D">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6.3针对技术负责人做培训：培训人员会对前后台对应功能内容管理进行培训，权限管理，用户管理，平台内容增删改查等配置操作做指导讲解。</w:t>
      </w:r>
    </w:p>
    <w:p w14:paraId="199C9A21">
      <w:pPr>
        <w:spacing w:line="360" w:lineRule="auto"/>
        <w:ind w:firstLine="420" w:firstLineChars="200"/>
        <w:rPr>
          <w:rFonts w:hint="eastAsia" w:cs="微软雅黑" w:asciiTheme="minorEastAsia" w:hAnsiTheme="minorEastAsia" w:eastAsiaTheme="minorEastAsia"/>
          <w:color w:val="000000"/>
          <w:szCs w:val="21"/>
        </w:rPr>
      </w:pPr>
      <w:r>
        <w:rPr>
          <w:rFonts w:hint="eastAsia" w:cs="微软雅黑" w:asciiTheme="minorEastAsia" w:hAnsiTheme="minorEastAsia" w:eastAsiaTheme="minorEastAsia"/>
          <w:color w:val="000000"/>
          <w:szCs w:val="21"/>
        </w:rPr>
        <w:t>6.4针对普通使用者做培训：对平台检索操作、学习课程等各个功能上手演示，解答使用者的疑惑。</w:t>
      </w:r>
    </w:p>
    <w:p w14:paraId="6E0EE000">
      <w:pPr>
        <w:rPr>
          <w:rFonts w:ascii="宋体" w:hAnsi="宋体" w:cs="宋体"/>
          <w:b/>
          <w:szCs w:val="21"/>
        </w:rPr>
      </w:pPr>
      <w:r>
        <w:rPr>
          <w:rFonts w:hint="eastAsia" w:ascii="宋体" w:hAnsi="宋体" w:cs="宋体"/>
          <w:b/>
          <w:szCs w:val="21"/>
        </w:rPr>
        <w:br w:type="page"/>
      </w:r>
    </w:p>
    <w:p w14:paraId="75BD03BB">
      <w:pPr>
        <w:spacing w:line="400" w:lineRule="exact"/>
        <w:ind w:firstLine="422" w:firstLineChars="200"/>
        <w:rPr>
          <w:rFonts w:ascii="宋体" w:hAnsi="宋体" w:cs="宋体"/>
          <w:b/>
          <w:szCs w:val="21"/>
        </w:rPr>
      </w:pPr>
      <w:r>
        <w:rPr>
          <w:rFonts w:hint="eastAsia" w:ascii="宋体" w:hAnsi="宋体" w:cs="宋体"/>
          <w:b/>
          <w:szCs w:val="21"/>
        </w:rPr>
        <w:t>标项三十四（万方数据库）：</w:t>
      </w:r>
    </w:p>
    <w:p w14:paraId="517A742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1.资源</w:t>
      </w:r>
      <w:r>
        <w:rPr>
          <w:rFonts w:hint="eastAsia" w:ascii="宋体" w:hAnsi="宋体" w:cs="宋体"/>
          <w:szCs w:val="21"/>
          <w:lang w:val="en-US" w:eastAsia="zh-CN"/>
        </w:rPr>
        <w:t>参数</w:t>
      </w:r>
    </w:p>
    <w:p w14:paraId="3F2B2E8D">
      <w:pPr>
        <w:numPr>
          <w:ilvl w:val="255"/>
          <w:numId w:val="0"/>
        </w:numPr>
        <w:spacing w:line="400" w:lineRule="exact"/>
        <w:ind w:firstLine="420" w:firstLineChars="200"/>
        <w:rPr>
          <w:rFonts w:ascii="宋体" w:hAnsi="宋体" w:cs="宋体"/>
          <w:szCs w:val="21"/>
        </w:rPr>
      </w:pPr>
      <w:r>
        <w:rPr>
          <w:rFonts w:hint="eastAsia" w:ascii="宋体" w:hAnsi="宋体" w:cs="宋体"/>
          <w:szCs w:val="21"/>
        </w:rPr>
        <w:t>中国学位论文全文数据库资源由国家法定学位论文收藏机构中国科技信息研究所提供，</w:t>
      </w:r>
      <w:r>
        <w:rPr>
          <w:rFonts w:hint="eastAsia" w:ascii="宋体" w:hAnsi="宋体" w:cs="宋体"/>
          <w:szCs w:val="21"/>
          <w:lang w:val="en-US" w:eastAsia="zh-CN"/>
        </w:rPr>
        <w:t>需要</w:t>
      </w:r>
      <w:r>
        <w:rPr>
          <w:rFonts w:hint="eastAsia" w:ascii="宋体" w:hAnsi="宋体" w:cs="宋体"/>
          <w:szCs w:val="21"/>
        </w:rPr>
        <w:t>收录自1980</w:t>
      </w:r>
      <w:r>
        <w:rPr>
          <w:rFonts w:hint="eastAsia" w:ascii="宋体" w:hAnsi="宋体" w:cs="宋体"/>
          <w:szCs w:val="21"/>
          <w:lang w:eastAsia="zh-CN"/>
        </w:rPr>
        <w:t>年以来</w:t>
      </w:r>
      <w:r>
        <w:rPr>
          <w:rFonts w:hint="eastAsia" w:ascii="宋体" w:hAnsi="宋体" w:cs="宋体"/>
          <w:szCs w:val="21"/>
        </w:rPr>
        <w:t>的学位论文，涉及211重点高校，中科院，农科院，医科院，林科院等重点机构，涵盖文、史、哲、理、工、农、医等各学科领域；重点收录 2000年以来的学位论文，并将逐年回溯月度追加，依托丰富的馆藏，并可提供 1980 年以来的全文传递服务；按周更新，年度增加 35 万篇以上。</w:t>
      </w:r>
      <w:r>
        <w:rPr>
          <w:rFonts w:hint="eastAsia" w:ascii="宋体" w:hAnsi="宋体" w:cs="宋体"/>
          <w:szCs w:val="21"/>
          <w:lang w:val="en-US" w:eastAsia="zh-CN"/>
        </w:rPr>
        <w:t>要</w:t>
      </w:r>
      <w:r>
        <w:rPr>
          <w:rFonts w:hint="eastAsia" w:ascii="宋体" w:hAnsi="宋体" w:cs="宋体"/>
          <w:szCs w:val="21"/>
        </w:rPr>
        <w:t xml:space="preserve">提供：988 家学位授予单位 842 万篇论文元数据，其中 596 万篇论文提供全文服务；双一流建设高校覆盖 97%，211、985 高校全覆盖；便捷的全文获取。 </w:t>
      </w:r>
    </w:p>
    <w:p w14:paraId="6D1DBE4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2.技术</w:t>
      </w:r>
      <w:r>
        <w:rPr>
          <w:rFonts w:hint="eastAsia" w:ascii="宋体" w:hAnsi="宋体" w:cs="宋体"/>
          <w:szCs w:val="21"/>
          <w:lang w:val="en-US" w:eastAsia="zh-CN"/>
        </w:rPr>
        <w:t>参数</w:t>
      </w:r>
    </w:p>
    <w:p w14:paraId="698DDE28">
      <w:pPr>
        <w:numPr>
          <w:ilvl w:val="255"/>
          <w:numId w:val="0"/>
        </w:numPr>
        <w:spacing w:line="400" w:lineRule="exact"/>
        <w:ind w:firstLine="420" w:firstLineChars="200"/>
        <w:rPr>
          <w:rFonts w:ascii="宋体" w:hAnsi="宋体" w:cs="宋体"/>
          <w:szCs w:val="21"/>
        </w:rPr>
      </w:pPr>
      <w:r>
        <w:rPr>
          <w:rFonts w:hint="eastAsia" w:ascii="宋体" w:hAnsi="宋体" w:cs="宋体"/>
          <w:szCs w:val="21"/>
        </w:rPr>
        <w:t>2.1新平台技术特点</w:t>
      </w:r>
    </w:p>
    <w:p w14:paraId="2BDFE6D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2.1.1采用Linux操作系统、Java语言开发，支持系统跨平台应用部署</w:t>
      </w:r>
      <w:r>
        <w:rPr>
          <w:rFonts w:hint="eastAsia" w:ascii="宋体" w:hAnsi="宋体" w:cs="宋体"/>
          <w:szCs w:val="21"/>
          <w:lang w:eastAsia="zh-CN"/>
        </w:rPr>
        <w:t>。</w:t>
      </w:r>
    </w:p>
    <w:p w14:paraId="7B4D364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2.1.2采用分布式服务框架，提供高性能、可扩展的SOA应用服务</w:t>
      </w:r>
      <w:r>
        <w:rPr>
          <w:rFonts w:hint="eastAsia" w:ascii="宋体" w:hAnsi="宋体" w:cs="宋体"/>
          <w:szCs w:val="21"/>
          <w:lang w:eastAsia="zh-CN"/>
        </w:rPr>
        <w:t>。</w:t>
      </w:r>
    </w:p>
    <w:p w14:paraId="528A16F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2.1.3采用分布式全文索引集群，支持集中配置、负载均衡、自动容错、资源实时扩展、实时更新索引，支持对亿条以上元数据毫秒级检索；另外，支持按需分配资源并提供服务隔离，自动实施负载平衡调度防止性能雪崩</w:t>
      </w:r>
      <w:r>
        <w:rPr>
          <w:rFonts w:hint="eastAsia" w:ascii="宋体" w:hAnsi="宋体" w:cs="宋体"/>
          <w:szCs w:val="21"/>
          <w:lang w:eastAsia="zh-CN"/>
        </w:rPr>
        <w:t>。</w:t>
      </w:r>
    </w:p>
    <w:p w14:paraId="5903E58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2.1.4支持异构海量资源检索（期刊论文、学位论文、会议论文、专利、标准、法律法规、科技报告、地方志、成果等）的跨库检索</w:t>
      </w:r>
      <w:r>
        <w:rPr>
          <w:rFonts w:hint="eastAsia" w:ascii="宋体" w:hAnsi="宋体" w:cs="宋体"/>
          <w:szCs w:val="21"/>
          <w:lang w:eastAsia="zh-CN"/>
        </w:rPr>
        <w:t>。</w:t>
      </w:r>
    </w:p>
    <w:p w14:paraId="6AF2AA4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2.1.5支持一框式检索、高级检索、专业检索，支持逻辑与或非的布尔逻辑表达式</w:t>
      </w:r>
      <w:r>
        <w:rPr>
          <w:rFonts w:hint="eastAsia" w:ascii="宋体" w:hAnsi="宋体" w:cs="宋体"/>
          <w:szCs w:val="21"/>
          <w:lang w:eastAsia="zh-CN"/>
        </w:rPr>
        <w:t>。</w:t>
      </w:r>
    </w:p>
    <w:p w14:paraId="5F146293">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2.1.6支持对自建资源的所有字段或限定字段进行跨库检索</w:t>
      </w:r>
      <w:r>
        <w:rPr>
          <w:rFonts w:hint="eastAsia" w:ascii="宋体" w:hAnsi="宋体" w:cs="宋体"/>
          <w:szCs w:val="21"/>
          <w:lang w:eastAsia="zh-CN"/>
        </w:rPr>
        <w:t>。</w:t>
      </w:r>
    </w:p>
    <w:p w14:paraId="4F2E58F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2.1.7支持对学者、刊物等的智能检索</w:t>
      </w:r>
      <w:r>
        <w:rPr>
          <w:rFonts w:hint="eastAsia" w:ascii="宋体" w:hAnsi="宋体" w:cs="宋体"/>
          <w:szCs w:val="21"/>
          <w:lang w:eastAsia="zh-CN"/>
        </w:rPr>
        <w:t>；</w:t>
      </w:r>
      <w:r>
        <w:rPr>
          <w:rFonts w:hint="eastAsia" w:ascii="宋体" w:hAnsi="宋体" w:cs="宋体"/>
          <w:szCs w:val="21"/>
        </w:rPr>
        <w:t>支持中外文混合检索</w:t>
      </w:r>
      <w:r>
        <w:rPr>
          <w:rFonts w:hint="eastAsia" w:ascii="宋体" w:hAnsi="宋体" w:cs="宋体"/>
          <w:szCs w:val="21"/>
          <w:lang w:eastAsia="zh-CN"/>
        </w:rPr>
        <w:t>。</w:t>
      </w:r>
    </w:p>
    <w:p w14:paraId="6271571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2.1.8支持词表智能扩展关联检索，包括同义词、上位术语、下位术语、相关概念的检索</w:t>
      </w:r>
      <w:r>
        <w:rPr>
          <w:rFonts w:hint="eastAsia" w:ascii="宋体" w:hAnsi="宋体" w:cs="宋体"/>
          <w:szCs w:val="21"/>
          <w:lang w:eastAsia="zh-CN"/>
        </w:rPr>
        <w:t>。</w:t>
      </w:r>
    </w:p>
    <w:p w14:paraId="0EBA70CC">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2.1.9校园IP范围内访问登录，支持VPN、CARSI等校外登录访问</w:t>
      </w:r>
      <w:r>
        <w:rPr>
          <w:rFonts w:hint="eastAsia" w:ascii="宋体" w:hAnsi="宋体" w:cs="宋体"/>
          <w:szCs w:val="21"/>
          <w:lang w:eastAsia="zh-CN"/>
        </w:rPr>
        <w:t>，</w:t>
      </w:r>
      <w:r>
        <w:rPr>
          <w:rFonts w:hint="eastAsia" w:ascii="宋体" w:hAnsi="宋体" w:cs="宋体"/>
          <w:szCs w:val="21"/>
          <w:lang w:val="en-US" w:eastAsia="zh-CN"/>
        </w:rPr>
        <w:t>无并发数限制</w:t>
      </w:r>
      <w:r>
        <w:rPr>
          <w:rFonts w:hint="eastAsia" w:ascii="宋体" w:hAnsi="宋体" w:cs="宋体"/>
          <w:szCs w:val="21"/>
          <w:lang w:eastAsia="zh-CN"/>
        </w:rPr>
        <w:t>。</w:t>
      </w:r>
    </w:p>
    <w:p w14:paraId="1CF1C9C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2.1.10提供高性能、高可用、高可靠的检索服务，并通过提供rpc和http api服务接口，灵活应对不同的业务使用场景</w:t>
      </w:r>
      <w:r>
        <w:rPr>
          <w:rFonts w:hint="eastAsia" w:ascii="宋体" w:hAnsi="宋体" w:cs="宋体"/>
          <w:szCs w:val="21"/>
          <w:lang w:eastAsia="zh-CN"/>
        </w:rPr>
        <w:t>。</w:t>
      </w:r>
    </w:p>
    <w:p w14:paraId="40BD284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2.1.11支持集群式关系型数据库，保证业务数据7*24小时高可用性</w:t>
      </w:r>
      <w:r>
        <w:rPr>
          <w:rFonts w:hint="eastAsia" w:ascii="宋体" w:hAnsi="宋体" w:cs="宋体"/>
          <w:szCs w:val="21"/>
          <w:lang w:eastAsia="zh-CN"/>
        </w:rPr>
        <w:t>。</w:t>
      </w:r>
    </w:p>
    <w:p w14:paraId="1237C45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2.1.12通过图形数据库支持文献引证关系、实体关联关系等的可视化展示</w:t>
      </w:r>
      <w:r>
        <w:rPr>
          <w:rFonts w:hint="eastAsia" w:ascii="宋体" w:hAnsi="宋体" w:cs="宋体"/>
          <w:szCs w:val="21"/>
          <w:lang w:eastAsia="zh-CN"/>
        </w:rPr>
        <w:t>。</w:t>
      </w:r>
    </w:p>
    <w:p w14:paraId="1399CA4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2.1.13采用分布式文件存储系统，支持海量（百亿条以上）系统及用户行为日志存储，支持亿万篇文献全文存储</w:t>
      </w:r>
      <w:r>
        <w:rPr>
          <w:rFonts w:hint="eastAsia" w:ascii="宋体" w:hAnsi="宋体" w:cs="宋体"/>
          <w:szCs w:val="21"/>
          <w:lang w:eastAsia="zh-CN"/>
        </w:rPr>
        <w:t>。</w:t>
      </w:r>
    </w:p>
    <w:p w14:paraId="683B1A2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2.1.14支持基于分布式计算框架下的文献计量统计分析，提供海量数据下的实时或离线的统计分析</w:t>
      </w:r>
      <w:r>
        <w:rPr>
          <w:rFonts w:hint="eastAsia" w:ascii="宋体" w:hAnsi="宋体" w:cs="宋体"/>
          <w:szCs w:val="21"/>
          <w:lang w:eastAsia="zh-CN"/>
        </w:rPr>
        <w:t>。</w:t>
      </w:r>
    </w:p>
    <w:p w14:paraId="4391085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2.1.15融合大数据生态，提供可视化定制界面完成数据创建导入工作和ETL工具，支撑亿万级数据记录吞吐</w:t>
      </w:r>
      <w:r>
        <w:rPr>
          <w:rFonts w:hint="eastAsia" w:ascii="宋体" w:hAnsi="宋体" w:cs="宋体"/>
          <w:szCs w:val="21"/>
          <w:lang w:eastAsia="zh-CN"/>
        </w:rPr>
        <w:t>。</w:t>
      </w:r>
    </w:p>
    <w:p w14:paraId="6E982318">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2.1.16结合OAuth2.0协议可实现用户身份授权</w:t>
      </w:r>
      <w:r>
        <w:rPr>
          <w:rFonts w:hint="eastAsia" w:ascii="宋体" w:hAnsi="宋体" w:cs="宋体"/>
          <w:szCs w:val="21"/>
          <w:lang w:eastAsia="zh-CN"/>
        </w:rPr>
        <w:t>。</w:t>
      </w:r>
    </w:p>
    <w:p w14:paraId="3B3D657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2.1.17自主研发的api开放网关技术提供统一的开放接口方案 ，便于与第三方系统对接并提供数据服务、应用服务</w:t>
      </w:r>
      <w:r>
        <w:rPr>
          <w:rFonts w:hint="eastAsia" w:ascii="宋体" w:hAnsi="宋体" w:cs="宋体"/>
          <w:szCs w:val="21"/>
          <w:lang w:eastAsia="zh-CN"/>
        </w:rPr>
        <w:t>。</w:t>
      </w:r>
    </w:p>
    <w:p w14:paraId="61D98D9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2.1.18支持NativeAPP、WebAPP、HybridApp三种APP开发模式，灵活应对各类移动端开发需求</w:t>
      </w:r>
      <w:r>
        <w:rPr>
          <w:rFonts w:hint="eastAsia" w:ascii="宋体" w:hAnsi="宋体" w:cs="宋体"/>
          <w:szCs w:val="21"/>
          <w:lang w:eastAsia="zh-CN"/>
        </w:rPr>
        <w:t>。</w:t>
      </w:r>
    </w:p>
    <w:p w14:paraId="5EFF844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3.售后服务</w:t>
      </w:r>
    </w:p>
    <w:p w14:paraId="381DA065">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3.1服务内容</w:t>
      </w:r>
    </w:p>
    <w:p w14:paraId="005167CA">
      <w:pPr>
        <w:numPr>
          <w:ilvl w:val="255"/>
          <w:numId w:val="0"/>
        </w:numPr>
        <w:spacing w:line="400" w:lineRule="exact"/>
        <w:ind w:firstLine="420" w:firstLineChars="200"/>
        <w:rPr>
          <w:rFonts w:ascii="宋体" w:hAnsi="宋体" w:cs="宋体"/>
          <w:szCs w:val="21"/>
        </w:rPr>
      </w:pPr>
      <w:r>
        <w:rPr>
          <w:rFonts w:hint="eastAsia" w:ascii="宋体" w:hAnsi="宋体" w:cs="宋体"/>
          <w:szCs w:val="21"/>
        </w:rPr>
        <w:t xml:space="preserve">数据更新：网络用户合同期内提供正常网络远程服务，镜像用户合同期内按月更新，数据库按月更新，提供网络更新或上门更新；网络用户的更新参照万方数据站点更新。 </w:t>
      </w:r>
    </w:p>
    <w:p w14:paraId="13493836">
      <w:pPr>
        <w:numPr>
          <w:ilvl w:val="255"/>
          <w:numId w:val="0"/>
        </w:numPr>
        <w:spacing w:line="400" w:lineRule="exact"/>
        <w:ind w:firstLine="420" w:firstLineChars="200"/>
        <w:rPr>
          <w:rFonts w:ascii="宋体" w:hAnsi="宋体" w:cs="宋体"/>
          <w:szCs w:val="21"/>
        </w:rPr>
      </w:pPr>
      <w:r>
        <w:rPr>
          <w:rFonts w:hint="eastAsia" w:ascii="宋体" w:hAnsi="宋体" w:cs="宋体"/>
          <w:szCs w:val="21"/>
        </w:rPr>
        <w:t xml:space="preserve">系统维护：成交供应商承诺向采购人提供24小时必要的技术培训、文献检索培训。 </w:t>
      </w:r>
    </w:p>
    <w:p w14:paraId="0105EFA4">
      <w:pPr>
        <w:numPr>
          <w:ilvl w:val="255"/>
          <w:numId w:val="0"/>
        </w:numPr>
        <w:spacing w:line="400" w:lineRule="exact"/>
        <w:ind w:firstLine="420" w:firstLineChars="200"/>
        <w:rPr>
          <w:rFonts w:ascii="宋体" w:hAnsi="宋体" w:cs="宋体"/>
          <w:szCs w:val="21"/>
        </w:rPr>
      </w:pPr>
      <w:r>
        <w:rPr>
          <w:rFonts w:hint="eastAsia" w:ascii="宋体" w:hAnsi="宋体" w:cs="宋体"/>
          <w:szCs w:val="21"/>
        </w:rPr>
        <w:t>软件升级：在合同期内，如果由于服务软件发生升级，成交供应商应在 3 个工作日内通知用户，并在采购人同意的前提下，为采购人</w:t>
      </w:r>
      <w:r>
        <w:rPr>
          <w:rFonts w:hint="eastAsia" w:ascii="宋体" w:hAnsi="宋体" w:cs="宋体"/>
          <w:sz w:val="21"/>
          <w:szCs w:val="21"/>
          <w:lang w:eastAsia="zh-CN"/>
        </w:rPr>
        <w:t>无条件</w:t>
      </w:r>
      <w:r>
        <w:rPr>
          <w:rFonts w:hint="eastAsia" w:ascii="宋体" w:hAnsi="宋体" w:cs="宋体"/>
          <w:szCs w:val="21"/>
        </w:rPr>
        <w:t xml:space="preserve">提供新版本软件；如果采购人希望继续使用原来版本的软件，成交供应商应保证该系统能够正常运行。提供数据库流量统计服务。 </w:t>
      </w:r>
    </w:p>
    <w:p w14:paraId="0FA81E81">
      <w:pPr>
        <w:numPr>
          <w:ilvl w:val="255"/>
          <w:numId w:val="0"/>
        </w:numPr>
        <w:spacing w:line="400" w:lineRule="exact"/>
        <w:ind w:firstLine="420" w:firstLineChars="200"/>
        <w:rPr>
          <w:rFonts w:ascii="宋体" w:hAnsi="宋体" w:cs="宋体"/>
          <w:szCs w:val="21"/>
        </w:rPr>
      </w:pPr>
      <w:r>
        <w:rPr>
          <w:rFonts w:hint="eastAsia" w:ascii="宋体" w:hAnsi="宋体" w:cs="宋体"/>
          <w:szCs w:val="21"/>
        </w:rPr>
        <w:t>3.2其</w:t>
      </w:r>
      <w:r>
        <w:rPr>
          <w:rFonts w:hint="eastAsia" w:ascii="宋体" w:hAnsi="宋体" w:cs="宋体"/>
          <w:szCs w:val="21"/>
          <w:lang w:eastAsia="zh-CN"/>
        </w:rPr>
        <w:t>他</w:t>
      </w:r>
      <w:r>
        <w:rPr>
          <w:rFonts w:hint="eastAsia" w:ascii="宋体" w:hAnsi="宋体" w:cs="宋体"/>
          <w:szCs w:val="21"/>
        </w:rPr>
        <w:t xml:space="preserve">服务承诺 </w:t>
      </w:r>
    </w:p>
    <w:p w14:paraId="74B313AA">
      <w:pPr>
        <w:numPr>
          <w:ilvl w:val="255"/>
          <w:numId w:val="0"/>
        </w:numPr>
        <w:spacing w:line="400" w:lineRule="exact"/>
        <w:ind w:firstLine="420" w:firstLineChars="200"/>
        <w:rPr>
          <w:rFonts w:ascii="宋体" w:hAnsi="宋体" w:cs="宋体"/>
          <w:szCs w:val="21"/>
        </w:rPr>
      </w:pPr>
      <w:r>
        <w:rPr>
          <w:rFonts w:hint="eastAsia" w:ascii="宋体" w:hAnsi="宋体" w:cs="宋体"/>
          <w:szCs w:val="21"/>
        </w:rPr>
        <w:t xml:space="preserve">版权声明：如因采购人违反合同的使用行为而导致的其他版权问题，均由采购人自行承担。 </w:t>
      </w:r>
    </w:p>
    <w:p w14:paraId="60B71FA6">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3.3质保期</w:t>
      </w:r>
    </w:p>
    <w:p w14:paraId="13D0FDDE">
      <w:pPr>
        <w:numPr>
          <w:ilvl w:val="255"/>
          <w:numId w:val="0"/>
        </w:numPr>
        <w:spacing w:line="400" w:lineRule="exact"/>
        <w:ind w:firstLine="420" w:firstLineChars="200"/>
        <w:rPr>
          <w:rFonts w:ascii="宋体" w:hAnsi="宋体" w:cs="宋体"/>
          <w:szCs w:val="21"/>
        </w:rPr>
      </w:pPr>
      <w:r>
        <w:rPr>
          <w:rFonts w:hint="eastAsia" w:ascii="宋体" w:hAnsi="宋体" w:cs="宋体"/>
          <w:szCs w:val="21"/>
        </w:rPr>
        <w:t>数据库安装完毕正式移交后，一年质保。</w:t>
      </w:r>
    </w:p>
    <w:p w14:paraId="0B849BFE">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4.提供网络、电话及E-mail支持服务，</w:t>
      </w:r>
      <w:r>
        <w:rPr>
          <w:rFonts w:hint="eastAsia" w:ascii="宋体" w:hAnsi="宋体" w:cs="宋体"/>
          <w:szCs w:val="21"/>
          <w:lang w:val="en-US" w:eastAsia="zh-CN"/>
        </w:rPr>
        <w:t>线上</w:t>
      </w:r>
      <w:r>
        <w:rPr>
          <w:rFonts w:hint="eastAsia" w:ascii="宋体" w:hAnsi="宋体" w:cs="宋体"/>
          <w:szCs w:val="21"/>
        </w:rPr>
        <w:t>响应时间不超过2小时</w:t>
      </w:r>
      <w:r>
        <w:rPr>
          <w:rFonts w:hint="eastAsia" w:ascii="宋体" w:hAnsi="宋体" w:cs="宋体"/>
          <w:szCs w:val="21"/>
          <w:lang w:eastAsia="zh-CN"/>
        </w:rPr>
        <w:t>，</w:t>
      </w:r>
      <w:r>
        <w:rPr>
          <w:rFonts w:hint="eastAsia" w:ascii="宋体" w:hAnsi="宋体" w:cs="宋体"/>
          <w:szCs w:val="21"/>
          <w:lang w:val="en-US" w:eastAsia="zh-CN"/>
        </w:rPr>
        <w:t>线下响应不超过48小时</w:t>
      </w:r>
      <w:r>
        <w:rPr>
          <w:rFonts w:hint="eastAsia" w:ascii="宋体" w:hAnsi="宋体" w:cs="宋体"/>
          <w:szCs w:val="21"/>
        </w:rPr>
        <w:t>。</w:t>
      </w:r>
    </w:p>
    <w:p w14:paraId="259E39F6">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eastAsia="宋体" w:cs="宋体"/>
          <w:bCs/>
          <w:sz w:val="21"/>
          <w:szCs w:val="21"/>
        </w:rPr>
        <w:t>服务期内，配合</w:t>
      </w:r>
      <w:r>
        <w:rPr>
          <w:rFonts w:hint="eastAsia" w:ascii="宋体" w:hAnsi="宋体" w:cs="宋体"/>
          <w:bCs/>
          <w:sz w:val="21"/>
          <w:szCs w:val="21"/>
          <w:lang w:eastAsia="zh-CN"/>
        </w:rPr>
        <w:t>采购人</w:t>
      </w:r>
      <w:r>
        <w:rPr>
          <w:rFonts w:hint="eastAsia" w:ascii="宋体" w:hAnsi="宋体" w:eastAsia="宋体" w:cs="宋体"/>
          <w:bCs/>
          <w:sz w:val="21"/>
          <w:szCs w:val="21"/>
          <w:lang w:val="en-US" w:eastAsia="zh-CN"/>
        </w:rPr>
        <w:t>无条件</w:t>
      </w:r>
      <w:r>
        <w:rPr>
          <w:rFonts w:hint="eastAsia" w:ascii="宋体" w:hAnsi="宋体" w:eastAsia="宋体" w:cs="宋体"/>
          <w:bCs/>
          <w:sz w:val="21"/>
          <w:szCs w:val="21"/>
        </w:rPr>
        <w:t>提供数据库培训等活动一年内不少于2次，具体时间和形式，双方协商确认。</w:t>
      </w:r>
    </w:p>
    <w:p w14:paraId="2BA53BBF">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4D5D5BE5">
      <w:pPr>
        <w:spacing w:line="400" w:lineRule="exact"/>
        <w:ind w:firstLine="422" w:firstLineChars="200"/>
        <w:rPr>
          <w:rFonts w:ascii="宋体" w:hAnsi="宋体" w:cs="宋体"/>
          <w:b/>
          <w:szCs w:val="21"/>
        </w:rPr>
      </w:pPr>
      <w:r>
        <w:rPr>
          <w:rFonts w:hint="eastAsia" w:ascii="宋体" w:hAnsi="宋体" w:cs="宋体"/>
          <w:b/>
          <w:szCs w:val="21"/>
        </w:rPr>
        <w:t>标项三十五（知网CNKI总库）：</w:t>
      </w:r>
    </w:p>
    <w:p w14:paraId="0D5928DF">
      <w:pPr>
        <w:numPr>
          <w:ilvl w:val="255"/>
          <w:numId w:val="0"/>
        </w:numPr>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cs="宋体"/>
          <w:szCs w:val="21"/>
          <w:lang w:val="en-US" w:eastAsia="zh-CN"/>
        </w:rPr>
        <w:t>内容参数</w:t>
      </w:r>
    </w:p>
    <w:p w14:paraId="3081BB8B">
      <w:pPr>
        <w:numPr>
          <w:ilvl w:val="255"/>
          <w:numId w:val="0"/>
        </w:numPr>
        <w:spacing w:line="400" w:lineRule="exact"/>
        <w:ind w:firstLine="420" w:firstLineChars="200"/>
        <w:rPr>
          <w:rFonts w:hint="eastAsia" w:ascii="宋体" w:hAnsi="宋体" w:eastAsia="宋体" w:cs="宋体"/>
          <w:szCs w:val="21"/>
        </w:rPr>
      </w:pPr>
      <w:bookmarkStart w:id="122" w:name="_Toc12199"/>
      <w:r>
        <w:rPr>
          <w:rFonts w:hint="eastAsia" w:ascii="宋体" w:hAnsi="宋体" w:eastAsia="宋体" w:cs="宋体"/>
          <w:szCs w:val="21"/>
        </w:rPr>
        <w:t>1.1【中国学术期刊（网络版）】</w:t>
      </w:r>
      <w:bookmarkEnd w:id="122"/>
    </w:p>
    <w:p w14:paraId="7C0496B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共分十大专辑出版光盘版和网络版，均有正式出版物号（见刊号表）。</w:t>
      </w:r>
    </w:p>
    <w:p w14:paraId="5717C94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收录范围：我国公开出版发行的学术期刊（含英文版）全文文献，包括基础与应用基础研究、技术研究、工程研究、工程与项目管理、技术开发、实用工程技术、行业技术发展与评论、高级科普、学科教育教学类期刊。</w:t>
      </w:r>
    </w:p>
    <w:p w14:paraId="46922D2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1.1.2文献总量：截至2024年11月，收录8500余种期刊，中文全文文献量超过6390万篇（另收录外文文献9000万余篇）。2025年计划出版期刊约6884种，约62576期，出版文献量165万余篇。</w:t>
      </w:r>
    </w:p>
    <w:p w14:paraId="70DBAC2D">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1.1.3收录年限：1915年至今（4739种期刊收录回溯至创刊）</w:t>
      </w:r>
      <w:r>
        <w:rPr>
          <w:rFonts w:hint="eastAsia" w:ascii="宋体" w:hAnsi="宋体" w:cs="宋体"/>
          <w:szCs w:val="21"/>
          <w:lang w:eastAsia="zh-CN"/>
        </w:rPr>
        <w:t>。</w:t>
      </w:r>
    </w:p>
    <w:p w14:paraId="36692738">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1.1.4期刊文献收录完整率：核心期刊、重要评价性数据库来源期刊完整率高于98%。</w:t>
      </w:r>
    </w:p>
    <w:p w14:paraId="7B126655">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1.1.5文献期数收录完整率：文献收录期数完整率高于99％。</w:t>
      </w:r>
    </w:p>
    <w:p w14:paraId="0BECC6AA">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1.1.6文献篇数收录完整率：文献篇数收录完整率高于99％。</w:t>
      </w:r>
    </w:p>
    <w:p w14:paraId="158E1DEF">
      <w:pPr>
        <w:numPr>
          <w:ilvl w:val="255"/>
          <w:numId w:val="0"/>
        </w:numPr>
        <w:spacing w:line="400" w:lineRule="exact"/>
        <w:ind w:firstLine="420" w:firstLineChars="200"/>
        <w:rPr>
          <w:rFonts w:hint="eastAsia" w:ascii="宋体" w:hAnsi="宋体" w:eastAsia="宋体" w:cs="宋体"/>
          <w:szCs w:val="21"/>
        </w:rPr>
      </w:pPr>
      <w:bookmarkStart w:id="123" w:name="_Toc95740428"/>
      <w:r>
        <w:rPr>
          <w:rFonts w:hint="eastAsia" w:ascii="宋体" w:hAnsi="宋体" w:eastAsia="宋体" w:cs="宋体"/>
          <w:szCs w:val="21"/>
        </w:rPr>
        <w:t>1.2【中国博士学位论文全文数据库】</w:t>
      </w:r>
      <w:bookmarkEnd w:id="123"/>
    </w:p>
    <w:p w14:paraId="081F19D1">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1.2.1收录范围：具有博士学位授予权的研究生培养单位的博士学位论文（涉及国家保密的论文除外）。</w:t>
      </w:r>
    </w:p>
    <w:p w14:paraId="366BD179">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1.2.2文献总量：截</w:t>
      </w:r>
      <w:r>
        <w:rPr>
          <w:rFonts w:hint="eastAsia" w:ascii="宋体" w:hAnsi="宋体" w:cs="宋体"/>
          <w:szCs w:val="21"/>
          <w:lang w:eastAsia="zh-CN"/>
        </w:rPr>
        <w:t>至</w:t>
      </w:r>
      <w:r>
        <w:rPr>
          <w:rFonts w:hint="eastAsia" w:ascii="宋体" w:hAnsi="宋体" w:eastAsia="宋体" w:cs="宋体"/>
          <w:szCs w:val="21"/>
        </w:rPr>
        <w:t>2024年11月，收录来自530余家培养单位的博士学位论文59.7余万篇。</w:t>
      </w:r>
    </w:p>
    <w:p w14:paraId="0069EB13">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1.2.3收录年限：从1984年至今的博士学位论文。</w:t>
      </w:r>
    </w:p>
    <w:p w14:paraId="7A6BF7F6">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1.2.4文献来源完整率：收录来自520余家博士培养单位（涉及国家保密的单位除外）的博士学位论文。“双一流”建设高校覆盖率达到100%。国家重点学科覆盖率达98%，收全率达90%。特色学科覆盖率达100%，收全率90%。</w:t>
      </w:r>
    </w:p>
    <w:p w14:paraId="1B14A43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1.2.5文献收录完整率：2025年本刊论文计划出版量根据全国2019-2025年博士入学人数、预期毕业人数及与本刊签约投稿的学位授予单位数预测，计划出版3.8万篇，占全国可公开出版的博士学位论文总量的85%以上。</w:t>
      </w:r>
    </w:p>
    <w:p w14:paraId="01EB850E">
      <w:pPr>
        <w:numPr>
          <w:ilvl w:val="255"/>
          <w:numId w:val="0"/>
        </w:numPr>
        <w:spacing w:line="400" w:lineRule="exact"/>
        <w:ind w:firstLine="420" w:firstLineChars="200"/>
        <w:rPr>
          <w:rFonts w:hint="eastAsia" w:ascii="宋体" w:hAnsi="宋体" w:eastAsia="宋体" w:cs="宋体"/>
          <w:szCs w:val="21"/>
        </w:rPr>
      </w:pPr>
      <w:bookmarkStart w:id="124" w:name="_Toc6272"/>
      <w:bookmarkStart w:id="125" w:name="_Toc4657688"/>
      <w:bookmarkStart w:id="126" w:name="_Toc474769664"/>
      <w:bookmarkStart w:id="127" w:name="_Toc14094639"/>
      <w:bookmarkStart w:id="128" w:name="_Toc446315148"/>
      <w:bookmarkStart w:id="129" w:name="_Toc443740167"/>
      <w:bookmarkStart w:id="130" w:name="_Toc95740430"/>
      <w:r>
        <w:rPr>
          <w:rFonts w:hint="eastAsia" w:ascii="宋体" w:hAnsi="宋体" w:eastAsia="宋体" w:cs="宋体"/>
          <w:szCs w:val="21"/>
        </w:rPr>
        <w:t>1.3【中国优秀硕士学位论文全文数据库】</w:t>
      </w:r>
      <w:bookmarkEnd w:id="124"/>
    </w:p>
    <w:p w14:paraId="435C25B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1.3.1收录范围：具有硕士学位授予权的研究生培养单位的硕士学位论文。以优先保证文献质量为基本原则。</w:t>
      </w:r>
    </w:p>
    <w:p w14:paraId="412040E4">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1.3.2文献总量：截</w:t>
      </w:r>
      <w:r>
        <w:rPr>
          <w:rFonts w:hint="eastAsia" w:ascii="宋体" w:hAnsi="宋体" w:cs="宋体"/>
          <w:szCs w:val="21"/>
          <w:lang w:eastAsia="zh-CN"/>
        </w:rPr>
        <w:t>至</w:t>
      </w:r>
      <w:r>
        <w:rPr>
          <w:rFonts w:hint="eastAsia" w:ascii="宋体" w:hAnsi="宋体" w:eastAsia="宋体" w:cs="宋体"/>
          <w:szCs w:val="21"/>
        </w:rPr>
        <w:t>2024年11月，收录来自810余家培养单位的优秀硕士学位论文625.4余万篇。</w:t>
      </w:r>
    </w:p>
    <w:p w14:paraId="0D664006">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1.3.3文献来源完整率：重点收录全国“双一流”建设高校、重要科研院所等通过答辩的硕士学位论文。其中，“双一流”建设高校覆盖率100%，国家重点学科覆盖率达98%，收全率达90%。特色学科覆盖率达100%，收全率90%。</w:t>
      </w:r>
    </w:p>
    <w:p w14:paraId="26B2EDD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1.3.4文献收录完整率：2025年本刊论文计划出版量根据全国2019-2025年硕士入学人数、预期毕业人数及与本刊签约投稿的学位授予单位数预测，计划出版43.5万篇，占全国可公开出版的硕士学位论文总量的85%以上。</w:t>
      </w:r>
    </w:p>
    <w:bookmarkEnd w:id="125"/>
    <w:bookmarkEnd w:id="126"/>
    <w:bookmarkEnd w:id="127"/>
    <w:bookmarkEnd w:id="128"/>
    <w:bookmarkEnd w:id="129"/>
    <w:bookmarkEnd w:id="130"/>
    <w:p w14:paraId="6BD502AA">
      <w:pPr>
        <w:numPr>
          <w:ilvl w:val="255"/>
          <w:numId w:val="0"/>
        </w:numPr>
        <w:spacing w:line="400" w:lineRule="exact"/>
        <w:ind w:firstLine="420" w:firstLineChars="200"/>
        <w:rPr>
          <w:rFonts w:hint="eastAsia" w:ascii="宋体" w:hAnsi="宋体" w:eastAsia="宋体" w:cs="宋体"/>
          <w:szCs w:val="21"/>
        </w:rPr>
      </w:pPr>
      <w:bookmarkStart w:id="131" w:name="_Toc25562"/>
      <w:bookmarkStart w:id="132" w:name="_Toc95740431"/>
      <w:bookmarkStart w:id="133" w:name="_Toc14094640"/>
      <w:bookmarkStart w:id="134" w:name="_Toc3192959"/>
      <w:bookmarkStart w:id="135" w:name="_Toc446315151"/>
      <w:bookmarkStart w:id="136" w:name="_Toc445110667"/>
      <w:bookmarkStart w:id="137" w:name="_Toc445800061"/>
      <w:bookmarkStart w:id="138" w:name="_Toc443740169"/>
      <w:bookmarkStart w:id="139" w:name="_Toc414457021"/>
      <w:bookmarkStart w:id="140" w:name="_Toc443740170"/>
      <w:bookmarkStart w:id="141" w:name="_Toc414457022"/>
      <w:bookmarkStart w:id="142" w:name="_Toc443740185"/>
      <w:bookmarkStart w:id="143" w:name="_Toc446061774"/>
      <w:r>
        <w:rPr>
          <w:rFonts w:hint="eastAsia" w:ascii="宋体" w:hAnsi="宋体" w:eastAsia="宋体" w:cs="宋体"/>
          <w:szCs w:val="21"/>
        </w:rPr>
        <w:t>1.4【国际会议论文全文数据库】</w:t>
      </w:r>
      <w:bookmarkEnd w:id="131"/>
    </w:p>
    <w:p w14:paraId="1BF7EE3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1.4.1文献来源：</w:t>
      </w:r>
    </w:p>
    <w:p w14:paraId="4F47BE5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国际组织在中国境内外主办的学术性会议。</w:t>
      </w:r>
    </w:p>
    <w:p w14:paraId="0E5F026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高校重点实验室、研究中心及院系主办的国际会议。</w:t>
      </w:r>
    </w:p>
    <w:p w14:paraId="6DECE71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全国学会及其分会、专业委员会主办的国际会议。</w:t>
      </w:r>
    </w:p>
    <w:p w14:paraId="5EA4D9B7">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1.4.2出版特点：</w:t>
      </w:r>
    </w:p>
    <w:p w14:paraId="346B235F">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定位高端：国际会议之所以受认可，因为其在短时间内汇集了世界各地知名学者对某一热点问题的观点和最新成果。尤其将特邀报告、大会报告、专题报告等高端文献集中展示，可以使读者了解国际最新成果，拓展视野。</w:t>
      </w:r>
    </w:p>
    <w:p w14:paraId="5342745F">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知识关联：通过跨库检索、知网节功能与其他文献结合，实现与不同类型文献重新整合。</w:t>
      </w:r>
    </w:p>
    <w:p w14:paraId="42BB6B4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1.4.3出版授权：</w:t>
      </w:r>
    </w:p>
    <w:p w14:paraId="37774897">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签</w:t>
      </w:r>
      <w:r>
        <w:rPr>
          <w:rFonts w:hint="eastAsia" w:ascii="宋体" w:hAnsi="宋体" w:cs="宋体"/>
          <w:szCs w:val="21"/>
          <w:lang w:eastAsia="zh-CN"/>
        </w:rPr>
        <w:t>订</w:t>
      </w:r>
      <w:r>
        <w:rPr>
          <w:rFonts w:hint="eastAsia" w:ascii="宋体" w:hAnsi="宋体" w:eastAsia="宋体" w:cs="宋体"/>
          <w:szCs w:val="21"/>
        </w:rPr>
        <w:t>会议论文出版授权协议书，取得会议主办方或汇编方及论文作者出版授权。</w:t>
      </w:r>
    </w:p>
    <w:p w14:paraId="762887C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1.4.4文献总量：截至2024年11月，累计出版国际会议文献97万篇，已收录出版国际学术会议论文集1万余本。</w:t>
      </w:r>
    </w:p>
    <w:p w14:paraId="0BEE66C4">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1.4.5收录年限 ：1981年至今。</w:t>
      </w:r>
    </w:p>
    <w:p w14:paraId="53E935F5">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1.4.6收录完整率：国内机构主办的国际会议收录完整率达90%。</w:t>
      </w:r>
    </w:p>
    <w:bookmarkEnd w:id="132"/>
    <w:p w14:paraId="34C7E028">
      <w:pPr>
        <w:numPr>
          <w:ilvl w:val="255"/>
          <w:numId w:val="0"/>
        </w:numPr>
        <w:spacing w:line="400" w:lineRule="exact"/>
        <w:ind w:firstLine="420" w:firstLineChars="200"/>
        <w:rPr>
          <w:rFonts w:hint="eastAsia" w:ascii="宋体" w:hAnsi="宋体" w:eastAsia="宋体" w:cs="宋体"/>
          <w:szCs w:val="21"/>
        </w:rPr>
      </w:pPr>
      <w:bookmarkStart w:id="144" w:name="_Toc24589"/>
      <w:r>
        <w:rPr>
          <w:rFonts w:hint="eastAsia" w:ascii="宋体" w:hAnsi="宋体" w:eastAsia="宋体" w:cs="宋体"/>
          <w:szCs w:val="21"/>
        </w:rPr>
        <w:t>1.5【中国重要会议论文全文数据库】</w:t>
      </w:r>
      <w:bookmarkEnd w:id="144"/>
    </w:p>
    <w:p w14:paraId="1709F1A5">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1.5.1文献来源：</w:t>
      </w:r>
    </w:p>
    <w:p w14:paraId="72EF247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高校重点实验室、研究中心及院系主办的学术会议。</w:t>
      </w:r>
    </w:p>
    <w:p w14:paraId="5B55C895">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全国性学会及其分会、专业委员会主办的学术会议或论文评选。</w:t>
      </w:r>
    </w:p>
    <w:p w14:paraId="04FCEB8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全国性行业协会及其分会主办的行业活动或发布的行业报告。</w:t>
      </w:r>
    </w:p>
    <w:p w14:paraId="75E53784">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地方性学会/协会主办的特色会议（选择性收录）。</w:t>
      </w:r>
    </w:p>
    <w:p w14:paraId="7FAAEC2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1.5.2出版特点：</w:t>
      </w:r>
    </w:p>
    <w:p w14:paraId="758FC51A">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系列化：完整收录重要连续性会议产出的系列会议论文，部分连续召开的重要会议论文回溯至1953年。</w:t>
      </w:r>
    </w:p>
    <w:p w14:paraId="278963E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系统化：通过跨库检索、知网节功能与其他文献结合，实现与不同类型文献重新整合。</w:t>
      </w:r>
    </w:p>
    <w:p w14:paraId="025853C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1.5.3出版授权：</w:t>
      </w:r>
    </w:p>
    <w:p w14:paraId="62B9D342">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签</w:t>
      </w:r>
      <w:r>
        <w:rPr>
          <w:rFonts w:hint="eastAsia" w:ascii="宋体" w:hAnsi="宋体" w:cs="宋体"/>
          <w:szCs w:val="21"/>
          <w:lang w:eastAsia="zh-CN"/>
        </w:rPr>
        <w:t>订</w:t>
      </w:r>
      <w:r>
        <w:rPr>
          <w:rFonts w:hint="eastAsia" w:ascii="宋体" w:hAnsi="宋体" w:eastAsia="宋体" w:cs="宋体"/>
          <w:szCs w:val="21"/>
        </w:rPr>
        <w:t>会议论文出版授权协议书，取得会议主办方或汇编方及论文作者出版授权。</w:t>
      </w:r>
    </w:p>
    <w:p w14:paraId="6A781819">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1.5.4文献总量：</w:t>
      </w:r>
    </w:p>
    <w:p w14:paraId="7074BA69">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截至2024年11月，累计出版中国会议文献288万篇，收录出版3万余次国内重要会议投稿的论文。</w:t>
      </w:r>
    </w:p>
    <w:bookmarkEnd w:id="133"/>
    <w:bookmarkEnd w:id="134"/>
    <w:p w14:paraId="4920540B">
      <w:pPr>
        <w:numPr>
          <w:ilvl w:val="255"/>
          <w:numId w:val="0"/>
        </w:numPr>
        <w:spacing w:line="400" w:lineRule="exact"/>
        <w:ind w:firstLine="420" w:firstLineChars="200"/>
        <w:rPr>
          <w:rFonts w:hint="eastAsia" w:ascii="宋体" w:hAnsi="宋体" w:eastAsia="宋体" w:cs="宋体"/>
          <w:szCs w:val="21"/>
        </w:rPr>
      </w:pPr>
      <w:bookmarkStart w:id="145" w:name="_Toc26718"/>
      <w:bookmarkStart w:id="146" w:name="_Toc477528709"/>
      <w:bookmarkStart w:id="147" w:name="_Toc3192961"/>
      <w:bookmarkStart w:id="148" w:name="_Toc14094642"/>
      <w:r>
        <w:rPr>
          <w:rFonts w:hint="eastAsia" w:ascii="宋体" w:hAnsi="宋体" w:eastAsia="宋体" w:cs="宋体"/>
          <w:szCs w:val="21"/>
        </w:rPr>
        <w:t>1.6【中国重要报纸全文数据库】</w:t>
      </w:r>
      <w:bookmarkEnd w:id="145"/>
    </w:p>
    <w:p w14:paraId="7844F43F">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1.6.1收录范围：中央级各类报纸，各省、自治区、直辖市及其他地市级城市党报，以及面向全国公开发行的具有一定影响力的特色重要行业性报纸。</w:t>
      </w:r>
    </w:p>
    <w:p w14:paraId="085B1551">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1.6.2文献总量：2025年度共收录各级党报及特色行业报等重要报纸约500种；出版文献总量约1570万篇。</w:t>
      </w:r>
    </w:p>
    <w:p w14:paraId="294D84CA">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1.6.3收录内容：重要新闻和学术文献资料。</w:t>
      </w:r>
    </w:p>
    <w:p w14:paraId="1DEC1459">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1.6.4收录方式：摘录全文。</w:t>
      </w:r>
    </w:p>
    <w:p w14:paraId="04D56171">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1.6.5收录年限：2000年以来。</w:t>
      </w:r>
    </w:p>
    <w:p w14:paraId="0907EDF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1.7【中国经济社会大数据研究平台】</w:t>
      </w:r>
      <w:bookmarkEnd w:id="146"/>
      <w:bookmarkEnd w:id="147"/>
      <w:bookmarkEnd w:id="148"/>
      <w:bookmarkStart w:id="149" w:name="经济与社会发展统计"/>
      <w:bookmarkEnd w:id="149"/>
    </w:p>
    <w:bookmarkEnd w:id="135"/>
    <w:bookmarkEnd w:id="136"/>
    <w:bookmarkEnd w:id="137"/>
    <w:bookmarkEnd w:id="138"/>
    <w:bookmarkEnd w:id="139"/>
    <w:bookmarkEnd w:id="140"/>
    <w:bookmarkEnd w:id="141"/>
    <w:p w14:paraId="1041D6C2">
      <w:pPr>
        <w:numPr>
          <w:ilvl w:val="255"/>
          <w:numId w:val="0"/>
        </w:numPr>
        <w:spacing w:line="400" w:lineRule="exact"/>
        <w:ind w:firstLine="420" w:firstLineChars="200"/>
        <w:rPr>
          <w:rFonts w:hint="eastAsia" w:ascii="宋体" w:hAnsi="宋体" w:eastAsia="宋体" w:cs="宋体"/>
          <w:szCs w:val="21"/>
        </w:rPr>
      </w:pPr>
      <w:bookmarkStart w:id="150" w:name="_Toc95740434"/>
      <w:bookmarkStart w:id="151" w:name="_Toc4657692"/>
      <w:bookmarkStart w:id="152" w:name="_Toc474769678"/>
      <w:bookmarkStart w:id="153" w:name="_Toc14094653"/>
      <w:bookmarkStart w:id="154" w:name="_Toc443740188"/>
      <w:bookmarkStart w:id="155" w:name="_Toc446315167"/>
      <w:r>
        <w:rPr>
          <w:rFonts w:hint="eastAsia" w:ascii="宋体" w:hAnsi="宋体" w:eastAsia="宋体" w:cs="宋体"/>
          <w:szCs w:val="21"/>
        </w:rPr>
        <w:t>1.7.1数据来源：由中国统计出版社及各统计年鉴编辑单位授权的、正式出版的统计类资料。</w:t>
      </w:r>
    </w:p>
    <w:p w14:paraId="48D88DC5">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1.7.2收录年限：1994年至今。</w:t>
      </w:r>
    </w:p>
    <w:p w14:paraId="36C3885F">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1.7.3出版总量：截</w:t>
      </w:r>
      <w:r>
        <w:rPr>
          <w:rFonts w:hint="eastAsia" w:ascii="宋体" w:hAnsi="宋体" w:cs="宋体"/>
          <w:szCs w:val="21"/>
          <w:lang w:eastAsia="zh-CN"/>
        </w:rPr>
        <w:t>至</w:t>
      </w:r>
      <w:r>
        <w:rPr>
          <w:rFonts w:hint="eastAsia" w:ascii="宋体" w:hAnsi="宋体" w:eastAsia="宋体" w:cs="宋体"/>
          <w:szCs w:val="21"/>
        </w:rPr>
        <w:t>2025年2月，已收录我国历年出版的统计资料共33922册。其中，统计年鉴30786册；分析报告781册；资料汇编570册；调查资料556册；普查资料1167册；统计摘要62册；全国各省市区县统计公报13954篇。</w:t>
      </w:r>
    </w:p>
    <w:p w14:paraId="06537B22">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1.8【中国工具书网络出版总库】</w:t>
      </w:r>
      <w:bookmarkEnd w:id="150"/>
    </w:p>
    <w:bookmarkEnd w:id="151"/>
    <w:bookmarkEnd w:id="152"/>
    <w:bookmarkEnd w:id="153"/>
    <w:p w14:paraId="4BA779EE">
      <w:pPr>
        <w:numPr>
          <w:ilvl w:val="255"/>
          <w:numId w:val="0"/>
        </w:numPr>
        <w:spacing w:line="400" w:lineRule="exact"/>
        <w:ind w:firstLine="420" w:firstLineChars="200"/>
        <w:rPr>
          <w:rFonts w:hint="eastAsia" w:ascii="宋体" w:hAnsi="宋体" w:eastAsia="宋体" w:cs="宋体"/>
          <w:szCs w:val="21"/>
        </w:rPr>
      </w:pPr>
      <w:bookmarkStart w:id="156" w:name="_Toc95740444"/>
      <w:bookmarkStart w:id="157" w:name="_Toc14094660"/>
      <w:bookmarkStart w:id="158" w:name="_Toc4657696"/>
      <w:r>
        <w:rPr>
          <w:rFonts w:hint="eastAsia" w:ascii="宋体" w:hAnsi="宋体" w:eastAsia="宋体" w:cs="宋体"/>
          <w:szCs w:val="21"/>
        </w:rPr>
        <w:t>1.8.1资源量和更新：</w:t>
      </w:r>
    </w:p>
    <w:p w14:paraId="72FD6A3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CRFD收录我国400多家出版社正式出版的1.5万多部工具书，约2267万词条，422万张图片。</w:t>
      </w:r>
    </w:p>
    <w:p w14:paraId="7EE18AA3">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年更新工具书量在七八百部。在每年年底发出次年订单，订单上的书在次年陆续上网，季度更新。</w:t>
      </w:r>
    </w:p>
    <w:p w14:paraId="2D907F62">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1.9.【中国国家标准全文数据库】</w:t>
      </w:r>
      <w:bookmarkEnd w:id="156"/>
      <w:bookmarkStart w:id="159" w:name="中国国家标准全文"/>
      <w:bookmarkEnd w:id="159"/>
    </w:p>
    <w:p w14:paraId="1B73A94C">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收录了由国家标准化管理委员会发布的，中国标准出版社出版的国家标准以及由中国计划出版的工程建设类国家标准，覆盖率占国家标准总量的97%以上。</w:t>
      </w:r>
    </w:p>
    <w:p w14:paraId="3F328228">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1.9.1收录范围：数据收录自1980年以来国家标准化管理委员会管理的国家标准，共7万余项。</w:t>
      </w:r>
      <w:bookmarkEnd w:id="142"/>
      <w:bookmarkEnd w:id="143"/>
      <w:bookmarkEnd w:id="154"/>
      <w:bookmarkEnd w:id="155"/>
      <w:bookmarkEnd w:id="157"/>
      <w:bookmarkEnd w:id="158"/>
    </w:p>
    <w:p w14:paraId="0FB7FF31">
      <w:pPr>
        <w:numPr>
          <w:ilvl w:val="255"/>
          <w:numId w:val="0"/>
        </w:numPr>
        <w:spacing w:line="400" w:lineRule="exact"/>
        <w:ind w:firstLine="420" w:firstLineChars="200"/>
        <w:rPr>
          <w:rFonts w:hint="eastAsia" w:ascii="宋体" w:hAnsi="宋体" w:eastAsia="宋体" w:cs="宋体"/>
          <w:szCs w:val="21"/>
        </w:rPr>
      </w:pPr>
      <w:bookmarkStart w:id="160" w:name="_Toc247079415"/>
      <w:r>
        <w:rPr>
          <w:rFonts w:hint="eastAsia" w:ascii="宋体" w:hAnsi="宋体" w:eastAsia="宋体" w:cs="宋体"/>
          <w:szCs w:val="21"/>
        </w:rPr>
        <w:t>1.10【中国基础教育文献资源总库】</w:t>
      </w:r>
    </w:p>
    <w:bookmarkEnd w:id="160"/>
    <w:p w14:paraId="20C5B94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资源内容包括2300多种基础教育和相关期刊、180多家师范和综合类院校的优秀博硕士论文、480余种报纸（基础教育类和其他报纸）和80多家教育及相关教育学会及教育相关会议单位的会议论文。</w:t>
      </w:r>
    </w:p>
    <w:p w14:paraId="5C623874">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1.11【中国引文数据库】</w:t>
      </w:r>
    </w:p>
    <w:p w14:paraId="3F1C9B8C">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基于CNKI源数据库文献的文后参考文献和文献注释为信息对象建立的一个规范的引文数据库。引文数据权威准确，涵盖期刊（中外文）、博硕士学位论文、国内/国际会议论文、图书、中国专利、中国标准、年鉴、报纸等文献类型引文。</w:t>
      </w:r>
    </w:p>
    <w:p w14:paraId="0C4DA58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1.12</w:t>
      </w:r>
      <w:r>
        <w:rPr>
          <w:rFonts w:hint="eastAsia" w:ascii="宋体" w:hAnsi="宋体" w:eastAsia="宋体" w:cs="宋体"/>
          <w:szCs w:val="21"/>
        </w:rPr>
        <w:t>【</w:t>
      </w:r>
      <w:r>
        <w:rPr>
          <w:rFonts w:hint="eastAsia" w:ascii="宋体" w:hAnsi="宋体" w:eastAsia="宋体" w:cs="宋体"/>
          <w:szCs w:val="21"/>
          <w:lang w:val="en-US" w:eastAsia="zh-CN"/>
        </w:rPr>
        <w:t>学术辑刊</w:t>
      </w:r>
      <w:r>
        <w:rPr>
          <w:rFonts w:hint="eastAsia" w:ascii="宋体" w:hAnsi="宋体" w:eastAsia="宋体" w:cs="宋体"/>
          <w:szCs w:val="21"/>
        </w:rPr>
        <w:t>】</w:t>
      </w:r>
    </w:p>
    <w:p w14:paraId="2B69229D">
      <w:pPr>
        <w:numPr>
          <w:ilvl w:val="255"/>
          <w:numId w:val="0"/>
        </w:numPr>
        <w:spacing w:line="400" w:lineRule="exact"/>
        <w:ind w:firstLine="420" w:firstLineChars="200"/>
        <w:rPr>
          <w:rFonts w:hint="default" w:ascii="宋体" w:hAnsi="宋体" w:eastAsia="宋体" w:cs="宋体"/>
          <w:szCs w:val="21"/>
          <w:lang w:val="en-US" w:eastAsia="zh-CN"/>
        </w:rPr>
      </w:pPr>
      <w:r>
        <w:rPr>
          <w:rFonts w:hint="default" w:ascii="宋体" w:hAnsi="宋体" w:eastAsia="宋体" w:cs="宋体"/>
          <w:szCs w:val="21"/>
          <w:lang w:val="en-US" w:eastAsia="zh-CN"/>
        </w:rPr>
        <w:t>收录学术辑刊1300余种，文献总量40万余篇，该库所收录辑刊的编辑单位多为高等院校和科研院所，具有较强的学术辐射力和带动效应。</w:t>
      </w:r>
    </w:p>
    <w:p w14:paraId="79754ED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eastAsia="宋体" w:cs="宋体"/>
          <w:szCs w:val="21"/>
        </w:rPr>
        <w:t>2.校园IP范围内访问登录，支持VPN、CARSI等校外登录访问</w:t>
      </w:r>
      <w:r>
        <w:rPr>
          <w:rFonts w:hint="eastAsia" w:ascii="宋体" w:hAnsi="宋体" w:cs="宋体"/>
          <w:szCs w:val="21"/>
          <w:lang w:eastAsia="zh-CN"/>
        </w:rPr>
        <w:t>。</w:t>
      </w:r>
    </w:p>
    <w:p w14:paraId="4D91D2E8">
      <w:pPr>
        <w:numPr>
          <w:ilvl w:val="255"/>
          <w:numId w:val="0"/>
        </w:numPr>
        <w:spacing w:line="400" w:lineRule="exact"/>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售后服务：</w:t>
      </w:r>
    </w:p>
    <w:p w14:paraId="6E54DBFB">
      <w:pPr>
        <w:numPr>
          <w:ilvl w:val="255"/>
          <w:numId w:val="0"/>
        </w:numPr>
        <w:spacing w:line="400" w:lineRule="exact"/>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.1安装调试</w:t>
      </w:r>
    </w:p>
    <w:p w14:paraId="488813E2">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镜像模式：向采购人提供产品的首次安装调试服务，采购人和成交人共同组织验收。</w:t>
      </w:r>
    </w:p>
    <w:p w14:paraId="276FADE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培训用户的系统管理员。</w:t>
      </w:r>
    </w:p>
    <w:p w14:paraId="02703B5D">
      <w:pPr>
        <w:numPr>
          <w:ilvl w:val="255"/>
          <w:numId w:val="0"/>
        </w:numPr>
        <w:spacing w:line="400" w:lineRule="exact"/>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.2系统维护</w:t>
      </w:r>
    </w:p>
    <w:p w14:paraId="26A1FF3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每月通过远程对产品运行状况进行一次全面监测，对系统运行管理状况提供管理建议。</w:t>
      </w:r>
    </w:p>
    <w:p w14:paraId="2FC946D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采购人原因造成的产品使用故障，通过电话支持、网络服务等方式协助采购人排查。特殊情况下可派技术人员上门协助解决。</w:t>
      </w:r>
    </w:p>
    <w:p w14:paraId="57B06141">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产品本身原因造成的使用故障由成交人负责排除。</w:t>
      </w:r>
    </w:p>
    <w:p w14:paraId="248FD3B4">
      <w:pPr>
        <w:numPr>
          <w:ilvl w:val="255"/>
          <w:numId w:val="0"/>
        </w:numPr>
        <w:spacing w:line="400" w:lineRule="exact"/>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.3紧急服务</w:t>
      </w:r>
    </w:p>
    <w:p w14:paraId="3CB9791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向采购人提供产品的紧急备份访问服务，保证采购人可持续使用产品。镜像服务中断时，经采购人申请、成交人核实后即为用户开通CNKI中心网站或交换服务中心的备用账号。</w:t>
      </w:r>
    </w:p>
    <w:p w14:paraId="3267DD0C">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用户原因造成的服务中断，每年使用备用账号累计时间不超过3个月。</w:t>
      </w:r>
    </w:p>
    <w:p w14:paraId="5597DFD6">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产品本身原因造成的服务中断，备用账号使用到产品恢复正常使用时为止。</w:t>
      </w:r>
    </w:p>
    <w:p w14:paraId="3E7303B6">
      <w:pPr>
        <w:numPr>
          <w:ilvl w:val="255"/>
          <w:numId w:val="0"/>
        </w:numPr>
        <w:spacing w:line="400" w:lineRule="exact"/>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.4技术支持</w:t>
      </w:r>
    </w:p>
    <w:p w14:paraId="5D623754">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向采购人提供热线、邮件、网络、上门等服务方式的咨询解答和技术支持服务。</w:t>
      </w:r>
    </w:p>
    <w:p w14:paraId="4A1562C7">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提供网络、电话及E-mail支持服务，响应时间不超过24小时。</w:t>
      </w:r>
    </w:p>
    <w:p w14:paraId="1BF18608">
      <w:pPr>
        <w:numPr>
          <w:ilvl w:val="255"/>
          <w:numId w:val="0"/>
        </w:numPr>
        <w:spacing w:line="400" w:lineRule="exact"/>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.5培训</w:t>
      </w:r>
    </w:p>
    <w:p w14:paraId="1BAFA5B1">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eastAsia="宋体" w:cs="宋体"/>
          <w:szCs w:val="21"/>
        </w:rPr>
        <w:t>提供数据库培训等活动一年内不少于2次，具体时间和形式，双方协商确认。</w:t>
      </w:r>
    </w:p>
    <w:p w14:paraId="3C744766">
      <w:pPr>
        <w:numPr>
          <w:ilvl w:val="255"/>
          <w:numId w:val="0"/>
        </w:numPr>
        <w:spacing w:line="400" w:lineRule="exact"/>
        <w:ind w:firstLine="420" w:firstLineChars="2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.6数据统计</w:t>
      </w:r>
    </w:p>
    <w:p w14:paraId="498878B9">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cs="宋体"/>
          <w:szCs w:val="21"/>
          <w:lang w:eastAsia="zh-CN"/>
        </w:rPr>
        <w:t>采购人</w:t>
      </w:r>
      <w:r>
        <w:rPr>
          <w:rFonts w:hint="eastAsia" w:ascii="宋体" w:hAnsi="宋体" w:eastAsia="宋体" w:cs="宋体"/>
          <w:szCs w:val="21"/>
        </w:rPr>
        <w:t>要求定期提供数据库使用统计。</w:t>
      </w:r>
    </w:p>
    <w:p w14:paraId="00C2AB46">
      <w:pPr>
        <w:numPr>
          <w:ilvl w:val="255"/>
          <w:numId w:val="0"/>
        </w:numPr>
        <w:spacing w:line="400" w:lineRule="exact"/>
        <w:ind w:firstLine="420" w:firstLineChars="200"/>
        <w:rPr>
          <w:rFonts w:hint="eastAsia" w:ascii="宋体" w:hAnsi="宋体" w:eastAsia="宋体" w:cs="宋体"/>
          <w:szCs w:val="21"/>
          <w:lang w:eastAsia="zh-CN"/>
        </w:rPr>
        <w:sectPr>
          <w:pgSz w:w="11905" w:h="16838"/>
          <w:pgMar w:top="1474" w:right="1474" w:bottom="1474" w:left="1474" w:header="907" w:footer="850" w:gutter="0"/>
          <w:pgBorders>
            <w:top w:val="none" w:sz="0" w:space="0"/>
            <w:left w:val="none" w:sz="0" w:space="0"/>
            <w:bottom w:val="none" w:sz="0" w:space="0"/>
            <w:right w:val="none" w:sz="0" w:space="0"/>
          </w:pgBorders>
          <w:cols w:space="0" w:num="1"/>
          <w:docGrid w:type="lines" w:linePitch="289" w:charSpace="0"/>
        </w:sectPr>
      </w:pPr>
      <w:r>
        <w:rPr>
          <w:rFonts w:hint="eastAsia" w:ascii="宋体" w:hAnsi="宋体" w:cs="宋体"/>
          <w:szCs w:val="21"/>
          <w:lang w:val="en-US" w:eastAsia="zh-CN"/>
        </w:rPr>
        <w:t>4</w:t>
      </w:r>
      <w:r>
        <w:rPr>
          <w:rFonts w:hint="eastAsia" w:ascii="宋体" w:hAnsi="宋体" w:eastAsia="宋体" w:cs="宋体"/>
          <w:szCs w:val="21"/>
        </w:rPr>
        <w:t>.服务期限：2026</w:t>
      </w:r>
      <w:r>
        <w:rPr>
          <w:rFonts w:hint="eastAsia" w:ascii="宋体" w:hAnsi="宋体" w:eastAsia="宋体" w:cs="宋体"/>
          <w:szCs w:val="21"/>
          <w:lang w:eastAsia="zh-CN"/>
        </w:rPr>
        <w:t>年</w:t>
      </w:r>
      <w:r>
        <w:rPr>
          <w:rFonts w:hint="eastAsia" w:ascii="宋体" w:hAnsi="宋体" w:eastAsia="宋体" w:cs="宋体"/>
          <w:szCs w:val="21"/>
        </w:rPr>
        <w:t>1</w:t>
      </w:r>
      <w:r>
        <w:rPr>
          <w:rFonts w:hint="eastAsia" w:ascii="宋体" w:hAnsi="宋体" w:eastAsia="宋体" w:cs="宋体"/>
          <w:szCs w:val="21"/>
          <w:lang w:eastAsia="zh-CN"/>
        </w:rPr>
        <w:t>月</w:t>
      </w:r>
      <w:r>
        <w:rPr>
          <w:rFonts w:hint="eastAsia" w:ascii="宋体" w:hAnsi="宋体" w:eastAsia="宋体" w:cs="宋体"/>
          <w:szCs w:val="21"/>
        </w:rPr>
        <w:t>1</w:t>
      </w:r>
      <w:r>
        <w:rPr>
          <w:rFonts w:hint="eastAsia" w:ascii="宋体" w:hAnsi="宋体" w:eastAsia="宋体" w:cs="宋体"/>
          <w:szCs w:val="21"/>
          <w:lang w:eastAsia="zh-CN"/>
        </w:rPr>
        <w:t>日至</w:t>
      </w:r>
      <w:r>
        <w:rPr>
          <w:rFonts w:hint="eastAsia" w:ascii="宋体" w:hAnsi="宋体" w:eastAsia="宋体" w:cs="宋体"/>
          <w:szCs w:val="21"/>
        </w:rPr>
        <w:t>2026</w:t>
      </w:r>
      <w:r>
        <w:rPr>
          <w:rFonts w:hint="eastAsia" w:ascii="宋体" w:hAnsi="宋体" w:eastAsia="宋体" w:cs="宋体"/>
          <w:szCs w:val="21"/>
          <w:lang w:eastAsia="zh-CN"/>
        </w:rPr>
        <w:t>年</w:t>
      </w:r>
      <w:r>
        <w:rPr>
          <w:rFonts w:hint="eastAsia" w:ascii="宋体" w:hAnsi="宋体" w:eastAsia="宋体" w:cs="宋体"/>
          <w:szCs w:val="21"/>
        </w:rPr>
        <w:t>12</w:t>
      </w:r>
      <w:r>
        <w:rPr>
          <w:rFonts w:hint="eastAsia" w:ascii="宋体" w:hAnsi="宋体" w:eastAsia="宋体" w:cs="宋体"/>
          <w:szCs w:val="21"/>
          <w:lang w:eastAsia="zh-CN"/>
        </w:rPr>
        <w:t>月</w:t>
      </w:r>
      <w:r>
        <w:rPr>
          <w:rFonts w:hint="eastAsia" w:ascii="宋体" w:hAnsi="宋体" w:eastAsia="宋体" w:cs="宋体"/>
          <w:szCs w:val="21"/>
        </w:rPr>
        <w:t>31</w:t>
      </w:r>
      <w:r>
        <w:rPr>
          <w:rFonts w:hint="eastAsia" w:ascii="宋体" w:hAnsi="宋体" w:eastAsia="宋体" w:cs="宋体"/>
          <w:szCs w:val="21"/>
          <w:lang w:eastAsia="zh-CN"/>
        </w:rPr>
        <w:t>日。</w:t>
      </w:r>
    </w:p>
    <w:p w14:paraId="19F2E05C">
      <w:pPr>
        <w:spacing w:line="400" w:lineRule="exact"/>
        <w:ind w:firstLine="422" w:firstLineChars="200"/>
        <w:rPr>
          <w:rFonts w:ascii="宋体" w:hAnsi="宋体" w:cs="宋体"/>
          <w:b/>
          <w:szCs w:val="21"/>
        </w:rPr>
      </w:pPr>
      <w:r>
        <w:rPr>
          <w:rFonts w:hint="eastAsia" w:ascii="宋体" w:hAnsi="宋体" w:cs="宋体"/>
          <w:b/>
          <w:szCs w:val="21"/>
        </w:rPr>
        <w:t>标项三十六（人大报刊复印资料）：</w:t>
      </w:r>
    </w:p>
    <w:p w14:paraId="44AA04E0">
      <w:pPr>
        <w:numPr>
          <w:ilvl w:val="255"/>
          <w:numId w:val="0"/>
        </w:numPr>
        <w:spacing w:line="400" w:lineRule="exact"/>
        <w:ind w:firstLine="420" w:firstLineChars="200"/>
        <w:rPr>
          <w:rFonts w:ascii="宋体" w:hAnsi="宋体" w:cs="宋体"/>
          <w:szCs w:val="21"/>
        </w:rPr>
      </w:pPr>
      <w:r>
        <w:rPr>
          <w:rFonts w:hint="eastAsia" w:ascii="宋体" w:hAnsi="宋体" w:cs="宋体"/>
          <w:szCs w:val="21"/>
        </w:rPr>
        <w:t>1.内容要求</w:t>
      </w:r>
    </w:p>
    <w:p w14:paraId="1DC55FDD">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1.1人大复印报刊资料全文数据库网络版</w:t>
      </w:r>
      <w:r>
        <w:rPr>
          <w:rFonts w:hint="eastAsia" w:ascii="宋体" w:hAnsi="宋体" w:cs="宋体"/>
          <w:szCs w:val="21"/>
          <w:lang w:eastAsia="zh-CN"/>
        </w:rPr>
        <w:t>。</w:t>
      </w:r>
    </w:p>
    <w:p w14:paraId="169274A4">
      <w:pPr>
        <w:numPr>
          <w:ilvl w:val="255"/>
          <w:numId w:val="0"/>
        </w:numPr>
        <w:spacing w:line="400" w:lineRule="exact"/>
        <w:ind w:firstLine="420" w:firstLineChars="200"/>
        <w:rPr>
          <w:rFonts w:ascii="宋体" w:hAnsi="宋体" w:cs="宋体"/>
          <w:szCs w:val="21"/>
        </w:rPr>
      </w:pPr>
      <w:r>
        <w:rPr>
          <w:rFonts w:hint="eastAsia" w:ascii="宋体" w:hAnsi="宋体" w:cs="宋体"/>
          <w:szCs w:val="21"/>
        </w:rPr>
        <w:t>1.2</w:t>
      </w:r>
      <w:r>
        <w:rPr>
          <w:rFonts w:hint="eastAsia" w:ascii="宋体" w:hAnsi="宋体" w:eastAsia="宋体" w:cs="宋体"/>
          <w:i w:val="0"/>
          <w:iCs w:val="0"/>
          <w:caps w:val="0"/>
          <w:spacing w:val="0"/>
          <w:sz w:val="21"/>
          <w:szCs w:val="21"/>
          <w:shd w:val="clear"/>
        </w:rPr>
        <w:t>汇集改革开放以来国内报刊公开发表的人文社科学术研究成果的精华，由专业编辑和学界专家依循严谨的学术标准和规范的选稿流程，对海量学术信息进行精选整理、分类编辑、汇编成库，以学术论文及原刊原版的形式展现篇目内容。</w:t>
      </w:r>
      <w:r>
        <w:rPr>
          <w:rFonts w:hint="eastAsia" w:ascii="宋体" w:hAnsi="宋体" w:cs="宋体"/>
          <w:szCs w:val="21"/>
        </w:rPr>
        <w:t xml:space="preserve">分为政治学与社会学类、哲学类、法律类、经济学与经济管理类、教育类、文学与艺术类、历史学类、文化信息传播类以及其他类共计九大类。收录年限为1995年至今。该数据库具有较高的学术价值、应用价值，含有新观点、新材料、新方法或具有一定重要的代表性，能反映学术研究或实际工作部门的现状、成就及新发展。 </w:t>
      </w:r>
    </w:p>
    <w:p w14:paraId="6BAA9CE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1.3更新</w:t>
      </w:r>
      <w:r>
        <w:rPr>
          <w:rFonts w:hint="eastAsia" w:ascii="宋体" w:hAnsi="宋体" w:cs="宋体"/>
          <w:szCs w:val="21"/>
          <w:lang w:val="en-US" w:eastAsia="zh-CN"/>
        </w:rPr>
        <w:t>频率</w:t>
      </w:r>
      <w:r>
        <w:rPr>
          <w:rFonts w:hint="eastAsia" w:ascii="宋体" w:hAnsi="宋体" w:cs="宋体"/>
          <w:szCs w:val="21"/>
        </w:rPr>
        <w:t>：实时更新</w:t>
      </w:r>
      <w:r>
        <w:rPr>
          <w:rFonts w:hint="eastAsia" w:ascii="宋体" w:hAnsi="宋体" w:cs="宋体"/>
          <w:szCs w:val="21"/>
          <w:lang w:eastAsia="zh-CN"/>
        </w:rPr>
        <w:t>。</w:t>
      </w:r>
    </w:p>
    <w:p w14:paraId="5BC5016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1.4校园IP范围内访问登录</w:t>
      </w:r>
      <w:r>
        <w:rPr>
          <w:rFonts w:hint="eastAsia" w:ascii="宋体" w:hAnsi="宋体" w:cs="宋体"/>
          <w:szCs w:val="21"/>
          <w:lang w:eastAsia="zh-CN"/>
        </w:rPr>
        <w:t>，</w:t>
      </w:r>
      <w:r>
        <w:rPr>
          <w:rFonts w:hint="eastAsia" w:ascii="宋体" w:hAnsi="宋体" w:cs="宋体"/>
          <w:szCs w:val="21"/>
        </w:rPr>
        <w:t>远程开通并发数：30个</w:t>
      </w:r>
      <w:r>
        <w:rPr>
          <w:rFonts w:hint="eastAsia" w:ascii="宋体" w:hAnsi="宋体" w:cs="宋体"/>
          <w:szCs w:val="21"/>
          <w:lang w:eastAsia="zh-CN"/>
        </w:rPr>
        <w:t>。</w:t>
      </w:r>
    </w:p>
    <w:p w14:paraId="069BCC53">
      <w:pPr>
        <w:numPr>
          <w:ilvl w:val="255"/>
          <w:numId w:val="0"/>
        </w:numPr>
        <w:spacing w:line="400" w:lineRule="exact"/>
        <w:ind w:firstLine="420" w:firstLineChars="200"/>
        <w:rPr>
          <w:rFonts w:ascii="宋体" w:hAnsi="宋体" w:cs="宋体"/>
          <w:szCs w:val="21"/>
        </w:rPr>
      </w:pPr>
      <w:r>
        <w:rPr>
          <w:rFonts w:hint="eastAsia" w:ascii="宋体" w:hAnsi="宋体" w:cs="宋体"/>
          <w:szCs w:val="21"/>
        </w:rPr>
        <w:t>1.5知识产权：供应商对“人大复印报刊资料全文数据库”拥有完全知识产权，内容无任何版权纠纷。</w:t>
      </w:r>
    </w:p>
    <w:p w14:paraId="59DD232B">
      <w:pPr>
        <w:numPr>
          <w:ilvl w:val="255"/>
          <w:numId w:val="0"/>
        </w:numPr>
        <w:spacing w:line="400" w:lineRule="exact"/>
        <w:ind w:firstLine="420" w:firstLineChars="200"/>
        <w:rPr>
          <w:rFonts w:ascii="宋体" w:hAnsi="宋体" w:cs="宋体"/>
          <w:szCs w:val="21"/>
        </w:rPr>
      </w:pPr>
      <w:r>
        <w:rPr>
          <w:rFonts w:hint="eastAsia" w:ascii="宋体" w:hAnsi="宋体" w:cs="宋体"/>
          <w:szCs w:val="21"/>
        </w:rPr>
        <w:t>2.服务要求</w:t>
      </w:r>
    </w:p>
    <w:p w14:paraId="3B8A421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2.1承诺在双方签订合同后，完全按照合同规定的内容和时间开通服务</w:t>
      </w:r>
      <w:r>
        <w:rPr>
          <w:rFonts w:hint="eastAsia" w:ascii="宋体" w:hAnsi="宋体" w:cs="宋体"/>
          <w:szCs w:val="21"/>
          <w:lang w:eastAsia="zh-CN"/>
        </w:rPr>
        <w:t>。</w:t>
      </w:r>
    </w:p>
    <w:p w14:paraId="1DF2A659">
      <w:pPr>
        <w:numPr>
          <w:ilvl w:val="255"/>
          <w:numId w:val="0"/>
        </w:numPr>
        <w:spacing w:line="400" w:lineRule="exact"/>
        <w:ind w:firstLine="420" w:firstLineChars="200"/>
        <w:rPr>
          <w:rFonts w:ascii="宋体" w:hAnsi="宋体" w:cs="宋体"/>
          <w:szCs w:val="21"/>
        </w:rPr>
      </w:pPr>
      <w:r>
        <w:rPr>
          <w:rFonts w:hint="eastAsia" w:ascii="宋体" w:hAnsi="宋体" w:eastAsia="宋体" w:cs="宋体"/>
          <w:lang w:eastAsia="zh-CN"/>
        </w:rPr>
        <w:t>★</w:t>
      </w:r>
      <w:r>
        <w:rPr>
          <w:rFonts w:hint="eastAsia" w:ascii="宋体" w:hAnsi="宋体" w:cs="宋体"/>
          <w:szCs w:val="21"/>
        </w:rPr>
        <w:t>2.2提供7×24小时网络、电话及Email支持服务，响应时间不超过1小时，对一般的技术支持响应时间不超过1小时，若出现重大问题，技术支持工程师必须在24小时内到达现场进行技术维护。</w:t>
      </w:r>
    </w:p>
    <w:p w14:paraId="47F32024">
      <w:pPr>
        <w:numPr>
          <w:ilvl w:val="255"/>
          <w:numId w:val="0"/>
        </w:numPr>
        <w:spacing w:line="400" w:lineRule="exact"/>
        <w:ind w:firstLine="420" w:firstLineChars="200"/>
        <w:rPr>
          <w:rFonts w:ascii="宋体" w:hAnsi="宋体" w:cs="宋体"/>
          <w:szCs w:val="21"/>
        </w:rPr>
      </w:pPr>
      <w:r>
        <w:rPr>
          <w:rFonts w:hint="eastAsia" w:ascii="宋体" w:hAnsi="宋体" w:cs="宋体"/>
          <w:szCs w:val="21"/>
        </w:rPr>
        <w:t>2.3承诺每年为</w:t>
      </w:r>
      <w:r>
        <w:rPr>
          <w:rFonts w:hint="eastAsia" w:ascii="宋体" w:hAnsi="宋体" w:cs="宋体"/>
          <w:szCs w:val="21"/>
          <w:lang w:eastAsia="zh-CN"/>
        </w:rPr>
        <w:t>采购人</w:t>
      </w:r>
      <w:r>
        <w:rPr>
          <w:rFonts w:hint="eastAsia" w:ascii="宋体" w:hAnsi="宋体" w:cs="宋体"/>
          <w:szCs w:val="21"/>
        </w:rPr>
        <w:t>单位提供两次技术、使用培训或其他相关活动，并能提供活动物料。具体活动时间和形式，双方协商确认。</w:t>
      </w:r>
    </w:p>
    <w:p w14:paraId="16EA0B35">
      <w:pPr>
        <w:numPr>
          <w:ilvl w:val="255"/>
          <w:numId w:val="0"/>
        </w:numPr>
        <w:spacing w:line="400" w:lineRule="exact"/>
        <w:ind w:firstLine="420" w:firstLineChars="200"/>
        <w:rPr>
          <w:rFonts w:ascii="宋体" w:hAnsi="宋体" w:cs="宋体"/>
          <w:szCs w:val="21"/>
        </w:rPr>
      </w:pPr>
      <w:r>
        <w:rPr>
          <w:rFonts w:hint="eastAsia" w:ascii="宋体" w:hAnsi="宋体" w:cs="宋体"/>
          <w:szCs w:val="21"/>
        </w:rPr>
        <w:t>2.4根据要求提供远程校外访问账号，以确保产品的不间断使用。</w:t>
      </w:r>
    </w:p>
    <w:p w14:paraId="32475DBF">
      <w:pPr>
        <w:numPr>
          <w:ilvl w:val="255"/>
          <w:numId w:val="0"/>
        </w:numPr>
        <w:spacing w:line="400" w:lineRule="exact"/>
        <w:ind w:firstLine="420" w:firstLineChars="200"/>
        <w:rPr>
          <w:rFonts w:ascii="宋体" w:hAnsi="宋体" w:cs="宋体"/>
          <w:szCs w:val="21"/>
        </w:rPr>
      </w:pPr>
      <w:r>
        <w:rPr>
          <w:rFonts w:hint="eastAsia" w:ascii="宋体" w:hAnsi="宋体" w:cs="宋体"/>
          <w:szCs w:val="21"/>
        </w:rPr>
        <w:t>2.5及时为馆内提供技术更新服务，定期向馆内通报公司新技术动态，并</w:t>
      </w:r>
      <w:r>
        <w:rPr>
          <w:rFonts w:hint="eastAsia" w:ascii="宋体" w:hAnsi="宋体" w:cs="宋体"/>
          <w:szCs w:val="21"/>
          <w:lang w:eastAsia="zh-CN"/>
        </w:rPr>
        <w:t>无条件</w:t>
      </w:r>
      <w:r>
        <w:rPr>
          <w:rFonts w:hint="eastAsia" w:ascii="宋体" w:hAnsi="宋体" w:cs="宋体"/>
          <w:szCs w:val="21"/>
        </w:rPr>
        <w:t>快捷地为用户提供技术更新服务。</w:t>
      </w:r>
    </w:p>
    <w:p w14:paraId="1EF16125">
      <w:pPr>
        <w:numPr>
          <w:ilvl w:val="255"/>
          <w:numId w:val="0"/>
        </w:numPr>
        <w:spacing w:line="400" w:lineRule="exact"/>
        <w:ind w:firstLine="420" w:firstLineChars="200"/>
        <w:rPr>
          <w:rFonts w:ascii="宋体" w:hAnsi="宋体" w:cs="宋体"/>
          <w:szCs w:val="21"/>
        </w:rPr>
      </w:pPr>
      <w:r>
        <w:rPr>
          <w:rFonts w:hint="eastAsia" w:ascii="宋体" w:hAnsi="宋体" w:cs="宋体"/>
          <w:szCs w:val="21"/>
        </w:rPr>
        <w:t>2.6可实现对馆内用户的访问和使用情况进行详细</w:t>
      </w:r>
      <w:r>
        <w:rPr>
          <w:rFonts w:hint="eastAsia" w:ascii="宋体" w:hAnsi="宋体" w:cs="宋体"/>
          <w:szCs w:val="21"/>
          <w:lang w:eastAsia="zh-CN"/>
        </w:rPr>
        <w:t>地</w:t>
      </w:r>
      <w:r>
        <w:rPr>
          <w:rFonts w:hint="eastAsia" w:ascii="宋体" w:hAnsi="宋体" w:cs="宋体"/>
          <w:szCs w:val="21"/>
        </w:rPr>
        <w:t>记录，并进行统计分析，根据用户需求提供统计分析报告。</w:t>
      </w:r>
    </w:p>
    <w:p w14:paraId="058490CD">
      <w:pPr>
        <w:numPr>
          <w:ilvl w:val="255"/>
          <w:numId w:val="0"/>
        </w:numPr>
        <w:spacing w:line="400" w:lineRule="exact"/>
        <w:ind w:firstLine="420" w:firstLineChars="200"/>
        <w:rPr>
          <w:rFonts w:ascii="宋体" w:hAnsi="宋体" w:cs="宋体"/>
          <w:szCs w:val="21"/>
        </w:rPr>
      </w:pPr>
      <w:r>
        <w:rPr>
          <w:rFonts w:hint="eastAsia" w:ascii="宋体" w:hAnsi="宋体" w:cs="宋体"/>
          <w:szCs w:val="21"/>
        </w:rPr>
        <w:t>3.数据库平台功能</w:t>
      </w:r>
    </w:p>
    <w:p w14:paraId="29CB3609">
      <w:pPr>
        <w:numPr>
          <w:ilvl w:val="255"/>
          <w:numId w:val="0"/>
        </w:numPr>
        <w:spacing w:line="400" w:lineRule="exact"/>
        <w:ind w:firstLine="420" w:firstLineChars="200"/>
        <w:rPr>
          <w:rFonts w:ascii="宋体" w:hAnsi="宋体" w:cs="宋体"/>
          <w:szCs w:val="21"/>
        </w:rPr>
      </w:pPr>
      <w:r>
        <w:rPr>
          <w:rFonts w:hint="eastAsia" w:ascii="宋体" w:hAnsi="宋体" w:cs="宋体"/>
          <w:szCs w:val="21"/>
        </w:rPr>
        <w:t>3.1内容管理</w:t>
      </w:r>
    </w:p>
    <w:p w14:paraId="1005BDCA">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系统采用领先于自动切分词技术的字元索引策略，支持按词索引、按字索引、字词混合索引。</w:t>
      </w:r>
    </w:p>
    <w:p w14:paraId="4A41FA4C">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系统支持GBK、GB2312、BIG5内码集，在内核上支持Unicode码集。</w:t>
      </w:r>
    </w:p>
    <w:p w14:paraId="0877A8F9">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系统支持相关性词表扩展检索功能，系统内置同义与近义词表，词表可维护，方便用户修改。</w:t>
      </w:r>
    </w:p>
    <w:p w14:paraId="4A9A1D1D">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系统全面支持中文、繁体中文的管理与智能检索。</w:t>
      </w:r>
    </w:p>
    <w:p w14:paraId="47910061">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系统支持多种数据类型（日期、数值、文本）的管理。</w:t>
      </w:r>
    </w:p>
    <w:p w14:paraId="556A01E1">
      <w:pPr>
        <w:numPr>
          <w:ilvl w:val="255"/>
          <w:numId w:val="0"/>
        </w:numPr>
        <w:spacing w:line="400" w:lineRule="exact"/>
        <w:ind w:firstLine="420" w:firstLineChars="200"/>
        <w:rPr>
          <w:rFonts w:ascii="宋体" w:hAnsi="宋体" w:cs="宋体"/>
          <w:szCs w:val="21"/>
        </w:rPr>
      </w:pPr>
      <w:r>
        <w:rPr>
          <w:rFonts w:hint="eastAsia" w:ascii="宋体" w:hAnsi="宋体" w:cs="宋体"/>
          <w:szCs w:val="21"/>
        </w:rPr>
        <w:t xml:space="preserve">系统具有强大数据库管理及维护功能，如数据库定义、建立、备份、恢复、优化重组、逻辑删除、物理删除、增量备份、记录查重等功能。  </w:t>
      </w:r>
    </w:p>
    <w:p w14:paraId="4E729C2F">
      <w:pPr>
        <w:numPr>
          <w:ilvl w:val="255"/>
          <w:numId w:val="0"/>
        </w:numPr>
        <w:spacing w:line="400" w:lineRule="exact"/>
        <w:ind w:firstLine="420" w:firstLineChars="200"/>
        <w:rPr>
          <w:rFonts w:ascii="宋体" w:hAnsi="宋体" w:cs="宋体"/>
          <w:szCs w:val="21"/>
        </w:rPr>
      </w:pPr>
      <w:r>
        <w:rPr>
          <w:rFonts w:hint="eastAsia" w:ascii="宋体" w:hAnsi="宋体" w:cs="宋体"/>
          <w:szCs w:val="21"/>
        </w:rPr>
        <w:t>3.2用户管理</w:t>
      </w:r>
    </w:p>
    <w:p w14:paraId="44E99EF2">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系统内置独立于操作系统的用户权限管理、用户操作审计、统计与分析等功能，系统如实记录每个用户的操作日志，方便进行数据库检索频度、检索词频的统计与分析。</w:t>
      </w:r>
    </w:p>
    <w:p w14:paraId="16770A37">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系统提供多级用户管理体系，可以实现灵活的用户－数据库授权机制，数据库管理、数据维护、系统管理、检索各种权限分开，可以按需分配。</w:t>
      </w:r>
    </w:p>
    <w:p w14:paraId="0922C387">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系统具备用户分组管理、数据库转让等个性化用户管理功能。</w:t>
      </w:r>
    </w:p>
    <w:p w14:paraId="3A36053A">
      <w:pPr>
        <w:numPr>
          <w:ilvl w:val="255"/>
          <w:numId w:val="0"/>
        </w:numPr>
        <w:spacing w:line="400" w:lineRule="exact"/>
        <w:ind w:firstLine="420" w:firstLineChars="200"/>
        <w:rPr>
          <w:rFonts w:ascii="宋体" w:hAnsi="宋体" w:cs="宋体"/>
          <w:szCs w:val="21"/>
        </w:rPr>
      </w:pPr>
      <w:r>
        <w:rPr>
          <w:rFonts w:hint="eastAsia" w:ascii="宋体" w:hAnsi="宋体" w:cs="宋体"/>
          <w:szCs w:val="21"/>
        </w:rPr>
        <w:t>3.3安全控制</w:t>
      </w:r>
    </w:p>
    <w:p w14:paraId="1ABC231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系统提供系统、数据库、记录及字段级安全控制手段</w:t>
      </w:r>
      <w:r>
        <w:rPr>
          <w:rFonts w:hint="eastAsia" w:ascii="宋体" w:hAnsi="宋体" w:cs="宋体"/>
          <w:szCs w:val="21"/>
          <w:lang w:eastAsia="zh-CN"/>
        </w:rPr>
        <w:t>。</w:t>
      </w:r>
    </w:p>
    <w:p w14:paraId="052C7293">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用户使用信息资源的授权机制、数据库中文献密级控制、用户文献存取</w:t>
      </w:r>
      <w:r>
        <w:rPr>
          <w:rFonts w:hint="eastAsia" w:ascii="宋体" w:hAnsi="宋体" w:cs="宋体"/>
          <w:szCs w:val="21"/>
          <w:lang w:eastAsia="zh-CN"/>
        </w:rPr>
        <w:t>。</w:t>
      </w:r>
    </w:p>
    <w:p w14:paraId="058161DF">
      <w:pPr>
        <w:numPr>
          <w:ilvl w:val="255"/>
          <w:numId w:val="0"/>
        </w:numPr>
        <w:spacing w:line="400" w:lineRule="exact"/>
        <w:ind w:firstLine="420" w:firstLineChars="200"/>
        <w:rPr>
          <w:rFonts w:ascii="宋体" w:hAnsi="宋体" w:cs="宋体"/>
          <w:szCs w:val="21"/>
        </w:rPr>
      </w:pPr>
      <w:r>
        <w:rPr>
          <w:rFonts w:hint="eastAsia" w:ascii="宋体" w:hAnsi="宋体" w:cs="宋体"/>
          <w:szCs w:val="21"/>
        </w:rPr>
        <w:t>3.4数量控制</w:t>
      </w:r>
    </w:p>
    <w:p w14:paraId="15714D1F">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系统记录用户每次查询登录</w:t>
      </w:r>
      <w:r>
        <w:rPr>
          <w:rFonts w:hint="eastAsia" w:ascii="宋体" w:hAnsi="宋体" w:cs="宋体"/>
          <w:szCs w:val="21"/>
          <w:lang w:eastAsia="zh-CN"/>
        </w:rPr>
        <w:t>日期</w:t>
      </w:r>
      <w:r>
        <w:rPr>
          <w:rFonts w:hint="eastAsia" w:ascii="宋体" w:hAnsi="宋体" w:cs="宋体"/>
          <w:szCs w:val="21"/>
        </w:rPr>
        <w:t>、时间、登录IP地址、检索用时、检索次数、调阅文献篇数、脱机状态等日志信息，日志结果自动保存入库，并提供查询、浏览、下载、打印等功能，有效地防止用户越权操作与防抵赖。</w:t>
      </w:r>
    </w:p>
    <w:p w14:paraId="3C6C632A">
      <w:pPr>
        <w:numPr>
          <w:ilvl w:val="255"/>
          <w:numId w:val="0"/>
        </w:numPr>
        <w:spacing w:line="400" w:lineRule="exact"/>
        <w:ind w:firstLine="420" w:firstLineChars="200"/>
        <w:rPr>
          <w:rFonts w:ascii="宋体" w:hAnsi="宋体" w:cs="宋体"/>
          <w:szCs w:val="21"/>
        </w:rPr>
      </w:pPr>
      <w:r>
        <w:rPr>
          <w:rFonts w:hint="eastAsia" w:ascii="宋体" w:hAnsi="宋体" w:cs="宋体"/>
          <w:szCs w:val="21"/>
        </w:rPr>
        <w:t>3.5性能指标</w:t>
      </w:r>
    </w:p>
    <w:p w14:paraId="4342C85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数据库容量：每个数据库最多可存贮存50亿篇文献</w:t>
      </w:r>
      <w:r>
        <w:rPr>
          <w:rFonts w:hint="eastAsia" w:ascii="宋体" w:hAnsi="宋体" w:cs="宋体"/>
          <w:szCs w:val="21"/>
          <w:lang w:eastAsia="zh-CN"/>
        </w:rPr>
        <w:t>。</w:t>
      </w:r>
    </w:p>
    <w:p w14:paraId="124A758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查词速度：百万篇文献查询的响应速度在1秒级内</w:t>
      </w:r>
      <w:r>
        <w:rPr>
          <w:rFonts w:hint="eastAsia" w:ascii="宋体" w:hAnsi="宋体" w:cs="宋体"/>
          <w:szCs w:val="21"/>
          <w:lang w:eastAsia="zh-CN"/>
        </w:rPr>
        <w:t>。</w:t>
      </w:r>
    </w:p>
    <w:p w14:paraId="5CEF2B8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允许跨50个站点的数据库服务器分布式检索</w:t>
      </w:r>
      <w:r>
        <w:rPr>
          <w:rFonts w:hint="eastAsia" w:ascii="宋体" w:hAnsi="宋体" w:cs="宋体"/>
          <w:szCs w:val="21"/>
          <w:lang w:eastAsia="zh-CN"/>
        </w:rPr>
        <w:t>。</w:t>
      </w:r>
    </w:p>
    <w:p w14:paraId="01190143">
      <w:pPr>
        <w:numPr>
          <w:ilvl w:val="255"/>
          <w:numId w:val="0"/>
        </w:numPr>
        <w:spacing w:line="400" w:lineRule="exact"/>
        <w:ind w:firstLine="420" w:firstLineChars="200"/>
        <w:rPr>
          <w:rFonts w:ascii="宋体" w:hAnsi="宋体" w:cs="宋体"/>
          <w:szCs w:val="21"/>
        </w:rPr>
      </w:pPr>
      <w:r>
        <w:rPr>
          <w:rFonts w:hint="eastAsia" w:ascii="宋体" w:hAnsi="宋体" w:cs="宋体"/>
          <w:szCs w:val="21"/>
        </w:rPr>
        <w:t>允许管理50000个以上的用户。</w:t>
      </w:r>
    </w:p>
    <w:p w14:paraId="65D851B5">
      <w:pPr>
        <w:numPr>
          <w:ilvl w:val="255"/>
          <w:numId w:val="0"/>
        </w:numPr>
        <w:spacing w:line="400" w:lineRule="exact"/>
        <w:ind w:firstLine="420" w:firstLineChars="200"/>
        <w:rPr>
          <w:rFonts w:ascii="宋体" w:hAnsi="宋体" w:cs="宋体"/>
          <w:szCs w:val="21"/>
        </w:rPr>
      </w:pPr>
      <w:r>
        <w:rPr>
          <w:rFonts w:hint="eastAsia" w:ascii="宋体" w:hAnsi="宋体" w:cs="宋体"/>
          <w:szCs w:val="21"/>
        </w:rPr>
        <w:t>3.6运行环境</w:t>
      </w:r>
    </w:p>
    <w:p w14:paraId="49E13BC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服务器：支持各种高档微机、PC服务器、中小型计算机，1G内存，推荐2G以上内存</w:t>
      </w:r>
      <w:r>
        <w:rPr>
          <w:rFonts w:hint="eastAsia" w:ascii="宋体" w:hAnsi="宋体" w:cs="宋体"/>
          <w:szCs w:val="21"/>
          <w:lang w:eastAsia="zh-CN"/>
        </w:rPr>
        <w:t>。</w:t>
      </w:r>
    </w:p>
    <w:p w14:paraId="16512FD8">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操作系统：Windows 2003 / 2008 Server/2012 Server</w:t>
      </w:r>
      <w:r>
        <w:rPr>
          <w:rFonts w:hint="eastAsia" w:ascii="宋体" w:hAnsi="宋体" w:cs="宋体"/>
          <w:szCs w:val="21"/>
          <w:lang w:eastAsia="zh-CN"/>
        </w:rPr>
        <w:t>。</w:t>
      </w:r>
    </w:p>
    <w:p w14:paraId="6581E0DC">
      <w:pPr>
        <w:numPr>
          <w:ilvl w:val="255"/>
          <w:numId w:val="0"/>
        </w:numPr>
        <w:spacing w:line="400" w:lineRule="exact"/>
        <w:ind w:firstLine="420" w:firstLineChars="200"/>
        <w:rPr>
          <w:rFonts w:ascii="宋体" w:hAnsi="宋体" w:cs="宋体"/>
          <w:szCs w:val="21"/>
        </w:rPr>
      </w:pPr>
      <w:r>
        <w:rPr>
          <w:rFonts w:hint="eastAsia" w:ascii="宋体" w:hAnsi="宋体" w:cs="宋体"/>
          <w:szCs w:val="21"/>
        </w:rPr>
        <w:t>WEB应用服务器：支持IIS6.0以上。</w:t>
      </w:r>
    </w:p>
    <w:p w14:paraId="0EC09F60">
      <w:pPr>
        <w:numPr>
          <w:ilvl w:val="255"/>
          <w:numId w:val="0"/>
        </w:numPr>
        <w:spacing w:line="400" w:lineRule="exact"/>
        <w:ind w:firstLine="420" w:firstLineChars="200"/>
        <w:rPr>
          <w:rFonts w:ascii="宋体" w:hAnsi="宋体" w:cs="宋体"/>
          <w:szCs w:val="21"/>
        </w:rPr>
      </w:pPr>
      <w:r>
        <w:rPr>
          <w:rFonts w:hint="eastAsia" w:ascii="宋体" w:hAnsi="宋体" w:cs="宋体"/>
          <w:szCs w:val="21"/>
        </w:rPr>
        <w:t>4.服务期限：2026年1月1日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6D17347D">
      <w:pPr>
        <w:spacing w:line="400" w:lineRule="exact"/>
        <w:ind w:firstLine="422" w:firstLineChars="200"/>
        <w:rPr>
          <w:rFonts w:ascii="宋体" w:hAnsi="宋体" w:cs="宋体"/>
          <w:b/>
          <w:szCs w:val="21"/>
        </w:rPr>
      </w:pPr>
      <w:r>
        <w:rPr>
          <w:rFonts w:hint="eastAsia" w:ascii="宋体" w:hAnsi="宋体" w:cs="宋体"/>
          <w:b/>
          <w:szCs w:val="21"/>
        </w:rPr>
        <w:t>标项三十七（经纶元数据服务平台）：</w:t>
      </w:r>
    </w:p>
    <w:p w14:paraId="224E078D">
      <w:pPr>
        <w:numPr>
          <w:ilvl w:val="255"/>
          <w:numId w:val="0"/>
        </w:numPr>
        <w:spacing w:line="400" w:lineRule="exact"/>
        <w:ind w:firstLine="420" w:firstLineChars="200"/>
        <w:rPr>
          <w:rFonts w:ascii="宋体" w:hAnsi="宋体" w:cs="宋体"/>
          <w:szCs w:val="21"/>
        </w:rPr>
      </w:pPr>
      <w:r>
        <w:rPr>
          <w:rFonts w:hint="eastAsia" w:ascii="宋体" w:hAnsi="宋体" w:cs="宋体"/>
          <w:szCs w:val="21"/>
        </w:rPr>
        <w:t>1.提供全球文献知识检索服务，对中外文文献资源一站式发现。用户在检索结果页面中，可查看包含多种文献类型、多个文献来源的电子与纸本文献内容。</w:t>
      </w:r>
    </w:p>
    <w:p w14:paraId="4FCEA3B6">
      <w:pPr>
        <w:numPr>
          <w:ilvl w:val="255"/>
          <w:numId w:val="0"/>
        </w:numPr>
        <w:spacing w:line="400" w:lineRule="exact"/>
        <w:ind w:firstLine="420" w:firstLineChars="200"/>
        <w:rPr>
          <w:rFonts w:ascii="宋体" w:hAnsi="宋体" w:cs="宋体"/>
          <w:szCs w:val="21"/>
        </w:rPr>
      </w:pPr>
      <w:r>
        <w:rPr>
          <w:rFonts w:hint="eastAsia" w:ascii="宋体" w:hAnsi="宋体" w:cs="宋体"/>
          <w:szCs w:val="21"/>
        </w:rPr>
        <w:t>2.检索发现结果应按照检索条件的相关度进行综合排序，并支持按出版日期、学术相关性等方式进行排序。在检索结果中对与检索条件相匹配的内容进行标红显示。</w:t>
      </w:r>
    </w:p>
    <w:p w14:paraId="25DB42D0">
      <w:pPr>
        <w:numPr>
          <w:ilvl w:val="255"/>
          <w:numId w:val="0"/>
        </w:numPr>
        <w:spacing w:line="400" w:lineRule="exact"/>
        <w:ind w:firstLine="420" w:firstLineChars="200"/>
        <w:rPr>
          <w:rFonts w:ascii="宋体" w:hAnsi="宋体" w:cs="宋体"/>
          <w:szCs w:val="21"/>
        </w:rPr>
      </w:pPr>
      <w:r>
        <w:rPr>
          <w:rFonts w:hint="eastAsia" w:ascii="宋体" w:hAnsi="宋体" w:cs="宋体"/>
          <w:szCs w:val="21"/>
        </w:rPr>
        <w:t>3.经纶覆盖的文献数据规模不低于10亿条数据，类型包括中外文的期刊论文、图书、学位论文、会议论文、专利、标准、法律法规、司法案例、报纸、视频。</w:t>
      </w:r>
    </w:p>
    <w:p w14:paraId="033B6616">
      <w:pPr>
        <w:numPr>
          <w:ilvl w:val="255"/>
          <w:numId w:val="0"/>
        </w:numPr>
        <w:spacing w:line="400" w:lineRule="exact"/>
        <w:ind w:firstLine="420" w:firstLineChars="200"/>
        <w:rPr>
          <w:rFonts w:ascii="宋体" w:hAnsi="宋体" w:cs="宋体"/>
          <w:szCs w:val="21"/>
        </w:rPr>
      </w:pPr>
      <w:r>
        <w:rPr>
          <w:rFonts w:hint="eastAsia" w:ascii="宋体" w:hAnsi="宋体" w:cs="宋体"/>
          <w:szCs w:val="21"/>
        </w:rPr>
        <w:t>4.其中中文期刊文献数不少于3亿篇，外文期刊文献数不少于4亿篇，电子图书不少于250万种，学位论文不少于1300万篇，专利不少于1.7亿篇，法规不少于500万篇，司法案例不少于3000万篇。</w:t>
      </w:r>
    </w:p>
    <w:p w14:paraId="59CC7DF9">
      <w:pPr>
        <w:numPr>
          <w:ilvl w:val="255"/>
          <w:numId w:val="0"/>
        </w:numPr>
        <w:spacing w:line="400" w:lineRule="exact"/>
        <w:ind w:firstLine="420" w:firstLineChars="200"/>
        <w:rPr>
          <w:rFonts w:ascii="宋体" w:hAnsi="宋体" w:cs="宋体"/>
          <w:szCs w:val="21"/>
        </w:rPr>
      </w:pPr>
      <w:r>
        <w:rPr>
          <w:rFonts w:hint="eastAsia" w:ascii="宋体" w:hAnsi="宋体" w:cs="宋体"/>
          <w:szCs w:val="21"/>
        </w:rPr>
        <w:t>5.北大核心期刊不少于1983种，SCI期刊文献不少于6000万篇，EI期刊文献不少于2000万篇，scopus期刊文献不少于7000万篇。</w:t>
      </w:r>
    </w:p>
    <w:p w14:paraId="775A6D6F">
      <w:pPr>
        <w:numPr>
          <w:ilvl w:val="255"/>
          <w:numId w:val="0"/>
        </w:numPr>
        <w:spacing w:line="400" w:lineRule="exact"/>
        <w:ind w:firstLine="420" w:firstLineChars="200"/>
        <w:rPr>
          <w:rFonts w:ascii="宋体" w:hAnsi="宋体" w:cs="宋体"/>
          <w:szCs w:val="21"/>
        </w:rPr>
      </w:pPr>
      <w:r>
        <w:rPr>
          <w:rFonts w:hint="eastAsia" w:ascii="宋体" w:hAnsi="宋体" w:cs="宋体"/>
          <w:szCs w:val="21"/>
        </w:rPr>
        <w:t>6.所有类型文献数据都同时标引中图分类号与教育部学科分类号。</w:t>
      </w:r>
    </w:p>
    <w:p w14:paraId="291DED26">
      <w:pPr>
        <w:numPr>
          <w:ilvl w:val="255"/>
          <w:numId w:val="0"/>
        </w:numPr>
        <w:spacing w:line="400" w:lineRule="exact"/>
        <w:ind w:firstLine="420" w:firstLineChars="200"/>
        <w:rPr>
          <w:rFonts w:ascii="宋体" w:hAnsi="宋体" w:cs="宋体"/>
          <w:szCs w:val="21"/>
        </w:rPr>
      </w:pPr>
      <w:r>
        <w:rPr>
          <w:rFonts w:hint="eastAsia" w:ascii="宋体" w:hAnsi="宋体" w:cs="宋体"/>
          <w:szCs w:val="21"/>
        </w:rPr>
        <w:t>7.知识发现覆盖的元数据定期持续更新，与来源数据保持一致。更新周期延迟应该在合理范围内，期刊论文更新延迟不超过1周。全年更新元数据不低于1000万条。</w:t>
      </w:r>
    </w:p>
    <w:p w14:paraId="06827FE8">
      <w:pPr>
        <w:numPr>
          <w:ilvl w:val="255"/>
          <w:numId w:val="0"/>
        </w:numPr>
        <w:spacing w:line="400" w:lineRule="exact"/>
        <w:ind w:firstLine="420" w:firstLineChars="200"/>
        <w:rPr>
          <w:rFonts w:ascii="宋体" w:hAnsi="宋体" w:cs="宋体"/>
          <w:szCs w:val="21"/>
        </w:rPr>
      </w:pPr>
      <w:r>
        <w:rPr>
          <w:rFonts w:hint="eastAsia" w:ascii="宋体" w:hAnsi="宋体" w:cs="宋体"/>
          <w:szCs w:val="21"/>
        </w:rPr>
        <w:t>8.文献发现结果中多个数据库来源中的同一篇文献符合读者的检索要求时合并显示，只保留一条结果记录，并完整显示该文献的多个来源连接，允许读者选择获取全文的途径。</w:t>
      </w:r>
    </w:p>
    <w:p w14:paraId="54C5198F">
      <w:pPr>
        <w:numPr>
          <w:ilvl w:val="255"/>
          <w:numId w:val="0"/>
        </w:numPr>
        <w:spacing w:line="400" w:lineRule="exact"/>
        <w:ind w:firstLine="420" w:firstLineChars="200"/>
        <w:rPr>
          <w:rFonts w:ascii="宋体" w:hAnsi="宋体" w:cs="宋体"/>
          <w:szCs w:val="21"/>
        </w:rPr>
      </w:pPr>
      <w:r>
        <w:rPr>
          <w:rFonts w:hint="eastAsia" w:ascii="宋体" w:hAnsi="宋体" w:cs="宋体"/>
          <w:szCs w:val="21"/>
        </w:rPr>
        <w:t>9.具备软件开发技术能力，有自主知识产权平台，提供“知识资源系统”软件著作权登记证书。</w:t>
      </w:r>
    </w:p>
    <w:p w14:paraId="065F32CE">
      <w:pPr>
        <w:numPr>
          <w:ilvl w:val="255"/>
          <w:numId w:val="0"/>
        </w:numPr>
        <w:spacing w:line="400" w:lineRule="exact"/>
        <w:ind w:firstLine="420" w:firstLineChars="200"/>
        <w:rPr>
          <w:rFonts w:ascii="宋体" w:hAnsi="宋体" w:cs="宋体"/>
          <w:szCs w:val="21"/>
        </w:rPr>
      </w:pPr>
      <w:r>
        <w:rPr>
          <w:rFonts w:hint="eastAsia" w:ascii="宋体" w:hAnsi="宋体" w:cs="宋体"/>
          <w:szCs w:val="21"/>
        </w:rPr>
        <w:t>10.支持切换不同的文献类型选择相应的检索入口，不限于图书、期刊、学位论文。不同的文献类型检索入口划分不同检索条件。提供高级检索与二次检索，高级检索可以根据元数据字段进行组合检索，包括标题、关键词、作者、</w:t>
      </w:r>
      <w:r>
        <w:rPr>
          <w:rFonts w:hint="eastAsia" w:ascii="宋体" w:hAnsi="宋体" w:cs="宋体"/>
          <w:szCs w:val="21"/>
          <w:lang w:val="en-US" w:eastAsia="zh-CN"/>
        </w:rPr>
        <w:t>ISBN</w:t>
      </w:r>
      <w:r>
        <w:rPr>
          <w:rFonts w:hint="eastAsia" w:ascii="宋体" w:hAnsi="宋体" w:cs="宋体"/>
          <w:szCs w:val="21"/>
        </w:rPr>
        <w:t>、</w:t>
      </w:r>
      <w:r>
        <w:rPr>
          <w:rFonts w:hint="eastAsia" w:ascii="宋体" w:hAnsi="宋体" w:cs="宋体"/>
          <w:szCs w:val="21"/>
          <w:lang w:val="en-US" w:eastAsia="zh-CN"/>
        </w:rPr>
        <w:t>ISSN</w:t>
      </w:r>
      <w:r>
        <w:rPr>
          <w:rFonts w:hint="eastAsia" w:ascii="宋体" w:hAnsi="宋体" w:cs="宋体"/>
          <w:szCs w:val="21"/>
        </w:rPr>
        <w:t>、出版物名称、出版社、分类号、摘要、基金等。</w:t>
      </w:r>
    </w:p>
    <w:p w14:paraId="2F61588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11.文献发现可支持任意字段的精确匹配、模糊匹配、前置匹配等多种方式检索。支持读者输入复杂检索表达式进行检索。在检索结果中标识核心期刊</w:t>
      </w:r>
      <w:r>
        <w:rPr>
          <w:rFonts w:hint="eastAsia" w:ascii="宋体" w:hAnsi="宋体" w:cs="宋体"/>
          <w:szCs w:val="21"/>
          <w:lang w:eastAsia="zh-CN"/>
        </w:rPr>
        <w:t>。</w:t>
      </w:r>
    </w:p>
    <w:p w14:paraId="4028544D">
      <w:pPr>
        <w:numPr>
          <w:ilvl w:val="255"/>
          <w:numId w:val="0"/>
        </w:numPr>
        <w:spacing w:line="400" w:lineRule="exact"/>
        <w:ind w:firstLine="420" w:firstLineChars="200"/>
        <w:rPr>
          <w:rFonts w:ascii="宋体" w:hAnsi="宋体" w:cs="宋体"/>
          <w:szCs w:val="21"/>
        </w:rPr>
      </w:pPr>
      <w:r>
        <w:rPr>
          <w:rFonts w:hint="eastAsia" w:ascii="宋体" w:hAnsi="宋体" w:cs="宋体"/>
          <w:szCs w:val="21"/>
        </w:rPr>
        <w:t>12.检索结果提供分面聚类的筛选，包括文献类型、出版年份、主题词、作者、学科分类、语言；支持将结果按引文、</w:t>
      </w:r>
      <w:r>
        <w:rPr>
          <w:rFonts w:hint="eastAsia" w:ascii="宋体" w:hAnsi="宋体" w:cs="宋体"/>
          <w:szCs w:val="21"/>
          <w:lang w:val="en-US" w:eastAsia="zh-CN"/>
        </w:rPr>
        <w:t>E</w:t>
      </w:r>
      <w:r>
        <w:rPr>
          <w:rFonts w:hint="eastAsia" w:ascii="宋体" w:hAnsi="宋体" w:cs="宋体"/>
          <w:szCs w:val="21"/>
        </w:rPr>
        <w:t>ndnote、</w:t>
      </w:r>
      <w:r>
        <w:rPr>
          <w:rFonts w:hint="eastAsia" w:ascii="宋体" w:hAnsi="宋体" w:cs="宋体"/>
          <w:szCs w:val="21"/>
          <w:lang w:val="en-US" w:eastAsia="zh-CN"/>
        </w:rPr>
        <w:t>N</w:t>
      </w:r>
      <w:r>
        <w:rPr>
          <w:rFonts w:hint="eastAsia" w:ascii="宋体" w:hAnsi="宋体" w:cs="宋体"/>
          <w:szCs w:val="21"/>
        </w:rPr>
        <w:t>ote</w:t>
      </w:r>
      <w:r>
        <w:rPr>
          <w:rFonts w:hint="eastAsia" w:ascii="宋体" w:hAnsi="宋体" w:cs="宋体"/>
          <w:szCs w:val="21"/>
          <w:lang w:val="en-US" w:eastAsia="zh-CN"/>
        </w:rPr>
        <w:t>E</w:t>
      </w:r>
      <w:r>
        <w:rPr>
          <w:rFonts w:hint="eastAsia" w:ascii="宋体" w:hAnsi="宋体" w:cs="宋体"/>
          <w:szCs w:val="21"/>
        </w:rPr>
        <w:t>xpress等格式导出。</w:t>
      </w:r>
    </w:p>
    <w:p w14:paraId="3B5BACFF">
      <w:pPr>
        <w:numPr>
          <w:ilvl w:val="255"/>
          <w:numId w:val="0"/>
        </w:numPr>
        <w:spacing w:line="400" w:lineRule="exact"/>
        <w:ind w:firstLine="420" w:firstLineChars="200"/>
        <w:rPr>
          <w:rFonts w:ascii="宋体" w:hAnsi="宋体" w:cs="宋体"/>
          <w:szCs w:val="21"/>
        </w:rPr>
      </w:pPr>
      <w:r>
        <w:rPr>
          <w:rFonts w:hint="eastAsia" w:ascii="宋体" w:hAnsi="宋体" w:cs="宋体"/>
          <w:szCs w:val="21"/>
        </w:rPr>
        <w:t>13.可无缝对接汇文、金盘等图书管理系统。对接后可以在发现系统直接查看馆藏纸本文献的馆藏地址与当前状态。登录漫游账号后还能够查看个人借阅信息-当前借阅：查看当前已借文献及其借阅日期、应还日期，支持单本或批量续借操作；借阅历史：查看已完成的文献借阅信息；我的预约：查看或取消文献的预约信息；欠款记录：查看超期违章行为的记录与缴款信息。</w:t>
      </w:r>
    </w:p>
    <w:p w14:paraId="63C40502">
      <w:pPr>
        <w:numPr>
          <w:ilvl w:val="255"/>
          <w:numId w:val="0"/>
        </w:numPr>
        <w:spacing w:line="400" w:lineRule="exact"/>
        <w:ind w:firstLine="420" w:firstLineChars="200"/>
        <w:rPr>
          <w:rFonts w:ascii="宋体" w:hAnsi="宋体" w:cs="宋体"/>
          <w:szCs w:val="21"/>
        </w:rPr>
      </w:pPr>
      <w:r>
        <w:rPr>
          <w:rFonts w:hint="eastAsia" w:ascii="宋体" w:hAnsi="宋体" w:cs="宋体"/>
          <w:szCs w:val="21"/>
        </w:rPr>
        <w:t>14.文献的详细页面显示内容按不同文献类型显示元数据信息，在详情页提供来源链接，读者须点击该链接可直达文献原始访问位置。</w:t>
      </w:r>
    </w:p>
    <w:p w14:paraId="10A89B95">
      <w:pPr>
        <w:numPr>
          <w:ilvl w:val="255"/>
          <w:numId w:val="0"/>
        </w:numPr>
        <w:spacing w:line="400" w:lineRule="exact"/>
        <w:ind w:firstLine="420" w:firstLineChars="200"/>
        <w:rPr>
          <w:rFonts w:ascii="宋体" w:hAnsi="宋体" w:cs="宋体"/>
          <w:szCs w:val="21"/>
        </w:rPr>
      </w:pPr>
      <w:r>
        <w:rPr>
          <w:rFonts w:hint="eastAsia" w:ascii="宋体" w:hAnsi="宋体" w:cs="宋体"/>
          <w:szCs w:val="21"/>
        </w:rPr>
        <w:t>15.设有知识专辑功能，支持通过多种方式进行添加，如检索、收藏、借阅等。此外，还支持将专辑公开至“专辑大厅”，供全网读者浏览。在“专辑大厅”中，用户可通过检索、筛选等功能查找感兴趣的专辑，并获得热门专辑和同作者专辑的推荐。</w:t>
      </w:r>
    </w:p>
    <w:p w14:paraId="63CB45F2">
      <w:pPr>
        <w:numPr>
          <w:ilvl w:val="255"/>
          <w:numId w:val="0"/>
        </w:numPr>
        <w:spacing w:line="400" w:lineRule="exact"/>
        <w:ind w:firstLine="420" w:firstLineChars="200"/>
        <w:rPr>
          <w:rFonts w:ascii="宋体" w:hAnsi="宋体" w:cs="宋体"/>
          <w:szCs w:val="21"/>
        </w:rPr>
      </w:pPr>
      <w:r>
        <w:rPr>
          <w:rFonts w:hint="eastAsia" w:ascii="宋体" w:hAnsi="宋体" w:cs="宋体"/>
          <w:szCs w:val="21"/>
        </w:rPr>
        <w:t>16.支持个人漫游账号注册，读者可以在校外使用个人账号登</w:t>
      </w:r>
      <w:r>
        <w:rPr>
          <w:rFonts w:hint="eastAsia" w:ascii="宋体" w:hAnsi="宋体" w:cs="宋体"/>
          <w:szCs w:val="21"/>
          <w:lang w:eastAsia="zh-CN"/>
        </w:rPr>
        <w:t>录</w:t>
      </w:r>
      <w:r>
        <w:rPr>
          <w:rFonts w:hint="eastAsia" w:ascii="宋体" w:hAnsi="宋体" w:cs="宋体"/>
          <w:szCs w:val="21"/>
        </w:rPr>
        <w:t>使用文献。</w:t>
      </w:r>
    </w:p>
    <w:p w14:paraId="2E4F4064">
      <w:pPr>
        <w:numPr>
          <w:ilvl w:val="255"/>
          <w:numId w:val="0"/>
        </w:numPr>
        <w:spacing w:line="400" w:lineRule="exact"/>
        <w:ind w:firstLine="420" w:firstLineChars="200"/>
        <w:rPr>
          <w:rFonts w:ascii="宋体" w:hAnsi="宋体" w:cs="宋体"/>
          <w:szCs w:val="21"/>
        </w:rPr>
      </w:pPr>
      <w:r>
        <w:rPr>
          <w:rFonts w:hint="eastAsia" w:ascii="宋体" w:hAnsi="宋体" w:cs="宋体"/>
          <w:szCs w:val="21"/>
        </w:rPr>
        <w:t>17.支持与图书馆现有智慧图书馆平台整合，直接在智慧图书馆统一检索结果中扩展全球文献资源。</w:t>
      </w:r>
    </w:p>
    <w:p w14:paraId="5510E90A">
      <w:pPr>
        <w:numPr>
          <w:ilvl w:val="255"/>
          <w:numId w:val="0"/>
        </w:numPr>
        <w:spacing w:line="400" w:lineRule="exact"/>
        <w:ind w:firstLine="420" w:firstLineChars="200"/>
        <w:rPr>
          <w:rFonts w:ascii="宋体" w:hAnsi="宋体" w:cs="宋体"/>
          <w:szCs w:val="21"/>
        </w:rPr>
      </w:pPr>
      <w:r>
        <w:rPr>
          <w:rFonts w:hint="eastAsia" w:ascii="宋体" w:hAnsi="宋体" w:cs="宋体"/>
          <w:szCs w:val="21"/>
        </w:rPr>
        <w:t>18.可整合维普中文期刊服务平台，实现期刊文献一键下载。</w:t>
      </w:r>
    </w:p>
    <w:p w14:paraId="3143D9DF">
      <w:pPr>
        <w:numPr>
          <w:ilvl w:val="255"/>
          <w:numId w:val="0"/>
        </w:numPr>
        <w:spacing w:line="400" w:lineRule="exact"/>
        <w:ind w:firstLine="420" w:firstLineChars="200"/>
        <w:rPr>
          <w:rFonts w:ascii="宋体" w:hAnsi="宋体" w:cs="宋体"/>
          <w:szCs w:val="21"/>
        </w:rPr>
      </w:pPr>
      <w:r>
        <w:rPr>
          <w:rFonts w:hint="eastAsia" w:ascii="宋体" w:hAnsi="宋体" w:cs="宋体"/>
          <w:szCs w:val="21"/>
        </w:rPr>
        <w:t>19.服务期内，为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1E7DA017">
      <w:pPr>
        <w:numPr>
          <w:ilvl w:val="255"/>
          <w:numId w:val="0"/>
        </w:numPr>
        <w:spacing w:line="400" w:lineRule="exact"/>
        <w:ind w:firstLine="420" w:firstLineChars="200"/>
        <w:rPr>
          <w:rFonts w:ascii="宋体" w:hAnsi="宋体" w:cs="宋体"/>
          <w:szCs w:val="21"/>
        </w:rPr>
      </w:pPr>
      <w:r>
        <w:rPr>
          <w:rFonts w:hint="eastAsia" w:ascii="宋体" w:hAnsi="宋体" w:cs="宋体"/>
          <w:szCs w:val="21"/>
        </w:rPr>
        <w:t>20.定期提供数据库使用统计。</w:t>
      </w:r>
    </w:p>
    <w:p w14:paraId="5F30CF86">
      <w:pPr>
        <w:numPr>
          <w:ilvl w:val="255"/>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21.校园IP范围内访问登录，支持VPN</w:t>
      </w:r>
      <w:r>
        <w:rPr>
          <w:rFonts w:hint="eastAsia" w:ascii="宋体" w:hAnsi="宋体" w:cs="宋体"/>
          <w:szCs w:val="21"/>
          <w:lang w:val="en-US" w:eastAsia="zh-CN"/>
        </w:rPr>
        <w:t>访问。</w:t>
      </w:r>
    </w:p>
    <w:p w14:paraId="68C70929">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lang w:val="en-US" w:eastAsia="zh-CN"/>
        </w:rPr>
        <w:t>22.</w:t>
      </w:r>
      <w:r>
        <w:rPr>
          <w:rFonts w:hint="eastAsia" w:ascii="宋体" w:hAnsi="宋体" w:cs="宋体"/>
          <w:szCs w:val="21"/>
        </w:rPr>
        <w:t>提供网络、电话及E-mail支持服务，响应时间不超过24小时。</w:t>
      </w:r>
    </w:p>
    <w:p w14:paraId="5C3E29EC">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23.</w:t>
      </w:r>
      <w:r>
        <w:rPr>
          <w:rFonts w:hint="eastAsia" w:ascii="宋体" w:hAnsi="宋体" w:cs="宋体"/>
          <w:szCs w:val="21"/>
        </w:rPr>
        <w:t>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3DC43B4B">
      <w:pPr>
        <w:spacing w:line="400" w:lineRule="exact"/>
        <w:ind w:firstLine="422" w:firstLineChars="200"/>
        <w:rPr>
          <w:rFonts w:ascii="宋体" w:hAnsi="宋体" w:cs="宋体"/>
          <w:b/>
          <w:szCs w:val="21"/>
        </w:rPr>
      </w:pPr>
      <w:r>
        <w:rPr>
          <w:rFonts w:hint="eastAsia" w:ascii="宋体" w:hAnsi="宋体" w:cs="宋体"/>
          <w:b/>
          <w:szCs w:val="21"/>
        </w:rPr>
        <w:t>标项三十八（中文社会科学引文索引）：</w:t>
      </w:r>
    </w:p>
    <w:p w14:paraId="67CA129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提供多个检索入口，包括：篇名、作者、作者所在地区机构、刊名、关键词、文献分类号、学科类别、学位类别、基金类别及项目、期刊年代卷期等。被引文献的检索提供的检索入口包括：被引文献、作者、篇名、刊名、出版年代、被引文献细节等。可以按需进行优化检索：精确检索、模糊检索、逻辑检索、二次检索等。检索结果按不同检索途径进行发文信息或被引信息分析统计，并支持文本信息下载</w:t>
      </w:r>
      <w:r>
        <w:rPr>
          <w:rFonts w:hint="eastAsia" w:ascii="宋体" w:hAnsi="宋体" w:cs="宋体"/>
          <w:szCs w:val="21"/>
          <w:lang w:eastAsia="zh-CN"/>
        </w:rPr>
        <w:t>。</w:t>
      </w:r>
    </w:p>
    <w:p w14:paraId="682485CD">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数据库覆盖教育学、环境科学、管理学、法学、经济学、考古学、历史学、马克思主义、民族学、社会学、体育学、统计学、心理学、艺术学、哲学、政治学、宗教学、外国文学、语言学、综合性社会科学等26类学科范围</w:t>
      </w:r>
      <w:r>
        <w:rPr>
          <w:rFonts w:hint="eastAsia" w:ascii="宋体" w:hAnsi="宋体" w:cs="宋体"/>
          <w:szCs w:val="21"/>
          <w:lang w:eastAsia="zh-CN"/>
        </w:rPr>
        <w:t>。</w:t>
      </w:r>
    </w:p>
    <w:p w14:paraId="71C01A1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3.数据库收录各学科影响因子较高的中文人文社会科学学术性期刊不少于530种类，来源文献不少于200万篇，引文文献不少于2700万篇；收录年限1998年至今</w:t>
      </w:r>
      <w:r>
        <w:rPr>
          <w:rFonts w:hint="eastAsia" w:ascii="宋体" w:hAnsi="宋体" w:cs="宋体"/>
          <w:szCs w:val="21"/>
          <w:lang w:eastAsia="zh-CN"/>
        </w:rPr>
        <w:t>。</w:t>
      </w:r>
    </w:p>
    <w:p w14:paraId="4F27E85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4.数据库提供包含篇名、作者、作者所在地区机构、刊名、关键词、文献分类号、学科类别、学位类别、基金类别及项目、期刊年代卷期等多种检索字段在内的来源文献检索途径；还提供包含作者、篇名、刊名、出版年代、被引文献细节等多种检索字段在内的被引文献检索途径</w:t>
      </w:r>
      <w:r>
        <w:rPr>
          <w:rFonts w:hint="eastAsia" w:ascii="宋体" w:hAnsi="宋体" w:cs="宋体"/>
          <w:szCs w:val="21"/>
          <w:lang w:eastAsia="zh-CN"/>
        </w:rPr>
        <w:t>。</w:t>
      </w:r>
    </w:p>
    <w:p w14:paraId="2B72AB3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5.数据库能提供来源文献导航</w:t>
      </w:r>
      <w:r>
        <w:rPr>
          <w:rFonts w:hint="eastAsia" w:ascii="宋体" w:hAnsi="宋体" w:cs="宋体"/>
          <w:szCs w:val="21"/>
          <w:lang w:eastAsia="zh-CN"/>
        </w:rPr>
        <w:t>。</w:t>
      </w:r>
    </w:p>
    <w:p w14:paraId="34662533">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6.数据库检索结果能支持通过分组排序检索结果进行进一步筛选，具有精炼搜索、被引统计、原文链接/查看全文、查看文献详细、显示方式、排序、下载/输出、二次检索等多项功能</w:t>
      </w:r>
      <w:r>
        <w:rPr>
          <w:rFonts w:hint="eastAsia" w:ascii="宋体" w:hAnsi="宋体" w:cs="宋体"/>
          <w:szCs w:val="21"/>
          <w:lang w:eastAsia="zh-CN"/>
        </w:rPr>
        <w:t>。</w:t>
      </w:r>
    </w:p>
    <w:p w14:paraId="76D04E89">
      <w:pPr>
        <w:numPr>
          <w:ilvl w:val="255"/>
          <w:numId w:val="0"/>
        </w:numPr>
        <w:spacing w:line="400" w:lineRule="exact"/>
        <w:ind w:firstLine="420" w:firstLineChars="200"/>
        <w:rPr>
          <w:rFonts w:ascii="宋体" w:hAnsi="宋体" w:cs="宋体"/>
          <w:szCs w:val="21"/>
        </w:rPr>
      </w:pPr>
      <w:r>
        <w:rPr>
          <w:rFonts w:hint="eastAsia" w:ascii="宋体" w:hAnsi="宋体" w:cs="宋体"/>
          <w:szCs w:val="21"/>
        </w:rPr>
        <w:t>7.访问方式：远程访问</w:t>
      </w:r>
      <w:r>
        <w:rPr>
          <w:rFonts w:hint="eastAsia" w:ascii="宋体" w:hAnsi="宋体" w:cs="宋体"/>
          <w:szCs w:val="21"/>
          <w:lang w:eastAsia="zh-CN"/>
        </w:rPr>
        <w:t>，校园IP范围内访问登录，支持VPN</w:t>
      </w:r>
      <w:r>
        <w:rPr>
          <w:rFonts w:hint="eastAsia" w:ascii="宋体" w:hAnsi="宋体" w:cs="宋体"/>
          <w:szCs w:val="21"/>
          <w:lang w:val="en-US" w:eastAsia="zh-CN"/>
        </w:rPr>
        <w:t>访问</w:t>
      </w:r>
      <w:r>
        <w:rPr>
          <w:rFonts w:hint="eastAsia" w:ascii="宋体" w:hAnsi="宋体" w:cs="宋体"/>
          <w:szCs w:val="21"/>
        </w:rPr>
        <w:t>，提供5个并发数。</w:t>
      </w:r>
    </w:p>
    <w:p w14:paraId="19B64E6F">
      <w:pPr>
        <w:numPr>
          <w:ilvl w:val="255"/>
          <w:numId w:val="0"/>
        </w:numPr>
        <w:spacing w:line="400" w:lineRule="exact"/>
        <w:ind w:firstLine="420" w:firstLineChars="200"/>
        <w:rPr>
          <w:rFonts w:ascii="宋体" w:hAnsi="宋体" w:cs="宋体"/>
          <w:szCs w:val="21"/>
        </w:rPr>
      </w:pPr>
      <w:r>
        <w:rPr>
          <w:rFonts w:hint="eastAsia" w:ascii="宋体" w:hAnsi="宋体" w:cs="宋体"/>
          <w:szCs w:val="21"/>
        </w:rPr>
        <w:t>8.提供必要的技术支持和远程培训资料。</w:t>
      </w:r>
    </w:p>
    <w:p w14:paraId="72E454C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9.提供用户访问统计自助查询平台（http://cssci.nju.edu.cn/data/#/login）</w:t>
      </w:r>
      <w:r>
        <w:rPr>
          <w:rFonts w:hint="eastAsia" w:ascii="宋体" w:hAnsi="宋体" w:cs="宋体"/>
          <w:szCs w:val="21"/>
          <w:lang w:eastAsia="zh-CN"/>
        </w:rPr>
        <w:t>。</w:t>
      </w:r>
    </w:p>
    <w:p w14:paraId="5D81F582">
      <w:pPr>
        <w:numPr>
          <w:ilvl w:val="255"/>
          <w:numId w:val="0"/>
        </w:numPr>
        <w:spacing w:line="400" w:lineRule="exact"/>
        <w:ind w:firstLine="420" w:firstLineChars="200"/>
        <w:rPr>
          <w:rFonts w:ascii="宋体" w:hAnsi="宋体" w:cs="宋体"/>
          <w:szCs w:val="21"/>
        </w:rPr>
      </w:pPr>
      <w:r>
        <w:rPr>
          <w:rFonts w:hint="eastAsia" w:ascii="宋体" w:hAnsi="宋体" w:cs="宋体"/>
          <w:szCs w:val="21"/>
        </w:rPr>
        <w:t>手机号注册登录（初始密码：身份证后6位）即可自助查询整个学校以自然月为单位的来源、引文访问量。</w:t>
      </w:r>
    </w:p>
    <w:p w14:paraId="374FD38B">
      <w:pPr>
        <w:numPr>
          <w:ilvl w:val="255"/>
          <w:numId w:val="0"/>
        </w:numPr>
        <w:spacing w:line="400" w:lineRule="exact"/>
        <w:ind w:firstLine="420" w:firstLineChars="200"/>
        <w:rPr>
          <w:rFonts w:hint="eastAsia" w:ascii="宋体" w:hAnsi="宋体" w:cs="宋体"/>
          <w:b/>
          <w:bCs/>
          <w:szCs w:val="21"/>
        </w:rPr>
      </w:pPr>
      <w:r>
        <w:rPr>
          <w:rFonts w:hint="eastAsia" w:ascii="宋体" w:hAnsi="宋体" w:cs="宋体"/>
          <w:szCs w:val="21"/>
        </w:rPr>
        <w:t>10.提供网络、电话及E-mail支持服务，响应时间不超过24小时。</w:t>
      </w:r>
    </w:p>
    <w:p w14:paraId="00618D26">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12270AD7">
      <w:pPr>
        <w:spacing w:line="400" w:lineRule="exact"/>
        <w:ind w:firstLine="422" w:firstLineChars="200"/>
        <w:rPr>
          <w:rFonts w:ascii="宋体" w:hAnsi="宋体" w:cs="宋体"/>
          <w:b/>
          <w:szCs w:val="21"/>
        </w:rPr>
      </w:pPr>
      <w:r>
        <w:rPr>
          <w:rFonts w:hint="eastAsia" w:ascii="宋体" w:hAnsi="宋体" w:cs="宋体"/>
          <w:b/>
          <w:szCs w:val="21"/>
        </w:rPr>
        <w:t>标项三十九（超星期刊）：</w:t>
      </w:r>
    </w:p>
    <w:p w14:paraId="6778C431">
      <w:pPr>
        <w:numPr>
          <w:ilvl w:val="255"/>
          <w:numId w:val="0"/>
        </w:num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内容参数：</w:t>
      </w:r>
    </w:p>
    <w:p w14:paraId="43E715EB">
      <w:pPr>
        <w:numPr>
          <w:ilvl w:val="255"/>
          <w:numId w:val="0"/>
        </w:numPr>
        <w:spacing w:line="400" w:lineRule="exact"/>
        <w:ind w:firstLine="420" w:firstLineChars="200"/>
        <w:rPr>
          <w:rFonts w:ascii="宋体" w:hAnsi="宋体" w:cs="宋体"/>
          <w:szCs w:val="21"/>
        </w:rPr>
      </w:pPr>
      <w:r>
        <w:rPr>
          <w:rFonts w:hint="eastAsia" w:ascii="宋体" w:hAnsi="宋体" w:cs="宋体"/>
          <w:szCs w:val="21"/>
        </w:rPr>
        <w:t>收录6600种期刊，其中北大核心期刊1300余种，内容覆盖自然科学、工程技术、农业、哲学、医学、人文社会科学等各个领域，文献总量破1.2亿篇。</w:t>
      </w:r>
    </w:p>
    <w:p w14:paraId="15F0744D">
      <w:pPr>
        <w:numPr>
          <w:ilvl w:val="255"/>
          <w:numId w:val="0"/>
        </w:numPr>
        <w:spacing w:line="400" w:lineRule="exact"/>
        <w:ind w:firstLine="420" w:firstLineChars="200"/>
        <w:rPr>
          <w:rFonts w:ascii="宋体" w:hAnsi="宋体" w:cs="宋体"/>
          <w:szCs w:val="21"/>
        </w:rPr>
      </w:pPr>
      <w:r>
        <w:rPr>
          <w:rFonts w:hint="eastAsia" w:ascii="宋体" w:hAnsi="宋体" w:cs="宋体"/>
          <w:szCs w:val="21"/>
        </w:rPr>
        <w:t>1.1特色功能</w:t>
      </w:r>
    </w:p>
    <w:p w14:paraId="7264D842">
      <w:pPr>
        <w:numPr>
          <w:ilvl w:val="255"/>
          <w:numId w:val="0"/>
        </w:numPr>
        <w:spacing w:line="400" w:lineRule="exact"/>
        <w:ind w:firstLine="420" w:firstLineChars="200"/>
        <w:rPr>
          <w:rFonts w:ascii="宋体" w:hAnsi="宋体" w:cs="宋体"/>
          <w:szCs w:val="21"/>
        </w:rPr>
      </w:pPr>
      <w:r>
        <w:rPr>
          <w:rFonts w:hint="eastAsia" w:ascii="宋体" w:hAnsi="宋体" w:cs="宋体"/>
          <w:szCs w:val="21"/>
        </w:rPr>
        <w:t>1.1.1流媒体形式阅读，PDF一键下载，不同终端自适应格式，无并发数限制。</w:t>
      </w:r>
    </w:p>
    <w:p w14:paraId="4C4314F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1.1.2先进的检索技术：采用分面搜索技术，使用户根据实际需要进行任意维度的组配检索、自由扩检和缩检</w:t>
      </w:r>
      <w:r>
        <w:rPr>
          <w:rFonts w:hint="eastAsia" w:ascii="宋体" w:hAnsi="宋体" w:cs="宋体"/>
          <w:szCs w:val="21"/>
          <w:lang w:eastAsia="zh-CN"/>
        </w:rPr>
        <w:t>。</w:t>
      </w:r>
    </w:p>
    <w:p w14:paraId="5EB07B8D">
      <w:pPr>
        <w:numPr>
          <w:ilvl w:val="255"/>
          <w:numId w:val="0"/>
        </w:numPr>
        <w:spacing w:line="400" w:lineRule="exact"/>
        <w:ind w:firstLine="420" w:firstLineChars="200"/>
        <w:rPr>
          <w:rFonts w:ascii="宋体" w:hAnsi="宋体" w:cs="宋体"/>
          <w:szCs w:val="21"/>
        </w:rPr>
      </w:pPr>
      <w:r>
        <w:rPr>
          <w:rFonts w:hint="eastAsia" w:ascii="宋体" w:hAnsi="宋体" w:cs="宋体"/>
          <w:szCs w:val="21"/>
        </w:rPr>
        <w:t>1.1.3AI阅读辅助阅读期刊文献，帮助用户快速准确地理解和分析文章。</w:t>
      </w:r>
    </w:p>
    <w:p w14:paraId="1DFDB3EB">
      <w:pPr>
        <w:numPr>
          <w:ilvl w:val="255"/>
          <w:numId w:val="0"/>
        </w:numPr>
        <w:spacing w:line="400" w:lineRule="exact"/>
        <w:ind w:firstLine="420" w:firstLineChars="200"/>
        <w:rPr>
          <w:rFonts w:ascii="宋体" w:hAnsi="宋体" w:cs="宋体"/>
          <w:szCs w:val="21"/>
        </w:rPr>
      </w:pPr>
      <w:r>
        <w:rPr>
          <w:rFonts w:hint="eastAsia" w:ascii="宋体" w:hAnsi="宋体" w:cs="宋体"/>
          <w:szCs w:val="21"/>
        </w:rPr>
        <w:t>1.1.4数据知识关联：对知识点进行深度挖掘的同时对数据进行科学的分析，是对学习以及科学研究的强有力的支持。</w:t>
      </w:r>
    </w:p>
    <w:p w14:paraId="38208D0E">
      <w:pPr>
        <w:numPr>
          <w:ilvl w:val="255"/>
          <w:numId w:val="0"/>
        </w:numPr>
        <w:spacing w:line="400" w:lineRule="exact"/>
        <w:ind w:firstLine="420" w:firstLineChars="200"/>
        <w:rPr>
          <w:rFonts w:ascii="宋体" w:hAnsi="宋体" w:cs="宋体"/>
          <w:szCs w:val="21"/>
        </w:rPr>
      </w:pPr>
      <w:r>
        <w:rPr>
          <w:rFonts w:hint="eastAsia" w:ascii="宋体" w:hAnsi="宋体" w:cs="宋体"/>
          <w:szCs w:val="21"/>
        </w:rPr>
        <w:t>1.1.5期刊内容与其</w:t>
      </w:r>
      <w:r>
        <w:rPr>
          <w:rFonts w:hint="eastAsia" w:ascii="宋体" w:hAnsi="宋体" w:cs="宋体"/>
          <w:szCs w:val="21"/>
          <w:lang w:eastAsia="zh-CN"/>
        </w:rPr>
        <w:t>他</w:t>
      </w:r>
      <w:r>
        <w:rPr>
          <w:rFonts w:hint="eastAsia" w:ascii="宋体" w:hAnsi="宋体" w:cs="宋体"/>
          <w:szCs w:val="21"/>
        </w:rPr>
        <w:t>社交媒体紧密结合，读者可以使用分享、收藏，超链接到其他网站等功能，并与微博、微信等社交工具和电脑、手机、IPAD等多屏终端进行实时互动。</w:t>
      </w:r>
    </w:p>
    <w:p w14:paraId="013E802D">
      <w:pPr>
        <w:numPr>
          <w:ilvl w:val="255"/>
          <w:numId w:val="0"/>
        </w:numPr>
        <w:spacing w:line="400" w:lineRule="exact"/>
        <w:ind w:firstLine="420" w:firstLineChars="200"/>
        <w:rPr>
          <w:rFonts w:ascii="宋体" w:hAnsi="宋体" w:cs="宋体"/>
          <w:szCs w:val="21"/>
        </w:rPr>
      </w:pPr>
      <w:r>
        <w:rPr>
          <w:rFonts w:hint="eastAsia" w:ascii="宋体" w:hAnsi="宋体" w:cs="宋体"/>
          <w:szCs w:val="21"/>
        </w:rPr>
        <w:t>2.技术参数</w:t>
      </w:r>
    </w:p>
    <w:p w14:paraId="40778DC6">
      <w:pPr>
        <w:numPr>
          <w:ilvl w:val="255"/>
          <w:numId w:val="0"/>
        </w:numPr>
        <w:spacing w:line="400" w:lineRule="exact"/>
        <w:ind w:firstLine="420" w:firstLineChars="200"/>
        <w:rPr>
          <w:rFonts w:ascii="宋体" w:hAnsi="宋体" w:cs="宋体"/>
          <w:szCs w:val="21"/>
        </w:rPr>
      </w:pPr>
      <w:r>
        <w:rPr>
          <w:rFonts w:hint="eastAsia" w:ascii="宋体" w:hAnsi="宋体" w:cs="宋体"/>
          <w:szCs w:val="21"/>
        </w:rPr>
        <w:t>2.1资质方面：</w:t>
      </w:r>
    </w:p>
    <w:p w14:paraId="014626A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2.1.1具备授权期刊种数不低于6000种（需覆盖学术、教育、大众、综合类），其中教育类刊种不低于800种。北大核心期刊不低于1100种</w:t>
      </w:r>
      <w:r>
        <w:rPr>
          <w:rFonts w:hint="eastAsia" w:ascii="宋体" w:hAnsi="宋体" w:cs="宋体"/>
          <w:szCs w:val="21"/>
          <w:lang w:eastAsia="zh-CN"/>
        </w:rPr>
        <w:t>。</w:t>
      </w:r>
    </w:p>
    <w:p w14:paraId="0668F38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2.1.</w:t>
      </w:r>
      <w:r>
        <w:rPr>
          <w:rFonts w:hint="eastAsia" w:ascii="宋体" w:hAnsi="宋体" w:cs="宋体"/>
          <w:szCs w:val="21"/>
          <w:lang w:val="en-US" w:eastAsia="zh-CN"/>
        </w:rPr>
        <w:t>2</w:t>
      </w:r>
      <w:r>
        <w:rPr>
          <w:rFonts w:hint="eastAsia" w:ascii="宋体" w:hAnsi="宋体" w:cs="宋体"/>
          <w:szCs w:val="21"/>
        </w:rPr>
        <w:t>期刊种类需具备学术、教育、大众三种分类</w:t>
      </w:r>
      <w:r>
        <w:rPr>
          <w:rFonts w:hint="eastAsia" w:ascii="宋体" w:hAnsi="宋体" w:cs="宋体"/>
          <w:szCs w:val="21"/>
          <w:lang w:eastAsia="zh-CN"/>
        </w:rPr>
        <w:t>。</w:t>
      </w:r>
    </w:p>
    <w:p w14:paraId="5E82FE96">
      <w:pPr>
        <w:numPr>
          <w:ilvl w:val="255"/>
          <w:numId w:val="0"/>
        </w:numPr>
        <w:spacing w:line="400" w:lineRule="exact"/>
        <w:ind w:firstLine="420" w:firstLineChars="200"/>
        <w:rPr>
          <w:rFonts w:ascii="宋体" w:hAnsi="宋体" w:cs="宋体"/>
          <w:szCs w:val="21"/>
        </w:rPr>
      </w:pPr>
      <w:r>
        <w:rPr>
          <w:rFonts w:hint="eastAsia" w:ascii="宋体" w:hAnsi="宋体" w:cs="宋体"/>
          <w:szCs w:val="21"/>
        </w:rPr>
        <w:t>2.2技术方面：</w:t>
      </w:r>
    </w:p>
    <w:p w14:paraId="084B92A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2.2.1支持数据检索，检索字段包含：主题、标题、刊名、作者、第一作者、机构、关键词、摘要、栏目、基金、正文</w:t>
      </w:r>
      <w:r>
        <w:rPr>
          <w:rFonts w:hint="eastAsia" w:ascii="宋体" w:hAnsi="宋体" w:cs="宋体"/>
          <w:szCs w:val="21"/>
          <w:lang w:eastAsia="zh-CN"/>
        </w:rPr>
        <w:t>。</w:t>
      </w:r>
    </w:p>
    <w:p w14:paraId="6057D2A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2.2.2支持“在结果中检索”</w:t>
      </w:r>
      <w:r>
        <w:rPr>
          <w:rFonts w:hint="eastAsia" w:ascii="宋体" w:hAnsi="宋体" w:cs="宋体"/>
          <w:szCs w:val="21"/>
          <w:lang w:eastAsia="zh-CN"/>
        </w:rPr>
        <w:t>。</w:t>
      </w:r>
    </w:p>
    <w:p w14:paraId="06F3CDC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2.2.3检索结果，支持按照年份、学科、关键词、重要期刊、刊名、作者机构、作者、基金进行二次筛选</w:t>
      </w:r>
      <w:r>
        <w:rPr>
          <w:rFonts w:hint="eastAsia" w:ascii="宋体" w:hAnsi="宋体" w:cs="宋体"/>
          <w:szCs w:val="21"/>
          <w:lang w:eastAsia="zh-CN"/>
        </w:rPr>
        <w:t>。</w:t>
      </w:r>
    </w:p>
    <w:p w14:paraId="051C904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2.2.4PC端检索结果需支持按默认排序、发表时间降序、发表时间升序、被引量排序、阅读量排序几种不同的排序来显示</w:t>
      </w:r>
      <w:r>
        <w:rPr>
          <w:rFonts w:hint="eastAsia" w:ascii="宋体" w:hAnsi="宋体" w:cs="宋体"/>
          <w:szCs w:val="21"/>
          <w:lang w:eastAsia="zh-CN"/>
        </w:rPr>
        <w:t>。</w:t>
      </w:r>
    </w:p>
    <w:p w14:paraId="59C9D3A8">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2.2.5检索结果支持按年份、学科、关键词、重要期刊、刊名、作者机构、作者、基金进行二次筛选</w:t>
      </w:r>
      <w:r>
        <w:rPr>
          <w:rFonts w:hint="eastAsia" w:ascii="宋体" w:hAnsi="宋体" w:cs="宋体"/>
          <w:szCs w:val="21"/>
          <w:lang w:eastAsia="zh-CN"/>
        </w:rPr>
        <w:t>。</w:t>
      </w:r>
    </w:p>
    <w:p w14:paraId="27A5E48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2.2.6PC端的高级检索支持五个检索条件同时检索</w:t>
      </w:r>
      <w:r>
        <w:rPr>
          <w:rFonts w:hint="eastAsia" w:ascii="宋体" w:hAnsi="宋体" w:cs="宋体"/>
          <w:szCs w:val="21"/>
          <w:lang w:eastAsia="zh-CN"/>
        </w:rPr>
        <w:t>。</w:t>
      </w:r>
    </w:p>
    <w:p w14:paraId="4C9828CB">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2.2.7PC端支持记录检索历史</w:t>
      </w:r>
      <w:r>
        <w:rPr>
          <w:rFonts w:hint="eastAsia" w:ascii="宋体" w:hAnsi="宋体" w:cs="宋体"/>
          <w:szCs w:val="21"/>
          <w:lang w:eastAsia="zh-CN"/>
        </w:rPr>
        <w:t>。</w:t>
      </w:r>
    </w:p>
    <w:p w14:paraId="1ED0B16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2.2.8PC端支持刊种内的年期导航，及刊种的分类导航</w:t>
      </w:r>
      <w:r>
        <w:rPr>
          <w:rFonts w:hint="eastAsia" w:ascii="宋体" w:hAnsi="宋体" w:cs="宋体"/>
          <w:szCs w:val="21"/>
          <w:lang w:eastAsia="zh-CN"/>
        </w:rPr>
        <w:t>。</w:t>
      </w:r>
    </w:p>
    <w:p w14:paraId="186C225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2.2.9分类导航支持按作者、学科、关键词、机构、地区、基金等类型查看文献</w:t>
      </w:r>
      <w:r>
        <w:rPr>
          <w:rFonts w:hint="eastAsia" w:ascii="宋体" w:hAnsi="宋体" w:cs="宋体"/>
          <w:szCs w:val="21"/>
          <w:lang w:eastAsia="zh-CN"/>
        </w:rPr>
        <w:t>。</w:t>
      </w:r>
    </w:p>
    <w:p w14:paraId="52E5DC10">
      <w:pPr>
        <w:numPr>
          <w:ilvl w:val="255"/>
          <w:numId w:val="0"/>
        </w:numPr>
        <w:spacing w:line="400" w:lineRule="exact"/>
        <w:ind w:firstLine="420" w:firstLineChars="200"/>
        <w:rPr>
          <w:rFonts w:ascii="宋体" w:hAnsi="宋体" w:cs="宋体"/>
          <w:szCs w:val="21"/>
        </w:rPr>
      </w:pPr>
      <w:r>
        <w:rPr>
          <w:rFonts w:hint="eastAsia" w:ascii="宋体" w:hAnsi="宋体" w:cs="宋体"/>
          <w:szCs w:val="21"/>
        </w:rPr>
        <w:t>2.2.10PC端为单篇文章配备AI阅读助手，辅助阅读。</w:t>
      </w:r>
    </w:p>
    <w:p w14:paraId="27B7014E">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2.2.11PC端支持刊内检索</w:t>
      </w:r>
      <w:r>
        <w:rPr>
          <w:rFonts w:hint="eastAsia" w:ascii="宋体" w:hAnsi="宋体" w:cs="宋体"/>
          <w:szCs w:val="21"/>
          <w:lang w:eastAsia="zh-CN"/>
        </w:rPr>
        <w:t>。</w:t>
      </w:r>
    </w:p>
    <w:p w14:paraId="7CF9A28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2.2.12PC端、移动端均具备期刊全文阅读功能，支持流媒体格式在线阅读、支持PDF格式下载</w:t>
      </w:r>
      <w:r>
        <w:rPr>
          <w:rFonts w:hint="eastAsia" w:ascii="宋体" w:hAnsi="宋体" w:cs="宋体"/>
          <w:szCs w:val="21"/>
          <w:lang w:eastAsia="zh-CN"/>
        </w:rPr>
        <w:t>。</w:t>
      </w:r>
    </w:p>
    <w:p w14:paraId="3323316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2.2.13PC端全文页面支持文章目录导航/文内图表导航，点击目录导航/文内图表导航可定位至文章对应的内容位置</w:t>
      </w:r>
      <w:r>
        <w:rPr>
          <w:rFonts w:hint="eastAsia" w:ascii="宋体" w:hAnsi="宋体" w:cs="宋体"/>
          <w:szCs w:val="21"/>
          <w:lang w:eastAsia="zh-CN"/>
        </w:rPr>
        <w:t>。</w:t>
      </w:r>
    </w:p>
    <w:p w14:paraId="0F51E6B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2.2.14PC端支持期刊文章下载，且不用下载专用阅读器</w:t>
      </w:r>
      <w:r>
        <w:rPr>
          <w:rFonts w:hint="eastAsia" w:ascii="宋体" w:hAnsi="宋体" w:cs="宋体"/>
          <w:szCs w:val="21"/>
          <w:lang w:eastAsia="zh-CN"/>
        </w:rPr>
        <w:t>。</w:t>
      </w:r>
    </w:p>
    <w:p w14:paraId="52B3F57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2.2.15PC端、移动端均支持“引用文本”，可以直接使用GB/T7714、MLA、APA三种不同的参考文献格式</w:t>
      </w:r>
      <w:r>
        <w:rPr>
          <w:rFonts w:hint="eastAsia" w:ascii="宋体" w:hAnsi="宋体" w:cs="宋体"/>
          <w:szCs w:val="21"/>
          <w:lang w:eastAsia="zh-CN"/>
        </w:rPr>
        <w:t>。</w:t>
      </w:r>
    </w:p>
    <w:p w14:paraId="39BEDEA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2.2.16支持对期刊及文献进行收藏云端同步，对收藏期刊可自行进行分类管理</w:t>
      </w:r>
      <w:r>
        <w:rPr>
          <w:rFonts w:hint="eastAsia" w:ascii="宋体" w:hAnsi="宋体" w:cs="宋体"/>
          <w:szCs w:val="21"/>
          <w:lang w:eastAsia="zh-CN"/>
        </w:rPr>
        <w:t>。</w:t>
      </w:r>
    </w:p>
    <w:p w14:paraId="2C8AF9C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2.2.17移动端支持以瀑布流的形式查看每种刊物各年份各期的文章目录</w:t>
      </w:r>
      <w:r>
        <w:rPr>
          <w:rFonts w:hint="eastAsia" w:ascii="宋体" w:hAnsi="宋体" w:cs="宋体"/>
          <w:szCs w:val="21"/>
          <w:lang w:eastAsia="zh-CN"/>
        </w:rPr>
        <w:t>。</w:t>
      </w:r>
    </w:p>
    <w:p w14:paraId="22B9FE93">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2.2.18移动端支持在线学术讨论交流，形成学术讨论共同体</w:t>
      </w:r>
      <w:r>
        <w:rPr>
          <w:rFonts w:hint="eastAsia" w:ascii="宋体" w:hAnsi="宋体" w:cs="宋体"/>
          <w:szCs w:val="21"/>
          <w:lang w:eastAsia="zh-CN"/>
        </w:rPr>
        <w:t>。</w:t>
      </w:r>
    </w:p>
    <w:p w14:paraId="37107C5B">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2.2.19移动端，刊种、文章均具备点赞功能，且点赞、阅读数据实时更新</w:t>
      </w:r>
      <w:r>
        <w:rPr>
          <w:rFonts w:hint="eastAsia" w:ascii="宋体" w:hAnsi="宋体" w:cs="宋体"/>
          <w:szCs w:val="21"/>
          <w:lang w:eastAsia="zh-CN"/>
        </w:rPr>
        <w:t>。</w:t>
      </w:r>
    </w:p>
    <w:p w14:paraId="2730FB3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2.2.20移动端支持查看期刊收藏量及收藏的人</w:t>
      </w:r>
      <w:r>
        <w:rPr>
          <w:rFonts w:hint="eastAsia" w:ascii="宋体" w:hAnsi="宋体" w:cs="宋体"/>
          <w:szCs w:val="21"/>
          <w:lang w:eastAsia="zh-CN"/>
        </w:rPr>
        <w:t>。</w:t>
      </w:r>
    </w:p>
    <w:p w14:paraId="06E610A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2.2.21移动端支持期刊全文转发至学习通交流群中</w:t>
      </w:r>
      <w:r>
        <w:rPr>
          <w:rFonts w:hint="eastAsia" w:ascii="宋体" w:hAnsi="宋体" w:cs="宋体"/>
          <w:szCs w:val="21"/>
          <w:lang w:eastAsia="zh-CN"/>
        </w:rPr>
        <w:t>。</w:t>
      </w:r>
    </w:p>
    <w:p w14:paraId="70814BC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2.2.22移动端支持将期刊全文转发至微信、朋友圈等第三方社交媒体平台</w:t>
      </w:r>
      <w:r>
        <w:rPr>
          <w:rFonts w:hint="eastAsia" w:ascii="宋体" w:hAnsi="宋体" w:cs="宋体"/>
          <w:szCs w:val="21"/>
          <w:lang w:eastAsia="zh-CN"/>
        </w:rPr>
        <w:t>。</w:t>
      </w:r>
    </w:p>
    <w:p w14:paraId="535A6DD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2.2.23需具备本公司移动端应用（非微信公众平台），通过手机（支持安卓系统、IOS系统）、平板电脑等多平台使用，具备检索功能，支持在线html格式阅读，全文内容为文本格式支持自由复制</w:t>
      </w:r>
      <w:r>
        <w:rPr>
          <w:rFonts w:hint="eastAsia" w:ascii="宋体" w:hAnsi="宋体" w:cs="宋体"/>
          <w:szCs w:val="21"/>
          <w:lang w:eastAsia="zh-CN"/>
        </w:rPr>
        <w:t>。</w:t>
      </w:r>
    </w:p>
    <w:p w14:paraId="309C5257">
      <w:pPr>
        <w:numPr>
          <w:ilvl w:val="255"/>
          <w:numId w:val="0"/>
        </w:numPr>
        <w:spacing w:line="400" w:lineRule="exact"/>
        <w:ind w:firstLine="420" w:firstLineChars="200"/>
        <w:rPr>
          <w:rFonts w:ascii="宋体" w:hAnsi="宋体" w:cs="宋体"/>
          <w:szCs w:val="21"/>
        </w:rPr>
      </w:pPr>
      <w:r>
        <w:rPr>
          <w:rFonts w:hint="eastAsia" w:ascii="宋体" w:hAnsi="宋体" w:cs="宋体"/>
          <w:szCs w:val="21"/>
        </w:rPr>
        <w:t>2.2.24支持PC端、手机、Pad、歌德机等多终端数据同步。</w:t>
      </w:r>
    </w:p>
    <w:p w14:paraId="66ED0F8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2.2.25期刊除在自身数据库平台使用外，支持在数字图书馆门户首页的一站式资源检索框中检索并利用，形成多种数据资源的统一检索</w:t>
      </w:r>
      <w:r>
        <w:rPr>
          <w:rFonts w:hint="eastAsia" w:ascii="宋体" w:hAnsi="宋体" w:cs="宋体"/>
          <w:szCs w:val="21"/>
          <w:lang w:eastAsia="zh-CN"/>
        </w:rPr>
        <w:t>。</w:t>
      </w:r>
    </w:p>
    <w:p w14:paraId="7A3AF6BC">
      <w:pPr>
        <w:numPr>
          <w:ilvl w:val="255"/>
          <w:numId w:val="0"/>
        </w:numPr>
        <w:spacing w:line="400" w:lineRule="exact"/>
        <w:ind w:firstLine="420" w:firstLineChars="200"/>
        <w:rPr>
          <w:rFonts w:ascii="宋体" w:hAnsi="宋体" w:cs="宋体"/>
          <w:szCs w:val="21"/>
        </w:rPr>
      </w:pPr>
      <w:r>
        <w:rPr>
          <w:rFonts w:hint="eastAsia" w:ascii="宋体" w:hAnsi="宋体" w:cs="宋体"/>
          <w:szCs w:val="21"/>
        </w:rPr>
        <w:t>2.2.26无并发数、无下载量限制。</w:t>
      </w:r>
    </w:p>
    <w:p w14:paraId="32E77390">
      <w:pPr>
        <w:numPr>
          <w:ilvl w:val="255"/>
          <w:numId w:val="0"/>
        </w:numPr>
        <w:spacing w:line="400" w:lineRule="exact"/>
        <w:ind w:firstLine="420" w:firstLineChars="200"/>
        <w:rPr>
          <w:rFonts w:ascii="宋体" w:hAnsi="宋体" w:cs="宋体"/>
          <w:szCs w:val="21"/>
        </w:rPr>
      </w:pPr>
      <w:r>
        <w:rPr>
          <w:rFonts w:hint="eastAsia" w:ascii="宋体" w:hAnsi="宋体" w:cs="宋体"/>
          <w:szCs w:val="21"/>
        </w:rPr>
        <w:t>3.售后服务</w:t>
      </w:r>
    </w:p>
    <w:p w14:paraId="768995D1">
      <w:pPr>
        <w:numPr>
          <w:ilvl w:val="255"/>
          <w:numId w:val="0"/>
        </w:numPr>
        <w:spacing w:line="400" w:lineRule="exact"/>
        <w:ind w:firstLine="420" w:firstLineChars="200"/>
        <w:rPr>
          <w:rFonts w:ascii="宋体" w:hAnsi="宋体" w:cs="宋体"/>
          <w:szCs w:val="21"/>
        </w:rPr>
      </w:pPr>
      <w:r>
        <w:rPr>
          <w:rFonts w:hint="eastAsia" w:ascii="宋体" w:hAnsi="宋体" w:cs="宋体"/>
          <w:szCs w:val="21"/>
        </w:rPr>
        <w:t>3.1培训服务:服务期内，</w:t>
      </w:r>
      <w:r>
        <w:rPr>
          <w:rFonts w:hint="eastAsia" w:ascii="宋体" w:hAnsi="宋体" w:cs="宋体"/>
          <w:sz w:val="21"/>
          <w:szCs w:val="21"/>
          <w:lang w:eastAsia="zh-CN"/>
        </w:rPr>
        <w:t>无条件</w:t>
      </w:r>
      <w:r>
        <w:rPr>
          <w:rFonts w:hint="eastAsia" w:ascii="宋体" w:hAnsi="宋体" w:cs="宋体"/>
          <w:szCs w:val="21"/>
        </w:rPr>
        <w:t>提供数据库培训活动,一年内不少于2次，具体时间和形式由双方协商确认，以满足用户需求。</w:t>
      </w:r>
    </w:p>
    <w:p w14:paraId="2ADEFCCD">
      <w:pPr>
        <w:numPr>
          <w:ilvl w:val="255"/>
          <w:numId w:val="0"/>
        </w:numPr>
        <w:spacing w:line="400" w:lineRule="exact"/>
        <w:ind w:firstLine="420" w:firstLineChars="200"/>
        <w:rPr>
          <w:rFonts w:ascii="宋体" w:hAnsi="宋体" w:cs="宋体"/>
          <w:szCs w:val="21"/>
        </w:rPr>
      </w:pPr>
      <w:r>
        <w:rPr>
          <w:rFonts w:hint="eastAsia" w:ascii="宋体" w:hAnsi="宋体" w:cs="宋体"/>
          <w:szCs w:val="21"/>
        </w:rPr>
        <w:t>3.2使用统计报告：定期提供数据库使用统计，以帮助用户了解和评估使用情况及效果。</w:t>
      </w:r>
    </w:p>
    <w:p w14:paraId="6C3C2265">
      <w:pPr>
        <w:numPr>
          <w:ilvl w:val="-1"/>
          <w:numId w:val="0"/>
        </w:numPr>
        <w:spacing w:line="400" w:lineRule="exact"/>
        <w:ind w:firstLine="420" w:firstLineChars="200"/>
        <w:rPr>
          <w:rFonts w:hint="eastAsia" w:ascii="宋体" w:hAnsi="宋体" w:cs="宋体"/>
          <w:szCs w:val="21"/>
          <w:lang w:eastAsia="zh-CN"/>
        </w:rPr>
      </w:pPr>
      <w:r>
        <w:rPr>
          <w:rFonts w:hint="eastAsia" w:ascii="宋体" w:hAnsi="宋体" w:cs="宋体"/>
          <w:szCs w:val="21"/>
          <w:lang w:val="en-US" w:eastAsia="zh-CN"/>
        </w:rPr>
        <w:t>4.</w:t>
      </w:r>
      <w:r>
        <w:rPr>
          <w:rFonts w:hint="eastAsia" w:ascii="宋体" w:hAnsi="宋体" w:cs="宋体"/>
          <w:szCs w:val="21"/>
        </w:rPr>
        <w:t>访问方式：IP范围内直接访问，校外使用学习通进行登录</w:t>
      </w:r>
      <w:r>
        <w:rPr>
          <w:rFonts w:hint="eastAsia" w:ascii="宋体" w:hAnsi="宋体" w:cs="宋体"/>
          <w:szCs w:val="21"/>
          <w:lang w:eastAsia="zh-CN"/>
        </w:rPr>
        <w:t>。</w:t>
      </w:r>
    </w:p>
    <w:p w14:paraId="38AB3F17">
      <w:pPr>
        <w:numPr>
          <w:ilvl w:val="0"/>
          <w:numId w:val="0"/>
        </w:num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5.服务响应：提供7×24小时在线稳定服务，长期设置技术支持电话、E-mail、网上客服，接受用户技术支持请求，并帮助用户解决使用中的相关问题。</w:t>
      </w:r>
    </w:p>
    <w:p w14:paraId="1E61EBE6">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48DAECA7">
      <w:pPr>
        <w:spacing w:line="400" w:lineRule="exact"/>
        <w:ind w:firstLine="422" w:firstLineChars="200"/>
        <w:rPr>
          <w:rFonts w:ascii="宋体" w:hAnsi="宋体" w:cs="宋体"/>
          <w:b/>
          <w:szCs w:val="21"/>
        </w:rPr>
      </w:pPr>
      <w:r>
        <w:rPr>
          <w:rFonts w:hint="eastAsia" w:ascii="宋体" w:hAnsi="宋体" w:cs="宋体"/>
          <w:b/>
          <w:szCs w:val="21"/>
        </w:rPr>
        <w:t>标项四十（Scival）：</w:t>
      </w:r>
    </w:p>
    <w:p w14:paraId="0080D3B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需要</w:t>
      </w:r>
      <w:r>
        <w:rPr>
          <w:rFonts w:hint="eastAsia" w:ascii="宋体" w:hAnsi="宋体" w:cs="宋体"/>
          <w:szCs w:val="21"/>
        </w:rPr>
        <w:t>Elsevier开发的科研分析平台，基于Scopus数据库全面的文献数据，可方便快捷地查看全球220多个国家的22,000多家机构（大学、政府机构、医院、企业等），以及1900多万学者的科研表现。通过Topic of Prominence对全球9.4万个细分的研究主题和1500个研究主题簇以及50+新兴研究主题进行趋势分析和交叉分析；可查看联合国可持续发展目标（SDGs）下的交叉研究主题，也可以观测各高校在不同SDGs下的研究表现，呈现科研的社会贡献及社会影响力；包含多元化指标数据（文献、基金、专利、社会媒体评价等多种维度）。世界重要的大学排名QS、THE、软科、US news均不同程度地采用SciVal指标反映全球大学的科研产出情况，指标包括领域加权引用影响力（FWCI）、篇均被引频次、总被引频次、H指数、国际合作度、专利引用等</w:t>
      </w:r>
      <w:r>
        <w:rPr>
          <w:rFonts w:hint="eastAsia" w:ascii="宋体" w:hAnsi="宋体" w:cs="宋体"/>
          <w:szCs w:val="21"/>
          <w:lang w:eastAsia="zh-CN"/>
        </w:rPr>
        <w:t>，</w:t>
      </w:r>
      <w:r>
        <w:rPr>
          <w:rFonts w:hint="eastAsia" w:ascii="宋体" w:hAnsi="宋体" w:cs="宋体"/>
          <w:szCs w:val="21"/>
          <w:lang w:val="en-US" w:eastAsia="zh-CN"/>
        </w:rPr>
        <w:t>保证相关</w:t>
      </w:r>
      <w:r>
        <w:rPr>
          <w:rFonts w:hint="eastAsia" w:ascii="宋体" w:hAnsi="宋体" w:cs="宋体"/>
          <w:szCs w:val="21"/>
        </w:rPr>
        <w:t>数据</w:t>
      </w:r>
      <w:r>
        <w:rPr>
          <w:rFonts w:hint="eastAsia" w:ascii="宋体" w:hAnsi="宋体" w:cs="宋体"/>
          <w:szCs w:val="21"/>
          <w:lang w:val="en-US" w:eastAsia="zh-CN"/>
        </w:rPr>
        <w:t>的</w:t>
      </w:r>
      <w:r>
        <w:rPr>
          <w:rFonts w:hint="eastAsia" w:ascii="宋体" w:hAnsi="宋体" w:cs="宋体"/>
          <w:szCs w:val="21"/>
        </w:rPr>
        <w:t>全面、客观、权威</w:t>
      </w:r>
      <w:r>
        <w:rPr>
          <w:rFonts w:hint="eastAsia" w:ascii="宋体" w:hAnsi="宋体" w:cs="宋体"/>
          <w:szCs w:val="21"/>
          <w:lang w:eastAsia="zh-CN"/>
        </w:rPr>
        <w:t>。</w:t>
      </w:r>
    </w:p>
    <w:p w14:paraId="71306634">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2.其他服务：提供专业培训和用量统计报告。</w:t>
      </w:r>
    </w:p>
    <w:p w14:paraId="64D8565B">
      <w:pPr>
        <w:numPr>
          <w:ilvl w:val="255"/>
          <w:numId w:val="0"/>
        </w:num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3.校园IP范围内访问登录，支持VPN访问。</w:t>
      </w:r>
    </w:p>
    <w:p w14:paraId="58B12408">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.服务期内，配合</w:t>
      </w:r>
      <w:r>
        <w:rPr>
          <w:rFonts w:hint="eastAsia" w:ascii="宋体" w:hAnsi="宋体" w:cs="宋体"/>
          <w:szCs w:val="21"/>
          <w:lang w:eastAsia="zh-CN"/>
        </w:rPr>
        <w:t>采购人</w:t>
      </w:r>
      <w:r>
        <w:rPr>
          <w:rFonts w:hint="eastAsia" w:ascii="宋体" w:hAnsi="宋体" w:cs="宋体"/>
          <w:szCs w:val="21"/>
          <w:lang w:val="en-US" w:eastAsia="zh-CN"/>
        </w:rPr>
        <w:t>无条件</w:t>
      </w:r>
      <w:r>
        <w:rPr>
          <w:rFonts w:hint="eastAsia" w:ascii="宋体" w:hAnsi="宋体" w:cs="宋体"/>
          <w:szCs w:val="21"/>
        </w:rPr>
        <w:t>提供数据库培训等活动一年内不少于2次，具体时间和形式，双方协商确认。</w:t>
      </w:r>
    </w:p>
    <w:p w14:paraId="7CC29491">
      <w:pPr>
        <w:numPr>
          <w:ilvl w:val="255"/>
          <w:numId w:val="0"/>
        </w:num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5.提供网络、电话及E-mail支持服务，响应时间不超过24小时。</w:t>
      </w:r>
    </w:p>
    <w:p w14:paraId="1EF6998B">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69E06F8A">
      <w:pPr>
        <w:spacing w:line="400" w:lineRule="exact"/>
        <w:ind w:firstLine="422" w:firstLineChars="200"/>
        <w:rPr>
          <w:rFonts w:ascii="宋体" w:hAnsi="宋体" w:cs="宋体"/>
          <w:b/>
          <w:szCs w:val="21"/>
        </w:rPr>
      </w:pPr>
      <w:r>
        <w:rPr>
          <w:rFonts w:hint="eastAsia" w:ascii="宋体" w:hAnsi="宋体" w:cs="宋体"/>
          <w:b/>
          <w:szCs w:val="21"/>
        </w:rPr>
        <w:t>标项四十一（知衣）：</w:t>
      </w:r>
    </w:p>
    <w:p w14:paraId="1AAA513D">
      <w:pPr>
        <w:numPr>
          <w:ilvl w:val="255"/>
          <w:numId w:val="0"/>
        </w:num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内容参数</w:t>
      </w:r>
    </w:p>
    <w:p w14:paraId="393A3924">
      <w:pPr>
        <w:numPr>
          <w:ilvl w:val="255"/>
          <w:numId w:val="0"/>
        </w:numPr>
        <w:spacing w:line="400" w:lineRule="exact"/>
        <w:ind w:firstLine="420" w:firstLineChars="200"/>
        <w:rPr>
          <w:rFonts w:ascii="宋体" w:hAnsi="宋体" w:cs="宋体"/>
          <w:szCs w:val="21"/>
        </w:rPr>
      </w:pPr>
      <w:r>
        <w:rPr>
          <w:rFonts w:hint="eastAsia" w:ascii="宋体" w:hAnsi="宋体" w:cs="宋体"/>
          <w:szCs w:val="21"/>
        </w:rPr>
        <w:t>1.1</w:t>
      </w:r>
      <w:r>
        <w:rPr>
          <w:rFonts w:hint="eastAsia" w:ascii="宋体" w:hAnsi="宋体" w:cs="宋体"/>
          <w:szCs w:val="21"/>
          <w:lang w:val="en-US" w:eastAsia="zh-CN"/>
        </w:rPr>
        <w:t>内容</w:t>
      </w:r>
      <w:r>
        <w:rPr>
          <w:rFonts w:hint="eastAsia" w:ascii="宋体" w:hAnsi="宋体" w:cs="宋体"/>
          <w:szCs w:val="21"/>
        </w:rPr>
        <w:t>概述</w:t>
      </w:r>
    </w:p>
    <w:p w14:paraId="2D776C56">
      <w:pPr>
        <w:numPr>
          <w:ilvl w:val="255"/>
          <w:numId w:val="0"/>
        </w:numPr>
        <w:spacing w:line="400" w:lineRule="exact"/>
        <w:ind w:firstLine="420" w:firstLineChars="200"/>
        <w:rPr>
          <w:rFonts w:ascii="宋体" w:hAnsi="宋体" w:cs="宋体"/>
          <w:szCs w:val="21"/>
        </w:rPr>
      </w:pPr>
      <w:r>
        <w:rPr>
          <w:rFonts w:hint="eastAsia" w:ascii="宋体" w:hAnsi="宋体" w:cs="宋体"/>
          <w:szCs w:val="21"/>
        </w:rPr>
        <w:t>系统需结合电商数据市场，检索某产品的销售趋势。通过各平台公开页面信息分析平台内的相关数据，比如销售额、销量、价格、评论等多维度数据进行聚合分析，从而得到</w:t>
      </w:r>
      <w:r>
        <w:rPr>
          <w:rFonts w:hint="eastAsia" w:ascii="宋体" w:hAnsi="宋体" w:cs="宋体"/>
          <w:szCs w:val="21"/>
          <w:lang w:val="en-US" w:eastAsia="zh-CN"/>
        </w:rPr>
        <w:t>S</w:t>
      </w:r>
      <w:r>
        <w:rPr>
          <w:rFonts w:hint="eastAsia" w:ascii="宋体" w:hAnsi="宋体" w:cs="宋体"/>
          <w:szCs w:val="21"/>
        </w:rPr>
        <w:t>ku级别数据 再累积得到品类或行业的鞋服数据，沉淀到</w:t>
      </w:r>
      <w:r>
        <w:rPr>
          <w:rFonts w:hint="eastAsia" w:ascii="宋体" w:hAnsi="宋体" w:cs="宋体"/>
          <w:szCs w:val="21"/>
          <w:lang w:val="en-US" w:eastAsia="zh-CN"/>
        </w:rPr>
        <w:t>SAAS</w:t>
      </w:r>
      <w:r>
        <w:rPr>
          <w:rFonts w:hint="eastAsia" w:ascii="宋体" w:hAnsi="宋体" w:cs="宋体"/>
          <w:szCs w:val="21"/>
        </w:rPr>
        <w:t>系统后可支持多维度分析。</w:t>
      </w:r>
    </w:p>
    <w:p w14:paraId="7D089876">
      <w:pPr>
        <w:numPr>
          <w:ilvl w:val="255"/>
          <w:numId w:val="0"/>
        </w:numPr>
        <w:spacing w:line="400" w:lineRule="exact"/>
        <w:ind w:firstLine="420" w:firstLineChars="200"/>
        <w:rPr>
          <w:rFonts w:ascii="宋体" w:hAnsi="宋体" w:cs="宋体"/>
          <w:szCs w:val="21"/>
        </w:rPr>
      </w:pPr>
      <w:r>
        <w:rPr>
          <w:rFonts w:hint="eastAsia" w:ascii="宋体" w:hAnsi="宋体" w:cs="宋体"/>
          <w:szCs w:val="21"/>
        </w:rPr>
        <w:t>1.2部署方式</w:t>
      </w:r>
    </w:p>
    <w:p w14:paraId="5F23E071">
      <w:pPr>
        <w:numPr>
          <w:ilvl w:val="255"/>
          <w:numId w:val="0"/>
        </w:numPr>
        <w:spacing w:line="400" w:lineRule="exact"/>
        <w:ind w:firstLine="420" w:firstLineChars="200"/>
        <w:rPr>
          <w:rFonts w:ascii="宋体" w:hAnsi="宋体" w:cs="宋体"/>
          <w:szCs w:val="21"/>
        </w:rPr>
      </w:pPr>
      <w:r>
        <w:rPr>
          <w:rFonts w:hint="eastAsia" w:ascii="宋体" w:hAnsi="宋体" w:cs="宋体"/>
          <w:szCs w:val="21"/>
        </w:rPr>
        <w:t>产品服务模式：SAAS公有云部署方式。</w:t>
      </w:r>
    </w:p>
    <w:p w14:paraId="7F5A6904">
      <w:pPr>
        <w:numPr>
          <w:ilvl w:val="255"/>
          <w:numId w:val="0"/>
        </w:numPr>
        <w:spacing w:line="400" w:lineRule="exact"/>
        <w:ind w:firstLine="420" w:firstLineChars="200"/>
        <w:rPr>
          <w:rFonts w:ascii="宋体" w:hAnsi="宋体" w:cs="宋体"/>
          <w:szCs w:val="21"/>
        </w:rPr>
      </w:pPr>
      <w:r>
        <w:rPr>
          <w:rFonts w:hint="eastAsia" w:ascii="宋体" w:hAnsi="宋体" w:cs="宋体"/>
          <w:szCs w:val="21"/>
        </w:rPr>
        <w:t>1.3建设周期</w:t>
      </w:r>
    </w:p>
    <w:p w14:paraId="2B5C0F6B">
      <w:pPr>
        <w:numPr>
          <w:ilvl w:val="255"/>
          <w:numId w:val="0"/>
        </w:numPr>
        <w:spacing w:line="400" w:lineRule="exact"/>
        <w:ind w:firstLine="420" w:firstLineChars="200"/>
        <w:rPr>
          <w:rFonts w:ascii="宋体" w:hAnsi="宋体" w:cs="宋体"/>
          <w:szCs w:val="21"/>
        </w:rPr>
      </w:pPr>
      <w:r>
        <w:rPr>
          <w:rFonts w:hint="eastAsia" w:ascii="宋体" w:hAnsi="宋体" w:cs="宋体"/>
          <w:szCs w:val="21"/>
          <w:lang w:eastAsia="zh-CN"/>
        </w:rPr>
        <w:t>产</w:t>
      </w:r>
      <w:r>
        <w:rPr>
          <w:rFonts w:hint="eastAsia" w:ascii="宋体" w:hAnsi="宋体" w:cs="宋体"/>
          <w:szCs w:val="21"/>
        </w:rPr>
        <w:t>品功能自合同签订日起，产品需求调研、方案设计、开发、测试、部署、上线总周期原则上不超过10个工作日。</w:t>
      </w:r>
    </w:p>
    <w:p w14:paraId="2C1C5802">
      <w:pPr>
        <w:numPr>
          <w:ilvl w:val="255"/>
          <w:numId w:val="0"/>
        </w:numPr>
        <w:spacing w:line="400" w:lineRule="exact"/>
        <w:ind w:firstLine="420" w:firstLineChars="200"/>
        <w:rPr>
          <w:rFonts w:ascii="宋体" w:hAnsi="宋体" w:cs="宋体"/>
          <w:szCs w:val="21"/>
        </w:rPr>
      </w:pPr>
      <w:r>
        <w:rPr>
          <w:rFonts w:hint="eastAsia" w:ascii="宋体" w:hAnsi="宋体" w:cs="宋体"/>
          <w:szCs w:val="21"/>
        </w:rPr>
        <w:t>2.技术需求</w:t>
      </w:r>
    </w:p>
    <w:p w14:paraId="0725950F">
      <w:pPr>
        <w:numPr>
          <w:ilvl w:val="255"/>
          <w:numId w:val="0"/>
        </w:numPr>
        <w:spacing w:line="400" w:lineRule="exact"/>
        <w:ind w:firstLine="420" w:firstLineChars="200"/>
        <w:rPr>
          <w:rFonts w:ascii="宋体" w:hAnsi="宋体" w:cs="宋体"/>
          <w:szCs w:val="21"/>
        </w:rPr>
      </w:pPr>
      <w:r>
        <w:rPr>
          <w:rFonts w:hint="eastAsia" w:ascii="宋体" w:hAnsi="宋体" w:cs="宋体"/>
          <w:szCs w:val="21"/>
        </w:rPr>
        <w:t>2.1业务需求明细</w:t>
      </w:r>
    </w:p>
    <w:p w14:paraId="37CCEB44">
      <w:pPr>
        <w:numPr>
          <w:ilvl w:val="255"/>
          <w:numId w:val="0"/>
        </w:numPr>
        <w:spacing w:line="400" w:lineRule="exact"/>
        <w:ind w:firstLine="420" w:firstLineChars="200"/>
        <w:rPr>
          <w:rFonts w:ascii="宋体" w:hAnsi="宋体" w:cs="宋体"/>
          <w:szCs w:val="21"/>
        </w:rPr>
      </w:pPr>
      <w:r>
        <w:rPr>
          <w:rFonts w:hint="eastAsia" w:ascii="宋体" w:hAnsi="宋体" w:cs="宋体"/>
          <w:szCs w:val="21"/>
        </w:rPr>
        <w:t>业务需求：</w:t>
      </w:r>
    </w:p>
    <w:p w14:paraId="3937D68D">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平台：天猫、淘宝、跨境平台供货商、海外服饰独立站</w:t>
      </w:r>
      <w:r>
        <w:rPr>
          <w:rFonts w:hint="eastAsia" w:ascii="宋体" w:hAnsi="宋体" w:cs="宋体"/>
          <w:szCs w:val="21"/>
          <w:lang w:eastAsia="zh-CN"/>
        </w:rPr>
        <w:t>。</w:t>
      </w:r>
    </w:p>
    <w:p w14:paraId="261ECD0D">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品类：鞋服类</w:t>
      </w:r>
      <w:r>
        <w:rPr>
          <w:rFonts w:hint="eastAsia" w:ascii="宋体" w:hAnsi="宋体" w:cs="宋体"/>
          <w:szCs w:val="21"/>
          <w:lang w:eastAsia="zh-CN"/>
        </w:rPr>
        <w:t>。</w:t>
      </w:r>
    </w:p>
    <w:p w14:paraId="0BD21F8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行业信息：支持查看行业下品类数据/销量数据/价格带数据/评价数据/品牌洞察/设计元素等信息，支持自定义时间的数据查询，能响应各</w:t>
      </w:r>
      <w:r>
        <w:rPr>
          <w:rFonts w:hint="eastAsia" w:ascii="宋体" w:hAnsi="宋体" w:cs="宋体"/>
          <w:szCs w:val="21"/>
          <w:lang w:eastAsia="zh-CN"/>
        </w:rPr>
        <w:t>维</w:t>
      </w:r>
      <w:r>
        <w:rPr>
          <w:rFonts w:hint="eastAsia" w:ascii="宋体" w:hAnsi="宋体" w:cs="宋体"/>
          <w:szCs w:val="21"/>
        </w:rPr>
        <w:t>度下交叉和对比分析，并支持数据导出等</w:t>
      </w:r>
      <w:r>
        <w:rPr>
          <w:rFonts w:hint="eastAsia" w:ascii="宋体" w:hAnsi="宋体" w:cs="宋体"/>
          <w:szCs w:val="21"/>
          <w:lang w:eastAsia="zh-CN"/>
        </w:rPr>
        <w:t>。</w:t>
      </w:r>
    </w:p>
    <w:p w14:paraId="4CA2FAD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店铺信息：支持查看关注的店铺/站点数据，支持分析面料数据/商品上新及热销情况/社媒营销分析，支持查看粉丝画像和部分相似店铺的信息等</w:t>
      </w:r>
      <w:r>
        <w:rPr>
          <w:rFonts w:hint="eastAsia" w:ascii="宋体" w:hAnsi="宋体" w:cs="宋体"/>
          <w:szCs w:val="21"/>
          <w:lang w:eastAsia="zh-CN"/>
        </w:rPr>
        <w:t>。</w:t>
      </w:r>
    </w:p>
    <w:p w14:paraId="20BD9F08">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商品信息：支持查看预售商品信息/按品类和商品属性检索商品/可检索查询Sku的尺码或颜色/支持查询已下架商品等，通过独家销量算法模型，打造国内电商平台和海外站点的热销榜单，找到感兴趣平台中不同行业、品类和风格下的热销商品</w:t>
      </w:r>
      <w:r>
        <w:rPr>
          <w:rFonts w:hint="eastAsia" w:ascii="宋体" w:hAnsi="宋体" w:cs="宋体"/>
          <w:szCs w:val="21"/>
          <w:lang w:eastAsia="zh-CN"/>
        </w:rPr>
        <w:t>。</w:t>
      </w:r>
    </w:p>
    <w:p w14:paraId="104AD2C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趋势报告：定期更新电商平台的相关的电商报告，包含不同电商平台的趋势报告</w:t>
      </w:r>
      <w:r>
        <w:rPr>
          <w:rFonts w:hint="eastAsia" w:ascii="宋体" w:hAnsi="宋体" w:cs="宋体"/>
          <w:szCs w:val="21"/>
          <w:lang w:eastAsia="zh-CN"/>
        </w:rPr>
        <w:t>。</w:t>
      </w:r>
    </w:p>
    <w:p w14:paraId="4A1954CC">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智能搜图：通过图片识别，支持检索平台内的相同款或相似款</w:t>
      </w:r>
      <w:r>
        <w:rPr>
          <w:rFonts w:hint="eastAsia" w:ascii="宋体" w:hAnsi="宋体" w:cs="宋体"/>
          <w:szCs w:val="21"/>
          <w:lang w:eastAsia="zh-CN"/>
        </w:rPr>
        <w:t>。</w:t>
      </w:r>
    </w:p>
    <w:p w14:paraId="17B77699">
      <w:pPr>
        <w:numPr>
          <w:ilvl w:val="255"/>
          <w:numId w:val="0"/>
        </w:numPr>
        <w:spacing w:line="400" w:lineRule="exact"/>
        <w:ind w:firstLine="420" w:firstLineChars="200"/>
        <w:rPr>
          <w:rFonts w:ascii="宋体" w:hAnsi="宋体" w:cs="宋体"/>
          <w:szCs w:val="21"/>
        </w:rPr>
      </w:pPr>
      <w:r>
        <w:rPr>
          <w:rFonts w:hint="eastAsia" w:ascii="宋体" w:hAnsi="宋体" w:cs="宋体"/>
          <w:szCs w:val="21"/>
        </w:rPr>
        <w:t>AIGC：AI智能完成款式设计，随意更换场景。基于上传款式，定向改款，支持换脸、颜色、领型和面料等，通过设计特征来实现智能化改款设计。</w:t>
      </w:r>
    </w:p>
    <w:p w14:paraId="5A48588D">
      <w:pPr>
        <w:numPr>
          <w:ilvl w:val="255"/>
          <w:numId w:val="0"/>
        </w:numPr>
        <w:spacing w:line="400" w:lineRule="exact"/>
        <w:ind w:firstLine="420" w:firstLineChars="200"/>
        <w:rPr>
          <w:rFonts w:ascii="宋体" w:hAnsi="宋体" w:cs="宋体"/>
          <w:szCs w:val="21"/>
        </w:rPr>
      </w:pPr>
      <w:r>
        <w:rPr>
          <w:rFonts w:hint="eastAsia" w:ascii="宋体" w:hAnsi="宋体" w:cs="宋体"/>
          <w:szCs w:val="21"/>
        </w:rPr>
        <w:t>2.2技术要求</w:t>
      </w:r>
    </w:p>
    <w:p w14:paraId="6CA56619">
      <w:pPr>
        <w:numPr>
          <w:ilvl w:val="255"/>
          <w:numId w:val="0"/>
        </w:numPr>
        <w:spacing w:line="400" w:lineRule="exact"/>
        <w:ind w:firstLine="420" w:firstLineChars="200"/>
        <w:rPr>
          <w:rFonts w:ascii="宋体" w:hAnsi="宋体" w:cs="宋体"/>
          <w:szCs w:val="21"/>
        </w:rPr>
      </w:pPr>
      <w:r>
        <w:rPr>
          <w:rFonts w:hint="eastAsia" w:ascii="宋体" w:hAnsi="宋体" w:cs="宋体"/>
          <w:szCs w:val="21"/>
        </w:rPr>
        <w:t>2.2.1系统服务</w:t>
      </w:r>
    </w:p>
    <w:p w14:paraId="3CDF066B">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数据整理服务：保障商品数据更新频率不低于T+3，行业数据按月度更新</w:t>
      </w:r>
      <w:r>
        <w:rPr>
          <w:rFonts w:hint="eastAsia" w:ascii="宋体" w:hAnsi="宋体" w:cs="宋体"/>
          <w:szCs w:val="21"/>
          <w:lang w:eastAsia="zh-CN"/>
        </w:rPr>
        <w:t>。</w:t>
      </w:r>
    </w:p>
    <w:p w14:paraId="4015BB1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数据质量稽查：持续对产品属性、关键词、过滤规则，统计算法进行优化</w:t>
      </w:r>
      <w:r>
        <w:rPr>
          <w:rFonts w:hint="eastAsia" w:ascii="宋体" w:hAnsi="宋体" w:cs="宋体"/>
          <w:szCs w:val="21"/>
          <w:lang w:eastAsia="zh-CN"/>
        </w:rPr>
        <w:t>。</w:t>
      </w:r>
    </w:p>
    <w:p w14:paraId="680BE364">
      <w:pPr>
        <w:numPr>
          <w:ilvl w:val="255"/>
          <w:numId w:val="0"/>
        </w:numPr>
        <w:spacing w:line="400" w:lineRule="exact"/>
        <w:ind w:firstLine="420" w:firstLineChars="200"/>
        <w:rPr>
          <w:rFonts w:ascii="宋体" w:hAnsi="宋体" w:cs="宋体"/>
          <w:szCs w:val="21"/>
        </w:rPr>
      </w:pPr>
      <w:r>
        <w:rPr>
          <w:rFonts w:hint="eastAsia" w:ascii="宋体" w:hAnsi="宋体" w:cs="宋体"/>
          <w:szCs w:val="21"/>
        </w:rPr>
        <w:t>数据同步服务：有能力支持相关数据的接口服务。</w:t>
      </w:r>
    </w:p>
    <w:p w14:paraId="4E757888">
      <w:pPr>
        <w:numPr>
          <w:ilvl w:val="255"/>
          <w:numId w:val="0"/>
        </w:numPr>
        <w:spacing w:line="400" w:lineRule="exact"/>
        <w:ind w:firstLine="420" w:firstLineChars="200"/>
        <w:rPr>
          <w:rFonts w:ascii="宋体" w:hAnsi="宋体" w:cs="宋体"/>
          <w:szCs w:val="21"/>
        </w:rPr>
      </w:pPr>
      <w:r>
        <w:rPr>
          <w:rFonts w:hint="eastAsia" w:ascii="宋体" w:hAnsi="宋体" w:cs="宋体"/>
          <w:szCs w:val="21"/>
        </w:rPr>
        <w:t>供应商具备社媒选款能力，可以收录海量ins、小红书博主达人，实时跟踪服饰红人款式动态，支持自定义收录博主/多条件筛选/免翻墙/账号绑定/下载原图。</w:t>
      </w:r>
    </w:p>
    <w:p w14:paraId="3A64242C">
      <w:pPr>
        <w:numPr>
          <w:ilvl w:val="255"/>
          <w:numId w:val="0"/>
        </w:numPr>
        <w:spacing w:line="400" w:lineRule="exact"/>
        <w:ind w:firstLine="420" w:firstLineChars="200"/>
        <w:rPr>
          <w:rFonts w:ascii="宋体" w:hAnsi="宋体" w:cs="宋体"/>
          <w:szCs w:val="21"/>
        </w:rPr>
      </w:pPr>
      <w:r>
        <w:rPr>
          <w:rFonts w:hint="eastAsia" w:ascii="宋体" w:hAnsi="宋体" w:cs="宋体"/>
          <w:szCs w:val="21"/>
        </w:rPr>
        <w:t>供应商具备AI能力，通过AI智能完成款式设计，随意更换场景。基于上传款式，定向改款，支持换脸、颜色、领型和面料等，通过设计特征来实现智能化改款设计。</w:t>
      </w:r>
    </w:p>
    <w:p w14:paraId="359F9EB0">
      <w:pPr>
        <w:numPr>
          <w:ilvl w:val="255"/>
          <w:numId w:val="0"/>
        </w:numPr>
        <w:spacing w:line="400" w:lineRule="exact"/>
        <w:ind w:firstLine="420" w:firstLineChars="200"/>
        <w:rPr>
          <w:rFonts w:ascii="宋体" w:hAnsi="宋体" w:cs="宋体"/>
          <w:szCs w:val="21"/>
        </w:rPr>
      </w:pPr>
      <w:r>
        <w:rPr>
          <w:rFonts w:hint="eastAsia" w:ascii="宋体" w:hAnsi="宋体" w:cs="宋体"/>
          <w:szCs w:val="21"/>
        </w:rPr>
        <w:t>2.2.2技术服务</w:t>
      </w:r>
    </w:p>
    <w:p w14:paraId="51C7326B">
      <w:pPr>
        <w:numPr>
          <w:ilvl w:val="255"/>
          <w:numId w:val="0"/>
        </w:numPr>
        <w:spacing w:line="400" w:lineRule="exact"/>
        <w:ind w:firstLine="420" w:firstLineChars="200"/>
        <w:rPr>
          <w:rFonts w:ascii="宋体" w:hAnsi="宋体" w:cs="宋体"/>
          <w:szCs w:val="21"/>
        </w:rPr>
      </w:pPr>
      <w:r>
        <w:rPr>
          <w:rFonts w:hint="eastAsia" w:ascii="宋体" w:hAnsi="宋体" w:cs="宋体"/>
          <w:szCs w:val="21"/>
        </w:rPr>
        <w:t>能够满足</w:t>
      </w:r>
      <w:r>
        <w:rPr>
          <w:rFonts w:hint="eastAsia" w:ascii="宋体" w:hAnsi="宋体" w:cs="宋体"/>
          <w:szCs w:val="21"/>
          <w:lang w:eastAsia="zh-CN"/>
        </w:rPr>
        <w:t>采购人</w:t>
      </w:r>
      <w:r>
        <w:rPr>
          <w:rFonts w:hint="eastAsia" w:ascii="宋体" w:hAnsi="宋体" w:cs="宋体"/>
          <w:szCs w:val="21"/>
        </w:rPr>
        <w:t>对软件的使用需求。充分理解</w:t>
      </w:r>
      <w:r>
        <w:rPr>
          <w:rFonts w:hint="eastAsia" w:ascii="宋体" w:hAnsi="宋体" w:cs="宋体"/>
          <w:szCs w:val="21"/>
          <w:lang w:eastAsia="zh-CN"/>
        </w:rPr>
        <w:t>采购人</w:t>
      </w:r>
      <w:r>
        <w:rPr>
          <w:rFonts w:hint="eastAsia" w:ascii="宋体" w:hAnsi="宋体" w:cs="宋体"/>
          <w:szCs w:val="21"/>
        </w:rPr>
        <w:t>对产品的使用需求，并有义务向</w:t>
      </w:r>
      <w:r>
        <w:rPr>
          <w:rFonts w:hint="eastAsia" w:ascii="宋体" w:hAnsi="宋体" w:cs="宋体"/>
          <w:szCs w:val="21"/>
          <w:lang w:eastAsia="zh-CN"/>
        </w:rPr>
        <w:t>采购人</w:t>
      </w:r>
      <w:r>
        <w:rPr>
          <w:rFonts w:hint="eastAsia" w:ascii="宋体" w:hAnsi="宋体" w:cs="宋体"/>
          <w:szCs w:val="21"/>
        </w:rPr>
        <w:t>解释说明产品各个模块的功能、运行环境等相关信息，并确保其实际提供的具体服务内容与其解释说明的内容相符合。</w:t>
      </w:r>
    </w:p>
    <w:p w14:paraId="15F5DF50">
      <w:pPr>
        <w:numPr>
          <w:ilvl w:val="255"/>
          <w:numId w:val="0"/>
        </w:numPr>
        <w:spacing w:line="400" w:lineRule="exact"/>
        <w:ind w:firstLine="420" w:firstLineChars="200"/>
        <w:rPr>
          <w:rFonts w:ascii="宋体" w:hAnsi="宋体" w:cs="宋体"/>
          <w:szCs w:val="21"/>
        </w:rPr>
      </w:pPr>
      <w:r>
        <w:rPr>
          <w:rFonts w:hint="eastAsia" w:ascii="宋体" w:hAnsi="宋体" w:cs="宋体"/>
          <w:szCs w:val="21"/>
        </w:rPr>
        <w:t>交付相应的产品、技术文件并提供相应的技术服务，其中技术服务包括如下内容：</w:t>
      </w:r>
    </w:p>
    <w:p w14:paraId="624AE06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服务的开通、调试</w:t>
      </w:r>
      <w:r>
        <w:rPr>
          <w:rFonts w:hint="eastAsia" w:ascii="宋体" w:hAnsi="宋体" w:cs="宋体"/>
          <w:szCs w:val="21"/>
          <w:lang w:eastAsia="zh-CN"/>
        </w:rPr>
        <w:t>。</w:t>
      </w:r>
    </w:p>
    <w:p w14:paraId="517AE92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操作培训</w:t>
      </w:r>
      <w:r>
        <w:rPr>
          <w:rFonts w:hint="eastAsia" w:ascii="宋体" w:hAnsi="宋体" w:cs="宋体"/>
          <w:szCs w:val="21"/>
          <w:lang w:eastAsia="zh-CN"/>
        </w:rPr>
        <w:t>。</w:t>
      </w:r>
    </w:p>
    <w:p w14:paraId="704FA04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系统运行维护与安全保障</w:t>
      </w:r>
      <w:r>
        <w:rPr>
          <w:rFonts w:hint="eastAsia" w:ascii="宋体" w:hAnsi="宋体" w:cs="宋体"/>
          <w:szCs w:val="21"/>
          <w:lang w:eastAsia="zh-CN"/>
        </w:rPr>
        <w:t>。</w:t>
      </w:r>
    </w:p>
    <w:p w14:paraId="28B0C2D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故障排除</w:t>
      </w:r>
      <w:r>
        <w:rPr>
          <w:rFonts w:hint="eastAsia" w:ascii="宋体" w:hAnsi="宋体" w:cs="宋体"/>
          <w:szCs w:val="21"/>
          <w:lang w:eastAsia="zh-CN"/>
        </w:rPr>
        <w:t>。</w:t>
      </w:r>
    </w:p>
    <w:p w14:paraId="64DC3AA0">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服务升级</w:t>
      </w:r>
      <w:r>
        <w:rPr>
          <w:rFonts w:hint="eastAsia" w:ascii="宋体" w:hAnsi="宋体" w:cs="宋体"/>
          <w:szCs w:val="21"/>
          <w:lang w:eastAsia="zh-CN"/>
        </w:rPr>
        <w:t>。</w:t>
      </w:r>
    </w:p>
    <w:p w14:paraId="450611B6">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其他确保</w:t>
      </w:r>
      <w:r>
        <w:rPr>
          <w:rFonts w:hint="eastAsia" w:ascii="宋体" w:hAnsi="宋体" w:cs="宋体"/>
          <w:szCs w:val="21"/>
          <w:lang w:eastAsia="zh-CN"/>
        </w:rPr>
        <w:t>。</w:t>
      </w:r>
    </w:p>
    <w:p w14:paraId="53E0240A">
      <w:pPr>
        <w:numPr>
          <w:ilvl w:val="255"/>
          <w:numId w:val="0"/>
        </w:numPr>
        <w:spacing w:line="400" w:lineRule="exact"/>
        <w:ind w:firstLine="420" w:firstLineChars="200"/>
        <w:rPr>
          <w:rFonts w:ascii="宋体" w:hAnsi="宋体" w:cs="宋体"/>
          <w:szCs w:val="21"/>
        </w:rPr>
      </w:pPr>
      <w:r>
        <w:rPr>
          <w:rFonts w:hint="eastAsia" w:ascii="宋体" w:hAnsi="宋体" w:cs="宋体"/>
          <w:szCs w:val="21"/>
        </w:rPr>
        <w:t>2.3售后服务需求</w:t>
      </w:r>
    </w:p>
    <w:p w14:paraId="2554D503">
      <w:pPr>
        <w:numPr>
          <w:ilvl w:val="255"/>
          <w:numId w:val="0"/>
        </w:numPr>
        <w:spacing w:line="400" w:lineRule="exact"/>
        <w:ind w:firstLine="420" w:firstLineChars="200"/>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指派专职项目责任人，采用在线沟通群的方式，对不同业务部门人员提出对问题进行及时响应。</w:t>
      </w:r>
    </w:p>
    <w:p w14:paraId="255BA272">
      <w:pPr>
        <w:numPr>
          <w:ilvl w:val="255"/>
          <w:numId w:val="0"/>
        </w:numPr>
        <w:spacing w:line="400" w:lineRule="exact"/>
        <w:ind w:firstLine="420" w:firstLineChars="200"/>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负责业务调研、系统实施等工作，确保在约定的时间内，按照进度要求完成本合同规定的全部任务并按时交付</w:t>
      </w:r>
      <w:r>
        <w:rPr>
          <w:rFonts w:hint="eastAsia" w:ascii="宋体" w:hAnsi="宋体" w:cs="宋体"/>
          <w:szCs w:val="21"/>
          <w:lang w:eastAsia="zh-CN"/>
        </w:rPr>
        <w:t>采购人</w:t>
      </w:r>
      <w:r>
        <w:rPr>
          <w:rFonts w:hint="eastAsia" w:ascii="宋体" w:hAnsi="宋体" w:cs="宋体"/>
          <w:szCs w:val="21"/>
        </w:rPr>
        <w:t>使用。</w:t>
      </w:r>
    </w:p>
    <w:p w14:paraId="2EDF9113">
      <w:pPr>
        <w:numPr>
          <w:ilvl w:val="255"/>
          <w:numId w:val="0"/>
        </w:numPr>
        <w:spacing w:line="400" w:lineRule="exact"/>
        <w:ind w:firstLine="420" w:firstLineChars="200"/>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为</w:t>
      </w:r>
      <w:r>
        <w:rPr>
          <w:rFonts w:hint="eastAsia" w:ascii="宋体" w:hAnsi="宋体" w:cs="宋体"/>
          <w:szCs w:val="21"/>
          <w:lang w:eastAsia="zh-CN"/>
        </w:rPr>
        <w:t>采购人</w:t>
      </w:r>
      <w:r>
        <w:rPr>
          <w:rFonts w:hint="eastAsia" w:ascii="宋体" w:hAnsi="宋体" w:cs="宋体"/>
          <w:szCs w:val="21"/>
        </w:rPr>
        <w:t>提供合同标准服务对应的产品操作培训等文档。</w:t>
      </w:r>
    </w:p>
    <w:p w14:paraId="48BB774E">
      <w:pPr>
        <w:numPr>
          <w:ilvl w:val="255"/>
          <w:numId w:val="0"/>
        </w:numPr>
        <w:spacing w:line="400" w:lineRule="exact"/>
        <w:ind w:firstLine="420" w:firstLineChars="200"/>
        <w:rPr>
          <w:rFonts w:ascii="宋体" w:hAnsi="宋体" w:cs="宋体"/>
          <w:szCs w:val="21"/>
        </w:rPr>
      </w:pPr>
      <w:r>
        <w:rPr>
          <w:rFonts w:hint="eastAsia" w:ascii="宋体" w:hAnsi="宋体" w:cs="宋体"/>
          <w:szCs w:val="21"/>
        </w:rPr>
        <w:t>服务有效期内，</w:t>
      </w:r>
      <w:r>
        <w:rPr>
          <w:rFonts w:hint="eastAsia" w:ascii="宋体" w:hAnsi="宋体" w:cs="宋体"/>
          <w:szCs w:val="21"/>
          <w:lang w:eastAsia="zh-CN"/>
        </w:rPr>
        <w:t>供应商</w:t>
      </w:r>
      <w:r>
        <w:rPr>
          <w:rFonts w:hint="eastAsia" w:ascii="宋体" w:hAnsi="宋体" w:cs="宋体"/>
          <w:szCs w:val="21"/>
        </w:rPr>
        <w:t>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提供培训不少于2次，具体时间和形式，以双方协商确认为准。</w:t>
      </w:r>
    </w:p>
    <w:p w14:paraId="7FC2934A">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服务有效期内，</w:t>
      </w:r>
      <w:r>
        <w:rPr>
          <w:rFonts w:hint="eastAsia" w:ascii="宋体" w:hAnsi="宋体" w:cs="宋体"/>
          <w:szCs w:val="21"/>
          <w:lang w:eastAsia="zh-CN"/>
        </w:rPr>
        <w:t>供应商</w:t>
      </w:r>
      <w:r>
        <w:rPr>
          <w:rFonts w:hint="eastAsia" w:ascii="宋体" w:hAnsi="宋体" w:cs="宋体"/>
          <w:szCs w:val="21"/>
        </w:rPr>
        <w:t>应及时进行正常的服务提供，在</w:t>
      </w:r>
      <w:r>
        <w:rPr>
          <w:rFonts w:hint="eastAsia" w:ascii="宋体" w:hAnsi="宋体" w:cs="宋体"/>
          <w:szCs w:val="21"/>
          <w:lang w:eastAsia="zh-CN"/>
        </w:rPr>
        <w:t>采购人</w:t>
      </w:r>
      <w:r>
        <w:rPr>
          <w:rFonts w:hint="eastAsia" w:ascii="宋体" w:hAnsi="宋体" w:cs="宋体"/>
          <w:szCs w:val="21"/>
        </w:rPr>
        <w:t>遇到不能正常使用、操作使用</w:t>
      </w:r>
      <w:r>
        <w:rPr>
          <w:rFonts w:hint="eastAsia" w:ascii="宋体" w:hAnsi="宋体" w:cs="宋体"/>
          <w:szCs w:val="21"/>
          <w:lang w:eastAsia="zh-CN"/>
        </w:rPr>
        <w:t>供应商</w:t>
      </w:r>
      <w:r>
        <w:rPr>
          <w:rFonts w:hint="eastAsia" w:ascii="宋体" w:hAnsi="宋体" w:cs="宋体"/>
          <w:szCs w:val="21"/>
        </w:rPr>
        <w:t>技术服务等问题时，</w:t>
      </w:r>
      <w:r>
        <w:rPr>
          <w:rFonts w:hint="eastAsia" w:ascii="宋体" w:hAnsi="宋体" w:cs="宋体"/>
          <w:szCs w:val="21"/>
          <w:lang w:eastAsia="zh-CN"/>
        </w:rPr>
        <w:t>采购人</w:t>
      </w:r>
      <w:r>
        <w:rPr>
          <w:rFonts w:hint="eastAsia" w:ascii="宋体" w:hAnsi="宋体" w:cs="宋体"/>
          <w:szCs w:val="21"/>
        </w:rPr>
        <w:t>可通过</w:t>
      </w:r>
      <w:r>
        <w:rPr>
          <w:rFonts w:hint="eastAsia" w:ascii="宋体" w:hAnsi="宋体" w:cs="宋体"/>
          <w:szCs w:val="21"/>
          <w:lang w:eastAsia="zh-CN"/>
        </w:rPr>
        <w:t>供应商</w:t>
      </w:r>
      <w:r>
        <w:rPr>
          <w:rFonts w:hint="eastAsia" w:ascii="宋体" w:hAnsi="宋体" w:cs="宋体"/>
          <w:szCs w:val="21"/>
        </w:rPr>
        <w:t>提供的售后服务方式进行反馈，</w:t>
      </w:r>
      <w:r>
        <w:rPr>
          <w:rFonts w:hint="eastAsia" w:ascii="宋体" w:hAnsi="宋体" w:cs="宋体"/>
          <w:szCs w:val="21"/>
          <w:lang w:eastAsia="zh-CN"/>
        </w:rPr>
        <w:t>供应商</w:t>
      </w:r>
      <w:r>
        <w:rPr>
          <w:rFonts w:hint="eastAsia" w:ascii="宋体" w:hAnsi="宋体" w:cs="宋体"/>
          <w:szCs w:val="21"/>
        </w:rPr>
        <w:t>应在如下时限内予以响应：法定工作日的9:30至18:30期间，3个小时内给予响应；前述时间段之外的时间：24小时</w:t>
      </w:r>
      <w:r>
        <w:rPr>
          <w:rFonts w:hint="eastAsia" w:ascii="宋体" w:hAnsi="宋体" w:cs="宋体"/>
          <w:szCs w:val="21"/>
          <w:lang w:val="en-US" w:eastAsia="zh-CN"/>
        </w:rPr>
        <w:t>之内</w:t>
      </w:r>
      <w:r>
        <w:rPr>
          <w:rFonts w:hint="eastAsia" w:ascii="宋体" w:hAnsi="宋体" w:cs="宋体"/>
          <w:szCs w:val="21"/>
        </w:rPr>
        <w:t>予以响应</w:t>
      </w:r>
      <w:r>
        <w:rPr>
          <w:rFonts w:hint="eastAsia" w:ascii="宋体" w:hAnsi="宋体" w:cs="宋体"/>
          <w:szCs w:val="21"/>
          <w:lang w:eastAsia="zh-CN"/>
        </w:rPr>
        <w:t>。</w:t>
      </w:r>
    </w:p>
    <w:p w14:paraId="5362BC81">
      <w:pPr>
        <w:numPr>
          <w:ilvl w:val="255"/>
          <w:numId w:val="0"/>
        </w:numPr>
        <w:spacing w:line="400" w:lineRule="exact"/>
        <w:ind w:firstLine="420" w:firstLineChars="200"/>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承诺在服务有效期内对产品提供及时的</w:t>
      </w:r>
      <w:r>
        <w:rPr>
          <w:rFonts w:hint="eastAsia" w:ascii="宋体" w:hAnsi="宋体" w:cs="宋体"/>
          <w:sz w:val="21"/>
          <w:szCs w:val="21"/>
          <w:lang w:eastAsia="zh-CN"/>
        </w:rPr>
        <w:t>无条件</w:t>
      </w:r>
      <w:r>
        <w:rPr>
          <w:rFonts w:hint="eastAsia" w:ascii="宋体" w:hAnsi="宋体" w:cs="宋体"/>
          <w:szCs w:val="21"/>
        </w:rPr>
        <w:t>升级服务。升级程序应满足安全要求并能经过测试验证。</w:t>
      </w:r>
    </w:p>
    <w:p w14:paraId="65FB65BB">
      <w:pPr>
        <w:numPr>
          <w:ilvl w:val="255"/>
          <w:numId w:val="0"/>
        </w:numPr>
        <w:spacing w:line="400" w:lineRule="exact"/>
        <w:ind w:firstLine="420" w:firstLineChars="200"/>
        <w:rPr>
          <w:rFonts w:ascii="宋体" w:hAnsi="宋体" w:cs="宋体"/>
          <w:szCs w:val="21"/>
        </w:rPr>
      </w:pPr>
      <w:r>
        <w:rPr>
          <w:rFonts w:hint="eastAsia" w:ascii="宋体" w:hAnsi="宋体" w:cs="宋体"/>
          <w:szCs w:val="21"/>
        </w:rPr>
        <w:t>服务有效期内，每个季度对</w:t>
      </w:r>
      <w:r>
        <w:rPr>
          <w:rFonts w:hint="eastAsia" w:ascii="宋体" w:hAnsi="宋体" w:cs="宋体"/>
          <w:szCs w:val="21"/>
          <w:lang w:eastAsia="zh-CN"/>
        </w:rPr>
        <w:t>采购人</w:t>
      </w:r>
      <w:r>
        <w:rPr>
          <w:rFonts w:hint="eastAsia" w:ascii="宋体" w:hAnsi="宋体" w:cs="宋体"/>
          <w:szCs w:val="21"/>
        </w:rPr>
        <w:t>的使用情况做一份使用报告说明，以文字形式邮件发送给</w:t>
      </w:r>
      <w:r>
        <w:rPr>
          <w:rFonts w:hint="eastAsia" w:ascii="宋体" w:hAnsi="宋体" w:cs="宋体"/>
          <w:szCs w:val="21"/>
          <w:lang w:eastAsia="zh-CN"/>
        </w:rPr>
        <w:t>采购人</w:t>
      </w:r>
      <w:r>
        <w:rPr>
          <w:rFonts w:hint="eastAsia" w:ascii="宋体" w:hAnsi="宋体" w:cs="宋体"/>
          <w:szCs w:val="21"/>
        </w:rPr>
        <w:t>。</w:t>
      </w:r>
    </w:p>
    <w:p w14:paraId="16510F73">
      <w:pPr>
        <w:numPr>
          <w:ilvl w:val="255"/>
          <w:numId w:val="0"/>
        </w:num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3.校园IP范围内访问登录，</w:t>
      </w:r>
      <w:r>
        <w:rPr>
          <w:rFonts w:hint="eastAsia" w:ascii="宋体" w:hAnsi="宋体" w:cs="宋体"/>
          <w:szCs w:val="21"/>
          <w:lang w:val="en-US" w:eastAsia="zh-CN"/>
        </w:rPr>
        <w:t>校内注册的账号可校外登录。</w:t>
      </w:r>
    </w:p>
    <w:p w14:paraId="75DE602E">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128B9BAF">
      <w:pPr>
        <w:spacing w:line="400" w:lineRule="exact"/>
        <w:ind w:firstLine="422" w:firstLineChars="200"/>
        <w:rPr>
          <w:rFonts w:ascii="宋体" w:hAnsi="宋体" w:cs="宋体"/>
          <w:b/>
          <w:szCs w:val="21"/>
        </w:rPr>
      </w:pPr>
      <w:r>
        <w:rPr>
          <w:rFonts w:hint="eastAsia" w:ascii="宋体" w:hAnsi="宋体" w:cs="宋体"/>
          <w:b/>
          <w:szCs w:val="21"/>
        </w:rPr>
        <w:t>标项四十二（德古意特语言学文学期刊库（现刊））：</w:t>
      </w:r>
    </w:p>
    <w:p w14:paraId="762E54F2">
      <w:pPr>
        <w:numPr>
          <w:ilvl w:val="255"/>
          <w:numId w:val="0"/>
        </w:numPr>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内容参数</w:t>
      </w:r>
    </w:p>
    <w:p w14:paraId="3DEEAC68">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数字资源</w:t>
      </w:r>
      <w:r>
        <w:rPr>
          <w:rFonts w:hint="eastAsia" w:ascii="宋体" w:hAnsi="宋体" w:cs="宋体"/>
          <w:szCs w:val="21"/>
          <w:lang w:val="en-US" w:eastAsia="zh-CN"/>
        </w:rPr>
        <w:t>范围</w:t>
      </w:r>
      <w:r>
        <w:rPr>
          <w:rFonts w:hint="eastAsia" w:ascii="宋体" w:hAnsi="宋体" w:cs="宋体"/>
          <w:szCs w:val="21"/>
        </w:rPr>
        <w:t>：德古意特</w:t>
      </w:r>
      <w:r>
        <w:rPr>
          <w:rFonts w:hint="eastAsia" w:ascii="宋体" w:hAnsi="宋体" w:cs="宋体"/>
          <w:szCs w:val="21"/>
          <w:lang w:val="en-US" w:eastAsia="zh-CN"/>
        </w:rPr>
        <w:t>出版社，</w:t>
      </w:r>
      <w:r>
        <w:rPr>
          <w:rFonts w:hint="eastAsia" w:ascii="宋体" w:hAnsi="宋体" w:cs="宋体"/>
          <w:szCs w:val="21"/>
        </w:rPr>
        <w:t>语言学</w:t>
      </w:r>
      <w:r>
        <w:rPr>
          <w:rFonts w:hint="eastAsia" w:ascii="宋体" w:hAnsi="宋体" w:cs="宋体"/>
          <w:szCs w:val="21"/>
          <w:lang w:val="en-US" w:eastAsia="zh-CN"/>
        </w:rPr>
        <w:t>和</w:t>
      </w:r>
      <w:r>
        <w:rPr>
          <w:rFonts w:hint="eastAsia" w:ascii="宋体" w:hAnsi="宋体" w:cs="宋体"/>
          <w:szCs w:val="21"/>
        </w:rPr>
        <w:t>文学电子期刊</w:t>
      </w:r>
      <w:r>
        <w:rPr>
          <w:rFonts w:hint="eastAsia" w:ascii="宋体" w:hAnsi="宋体" w:cs="宋体"/>
          <w:szCs w:val="21"/>
          <w:lang w:eastAsia="zh-CN"/>
        </w:rPr>
        <w:t>。</w:t>
      </w:r>
    </w:p>
    <w:p w14:paraId="7F90DCF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资源类别：外文电子期刊，人文社科类</w:t>
      </w:r>
      <w:r>
        <w:rPr>
          <w:rFonts w:hint="eastAsia" w:ascii="宋体" w:hAnsi="宋体" w:cs="宋体"/>
          <w:szCs w:val="21"/>
          <w:lang w:eastAsia="zh-CN"/>
        </w:rPr>
        <w:t>。</w:t>
      </w:r>
    </w:p>
    <w:p w14:paraId="6B824D3F">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文献类型：电子期刊</w:t>
      </w:r>
      <w:r>
        <w:rPr>
          <w:rFonts w:hint="eastAsia" w:ascii="宋体" w:hAnsi="宋体" w:cs="宋体"/>
          <w:szCs w:val="21"/>
          <w:lang w:eastAsia="zh-CN"/>
        </w:rPr>
        <w:t>。</w:t>
      </w:r>
    </w:p>
    <w:p w14:paraId="38F82247">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所属学科：语言学</w:t>
      </w:r>
      <w:r>
        <w:rPr>
          <w:rFonts w:hint="eastAsia" w:ascii="宋体" w:hAnsi="宋体" w:cs="宋体"/>
          <w:szCs w:val="21"/>
          <w:lang w:eastAsia="zh-CN"/>
        </w:rPr>
        <w:t>、</w:t>
      </w:r>
      <w:r>
        <w:rPr>
          <w:rFonts w:hint="eastAsia" w:ascii="宋体" w:hAnsi="宋体" w:cs="宋体"/>
          <w:szCs w:val="21"/>
        </w:rPr>
        <w:t>文学</w:t>
      </w:r>
      <w:r>
        <w:rPr>
          <w:rFonts w:hint="eastAsia"/>
          <w:lang w:eastAsia="zh-CN"/>
        </w:rPr>
        <w:t>。</w:t>
      </w:r>
    </w:p>
    <w:p w14:paraId="61582BB3">
      <w:pPr>
        <w:numPr>
          <w:ilvl w:val="255"/>
          <w:numId w:val="0"/>
        </w:numPr>
        <w:spacing w:line="400" w:lineRule="exact"/>
        <w:ind w:firstLine="420" w:firstLineChars="200"/>
        <w:rPr>
          <w:rFonts w:ascii="宋体" w:hAnsi="宋体" w:cs="宋体"/>
          <w:szCs w:val="21"/>
        </w:rPr>
      </w:pPr>
      <w:r>
        <w:rPr>
          <w:rFonts w:hint="eastAsia" w:ascii="宋体" w:hAnsi="宋体" w:cs="宋体"/>
          <w:szCs w:val="21"/>
        </w:rPr>
        <w:t>2.资源内容</w:t>
      </w:r>
    </w:p>
    <w:p w14:paraId="06BC2E1A">
      <w:pPr>
        <w:numPr>
          <w:ilvl w:val="255"/>
          <w:numId w:val="0"/>
        </w:numPr>
        <w:spacing w:line="400" w:lineRule="exact"/>
        <w:ind w:firstLine="420" w:firstLineChars="200"/>
        <w:rPr>
          <w:rFonts w:ascii="宋体" w:hAnsi="宋体" w:cs="宋体"/>
          <w:szCs w:val="21"/>
        </w:rPr>
      </w:pPr>
      <w:r>
        <w:rPr>
          <w:rFonts w:hint="eastAsia" w:ascii="宋体" w:hAnsi="宋体" w:cs="宋体"/>
          <w:szCs w:val="21"/>
        </w:rPr>
        <w:t>德古意特每年出版400余种高品质同行评审期刊。</w:t>
      </w:r>
    </w:p>
    <w:p w14:paraId="46115588">
      <w:pPr>
        <w:numPr>
          <w:ilvl w:val="255"/>
          <w:numId w:val="0"/>
        </w:numPr>
        <w:spacing w:line="400" w:lineRule="exact"/>
        <w:ind w:firstLine="420" w:firstLineChars="200"/>
        <w:rPr>
          <w:rFonts w:ascii="宋体" w:hAnsi="宋体" w:cs="宋体"/>
          <w:szCs w:val="21"/>
        </w:rPr>
      </w:pPr>
      <w:r>
        <w:rPr>
          <w:rFonts w:hint="eastAsia" w:ascii="宋体" w:hAnsi="宋体" w:cs="宋体"/>
          <w:szCs w:val="21"/>
        </w:rPr>
        <w:t>其中语言学、文学英语电子期刊集包括80余种同行评审期刊，1/3被SSCI和A&amp;HCI收录，学科包括语言学、文学、犹太研究、古典学与历史、经济与政治、哲学等，其中许多期刊均是在领域内最知名的期刊。例如：</w:t>
      </w:r>
    </w:p>
    <w:p w14:paraId="071077A2">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Text &amp; Talk《文字和语言》</w:t>
      </w:r>
      <w:r>
        <w:rPr>
          <w:rFonts w:hint="eastAsia" w:ascii="宋体" w:hAnsi="宋体" w:cs="宋体"/>
          <w:szCs w:val="21"/>
          <w:lang w:eastAsia="zh-CN"/>
        </w:rPr>
        <w:t>。</w:t>
      </w:r>
    </w:p>
    <w:p w14:paraId="72D8DF65">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ab/>
      </w:r>
      <w:r>
        <w:rPr>
          <w:rFonts w:hint="eastAsia" w:ascii="宋体" w:hAnsi="宋体" w:cs="宋体"/>
          <w:szCs w:val="21"/>
        </w:rPr>
        <w:t>Linguistics《语言学》</w:t>
      </w:r>
      <w:r>
        <w:rPr>
          <w:rFonts w:hint="eastAsia" w:ascii="宋体" w:hAnsi="宋体" w:cs="宋体"/>
          <w:szCs w:val="21"/>
          <w:lang w:eastAsia="zh-CN"/>
        </w:rPr>
        <w:t>。</w:t>
      </w:r>
    </w:p>
    <w:p w14:paraId="4E2B0B91">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ab/>
      </w:r>
      <w:r>
        <w:rPr>
          <w:rFonts w:hint="eastAsia" w:ascii="宋体" w:hAnsi="宋体" w:cs="宋体"/>
          <w:szCs w:val="21"/>
        </w:rPr>
        <w:t>Cognitive Linguistics《认知语言学》</w:t>
      </w:r>
      <w:r>
        <w:rPr>
          <w:rFonts w:hint="eastAsia" w:ascii="宋体" w:hAnsi="宋体" w:cs="宋体"/>
          <w:szCs w:val="21"/>
          <w:lang w:eastAsia="zh-CN"/>
        </w:rPr>
        <w:t>。</w:t>
      </w:r>
    </w:p>
    <w:p w14:paraId="4424E7A4">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ab/>
      </w:r>
      <w:r>
        <w:rPr>
          <w:rFonts w:hint="eastAsia" w:ascii="宋体" w:hAnsi="宋体" w:cs="宋体"/>
          <w:szCs w:val="21"/>
        </w:rPr>
        <w:t>Journal of African Languages and Linguistics《非洲语言和语言学杂志》</w:t>
      </w:r>
      <w:r>
        <w:rPr>
          <w:rFonts w:hint="eastAsia" w:ascii="宋体" w:hAnsi="宋体" w:cs="宋体"/>
          <w:szCs w:val="21"/>
          <w:lang w:eastAsia="zh-CN"/>
        </w:rPr>
        <w:t>。</w:t>
      </w:r>
    </w:p>
    <w:p w14:paraId="2CDBDA12">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3.技术参数</w:t>
      </w:r>
    </w:p>
    <w:p w14:paraId="4204CA06">
      <w:pPr>
        <w:numPr>
          <w:ilvl w:val="255"/>
          <w:numId w:val="0"/>
        </w:num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校园</w:t>
      </w:r>
      <w:r>
        <w:rPr>
          <w:rFonts w:hint="eastAsia" w:ascii="宋体" w:hAnsi="宋体" w:cs="宋体"/>
          <w:szCs w:val="21"/>
        </w:rPr>
        <w:t>IP</w:t>
      </w:r>
      <w:r>
        <w:rPr>
          <w:rFonts w:hint="eastAsia" w:ascii="宋体" w:hAnsi="宋体" w:cs="宋体"/>
          <w:szCs w:val="21"/>
          <w:lang w:val="en-US" w:eastAsia="zh-CN"/>
        </w:rPr>
        <w:t>范围内</w:t>
      </w:r>
      <w:r>
        <w:rPr>
          <w:rFonts w:hint="eastAsia" w:ascii="宋体" w:hAnsi="宋体" w:cs="宋体"/>
          <w:szCs w:val="21"/>
        </w:rPr>
        <w:t>认证访问，</w:t>
      </w:r>
      <w:r>
        <w:rPr>
          <w:rFonts w:hint="eastAsia" w:ascii="宋体" w:hAnsi="宋体" w:cs="宋体"/>
          <w:szCs w:val="21"/>
          <w:lang w:val="en-US" w:eastAsia="zh-CN"/>
        </w:rPr>
        <w:t>支持VPN访问，</w:t>
      </w:r>
      <w:r>
        <w:rPr>
          <w:rFonts w:hint="eastAsia" w:ascii="宋体" w:hAnsi="宋体" w:cs="宋体"/>
          <w:szCs w:val="21"/>
        </w:rPr>
        <w:t>无并发用户限制。</w:t>
      </w:r>
    </w:p>
    <w:p w14:paraId="5DD99E21">
      <w:pPr>
        <w:numPr>
          <w:ilvl w:val="255"/>
          <w:numId w:val="0"/>
        </w:numPr>
        <w:spacing w:line="400" w:lineRule="exact"/>
        <w:ind w:firstLine="420" w:firstLineChars="200"/>
        <w:rPr>
          <w:rFonts w:ascii="宋体" w:hAnsi="宋体" w:cs="宋体"/>
          <w:szCs w:val="21"/>
        </w:rPr>
      </w:pPr>
      <w:r>
        <w:rPr>
          <w:rFonts w:hint="eastAsia" w:ascii="宋体" w:hAnsi="宋体" w:cs="宋体"/>
          <w:szCs w:val="21"/>
        </w:rPr>
        <w:t>（2）无DRM限制，下载后可以永久使用下载的内容。</w:t>
      </w:r>
    </w:p>
    <w:p w14:paraId="4CE7AFDE">
      <w:pPr>
        <w:numPr>
          <w:ilvl w:val="255"/>
          <w:numId w:val="0"/>
        </w:numPr>
        <w:spacing w:line="400" w:lineRule="exact"/>
        <w:ind w:firstLine="420" w:firstLineChars="200"/>
        <w:rPr>
          <w:rFonts w:ascii="宋体" w:hAnsi="宋体" w:cs="宋体"/>
          <w:szCs w:val="21"/>
        </w:rPr>
      </w:pPr>
      <w:r>
        <w:rPr>
          <w:rFonts w:hint="eastAsia" w:ascii="宋体" w:hAnsi="宋体" w:cs="宋体"/>
          <w:szCs w:val="21"/>
        </w:rPr>
        <w:t>（3）按照自然年度订购，并且不捆绑纸本期刊。</w:t>
      </w:r>
    </w:p>
    <w:p w14:paraId="4CE766AD">
      <w:pPr>
        <w:numPr>
          <w:ilvl w:val="255"/>
          <w:numId w:val="0"/>
        </w:numPr>
        <w:spacing w:line="400" w:lineRule="exact"/>
        <w:ind w:firstLine="420" w:firstLineChars="200"/>
        <w:rPr>
          <w:rFonts w:ascii="宋体" w:hAnsi="宋体" w:cs="宋体"/>
          <w:szCs w:val="21"/>
        </w:rPr>
      </w:pPr>
      <w:r>
        <w:rPr>
          <w:rFonts w:hint="eastAsia" w:ascii="宋体" w:hAnsi="宋体" w:cs="宋体"/>
          <w:szCs w:val="21"/>
        </w:rPr>
        <w:t>（4）订购时可以看到自1995年以来的内容，停订后可以永久访问订购期间的内容，且没有后续平台费。</w:t>
      </w:r>
    </w:p>
    <w:p w14:paraId="616AE294">
      <w:pPr>
        <w:numPr>
          <w:ilvl w:val="255"/>
          <w:numId w:val="0"/>
        </w:numPr>
        <w:spacing w:line="400" w:lineRule="exact"/>
        <w:ind w:firstLine="420" w:firstLineChars="200"/>
        <w:rPr>
          <w:rFonts w:ascii="宋体" w:hAnsi="宋体" w:cs="宋体"/>
          <w:szCs w:val="21"/>
        </w:rPr>
      </w:pPr>
      <w:r>
        <w:rPr>
          <w:rFonts w:hint="eastAsia" w:ascii="宋体" w:hAnsi="宋体" w:cs="宋体"/>
          <w:szCs w:val="21"/>
        </w:rPr>
        <w:t>4.其他服务</w:t>
      </w:r>
    </w:p>
    <w:p w14:paraId="19F96C24">
      <w:pPr>
        <w:numPr>
          <w:ilvl w:val="255"/>
          <w:numId w:val="0"/>
        </w:numPr>
        <w:spacing w:line="400" w:lineRule="exact"/>
        <w:ind w:firstLine="420" w:firstLineChars="200"/>
        <w:rPr>
          <w:rFonts w:ascii="宋体" w:hAnsi="宋体" w:cs="宋体"/>
          <w:szCs w:val="21"/>
        </w:rPr>
      </w:pPr>
      <w:r>
        <w:rPr>
          <w:rFonts w:hint="eastAsia" w:ascii="宋体" w:hAnsi="宋体" w:cs="宋体"/>
          <w:szCs w:val="21"/>
        </w:rPr>
        <w:t>4.1服务期内，为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490CC692">
      <w:pPr>
        <w:numPr>
          <w:ilvl w:val="255"/>
          <w:numId w:val="0"/>
        </w:numPr>
        <w:spacing w:line="400" w:lineRule="exact"/>
        <w:ind w:firstLine="420" w:firstLineChars="200"/>
        <w:rPr>
          <w:rFonts w:ascii="宋体" w:hAnsi="宋体" w:cs="宋体"/>
          <w:szCs w:val="21"/>
        </w:rPr>
      </w:pPr>
      <w:r>
        <w:rPr>
          <w:rFonts w:hint="eastAsia" w:ascii="宋体" w:hAnsi="宋体" w:cs="宋体"/>
          <w:szCs w:val="21"/>
        </w:rPr>
        <w:t>4.2定期提供数据库使用统计。</w:t>
      </w:r>
    </w:p>
    <w:p w14:paraId="6693C41E">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5.提供网络、电话及E-mail支持服务，响应时间不超过24小时。</w:t>
      </w:r>
    </w:p>
    <w:p w14:paraId="0F1CD605">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596BA021">
      <w:pPr>
        <w:spacing w:line="400" w:lineRule="exact"/>
        <w:ind w:firstLine="422" w:firstLineChars="200"/>
        <w:rPr>
          <w:rFonts w:ascii="宋体" w:hAnsi="宋体" w:cs="宋体"/>
          <w:b/>
          <w:szCs w:val="21"/>
        </w:rPr>
      </w:pPr>
      <w:r>
        <w:rPr>
          <w:rFonts w:hint="eastAsia" w:ascii="宋体" w:hAnsi="宋体" w:cs="宋体"/>
          <w:b/>
          <w:szCs w:val="21"/>
        </w:rPr>
        <w:t>标项四十三（中华医学期刊全文数据库）：</w:t>
      </w:r>
    </w:p>
    <w:p w14:paraId="357069FD">
      <w:pPr>
        <w:numPr>
          <w:ilvl w:val="255"/>
          <w:numId w:val="0"/>
        </w:numPr>
        <w:spacing w:line="400" w:lineRule="exact"/>
        <w:ind w:firstLine="420" w:firstLineChars="200"/>
        <w:rPr>
          <w:rFonts w:hint="eastAsia" w:ascii="宋体" w:hAnsi="宋体" w:eastAsia="宋体" w:cs="宋体"/>
          <w:szCs w:val="21"/>
        </w:rPr>
      </w:pPr>
      <w:bookmarkStart w:id="161" w:name="_Toc376879235"/>
      <w:r>
        <w:rPr>
          <w:rFonts w:hint="eastAsia" w:ascii="宋体" w:hAnsi="宋体" w:eastAsia="宋体" w:cs="宋体"/>
          <w:szCs w:val="21"/>
        </w:rPr>
        <w:t>1.</w:t>
      </w:r>
      <w:bookmarkEnd w:id="161"/>
      <w:r>
        <w:rPr>
          <w:rFonts w:hint="eastAsia" w:ascii="宋体" w:hAnsi="宋体" w:eastAsia="宋体" w:cs="宋体"/>
          <w:szCs w:val="21"/>
        </w:rPr>
        <w:t>基本要求</w:t>
      </w:r>
    </w:p>
    <w:p w14:paraId="00E6EB2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数据库收录中华医学会出版的中文医学核心期刊211种。包含中国科技期刊卓越行动计划入选项目期刊：《中华医学杂志（英文版）》、《国际皮肤性病学杂志（英文）》、《贫困所致传染病（英文）》、《中华创伤杂志（英文版）》、《中华儿科杂志》、《中华耳鼻咽喉头颈外科杂</w:t>
      </w:r>
      <w:r>
        <w:rPr>
          <w:rFonts w:hint="eastAsia" w:ascii="宋体" w:hAnsi="宋体" w:cs="宋体"/>
          <w:szCs w:val="21"/>
          <w:lang w:eastAsia="zh-CN"/>
        </w:rPr>
        <w:t>志</w:t>
      </w:r>
      <w:r>
        <w:rPr>
          <w:rFonts w:hint="eastAsia" w:ascii="宋体" w:hAnsi="宋体" w:eastAsia="宋体" w:cs="宋体"/>
          <w:szCs w:val="21"/>
        </w:rPr>
        <w:t>》、《中华放射学杂志》、《中华放射医学与防护杂志》、《中华肝脏病杂志》 、《中华护理杂志》、《中华结核和呼吸杂志》、《中华流行病学杂志》、《中华内科杂志》、《中华神经外科杂志（英文）》、《中华心血管病杂志》、《中华血液学杂志》、《中华预防医学杂志》17本。</w:t>
      </w:r>
    </w:p>
    <w:p w14:paraId="1A907A25">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2.数据库招标产品技术参数：</w:t>
      </w:r>
    </w:p>
    <w:p w14:paraId="35ADE931">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2.1收录中华医学会拥有的211种权威医学期刊，涉及预防医学、临床医学、中国医学、内科学、妇科、儿科、肿瘤学、皮肤病学、精神病学与神经病学、耳鼻喉、口腔、特种医学、外国民族医学和药学等各个细分领域，能提供方便快捷的在线全文信息服务，缩短信息传递距离、提高信息利用效率、减少信息获取成本。</w:t>
      </w:r>
    </w:p>
    <w:p w14:paraId="53B69336">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中华核心期刊统计：</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192"/>
        <w:gridCol w:w="5684"/>
      </w:tblGrid>
      <w:tr w14:paraId="1BDB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shd w:val="clear" w:color="auto" w:fill="FFFFFF" w:themeFill="background1"/>
            <w:vAlign w:val="center"/>
          </w:tcPr>
          <w:p w14:paraId="1E3A72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学科</w:t>
            </w:r>
          </w:p>
        </w:tc>
        <w:tc>
          <w:tcPr>
            <w:tcW w:w="3098" w:type="pct"/>
            <w:shd w:val="clear" w:color="auto" w:fill="FFFFFF" w:themeFill="background1"/>
            <w:vAlign w:val="center"/>
          </w:tcPr>
          <w:p w14:paraId="433D2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期刊</w:t>
            </w:r>
          </w:p>
        </w:tc>
      </w:tr>
      <w:tr w14:paraId="7E9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74A4A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医学综合</w:t>
            </w:r>
          </w:p>
        </w:tc>
        <w:tc>
          <w:tcPr>
            <w:tcW w:w="3098" w:type="pct"/>
            <w:shd w:val="clear" w:color="auto" w:fill="FFFFFF" w:themeFill="background1"/>
            <w:vAlign w:val="center"/>
          </w:tcPr>
          <w:p w14:paraId="6AB00A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中华医学杂志（英文版）</w:t>
            </w:r>
          </w:p>
        </w:tc>
      </w:tr>
      <w:tr w14:paraId="5016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5A847C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7A3C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中华全科医师杂志</w:t>
            </w:r>
          </w:p>
        </w:tc>
      </w:tr>
      <w:tr w14:paraId="119A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670EE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57C6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中华健康管理学杂志</w:t>
            </w:r>
          </w:p>
        </w:tc>
      </w:tr>
      <w:tr w14:paraId="53E9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23800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97FB9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英国医学杂志中文版</w:t>
            </w:r>
          </w:p>
        </w:tc>
      </w:tr>
      <w:tr w14:paraId="5CA6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5E42F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DFDCC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慢性疾病与转化医学（英文）</w:t>
            </w:r>
          </w:p>
        </w:tc>
      </w:tr>
      <w:tr w14:paraId="54AD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91C5D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036E2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中华老年医学杂志</w:t>
            </w:r>
          </w:p>
        </w:tc>
      </w:tr>
      <w:tr w14:paraId="298E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72937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33B00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国际医药卫生导报</w:t>
            </w:r>
          </w:p>
        </w:tc>
      </w:tr>
      <w:tr w14:paraId="6FEF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D56C9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58A2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中国医师进修杂志</w:t>
            </w:r>
          </w:p>
        </w:tc>
      </w:tr>
      <w:tr w14:paraId="21FC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76870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CAB48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中国基层医药</w:t>
            </w:r>
          </w:p>
        </w:tc>
      </w:tr>
      <w:tr w14:paraId="6396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2192B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AACD5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中国医师杂志</w:t>
            </w:r>
          </w:p>
        </w:tc>
      </w:tr>
      <w:tr w14:paraId="3A1F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28888F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A048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中国综合临床</w:t>
            </w:r>
          </w:p>
        </w:tc>
      </w:tr>
      <w:tr w14:paraId="5A09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DA0CF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D448E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中国实用医刊</w:t>
            </w:r>
          </w:p>
        </w:tc>
      </w:tr>
      <w:tr w14:paraId="7278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CBB61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BA48B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中国临床实用医学</w:t>
            </w:r>
          </w:p>
        </w:tc>
      </w:tr>
      <w:tr w14:paraId="6DF8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378F4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24FE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中华临床医师杂志（电子版）</w:t>
            </w:r>
          </w:p>
        </w:tc>
      </w:tr>
      <w:tr w14:paraId="5170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FF2FF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8409A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中国临床案例成果数据库</w:t>
            </w:r>
          </w:p>
        </w:tc>
      </w:tr>
      <w:tr w14:paraId="69BE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5DDCB3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6E928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临床指南汇编数据库</w:t>
            </w:r>
          </w:p>
        </w:tc>
      </w:tr>
      <w:tr w14:paraId="4A68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78A3F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DA7D3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中国医药</w:t>
            </w:r>
          </w:p>
        </w:tc>
      </w:tr>
      <w:tr w14:paraId="11CD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restart"/>
            <w:shd w:val="clear" w:color="auto" w:fill="FFFFFF" w:themeFill="background1"/>
            <w:vAlign w:val="center"/>
          </w:tcPr>
          <w:p w14:paraId="47C8E5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内</w:t>
            </w:r>
          </w:p>
          <w:p w14:paraId="01162B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科</w:t>
            </w:r>
          </w:p>
          <w:p w14:paraId="4A96D5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学</w:t>
            </w:r>
          </w:p>
        </w:tc>
        <w:tc>
          <w:tcPr>
            <w:tcW w:w="1195" w:type="pct"/>
            <w:shd w:val="clear" w:color="auto" w:fill="FFFFFF" w:themeFill="background1"/>
            <w:vAlign w:val="center"/>
          </w:tcPr>
          <w:p w14:paraId="1785C1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内科学综合</w:t>
            </w:r>
          </w:p>
        </w:tc>
        <w:tc>
          <w:tcPr>
            <w:tcW w:w="3098" w:type="pct"/>
            <w:shd w:val="clear" w:color="auto" w:fill="FFFFFF" w:themeFill="background1"/>
            <w:vAlign w:val="center"/>
          </w:tcPr>
          <w:p w14:paraId="01681A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中华内科杂志</w:t>
            </w:r>
          </w:p>
        </w:tc>
      </w:tr>
      <w:tr w14:paraId="6A23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8E2C7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1E9915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心血管病学</w:t>
            </w:r>
          </w:p>
        </w:tc>
        <w:tc>
          <w:tcPr>
            <w:tcW w:w="3098" w:type="pct"/>
            <w:shd w:val="clear" w:color="auto" w:fill="FFFFFF" w:themeFill="background1"/>
            <w:vAlign w:val="center"/>
          </w:tcPr>
          <w:p w14:paraId="71E7F1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中华心血管病杂志</w:t>
            </w:r>
          </w:p>
        </w:tc>
      </w:tr>
      <w:tr w14:paraId="22CE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38945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44AA3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E5FF8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中华心血管病杂志（网络版）</w:t>
            </w:r>
          </w:p>
        </w:tc>
      </w:tr>
      <w:tr w14:paraId="1FAA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1B839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39279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53CFC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中华心</w:t>
            </w:r>
            <w:r>
              <w:rPr>
                <w:rFonts w:hint="eastAsia" w:cs="Times New Roman" w:asciiTheme="minorEastAsia" w:hAnsiTheme="minorEastAsia" w:eastAsiaTheme="minorEastAsia"/>
                <w:szCs w:val="21"/>
                <w:lang w:eastAsia="zh-CN"/>
              </w:rPr>
              <w:t>律</w:t>
            </w:r>
            <w:r>
              <w:rPr>
                <w:rFonts w:hint="eastAsia" w:cs="Times New Roman" w:asciiTheme="minorEastAsia" w:hAnsiTheme="minorEastAsia" w:eastAsiaTheme="minorEastAsia"/>
                <w:szCs w:val="21"/>
              </w:rPr>
              <w:t>失常学杂志</w:t>
            </w:r>
          </w:p>
        </w:tc>
      </w:tr>
      <w:tr w14:paraId="047A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7ABC9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46C95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4C27E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中华心力衰竭和心肌病杂志（中英文）</w:t>
            </w:r>
          </w:p>
        </w:tc>
      </w:tr>
      <w:tr w14:paraId="6706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3894A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50A0E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DDDF4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中华心脏与心率电子杂志</w:t>
            </w:r>
          </w:p>
        </w:tc>
      </w:tr>
      <w:tr w14:paraId="4967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0D1C1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0981E3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6F67E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中国心血管杂志</w:t>
            </w:r>
          </w:p>
        </w:tc>
      </w:tr>
      <w:tr w14:paraId="2A9E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3066CB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354085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内分泌病学</w:t>
            </w:r>
          </w:p>
        </w:tc>
        <w:tc>
          <w:tcPr>
            <w:tcW w:w="3098" w:type="pct"/>
            <w:shd w:val="clear" w:color="auto" w:fill="FFFFFF" w:themeFill="background1"/>
            <w:vAlign w:val="center"/>
          </w:tcPr>
          <w:p w14:paraId="075A34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中华糖尿病杂志</w:t>
            </w:r>
          </w:p>
        </w:tc>
      </w:tr>
      <w:tr w14:paraId="0FE5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31278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698C7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E3C07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中华内分泌代谢杂志</w:t>
            </w:r>
          </w:p>
        </w:tc>
      </w:tr>
      <w:tr w14:paraId="11BE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0B8E2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FDB7B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2181A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国际内分泌代谢杂志</w:t>
            </w:r>
          </w:p>
        </w:tc>
      </w:tr>
      <w:tr w14:paraId="5441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204BB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AA18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102D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中华肥胖与代谢病电子杂志</w:t>
            </w:r>
          </w:p>
        </w:tc>
      </w:tr>
      <w:tr w14:paraId="5062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7F05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181DDB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神经精神病学</w:t>
            </w:r>
          </w:p>
        </w:tc>
        <w:tc>
          <w:tcPr>
            <w:tcW w:w="3098" w:type="pct"/>
            <w:shd w:val="clear" w:color="auto" w:fill="FFFFFF" w:themeFill="background1"/>
            <w:vAlign w:val="center"/>
          </w:tcPr>
          <w:p w14:paraId="4C8CCB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中华行为医学与脑科学杂志</w:t>
            </w:r>
          </w:p>
        </w:tc>
      </w:tr>
      <w:tr w14:paraId="79A4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11CD5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A2BBA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AAFE9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中华脑科疾病与康复杂志（电子版）</w:t>
            </w:r>
          </w:p>
        </w:tc>
      </w:tr>
      <w:tr w14:paraId="4EAC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2F23C5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169641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消化病学</w:t>
            </w:r>
          </w:p>
        </w:tc>
        <w:tc>
          <w:tcPr>
            <w:tcW w:w="3098" w:type="pct"/>
            <w:shd w:val="clear" w:color="auto" w:fill="FFFFFF" w:themeFill="background1"/>
            <w:vAlign w:val="center"/>
          </w:tcPr>
          <w:p w14:paraId="1D4DD9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中华胃食管反流病电</w:t>
            </w:r>
            <w:r>
              <w:rPr>
                <w:rFonts w:hint="eastAsia" w:cs="Times New Roman" w:asciiTheme="minorEastAsia" w:hAnsiTheme="minorEastAsia" w:eastAsiaTheme="minorEastAsia"/>
                <w:szCs w:val="21"/>
                <w:lang w:eastAsia="zh-CN"/>
              </w:rPr>
              <w:t>子</w:t>
            </w:r>
            <w:r>
              <w:rPr>
                <w:rFonts w:hint="eastAsia" w:cs="Times New Roman" w:asciiTheme="minorEastAsia" w:hAnsiTheme="minorEastAsia" w:eastAsiaTheme="minorEastAsia"/>
                <w:szCs w:val="21"/>
              </w:rPr>
              <w:t>杂志</w:t>
            </w:r>
          </w:p>
        </w:tc>
      </w:tr>
      <w:tr w14:paraId="2DE2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D3A8C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A26A9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849AF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中华肠胃内镜电子杂志</w:t>
            </w:r>
          </w:p>
        </w:tc>
      </w:tr>
      <w:tr w14:paraId="25E0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5032E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6097F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5771E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中华消化病与影像杂志（电子版）</w:t>
            </w:r>
          </w:p>
        </w:tc>
      </w:tr>
      <w:tr w14:paraId="277B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37702C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2FC632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呼吸病学</w:t>
            </w:r>
          </w:p>
        </w:tc>
        <w:tc>
          <w:tcPr>
            <w:tcW w:w="3098" w:type="pct"/>
            <w:shd w:val="clear" w:color="auto" w:fill="FFFFFF" w:themeFill="background1"/>
            <w:vAlign w:val="center"/>
          </w:tcPr>
          <w:p w14:paraId="619836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中华结核和呼吸杂志</w:t>
            </w:r>
          </w:p>
        </w:tc>
      </w:tr>
      <w:tr w14:paraId="589D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764C2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F96A4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138BC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国际呼吸杂志</w:t>
            </w:r>
          </w:p>
        </w:tc>
      </w:tr>
      <w:tr w14:paraId="153F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27BCA8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0B9CB9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67B5A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中华肺部疾病杂志（电子版）</w:t>
            </w:r>
          </w:p>
        </w:tc>
      </w:tr>
      <w:tr w14:paraId="0FD18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810EC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39C8DC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血液病学</w:t>
            </w:r>
          </w:p>
        </w:tc>
        <w:tc>
          <w:tcPr>
            <w:tcW w:w="3098" w:type="pct"/>
            <w:shd w:val="clear" w:color="auto" w:fill="FFFFFF" w:themeFill="background1"/>
            <w:vAlign w:val="center"/>
          </w:tcPr>
          <w:p w14:paraId="69AF94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中华血液学杂志</w:t>
            </w:r>
          </w:p>
        </w:tc>
      </w:tr>
      <w:tr w14:paraId="27F6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39DB9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04E548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B1BE3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国际输血及血液学杂志</w:t>
            </w:r>
          </w:p>
        </w:tc>
      </w:tr>
      <w:tr w14:paraId="7143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26B426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68414A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BC2F5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肿瘤研究与临床</w:t>
            </w:r>
          </w:p>
        </w:tc>
      </w:tr>
      <w:tr w14:paraId="6539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11990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0CDA43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C5C1F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白血病·淋巴癌</w:t>
            </w:r>
          </w:p>
        </w:tc>
      </w:tr>
      <w:tr w14:paraId="2DBF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A2276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0DE518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肾脏病学</w:t>
            </w:r>
          </w:p>
        </w:tc>
        <w:tc>
          <w:tcPr>
            <w:tcW w:w="3098" w:type="pct"/>
            <w:shd w:val="clear" w:color="auto" w:fill="FFFFFF" w:themeFill="background1"/>
            <w:vAlign w:val="center"/>
          </w:tcPr>
          <w:p w14:paraId="28F72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中华肾脏病杂志</w:t>
            </w:r>
          </w:p>
        </w:tc>
      </w:tr>
      <w:tr w14:paraId="42B1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2D5DDF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0546AD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3788C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国际移植与血液净化杂志</w:t>
            </w:r>
          </w:p>
        </w:tc>
      </w:tr>
      <w:tr w14:paraId="35A6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2982B0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15ACEB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5C29A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中华肾病研究电子杂志</w:t>
            </w:r>
          </w:p>
        </w:tc>
      </w:tr>
      <w:tr w14:paraId="1ACE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0696B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11FC3A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感染病学</w:t>
            </w:r>
          </w:p>
        </w:tc>
        <w:tc>
          <w:tcPr>
            <w:tcW w:w="3098" w:type="pct"/>
            <w:shd w:val="clear" w:color="auto" w:fill="FFFFFF" w:themeFill="background1"/>
            <w:vAlign w:val="center"/>
          </w:tcPr>
          <w:p w14:paraId="146251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中华临床感染病杂志</w:t>
            </w:r>
          </w:p>
        </w:tc>
      </w:tr>
      <w:tr w14:paraId="10FB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0115F6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29CB3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09A78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国际医学寄生虫病杂志（已停刊）</w:t>
            </w:r>
          </w:p>
        </w:tc>
      </w:tr>
      <w:tr w14:paraId="34D8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092F56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10AE5C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传染病学</w:t>
            </w:r>
          </w:p>
        </w:tc>
        <w:tc>
          <w:tcPr>
            <w:tcW w:w="3098" w:type="pct"/>
            <w:shd w:val="clear" w:color="auto" w:fill="FFFFFF" w:themeFill="background1"/>
            <w:vAlign w:val="center"/>
          </w:tcPr>
          <w:p w14:paraId="0C124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中华实验和临床病毒学杂志</w:t>
            </w:r>
          </w:p>
        </w:tc>
      </w:tr>
      <w:tr w14:paraId="0006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F4898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F13FB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CAC10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中华传染病杂志</w:t>
            </w:r>
          </w:p>
        </w:tc>
      </w:tr>
      <w:tr w14:paraId="7815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0C5C47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B2485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32972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贫困所致传染病（英文）</w:t>
            </w:r>
          </w:p>
        </w:tc>
      </w:tr>
      <w:tr w14:paraId="71C2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84678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280C1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07D4B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中华肝脏病杂志</w:t>
            </w:r>
          </w:p>
        </w:tc>
      </w:tr>
      <w:tr w14:paraId="278B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FE392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688301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4E385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国际病毒学杂志</w:t>
            </w:r>
          </w:p>
        </w:tc>
      </w:tr>
      <w:tr w14:paraId="6DF1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318726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8E2B2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BE2FC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国际流行病学传染病学杂志</w:t>
            </w:r>
          </w:p>
        </w:tc>
      </w:tr>
      <w:tr w14:paraId="1980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3967E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shd w:val="clear" w:color="auto" w:fill="FFFFFF" w:themeFill="background1"/>
            <w:vAlign w:val="center"/>
          </w:tcPr>
          <w:p w14:paraId="4F86D4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风湿病学</w:t>
            </w:r>
          </w:p>
        </w:tc>
        <w:tc>
          <w:tcPr>
            <w:tcW w:w="3098" w:type="pct"/>
            <w:shd w:val="clear" w:color="auto" w:fill="FFFFFF" w:themeFill="background1"/>
            <w:vAlign w:val="center"/>
          </w:tcPr>
          <w:p w14:paraId="028092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中华风湿病学杂志</w:t>
            </w:r>
          </w:p>
        </w:tc>
      </w:tr>
      <w:tr w14:paraId="1FFE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restart"/>
            <w:shd w:val="clear" w:color="auto" w:fill="FFFFFF" w:themeFill="background1"/>
            <w:vAlign w:val="center"/>
          </w:tcPr>
          <w:p w14:paraId="7C8002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外</w:t>
            </w:r>
          </w:p>
          <w:p w14:paraId="55DD7E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科</w:t>
            </w:r>
          </w:p>
          <w:p w14:paraId="2D4BEE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学</w:t>
            </w:r>
          </w:p>
        </w:tc>
        <w:tc>
          <w:tcPr>
            <w:tcW w:w="1195" w:type="pct"/>
            <w:vMerge w:val="restart"/>
            <w:shd w:val="clear" w:color="auto" w:fill="FFFFFF" w:themeFill="background1"/>
            <w:vAlign w:val="center"/>
          </w:tcPr>
          <w:p w14:paraId="4ED7E6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外科学综合</w:t>
            </w:r>
          </w:p>
        </w:tc>
        <w:tc>
          <w:tcPr>
            <w:tcW w:w="3098" w:type="pct"/>
            <w:shd w:val="clear" w:color="auto" w:fill="FFFFFF" w:themeFill="background1"/>
            <w:vAlign w:val="center"/>
          </w:tcPr>
          <w:p w14:paraId="4BABFC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中华外科杂志</w:t>
            </w:r>
          </w:p>
        </w:tc>
      </w:tr>
      <w:tr w14:paraId="5CD8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466B0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28126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F9FB4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中华实验外科杂志</w:t>
            </w:r>
          </w:p>
        </w:tc>
      </w:tr>
      <w:tr w14:paraId="10FB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7744B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3728F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D062D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中华解剖与临床杂志</w:t>
            </w:r>
          </w:p>
        </w:tc>
      </w:tr>
      <w:tr w14:paraId="63C8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CFCC8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8AF85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0A778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国际外科学杂志</w:t>
            </w:r>
          </w:p>
        </w:tc>
      </w:tr>
      <w:tr w14:paraId="1EE8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0F6586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3F85F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普通外科</w:t>
            </w:r>
          </w:p>
        </w:tc>
        <w:tc>
          <w:tcPr>
            <w:tcW w:w="3098" w:type="pct"/>
            <w:shd w:val="clear" w:color="auto" w:fill="FFFFFF" w:themeFill="background1"/>
            <w:vAlign w:val="center"/>
          </w:tcPr>
          <w:p w14:paraId="10E0E6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中华普通外科杂志</w:t>
            </w:r>
          </w:p>
        </w:tc>
      </w:tr>
      <w:tr w14:paraId="4E72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6A671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A5910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5CC6C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中华肝胆外科杂志</w:t>
            </w:r>
          </w:p>
        </w:tc>
      </w:tr>
      <w:tr w14:paraId="264F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26B5FC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EB1AA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0F948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中华临床营养杂志</w:t>
            </w:r>
          </w:p>
        </w:tc>
      </w:tr>
      <w:tr w14:paraId="1DA0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75EE4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1E77E1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80CC9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胰腺病学杂志（英文）</w:t>
            </w:r>
          </w:p>
        </w:tc>
      </w:tr>
      <w:tr w14:paraId="520F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48830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37AFBD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BFFDE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中华消化外科杂志</w:t>
            </w:r>
          </w:p>
        </w:tc>
      </w:tr>
      <w:tr w14:paraId="722B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93A28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572A08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29390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中华内分泌外科杂志</w:t>
            </w:r>
          </w:p>
        </w:tc>
      </w:tr>
      <w:tr w14:paraId="70DB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01E88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E79A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BC85E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中华肠胃外科杂志</w:t>
            </w:r>
          </w:p>
        </w:tc>
      </w:tr>
      <w:tr w14:paraId="592F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33340A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6E8702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C7C57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中华炎性肠病杂志（中英文）</w:t>
            </w:r>
          </w:p>
        </w:tc>
      </w:tr>
      <w:tr w14:paraId="3BDB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03A94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325669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815EA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中华普外科手术学杂志（电子版）</w:t>
            </w:r>
          </w:p>
        </w:tc>
      </w:tr>
      <w:tr w14:paraId="20EA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F5DEA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50FD1F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99C6C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中华腔镜外科杂志（电子版）</w:t>
            </w:r>
          </w:p>
        </w:tc>
      </w:tr>
      <w:tr w14:paraId="7772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6E887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01A36E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5E544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中华结直肠疾病电子杂志</w:t>
            </w:r>
          </w:p>
        </w:tc>
      </w:tr>
      <w:tr w14:paraId="1EFA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0BC0C7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DBEAA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692F6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中华肝脏外科手术学杂志</w:t>
            </w:r>
          </w:p>
        </w:tc>
      </w:tr>
      <w:tr w14:paraId="695A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01B998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81D3F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52722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中华普通外科学文献（电子版）</w:t>
            </w:r>
          </w:p>
        </w:tc>
      </w:tr>
      <w:tr w14:paraId="5958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EAA41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48D9B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790CE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中华疝和腹壁外科杂志（电子版）</w:t>
            </w:r>
          </w:p>
        </w:tc>
      </w:tr>
      <w:tr w14:paraId="05F6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00BED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09733A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骨科</w:t>
            </w:r>
          </w:p>
        </w:tc>
        <w:tc>
          <w:tcPr>
            <w:tcW w:w="3098" w:type="pct"/>
            <w:shd w:val="clear" w:color="auto" w:fill="FFFFFF" w:themeFill="background1"/>
            <w:vAlign w:val="center"/>
          </w:tcPr>
          <w:p w14:paraId="248B10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中华骨科杂志</w:t>
            </w:r>
          </w:p>
        </w:tc>
      </w:tr>
      <w:tr w14:paraId="2AFA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8702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3288E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A11E1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中华创伤杂志</w:t>
            </w:r>
          </w:p>
        </w:tc>
      </w:tr>
      <w:tr w14:paraId="1A2A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40669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650529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213BC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中华创伤骨科杂志</w:t>
            </w:r>
          </w:p>
        </w:tc>
      </w:tr>
      <w:tr w14:paraId="6EF1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494D3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0C91E7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47D88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中华肩肘外科电子杂志</w:t>
            </w:r>
          </w:p>
        </w:tc>
      </w:tr>
      <w:tr w14:paraId="2BE5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40C61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9F87E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D16B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中华老年骨科与康复电子杂志</w:t>
            </w:r>
          </w:p>
        </w:tc>
      </w:tr>
      <w:tr w14:paraId="3469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9F41A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4B275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D55EC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中华关节外科杂志（电子版）</w:t>
            </w:r>
          </w:p>
        </w:tc>
      </w:tr>
      <w:tr w14:paraId="40C9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43B45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4411E9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创伤外科</w:t>
            </w:r>
          </w:p>
        </w:tc>
        <w:tc>
          <w:tcPr>
            <w:tcW w:w="3098" w:type="pct"/>
            <w:shd w:val="clear" w:color="auto" w:fill="FFFFFF" w:themeFill="background1"/>
            <w:vAlign w:val="center"/>
          </w:tcPr>
          <w:p w14:paraId="7E37E1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中华创伤杂志</w:t>
            </w:r>
          </w:p>
        </w:tc>
      </w:tr>
      <w:tr w14:paraId="0274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60A8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CFC92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09440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中华创伤杂志（英文版）</w:t>
            </w:r>
          </w:p>
        </w:tc>
      </w:tr>
      <w:tr w14:paraId="11B9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419A8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7549D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41E19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中华创伤骨科杂志</w:t>
            </w:r>
          </w:p>
        </w:tc>
      </w:tr>
      <w:tr w14:paraId="1DB2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0C78CC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113741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FD948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中华损伤与修复杂志（电子版）</w:t>
            </w:r>
          </w:p>
        </w:tc>
      </w:tr>
      <w:tr w14:paraId="404D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3996D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2680D6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泌尿外科</w:t>
            </w:r>
          </w:p>
        </w:tc>
        <w:tc>
          <w:tcPr>
            <w:tcW w:w="3098" w:type="pct"/>
            <w:shd w:val="clear" w:color="auto" w:fill="FFFFFF" w:themeFill="background1"/>
            <w:vAlign w:val="center"/>
          </w:tcPr>
          <w:p w14:paraId="37A7ED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w:t>
            </w:r>
            <w:r>
              <w:rPr>
                <w:rFonts w:hint="eastAsia" w:cs="Times New Roman" w:asciiTheme="minorEastAsia" w:hAnsiTheme="minorEastAsia" w:eastAsiaTheme="minorEastAsia"/>
                <w:szCs w:val="21"/>
                <w:lang w:eastAsia="zh-CN"/>
              </w:rPr>
              <w:t>华</w:t>
            </w:r>
            <w:r>
              <w:rPr>
                <w:rFonts w:hint="eastAsia" w:cs="Times New Roman" w:asciiTheme="minorEastAsia" w:hAnsiTheme="minorEastAsia" w:eastAsiaTheme="minorEastAsia"/>
                <w:szCs w:val="21"/>
              </w:rPr>
              <w:t>泌尿外科杂志</w:t>
            </w:r>
          </w:p>
        </w:tc>
      </w:tr>
      <w:tr w14:paraId="0159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FDC28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6C12A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3940A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国际泌尿系统杂志</w:t>
            </w:r>
          </w:p>
        </w:tc>
      </w:tr>
      <w:tr w14:paraId="01A8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176AA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066D4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3F4CE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中华腔镜泌尿外科杂志（电子版）</w:t>
            </w:r>
          </w:p>
        </w:tc>
      </w:tr>
      <w:tr w14:paraId="5A99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8C06B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530556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神经外科</w:t>
            </w:r>
          </w:p>
        </w:tc>
        <w:tc>
          <w:tcPr>
            <w:tcW w:w="3098" w:type="pct"/>
            <w:shd w:val="clear" w:color="auto" w:fill="FFFFFF" w:themeFill="background1"/>
            <w:vAlign w:val="center"/>
          </w:tcPr>
          <w:p w14:paraId="0ECC9C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中华神经外科杂志</w:t>
            </w:r>
          </w:p>
        </w:tc>
      </w:tr>
      <w:tr w14:paraId="463F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E5861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F9056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F4286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中华神经外科杂志（英文）</w:t>
            </w:r>
          </w:p>
        </w:tc>
      </w:tr>
      <w:tr w14:paraId="723B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481C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524001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C7366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中华疼痛学杂志</w:t>
            </w:r>
          </w:p>
        </w:tc>
      </w:tr>
      <w:tr w14:paraId="01F3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693910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4D4887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27EB5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中华神经医学杂志</w:t>
            </w:r>
          </w:p>
        </w:tc>
      </w:tr>
      <w:tr w14:paraId="73DE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05C37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367091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7996C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中华神经创伤外科电子杂志</w:t>
            </w:r>
          </w:p>
        </w:tc>
      </w:tr>
      <w:tr w14:paraId="2D3E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390ACD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5D502A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烧伤整形外科</w:t>
            </w:r>
          </w:p>
        </w:tc>
        <w:tc>
          <w:tcPr>
            <w:tcW w:w="3098" w:type="pct"/>
            <w:shd w:val="clear" w:color="auto" w:fill="FFFFFF" w:themeFill="background1"/>
            <w:vAlign w:val="center"/>
          </w:tcPr>
          <w:p w14:paraId="6789D1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中华整形外科杂志</w:t>
            </w:r>
          </w:p>
        </w:tc>
      </w:tr>
      <w:tr w14:paraId="3FF0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CCB98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09B228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2C58E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中华医学美学美容杂志</w:t>
            </w:r>
          </w:p>
        </w:tc>
      </w:tr>
      <w:tr w14:paraId="4BEF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B0E2D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0A0151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F9F43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中华烧伤杂志</w:t>
            </w:r>
          </w:p>
        </w:tc>
      </w:tr>
      <w:tr w14:paraId="405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3FDCDD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1728D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4273C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中华损伤与修复杂志（电子版）</w:t>
            </w:r>
          </w:p>
        </w:tc>
      </w:tr>
      <w:tr w14:paraId="004C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2CDDCE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735E6B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显微外科</w:t>
            </w:r>
          </w:p>
        </w:tc>
        <w:tc>
          <w:tcPr>
            <w:tcW w:w="3098" w:type="pct"/>
            <w:shd w:val="clear" w:color="auto" w:fill="FFFFFF" w:themeFill="background1"/>
            <w:vAlign w:val="center"/>
          </w:tcPr>
          <w:p w14:paraId="084954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中华手外科杂志</w:t>
            </w:r>
          </w:p>
        </w:tc>
      </w:tr>
      <w:tr w14:paraId="075D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F51C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7FCD68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61C51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中华显微外科杂志</w:t>
            </w:r>
          </w:p>
        </w:tc>
      </w:tr>
      <w:tr w14:paraId="7CA0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19814D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159C2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胸心血管外科</w:t>
            </w:r>
          </w:p>
        </w:tc>
        <w:tc>
          <w:tcPr>
            <w:tcW w:w="3098" w:type="pct"/>
            <w:shd w:val="clear" w:color="auto" w:fill="FFFFFF" w:themeFill="background1"/>
            <w:vAlign w:val="center"/>
          </w:tcPr>
          <w:p w14:paraId="237C8F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中华胸心血管外科杂志</w:t>
            </w:r>
          </w:p>
        </w:tc>
      </w:tr>
      <w:tr w14:paraId="7654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3BE3D3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2E3254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BF237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中华血管外科杂志</w:t>
            </w:r>
          </w:p>
        </w:tc>
      </w:tr>
      <w:tr w14:paraId="5923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2FE58D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146EB2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5C31C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中华胸部外科电子杂志</w:t>
            </w:r>
          </w:p>
        </w:tc>
      </w:tr>
      <w:tr w14:paraId="5E7C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527919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restart"/>
            <w:shd w:val="clear" w:color="auto" w:fill="FFFFFF" w:themeFill="background1"/>
            <w:vAlign w:val="center"/>
          </w:tcPr>
          <w:p w14:paraId="5C3D1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移植</w:t>
            </w:r>
          </w:p>
        </w:tc>
        <w:tc>
          <w:tcPr>
            <w:tcW w:w="3098" w:type="pct"/>
            <w:shd w:val="clear" w:color="auto" w:fill="FFFFFF" w:themeFill="background1"/>
            <w:vAlign w:val="center"/>
          </w:tcPr>
          <w:p w14:paraId="2E4314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中华器官移植杂志</w:t>
            </w:r>
          </w:p>
        </w:tc>
      </w:tr>
      <w:tr w14:paraId="67C3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71C441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1106F2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29CE3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国际移植与血液净化杂志</w:t>
            </w:r>
          </w:p>
        </w:tc>
      </w:tr>
      <w:tr w14:paraId="3E5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Merge w:val="continue"/>
            <w:shd w:val="clear" w:color="auto" w:fill="FFFFFF" w:themeFill="background1"/>
            <w:vAlign w:val="center"/>
          </w:tcPr>
          <w:p w14:paraId="4DBCBF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1195" w:type="pct"/>
            <w:vMerge w:val="continue"/>
            <w:shd w:val="clear" w:color="auto" w:fill="FFFFFF" w:themeFill="background1"/>
            <w:vAlign w:val="center"/>
          </w:tcPr>
          <w:p w14:paraId="5CFEC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5B365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中华移植杂志（电子版）</w:t>
            </w:r>
          </w:p>
        </w:tc>
      </w:tr>
      <w:tr w14:paraId="1F3E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1B4EEC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妇产科学</w:t>
            </w:r>
          </w:p>
        </w:tc>
        <w:tc>
          <w:tcPr>
            <w:tcW w:w="3098" w:type="pct"/>
            <w:shd w:val="clear" w:color="auto" w:fill="FFFFFF" w:themeFill="background1"/>
            <w:vAlign w:val="center"/>
          </w:tcPr>
          <w:p w14:paraId="3DC08F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中华妇产科杂志</w:t>
            </w:r>
          </w:p>
        </w:tc>
      </w:tr>
      <w:tr w14:paraId="00AC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A51B3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B60EE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母胎医学杂志（英文）</w:t>
            </w:r>
          </w:p>
        </w:tc>
      </w:tr>
      <w:tr w14:paraId="3E3D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1DF0B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4CAAC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中华围产医学杂志</w:t>
            </w:r>
          </w:p>
        </w:tc>
      </w:tr>
      <w:tr w14:paraId="23C5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57B39B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052CE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中华生殖与避孕杂志</w:t>
            </w:r>
          </w:p>
        </w:tc>
      </w:tr>
      <w:tr w14:paraId="2F9E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598138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D6ED2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生殖与发育医学（英文）</w:t>
            </w:r>
          </w:p>
        </w:tc>
      </w:tr>
      <w:tr w14:paraId="7193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AA4E6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33349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中华妇幼临床医学杂志（电子版）</w:t>
            </w:r>
          </w:p>
        </w:tc>
      </w:tr>
      <w:tr w14:paraId="2FAD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68F999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儿科学</w:t>
            </w:r>
          </w:p>
        </w:tc>
        <w:tc>
          <w:tcPr>
            <w:tcW w:w="3098" w:type="pct"/>
            <w:shd w:val="clear" w:color="auto" w:fill="FFFFFF" w:themeFill="background1"/>
            <w:vAlign w:val="center"/>
          </w:tcPr>
          <w:p w14:paraId="4A7CC5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中华儿科杂志</w:t>
            </w:r>
          </w:p>
        </w:tc>
      </w:tr>
      <w:tr w14:paraId="12E8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2041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1D066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中华新生儿科杂志（中英文）</w:t>
            </w:r>
          </w:p>
        </w:tc>
      </w:tr>
      <w:tr w14:paraId="7A3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CC597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3504A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中华小儿外科杂志</w:t>
            </w:r>
          </w:p>
        </w:tc>
      </w:tr>
      <w:tr w14:paraId="54B8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64296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39420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中华实用儿科临床杂志</w:t>
            </w:r>
          </w:p>
        </w:tc>
      </w:tr>
      <w:tr w14:paraId="010E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D905E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6840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国际儿科学杂志</w:t>
            </w:r>
          </w:p>
        </w:tc>
      </w:tr>
      <w:tr w14:paraId="6E0C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8FBD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FC405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中国小儿急救医学</w:t>
            </w:r>
          </w:p>
        </w:tc>
      </w:tr>
      <w:tr w14:paraId="0B05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2B3AF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25DFE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儿科学研究</w:t>
            </w:r>
          </w:p>
        </w:tc>
      </w:tr>
      <w:tr w14:paraId="4C81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D404A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67E0B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中华妇幼临床医学杂志（电子版）</w:t>
            </w:r>
          </w:p>
        </w:tc>
      </w:tr>
      <w:tr w14:paraId="36FB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1C94C1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肿瘤</w:t>
            </w:r>
          </w:p>
        </w:tc>
        <w:tc>
          <w:tcPr>
            <w:tcW w:w="3098" w:type="pct"/>
            <w:shd w:val="clear" w:color="auto" w:fill="FFFFFF" w:themeFill="background1"/>
            <w:vAlign w:val="center"/>
          </w:tcPr>
          <w:p w14:paraId="11BDBC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中华肿瘤杂志</w:t>
            </w:r>
          </w:p>
        </w:tc>
      </w:tr>
      <w:tr w14:paraId="6BF7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58FC16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9E61D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中华放射肿瘤学杂志</w:t>
            </w:r>
          </w:p>
        </w:tc>
      </w:tr>
      <w:tr w14:paraId="0AC9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A4657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7866B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中华胰腺病杂志</w:t>
            </w:r>
          </w:p>
        </w:tc>
      </w:tr>
      <w:tr w14:paraId="10E2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A7507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6B4CB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中华转移性肿瘤杂志</w:t>
            </w:r>
          </w:p>
        </w:tc>
      </w:tr>
      <w:tr w14:paraId="0B22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FE420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DCF0C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国际肿瘤学杂志</w:t>
            </w:r>
          </w:p>
        </w:tc>
      </w:tr>
      <w:tr w14:paraId="44DE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56BACC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7467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肿瘤研究与临床</w:t>
            </w:r>
          </w:p>
        </w:tc>
      </w:tr>
      <w:tr w14:paraId="1F88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32ACA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BB0FA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白血病·淋巴癌</w:t>
            </w:r>
          </w:p>
        </w:tc>
      </w:tr>
      <w:tr w14:paraId="59B1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037AC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眼科学</w:t>
            </w:r>
          </w:p>
        </w:tc>
        <w:tc>
          <w:tcPr>
            <w:tcW w:w="3098" w:type="pct"/>
            <w:shd w:val="clear" w:color="auto" w:fill="FFFFFF" w:themeFill="background1"/>
            <w:vAlign w:val="center"/>
          </w:tcPr>
          <w:p w14:paraId="173B51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中华眼科杂志</w:t>
            </w:r>
          </w:p>
        </w:tc>
      </w:tr>
      <w:tr w14:paraId="2A8C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616CB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385AE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中华眼底病杂志</w:t>
            </w:r>
          </w:p>
        </w:tc>
      </w:tr>
      <w:tr w14:paraId="0686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EB777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F6A9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中华眼视光学与视觉学杂志</w:t>
            </w:r>
          </w:p>
        </w:tc>
      </w:tr>
      <w:tr w14:paraId="449B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806A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152E8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中华实验眼科杂志</w:t>
            </w:r>
          </w:p>
        </w:tc>
      </w:tr>
      <w:tr w14:paraId="4C07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63BCC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F3053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中华眼外伤职业眼病杂志</w:t>
            </w:r>
          </w:p>
        </w:tc>
      </w:tr>
      <w:tr w14:paraId="7880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5AA121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295D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国际眼科纵观</w:t>
            </w:r>
          </w:p>
        </w:tc>
      </w:tr>
      <w:tr w14:paraId="582D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C29C2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91B52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中国实用眼科杂志</w:t>
            </w:r>
          </w:p>
        </w:tc>
      </w:tr>
      <w:tr w14:paraId="3A6F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4BB2E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BE27A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中华眼科医学杂志（电子版）</w:t>
            </w:r>
          </w:p>
        </w:tc>
      </w:tr>
      <w:tr w14:paraId="764C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1C4E91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耳鼻喉科学</w:t>
            </w:r>
          </w:p>
        </w:tc>
        <w:tc>
          <w:tcPr>
            <w:tcW w:w="3098" w:type="pct"/>
            <w:shd w:val="clear" w:color="auto" w:fill="FFFFFF" w:themeFill="background1"/>
            <w:vAlign w:val="center"/>
          </w:tcPr>
          <w:p w14:paraId="0D28EE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中华耳鼻咽喉头颈外科杂志</w:t>
            </w:r>
          </w:p>
        </w:tc>
      </w:tr>
      <w:tr w14:paraId="7D9E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1260A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B6CF2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世界耳鼻咽喉头颈外科杂志英文版</w:t>
            </w:r>
          </w:p>
        </w:tc>
      </w:tr>
      <w:tr w14:paraId="7C41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8A256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6D81F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国际耳鼻咽喉头</w:t>
            </w:r>
            <w:r>
              <w:rPr>
                <w:rFonts w:hint="eastAsia"/>
                <w:lang w:val="en-US" w:eastAsia="zh-CN"/>
              </w:rPr>
              <w:t>颈</w:t>
            </w:r>
            <w:r>
              <w:rPr>
                <w:rFonts w:hint="eastAsia" w:cs="Times New Roman" w:asciiTheme="minorEastAsia" w:hAnsiTheme="minorEastAsia" w:eastAsiaTheme="minorEastAsia"/>
                <w:szCs w:val="21"/>
              </w:rPr>
              <w:t>外科杂志</w:t>
            </w:r>
          </w:p>
        </w:tc>
      </w:tr>
      <w:tr w14:paraId="65D1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769EA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口腔科学</w:t>
            </w:r>
          </w:p>
        </w:tc>
        <w:tc>
          <w:tcPr>
            <w:tcW w:w="3098" w:type="pct"/>
            <w:shd w:val="clear" w:color="auto" w:fill="FFFFFF" w:themeFill="background1"/>
            <w:vAlign w:val="center"/>
          </w:tcPr>
          <w:p w14:paraId="3ED3FE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中华口腔医学杂志</w:t>
            </w:r>
          </w:p>
        </w:tc>
      </w:tr>
      <w:tr w14:paraId="5F69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2EC392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FCEE6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中华医学美学美容杂志</w:t>
            </w:r>
          </w:p>
        </w:tc>
      </w:tr>
      <w:tr w14:paraId="5581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2DC80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0353D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中华口腔正畸学杂志</w:t>
            </w:r>
          </w:p>
        </w:tc>
      </w:tr>
      <w:tr w14:paraId="480B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E910F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E059A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中华口腔医学研究杂志（电子版）</w:t>
            </w:r>
          </w:p>
        </w:tc>
      </w:tr>
      <w:tr w14:paraId="3858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0268E4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麻醉学</w:t>
            </w:r>
          </w:p>
        </w:tc>
        <w:tc>
          <w:tcPr>
            <w:tcW w:w="3098" w:type="pct"/>
            <w:shd w:val="clear" w:color="auto" w:fill="FFFFFF" w:themeFill="background1"/>
            <w:vAlign w:val="center"/>
          </w:tcPr>
          <w:p w14:paraId="0D0949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中华麻醉学杂志</w:t>
            </w:r>
          </w:p>
        </w:tc>
      </w:tr>
      <w:tr w14:paraId="146B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1C7AF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49F75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中华疼痛学杂志</w:t>
            </w:r>
          </w:p>
        </w:tc>
      </w:tr>
      <w:tr w14:paraId="214A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D07BA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C7F0E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国际麻醉学与复苏杂志</w:t>
            </w:r>
          </w:p>
        </w:tc>
      </w:tr>
      <w:tr w14:paraId="1885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78AE47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皮</w:t>
            </w:r>
            <w:r>
              <w:rPr>
                <w:rFonts w:hint="eastAsia" w:cs="Times New Roman" w:asciiTheme="minorEastAsia" w:hAnsiTheme="minorEastAsia" w:eastAsiaTheme="minorEastAsia"/>
                <w:szCs w:val="21"/>
                <w:lang w:eastAsia="zh-CN"/>
              </w:rPr>
              <w:t>肤</w:t>
            </w:r>
            <w:r>
              <w:rPr>
                <w:rFonts w:hint="eastAsia" w:cs="Times New Roman" w:asciiTheme="minorEastAsia" w:hAnsiTheme="minorEastAsia" w:eastAsiaTheme="minorEastAsia"/>
                <w:szCs w:val="21"/>
              </w:rPr>
              <w:t>科学</w:t>
            </w:r>
          </w:p>
        </w:tc>
        <w:tc>
          <w:tcPr>
            <w:tcW w:w="3098" w:type="pct"/>
            <w:shd w:val="clear" w:color="auto" w:fill="FFFFFF" w:themeFill="background1"/>
            <w:vAlign w:val="center"/>
          </w:tcPr>
          <w:p w14:paraId="50EC69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中华医学美学美容杂志</w:t>
            </w:r>
          </w:p>
        </w:tc>
      </w:tr>
      <w:tr w14:paraId="3F31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2DABC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C839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中华皮肤科杂志</w:t>
            </w:r>
          </w:p>
        </w:tc>
      </w:tr>
      <w:tr w14:paraId="0190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ACD5F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3E274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国际皮肤性病学杂志（英文）</w:t>
            </w:r>
          </w:p>
        </w:tc>
      </w:tr>
      <w:tr w14:paraId="5386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271326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4B51F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国际皮肤性病学杂志（已停刊）</w:t>
            </w:r>
          </w:p>
        </w:tc>
      </w:tr>
      <w:tr w14:paraId="3378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554B34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康复</w:t>
            </w:r>
          </w:p>
        </w:tc>
        <w:tc>
          <w:tcPr>
            <w:tcW w:w="3098" w:type="pct"/>
            <w:shd w:val="clear" w:color="auto" w:fill="FFFFFF" w:themeFill="background1"/>
            <w:vAlign w:val="center"/>
          </w:tcPr>
          <w:p w14:paraId="4127EB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中华疼痛学杂志</w:t>
            </w:r>
          </w:p>
        </w:tc>
      </w:tr>
      <w:tr w14:paraId="4184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F93C4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2F664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中华物理医学与康复杂志</w:t>
            </w:r>
          </w:p>
        </w:tc>
      </w:tr>
      <w:tr w14:paraId="5CF0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55FE6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B10C2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中华老年骨科与康复电子杂志</w:t>
            </w:r>
          </w:p>
        </w:tc>
      </w:tr>
      <w:tr w14:paraId="3C29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57EB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8CDD9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中华脑科疾病与康复杂志（电子版）</w:t>
            </w:r>
          </w:p>
        </w:tc>
      </w:tr>
      <w:tr w14:paraId="2A5D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04A5AE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危重症/急诊</w:t>
            </w:r>
          </w:p>
        </w:tc>
        <w:tc>
          <w:tcPr>
            <w:tcW w:w="3098" w:type="pct"/>
            <w:shd w:val="clear" w:color="auto" w:fill="FFFFFF" w:themeFill="background1"/>
            <w:vAlign w:val="center"/>
          </w:tcPr>
          <w:p w14:paraId="633604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中华急诊医学杂志</w:t>
            </w:r>
          </w:p>
        </w:tc>
      </w:tr>
      <w:tr w14:paraId="2592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2EE64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E8955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中国小儿急救医学</w:t>
            </w:r>
          </w:p>
        </w:tc>
      </w:tr>
      <w:tr w14:paraId="7F3A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48948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1BA32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中华危重病急救医学</w:t>
            </w:r>
          </w:p>
        </w:tc>
      </w:tr>
      <w:tr w14:paraId="662A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F1BA1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20EA0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中华重症医学电子杂志</w:t>
            </w:r>
          </w:p>
        </w:tc>
      </w:tr>
      <w:tr w14:paraId="4F47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FD147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AA4CC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中华卫生应急电子杂志</w:t>
            </w:r>
          </w:p>
        </w:tc>
      </w:tr>
      <w:tr w14:paraId="39D0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5AA6F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69128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中华危重症医学杂志（电子版）</w:t>
            </w:r>
          </w:p>
        </w:tc>
      </w:tr>
      <w:tr w14:paraId="71BF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2A251E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临床辅助科学</w:t>
            </w:r>
          </w:p>
        </w:tc>
        <w:tc>
          <w:tcPr>
            <w:tcW w:w="3098" w:type="pct"/>
            <w:shd w:val="clear" w:color="auto" w:fill="FFFFFF" w:themeFill="background1"/>
            <w:vAlign w:val="center"/>
          </w:tcPr>
          <w:p w14:paraId="6D1FA3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中华放射学杂志</w:t>
            </w:r>
          </w:p>
        </w:tc>
      </w:tr>
      <w:tr w14:paraId="005C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5DD801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2B04B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中华病理学杂志</w:t>
            </w:r>
          </w:p>
        </w:tc>
      </w:tr>
      <w:tr w14:paraId="751C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32EB4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1C246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中华检验医学杂志</w:t>
            </w:r>
          </w:p>
        </w:tc>
      </w:tr>
      <w:tr w14:paraId="3EE6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99FA8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D15F8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中华超声影像学咋整</w:t>
            </w:r>
          </w:p>
        </w:tc>
      </w:tr>
      <w:tr w14:paraId="3E35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DFDC5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B98C1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中华核医学与分子影像杂志</w:t>
            </w:r>
          </w:p>
        </w:tc>
      </w:tr>
      <w:tr w14:paraId="0B77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06F15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0997D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国际放射医学核医学杂志</w:t>
            </w:r>
          </w:p>
        </w:tc>
      </w:tr>
      <w:tr w14:paraId="1808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51FFB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6F960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中华医学超声杂志（电子版）</w:t>
            </w:r>
          </w:p>
        </w:tc>
      </w:tr>
      <w:tr w14:paraId="00C0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233F4B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E3C77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中华临床实验室管理电子杂志</w:t>
            </w:r>
          </w:p>
        </w:tc>
      </w:tr>
      <w:tr w14:paraId="6715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9959B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B6F47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中华消化病与影像杂志（电子版）</w:t>
            </w:r>
          </w:p>
        </w:tc>
      </w:tr>
      <w:tr w14:paraId="70D8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68FD3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6A91D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中华实验和临床感染病杂志（电子版）</w:t>
            </w:r>
          </w:p>
        </w:tc>
      </w:tr>
      <w:tr w14:paraId="4076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6DDCA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5B51F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中华诊断学电子杂志</w:t>
            </w:r>
          </w:p>
        </w:tc>
      </w:tr>
      <w:tr w14:paraId="16BA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28367D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D6E2C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中华介入放射学电子杂志</w:t>
            </w:r>
          </w:p>
        </w:tc>
      </w:tr>
      <w:tr w14:paraId="7A50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shd w:val="clear" w:color="auto" w:fill="FFFFFF" w:themeFill="background1"/>
            <w:vAlign w:val="center"/>
          </w:tcPr>
          <w:p w14:paraId="0B0B0C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地方病学</w:t>
            </w:r>
          </w:p>
        </w:tc>
        <w:tc>
          <w:tcPr>
            <w:tcW w:w="3098" w:type="pct"/>
            <w:shd w:val="clear" w:color="auto" w:fill="FFFFFF" w:themeFill="background1"/>
            <w:vAlign w:val="center"/>
          </w:tcPr>
          <w:p w14:paraId="41E49C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中华地方病学杂志</w:t>
            </w:r>
          </w:p>
        </w:tc>
      </w:tr>
      <w:tr w14:paraId="53B9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5384CF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特种医学</w:t>
            </w:r>
          </w:p>
        </w:tc>
        <w:tc>
          <w:tcPr>
            <w:tcW w:w="3098" w:type="pct"/>
            <w:shd w:val="clear" w:color="auto" w:fill="FFFFFF" w:themeFill="background1"/>
            <w:vAlign w:val="center"/>
          </w:tcPr>
          <w:p w14:paraId="292035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中华放射医学与防护杂志</w:t>
            </w:r>
          </w:p>
        </w:tc>
      </w:tr>
      <w:tr w14:paraId="5C26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FE7DA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CB58E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中华航空航天医学杂志</w:t>
            </w:r>
          </w:p>
        </w:tc>
      </w:tr>
      <w:tr w14:paraId="6D3B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58ED94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D77EF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中华航海医学与高气压医学杂志</w:t>
            </w:r>
          </w:p>
        </w:tc>
      </w:tr>
      <w:tr w14:paraId="106D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289B77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6F4DA2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中华卫生应急电子杂志</w:t>
            </w:r>
          </w:p>
        </w:tc>
      </w:tr>
      <w:tr w14:paraId="3151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415BE9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护理学</w:t>
            </w:r>
          </w:p>
        </w:tc>
        <w:tc>
          <w:tcPr>
            <w:tcW w:w="3098" w:type="pct"/>
            <w:shd w:val="clear" w:color="auto" w:fill="FFFFFF" w:themeFill="background1"/>
            <w:vAlign w:val="center"/>
          </w:tcPr>
          <w:p w14:paraId="7E2A2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中华现代护理杂志</w:t>
            </w:r>
          </w:p>
        </w:tc>
      </w:tr>
      <w:tr w14:paraId="55CC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BFE64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9712C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国际护理学杂志</w:t>
            </w:r>
          </w:p>
        </w:tc>
      </w:tr>
      <w:tr w14:paraId="309C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1699C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B9EA7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中国实用护理杂志</w:t>
            </w:r>
          </w:p>
        </w:tc>
      </w:tr>
      <w:tr w14:paraId="3627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052735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临床医学</w:t>
            </w:r>
          </w:p>
        </w:tc>
        <w:tc>
          <w:tcPr>
            <w:tcW w:w="3098" w:type="pct"/>
            <w:shd w:val="clear" w:color="auto" w:fill="FFFFFF" w:themeFill="background1"/>
            <w:vAlign w:val="center"/>
          </w:tcPr>
          <w:p w14:paraId="4C3206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药物不良反应杂志</w:t>
            </w:r>
          </w:p>
        </w:tc>
      </w:tr>
      <w:tr w14:paraId="5315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2C93E4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0B74D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国际中医中药杂志</w:t>
            </w:r>
          </w:p>
        </w:tc>
      </w:tr>
      <w:tr w14:paraId="233A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4C35F0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基础医学与转化医学</w:t>
            </w:r>
          </w:p>
        </w:tc>
        <w:tc>
          <w:tcPr>
            <w:tcW w:w="3098" w:type="pct"/>
            <w:shd w:val="clear" w:color="auto" w:fill="FFFFFF" w:themeFill="background1"/>
            <w:vAlign w:val="center"/>
          </w:tcPr>
          <w:p w14:paraId="4C4C39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慢性疾病与转化医学（英文）</w:t>
            </w:r>
          </w:p>
        </w:tc>
      </w:tr>
      <w:tr w14:paraId="1132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2B7ED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52616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中华微生物和免疫学杂志</w:t>
            </w:r>
          </w:p>
        </w:tc>
      </w:tr>
      <w:tr w14:paraId="6F45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6189A8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90C7D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中华实验和临床病毒杂志</w:t>
            </w:r>
          </w:p>
        </w:tc>
      </w:tr>
      <w:tr w14:paraId="2DB9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685D1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6CC11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生物组学研究杂志（英文）</w:t>
            </w:r>
          </w:p>
        </w:tc>
      </w:tr>
      <w:tr w14:paraId="64D9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299BE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F32A4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中华实验外科杂志</w:t>
            </w:r>
          </w:p>
        </w:tc>
      </w:tr>
      <w:tr w14:paraId="1DB1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34C4A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0E574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中华医学遗传学杂志</w:t>
            </w:r>
          </w:p>
        </w:tc>
      </w:tr>
      <w:tr w14:paraId="2E88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2EC65B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AB3CB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中华生物医学工程杂志</w:t>
            </w:r>
          </w:p>
        </w:tc>
      </w:tr>
      <w:tr w14:paraId="6F44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DDB9D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D3898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中华解剖与临床杂志</w:t>
            </w:r>
          </w:p>
        </w:tc>
      </w:tr>
      <w:tr w14:paraId="7696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D2DC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0C312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国际病毒学杂志</w:t>
            </w:r>
          </w:p>
        </w:tc>
      </w:tr>
      <w:tr w14:paraId="5F38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033BB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5BA4E0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国际免疫学杂志</w:t>
            </w:r>
          </w:p>
        </w:tc>
      </w:tr>
      <w:tr w14:paraId="5026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212153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69AEA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国际生物医学工程杂志</w:t>
            </w:r>
          </w:p>
        </w:tc>
      </w:tr>
      <w:tr w14:paraId="4C10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DAAA7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6EE39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国际遗传学杂志</w:t>
            </w:r>
          </w:p>
        </w:tc>
      </w:tr>
      <w:tr w14:paraId="3CA4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3D90F0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C574F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国际生物制品学杂志</w:t>
            </w:r>
          </w:p>
        </w:tc>
      </w:tr>
      <w:tr w14:paraId="5F48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A3BEE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83EE0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中华细胞与干细胞杂志（电子版）</w:t>
            </w:r>
          </w:p>
        </w:tc>
      </w:tr>
      <w:tr w14:paraId="2950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restart"/>
            <w:shd w:val="clear" w:color="auto" w:fill="FFFFFF" w:themeFill="background1"/>
            <w:vAlign w:val="center"/>
          </w:tcPr>
          <w:p w14:paraId="79DC74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公共卫生与卫生管理</w:t>
            </w:r>
          </w:p>
        </w:tc>
        <w:tc>
          <w:tcPr>
            <w:tcW w:w="3098" w:type="pct"/>
            <w:shd w:val="clear" w:color="auto" w:fill="FFFFFF" w:themeFill="background1"/>
            <w:vAlign w:val="center"/>
          </w:tcPr>
          <w:p w14:paraId="196DEE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中华预防医学杂志</w:t>
            </w:r>
          </w:p>
        </w:tc>
      </w:tr>
      <w:tr w14:paraId="0E0D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72553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3DEED2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中华流行病学杂志</w:t>
            </w:r>
          </w:p>
        </w:tc>
      </w:tr>
      <w:tr w14:paraId="124B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5544A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4DC4CF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中华医院管理杂志</w:t>
            </w:r>
          </w:p>
        </w:tc>
      </w:tr>
      <w:tr w14:paraId="208C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7221E4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93EFD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中华医学科研管理杂志</w:t>
            </w:r>
          </w:p>
        </w:tc>
      </w:tr>
      <w:tr w14:paraId="5538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C883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FECA9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中华医学教育杂志</w:t>
            </w:r>
          </w:p>
        </w:tc>
      </w:tr>
      <w:tr w14:paraId="2394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0AC94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77CA36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中华劳动卫生职业病杂志</w:t>
            </w:r>
          </w:p>
        </w:tc>
      </w:tr>
      <w:tr w14:paraId="6353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0E3E8F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11040C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中华医学教育探索杂志</w:t>
            </w:r>
          </w:p>
        </w:tc>
      </w:tr>
      <w:tr w14:paraId="479C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1BD065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24D62D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生物安全与健康（英文）</w:t>
            </w:r>
          </w:p>
        </w:tc>
      </w:tr>
      <w:tr w14:paraId="7D16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vMerge w:val="continue"/>
            <w:shd w:val="clear" w:color="auto" w:fill="FFFFFF" w:themeFill="background1"/>
            <w:vAlign w:val="center"/>
          </w:tcPr>
          <w:p w14:paraId="4AA733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p>
        </w:tc>
        <w:tc>
          <w:tcPr>
            <w:tcW w:w="3098" w:type="pct"/>
            <w:shd w:val="clear" w:color="auto" w:fill="FFFFFF" w:themeFill="background1"/>
            <w:vAlign w:val="center"/>
          </w:tcPr>
          <w:p w14:paraId="0B5CAA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国际流行病学传染病学杂志</w:t>
            </w:r>
          </w:p>
        </w:tc>
      </w:tr>
      <w:tr w14:paraId="5B7B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pct"/>
            <w:gridSpan w:val="2"/>
            <w:shd w:val="clear" w:color="auto" w:fill="FFFFFF" w:themeFill="background1"/>
            <w:vAlign w:val="center"/>
          </w:tcPr>
          <w:p w14:paraId="6E4B66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医史</w:t>
            </w:r>
          </w:p>
        </w:tc>
        <w:tc>
          <w:tcPr>
            <w:tcW w:w="3098" w:type="pct"/>
            <w:shd w:val="clear" w:color="auto" w:fill="FFFFFF" w:themeFill="background1"/>
            <w:vAlign w:val="center"/>
          </w:tcPr>
          <w:p w14:paraId="5DA9F0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中华医史杂志</w:t>
            </w:r>
          </w:p>
        </w:tc>
      </w:tr>
    </w:tbl>
    <w:p w14:paraId="310383EF">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2.2多种检索，满足不同需求：一框式检索类似搜索引擎，符合基本信息素质用户的使用习惯，满足其便利性；</w:t>
      </w:r>
      <w:r>
        <w:rPr>
          <w:rFonts w:hint="eastAsia" w:ascii="宋体" w:hAnsi="宋体" w:cs="宋体"/>
          <w:szCs w:val="21"/>
          <w:lang w:val="en-US" w:eastAsia="zh-CN"/>
        </w:rPr>
        <w:t>提供</w:t>
      </w:r>
      <w:r>
        <w:rPr>
          <w:rFonts w:hint="eastAsia" w:ascii="宋体" w:hAnsi="宋体" w:eastAsia="宋体" w:cs="宋体"/>
          <w:szCs w:val="21"/>
        </w:rPr>
        <w:t xml:space="preserve">文献主题词/副主题词组配标引及检索功能，提高文献查全率及查准率，满足专业用户需求；提供定篇检索功能，快速查询确定某篇文献。 </w:t>
      </w:r>
    </w:p>
    <w:p w14:paraId="6EE936DF">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3</w:t>
      </w:r>
      <w:r>
        <w:rPr>
          <w:rFonts w:hint="eastAsia" w:ascii="宋体" w:hAnsi="宋体" w:eastAsia="宋体" w:cs="宋体"/>
          <w:szCs w:val="21"/>
        </w:rPr>
        <w:t>期刊、文献导航：分类导航的设置</w:t>
      </w:r>
      <w:r>
        <w:rPr>
          <w:rFonts w:hint="eastAsia" w:hAnsi="宋体" w:cs="宋体"/>
          <w:szCs w:val="21"/>
          <w:lang w:val="en-US" w:eastAsia="zh-CN"/>
        </w:rPr>
        <w:t>须</w:t>
      </w:r>
      <w:r>
        <w:rPr>
          <w:rFonts w:hint="eastAsia" w:ascii="宋体" w:hAnsi="宋体" w:eastAsia="宋体" w:cs="宋体"/>
          <w:szCs w:val="21"/>
        </w:rPr>
        <w:t>满足不同类型用户的特定需求。利用不同分类体系从不同角度揭示信息之间的关系，从不同角度为用户提供期刊系统的“知识地图”，用户沿着这张“知识地图”可以俯瞰，也可以逐级浏览，直至定位到所需的信息资源。</w:t>
      </w:r>
    </w:p>
    <w:p w14:paraId="03EAFB0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4提供</w:t>
      </w:r>
      <w:r>
        <w:rPr>
          <w:rFonts w:hint="eastAsia" w:ascii="宋体" w:hAnsi="宋体" w:eastAsia="宋体" w:cs="宋体"/>
          <w:szCs w:val="21"/>
        </w:rPr>
        <w:t>个性</w:t>
      </w:r>
      <w:r>
        <w:rPr>
          <w:rFonts w:hint="eastAsia" w:ascii="宋体" w:hAnsi="宋体" w:cs="宋体"/>
          <w:szCs w:val="21"/>
          <w:lang w:val="en-US" w:eastAsia="zh-CN"/>
        </w:rPr>
        <w:t>化</w:t>
      </w:r>
      <w:r>
        <w:rPr>
          <w:rFonts w:hint="eastAsia" w:ascii="宋体" w:hAnsi="宋体" w:eastAsia="宋体" w:cs="宋体"/>
          <w:szCs w:val="21"/>
        </w:rPr>
        <w:t>服务：我的定题检索、期刊RSS订阅功能，让用户很好地感受到关怀，方便地满足用户信息获取的需要。</w:t>
      </w:r>
    </w:p>
    <w:p w14:paraId="68AE0D3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5</w:t>
      </w:r>
      <w:r>
        <w:rPr>
          <w:rFonts w:hint="eastAsia" w:ascii="宋体" w:hAnsi="宋体" w:eastAsia="宋体" w:cs="宋体"/>
          <w:szCs w:val="21"/>
        </w:rPr>
        <w:t>汇集期刊相关信息，为用户投稿提供帮助：系统收集了各期刊编辑部的投稿相关信息，方便易得，为用户撰写及发表论文提供切实帮助。</w:t>
      </w:r>
    </w:p>
    <w:p w14:paraId="0F81D3F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6</w:t>
      </w:r>
      <w:r>
        <w:rPr>
          <w:rFonts w:hint="eastAsia" w:ascii="宋体" w:hAnsi="宋体" w:eastAsia="宋体" w:cs="宋体"/>
          <w:szCs w:val="21"/>
        </w:rPr>
        <w:t>界面友好</w:t>
      </w:r>
      <w:r>
        <w:rPr>
          <w:rFonts w:hint="eastAsia" w:ascii="宋体" w:hAnsi="宋体" w:cs="宋体"/>
          <w:szCs w:val="21"/>
          <w:lang w:eastAsia="zh-CN"/>
        </w:rPr>
        <w:t>：</w:t>
      </w:r>
      <w:r>
        <w:rPr>
          <w:rFonts w:hint="eastAsia" w:ascii="宋体" w:hAnsi="宋体" w:eastAsia="宋体" w:cs="宋体"/>
          <w:szCs w:val="21"/>
        </w:rPr>
        <w:t>实现人机交互的友好界面，清晰明朗的检索方式使得广大用户很方便</w:t>
      </w:r>
      <w:r>
        <w:rPr>
          <w:rFonts w:hint="eastAsia" w:ascii="宋体" w:hAnsi="宋体" w:cs="宋体"/>
          <w:szCs w:val="21"/>
          <w:lang w:eastAsia="zh-CN"/>
        </w:rPr>
        <w:t>地</w:t>
      </w:r>
      <w:r>
        <w:rPr>
          <w:rFonts w:hint="eastAsia" w:ascii="宋体" w:hAnsi="宋体" w:eastAsia="宋体" w:cs="宋体"/>
          <w:szCs w:val="21"/>
        </w:rPr>
        <w:t>查询所需资源；人性化的操作界面使得用户在检索过程中充分吸收知识，享受轻松愉悦的信息获取过程。</w:t>
      </w:r>
    </w:p>
    <w:p w14:paraId="4397B121">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3.其</w:t>
      </w:r>
      <w:r>
        <w:rPr>
          <w:rFonts w:hint="eastAsia" w:ascii="宋体" w:hAnsi="宋体" w:cs="宋体"/>
          <w:szCs w:val="21"/>
          <w:lang w:eastAsia="zh-CN"/>
        </w:rPr>
        <w:t>他</w:t>
      </w:r>
      <w:r>
        <w:rPr>
          <w:rFonts w:hint="eastAsia" w:ascii="宋体" w:hAnsi="宋体" w:eastAsia="宋体" w:cs="宋体"/>
          <w:szCs w:val="21"/>
        </w:rPr>
        <w:t>要求</w:t>
      </w:r>
    </w:p>
    <w:p w14:paraId="2D730E0A">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3.1服务期限：2026年1月1日至2026年12月31日。</w:t>
      </w:r>
    </w:p>
    <w:p w14:paraId="31EE615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3.2非制造商的成交供应商在合同签订时向采购人提供中华医学会厂家的授权证书。</w:t>
      </w:r>
    </w:p>
    <w:p w14:paraId="2117FF13">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3.3中文期刊数据每月更新；</w:t>
      </w:r>
      <w:r>
        <w:rPr>
          <w:rFonts w:hint="eastAsia" w:ascii="宋体" w:hAnsi="宋体" w:cs="宋体"/>
          <w:sz w:val="21"/>
          <w:szCs w:val="21"/>
          <w:lang w:eastAsia="zh-CN"/>
        </w:rPr>
        <w:t>无条件</w:t>
      </w:r>
      <w:r>
        <w:rPr>
          <w:rFonts w:hint="eastAsia" w:ascii="宋体" w:hAnsi="宋体" w:eastAsia="宋体" w:cs="宋体"/>
          <w:szCs w:val="21"/>
        </w:rPr>
        <w:t>升级数据库平台；终生</w:t>
      </w:r>
      <w:r>
        <w:rPr>
          <w:rFonts w:hint="eastAsia" w:ascii="宋体" w:hAnsi="宋体" w:cs="宋体"/>
          <w:sz w:val="21"/>
          <w:szCs w:val="21"/>
          <w:lang w:eastAsia="zh-CN"/>
        </w:rPr>
        <w:t>无条件</w:t>
      </w:r>
      <w:r>
        <w:rPr>
          <w:rFonts w:hint="eastAsia" w:ascii="宋体" w:hAnsi="宋体" w:eastAsia="宋体" w:cs="宋体"/>
          <w:szCs w:val="21"/>
        </w:rPr>
        <w:t>提供技术咨询解决疑难问题。每年2次工程师上门维护。定期提供数据库使用统计。</w:t>
      </w:r>
    </w:p>
    <w:p w14:paraId="30A13A8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3.4服务期内，为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eastAsia="宋体" w:cs="宋体"/>
          <w:szCs w:val="21"/>
        </w:rPr>
        <w:t>提供数据库培训等活动一年内不少于2次，具体时间和形式，双方协商确认。</w:t>
      </w:r>
    </w:p>
    <w:p w14:paraId="344FBAA4">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3.5校内IP个人认证，校外登录个人账号正常使用。</w:t>
      </w:r>
    </w:p>
    <w:p w14:paraId="48E594E2">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3.6提供网络、电话及E-mail支持服务，响应时间不超过24小时。服务期限内凡系统遇到不可抗力遭到破坏，提供全面的技术恢复服务（费用包含在响应总价中）。</w:t>
      </w:r>
    </w:p>
    <w:p w14:paraId="6FCEFFAC">
      <w:pPr>
        <w:numPr>
          <w:ilvl w:val="255"/>
          <w:numId w:val="0"/>
        </w:numPr>
        <w:spacing w:line="400" w:lineRule="exact"/>
        <w:ind w:firstLine="420" w:firstLineChars="200"/>
        <w:rPr>
          <w:rFonts w:hint="eastAsia" w:ascii="宋体" w:hAnsi="宋体" w:eastAsia="宋体" w:cs="宋体"/>
          <w:szCs w:val="21"/>
        </w:rPr>
        <w:sectPr>
          <w:pgSz w:w="11905" w:h="16838"/>
          <w:pgMar w:top="1474" w:right="1474" w:bottom="1474" w:left="1474" w:header="907" w:footer="850" w:gutter="0"/>
          <w:pgBorders>
            <w:top w:val="none" w:sz="0" w:space="0"/>
            <w:left w:val="none" w:sz="0" w:space="0"/>
            <w:bottom w:val="none" w:sz="0" w:space="0"/>
            <w:right w:val="none" w:sz="0" w:space="0"/>
          </w:pgBorders>
          <w:cols w:space="0" w:num="1"/>
          <w:docGrid w:type="lines" w:linePitch="289" w:charSpace="0"/>
        </w:sectPr>
      </w:pPr>
    </w:p>
    <w:p w14:paraId="62D7983D">
      <w:pPr>
        <w:spacing w:line="400" w:lineRule="exact"/>
        <w:ind w:firstLine="422" w:firstLineChars="200"/>
        <w:rPr>
          <w:rFonts w:ascii="宋体" w:hAnsi="宋体" w:cs="宋体"/>
          <w:b/>
          <w:szCs w:val="21"/>
        </w:rPr>
      </w:pPr>
      <w:r>
        <w:rPr>
          <w:rFonts w:hint="eastAsia" w:ascii="宋体" w:hAnsi="宋体" w:cs="宋体"/>
          <w:b/>
          <w:szCs w:val="21"/>
        </w:rPr>
        <w:t>标项四十四（北大法宝）：</w:t>
      </w:r>
    </w:p>
    <w:p w14:paraId="78DAEFC6">
      <w:pPr>
        <w:numPr>
          <w:ilvl w:val="255"/>
          <w:numId w:val="0"/>
        </w:num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内容参数</w:t>
      </w:r>
    </w:p>
    <w:p w14:paraId="65BFC033">
      <w:pPr>
        <w:numPr>
          <w:ilvl w:val="255"/>
          <w:numId w:val="0"/>
        </w:numPr>
        <w:spacing w:line="400" w:lineRule="exact"/>
        <w:ind w:firstLine="420" w:firstLineChars="200"/>
        <w:rPr>
          <w:rFonts w:ascii="宋体" w:hAnsi="宋体" w:cs="宋体"/>
          <w:szCs w:val="21"/>
        </w:rPr>
      </w:pPr>
      <w:r>
        <w:rPr>
          <w:rFonts w:hint="eastAsia" w:ascii="宋体" w:hAnsi="宋体" w:cs="宋体"/>
          <w:szCs w:val="21"/>
        </w:rPr>
        <w:t>1.1数据库包含：法律法规检索系统、司法案例检索系统、法学期刊检索系统、专题参考检索系统、英文译本检索系统、法宝视频检索系统、律所实务检索系统、法考系统等内容。</w:t>
      </w:r>
    </w:p>
    <w:p w14:paraId="4658F98F">
      <w:pPr>
        <w:numPr>
          <w:ilvl w:val="255"/>
          <w:numId w:val="0"/>
        </w:numPr>
        <w:spacing w:line="400" w:lineRule="exact"/>
        <w:ind w:firstLine="420" w:firstLineChars="200"/>
        <w:rPr>
          <w:rFonts w:ascii="宋体" w:hAnsi="宋体" w:cs="宋体"/>
          <w:szCs w:val="21"/>
        </w:rPr>
      </w:pPr>
      <w:r>
        <w:rPr>
          <w:rFonts w:hint="eastAsia" w:ascii="宋体" w:hAnsi="宋体" w:cs="宋体"/>
          <w:szCs w:val="21"/>
        </w:rPr>
        <w:t>1.2法律法规检索系统，收录自1949年至今的中央法规、地方</w:t>
      </w:r>
      <w:r>
        <w:rPr>
          <w:rFonts w:hint="eastAsia" w:ascii="宋体" w:hAnsi="宋体" w:cs="宋体"/>
          <w:szCs w:val="21"/>
          <w:lang w:eastAsia="zh-CN"/>
        </w:rPr>
        <w:t>性</w:t>
      </w:r>
      <w:r>
        <w:rPr>
          <w:rFonts w:hint="eastAsia" w:ascii="宋体" w:hAnsi="宋体" w:cs="宋体"/>
          <w:szCs w:val="21"/>
        </w:rPr>
        <w:t>法规、港澳台法规、中外条约、立法资料、法律动态、合同范本等数据不低于440万篇，内容来源于官方网站、人大政府公报、官方法规汇编，保证法规准确性。</w:t>
      </w:r>
    </w:p>
    <w:p w14:paraId="3674BCE9">
      <w:pPr>
        <w:numPr>
          <w:ilvl w:val="255"/>
          <w:numId w:val="0"/>
        </w:numPr>
        <w:spacing w:line="400" w:lineRule="exact"/>
        <w:ind w:firstLine="420" w:firstLineChars="200"/>
        <w:rPr>
          <w:rFonts w:ascii="宋体" w:hAnsi="宋体" w:cs="宋体"/>
          <w:szCs w:val="21"/>
        </w:rPr>
      </w:pPr>
      <w:r>
        <w:rPr>
          <w:rFonts w:hint="eastAsia" w:ascii="宋体" w:hAnsi="宋体" w:cs="宋体"/>
          <w:szCs w:val="21"/>
        </w:rPr>
        <w:t xml:space="preserve">1.3司法案例检索系统，收录我国各级法院发布的裁判案例不少于1.5亿篇，可根据用户需要提供全方位多维度定位检索、聚类筛选、目录导航及分组排序等功能。  </w:t>
      </w:r>
    </w:p>
    <w:p w14:paraId="23955EF6">
      <w:pPr>
        <w:numPr>
          <w:ilvl w:val="255"/>
          <w:numId w:val="0"/>
        </w:numPr>
        <w:spacing w:line="400" w:lineRule="exact"/>
        <w:ind w:firstLine="420" w:firstLineChars="200"/>
        <w:rPr>
          <w:rFonts w:ascii="宋体" w:hAnsi="宋体" w:cs="宋体"/>
          <w:szCs w:val="21"/>
        </w:rPr>
      </w:pPr>
      <w:r>
        <w:rPr>
          <w:rFonts w:hint="eastAsia" w:ascii="宋体" w:hAnsi="宋体" w:cs="宋体"/>
          <w:szCs w:val="21"/>
        </w:rPr>
        <w:t>1.4法学期刊检索系统，包括不少于301种专业法学刊物，包括法学140种核心期刊，超过29万篇法学文献。能为用户提供最新的法学研究动态和资讯。</w:t>
      </w:r>
    </w:p>
    <w:p w14:paraId="5673AEDF">
      <w:pPr>
        <w:numPr>
          <w:ilvl w:val="255"/>
          <w:numId w:val="0"/>
        </w:numPr>
        <w:spacing w:line="400" w:lineRule="exact"/>
        <w:ind w:firstLine="420" w:firstLineChars="200"/>
        <w:rPr>
          <w:rFonts w:ascii="宋体" w:hAnsi="宋体" w:cs="宋体"/>
          <w:szCs w:val="21"/>
        </w:rPr>
      </w:pPr>
      <w:r>
        <w:rPr>
          <w:rFonts w:hint="eastAsia" w:ascii="宋体" w:hAnsi="宋体" w:cs="宋体"/>
          <w:szCs w:val="21"/>
        </w:rPr>
        <w:t>1.5专题参考检索系统，涵盖裁判标准、实务专题、法学文献、法律年鉴、法学教程等等，可满足专业人员对审判实践工作经验的需要。</w:t>
      </w:r>
    </w:p>
    <w:p w14:paraId="74C24E52">
      <w:pPr>
        <w:numPr>
          <w:ilvl w:val="255"/>
          <w:numId w:val="0"/>
        </w:numPr>
        <w:spacing w:line="400" w:lineRule="exact"/>
        <w:ind w:firstLine="420" w:firstLineChars="200"/>
        <w:rPr>
          <w:rFonts w:ascii="宋体" w:hAnsi="宋体" w:cs="宋体"/>
          <w:szCs w:val="21"/>
        </w:rPr>
      </w:pPr>
      <w:r>
        <w:rPr>
          <w:rFonts w:hint="eastAsia" w:ascii="宋体" w:hAnsi="宋体" w:cs="宋体"/>
          <w:szCs w:val="21"/>
        </w:rPr>
        <w:t>1.6英文译本检索系统，包含中国法律法规的英文译本，最高人民法院、最高人民检察院分别通过和发布的指导性案例、公报案例和典型案例的英文译本，中国与外国政府、地区或组织达成的所有现行有效的国际条约，中</w:t>
      </w:r>
      <w:r>
        <w:rPr>
          <w:rFonts w:hint="eastAsia" w:ascii="宋体" w:hAnsi="宋体" w:cs="宋体"/>
          <w:szCs w:val="21"/>
          <w:lang w:eastAsia="zh-CN"/>
        </w:rPr>
        <w:t>共</w:t>
      </w:r>
      <w:r>
        <w:rPr>
          <w:rFonts w:hint="eastAsia" w:ascii="宋体" w:hAnsi="宋体" w:cs="宋体"/>
          <w:szCs w:val="21"/>
        </w:rPr>
        <w:t>中央、地方政府或者其</w:t>
      </w:r>
      <w:r>
        <w:rPr>
          <w:rFonts w:hint="eastAsia" w:ascii="宋体" w:hAnsi="宋体" w:cs="宋体"/>
          <w:szCs w:val="21"/>
          <w:lang w:eastAsia="zh-CN"/>
        </w:rPr>
        <w:t>他</w:t>
      </w:r>
      <w:r>
        <w:rPr>
          <w:rFonts w:hint="eastAsia" w:ascii="宋体" w:hAnsi="宋体" w:cs="宋体"/>
          <w:szCs w:val="21"/>
        </w:rPr>
        <w:t>组织发布的白皮书的英文译本等内容。</w:t>
      </w:r>
    </w:p>
    <w:p w14:paraId="5A1965CD">
      <w:pPr>
        <w:numPr>
          <w:ilvl w:val="255"/>
          <w:numId w:val="0"/>
        </w:numPr>
        <w:spacing w:line="400" w:lineRule="exact"/>
        <w:ind w:firstLine="420" w:firstLineChars="200"/>
        <w:rPr>
          <w:rFonts w:ascii="宋体" w:hAnsi="宋体" w:cs="宋体"/>
          <w:szCs w:val="21"/>
        </w:rPr>
      </w:pPr>
      <w:r>
        <w:rPr>
          <w:rFonts w:hint="eastAsia" w:ascii="宋体" w:hAnsi="宋体" w:cs="宋体"/>
          <w:szCs w:val="21"/>
        </w:rPr>
        <w:t>1.7视频检索系统，要求涉及法律学术权威的理论与研究成果、各级司法机关办案实务以及知名律师实战经验，服务年度提供不少于1000个小时的课程视频在线播放。</w:t>
      </w:r>
    </w:p>
    <w:p w14:paraId="0F36ACB1">
      <w:pPr>
        <w:numPr>
          <w:ilvl w:val="255"/>
          <w:numId w:val="0"/>
        </w:numPr>
        <w:spacing w:line="400" w:lineRule="exact"/>
        <w:ind w:firstLine="420" w:firstLineChars="200"/>
        <w:rPr>
          <w:rFonts w:ascii="宋体" w:hAnsi="宋体" w:cs="宋体"/>
          <w:szCs w:val="21"/>
        </w:rPr>
      </w:pPr>
      <w:r>
        <w:rPr>
          <w:rFonts w:hint="eastAsia" w:ascii="宋体" w:hAnsi="宋体" w:cs="宋体"/>
          <w:szCs w:val="21"/>
        </w:rPr>
        <w:t>1.8律师检索系统，整合实务文献资源，精选国内外知名律师事务所所刊、律师文章，服务律师事务所、企业法务和高校实训等，方便用户参考借鉴律师实务经验并进行实践研究。</w:t>
      </w:r>
    </w:p>
    <w:p w14:paraId="7006DC96">
      <w:pPr>
        <w:numPr>
          <w:ilvl w:val="255"/>
          <w:numId w:val="0"/>
        </w:numPr>
        <w:spacing w:line="400" w:lineRule="exact"/>
        <w:ind w:firstLine="420" w:firstLineChars="200"/>
        <w:rPr>
          <w:rFonts w:ascii="宋体" w:hAnsi="宋体" w:cs="宋体"/>
          <w:szCs w:val="21"/>
        </w:rPr>
      </w:pPr>
      <w:r>
        <w:rPr>
          <w:rFonts w:hint="eastAsia" w:ascii="宋体" w:hAnsi="宋体" w:cs="宋体"/>
          <w:szCs w:val="21"/>
        </w:rPr>
        <w:t>1.9法考系统，要求包括在线答题、重点法条、法律汇编、考试大纲、法律文书、我的法考，其中在线答题系统的考试计时、提醒交卷、强制交卷等功能设计，全真模拟考试现场。</w:t>
      </w:r>
    </w:p>
    <w:p w14:paraId="7C5D9B9D">
      <w:pPr>
        <w:numPr>
          <w:ilvl w:val="255"/>
          <w:numId w:val="0"/>
        </w:numPr>
        <w:spacing w:line="400" w:lineRule="exact"/>
        <w:ind w:firstLine="420" w:firstLineChars="200"/>
        <w:rPr>
          <w:rFonts w:ascii="宋体" w:hAnsi="宋体" w:cs="宋体"/>
          <w:szCs w:val="21"/>
        </w:rPr>
      </w:pPr>
      <w:r>
        <w:rPr>
          <w:rFonts w:hint="eastAsia" w:ascii="宋体" w:hAnsi="宋体" w:cs="宋体"/>
          <w:szCs w:val="21"/>
        </w:rPr>
        <w:t>1.10能实现法条联想技术，将法条、案例、裁判标准、疑难问题、实务专题进行有效关联，为用户提供便捷的检索服务。</w:t>
      </w:r>
    </w:p>
    <w:p w14:paraId="267981E5">
      <w:pPr>
        <w:numPr>
          <w:ilvl w:val="255"/>
          <w:numId w:val="0"/>
        </w:numPr>
        <w:spacing w:line="400" w:lineRule="exact"/>
        <w:ind w:firstLine="420" w:firstLineChars="200"/>
        <w:rPr>
          <w:rFonts w:ascii="宋体" w:hAnsi="宋体" w:cs="宋体"/>
          <w:szCs w:val="21"/>
        </w:rPr>
      </w:pPr>
      <w:r>
        <w:rPr>
          <w:rFonts w:hint="eastAsia" w:ascii="宋体" w:hAnsi="宋体" w:cs="宋体"/>
          <w:szCs w:val="21"/>
        </w:rPr>
        <w:t>2.访问方式：IP</w:t>
      </w:r>
      <w:r>
        <w:rPr>
          <w:rFonts w:hint="eastAsia" w:ascii="宋体" w:hAnsi="宋体" w:cs="宋体"/>
          <w:szCs w:val="21"/>
          <w:lang w:val="en-US" w:eastAsia="zh-CN"/>
        </w:rPr>
        <w:t>范围内</w:t>
      </w:r>
      <w:r>
        <w:rPr>
          <w:rFonts w:hint="eastAsia" w:ascii="宋体" w:hAnsi="宋体" w:cs="宋体"/>
          <w:szCs w:val="21"/>
        </w:rPr>
        <w:t>访问登录，支持</w:t>
      </w:r>
      <w:r>
        <w:rPr>
          <w:rFonts w:hint="eastAsia" w:ascii="宋体" w:hAnsi="宋体" w:cs="宋体"/>
          <w:szCs w:val="21"/>
          <w:lang w:val="en-US" w:eastAsia="zh-CN"/>
        </w:rPr>
        <w:t>VPN、</w:t>
      </w:r>
      <w:r>
        <w:rPr>
          <w:rFonts w:hint="eastAsia" w:ascii="宋体" w:hAnsi="宋体" w:cs="宋体"/>
          <w:szCs w:val="21"/>
        </w:rPr>
        <w:t>CARSI等校外登录访问。</w:t>
      </w:r>
    </w:p>
    <w:p w14:paraId="66D44684">
      <w:pPr>
        <w:numPr>
          <w:ilvl w:val="255"/>
          <w:numId w:val="0"/>
        </w:numPr>
        <w:spacing w:line="400" w:lineRule="exact"/>
        <w:ind w:firstLine="420" w:firstLineChars="200"/>
        <w:rPr>
          <w:rFonts w:ascii="宋体" w:hAnsi="宋体" w:cs="宋体"/>
          <w:szCs w:val="21"/>
        </w:rPr>
      </w:pPr>
      <w:r>
        <w:rPr>
          <w:rFonts w:hint="eastAsia" w:ascii="宋体" w:hAnsi="宋体" w:cs="宋体"/>
          <w:szCs w:val="21"/>
        </w:rPr>
        <w:t>3.提供网络、电话及E-mail支持服务，响应时间不超过24小时。</w:t>
      </w:r>
    </w:p>
    <w:p w14:paraId="595998D1">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服务期内，为</w:t>
      </w:r>
      <w:r>
        <w:rPr>
          <w:rFonts w:hint="eastAsia" w:ascii="宋体" w:hAnsi="宋体" w:cs="宋体"/>
          <w:szCs w:val="21"/>
          <w:lang w:eastAsia="zh-CN"/>
        </w:rPr>
        <w:t>采购人无条件</w:t>
      </w:r>
      <w:r>
        <w:rPr>
          <w:rFonts w:hint="eastAsia" w:ascii="宋体" w:hAnsi="宋体" w:cs="宋体"/>
          <w:szCs w:val="21"/>
        </w:rPr>
        <w:t>提供数据库培训等活动一年内不少于2次，具体时间和形式，双方协商确认。定期提供数据库使用统计。</w:t>
      </w:r>
    </w:p>
    <w:p w14:paraId="248BE89C">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44F83007">
      <w:pPr>
        <w:spacing w:line="400" w:lineRule="exact"/>
        <w:ind w:firstLine="422" w:firstLineChars="200"/>
        <w:rPr>
          <w:rFonts w:ascii="宋体" w:hAnsi="宋体" w:cs="宋体"/>
          <w:b/>
          <w:szCs w:val="21"/>
        </w:rPr>
      </w:pPr>
      <w:r>
        <w:rPr>
          <w:rFonts w:hint="eastAsia" w:ascii="宋体" w:hAnsi="宋体" w:cs="宋体"/>
          <w:b/>
          <w:szCs w:val="21"/>
        </w:rPr>
        <w:t>标项四十五（MathSciNet数学评论＋AMS）：</w:t>
      </w:r>
    </w:p>
    <w:p w14:paraId="67019508">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1.订购内容</w:t>
      </w:r>
    </w:p>
    <w:p w14:paraId="3CE017D3">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具体内容如下：</w:t>
      </w:r>
    </w:p>
    <w:tbl>
      <w:tblPr>
        <w:tblStyle w:val="52"/>
        <w:tblpPr w:leftFromText="180" w:rightFromText="180" w:vertAnchor="text" w:horzAnchor="margin" w:tblpXSpec="center" w:tblpY="51"/>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596"/>
        <w:gridCol w:w="3304"/>
        <w:gridCol w:w="4269"/>
      </w:tblGrid>
      <w:tr w14:paraId="05194C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7BFECD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asciiTheme="minorEastAsia" w:hAnsiTheme="minorEastAsia" w:eastAsiaTheme="minorEastAsia"/>
                <w:b/>
                <w:bCs/>
                <w:color w:val="000000" w:themeColor="text1"/>
                <w:kern w:val="0"/>
                <w:szCs w:val="21"/>
                <w14:textFill>
                  <w14:solidFill>
                    <w14:schemeClr w14:val="tx1"/>
                  </w14:solidFill>
                </w14:textFill>
              </w:rPr>
              <w:t>刊名</w:t>
            </w:r>
          </w:p>
        </w:tc>
        <w:tc>
          <w:tcPr>
            <w:tcW w:w="1801" w:type="pct"/>
            <w:shd w:val="clear" w:color="auto" w:fill="FFFFFF" w:themeFill="background1"/>
            <w:noWrap/>
            <w:vAlign w:val="center"/>
          </w:tcPr>
          <w:p w14:paraId="791B84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asciiTheme="minorEastAsia" w:hAnsiTheme="minorEastAsia" w:eastAsiaTheme="minorEastAsia"/>
                <w:b/>
                <w:bCs/>
                <w:color w:val="000000" w:themeColor="text1"/>
                <w:kern w:val="0"/>
                <w:szCs w:val="21"/>
                <w14:textFill>
                  <w14:solidFill>
                    <w14:schemeClr w14:val="tx1"/>
                  </w14:solidFill>
                </w14:textFill>
              </w:rPr>
              <w:t>介绍</w:t>
            </w:r>
          </w:p>
        </w:tc>
        <w:tc>
          <w:tcPr>
            <w:tcW w:w="2327" w:type="pct"/>
            <w:tcBorders>
              <w:right w:val="single" w:color="auto" w:sz="4" w:space="0"/>
            </w:tcBorders>
            <w:shd w:val="clear" w:color="auto" w:fill="FFFFFF" w:themeFill="background1"/>
            <w:vAlign w:val="center"/>
          </w:tcPr>
          <w:p w14:paraId="2FC71F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URL</w:t>
            </w:r>
          </w:p>
        </w:tc>
      </w:tr>
      <w:tr w14:paraId="252CCC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369BCF7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 xml:space="preserve">Journal of the American Mathematical Society </w:t>
            </w:r>
            <w:r>
              <w:rPr>
                <w:rFonts w:hint="eastAsia" w:asciiTheme="minorEastAsia" w:hAnsiTheme="minorEastAsia" w:eastAsiaTheme="minorEastAsia"/>
                <w:bCs/>
                <w:color w:val="000000" w:themeColor="text1"/>
                <w:kern w:val="0"/>
                <w:szCs w:val="21"/>
                <w14:textFill>
                  <w14:solidFill>
                    <w14:schemeClr w14:val="tx1"/>
                  </w14:solidFill>
                </w14:textFill>
              </w:rPr>
              <w:t>(</w:t>
            </w:r>
            <w:r>
              <w:rPr>
                <w:rFonts w:asciiTheme="minorEastAsia" w:hAnsiTheme="minorEastAsia" w:eastAsiaTheme="minorEastAsia"/>
                <w:bCs/>
                <w:color w:val="000000" w:themeColor="text1"/>
                <w:kern w:val="0"/>
                <w:szCs w:val="21"/>
                <w14:textFill>
                  <w14:solidFill>
                    <w14:schemeClr w14:val="tx1"/>
                  </w14:solidFill>
                </w14:textFill>
              </w:rPr>
              <w:t>JAMS</w:t>
            </w:r>
            <w:r>
              <w:rPr>
                <w:rFonts w:hint="eastAsia" w:asciiTheme="minorEastAsia" w:hAnsiTheme="minorEastAsia" w:eastAsiaTheme="minorEastAsia"/>
                <w:bCs/>
                <w:color w:val="000000" w:themeColor="text1"/>
                <w:kern w:val="0"/>
                <w:szCs w:val="21"/>
                <w14:textFill>
                  <w14:solidFill>
                    <w14:schemeClr w14:val="tx1"/>
                  </w14:solidFill>
                </w14:textFill>
              </w:rPr>
              <w:t>)</w:t>
            </w:r>
          </w:p>
        </w:tc>
        <w:tc>
          <w:tcPr>
            <w:tcW w:w="1801" w:type="pct"/>
            <w:shd w:val="clear" w:color="auto" w:fill="FFFFFF" w:themeFill="background1"/>
            <w:vAlign w:val="center"/>
          </w:tcPr>
          <w:p w14:paraId="1271D75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《美国数学会志》</w:t>
            </w:r>
            <w:r>
              <w:rPr>
                <w:rFonts w:hint="eastAsia" w:asciiTheme="minorEastAsia" w:hAnsiTheme="minorEastAsia" w:eastAsiaTheme="minorEastAsia"/>
                <w:bCs/>
                <w:color w:val="000000" w:themeColor="text1"/>
                <w:kern w:val="0"/>
                <w:szCs w:val="21"/>
                <w14:textFill>
                  <w14:solidFill>
                    <w14:schemeClr w14:val="tx1"/>
                  </w14:solidFill>
                </w14:textFill>
              </w:rPr>
              <w:t>刊载理论数学与应用数学研究论文</w:t>
            </w:r>
          </w:p>
        </w:tc>
        <w:tc>
          <w:tcPr>
            <w:tcW w:w="2327" w:type="pct"/>
            <w:tcBorders>
              <w:right w:val="single" w:color="auto" w:sz="4" w:space="0"/>
            </w:tcBorders>
            <w:shd w:val="clear" w:color="auto" w:fill="FFFFFF" w:themeFill="background1"/>
            <w:vAlign w:val="center"/>
          </w:tcPr>
          <w:p w14:paraId="345E6A9D">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60"/>
                <w:rFonts w:asciiTheme="minorEastAsia" w:hAnsiTheme="minorEastAsia" w:eastAsiaTheme="minorEastAsia" w:cstheme="minorBidi"/>
                <w:color w:val="000000"/>
                <w:szCs w:val="21"/>
              </w:rPr>
            </w:pPr>
            <w:r>
              <w:fldChar w:fldCharType="begin"/>
            </w:r>
            <w:r>
              <w:instrText xml:space="preserve"> HYPERLINK "http://www.ams.org/publications/journals/jams" </w:instrText>
            </w:r>
            <w:r>
              <w:fldChar w:fldCharType="separate"/>
            </w:r>
            <w:r>
              <w:rPr>
                <w:rStyle w:val="60"/>
                <w:rFonts w:hint="eastAsia" w:asciiTheme="minorEastAsia" w:hAnsiTheme="minorEastAsia" w:eastAsiaTheme="minorEastAsia" w:cstheme="minorBidi"/>
                <w:color w:val="000000"/>
                <w:szCs w:val="21"/>
              </w:rPr>
              <w:t>www.ams.org/publications/journals/jams</w:t>
            </w:r>
            <w:r>
              <w:rPr>
                <w:rStyle w:val="60"/>
                <w:rFonts w:hint="eastAsia" w:asciiTheme="minorEastAsia" w:hAnsiTheme="minorEastAsia" w:eastAsiaTheme="minorEastAsia" w:cstheme="minorBidi"/>
                <w:color w:val="000000"/>
                <w:szCs w:val="21"/>
              </w:rPr>
              <w:fldChar w:fldCharType="end"/>
            </w:r>
          </w:p>
        </w:tc>
      </w:tr>
      <w:tr w14:paraId="038396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42A4641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Mathematics of Computation (MCOM)</w:t>
            </w:r>
          </w:p>
        </w:tc>
        <w:tc>
          <w:tcPr>
            <w:tcW w:w="1801" w:type="pct"/>
            <w:shd w:val="clear" w:color="auto" w:fill="FFFFFF" w:themeFill="background1"/>
            <w:vAlign w:val="center"/>
          </w:tcPr>
          <w:p w14:paraId="37A123C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《计算数学》刊载计算领域的文章，包括数值分析、计算离散数学、数论、代数等</w:t>
            </w:r>
          </w:p>
        </w:tc>
        <w:tc>
          <w:tcPr>
            <w:tcW w:w="2327" w:type="pct"/>
            <w:tcBorders>
              <w:right w:val="single" w:color="auto" w:sz="4" w:space="0"/>
            </w:tcBorders>
            <w:shd w:val="clear" w:color="auto" w:fill="FFFFFF" w:themeFill="background1"/>
            <w:vAlign w:val="center"/>
          </w:tcPr>
          <w:p w14:paraId="3BE60CBE">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60"/>
                <w:rFonts w:asciiTheme="minorEastAsia" w:hAnsiTheme="minorEastAsia" w:eastAsiaTheme="minorEastAsia" w:cstheme="minorBidi"/>
                <w:color w:val="000000"/>
                <w:szCs w:val="21"/>
              </w:rPr>
            </w:pPr>
            <w:r>
              <w:fldChar w:fldCharType="begin"/>
            </w:r>
            <w:r>
              <w:instrText xml:space="preserve"> HYPERLINK "http://www.ams.org/publications/journals/mcom" </w:instrText>
            </w:r>
            <w:r>
              <w:fldChar w:fldCharType="separate"/>
            </w:r>
            <w:r>
              <w:rPr>
                <w:rStyle w:val="60"/>
                <w:rFonts w:hint="eastAsia" w:asciiTheme="minorEastAsia" w:hAnsiTheme="minorEastAsia" w:eastAsiaTheme="minorEastAsia" w:cstheme="minorBidi"/>
                <w:color w:val="000000"/>
                <w:szCs w:val="21"/>
              </w:rPr>
              <w:t>www.ams.org/publications/journals/mcom</w:t>
            </w:r>
            <w:r>
              <w:rPr>
                <w:rStyle w:val="60"/>
                <w:rFonts w:hint="eastAsia" w:asciiTheme="minorEastAsia" w:hAnsiTheme="minorEastAsia" w:eastAsiaTheme="minorEastAsia" w:cstheme="minorBidi"/>
                <w:color w:val="000000"/>
                <w:szCs w:val="21"/>
              </w:rPr>
              <w:fldChar w:fldCharType="end"/>
            </w:r>
          </w:p>
        </w:tc>
      </w:tr>
      <w:tr w14:paraId="70FB5C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6A2390A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Memoris of the American Mathematical Society (MEMO)</w:t>
            </w:r>
          </w:p>
        </w:tc>
        <w:tc>
          <w:tcPr>
            <w:tcW w:w="1801" w:type="pct"/>
            <w:shd w:val="clear" w:color="auto" w:fill="FFFFFF" w:themeFill="background1"/>
            <w:vAlign w:val="center"/>
          </w:tcPr>
          <w:p w14:paraId="7170817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《美国数学学会论文集》</w:t>
            </w:r>
            <w:r>
              <w:rPr>
                <w:rFonts w:hint="eastAsia" w:asciiTheme="minorEastAsia" w:hAnsiTheme="minorEastAsia" w:eastAsiaTheme="minorEastAsia"/>
                <w:bCs/>
                <w:color w:val="000000" w:themeColor="text1"/>
                <w:kern w:val="0"/>
                <w:szCs w:val="21"/>
                <w14:textFill>
                  <w14:solidFill>
                    <w14:schemeClr w14:val="tx1"/>
                  </w14:solidFill>
                </w14:textFill>
              </w:rPr>
              <w:t>刊载纯粹数学与应用数学领域的文章</w:t>
            </w:r>
          </w:p>
        </w:tc>
        <w:tc>
          <w:tcPr>
            <w:tcW w:w="2327" w:type="pct"/>
            <w:tcBorders>
              <w:right w:val="single" w:color="auto" w:sz="4" w:space="0"/>
            </w:tcBorders>
            <w:shd w:val="clear" w:color="auto" w:fill="FFFFFF" w:themeFill="background1"/>
            <w:vAlign w:val="center"/>
          </w:tcPr>
          <w:p w14:paraId="0423EB02">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60"/>
                <w:rFonts w:asciiTheme="minorEastAsia" w:hAnsiTheme="minorEastAsia" w:eastAsiaTheme="minorEastAsia" w:cstheme="minorBidi"/>
                <w:color w:val="000000"/>
                <w:szCs w:val="21"/>
              </w:rPr>
            </w:pPr>
            <w:r>
              <w:fldChar w:fldCharType="begin"/>
            </w:r>
            <w:r>
              <w:instrText xml:space="preserve"> HYPERLINK "http://www.ams.org/publications/journals/memo" </w:instrText>
            </w:r>
            <w:r>
              <w:fldChar w:fldCharType="separate"/>
            </w:r>
            <w:r>
              <w:rPr>
                <w:rStyle w:val="60"/>
                <w:rFonts w:hint="eastAsia" w:asciiTheme="minorEastAsia" w:hAnsiTheme="minorEastAsia" w:eastAsiaTheme="minorEastAsia" w:cstheme="minorBidi"/>
                <w:color w:val="000000"/>
                <w:szCs w:val="21"/>
              </w:rPr>
              <w:t>www.ams.org/publications/journals/memo</w:t>
            </w:r>
            <w:r>
              <w:rPr>
                <w:rStyle w:val="60"/>
                <w:rFonts w:hint="eastAsia" w:asciiTheme="minorEastAsia" w:hAnsiTheme="minorEastAsia" w:eastAsiaTheme="minorEastAsia" w:cstheme="minorBidi"/>
                <w:color w:val="000000"/>
                <w:szCs w:val="21"/>
              </w:rPr>
              <w:fldChar w:fldCharType="end"/>
            </w:r>
          </w:p>
        </w:tc>
      </w:tr>
      <w:tr w14:paraId="4F4C5E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7618A43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 xml:space="preserve">Proceedings of the American Mathematical Society </w:t>
            </w:r>
            <w:r>
              <w:rPr>
                <w:rFonts w:hint="eastAsia" w:asciiTheme="minorEastAsia" w:hAnsiTheme="minorEastAsia" w:eastAsiaTheme="minorEastAsia"/>
                <w:bCs/>
                <w:color w:val="000000" w:themeColor="text1"/>
                <w:kern w:val="0"/>
                <w:szCs w:val="21"/>
                <w14:textFill>
                  <w14:solidFill>
                    <w14:schemeClr w14:val="tx1"/>
                  </w14:solidFill>
                </w14:textFill>
              </w:rPr>
              <w:t>(</w:t>
            </w:r>
            <w:r>
              <w:rPr>
                <w:rFonts w:asciiTheme="minorEastAsia" w:hAnsiTheme="minorEastAsia" w:eastAsiaTheme="minorEastAsia"/>
                <w:bCs/>
                <w:color w:val="000000" w:themeColor="text1"/>
                <w:kern w:val="0"/>
                <w:szCs w:val="21"/>
                <w14:textFill>
                  <w14:solidFill>
                    <w14:schemeClr w14:val="tx1"/>
                  </w14:solidFill>
                </w14:textFill>
              </w:rPr>
              <w:t>PROC)</w:t>
            </w:r>
          </w:p>
        </w:tc>
        <w:tc>
          <w:tcPr>
            <w:tcW w:w="1801" w:type="pct"/>
            <w:shd w:val="clear" w:color="auto" w:fill="FFFFFF" w:themeFill="background1"/>
            <w:vAlign w:val="center"/>
          </w:tcPr>
          <w:p w14:paraId="2A60CC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w:t>
            </w:r>
            <w:r>
              <w:rPr>
                <w:rFonts w:asciiTheme="minorEastAsia" w:hAnsiTheme="minorEastAsia" w:eastAsiaTheme="minorEastAsia"/>
                <w:bCs/>
                <w:color w:val="000000" w:themeColor="text1"/>
                <w:kern w:val="0"/>
                <w:szCs w:val="21"/>
                <w14:textFill>
                  <w14:solidFill>
                    <w14:schemeClr w14:val="tx1"/>
                  </w14:solidFill>
                </w14:textFill>
              </w:rPr>
              <w:t>美国数学</w:t>
            </w:r>
            <w:r>
              <w:rPr>
                <w:rFonts w:hint="eastAsia" w:asciiTheme="minorEastAsia" w:hAnsiTheme="minorEastAsia" w:eastAsiaTheme="minorEastAsia"/>
                <w:bCs/>
                <w:color w:val="000000" w:themeColor="text1"/>
                <w:kern w:val="0"/>
                <w:szCs w:val="21"/>
                <w14:textFill>
                  <w14:solidFill>
                    <w14:schemeClr w14:val="tx1"/>
                  </w14:solidFill>
                </w14:textFill>
              </w:rPr>
              <w:t>学会</w:t>
            </w:r>
            <w:r>
              <w:rPr>
                <w:rFonts w:asciiTheme="minorEastAsia" w:hAnsiTheme="minorEastAsia" w:eastAsiaTheme="minorEastAsia"/>
                <w:bCs/>
                <w:color w:val="000000" w:themeColor="text1"/>
                <w:kern w:val="0"/>
                <w:szCs w:val="21"/>
                <w14:textFill>
                  <w14:solidFill>
                    <w14:schemeClr w14:val="tx1"/>
                  </w14:solidFill>
                </w14:textFill>
              </w:rPr>
              <w:t xml:space="preserve">会报》 </w:t>
            </w:r>
            <w:r>
              <w:rPr>
                <w:rFonts w:hint="eastAsia" w:asciiTheme="minorEastAsia" w:hAnsiTheme="minorEastAsia" w:eastAsiaTheme="minorEastAsia"/>
                <w:bCs/>
                <w:color w:val="000000" w:themeColor="text1"/>
                <w:kern w:val="0"/>
                <w:szCs w:val="21"/>
                <w14:textFill>
                  <w14:solidFill>
                    <w14:schemeClr w14:val="tx1"/>
                  </w14:solidFill>
                </w14:textFill>
              </w:rPr>
              <w:t>刊载中等篇幅（</w:t>
            </w:r>
            <w:r>
              <w:rPr>
                <w:rFonts w:asciiTheme="minorEastAsia" w:hAnsiTheme="minorEastAsia" w:eastAsiaTheme="minorEastAsia"/>
                <w:bCs/>
                <w:color w:val="000000" w:themeColor="text1"/>
                <w:kern w:val="0"/>
                <w:szCs w:val="21"/>
                <w14:textFill>
                  <w14:solidFill>
                    <w14:schemeClr w14:val="tx1"/>
                  </w14:solidFill>
                </w14:textFill>
              </w:rPr>
              <w:t>15页以内）的纯粹数学与应用数学研究论文</w:t>
            </w:r>
          </w:p>
        </w:tc>
        <w:tc>
          <w:tcPr>
            <w:tcW w:w="2327" w:type="pct"/>
            <w:tcBorders>
              <w:right w:val="single" w:color="auto" w:sz="4" w:space="0"/>
            </w:tcBorders>
            <w:shd w:val="clear" w:color="auto" w:fill="FFFFFF" w:themeFill="background1"/>
            <w:vAlign w:val="center"/>
          </w:tcPr>
          <w:p w14:paraId="5E9D3022">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60"/>
                <w:rFonts w:asciiTheme="minorEastAsia" w:hAnsiTheme="minorEastAsia" w:eastAsiaTheme="minorEastAsia" w:cstheme="minorBidi"/>
                <w:color w:val="000000"/>
                <w:szCs w:val="21"/>
              </w:rPr>
            </w:pPr>
            <w:r>
              <w:fldChar w:fldCharType="begin"/>
            </w:r>
            <w:r>
              <w:instrText xml:space="preserve"> HYPERLINK "http://www.ams.org/publications/journals/proc" </w:instrText>
            </w:r>
            <w:r>
              <w:fldChar w:fldCharType="separate"/>
            </w:r>
            <w:r>
              <w:rPr>
                <w:rStyle w:val="60"/>
                <w:rFonts w:hint="eastAsia" w:asciiTheme="minorEastAsia" w:hAnsiTheme="minorEastAsia" w:eastAsiaTheme="minorEastAsia" w:cstheme="minorBidi"/>
                <w:color w:val="000000"/>
                <w:szCs w:val="21"/>
              </w:rPr>
              <w:t>www.ams.org/publications/journals/proc</w:t>
            </w:r>
            <w:r>
              <w:rPr>
                <w:rStyle w:val="60"/>
                <w:rFonts w:hint="eastAsia" w:asciiTheme="minorEastAsia" w:hAnsiTheme="minorEastAsia" w:eastAsiaTheme="minorEastAsia" w:cstheme="minorBidi"/>
                <w:color w:val="000000"/>
                <w:szCs w:val="21"/>
              </w:rPr>
              <w:fldChar w:fldCharType="end"/>
            </w:r>
          </w:p>
        </w:tc>
      </w:tr>
      <w:tr w14:paraId="4B08F6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3FD2E9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Transactions of the American Mathematical Society (TRAN)</w:t>
            </w:r>
          </w:p>
        </w:tc>
        <w:tc>
          <w:tcPr>
            <w:tcW w:w="1801" w:type="pct"/>
            <w:shd w:val="clear" w:color="auto" w:fill="FFFFFF" w:themeFill="background1"/>
            <w:vAlign w:val="center"/>
          </w:tcPr>
          <w:p w14:paraId="19608DB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《美国数学</w:t>
            </w:r>
            <w:r>
              <w:rPr>
                <w:rFonts w:hint="eastAsia" w:asciiTheme="minorEastAsia" w:hAnsiTheme="minorEastAsia" w:eastAsiaTheme="minorEastAsia"/>
                <w:bCs/>
                <w:color w:val="000000" w:themeColor="text1"/>
                <w:kern w:val="0"/>
                <w:szCs w:val="21"/>
                <w14:textFill>
                  <w14:solidFill>
                    <w14:schemeClr w14:val="tx1"/>
                  </w14:solidFill>
                </w14:textFill>
              </w:rPr>
              <w:t>学会</w:t>
            </w:r>
            <w:r>
              <w:rPr>
                <w:rFonts w:asciiTheme="minorEastAsia" w:hAnsiTheme="minorEastAsia" w:eastAsiaTheme="minorEastAsia"/>
                <w:bCs/>
                <w:color w:val="000000" w:themeColor="text1"/>
                <w:kern w:val="0"/>
                <w:szCs w:val="21"/>
                <w14:textFill>
                  <w14:solidFill>
                    <w14:schemeClr w14:val="tx1"/>
                  </w14:solidFill>
                </w14:textFill>
              </w:rPr>
              <w:t xml:space="preserve">汇刊》 </w:t>
            </w:r>
            <w:r>
              <w:rPr>
                <w:rFonts w:hint="eastAsia" w:asciiTheme="minorEastAsia" w:hAnsiTheme="minorEastAsia" w:eastAsiaTheme="minorEastAsia"/>
                <w:bCs/>
                <w:color w:val="000000" w:themeColor="text1"/>
                <w:kern w:val="0"/>
                <w:szCs w:val="21"/>
                <w14:textFill>
                  <w14:solidFill>
                    <w14:schemeClr w14:val="tx1"/>
                  </w14:solidFill>
                </w14:textFill>
              </w:rPr>
              <w:t>刊载较长篇幅的纯粹数学与应用数学研究论文</w:t>
            </w:r>
          </w:p>
        </w:tc>
        <w:tc>
          <w:tcPr>
            <w:tcW w:w="2327" w:type="pct"/>
            <w:tcBorders>
              <w:right w:val="single" w:color="auto" w:sz="4" w:space="0"/>
            </w:tcBorders>
            <w:shd w:val="clear" w:color="auto" w:fill="FFFFFF" w:themeFill="background1"/>
            <w:vAlign w:val="center"/>
          </w:tcPr>
          <w:p w14:paraId="282914A0">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60"/>
                <w:rFonts w:asciiTheme="minorEastAsia" w:hAnsiTheme="minorEastAsia" w:eastAsiaTheme="minorEastAsia" w:cstheme="minorBidi"/>
                <w:color w:val="000000"/>
                <w:szCs w:val="21"/>
              </w:rPr>
            </w:pPr>
            <w:r>
              <w:fldChar w:fldCharType="begin"/>
            </w:r>
            <w:r>
              <w:instrText xml:space="preserve"> HYPERLINK "http://www.ams.org/publications/journals/tran" </w:instrText>
            </w:r>
            <w:r>
              <w:fldChar w:fldCharType="separate"/>
            </w:r>
            <w:r>
              <w:rPr>
                <w:rStyle w:val="60"/>
                <w:rFonts w:hint="eastAsia" w:asciiTheme="minorEastAsia" w:hAnsiTheme="minorEastAsia" w:eastAsiaTheme="minorEastAsia" w:cstheme="minorBidi"/>
                <w:color w:val="000000"/>
                <w:szCs w:val="21"/>
              </w:rPr>
              <w:t>www.ams.org/publications/journals/tran</w:t>
            </w:r>
            <w:r>
              <w:rPr>
                <w:rStyle w:val="60"/>
                <w:rFonts w:hint="eastAsia" w:asciiTheme="minorEastAsia" w:hAnsiTheme="minorEastAsia" w:eastAsiaTheme="minorEastAsia" w:cstheme="minorBidi"/>
                <w:color w:val="000000"/>
                <w:szCs w:val="21"/>
              </w:rPr>
              <w:fldChar w:fldCharType="end"/>
            </w:r>
          </w:p>
        </w:tc>
      </w:tr>
      <w:tr w14:paraId="282EE1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31EA09F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Transactions of the Moscow Mathematical Society (MOSC)</w:t>
            </w:r>
          </w:p>
        </w:tc>
        <w:tc>
          <w:tcPr>
            <w:tcW w:w="1801" w:type="pct"/>
            <w:shd w:val="clear" w:color="auto" w:fill="FFFFFF" w:themeFill="background1"/>
            <w:vAlign w:val="center"/>
          </w:tcPr>
          <w:p w14:paraId="7A8CA77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《莫斯科数学</w:t>
            </w:r>
            <w:r>
              <w:rPr>
                <w:rFonts w:hint="eastAsia" w:asciiTheme="minorEastAsia" w:hAnsiTheme="minorEastAsia" w:eastAsiaTheme="minorEastAsia"/>
                <w:bCs/>
                <w:color w:val="000000" w:themeColor="text1"/>
                <w:kern w:val="0"/>
                <w:szCs w:val="21"/>
                <w14:textFill>
                  <w14:solidFill>
                    <w14:schemeClr w14:val="tx1"/>
                  </w14:solidFill>
                </w14:textFill>
              </w:rPr>
              <w:t>学</w:t>
            </w:r>
            <w:r>
              <w:rPr>
                <w:rFonts w:asciiTheme="minorEastAsia" w:hAnsiTheme="minorEastAsia" w:eastAsiaTheme="minorEastAsia"/>
                <w:bCs/>
                <w:color w:val="000000" w:themeColor="text1"/>
                <w:kern w:val="0"/>
                <w:szCs w:val="21"/>
                <w14:textFill>
                  <w14:solidFill>
                    <w14:schemeClr w14:val="tx1"/>
                  </w14:solidFill>
                </w14:textFill>
              </w:rPr>
              <w:t>会汇刊》</w:t>
            </w:r>
            <w:r>
              <w:rPr>
                <w:rFonts w:hint="eastAsia" w:asciiTheme="minorEastAsia" w:hAnsiTheme="minorEastAsia" w:eastAsiaTheme="minorEastAsia"/>
                <w:bCs/>
                <w:color w:val="000000" w:themeColor="text1"/>
                <w:kern w:val="0"/>
                <w:szCs w:val="21"/>
                <w14:textFill>
                  <w14:solidFill>
                    <w14:schemeClr w14:val="tx1"/>
                  </w14:solidFill>
                </w14:textFill>
              </w:rPr>
              <w:t>翻译刊。翻译《</w:t>
            </w:r>
            <w:r>
              <w:rPr>
                <w:rFonts w:asciiTheme="minorEastAsia" w:hAnsiTheme="minorEastAsia" w:eastAsiaTheme="minorEastAsia"/>
                <w:bCs/>
                <w:iCs/>
                <w:color w:val="000000" w:themeColor="text1"/>
                <w:kern w:val="0"/>
                <w:szCs w:val="21"/>
                <w14:textFill>
                  <w14:solidFill>
                    <w14:schemeClr w14:val="tx1"/>
                  </w14:solidFill>
                </w14:textFill>
              </w:rPr>
              <w:t>Trudy Moskovskogo Matematicheskogo Obshchestva</w:t>
            </w:r>
            <w:r>
              <w:rPr>
                <w:rFonts w:hint="eastAsia" w:asciiTheme="minorEastAsia" w:hAnsiTheme="minorEastAsia" w:eastAsiaTheme="minorEastAsia"/>
                <w:bCs/>
                <w:color w:val="000000" w:themeColor="text1"/>
                <w:kern w:val="0"/>
                <w:szCs w:val="21"/>
                <w14:textFill>
                  <w14:solidFill>
                    <w14:schemeClr w14:val="tx1"/>
                  </w14:solidFill>
                </w14:textFill>
              </w:rPr>
              <w:t>》，刊载纯粹数学领域的文章</w:t>
            </w:r>
          </w:p>
        </w:tc>
        <w:tc>
          <w:tcPr>
            <w:tcW w:w="2327" w:type="pct"/>
            <w:tcBorders>
              <w:right w:val="single" w:color="auto" w:sz="4" w:space="0"/>
            </w:tcBorders>
            <w:shd w:val="clear" w:color="auto" w:fill="FFFFFF" w:themeFill="background1"/>
            <w:vAlign w:val="center"/>
          </w:tcPr>
          <w:p w14:paraId="01014133">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60"/>
                <w:rFonts w:asciiTheme="minorEastAsia" w:hAnsiTheme="minorEastAsia" w:eastAsiaTheme="minorEastAsia" w:cstheme="minorBidi"/>
                <w:color w:val="000000"/>
                <w:szCs w:val="21"/>
              </w:rPr>
            </w:pPr>
            <w:r>
              <w:fldChar w:fldCharType="begin"/>
            </w:r>
            <w:r>
              <w:instrText xml:space="preserve"> HYPERLINK "http://www.ams.org/publications/journals/mosc" </w:instrText>
            </w:r>
            <w:r>
              <w:fldChar w:fldCharType="separate"/>
            </w:r>
            <w:r>
              <w:rPr>
                <w:rStyle w:val="60"/>
                <w:rFonts w:hint="eastAsia" w:asciiTheme="minorEastAsia" w:hAnsiTheme="minorEastAsia" w:eastAsiaTheme="minorEastAsia" w:cstheme="minorBidi"/>
                <w:color w:val="000000"/>
                <w:szCs w:val="21"/>
              </w:rPr>
              <w:t>www.ams.org/publications/journals/mosc</w:t>
            </w:r>
            <w:r>
              <w:rPr>
                <w:rStyle w:val="60"/>
                <w:rFonts w:hint="eastAsia" w:asciiTheme="minorEastAsia" w:hAnsiTheme="minorEastAsia" w:eastAsiaTheme="minorEastAsia" w:cstheme="minorBidi"/>
                <w:color w:val="000000"/>
                <w:szCs w:val="21"/>
              </w:rPr>
              <w:fldChar w:fldCharType="end"/>
            </w:r>
          </w:p>
        </w:tc>
      </w:tr>
      <w:tr w14:paraId="553820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29831B2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ST.Petersburg Mathematical Journal</w:t>
            </w:r>
            <w:r>
              <w:rPr>
                <w:rFonts w:hint="eastAsia" w:asciiTheme="minorEastAsia" w:hAnsiTheme="minorEastAsia" w:eastAsiaTheme="minorEastAsia"/>
                <w:bCs/>
                <w:color w:val="000000" w:themeColor="text1"/>
                <w:kern w:val="0"/>
                <w:szCs w:val="21"/>
                <w14:textFill>
                  <w14:solidFill>
                    <w14:schemeClr w14:val="tx1"/>
                  </w14:solidFill>
                </w14:textFill>
              </w:rPr>
              <w:t xml:space="preserve"> </w:t>
            </w:r>
            <w:r>
              <w:rPr>
                <w:rFonts w:asciiTheme="minorEastAsia" w:hAnsiTheme="minorEastAsia" w:eastAsiaTheme="minorEastAsia"/>
                <w:bCs/>
                <w:color w:val="000000" w:themeColor="text1"/>
                <w:kern w:val="0"/>
                <w:szCs w:val="21"/>
                <w14:textFill>
                  <w14:solidFill>
                    <w14:schemeClr w14:val="tx1"/>
                  </w14:solidFill>
                </w14:textFill>
              </w:rPr>
              <w:t>(MMJE)</w:t>
            </w:r>
          </w:p>
        </w:tc>
        <w:tc>
          <w:tcPr>
            <w:tcW w:w="1801" w:type="pct"/>
            <w:shd w:val="clear" w:color="auto" w:fill="FFFFFF" w:themeFill="background1"/>
            <w:vAlign w:val="center"/>
          </w:tcPr>
          <w:p w14:paraId="25B680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 xml:space="preserve">《圣彼得堡数学杂志》 </w:t>
            </w:r>
            <w:r>
              <w:rPr>
                <w:rFonts w:hint="eastAsia" w:asciiTheme="minorEastAsia" w:hAnsiTheme="minorEastAsia" w:eastAsiaTheme="minorEastAsia"/>
                <w:bCs/>
                <w:color w:val="000000" w:themeColor="text1"/>
                <w:kern w:val="0"/>
                <w:szCs w:val="21"/>
                <w14:textFill>
                  <w14:solidFill>
                    <w14:schemeClr w14:val="tx1"/>
                  </w14:solidFill>
                </w14:textFill>
              </w:rPr>
              <w:t>翻译刊。翻译俄罗斯科学院出版的期刊《</w:t>
            </w:r>
            <w:r>
              <w:rPr>
                <w:rFonts w:asciiTheme="minorEastAsia" w:hAnsiTheme="minorEastAsia" w:eastAsiaTheme="minorEastAsia"/>
                <w:bCs/>
                <w:iCs/>
                <w:color w:val="000000" w:themeColor="text1"/>
                <w:kern w:val="0"/>
                <w:szCs w:val="21"/>
                <w14:textFill>
                  <w14:solidFill>
                    <w14:schemeClr w14:val="tx1"/>
                  </w14:solidFill>
                </w14:textFill>
              </w:rPr>
              <w:t>Algebra i Analiz</w:t>
            </w:r>
            <w:r>
              <w:rPr>
                <w:rFonts w:hint="eastAsia" w:asciiTheme="minorEastAsia" w:hAnsiTheme="minorEastAsia" w:eastAsiaTheme="minorEastAsia"/>
                <w:bCs/>
                <w:iCs/>
                <w:color w:val="000000" w:themeColor="text1"/>
                <w:kern w:val="0"/>
                <w:szCs w:val="21"/>
                <w14:textFill>
                  <w14:solidFill>
                    <w14:schemeClr w14:val="tx1"/>
                  </w14:solidFill>
                </w14:textFill>
              </w:rPr>
              <w:t>》</w:t>
            </w:r>
          </w:p>
        </w:tc>
        <w:tc>
          <w:tcPr>
            <w:tcW w:w="2327" w:type="pct"/>
            <w:tcBorders>
              <w:right w:val="single" w:color="auto" w:sz="4" w:space="0"/>
            </w:tcBorders>
            <w:shd w:val="clear" w:color="auto" w:fill="FFFFFF" w:themeFill="background1"/>
            <w:vAlign w:val="center"/>
          </w:tcPr>
          <w:p w14:paraId="655A533C">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60"/>
                <w:rFonts w:asciiTheme="minorEastAsia" w:hAnsiTheme="minorEastAsia" w:eastAsiaTheme="minorEastAsia" w:cstheme="minorBidi"/>
                <w:color w:val="000000"/>
                <w:szCs w:val="21"/>
              </w:rPr>
            </w:pPr>
            <w:r>
              <w:fldChar w:fldCharType="begin"/>
            </w:r>
            <w:r>
              <w:instrText xml:space="preserve"> HYPERLINK "http://www.ams.org/publications/journals/spmj" </w:instrText>
            </w:r>
            <w:r>
              <w:fldChar w:fldCharType="separate"/>
            </w:r>
            <w:r>
              <w:rPr>
                <w:rStyle w:val="60"/>
                <w:rFonts w:hint="eastAsia" w:asciiTheme="minorEastAsia" w:hAnsiTheme="minorEastAsia" w:eastAsiaTheme="minorEastAsia" w:cstheme="minorBidi"/>
                <w:color w:val="000000"/>
                <w:szCs w:val="21"/>
              </w:rPr>
              <w:t>www.ams.org/publications/journals/spmj</w:t>
            </w:r>
            <w:r>
              <w:rPr>
                <w:rStyle w:val="60"/>
                <w:rFonts w:hint="eastAsia" w:asciiTheme="minorEastAsia" w:hAnsiTheme="minorEastAsia" w:eastAsiaTheme="minorEastAsia" w:cstheme="minorBidi"/>
                <w:color w:val="000000"/>
                <w:szCs w:val="21"/>
              </w:rPr>
              <w:fldChar w:fldCharType="end"/>
            </w:r>
          </w:p>
        </w:tc>
      </w:tr>
      <w:tr w14:paraId="0D6F17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653C9A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Theory of Probability and Mathematical Statistics (TPMS)</w:t>
            </w:r>
          </w:p>
        </w:tc>
        <w:tc>
          <w:tcPr>
            <w:tcW w:w="1801" w:type="pct"/>
            <w:shd w:val="clear" w:color="auto" w:fill="FFFFFF" w:themeFill="background1"/>
            <w:vAlign w:val="center"/>
          </w:tcPr>
          <w:p w14:paraId="610B2FA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《概率论与数理统计学》</w:t>
            </w:r>
            <w:r>
              <w:rPr>
                <w:rFonts w:hint="eastAsia" w:asciiTheme="minorEastAsia" w:hAnsiTheme="minorEastAsia" w:eastAsiaTheme="minorEastAsia"/>
                <w:bCs/>
                <w:color w:val="000000" w:themeColor="text1"/>
                <w:kern w:val="0"/>
                <w:szCs w:val="21"/>
                <w14:textFill>
                  <w14:solidFill>
                    <w14:schemeClr w14:val="tx1"/>
                  </w14:solidFill>
                </w14:textFill>
              </w:rPr>
              <w:t>翻译刊。翻译基辅大学出版的期刊《</w:t>
            </w:r>
            <w:r>
              <w:rPr>
                <w:rFonts w:asciiTheme="minorEastAsia" w:hAnsiTheme="minorEastAsia" w:eastAsiaTheme="minorEastAsia"/>
                <w:bCs/>
                <w:iCs/>
                <w:color w:val="000000" w:themeColor="text1"/>
                <w:kern w:val="0"/>
                <w:szCs w:val="21"/>
                <w14:textFill>
                  <w14:solidFill>
                    <w14:schemeClr w14:val="tx1"/>
                  </w14:solidFill>
                </w14:textFill>
              </w:rPr>
              <w:t>Teoriya Imovirnostei ta Matematichna Statistika</w:t>
            </w:r>
            <w:r>
              <w:rPr>
                <w:rFonts w:hint="eastAsia" w:asciiTheme="minorEastAsia" w:hAnsiTheme="minorEastAsia" w:eastAsiaTheme="minorEastAsia"/>
                <w:bCs/>
                <w:iCs/>
                <w:color w:val="000000" w:themeColor="text1"/>
                <w:kern w:val="0"/>
                <w:szCs w:val="21"/>
                <w14:textFill>
                  <w14:solidFill>
                    <w14:schemeClr w14:val="tx1"/>
                  </w14:solidFill>
                </w14:textFill>
              </w:rPr>
              <w:t>》</w:t>
            </w:r>
          </w:p>
        </w:tc>
        <w:tc>
          <w:tcPr>
            <w:tcW w:w="2327" w:type="pct"/>
            <w:tcBorders>
              <w:right w:val="single" w:color="auto" w:sz="4" w:space="0"/>
            </w:tcBorders>
            <w:shd w:val="clear" w:color="auto" w:fill="FFFFFF" w:themeFill="background1"/>
            <w:vAlign w:val="center"/>
          </w:tcPr>
          <w:p w14:paraId="052F94E0">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60"/>
                <w:rFonts w:asciiTheme="minorEastAsia" w:hAnsiTheme="minorEastAsia" w:eastAsiaTheme="minorEastAsia" w:cstheme="minorBidi"/>
                <w:color w:val="000000"/>
                <w:szCs w:val="21"/>
              </w:rPr>
            </w:pPr>
            <w:r>
              <w:fldChar w:fldCharType="begin"/>
            </w:r>
            <w:r>
              <w:instrText xml:space="preserve"> HYPERLINK "http://www.ams.org/publications/journals/tpms" </w:instrText>
            </w:r>
            <w:r>
              <w:fldChar w:fldCharType="separate"/>
            </w:r>
            <w:r>
              <w:rPr>
                <w:rStyle w:val="60"/>
                <w:rFonts w:hint="eastAsia" w:asciiTheme="minorEastAsia" w:hAnsiTheme="minorEastAsia" w:eastAsiaTheme="minorEastAsia" w:cstheme="minorBidi"/>
                <w:color w:val="000000"/>
                <w:szCs w:val="21"/>
              </w:rPr>
              <w:t>www.ams.org/publications/journals/tpms</w:t>
            </w:r>
            <w:r>
              <w:rPr>
                <w:rStyle w:val="60"/>
                <w:rFonts w:hint="eastAsia" w:asciiTheme="minorEastAsia" w:hAnsiTheme="minorEastAsia" w:eastAsiaTheme="minorEastAsia" w:cstheme="minorBidi"/>
                <w:color w:val="000000"/>
                <w:szCs w:val="21"/>
              </w:rPr>
              <w:fldChar w:fldCharType="end"/>
            </w:r>
          </w:p>
        </w:tc>
      </w:tr>
      <w:tr w14:paraId="356EA5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870" w:type="pct"/>
            <w:tcBorders>
              <w:left w:val="single" w:color="auto" w:sz="4" w:space="0"/>
            </w:tcBorders>
            <w:shd w:val="clear" w:color="auto" w:fill="FFFFFF" w:themeFill="background1"/>
            <w:vAlign w:val="center"/>
          </w:tcPr>
          <w:p w14:paraId="79DB4C0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Sugaku Expositions</w:t>
            </w:r>
            <w:r>
              <w:rPr>
                <w:rFonts w:hint="eastAsia" w:asciiTheme="minorEastAsia" w:hAnsiTheme="minorEastAsia" w:eastAsiaTheme="minorEastAsia"/>
                <w:bCs/>
                <w:color w:val="000000" w:themeColor="text1"/>
                <w:kern w:val="0"/>
                <w:szCs w:val="21"/>
                <w14:textFill>
                  <w14:solidFill>
                    <w14:schemeClr w14:val="tx1"/>
                  </w14:solidFill>
                </w14:textFill>
              </w:rPr>
              <w:t xml:space="preserve"> </w:t>
            </w:r>
            <w:r>
              <w:rPr>
                <w:rFonts w:asciiTheme="minorEastAsia" w:hAnsiTheme="minorEastAsia" w:eastAsiaTheme="minorEastAsia"/>
                <w:bCs/>
                <w:color w:val="000000" w:themeColor="text1"/>
                <w:kern w:val="0"/>
                <w:szCs w:val="21"/>
                <w14:textFill>
                  <w14:solidFill>
                    <w14:schemeClr w14:val="tx1"/>
                  </w14:solidFill>
                </w14:textFill>
              </w:rPr>
              <w:t>(SUGA)</w:t>
            </w:r>
          </w:p>
        </w:tc>
        <w:tc>
          <w:tcPr>
            <w:tcW w:w="1801" w:type="pct"/>
            <w:shd w:val="clear" w:color="auto" w:fill="FFFFFF" w:themeFill="background1"/>
            <w:vAlign w:val="center"/>
          </w:tcPr>
          <w:p w14:paraId="6D00DD0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《数学论述集》</w:t>
            </w:r>
            <w:r>
              <w:rPr>
                <w:rFonts w:hint="eastAsia" w:asciiTheme="minorEastAsia" w:hAnsiTheme="minorEastAsia" w:eastAsiaTheme="minorEastAsia"/>
                <w:bCs/>
                <w:color w:val="000000" w:themeColor="text1"/>
                <w:kern w:val="0"/>
                <w:szCs w:val="21"/>
                <w14:textFill>
                  <w14:solidFill>
                    <w14:schemeClr w14:val="tx1"/>
                  </w14:solidFill>
                </w14:textFill>
              </w:rPr>
              <w:t>翻译刊。翻译</w:t>
            </w:r>
            <w:r>
              <w:rPr>
                <w:rFonts w:asciiTheme="minorEastAsia" w:hAnsiTheme="minorEastAsia" w:eastAsiaTheme="minorEastAsia"/>
                <w:bCs/>
                <w:color w:val="000000" w:themeColor="text1"/>
                <w:kern w:val="0"/>
                <w:szCs w:val="21"/>
                <w14:textFill>
                  <w14:solidFill>
                    <w14:schemeClr w14:val="tx1"/>
                  </w14:solidFill>
                </w14:textFill>
              </w:rPr>
              <w:t>日本数学</w:t>
            </w:r>
            <w:r>
              <w:rPr>
                <w:rFonts w:hint="eastAsia" w:asciiTheme="minorEastAsia" w:hAnsiTheme="minorEastAsia" w:eastAsiaTheme="minorEastAsia"/>
                <w:bCs/>
                <w:color w:val="000000" w:themeColor="text1"/>
                <w:kern w:val="0"/>
                <w:szCs w:val="21"/>
                <w14:textFill>
                  <w14:solidFill>
                    <w14:schemeClr w14:val="tx1"/>
                  </w14:solidFill>
                </w14:textFill>
              </w:rPr>
              <w:t>会出版社出版</w:t>
            </w:r>
            <w:r>
              <w:rPr>
                <w:rFonts w:asciiTheme="minorEastAsia" w:hAnsiTheme="minorEastAsia" w:eastAsiaTheme="minorEastAsia"/>
                <w:bCs/>
                <w:color w:val="000000" w:themeColor="text1"/>
                <w:kern w:val="0"/>
                <w:szCs w:val="21"/>
                <w14:textFill>
                  <w14:solidFill>
                    <w14:schemeClr w14:val="tx1"/>
                  </w14:solidFill>
                </w14:textFill>
              </w:rPr>
              <w:t>的说明性文章</w:t>
            </w:r>
            <w:r>
              <w:rPr>
                <w:rFonts w:hint="eastAsia" w:asciiTheme="minorEastAsia" w:hAnsiTheme="minorEastAsia" w:eastAsiaTheme="minorEastAsia"/>
                <w:bCs/>
                <w:color w:val="000000" w:themeColor="text1"/>
                <w:kern w:val="0"/>
                <w:szCs w:val="21"/>
                <w14:textFill>
                  <w14:solidFill>
                    <w14:schemeClr w14:val="tx1"/>
                  </w14:solidFill>
                </w14:textFill>
              </w:rPr>
              <w:t>《</w:t>
            </w:r>
            <w:r>
              <w:rPr>
                <w:rFonts w:asciiTheme="minorEastAsia" w:hAnsiTheme="minorEastAsia" w:eastAsiaTheme="minorEastAsia"/>
                <w:bCs/>
                <w:color w:val="000000" w:themeColor="text1"/>
                <w:kern w:val="0"/>
                <w:szCs w:val="21"/>
                <w14:textFill>
                  <w14:solidFill>
                    <w14:schemeClr w14:val="tx1"/>
                  </w14:solidFill>
                </w14:textFill>
              </w:rPr>
              <w:t>Sugaku Expositions</w:t>
            </w:r>
            <w:r>
              <w:rPr>
                <w:rFonts w:hint="eastAsia" w:asciiTheme="minorEastAsia" w:hAnsiTheme="minorEastAsia" w:eastAsiaTheme="minorEastAsia"/>
                <w:bCs/>
                <w:color w:val="000000" w:themeColor="text1"/>
                <w:kern w:val="0"/>
                <w:szCs w:val="21"/>
                <w14:textFill>
                  <w14:solidFill>
                    <w14:schemeClr w14:val="tx1"/>
                  </w14:solidFill>
                </w14:textFill>
              </w:rPr>
              <w:t>》</w:t>
            </w:r>
          </w:p>
        </w:tc>
        <w:tc>
          <w:tcPr>
            <w:tcW w:w="2327" w:type="pct"/>
            <w:tcBorders>
              <w:right w:val="single" w:color="auto" w:sz="4" w:space="0"/>
            </w:tcBorders>
            <w:shd w:val="clear" w:color="auto" w:fill="FFFFFF" w:themeFill="background1"/>
            <w:vAlign w:val="center"/>
          </w:tcPr>
          <w:p w14:paraId="552CDEDD">
            <w:pPr>
              <w:keepNext w:val="0"/>
              <w:keepLines w:val="0"/>
              <w:pageBreakBefore w:val="0"/>
              <w:widowControl/>
              <w:kinsoku/>
              <w:wordWrap/>
              <w:overflowPunct/>
              <w:topLinePunct w:val="0"/>
              <w:autoSpaceDE/>
              <w:autoSpaceDN/>
              <w:bidi w:val="0"/>
              <w:adjustRightInd/>
              <w:snapToGrid/>
              <w:spacing w:line="400" w:lineRule="exact"/>
              <w:jc w:val="left"/>
              <w:textAlignment w:val="auto"/>
              <w:rPr>
                <w:rStyle w:val="60"/>
                <w:rFonts w:asciiTheme="minorEastAsia" w:hAnsiTheme="minorEastAsia" w:eastAsiaTheme="minorEastAsia" w:cstheme="minorBidi"/>
                <w:color w:val="000000"/>
                <w:szCs w:val="21"/>
              </w:rPr>
            </w:pPr>
            <w:r>
              <w:fldChar w:fldCharType="begin"/>
            </w:r>
            <w:r>
              <w:instrText xml:space="preserve"> HYPERLINK "http://www.ams.org/publications/journals/sugaku" </w:instrText>
            </w:r>
            <w:r>
              <w:fldChar w:fldCharType="separate"/>
            </w:r>
            <w:r>
              <w:rPr>
                <w:rStyle w:val="60"/>
                <w:rFonts w:hint="eastAsia" w:asciiTheme="minorEastAsia" w:hAnsiTheme="minorEastAsia" w:eastAsiaTheme="minorEastAsia" w:cstheme="minorBidi"/>
                <w:color w:val="000000"/>
                <w:szCs w:val="21"/>
              </w:rPr>
              <w:t>www.ams.org/publications/journals/sugaku</w:t>
            </w:r>
            <w:r>
              <w:rPr>
                <w:rStyle w:val="60"/>
                <w:rFonts w:hint="eastAsia" w:asciiTheme="minorEastAsia" w:hAnsiTheme="minorEastAsia" w:eastAsiaTheme="minorEastAsia" w:cstheme="minorBidi"/>
                <w:color w:val="000000"/>
                <w:szCs w:val="21"/>
              </w:rPr>
              <w:fldChar w:fldCharType="end"/>
            </w:r>
          </w:p>
        </w:tc>
      </w:tr>
    </w:tbl>
    <w:p w14:paraId="70CEB69F">
      <w:pPr>
        <w:keepNext w:val="0"/>
        <w:keepLines w:val="0"/>
        <w:pageBreakBefore w:val="0"/>
        <w:numPr>
          <w:ilvl w:val="255"/>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2.文种</w:t>
      </w:r>
    </w:p>
    <w:p w14:paraId="4540DD49">
      <w:pPr>
        <w:keepNext w:val="0"/>
        <w:keepLines w:val="0"/>
        <w:pageBreakBefore w:val="0"/>
        <w:numPr>
          <w:ilvl w:val="255"/>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英文</w:t>
      </w:r>
      <w:r>
        <w:rPr>
          <w:rFonts w:hint="eastAsia" w:ascii="宋体" w:hAnsi="宋体" w:cs="宋体"/>
          <w:szCs w:val="21"/>
          <w:lang w:eastAsia="zh-CN"/>
        </w:rPr>
        <w:t>。</w:t>
      </w:r>
    </w:p>
    <w:p w14:paraId="6476062B">
      <w:pPr>
        <w:keepNext w:val="0"/>
        <w:keepLines w:val="0"/>
        <w:pageBreakBefore w:val="0"/>
        <w:numPr>
          <w:ilvl w:val="255"/>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3.数据库访问控制</w:t>
      </w:r>
    </w:p>
    <w:p w14:paraId="1ED798DB">
      <w:pPr>
        <w:keepNext w:val="0"/>
        <w:keepLines w:val="0"/>
        <w:pageBreakBefore w:val="0"/>
        <w:numPr>
          <w:ilvl w:val="255"/>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IP控制</w:t>
      </w:r>
      <w:r>
        <w:rPr>
          <w:rFonts w:hint="eastAsia" w:ascii="宋体" w:hAnsi="宋体" w:cs="宋体"/>
          <w:szCs w:val="21"/>
          <w:lang w:eastAsia="zh-CN"/>
        </w:rPr>
        <w:t>，校内IP个人账号登录，校外可通过VPN登录。</w:t>
      </w:r>
    </w:p>
    <w:p w14:paraId="500FDF5A">
      <w:pPr>
        <w:keepNext w:val="0"/>
        <w:keepLines w:val="0"/>
        <w:pageBreakBefore w:val="0"/>
        <w:numPr>
          <w:ilvl w:val="255"/>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4.数据库类型与指标</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498"/>
        <w:gridCol w:w="3598"/>
      </w:tblGrid>
      <w:tr w14:paraId="2B9D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Align w:val="center"/>
          </w:tcPr>
          <w:p w14:paraId="0BF858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指标</w:t>
            </w:r>
          </w:p>
        </w:tc>
        <w:tc>
          <w:tcPr>
            <w:tcW w:w="2451" w:type="pct"/>
            <w:vAlign w:val="center"/>
          </w:tcPr>
          <w:p w14:paraId="51700F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b/>
                <w:bCs/>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数据库</w:t>
            </w:r>
            <w:r>
              <w:rPr>
                <w:rFonts w:hint="eastAsia" w:asciiTheme="minorEastAsia" w:hAnsiTheme="minorEastAsia" w:eastAsiaTheme="minorEastAsia"/>
                <w:b/>
                <w:bCs/>
                <w:color w:val="000000" w:themeColor="text1"/>
                <w:kern w:val="0"/>
                <w:szCs w:val="21"/>
                <w:lang w:val="en-US" w:eastAsia="zh-CN"/>
                <w14:textFill>
                  <w14:solidFill>
                    <w14:schemeClr w14:val="tx1"/>
                  </w14:solidFill>
                </w14:textFill>
              </w:rPr>
              <w:t>1</w:t>
            </w:r>
          </w:p>
        </w:tc>
        <w:tc>
          <w:tcPr>
            <w:tcW w:w="1961" w:type="pct"/>
            <w:vAlign w:val="center"/>
          </w:tcPr>
          <w:p w14:paraId="531D71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b/>
                <w:bCs/>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b/>
                <w:bCs/>
                <w:color w:val="000000" w:themeColor="text1"/>
                <w:kern w:val="0"/>
                <w:szCs w:val="21"/>
                <w:lang w:val="en-US" w:eastAsia="zh-CN"/>
                <w14:textFill>
                  <w14:solidFill>
                    <w14:schemeClr w14:val="tx1"/>
                  </w14:solidFill>
                </w14:textFill>
              </w:rPr>
              <w:t>数据库2</w:t>
            </w:r>
          </w:p>
        </w:tc>
      </w:tr>
      <w:tr w14:paraId="2C69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Align w:val="center"/>
          </w:tcPr>
          <w:p w14:paraId="56D245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学科</w:t>
            </w:r>
          </w:p>
        </w:tc>
        <w:tc>
          <w:tcPr>
            <w:tcW w:w="2451" w:type="pct"/>
            <w:vAlign w:val="center"/>
          </w:tcPr>
          <w:p w14:paraId="5BC094D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收录的文献涉及数学及数学在统计学、工程学、物理学、经济学、生物学、运筹学、计算机科学等数十个应用领域。数据库提供特有的Mathematics Subject Classification(MSC)数学主题分类，每十年更新一次，现行版本为MSC2020，分三个子类，其中第一大类有97个。</w:t>
            </w:r>
          </w:p>
        </w:tc>
        <w:tc>
          <w:tcPr>
            <w:tcW w:w="1961" w:type="pct"/>
            <w:vAlign w:val="center"/>
          </w:tcPr>
          <w:p w14:paraId="061BD4E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数学及数学在统计学、工程学、物理学、经济学、生物学、运筹学、计算机科学等数十个应用领域。</w:t>
            </w:r>
          </w:p>
          <w:p w14:paraId="74C45E7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p>
        </w:tc>
      </w:tr>
      <w:tr w14:paraId="2DDC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Align w:val="center"/>
          </w:tcPr>
          <w:p w14:paraId="71BC9B5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数据库类型</w:t>
            </w:r>
          </w:p>
        </w:tc>
        <w:tc>
          <w:tcPr>
            <w:tcW w:w="2451" w:type="pct"/>
            <w:vAlign w:val="center"/>
          </w:tcPr>
          <w:p w14:paraId="6BA03BF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检索型数据库</w:t>
            </w:r>
          </w:p>
        </w:tc>
        <w:tc>
          <w:tcPr>
            <w:tcW w:w="1961" w:type="pct"/>
            <w:vAlign w:val="center"/>
          </w:tcPr>
          <w:p w14:paraId="7D2920C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期刊全文数据库</w:t>
            </w:r>
          </w:p>
        </w:tc>
      </w:tr>
      <w:tr w14:paraId="0EB3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Align w:val="center"/>
          </w:tcPr>
          <w:p w14:paraId="0318C5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数据库网址</w:t>
            </w:r>
          </w:p>
        </w:tc>
        <w:tc>
          <w:tcPr>
            <w:tcW w:w="2451" w:type="pct"/>
            <w:vAlign w:val="center"/>
          </w:tcPr>
          <w:p w14:paraId="68561DC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fldChar w:fldCharType="begin"/>
            </w:r>
            <w:r>
              <w:instrText xml:space="preserve"> HYPERLINK "https://mathscinet.ams.org/mathscinet/" </w:instrText>
            </w:r>
            <w:r>
              <w:fldChar w:fldCharType="separate"/>
            </w:r>
            <w:r>
              <w:rPr>
                <w:rFonts w:asciiTheme="minorEastAsia" w:hAnsiTheme="minorEastAsia" w:eastAsiaTheme="minorEastAsia"/>
                <w:bCs/>
                <w:color w:val="000000" w:themeColor="text1"/>
                <w:kern w:val="0"/>
                <w:szCs w:val="21"/>
                <w14:textFill>
                  <w14:solidFill>
                    <w14:schemeClr w14:val="tx1"/>
                  </w14:solidFill>
                </w14:textFill>
              </w:rPr>
              <w:t>https://mathscinet.ams.org/mathscinet/</w:t>
            </w:r>
            <w:r>
              <w:rPr>
                <w:rFonts w:asciiTheme="minorEastAsia" w:hAnsiTheme="minorEastAsia" w:eastAsiaTheme="minorEastAsia"/>
                <w:bCs/>
                <w:color w:val="000000" w:themeColor="text1"/>
                <w:kern w:val="0"/>
                <w:szCs w:val="21"/>
                <w14:textFill>
                  <w14:solidFill>
                    <w14:schemeClr w14:val="tx1"/>
                  </w14:solidFill>
                </w14:textFill>
              </w:rPr>
              <w:fldChar w:fldCharType="end"/>
            </w:r>
          </w:p>
        </w:tc>
        <w:tc>
          <w:tcPr>
            <w:tcW w:w="1961" w:type="pct"/>
            <w:vAlign w:val="center"/>
          </w:tcPr>
          <w:p w14:paraId="4AC1FA7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asciiTheme="minorEastAsia" w:hAnsiTheme="minorEastAsia" w:eastAsiaTheme="minorEastAsia"/>
                <w:bCs/>
                <w:color w:val="000000" w:themeColor="text1"/>
                <w:kern w:val="0"/>
                <w:szCs w:val="21"/>
                <w14:textFill>
                  <w14:solidFill>
                    <w14:schemeClr w14:val="tx1"/>
                  </w14:solidFill>
                </w14:textFill>
              </w:rPr>
              <w:t>http://www.ams.org/epubsearch/</w:t>
            </w:r>
          </w:p>
        </w:tc>
      </w:tr>
      <w:tr w14:paraId="5CAA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Align w:val="center"/>
          </w:tcPr>
          <w:p w14:paraId="1E0F5A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永久使用权</w:t>
            </w:r>
          </w:p>
        </w:tc>
        <w:tc>
          <w:tcPr>
            <w:tcW w:w="2451" w:type="pct"/>
            <w:vAlign w:val="center"/>
          </w:tcPr>
          <w:p w14:paraId="4E1E07C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无永久使用权</w:t>
            </w:r>
          </w:p>
          <w:p w14:paraId="711D7DA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p>
        </w:tc>
        <w:tc>
          <w:tcPr>
            <w:tcW w:w="1961" w:type="pct"/>
            <w:vAlign w:val="center"/>
          </w:tcPr>
          <w:p w14:paraId="1369CB5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提供付费订阅年度出版的期刊内容的永久访问权</w:t>
            </w:r>
          </w:p>
        </w:tc>
      </w:tr>
      <w:tr w14:paraId="595E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Align w:val="center"/>
          </w:tcPr>
          <w:p w14:paraId="075D8D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更新频率</w:t>
            </w:r>
          </w:p>
        </w:tc>
        <w:tc>
          <w:tcPr>
            <w:tcW w:w="2451" w:type="pct"/>
            <w:vAlign w:val="center"/>
          </w:tcPr>
          <w:p w14:paraId="2B1B0F9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每小时更新</w:t>
            </w:r>
          </w:p>
          <w:p w14:paraId="483136A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p>
        </w:tc>
        <w:tc>
          <w:tcPr>
            <w:tcW w:w="1961" w:type="pct"/>
            <w:vAlign w:val="center"/>
          </w:tcPr>
          <w:p w14:paraId="230A334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根据期刊出版频率更新</w:t>
            </w:r>
          </w:p>
        </w:tc>
      </w:tr>
      <w:tr w14:paraId="1048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Align w:val="center"/>
          </w:tcPr>
          <w:p w14:paraId="094E90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查看形式</w:t>
            </w:r>
          </w:p>
        </w:tc>
        <w:tc>
          <w:tcPr>
            <w:tcW w:w="2451" w:type="pct"/>
            <w:vAlign w:val="center"/>
          </w:tcPr>
          <w:p w14:paraId="2612B89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P</w:t>
            </w:r>
            <w:r>
              <w:rPr>
                <w:rFonts w:asciiTheme="minorEastAsia" w:hAnsiTheme="minorEastAsia" w:eastAsiaTheme="minorEastAsia"/>
                <w:bCs/>
                <w:color w:val="000000" w:themeColor="text1"/>
                <w:kern w:val="0"/>
                <w:szCs w:val="21"/>
                <w14:textFill>
                  <w14:solidFill>
                    <w14:schemeClr w14:val="tx1"/>
                  </w14:solidFill>
                </w14:textFill>
              </w:rPr>
              <w:t>DF</w:t>
            </w:r>
            <w:r>
              <w:rPr>
                <w:rFonts w:hint="eastAsia" w:asciiTheme="minorEastAsia" w:hAnsiTheme="minorEastAsia" w:eastAsiaTheme="minorEastAsia"/>
                <w:bCs/>
                <w:color w:val="000000" w:themeColor="text1"/>
                <w:kern w:val="0"/>
                <w:szCs w:val="21"/>
                <w14:textFill>
                  <w14:solidFill>
                    <w14:schemeClr w14:val="tx1"/>
                  </w14:solidFill>
                </w14:textFill>
              </w:rPr>
              <w:t>，HTML</w:t>
            </w:r>
          </w:p>
        </w:tc>
        <w:tc>
          <w:tcPr>
            <w:tcW w:w="1961" w:type="pct"/>
            <w:vAlign w:val="center"/>
          </w:tcPr>
          <w:p w14:paraId="373F3E5C">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P</w:t>
            </w:r>
            <w:r>
              <w:rPr>
                <w:rFonts w:asciiTheme="minorEastAsia" w:hAnsiTheme="minorEastAsia" w:eastAsiaTheme="minorEastAsia"/>
                <w:bCs/>
                <w:color w:val="000000" w:themeColor="text1"/>
                <w:kern w:val="0"/>
                <w:szCs w:val="21"/>
                <w14:textFill>
                  <w14:solidFill>
                    <w14:schemeClr w14:val="tx1"/>
                  </w14:solidFill>
                </w14:textFill>
              </w:rPr>
              <w:t>DF</w:t>
            </w:r>
          </w:p>
        </w:tc>
      </w:tr>
      <w:tr w14:paraId="2365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Align w:val="center"/>
          </w:tcPr>
          <w:p w14:paraId="3ACB67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功能特色</w:t>
            </w:r>
          </w:p>
        </w:tc>
        <w:tc>
          <w:tcPr>
            <w:tcW w:w="2451" w:type="pct"/>
            <w:vAlign w:val="center"/>
          </w:tcPr>
          <w:p w14:paraId="285C7D4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w:t>
            </w:r>
          </w:p>
        </w:tc>
        <w:tc>
          <w:tcPr>
            <w:tcW w:w="1961" w:type="pct"/>
            <w:vAlign w:val="center"/>
          </w:tcPr>
          <w:p w14:paraId="7F3EC72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支持检索——通过文章名、作者、学科等进行搜索；</w:t>
            </w:r>
          </w:p>
          <w:p w14:paraId="266B5CD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提供永久访问权；</w:t>
            </w:r>
          </w:p>
          <w:p w14:paraId="7FD58223">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不限用户数访问、不限时间访问；</w:t>
            </w:r>
          </w:p>
          <w:p w14:paraId="3CEE775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电子期刊内容优先于印刷版可得。</w:t>
            </w:r>
          </w:p>
        </w:tc>
      </w:tr>
      <w:tr w14:paraId="5E89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6" w:type="pct"/>
            <w:vAlign w:val="center"/>
          </w:tcPr>
          <w:p w14:paraId="7EEB0C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b/>
                <w:bCs/>
                <w:color w:val="000000" w:themeColor="text1"/>
                <w:kern w:val="0"/>
                <w:szCs w:val="21"/>
                <w14:textFill>
                  <w14:solidFill>
                    <w14:schemeClr w14:val="tx1"/>
                  </w14:solidFill>
                </w14:textFill>
              </w:rPr>
            </w:pPr>
            <w:r>
              <w:rPr>
                <w:rFonts w:hint="eastAsia" w:asciiTheme="minorEastAsia" w:hAnsiTheme="minorEastAsia" w:eastAsiaTheme="minorEastAsia"/>
                <w:b/>
                <w:bCs/>
                <w:color w:val="000000" w:themeColor="text1"/>
                <w:kern w:val="0"/>
                <w:szCs w:val="21"/>
                <w14:textFill>
                  <w14:solidFill>
                    <w14:schemeClr w14:val="tx1"/>
                  </w14:solidFill>
                </w14:textFill>
              </w:rPr>
              <w:t>可检索使用年限</w:t>
            </w:r>
          </w:p>
        </w:tc>
        <w:tc>
          <w:tcPr>
            <w:tcW w:w="2451" w:type="pct"/>
            <w:vAlign w:val="center"/>
          </w:tcPr>
          <w:p w14:paraId="1A486FB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1940年至今</w:t>
            </w:r>
          </w:p>
        </w:tc>
        <w:tc>
          <w:tcPr>
            <w:tcW w:w="1961" w:type="pct"/>
            <w:vAlign w:val="center"/>
          </w:tcPr>
          <w:p w14:paraId="67F2894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Theme="minorEastAsia" w:hAnsiTheme="minorEastAsia" w:eastAsiaTheme="minorEastAsia"/>
                <w:bCs/>
                <w:color w:val="000000" w:themeColor="text1"/>
                <w:kern w:val="0"/>
                <w:szCs w:val="21"/>
                <w14:textFill>
                  <w14:solidFill>
                    <w14:schemeClr w14:val="tx1"/>
                  </w14:solidFill>
                </w14:textFill>
              </w:rPr>
            </w:pPr>
            <w:r>
              <w:rPr>
                <w:rFonts w:hint="eastAsia" w:asciiTheme="minorEastAsia" w:hAnsiTheme="minorEastAsia" w:eastAsiaTheme="minorEastAsia"/>
                <w:bCs/>
                <w:color w:val="000000" w:themeColor="text1"/>
                <w:kern w:val="0"/>
                <w:szCs w:val="21"/>
                <w14:textFill>
                  <w14:solidFill>
                    <w14:schemeClr w14:val="tx1"/>
                  </w14:solidFill>
                </w14:textFill>
              </w:rPr>
              <w:t>/</w:t>
            </w:r>
          </w:p>
        </w:tc>
      </w:tr>
    </w:tbl>
    <w:p w14:paraId="48D34826">
      <w:pPr>
        <w:keepNext w:val="0"/>
        <w:keepLines w:val="0"/>
        <w:pageBreakBefore w:val="0"/>
        <w:numPr>
          <w:ilvl w:val="255"/>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bCs/>
          <w:sz w:val="21"/>
          <w:szCs w:val="21"/>
        </w:rPr>
        <w:t>服务期内，配合</w:t>
      </w:r>
      <w:r>
        <w:rPr>
          <w:rFonts w:hint="eastAsia" w:ascii="宋体" w:hAnsi="宋体" w:cs="宋体"/>
          <w:bCs/>
          <w:sz w:val="21"/>
          <w:szCs w:val="21"/>
          <w:lang w:eastAsia="zh-CN"/>
        </w:rPr>
        <w:t>采购人</w:t>
      </w:r>
      <w:r>
        <w:rPr>
          <w:rFonts w:hint="eastAsia" w:ascii="宋体" w:hAnsi="宋体" w:eastAsia="宋体" w:cs="宋体"/>
          <w:bCs/>
          <w:sz w:val="21"/>
          <w:szCs w:val="21"/>
          <w:lang w:val="en-US" w:eastAsia="zh-CN"/>
        </w:rPr>
        <w:t>无条件</w:t>
      </w:r>
      <w:r>
        <w:rPr>
          <w:rFonts w:hint="eastAsia" w:ascii="宋体" w:hAnsi="宋体" w:eastAsia="宋体" w:cs="宋体"/>
          <w:bCs/>
          <w:sz w:val="21"/>
          <w:szCs w:val="21"/>
        </w:rPr>
        <w:t>提供数据库培训等活动一年内不少于2次，具体时间和形式，双方协商确认。</w:t>
      </w:r>
    </w:p>
    <w:p w14:paraId="023B782E">
      <w:pPr>
        <w:keepNext w:val="0"/>
        <w:keepLines w:val="0"/>
        <w:pageBreakBefore w:val="0"/>
        <w:numPr>
          <w:ilvl w:val="255"/>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Cs w:val="21"/>
          <w:lang w:val="en-US" w:eastAsia="zh-CN"/>
        </w:rPr>
      </w:pPr>
      <w:r>
        <w:rPr>
          <w:rFonts w:hint="eastAsia" w:ascii="宋体" w:hAnsi="宋体" w:cs="宋体"/>
          <w:szCs w:val="21"/>
          <w:lang w:val="en-US" w:eastAsia="zh-CN"/>
        </w:rPr>
        <w:t>6.提供网络、电话及E-mail支持服务，响应时间不超过24小时。</w:t>
      </w:r>
    </w:p>
    <w:p w14:paraId="5DD1F3A7">
      <w:pPr>
        <w:keepNext w:val="0"/>
        <w:keepLines w:val="0"/>
        <w:pageBreakBefore w:val="0"/>
        <w:numPr>
          <w:ilvl w:val="255"/>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7.</w:t>
      </w:r>
      <w:r>
        <w:rPr>
          <w:rFonts w:hint="eastAsia" w:ascii="宋体" w:hAnsi="宋体" w:eastAsia="宋体" w:cs="宋体"/>
          <w:szCs w:val="21"/>
        </w:rPr>
        <w:t>服务期限：2026</w:t>
      </w:r>
      <w:r>
        <w:rPr>
          <w:rFonts w:hint="eastAsia" w:ascii="宋体" w:hAnsi="宋体" w:eastAsia="宋体" w:cs="宋体"/>
          <w:szCs w:val="21"/>
          <w:lang w:eastAsia="zh-CN"/>
        </w:rPr>
        <w:t>年</w:t>
      </w:r>
      <w:r>
        <w:rPr>
          <w:rFonts w:hint="eastAsia" w:ascii="宋体" w:hAnsi="宋体" w:eastAsia="宋体" w:cs="宋体"/>
          <w:szCs w:val="21"/>
        </w:rPr>
        <w:t>1</w:t>
      </w:r>
      <w:r>
        <w:rPr>
          <w:rFonts w:hint="eastAsia" w:ascii="宋体" w:hAnsi="宋体" w:eastAsia="宋体" w:cs="宋体"/>
          <w:szCs w:val="21"/>
          <w:lang w:eastAsia="zh-CN"/>
        </w:rPr>
        <w:t>月</w:t>
      </w:r>
      <w:r>
        <w:rPr>
          <w:rFonts w:hint="eastAsia" w:ascii="宋体" w:hAnsi="宋体" w:eastAsia="宋体" w:cs="宋体"/>
          <w:szCs w:val="21"/>
        </w:rPr>
        <w:t>1</w:t>
      </w:r>
      <w:r>
        <w:rPr>
          <w:rFonts w:hint="eastAsia" w:ascii="宋体" w:hAnsi="宋体" w:eastAsia="宋体" w:cs="宋体"/>
          <w:szCs w:val="21"/>
          <w:lang w:eastAsia="zh-CN"/>
        </w:rPr>
        <w:t>日至</w:t>
      </w:r>
      <w:r>
        <w:rPr>
          <w:rFonts w:hint="eastAsia" w:ascii="宋体" w:hAnsi="宋体" w:eastAsia="宋体" w:cs="宋体"/>
          <w:szCs w:val="21"/>
        </w:rPr>
        <w:t>2026</w:t>
      </w:r>
      <w:r>
        <w:rPr>
          <w:rFonts w:hint="eastAsia" w:ascii="宋体" w:hAnsi="宋体" w:eastAsia="宋体" w:cs="宋体"/>
          <w:szCs w:val="21"/>
          <w:lang w:eastAsia="zh-CN"/>
        </w:rPr>
        <w:t>年</w:t>
      </w:r>
      <w:r>
        <w:rPr>
          <w:rFonts w:hint="eastAsia" w:ascii="宋体" w:hAnsi="宋体" w:eastAsia="宋体" w:cs="宋体"/>
          <w:szCs w:val="21"/>
        </w:rPr>
        <w:t>12</w:t>
      </w:r>
      <w:r>
        <w:rPr>
          <w:rFonts w:hint="eastAsia" w:ascii="宋体" w:hAnsi="宋体" w:eastAsia="宋体" w:cs="宋体"/>
          <w:szCs w:val="21"/>
          <w:lang w:eastAsia="zh-CN"/>
        </w:rPr>
        <w:t>月</w:t>
      </w:r>
      <w:r>
        <w:rPr>
          <w:rFonts w:hint="eastAsia" w:ascii="宋体" w:hAnsi="宋体" w:eastAsia="宋体" w:cs="宋体"/>
          <w:szCs w:val="21"/>
        </w:rPr>
        <w:t>31</w:t>
      </w:r>
      <w:r>
        <w:rPr>
          <w:rFonts w:hint="eastAsia" w:ascii="宋体" w:hAnsi="宋体" w:eastAsia="宋体" w:cs="宋体"/>
          <w:szCs w:val="21"/>
          <w:lang w:eastAsia="zh-CN"/>
        </w:rPr>
        <w:t>日</w:t>
      </w:r>
      <w:r>
        <w:rPr>
          <w:rFonts w:hint="eastAsia" w:ascii="宋体" w:hAnsi="宋体" w:cs="宋体"/>
          <w:szCs w:val="21"/>
          <w:lang w:eastAsia="zh-CN"/>
        </w:rPr>
        <w:t>。</w:t>
      </w:r>
    </w:p>
    <w:p w14:paraId="5522B1DD">
      <w:pPr>
        <w:rPr>
          <w:rFonts w:ascii="宋体" w:hAnsi="宋体" w:cs="宋体"/>
          <w:b/>
          <w:szCs w:val="21"/>
        </w:rPr>
      </w:pPr>
    </w:p>
    <w:p w14:paraId="7D681376">
      <w:pPr>
        <w:spacing w:line="400" w:lineRule="exact"/>
        <w:ind w:firstLine="422" w:firstLineChars="200"/>
        <w:rPr>
          <w:rFonts w:ascii="宋体" w:hAnsi="宋体" w:cs="宋体"/>
          <w:b/>
          <w:szCs w:val="21"/>
        </w:rPr>
        <w:sectPr>
          <w:pgSz w:w="11905" w:h="16838"/>
          <w:pgMar w:top="1474" w:right="1474" w:bottom="1474" w:left="1474" w:header="907" w:footer="850" w:gutter="0"/>
          <w:pgBorders>
            <w:top w:val="none" w:sz="0" w:space="0"/>
            <w:left w:val="none" w:sz="0" w:space="0"/>
            <w:bottom w:val="none" w:sz="0" w:space="0"/>
            <w:right w:val="none" w:sz="0" w:space="0"/>
          </w:pgBorders>
          <w:cols w:space="0" w:num="1"/>
          <w:docGrid w:type="lines" w:linePitch="289" w:charSpace="0"/>
        </w:sectPr>
      </w:pPr>
    </w:p>
    <w:p w14:paraId="658FA4EA">
      <w:pPr>
        <w:spacing w:line="400" w:lineRule="exact"/>
        <w:ind w:firstLine="422" w:firstLineChars="200"/>
        <w:rPr>
          <w:rFonts w:ascii="宋体" w:hAnsi="宋体" w:cs="宋体"/>
          <w:b/>
          <w:szCs w:val="21"/>
        </w:rPr>
      </w:pPr>
      <w:r>
        <w:rPr>
          <w:rFonts w:hint="eastAsia" w:ascii="宋体" w:hAnsi="宋体" w:cs="宋体"/>
          <w:b/>
          <w:szCs w:val="21"/>
        </w:rPr>
        <w:t>标项四十六（John Benjamins（本杰明）期刊数据库）：</w:t>
      </w:r>
    </w:p>
    <w:p w14:paraId="24A71125">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收录可在线访问的数十种高品质学术期刊，全面覆盖人文社会科学、语言与文学等研究领域，包含很多语言学领域的知名期刊</w:t>
      </w:r>
      <w:r>
        <w:rPr>
          <w:rFonts w:hint="eastAsia" w:ascii="宋体" w:hAnsi="宋体" w:cs="宋体"/>
          <w:szCs w:val="21"/>
          <w:lang w:eastAsia="zh-CN"/>
        </w:rPr>
        <w:t>，</w:t>
      </w:r>
      <w:r>
        <w:rPr>
          <w:rFonts w:hint="eastAsia" w:ascii="宋体" w:hAnsi="宋体" w:cs="宋体"/>
          <w:szCs w:val="21"/>
          <w:lang w:val="en-US" w:eastAsia="zh-CN"/>
        </w:rPr>
        <w:t>比如《</w:t>
      </w:r>
      <w:r>
        <w:rPr>
          <w:rFonts w:hint="eastAsia" w:ascii="宋体" w:hAnsi="宋体" w:cs="宋体"/>
          <w:szCs w:val="21"/>
        </w:rPr>
        <w:t>Target. International Journal of Translation Studies</w:t>
      </w:r>
      <w:r>
        <w:rPr>
          <w:rFonts w:hint="eastAsia" w:ascii="宋体" w:hAnsi="宋体" w:cs="宋体"/>
          <w:szCs w:val="21"/>
          <w:lang w:eastAsia="zh-CN"/>
        </w:rPr>
        <w:t>》、《</w:t>
      </w:r>
      <w:r>
        <w:rPr>
          <w:rFonts w:hint="eastAsia" w:ascii="宋体" w:hAnsi="宋体" w:cs="宋体"/>
          <w:szCs w:val="21"/>
        </w:rPr>
        <w:t>Babel. International Journal of Translation</w:t>
      </w:r>
      <w:r>
        <w:rPr>
          <w:rFonts w:hint="eastAsia" w:ascii="宋体" w:hAnsi="宋体" w:cs="宋体"/>
          <w:szCs w:val="21"/>
          <w:lang w:eastAsia="zh-CN"/>
        </w:rPr>
        <w:t>》、《</w:t>
      </w:r>
      <w:r>
        <w:rPr>
          <w:rFonts w:hint="eastAsia" w:ascii="宋体" w:hAnsi="宋体" w:cs="宋体"/>
          <w:szCs w:val="21"/>
        </w:rPr>
        <w:t>International Journal of Corpus Linguistics</w:t>
      </w:r>
      <w:r>
        <w:rPr>
          <w:rFonts w:hint="eastAsia" w:ascii="宋体" w:hAnsi="宋体" w:cs="宋体"/>
          <w:szCs w:val="21"/>
          <w:lang w:eastAsia="zh-CN"/>
        </w:rPr>
        <w:t>》</w:t>
      </w:r>
      <w:r>
        <w:rPr>
          <w:rFonts w:hint="eastAsia" w:ascii="宋体" w:hAnsi="宋体" w:cs="宋体"/>
          <w:szCs w:val="21"/>
        </w:rPr>
        <w:t>。</w:t>
      </w:r>
    </w:p>
    <w:p w14:paraId="3A189325">
      <w:pPr>
        <w:numPr>
          <w:ilvl w:val="255"/>
          <w:numId w:val="0"/>
        </w:numPr>
        <w:spacing w:line="4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由</w:t>
      </w:r>
      <w:r>
        <w:rPr>
          <w:rFonts w:hint="eastAsia" w:ascii="宋体" w:hAnsi="宋体" w:cs="宋体"/>
          <w:b w:val="0"/>
          <w:bCs/>
          <w:szCs w:val="21"/>
        </w:rPr>
        <w:t>John Benjamins</w:t>
      </w:r>
      <w:r>
        <w:rPr>
          <w:rFonts w:hint="eastAsia" w:ascii="宋体" w:hAnsi="宋体" w:cs="宋体"/>
          <w:b w:val="0"/>
          <w:bCs/>
          <w:szCs w:val="21"/>
          <w:lang w:val="en-US" w:eastAsia="zh-CN"/>
        </w:rPr>
        <w:t>出版社推出，</w:t>
      </w:r>
      <w:r>
        <w:rPr>
          <w:rFonts w:hint="eastAsia" w:ascii="宋体" w:hAnsi="宋体" w:cs="宋体"/>
          <w:b w:val="0"/>
          <w:bCs/>
          <w:szCs w:val="21"/>
        </w:rPr>
        <w:t>全库</w:t>
      </w:r>
      <w:r>
        <w:rPr>
          <w:rFonts w:hint="eastAsia" w:ascii="宋体" w:hAnsi="宋体" w:cs="宋体"/>
          <w:b w:val="0"/>
          <w:bCs/>
          <w:szCs w:val="21"/>
          <w:lang w:val="en-US" w:eastAsia="zh-CN"/>
        </w:rPr>
        <w:t>电子期刊</w:t>
      </w:r>
      <w:r>
        <w:rPr>
          <w:rFonts w:hint="eastAsia" w:ascii="宋体" w:hAnsi="宋体" w:cs="宋体"/>
          <w:szCs w:val="21"/>
        </w:rPr>
        <w:t>包含88种期刊。</w:t>
      </w:r>
    </w:p>
    <w:p w14:paraId="5A76607D">
      <w:pPr>
        <w:numPr>
          <w:ilvl w:val="255"/>
          <w:numId w:val="0"/>
        </w:numPr>
        <w:spacing w:line="400" w:lineRule="exact"/>
        <w:ind w:firstLine="420" w:firstLineChars="200"/>
        <w:rPr>
          <w:rFonts w:ascii="宋体" w:hAnsi="宋体" w:cs="宋体"/>
          <w:szCs w:val="21"/>
        </w:rPr>
      </w:pPr>
      <w:r>
        <w:rPr>
          <w:rFonts w:hint="eastAsia" w:ascii="宋体" w:hAnsi="宋体" w:cs="宋体"/>
          <w:szCs w:val="21"/>
        </w:rPr>
        <w:t>2.服务模式：远程访问，IP控制，无并发用户数限制；校园网范围内正常访问，</w:t>
      </w:r>
      <w:r>
        <w:rPr>
          <w:rFonts w:hint="eastAsia" w:ascii="宋体" w:hAnsi="宋体" w:cs="宋体"/>
          <w:szCs w:val="21"/>
          <w:lang w:val="en-US" w:eastAsia="zh-CN"/>
        </w:rPr>
        <w:t>支持</w:t>
      </w:r>
      <w:r>
        <w:rPr>
          <w:rFonts w:hint="eastAsia" w:ascii="宋体" w:hAnsi="宋体" w:cs="宋体"/>
          <w:szCs w:val="21"/>
        </w:rPr>
        <w:t>VPN等校外访问权限。</w:t>
      </w:r>
    </w:p>
    <w:p w14:paraId="1F035C30">
      <w:pPr>
        <w:numPr>
          <w:ilvl w:val="255"/>
          <w:numId w:val="0"/>
        </w:numPr>
        <w:spacing w:line="400" w:lineRule="exact"/>
        <w:ind w:firstLine="420" w:firstLineChars="200"/>
        <w:rPr>
          <w:rFonts w:ascii="宋体" w:hAnsi="宋体" w:cs="宋体"/>
          <w:szCs w:val="21"/>
        </w:rPr>
      </w:pPr>
      <w:r>
        <w:rPr>
          <w:rFonts w:hint="eastAsia" w:ascii="宋体" w:hAnsi="宋体" w:cs="宋体"/>
          <w:szCs w:val="21"/>
        </w:rPr>
        <w:t>3.数据更新：按各期刊出版更新频率及时同步更新。</w:t>
      </w:r>
    </w:p>
    <w:p w14:paraId="137240B4">
      <w:pPr>
        <w:numPr>
          <w:ilvl w:val="255"/>
          <w:numId w:val="0"/>
        </w:numPr>
        <w:spacing w:line="400" w:lineRule="exact"/>
        <w:ind w:firstLine="420" w:firstLineChars="200"/>
        <w:rPr>
          <w:rFonts w:ascii="宋体" w:hAnsi="宋体" w:cs="宋体"/>
          <w:szCs w:val="21"/>
        </w:rPr>
      </w:pPr>
      <w:r>
        <w:rPr>
          <w:rFonts w:hint="eastAsia" w:ascii="宋体" w:hAnsi="宋体" w:cs="宋体"/>
          <w:szCs w:val="21"/>
        </w:rPr>
        <w:t>4.资源检索系统与功能</w:t>
      </w:r>
    </w:p>
    <w:p w14:paraId="42F8E4F9">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4.1支持按学科主题浏览或期刊名顺序浏览来查找期刊，支持关键词检索文章</w:t>
      </w:r>
      <w:r>
        <w:rPr>
          <w:rFonts w:hint="eastAsia" w:ascii="宋体" w:hAnsi="宋体" w:cs="宋体"/>
          <w:szCs w:val="21"/>
          <w:lang w:eastAsia="zh-CN"/>
        </w:rPr>
        <w:t>。</w:t>
      </w:r>
    </w:p>
    <w:p w14:paraId="4B547A14">
      <w:pPr>
        <w:numPr>
          <w:ilvl w:val="255"/>
          <w:numId w:val="0"/>
        </w:numPr>
        <w:spacing w:line="400" w:lineRule="exact"/>
        <w:ind w:firstLine="420" w:firstLineChars="200"/>
        <w:rPr>
          <w:rFonts w:ascii="宋体" w:hAnsi="宋体" w:cs="宋体"/>
          <w:szCs w:val="21"/>
        </w:rPr>
      </w:pPr>
      <w:r>
        <w:rPr>
          <w:rFonts w:hint="eastAsia" w:ascii="宋体" w:hAnsi="宋体" w:cs="宋体"/>
          <w:szCs w:val="21"/>
        </w:rPr>
        <w:t>4.2</w:t>
      </w:r>
      <w:r>
        <w:rPr>
          <w:rFonts w:hint="eastAsia" w:ascii="宋体" w:hAnsi="宋体" w:cs="宋体"/>
          <w:szCs w:val="21"/>
          <w:lang w:val="en-US" w:eastAsia="zh-CN"/>
        </w:rPr>
        <w:t>数据库网址：</w:t>
      </w:r>
      <w:r>
        <w:rPr>
          <w:rFonts w:hint="eastAsia" w:ascii="宋体" w:hAnsi="宋体" w:cs="宋体"/>
          <w:szCs w:val="21"/>
        </w:rPr>
        <w:t>http://www.jbe-platform.com/content/journals</w:t>
      </w:r>
      <w:r>
        <w:rPr>
          <w:rFonts w:hint="eastAsia" w:ascii="宋体" w:hAnsi="宋体" w:cs="宋体"/>
          <w:szCs w:val="21"/>
          <w:lang w:eastAsia="zh-CN"/>
        </w:rPr>
        <w:t>。</w:t>
      </w:r>
      <w:r>
        <w:rPr>
          <w:rFonts w:hint="eastAsia" w:ascii="宋体" w:hAnsi="宋体" w:cs="宋体"/>
          <w:szCs w:val="21"/>
        </w:rPr>
        <w:t>提供PDF全文下载与HTML全文在线浏览。</w:t>
      </w:r>
    </w:p>
    <w:p w14:paraId="668AD53F">
      <w:pPr>
        <w:numPr>
          <w:ilvl w:val="255"/>
          <w:numId w:val="0"/>
        </w:numPr>
        <w:spacing w:line="400" w:lineRule="exact"/>
        <w:ind w:firstLine="420" w:firstLineChars="200"/>
        <w:rPr>
          <w:rFonts w:ascii="宋体" w:hAnsi="宋体" w:cs="宋体"/>
          <w:szCs w:val="21"/>
        </w:rPr>
      </w:pPr>
      <w:r>
        <w:rPr>
          <w:rFonts w:hint="eastAsia" w:ascii="宋体" w:hAnsi="宋体" w:cs="宋体"/>
          <w:szCs w:val="21"/>
        </w:rPr>
        <w:t>5.使用统计：提供符合 COUNTER 标准的使用统计。</w:t>
      </w:r>
    </w:p>
    <w:p w14:paraId="17806FEE">
      <w:pPr>
        <w:numPr>
          <w:ilvl w:val="255"/>
          <w:numId w:val="0"/>
        </w:numPr>
        <w:spacing w:line="400" w:lineRule="exact"/>
        <w:ind w:firstLine="420" w:firstLineChars="200"/>
        <w:rPr>
          <w:rFonts w:ascii="宋体" w:hAnsi="宋体" w:cs="宋体"/>
          <w:szCs w:val="21"/>
        </w:rPr>
      </w:pPr>
      <w:r>
        <w:rPr>
          <w:rFonts w:hint="eastAsia" w:ascii="宋体" w:hAnsi="宋体" w:cs="宋体"/>
          <w:szCs w:val="21"/>
        </w:rPr>
        <w:t>6.服务期内，为</w:t>
      </w:r>
      <w:r>
        <w:rPr>
          <w:rFonts w:hint="eastAsia" w:ascii="宋体" w:hAnsi="宋体" w:cs="宋体"/>
          <w:szCs w:val="21"/>
          <w:lang w:eastAsia="zh-CN"/>
        </w:rPr>
        <w:t>采购人</w:t>
      </w:r>
      <w:r>
        <w:rPr>
          <w:rFonts w:hint="eastAsia" w:ascii="宋体" w:hAnsi="宋体" w:cs="宋体"/>
          <w:sz w:val="21"/>
          <w:szCs w:val="21"/>
          <w:lang w:eastAsia="zh-CN"/>
        </w:rPr>
        <w:t>无条件</w:t>
      </w:r>
      <w:r>
        <w:rPr>
          <w:rFonts w:hint="eastAsia" w:ascii="宋体" w:hAnsi="宋体" w:cs="宋体"/>
          <w:szCs w:val="21"/>
        </w:rPr>
        <w:t>提供数据库培训等活动一年内不少于2次，具体时间和形式，双方协商确认。</w:t>
      </w:r>
    </w:p>
    <w:p w14:paraId="0F4C6D22">
      <w:pPr>
        <w:numPr>
          <w:ilvl w:val="255"/>
          <w:numId w:val="0"/>
        </w:numPr>
        <w:spacing w:line="400" w:lineRule="exact"/>
        <w:ind w:firstLine="420" w:firstLineChars="200"/>
        <w:rPr>
          <w:rFonts w:ascii="宋体" w:hAnsi="宋体" w:cs="宋体"/>
          <w:szCs w:val="21"/>
        </w:rPr>
      </w:pPr>
      <w:r>
        <w:rPr>
          <w:rFonts w:hint="eastAsia" w:ascii="宋体" w:hAnsi="宋体" w:cs="宋体"/>
          <w:szCs w:val="21"/>
        </w:rPr>
        <w:t>7.可访问内容、永久性访问的内容：</w:t>
      </w:r>
    </w:p>
    <w:p w14:paraId="5CFD941B">
      <w:pPr>
        <w:numPr>
          <w:ilvl w:val="255"/>
          <w:numId w:val="0"/>
        </w:numPr>
        <w:spacing w:line="400" w:lineRule="exact"/>
        <w:ind w:firstLine="420" w:firstLineChars="200"/>
        <w:rPr>
          <w:rFonts w:ascii="宋体" w:hAnsi="宋体" w:cs="宋体"/>
          <w:szCs w:val="21"/>
        </w:rPr>
      </w:pPr>
      <w:r>
        <w:rPr>
          <w:rFonts w:hint="eastAsia" w:ascii="宋体" w:hAnsi="宋体" w:cs="宋体"/>
          <w:szCs w:val="21"/>
        </w:rPr>
        <w:t>7.1可访问内容：拥有订购期刊购买年份内容的永久访问权。</w:t>
      </w:r>
    </w:p>
    <w:p w14:paraId="14C6B474">
      <w:pPr>
        <w:numPr>
          <w:ilvl w:val="255"/>
          <w:numId w:val="0"/>
        </w:numPr>
        <w:spacing w:line="400" w:lineRule="exact"/>
        <w:ind w:firstLine="420" w:firstLineChars="200"/>
        <w:rPr>
          <w:rFonts w:ascii="宋体" w:hAnsi="宋体" w:cs="宋体"/>
          <w:szCs w:val="21"/>
        </w:rPr>
      </w:pPr>
      <w:r>
        <w:rPr>
          <w:rFonts w:hint="eastAsia" w:ascii="宋体" w:hAnsi="宋体" w:cs="宋体"/>
          <w:szCs w:val="21"/>
        </w:rPr>
        <w:t>7.2永久性访问内容：对采购时明确了享有条件、方式及数量的，且在数据库中包含的资源，享有订购年份资源的永久使用权，无DRM限制。</w:t>
      </w:r>
    </w:p>
    <w:p w14:paraId="50ECF6E4">
      <w:pPr>
        <w:numPr>
          <w:ilvl w:val="255"/>
          <w:numId w:val="0"/>
        </w:numPr>
        <w:spacing w:line="400" w:lineRule="exact"/>
        <w:ind w:firstLine="420" w:firstLineChars="200"/>
        <w:rPr>
          <w:rFonts w:hint="eastAsia" w:ascii="宋体" w:hAnsi="宋体" w:cs="宋体"/>
          <w:szCs w:val="21"/>
        </w:rPr>
      </w:pPr>
      <w:r>
        <w:rPr>
          <w:rFonts w:hint="eastAsia" w:ascii="宋体" w:hAnsi="宋体" w:cs="宋体"/>
          <w:szCs w:val="21"/>
        </w:rPr>
        <w:t>8.提供网络、电话及E-mail支持服务，响应时间不超过24小时。</w:t>
      </w:r>
    </w:p>
    <w:p w14:paraId="63B121B2">
      <w:pPr>
        <w:numPr>
          <w:ilvl w:val="255"/>
          <w:numId w:val="0"/>
        </w:numPr>
        <w:spacing w:line="400" w:lineRule="exact"/>
        <w:ind w:firstLine="420" w:firstLineChars="200"/>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服务期限：2026年1月1日</w:t>
      </w:r>
      <w:r>
        <w:rPr>
          <w:rFonts w:hint="eastAsia" w:ascii="宋体" w:hAnsi="宋体" w:cs="宋体"/>
          <w:szCs w:val="21"/>
          <w:lang w:eastAsia="zh-CN"/>
        </w:rPr>
        <w:t>至</w:t>
      </w:r>
      <w:r>
        <w:rPr>
          <w:rFonts w:hint="eastAsia" w:ascii="宋体" w:hAnsi="宋体" w:cs="宋体"/>
          <w:szCs w:val="21"/>
        </w:rPr>
        <w:t>2026年12月31日。</w:t>
      </w:r>
      <w:r>
        <w:rPr>
          <w:rFonts w:hint="eastAsia" w:ascii="宋体" w:hAnsi="宋体" w:cs="宋体"/>
          <w:szCs w:val="21"/>
        </w:rPr>
        <w:br w:type="page"/>
      </w:r>
    </w:p>
    <w:p w14:paraId="1FC47BDB">
      <w:pPr>
        <w:spacing w:line="400" w:lineRule="exact"/>
        <w:ind w:firstLine="422" w:firstLineChars="200"/>
        <w:rPr>
          <w:rFonts w:ascii="宋体" w:hAnsi="宋体" w:cs="宋体"/>
          <w:b/>
          <w:szCs w:val="21"/>
        </w:rPr>
      </w:pPr>
      <w:r>
        <w:rPr>
          <w:rFonts w:hint="eastAsia" w:ascii="宋体" w:hAnsi="宋体" w:cs="宋体"/>
          <w:b/>
          <w:szCs w:val="21"/>
        </w:rPr>
        <w:t>标项四十七（Heinonline）：</w:t>
      </w:r>
    </w:p>
    <w:p w14:paraId="6FAFF44E">
      <w:pPr>
        <w:numPr>
          <w:ilvl w:val="255"/>
          <w:numId w:val="0"/>
        </w:numPr>
        <w:spacing w:line="400" w:lineRule="exact"/>
        <w:ind w:firstLine="420" w:firstLineChars="20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主要技术参数及服务要求</w:t>
      </w:r>
    </w:p>
    <w:p w14:paraId="4C3C5271">
      <w:pPr>
        <w:numPr>
          <w:ilvl w:val="255"/>
          <w:numId w:val="0"/>
        </w:numPr>
        <w:spacing w:line="400" w:lineRule="exact"/>
        <w:ind w:firstLine="420" w:firstLineChars="200"/>
        <w:rPr>
          <w:rFonts w:ascii="宋体" w:hAnsi="宋体" w:eastAsia="宋体" w:cs="宋体"/>
          <w:szCs w:val="21"/>
        </w:rPr>
      </w:pPr>
      <w:r>
        <w:rPr>
          <w:rFonts w:ascii="宋体" w:hAnsi="宋体" w:eastAsia="宋体" w:cs="宋体"/>
          <w:szCs w:val="21"/>
        </w:rPr>
        <w:t>1.1</w:t>
      </w:r>
      <w:r>
        <w:rPr>
          <w:rFonts w:hint="eastAsia" w:ascii="宋体" w:hAnsi="宋体" w:eastAsia="宋体" w:cs="宋体"/>
          <w:szCs w:val="21"/>
        </w:rPr>
        <w:t>订购内容明细：</w:t>
      </w:r>
    </w:p>
    <w:tbl>
      <w:tblPr>
        <w:tblStyle w:val="5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364"/>
      </w:tblGrid>
      <w:tr w14:paraId="2D12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1338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p>
        </w:tc>
        <w:tc>
          <w:tcPr>
            <w:tcW w:w="8364" w:type="dxa"/>
            <w:vAlign w:val="center"/>
          </w:tcPr>
          <w:p w14:paraId="70E21A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Law Journals –法学期刊库</w:t>
            </w:r>
          </w:p>
        </w:tc>
      </w:tr>
      <w:tr w14:paraId="4681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338D9B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w:t>
            </w:r>
          </w:p>
        </w:tc>
        <w:tc>
          <w:tcPr>
            <w:tcW w:w="8364" w:type="dxa"/>
            <w:vAlign w:val="center"/>
          </w:tcPr>
          <w:p w14:paraId="5A8BF6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America Association of Law Libraries-美国法律图书馆协会文库</w:t>
            </w:r>
          </w:p>
        </w:tc>
      </w:tr>
      <w:tr w14:paraId="71EC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0A3D9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w:t>
            </w:r>
          </w:p>
        </w:tc>
        <w:tc>
          <w:tcPr>
            <w:tcW w:w="8364" w:type="dxa"/>
            <w:vAlign w:val="center"/>
          </w:tcPr>
          <w:p w14:paraId="08D1C12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Association of American Law Schools-美国法学院协会文库</w:t>
            </w:r>
          </w:p>
        </w:tc>
      </w:tr>
      <w:tr w14:paraId="7601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2E3C5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w:t>
            </w:r>
          </w:p>
        </w:tc>
        <w:tc>
          <w:tcPr>
            <w:tcW w:w="8364" w:type="dxa"/>
            <w:vAlign w:val="center"/>
          </w:tcPr>
          <w:p w14:paraId="472BCA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Code of Federal Regulations-美国联邦法典文库</w:t>
            </w:r>
          </w:p>
        </w:tc>
      </w:tr>
      <w:tr w14:paraId="1154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7C482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w:t>
            </w:r>
          </w:p>
        </w:tc>
        <w:tc>
          <w:tcPr>
            <w:tcW w:w="8364" w:type="dxa"/>
            <w:vAlign w:val="center"/>
          </w:tcPr>
          <w:p w14:paraId="38C24E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English Report-英国法律报告文库</w:t>
            </w:r>
          </w:p>
        </w:tc>
      </w:tr>
      <w:tr w14:paraId="4DEF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F5780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w:t>
            </w:r>
          </w:p>
        </w:tc>
        <w:tc>
          <w:tcPr>
            <w:tcW w:w="8364" w:type="dxa"/>
            <w:vAlign w:val="center"/>
          </w:tcPr>
          <w:p w14:paraId="0AE352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European Center for Minority Issues-欧洲少数民族事物中心文库</w:t>
            </w:r>
          </w:p>
        </w:tc>
      </w:tr>
      <w:tr w14:paraId="25FA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C132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w:t>
            </w:r>
          </w:p>
        </w:tc>
        <w:tc>
          <w:tcPr>
            <w:tcW w:w="8364" w:type="dxa"/>
            <w:vAlign w:val="center"/>
          </w:tcPr>
          <w:p w14:paraId="04F0D3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Federal Register-美国联邦纪事文库</w:t>
            </w:r>
          </w:p>
        </w:tc>
      </w:tr>
      <w:tr w14:paraId="1235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55F8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w:t>
            </w:r>
          </w:p>
        </w:tc>
        <w:tc>
          <w:tcPr>
            <w:tcW w:w="8364" w:type="dxa"/>
            <w:vAlign w:val="center"/>
          </w:tcPr>
          <w:p w14:paraId="3D376BF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Legal Classics-法学精品文库</w:t>
            </w:r>
          </w:p>
        </w:tc>
      </w:tr>
      <w:tr w14:paraId="2074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8244F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9</w:t>
            </w:r>
          </w:p>
        </w:tc>
        <w:tc>
          <w:tcPr>
            <w:tcW w:w="8364" w:type="dxa"/>
            <w:vAlign w:val="center"/>
          </w:tcPr>
          <w:p w14:paraId="43F81C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Manual of Patent Examining Procedure (MPEP)-专利审查程序手册</w:t>
            </w:r>
          </w:p>
        </w:tc>
      </w:tr>
      <w:tr w14:paraId="2268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3BF674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w:t>
            </w:r>
          </w:p>
        </w:tc>
        <w:tc>
          <w:tcPr>
            <w:tcW w:w="8364" w:type="dxa"/>
            <w:vAlign w:val="center"/>
          </w:tcPr>
          <w:p w14:paraId="78E5C9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Treaties &amp; Agreements-条约/协定文库</w:t>
            </w:r>
          </w:p>
        </w:tc>
      </w:tr>
      <w:tr w14:paraId="6CD5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D754B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11</w:t>
            </w:r>
          </w:p>
        </w:tc>
        <w:tc>
          <w:tcPr>
            <w:tcW w:w="8364" w:type="dxa"/>
            <w:vAlign w:val="center"/>
          </w:tcPr>
          <w:p w14:paraId="07D761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U.S. Attorney General Opinions-美国司法部意见书文库</w:t>
            </w:r>
          </w:p>
        </w:tc>
      </w:tr>
      <w:tr w14:paraId="30D3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5C6721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w:t>
            </w:r>
          </w:p>
        </w:tc>
        <w:tc>
          <w:tcPr>
            <w:tcW w:w="8364" w:type="dxa"/>
            <w:vAlign w:val="center"/>
          </w:tcPr>
          <w:p w14:paraId="7B741EE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U.S. Federal Legislative Histories-美国联邦立法史文库</w:t>
            </w:r>
          </w:p>
        </w:tc>
      </w:tr>
      <w:tr w14:paraId="488A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B0626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13</w:t>
            </w:r>
          </w:p>
        </w:tc>
        <w:tc>
          <w:tcPr>
            <w:tcW w:w="8364" w:type="dxa"/>
            <w:vAlign w:val="center"/>
          </w:tcPr>
          <w:p w14:paraId="25EE78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U.S. Presidential Library-美国总统事务文库</w:t>
            </w:r>
          </w:p>
        </w:tc>
      </w:tr>
      <w:tr w14:paraId="5D2F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C052F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14</w:t>
            </w:r>
          </w:p>
        </w:tc>
        <w:tc>
          <w:tcPr>
            <w:tcW w:w="8364" w:type="dxa"/>
            <w:vAlign w:val="center"/>
          </w:tcPr>
          <w:p w14:paraId="3E0B93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U.S. Statutes at Large-美国法令全书文库</w:t>
            </w:r>
          </w:p>
        </w:tc>
      </w:tr>
      <w:tr w14:paraId="7139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4155C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15</w:t>
            </w:r>
          </w:p>
        </w:tc>
        <w:tc>
          <w:tcPr>
            <w:tcW w:w="8364" w:type="dxa"/>
            <w:vAlign w:val="center"/>
          </w:tcPr>
          <w:p w14:paraId="127A19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szCs w:val="21"/>
              </w:rPr>
              <w:t>U.S. Supreme Court-美国最高法院资料库</w:t>
            </w:r>
          </w:p>
        </w:tc>
      </w:tr>
      <w:tr w14:paraId="2313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9BD3F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16</w:t>
            </w:r>
          </w:p>
        </w:tc>
        <w:tc>
          <w:tcPr>
            <w:tcW w:w="8364" w:type="dxa"/>
            <w:vAlign w:val="center"/>
          </w:tcPr>
          <w:p w14:paraId="7C3547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United States Code-美国法典文库</w:t>
            </w:r>
          </w:p>
        </w:tc>
      </w:tr>
      <w:tr w14:paraId="1F25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33EB4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17</w:t>
            </w:r>
          </w:p>
        </w:tc>
        <w:tc>
          <w:tcPr>
            <w:tcW w:w="8364" w:type="dxa"/>
            <w:vAlign w:val="center"/>
          </w:tcPr>
          <w:p w14:paraId="63A07E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Canada Supreme Court Reports-加拿大最高法院报告文库</w:t>
            </w:r>
          </w:p>
        </w:tc>
      </w:tr>
      <w:tr w14:paraId="5333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FEB6B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18</w:t>
            </w:r>
          </w:p>
        </w:tc>
        <w:tc>
          <w:tcPr>
            <w:tcW w:w="8364" w:type="dxa"/>
            <w:vAlign w:val="center"/>
          </w:tcPr>
          <w:p w14:paraId="058ED2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Early American Case Law-早期美国案例法文库</w:t>
            </w:r>
          </w:p>
        </w:tc>
      </w:tr>
      <w:tr w14:paraId="28B8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682A2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19</w:t>
            </w:r>
          </w:p>
        </w:tc>
        <w:tc>
          <w:tcPr>
            <w:tcW w:w="8364" w:type="dxa"/>
            <w:vAlign w:val="center"/>
          </w:tcPr>
          <w:p w14:paraId="5C9A5B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Pentagon Papers-美国国防部官方文件</w:t>
            </w:r>
          </w:p>
        </w:tc>
      </w:tr>
      <w:tr w14:paraId="4397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8064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20</w:t>
            </w:r>
          </w:p>
        </w:tc>
        <w:tc>
          <w:tcPr>
            <w:tcW w:w="8364" w:type="dxa"/>
            <w:vAlign w:val="center"/>
          </w:tcPr>
          <w:p w14:paraId="32D8D6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Revised Statutes of Canada-加拿大法规修订文库</w:t>
            </w:r>
          </w:p>
        </w:tc>
      </w:tr>
      <w:tr w14:paraId="401F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787BB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21</w:t>
            </w:r>
          </w:p>
        </w:tc>
        <w:tc>
          <w:tcPr>
            <w:tcW w:w="8364" w:type="dxa"/>
            <w:vAlign w:val="center"/>
          </w:tcPr>
          <w:p w14:paraId="4D39DE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Statutes of the Realm-王国法令集</w:t>
            </w:r>
          </w:p>
        </w:tc>
      </w:tr>
      <w:tr w14:paraId="37AA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BE9C5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22</w:t>
            </w:r>
          </w:p>
        </w:tc>
        <w:tc>
          <w:tcPr>
            <w:tcW w:w="8364" w:type="dxa"/>
            <w:vAlign w:val="center"/>
          </w:tcPr>
          <w:p w14:paraId="723D60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Trends in Law Library Management and Technology-法律图书馆管理及技术发展趋势</w:t>
            </w:r>
          </w:p>
        </w:tc>
      </w:tr>
      <w:tr w14:paraId="36BE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4FD3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23</w:t>
            </w:r>
          </w:p>
        </w:tc>
        <w:tc>
          <w:tcPr>
            <w:tcW w:w="8364" w:type="dxa"/>
            <w:vAlign w:val="center"/>
          </w:tcPr>
          <w:p w14:paraId="50891A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World Constitutions Illustrated-世界宪法文库</w:t>
            </w:r>
          </w:p>
        </w:tc>
      </w:tr>
      <w:tr w14:paraId="771B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52ED7C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24</w:t>
            </w:r>
          </w:p>
        </w:tc>
        <w:tc>
          <w:tcPr>
            <w:tcW w:w="8364" w:type="dxa"/>
            <w:vAlign w:val="center"/>
          </w:tcPr>
          <w:p w14:paraId="7BC607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Foreign &amp; International Law Resources Database-国际法数据库</w:t>
            </w:r>
          </w:p>
        </w:tc>
      </w:tr>
      <w:tr w14:paraId="384E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627F1F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25</w:t>
            </w:r>
          </w:p>
        </w:tc>
        <w:tc>
          <w:tcPr>
            <w:tcW w:w="8364" w:type="dxa"/>
            <w:vAlign w:val="center"/>
          </w:tcPr>
          <w:p w14:paraId="41E990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Foreign Relations of the United States Library-美国外交关系文库（订购FILRD暂时附赠）</w:t>
            </w:r>
          </w:p>
        </w:tc>
      </w:tr>
      <w:tr w14:paraId="67E9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66175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26</w:t>
            </w:r>
          </w:p>
        </w:tc>
        <w:tc>
          <w:tcPr>
            <w:tcW w:w="8364" w:type="dxa"/>
            <w:vAlign w:val="center"/>
          </w:tcPr>
          <w:p w14:paraId="23D61B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History of International Law -国际法历史文献文库（单独订购）</w:t>
            </w:r>
          </w:p>
        </w:tc>
      </w:tr>
      <w:tr w14:paraId="653F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8ECD2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27</w:t>
            </w:r>
          </w:p>
        </w:tc>
        <w:tc>
          <w:tcPr>
            <w:tcW w:w="8364" w:type="dxa"/>
            <w:vAlign w:val="center"/>
          </w:tcPr>
          <w:p w14:paraId="0062B17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World Treaty Library-世界条约库（单独订购）</w:t>
            </w:r>
          </w:p>
        </w:tc>
      </w:tr>
    </w:tbl>
    <w:p w14:paraId="4066C187">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1.2使用模式： </w:t>
      </w:r>
    </w:p>
    <w:p w14:paraId="411B21EC">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远程包库，PC网页，可挂图书馆网站，</w:t>
      </w:r>
      <w:r>
        <w:rPr>
          <w:rFonts w:hint="eastAsia" w:ascii="宋体" w:hAnsi="宋体" w:cs="宋体"/>
          <w:szCs w:val="21"/>
          <w:lang w:val="en-US" w:eastAsia="zh-CN"/>
        </w:rPr>
        <w:t>校内</w:t>
      </w:r>
      <w:r>
        <w:rPr>
          <w:rFonts w:hint="eastAsia" w:ascii="宋体" w:hAnsi="宋体" w:eastAsia="宋体" w:cs="宋体"/>
          <w:szCs w:val="21"/>
        </w:rPr>
        <w:t>IP范围内访问登录，支持VPN、CARSI等校外登录访问</w:t>
      </w:r>
      <w:r>
        <w:rPr>
          <w:rFonts w:hint="eastAsia" w:ascii="宋体" w:hAnsi="宋体" w:cs="宋体"/>
          <w:szCs w:val="21"/>
          <w:lang w:eastAsia="zh-CN"/>
        </w:rPr>
        <w:t>，</w:t>
      </w:r>
      <w:r>
        <w:rPr>
          <w:rFonts w:hint="eastAsia" w:ascii="宋体" w:hAnsi="宋体" w:eastAsia="宋体" w:cs="宋体"/>
          <w:szCs w:val="21"/>
        </w:rPr>
        <w:t>无并发</w:t>
      </w:r>
      <w:r>
        <w:rPr>
          <w:rFonts w:hint="eastAsia" w:ascii="宋体" w:hAnsi="宋体" w:cs="宋体"/>
          <w:szCs w:val="21"/>
          <w:lang w:val="en-US" w:eastAsia="zh-CN"/>
        </w:rPr>
        <w:t>数</w:t>
      </w:r>
      <w:r>
        <w:rPr>
          <w:rFonts w:hint="eastAsia" w:ascii="宋体" w:hAnsi="宋体" w:eastAsia="宋体" w:cs="宋体"/>
          <w:szCs w:val="21"/>
        </w:rPr>
        <w:t>限制。</w:t>
      </w:r>
    </w:p>
    <w:p w14:paraId="48F13852">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1.3技术要求：</w:t>
      </w:r>
    </w:p>
    <w:p w14:paraId="690A769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检索平台性能，含检索智能、快捷，检索结果精准、全面。</w:t>
      </w:r>
    </w:p>
    <w:p w14:paraId="517509D3">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资源品质齐全、更新及时：含日、季度、年更新等。</w:t>
      </w:r>
    </w:p>
    <w:p w14:paraId="1206C49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全文可通过浏览器在线浏览，可下载保存。文献全文提供PDF、TXT、等文件格式。</w:t>
      </w:r>
    </w:p>
    <w:p w14:paraId="3A28A66B">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提供数据库使用的分类统计功能：可为用户提供点击量、访问量、下载量等多种分类统计办法，统计格式为出版社统一格式，可按季度提供给学校。</w:t>
      </w:r>
    </w:p>
    <w:p w14:paraId="44852253">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1.4服务要求</w:t>
      </w:r>
    </w:p>
    <w:p w14:paraId="4282A09F">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电子数据库服务期限：2026年1月1日</w:t>
      </w:r>
      <w:r>
        <w:rPr>
          <w:rFonts w:hint="eastAsia" w:ascii="宋体" w:hAnsi="宋体" w:cs="宋体"/>
          <w:szCs w:val="21"/>
          <w:lang w:eastAsia="zh-CN"/>
        </w:rPr>
        <w:t>至</w:t>
      </w:r>
      <w:r>
        <w:rPr>
          <w:rFonts w:hint="eastAsia" w:ascii="宋体" w:hAnsi="宋体" w:eastAsia="宋体" w:cs="宋体"/>
          <w:szCs w:val="21"/>
        </w:rPr>
        <w:t>2026年12月31日；使用期为服务期限约定期间，在项目实施过程中及服务期限内，</w:t>
      </w:r>
      <w:r>
        <w:rPr>
          <w:rFonts w:hint="eastAsia" w:ascii="宋体" w:hAnsi="宋体" w:cs="宋体"/>
          <w:sz w:val="21"/>
          <w:szCs w:val="21"/>
          <w:lang w:eastAsia="zh-CN"/>
        </w:rPr>
        <w:t>无条件</w:t>
      </w:r>
      <w:r>
        <w:rPr>
          <w:rFonts w:hint="eastAsia" w:ascii="宋体" w:hAnsi="宋体" w:eastAsia="宋体" w:cs="宋体"/>
          <w:szCs w:val="21"/>
        </w:rPr>
        <w:t>为用户提供产品线上使用培训，帮助读者更好地使用数据库。</w:t>
      </w:r>
    </w:p>
    <w:p w14:paraId="2858BEC4">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日常服务：在使用过程中，及时处理故障并解决问题。</w:t>
      </w:r>
    </w:p>
    <w:p w14:paraId="6F9B3839">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用户享受所订购数据库平台</w:t>
      </w:r>
      <w:r>
        <w:rPr>
          <w:rFonts w:hint="eastAsia" w:ascii="宋体" w:hAnsi="宋体" w:cs="宋体"/>
          <w:sz w:val="21"/>
          <w:szCs w:val="21"/>
          <w:lang w:eastAsia="zh-CN"/>
        </w:rPr>
        <w:t>无条件</w:t>
      </w:r>
      <w:r>
        <w:rPr>
          <w:rFonts w:hint="eastAsia" w:ascii="宋体" w:hAnsi="宋体" w:eastAsia="宋体" w:cs="宋体"/>
          <w:szCs w:val="21"/>
        </w:rPr>
        <w:t>更新升级、技术支持的服务。</w:t>
      </w:r>
    </w:p>
    <w:p w14:paraId="30C8C67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问题与故障响应时间：48小时内电话响应。</w:t>
      </w:r>
    </w:p>
    <w:p w14:paraId="2171878A">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技术支持：定期通过电话、E－mail、回访客户解决技术问题。</w:t>
      </w:r>
    </w:p>
    <w:p w14:paraId="1B696C3D">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rPr>
        <w:t>使用过程中因数据库系统本身原因导致的异常和错误，将提供</w:t>
      </w:r>
      <w:r>
        <w:rPr>
          <w:rFonts w:hint="eastAsia" w:ascii="宋体" w:hAnsi="宋体" w:cs="宋体"/>
          <w:sz w:val="21"/>
          <w:szCs w:val="21"/>
          <w:lang w:eastAsia="zh-CN"/>
        </w:rPr>
        <w:t>无条件</w:t>
      </w:r>
      <w:r>
        <w:rPr>
          <w:rFonts w:hint="eastAsia" w:ascii="宋体" w:hAnsi="宋体" w:eastAsia="宋体" w:cs="宋体"/>
          <w:szCs w:val="21"/>
        </w:rPr>
        <w:t>修正和技术维护。</w:t>
      </w:r>
    </w:p>
    <w:p w14:paraId="366A0EFE">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1.5版权要求</w:t>
      </w:r>
    </w:p>
    <w:p w14:paraId="1DCDEDE8">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合法解决版权问题，保证所供信息不会引起知识产权纠纷等。</w:t>
      </w:r>
    </w:p>
    <w:p w14:paraId="619CA740">
      <w:pPr>
        <w:numPr>
          <w:ilvl w:val="255"/>
          <w:numId w:val="0"/>
        </w:numPr>
        <w:spacing w:line="400" w:lineRule="exact"/>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Cs/>
          <w:sz w:val="21"/>
          <w:szCs w:val="21"/>
        </w:rPr>
        <w:t>服务期内，配合</w:t>
      </w:r>
      <w:r>
        <w:rPr>
          <w:rFonts w:hint="eastAsia" w:ascii="宋体" w:hAnsi="宋体" w:cs="宋体"/>
          <w:bCs/>
          <w:sz w:val="21"/>
          <w:szCs w:val="21"/>
          <w:lang w:eastAsia="zh-CN"/>
        </w:rPr>
        <w:t>采购人</w:t>
      </w:r>
      <w:r>
        <w:rPr>
          <w:rFonts w:hint="eastAsia" w:ascii="宋体" w:hAnsi="宋体" w:eastAsia="宋体" w:cs="宋体"/>
          <w:bCs/>
          <w:sz w:val="21"/>
          <w:szCs w:val="21"/>
          <w:lang w:val="en-US" w:eastAsia="zh-CN"/>
        </w:rPr>
        <w:t>无条件</w:t>
      </w:r>
      <w:r>
        <w:rPr>
          <w:rFonts w:hint="eastAsia" w:ascii="宋体" w:hAnsi="宋体" w:eastAsia="宋体" w:cs="宋体"/>
          <w:bCs/>
          <w:sz w:val="21"/>
          <w:szCs w:val="21"/>
        </w:rPr>
        <w:t>提供数据库培训等活动一年内不少于2次，具体时间和形式，双方协商确认。</w:t>
      </w:r>
    </w:p>
    <w:p w14:paraId="002CA9A3">
      <w:pPr>
        <w:numPr>
          <w:ilvl w:val="255"/>
          <w:numId w:val="0"/>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val="en-US" w:eastAsia="zh-CN"/>
        </w:rPr>
        <w:t>3.</w:t>
      </w:r>
      <w:r>
        <w:rPr>
          <w:rFonts w:hint="eastAsia" w:ascii="宋体" w:hAnsi="宋体" w:eastAsia="宋体" w:cs="宋体"/>
          <w:szCs w:val="21"/>
        </w:rPr>
        <w:t>服务期限：2026</w:t>
      </w:r>
      <w:r>
        <w:rPr>
          <w:rFonts w:hint="eastAsia" w:ascii="宋体" w:hAnsi="宋体" w:eastAsia="宋体" w:cs="宋体"/>
          <w:szCs w:val="21"/>
          <w:lang w:eastAsia="zh-CN"/>
        </w:rPr>
        <w:t>年</w:t>
      </w:r>
      <w:r>
        <w:rPr>
          <w:rFonts w:hint="eastAsia" w:ascii="宋体" w:hAnsi="宋体" w:eastAsia="宋体" w:cs="宋体"/>
          <w:szCs w:val="21"/>
        </w:rPr>
        <w:t>1</w:t>
      </w:r>
      <w:r>
        <w:rPr>
          <w:rFonts w:hint="eastAsia" w:ascii="宋体" w:hAnsi="宋体" w:eastAsia="宋体" w:cs="宋体"/>
          <w:szCs w:val="21"/>
          <w:lang w:eastAsia="zh-CN"/>
        </w:rPr>
        <w:t>月</w:t>
      </w:r>
      <w:r>
        <w:rPr>
          <w:rFonts w:hint="eastAsia" w:ascii="宋体" w:hAnsi="宋体" w:eastAsia="宋体" w:cs="宋体"/>
          <w:szCs w:val="21"/>
        </w:rPr>
        <w:t>1</w:t>
      </w:r>
      <w:r>
        <w:rPr>
          <w:rFonts w:hint="eastAsia" w:ascii="宋体" w:hAnsi="宋体" w:eastAsia="宋体" w:cs="宋体"/>
          <w:szCs w:val="21"/>
          <w:lang w:eastAsia="zh-CN"/>
        </w:rPr>
        <w:t>日至</w:t>
      </w:r>
      <w:r>
        <w:rPr>
          <w:rFonts w:hint="eastAsia" w:ascii="宋体" w:hAnsi="宋体" w:eastAsia="宋体" w:cs="宋体"/>
          <w:szCs w:val="21"/>
        </w:rPr>
        <w:t>2026</w:t>
      </w:r>
      <w:r>
        <w:rPr>
          <w:rFonts w:hint="eastAsia" w:ascii="宋体" w:hAnsi="宋体" w:eastAsia="宋体" w:cs="宋体"/>
          <w:szCs w:val="21"/>
          <w:lang w:eastAsia="zh-CN"/>
        </w:rPr>
        <w:t>年</w:t>
      </w:r>
      <w:r>
        <w:rPr>
          <w:rFonts w:hint="eastAsia" w:ascii="宋体" w:hAnsi="宋体" w:eastAsia="宋体" w:cs="宋体"/>
          <w:szCs w:val="21"/>
        </w:rPr>
        <w:t>12</w:t>
      </w:r>
      <w:r>
        <w:rPr>
          <w:rFonts w:hint="eastAsia" w:ascii="宋体" w:hAnsi="宋体" w:eastAsia="宋体" w:cs="宋体"/>
          <w:szCs w:val="21"/>
          <w:lang w:eastAsia="zh-CN"/>
        </w:rPr>
        <w:t>月</w:t>
      </w:r>
      <w:r>
        <w:rPr>
          <w:rFonts w:hint="eastAsia" w:ascii="宋体" w:hAnsi="宋体" w:eastAsia="宋体" w:cs="宋体"/>
          <w:szCs w:val="21"/>
        </w:rPr>
        <w:t>31</w:t>
      </w:r>
      <w:r>
        <w:rPr>
          <w:rFonts w:hint="eastAsia" w:ascii="宋体" w:hAnsi="宋体" w:eastAsia="宋体" w:cs="宋体"/>
          <w:szCs w:val="21"/>
          <w:lang w:eastAsia="zh-CN"/>
        </w:rPr>
        <w:t>日</w:t>
      </w:r>
      <w:r>
        <w:rPr>
          <w:rFonts w:hint="eastAsia" w:ascii="宋体" w:hAnsi="宋体" w:cs="宋体"/>
          <w:szCs w:val="21"/>
          <w:lang w:eastAsia="zh-CN"/>
        </w:rPr>
        <w:t>。</w:t>
      </w:r>
    </w:p>
    <w:p w14:paraId="4C748936"/>
    <w:p w14:paraId="1C2348B4">
      <w:pPr>
        <w:rPr>
          <w:rFonts w:ascii="宋体" w:hAnsi="宋体" w:cs="宋体"/>
          <w:b/>
          <w:szCs w:val="21"/>
        </w:rPr>
      </w:pPr>
    </w:p>
    <w:p w14:paraId="3EFDD64B">
      <w:pPr>
        <w:spacing w:line="400" w:lineRule="exact"/>
        <w:ind w:firstLine="422" w:firstLineChars="200"/>
        <w:rPr>
          <w:rFonts w:ascii="宋体" w:hAnsi="宋体" w:cs="宋体"/>
          <w:b/>
          <w:szCs w:val="21"/>
        </w:rPr>
      </w:pPr>
      <w:r>
        <w:rPr>
          <w:rFonts w:ascii="宋体" w:hAnsi="宋体" w:cs="宋体"/>
          <w:b/>
          <w:szCs w:val="21"/>
        </w:rPr>
        <w:br w:type="page"/>
      </w:r>
    </w:p>
    <w:p w14:paraId="16B53D37">
      <w:pPr>
        <w:spacing w:line="400" w:lineRule="exact"/>
        <w:ind w:firstLine="422" w:firstLineChars="200"/>
        <w:rPr>
          <w:rFonts w:ascii="宋体" w:hAnsi="宋体" w:cs="宋体"/>
          <w:b/>
          <w:szCs w:val="21"/>
        </w:rPr>
      </w:pPr>
      <w:r>
        <w:rPr>
          <w:rFonts w:hint="eastAsia" w:ascii="宋体" w:hAnsi="宋体" w:cs="宋体"/>
          <w:b/>
          <w:szCs w:val="21"/>
        </w:rPr>
        <w:t>标项四十八（Cairn法语数据库）：</w:t>
      </w:r>
    </w:p>
    <w:p w14:paraId="1BBF923B">
      <w:pPr>
        <w:numPr>
          <w:ilvl w:val="255"/>
          <w:numId w:val="0"/>
        </w:numPr>
        <w:spacing w:line="400" w:lineRule="exact"/>
        <w:ind w:firstLine="420" w:firstLineChars="200"/>
        <w:rPr>
          <w:rFonts w:hint="eastAsia" w:ascii="宋体" w:hAnsi="宋体" w:eastAsia="宋体" w:cs="宋体"/>
          <w:szCs w:val="21"/>
          <w:lang w:val="en-US"/>
        </w:rPr>
      </w:pPr>
      <w:r>
        <w:rPr>
          <w:rFonts w:hint="eastAsia" w:ascii="宋体" w:hAnsi="宋体" w:eastAsia="宋体" w:cs="宋体"/>
          <w:szCs w:val="21"/>
          <w:lang w:val="en-US"/>
        </w:rPr>
        <w:t>1.技术需求</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6"/>
        <w:gridCol w:w="2258"/>
        <w:gridCol w:w="2817"/>
      </w:tblGrid>
      <w:tr w14:paraId="5177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7EF6DF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参数</w:t>
            </w:r>
          </w:p>
        </w:tc>
        <w:tc>
          <w:tcPr>
            <w:tcW w:w="2126" w:type="dxa"/>
            <w:vAlign w:val="center"/>
          </w:tcPr>
          <w:p w14:paraId="5FD885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学术期刊（REVUES）</w:t>
            </w:r>
          </w:p>
        </w:tc>
        <w:tc>
          <w:tcPr>
            <w:tcW w:w="2258" w:type="dxa"/>
            <w:vAlign w:val="center"/>
          </w:tcPr>
          <w:p w14:paraId="108E7E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电子书（OUVRAGES）</w:t>
            </w:r>
          </w:p>
        </w:tc>
        <w:tc>
          <w:tcPr>
            <w:tcW w:w="2817" w:type="dxa"/>
            <w:vAlign w:val="center"/>
          </w:tcPr>
          <w:p w14:paraId="45A12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杂志（MAGAZINES）</w:t>
            </w:r>
          </w:p>
        </w:tc>
      </w:tr>
      <w:tr w14:paraId="5134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65FD7D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国外出版社</w:t>
            </w:r>
          </w:p>
        </w:tc>
        <w:tc>
          <w:tcPr>
            <w:tcW w:w="7201" w:type="dxa"/>
            <w:gridSpan w:val="3"/>
            <w:vAlign w:val="center"/>
          </w:tcPr>
          <w:p w14:paraId="48CBE5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CAIRN.INFO</w:t>
            </w:r>
          </w:p>
        </w:tc>
      </w:tr>
      <w:tr w14:paraId="79E0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67B63C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出版社国家</w:t>
            </w:r>
          </w:p>
        </w:tc>
        <w:tc>
          <w:tcPr>
            <w:tcW w:w="7201" w:type="dxa"/>
            <w:gridSpan w:val="3"/>
            <w:vAlign w:val="center"/>
          </w:tcPr>
          <w:p w14:paraId="553F56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法国</w:t>
            </w:r>
          </w:p>
        </w:tc>
      </w:tr>
      <w:tr w14:paraId="7D75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3BFEEB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出版物类型</w:t>
            </w:r>
          </w:p>
        </w:tc>
        <w:tc>
          <w:tcPr>
            <w:tcW w:w="2126" w:type="dxa"/>
            <w:vAlign w:val="center"/>
          </w:tcPr>
          <w:p w14:paraId="3DA82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期刊</w:t>
            </w:r>
          </w:p>
        </w:tc>
        <w:tc>
          <w:tcPr>
            <w:tcW w:w="2258" w:type="dxa"/>
            <w:vAlign w:val="center"/>
          </w:tcPr>
          <w:p w14:paraId="770437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电子书</w:t>
            </w:r>
          </w:p>
        </w:tc>
        <w:tc>
          <w:tcPr>
            <w:tcW w:w="2817" w:type="dxa"/>
            <w:vAlign w:val="center"/>
          </w:tcPr>
          <w:p w14:paraId="77E093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杂志</w:t>
            </w:r>
          </w:p>
        </w:tc>
      </w:tr>
      <w:tr w14:paraId="3F54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0F02A3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访问平台</w:t>
            </w:r>
          </w:p>
        </w:tc>
        <w:tc>
          <w:tcPr>
            <w:tcW w:w="7201" w:type="dxa"/>
            <w:gridSpan w:val="3"/>
            <w:vAlign w:val="center"/>
          </w:tcPr>
          <w:p w14:paraId="734BD5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https://shs.cairn.info/</w:t>
            </w:r>
          </w:p>
        </w:tc>
      </w:tr>
      <w:tr w14:paraId="7A1D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2AA0D5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资源语种</w:t>
            </w:r>
          </w:p>
        </w:tc>
        <w:tc>
          <w:tcPr>
            <w:tcW w:w="7201" w:type="dxa"/>
            <w:gridSpan w:val="3"/>
            <w:vAlign w:val="center"/>
          </w:tcPr>
          <w:p w14:paraId="7728FA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法语</w:t>
            </w:r>
          </w:p>
        </w:tc>
      </w:tr>
      <w:tr w14:paraId="11DE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5213F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是否全文库</w:t>
            </w:r>
          </w:p>
        </w:tc>
        <w:tc>
          <w:tcPr>
            <w:tcW w:w="7201" w:type="dxa"/>
            <w:gridSpan w:val="3"/>
            <w:vAlign w:val="center"/>
          </w:tcPr>
          <w:p w14:paraId="61F1BC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是</w:t>
            </w:r>
          </w:p>
        </w:tc>
      </w:tr>
      <w:tr w14:paraId="7F82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32EA77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访问方式</w:t>
            </w:r>
          </w:p>
        </w:tc>
        <w:tc>
          <w:tcPr>
            <w:tcW w:w="7201" w:type="dxa"/>
            <w:gridSpan w:val="3"/>
            <w:vAlign w:val="center"/>
          </w:tcPr>
          <w:p w14:paraId="67F365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IP控制，在线访问</w:t>
            </w:r>
          </w:p>
        </w:tc>
      </w:tr>
      <w:tr w14:paraId="201E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4C5149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并发用户限制</w:t>
            </w:r>
          </w:p>
        </w:tc>
        <w:tc>
          <w:tcPr>
            <w:tcW w:w="7201" w:type="dxa"/>
            <w:gridSpan w:val="3"/>
            <w:vAlign w:val="center"/>
          </w:tcPr>
          <w:p w14:paraId="658AF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r>
      <w:tr w14:paraId="2170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48CFED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永久保存</w:t>
            </w:r>
          </w:p>
        </w:tc>
        <w:tc>
          <w:tcPr>
            <w:tcW w:w="7201" w:type="dxa"/>
            <w:gridSpan w:val="3"/>
            <w:vAlign w:val="center"/>
          </w:tcPr>
          <w:p w14:paraId="6BE092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用户自行下载保存，出版社不提供永久存档文件。</w:t>
            </w:r>
          </w:p>
        </w:tc>
      </w:tr>
      <w:tr w14:paraId="129A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70DBE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停订后访问政策</w:t>
            </w:r>
          </w:p>
        </w:tc>
        <w:tc>
          <w:tcPr>
            <w:tcW w:w="2126" w:type="dxa"/>
            <w:vAlign w:val="center"/>
          </w:tcPr>
          <w:p w14:paraId="3F4D18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电子期刊的用户如连续三年订购后停订，可按最后一年付费数额的10%支付平台维护费，可以访问停订前可使用的内容。</w:t>
            </w:r>
          </w:p>
        </w:tc>
        <w:tc>
          <w:tcPr>
            <w:tcW w:w="2258" w:type="dxa"/>
            <w:vAlign w:val="center"/>
          </w:tcPr>
          <w:p w14:paraId="0BAF02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不可使用</w:t>
            </w:r>
          </w:p>
        </w:tc>
        <w:tc>
          <w:tcPr>
            <w:tcW w:w="2817" w:type="dxa"/>
            <w:vAlign w:val="center"/>
          </w:tcPr>
          <w:p w14:paraId="53FC56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不可使用</w:t>
            </w:r>
          </w:p>
        </w:tc>
      </w:tr>
      <w:tr w14:paraId="7EBF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5A0809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出版物数量</w:t>
            </w:r>
          </w:p>
        </w:tc>
        <w:tc>
          <w:tcPr>
            <w:tcW w:w="2126" w:type="dxa"/>
            <w:vAlign w:val="center"/>
          </w:tcPr>
          <w:p w14:paraId="016C2D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600多种</w:t>
            </w:r>
          </w:p>
        </w:tc>
        <w:tc>
          <w:tcPr>
            <w:tcW w:w="2258" w:type="dxa"/>
            <w:vAlign w:val="center"/>
          </w:tcPr>
          <w:p w14:paraId="2E2C8E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20000多种</w:t>
            </w:r>
          </w:p>
        </w:tc>
        <w:tc>
          <w:tcPr>
            <w:tcW w:w="2817" w:type="dxa"/>
            <w:vAlign w:val="center"/>
          </w:tcPr>
          <w:p w14:paraId="7E50D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10种</w:t>
            </w:r>
          </w:p>
        </w:tc>
      </w:tr>
      <w:tr w14:paraId="0FCA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249D35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学科</w:t>
            </w:r>
          </w:p>
        </w:tc>
        <w:tc>
          <w:tcPr>
            <w:tcW w:w="2126" w:type="dxa"/>
            <w:vAlign w:val="center"/>
          </w:tcPr>
          <w:p w14:paraId="3E114F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语言学、文学、经济、管理、哲学、政治、法律、历史、教育学、心理学、社会学、体育和艺术等</w:t>
            </w:r>
          </w:p>
        </w:tc>
        <w:tc>
          <w:tcPr>
            <w:tcW w:w="2258" w:type="dxa"/>
            <w:vAlign w:val="center"/>
          </w:tcPr>
          <w:p w14:paraId="392CDD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语言学，文学，政治学，哲学，教育学和社会学等人文与社会科学领域。</w:t>
            </w:r>
          </w:p>
        </w:tc>
        <w:tc>
          <w:tcPr>
            <w:tcW w:w="2817" w:type="dxa"/>
            <w:vAlign w:val="center"/>
          </w:tcPr>
          <w:p w14:paraId="094AA5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人文科学领域</w:t>
            </w:r>
          </w:p>
        </w:tc>
      </w:tr>
      <w:tr w14:paraId="57DA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73E704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更新频率</w:t>
            </w:r>
          </w:p>
        </w:tc>
        <w:tc>
          <w:tcPr>
            <w:tcW w:w="2126" w:type="dxa"/>
            <w:vAlign w:val="center"/>
          </w:tcPr>
          <w:p w14:paraId="00B19B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每月</w:t>
            </w:r>
          </w:p>
        </w:tc>
        <w:tc>
          <w:tcPr>
            <w:tcW w:w="2258" w:type="dxa"/>
            <w:vAlign w:val="center"/>
          </w:tcPr>
          <w:p w14:paraId="38A561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不定期</w:t>
            </w:r>
          </w:p>
        </w:tc>
        <w:tc>
          <w:tcPr>
            <w:tcW w:w="2817" w:type="dxa"/>
            <w:vAlign w:val="center"/>
          </w:tcPr>
          <w:p w14:paraId="3B9ED8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每月</w:t>
            </w:r>
          </w:p>
        </w:tc>
      </w:tr>
      <w:tr w14:paraId="6E63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7C08E6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平台语种</w:t>
            </w:r>
          </w:p>
        </w:tc>
        <w:tc>
          <w:tcPr>
            <w:tcW w:w="7201" w:type="dxa"/>
            <w:gridSpan w:val="3"/>
            <w:vAlign w:val="center"/>
          </w:tcPr>
          <w:p w14:paraId="7C8AA8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法语和英语</w:t>
            </w:r>
          </w:p>
        </w:tc>
      </w:tr>
      <w:tr w14:paraId="670E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7EB2ED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平台功能</w:t>
            </w:r>
          </w:p>
        </w:tc>
        <w:tc>
          <w:tcPr>
            <w:tcW w:w="7201" w:type="dxa"/>
            <w:gridSpan w:val="3"/>
            <w:vAlign w:val="center"/>
          </w:tcPr>
          <w:p w14:paraId="313C08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同一检索平台，提供基本检索、高级检索和按刊或书浏览功能</w:t>
            </w:r>
          </w:p>
        </w:tc>
      </w:tr>
      <w:tr w14:paraId="0DE5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358446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下载和浏览</w:t>
            </w:r>
          </w:p>
        </w:tc>
        <w:tc>
          <w:tcPr>
            <w:tcW w:w="2126" w:type="dxa"/>
            <w:vAlign w:val="center"/>
          </w:tcPr>
          <w:p w14:paraId="2E7E89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提供PDF（用于下载）和HTML（用于浏览）两种文件格式</w:t>
            </w:r>
          </w:p>
        </w:tc>
        <w:tc>
          <w:tcPr>
            <w:tcW w:w="2258" w:type="dxa"/>
            <w:vAlign w:val="center"/>
          </w:tcPr>
          <w:p w14:paraId="477E22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绝大部分图书提供PDF（分章节下载）和HTML（分章节浏览）两种文件格式，部分图书由于部分出版社特殊的版权限制，不提供PDF格式的下载，仅提供HTML格式的浏览</w:t>
            </w:r>
          </w:p>
        </w:tc>
        <w:tc>
          <w:tcPr>
            <w:tcW w:w="2817" w:type="dxa"/>
            <w:vAlign w:val="center"/>
          </w:tcPr>
          <w:p w14:paraId="4D0683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提供HTML（用于浏览）一种浏览格式。</w:t>
            </w:r>
          </w:p>
        </w:tc>
      </w:tr>
      <w:tr w14:paraId="04B7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48DA79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MARC数据和资源清单</w:t>
            </w:r>
          </w:p>
        </w:tc>
        <w:tc>
          <w:tcPr>
            <w:tcW w:w="7201" w:type="dxa"/>
            <w:gridSpan w:val="3"/>
            <w:vAlign w:val="center"/>
          </w:tcPr>
          <w:p w14:paraId="007ADE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提供</w:t>
            </w:r>
          </w:p>
        </w:tc>
      </w:tr>
      <w:tr w14:paraId="1C61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18F931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引文信息和文献管理</w:t>
            </w:r>
          </w:p>
        </w:tc>
        <w:tc>
          <w:tcPr>
            <w:tcW w:w="2126" w:type="dxa"/>
            <w:vAlign w:val="center"/>
          </w:tcPr>
          <w:p w14:paraId="2AE21F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提供ISO690、MLA、APA等多种引文输出格式，支持Zotero、EndNote和RefWorks文献管理软件</w:t>
            </w:r>
          </w:p>
        </w:tc>
        <w:tc>
          <w:tcPr>
            <w:tcW w:w="2258" w:type="dxa"/>
            <w:vAlign w:val="center"/>
          </w:tcPr>
          <w:p w14:paraId="3FEB9A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c>
          <w:tcPr>
            <w:tcW w:w="2817" w:type="dxa"/>
            <w:vAlign w:val="center"/>
          </w:tcPr>
          <w:p w14:paraId="4C84C4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r>
      <w:tr w14:paraId="1560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vAlign w:val="center"/>
          </w:tcPr>
          <w:p w14:paraId="445CF4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tc>
        <w:tc>
          <w:tcPr>
            <w:tcW w:w="7201" w:type="dxa"/>
            <w:gridSpan w:val="3"/>
            <w:vAlign w:val="center"/>
          </w:tcPr>
          <w:p w14:paraId="3D1D93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提供数据库培训、宣传等活动一年内不少于2次，具体时间和形式，双方协商确认。</w:t>
            </w:r>
          </w:p>
          <w:p w14:paraId="329EE916">
            <w:pPr>
              <w:pStyle w:val="51"/>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rPr>
            </w:pPr>
            <w:r>
              <w:rPr>
                <w:rFonts w:hint="eastAsia" w:ascii="宋体" w:hAnsi="宋体" w:cs="宋体"/>
                <w:sz w:val="21"/>
                <w:szCs w:val="21"/>
                <w:lang w:val="en-US" w:eastAsia="zh-CN"/>
              </w:rPr>
              <w:t>2.</w:t>
            </w:r>
            <w:r>
              <w:rPr>
                <w:rFonts w:hint="eastAsia" w:ascii="宋体" w:hAnsi="宋体" w:eastAsia="宋体" w:cs="宋体"/>
                <w:sz w:val="21"/>
                <w:szCs w:val="21"/>
              </w:rPr>
              <w:t>定期提供数据库使用统计</w:t>
            </w:r>
            <w:r>
              <w:rPr>
                <w:rFonts w:hint="eastAsia" w:ascii="宋体" w:hAnsi="宋体" w:eastAsia="宋体" w:cs="宋体"/>
                <w:sz w:val="21"/>
                <w:szCs w:val="21"/>
                <w:highlight w:val="none"/>
                <w:lang w:val="en-US"/>
              </w:rPr>
              <w:t>。</w:t>
            </w:r>
          </w:p>
        </w:tc>
      </w:tr>
    </w:tbl>
    <w:p w14:paraId="716A033B">
      <w:pPr>
        <w:numPr>
          <w:ilvl w:val="255"/>
          <w:numId w:val="0"/>
        </w:numPr>
        <w:spacing w:line="400" w:lineRule="exact"/>
        <w:ind w:firstLine="420" w:firstLineChars="200"/>
        <w:rPr>
          <w:rFonts w:hint="eastAsia" w:ascii="宋体" w:hAnsi="宋体" w:eastAsia="宋体" w:cs="宋体"/>
          <w:szCs w:val="21"/>
          <w:lang w:val="en-US"/>
        </w:rPr>
      </w:pPr>
      <w:r>
        <w:rPr>
          <w:rFonts w:hint="eastAsia" w:ascii="宋体" w:hAnsi="宋体" w:eastAsia="宋体" w:cs="宋体"/>
          <w:szCs w:val="21"/>
          <w:lang w:val="en-US"/>
        </w:rPr>
        <w:t>2.提供网络、电话及E-mail支持服务，响应时间不超过24小时。</w:t>
      </w:r>
    </w:p>
    <w:p w14:paraId="74AAAF0B">
      <w:pPr>
        <w:numPr>
          <w:ilvl w:val="255"/>
          <w:numId w:val="0"/>
        </w:num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rPr>
        <w:t>服务期限：2026</w:t>
      </w:r>
      <w:r>
        <w:rPr>
          <w:rFonts w:hint="eastAsia" w:ascii="宋体" w:hAnsi="宋体" w:eastAsia="宋体" w:cs="宋体"/>
          <w:szCs w:val="21"/>
          <w:lang w:val="en-US" w:eastAsia="zh-CN"/>
        </w:rPr>
        <w:t>年</w:t>
      </w:r>
      <w:r>
        <w:rPr>
          <w:rFonts w:hint="eastAsia" w:ascii="宋体" w:hAnsi="宋体" w:eastAsia="宋体" w:cs="宋体"/>
          <w:szCs w:val="21"/>
          <w:lang w:val="en-US"/>
        </w:rPr>
        <w:t>1</w:t>
      </w:r>
      <w:r>
        <w:rPr>
          <w:rFonts w:hint="eastAsia" w:ascii="宋体" w:hAnsi="宋体" w:eastAsia="宋体" w:cs="宋体"/>
          <w:szCs w:val="21"/>
          <w:lang w:val="en-US" w:eastAsia="zh-CN"/>
        </w:rPr>
        <w:t>月</w:t>
      </w:r>
      <w:r>
        <w:rPr>
          <w:rFonts w:hint="eastAsia" w:ascii="宋体" w:hAnsi="宋体" w:eastAsia="宋体" w:cs="宋体"/>
          <w:szCs w:val="21"/>
          <w:lang w:val="en-US"/>
        </w:rPr>
        <w:t>1</w:t>
      </w:r>
      <w:r>
        <w:rPr>
          <w:rFonts w:hint="eastAsia" w:ascii="宋体" w:hAnsi="宋体" w:eastAsia="宋体" w:cs="宋体"/>
          <w:szCs w:val="21"/>
          <w:lang w:val="en-US" w:eastAsia="zh-CN"/>
        </w:rPr>
        <w:t>日至</w:t>
      </w:r>
      <w:r>
        <w:rPr>
          <w:rFonts w:hint="eastAsia" w:ascii="宋体" w:hAnsi="宋体" w:eastAsia="宋体" w:cs="宋体"/>
          <w:szCs w:val="21"/>
          <w:lang w:val="en-US"/>
        </w:rPr>
        <w:t>2026</w:t>
      </w:r>
      <w:r>
        <w:rPr>
          <w:rFonts w:hint="eastAsia" w:ascii="宋体" w:hAnsi="宋体" w:eastAsia="宋体" w:cs="宋体"/>
          <w:szCs w:val="21"/>
          <w:lang w:val="en-US" w:eastAsia="zh-CN"/>
        </w:rPr>
        <w:t>年</w:t>
      </w:r>
      <w:r>
        <w:rPr>
          <w:rFonts w:hint="eastAsia" w:ascii="宋体" w:hAnsi="宋体" w:eastAsia="宋体" w:cs="宋体"/>
          <w:szCs w:val="21"/>
          <w:lang w:val="en-US"/>
        </w:rPr>
        <w:t>12</w:t>
      </w:r>
      <w:r>
        <w:rPr>
          <w:rFonts w:hint="eastAsia" w:ascii="宋体" w:hAnsi="宋体" w:eastAsia="宋体" w:cs="宋体"/>
          <w:szCs w:val="21"/>
          <w:lang w:val="en-US" w:eastAsia="zh-CN"/>
        </w:rPr>
        <w:t>月</w:t>
      </w:r>
      <w:r>
        <w:rPr>
          <w:rFonts w:hint="eastAsia" w:ascii="宋体" w:hAnsi="宋体" w:eastAsia="宋体" w:cs="宋体"/>
          <w:szCs w:val="21"/>
          <w:lang w:val="en-US"/>
        </w:rPr>
        <w:t>31</w:t>
      </w:r>
      <w:r>
        <w:rPr>
          <w:rFonts w:hint="eastAsia" w:ascii="宋体" w:hAnsi="宋体" w:eastAsia="宋体" w:cs="宋体"/>
          <w:szCs w:val="21"/>
          <w:lang w:val="en-US" w:eastAsia="zh-CN"/>
        </w:rPr>
        <w:t>日。</w:t>
      </w:r>
    </w:p>
    <w:p w14:paraId="590896AD">
      <w:pPr>
        <w:numPr>
          <w:ilvl w:val="255"/>
          <w:numId w:val="0"/>
        </w:numPr>
        <w:spacing w:line="400" w:lineRule="exact"/>
        <w:rPr>
          <w:rFonts w:ascii="宋体" w:hAnsi="宋体" w:cs="宋体"/>
          <w:szCs w:val="21"/>
        </w:rPr>
      </w:pPr>
    </w:p>
    <w:p w14:paraId="5B5C6020">
      <w:pPr>
        <w:spacing w:line="400" w:lineRule="exact"/>
        <w:rPr>
          <w:rFonts w:ascii="宋体" w:hAnsi="宋体" w:cs="宋体"/>
          <w:szCs w:val="21"/>
        </w:rPr>
      </w:pPr>
      <w:r>
        <w:rPr>
          <w:rFonts w:hint="eastAsia" w:ascii="宋体" w:hAnsi="宋体" w:cs="宋体"/>
          <w:szCs w:val="21"/>
        </w:rPr>
        <w:br w:type="page"/>
      </w:r>
    </w:p>
    <w:bookmarkEnd w:id="63"/>
    <w:p w14:paraId="36316AF9">
      <w:pPr>
        <w:spacing w:line="400" w:lineRule="exact"/>
        <w:jc w:val="center"/>
        <w:outlineLvl w:val="0"/>
        <w:rPr>
          <w:rFonts w:ascii="宋体" w:hAnsi="宋体" w:cs="宋体"/>
          <w:b/>
        </w:rPr>
      </w:pPr>
      <w:bookmarkStart w:id="162" w:name="_Toc21193"/>
      <w:bookmarkStart w:id="163" w:name="_Toc105926977"/>
      <w:r>
        <w:rPr>
          <w:rFonts w:hint="eastAsia" w:ascii="宋体" w:hAnsi="宋体" w:cs="宋体"/>
          <w:b/>
          <w:sz w:val="32"/>
        </w:rPr>
        <w:t>第四章  商务条款</w:t>
      </w:r>
      <w:bookmarkEnd w:id="162"/>
      <w:bookmarkEnd w:id="163"/>
    </w:p>
    <w:tbl>
      <w:tblPr>
        <w:tblStyle w:val="5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1515"/>
        <w:gridCol w:w="5519"/>
        <w:gridCol w:w="1313"/>
      </w:tblGrid>
      <w:tr w14:paraId="19066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45BBFF5A">
            <w:pPr>
              <w:spacing w:line="400" w:lineRule="exact"/>
              <w:jc w:val="center"/>
              <w:rPr>
                <w:rFonts w:ascii="宋体" w:hAnsi="宋体" w:cs="宋体"/>
                <w:b/>
                <w:bCs/>
                <w:szCs w:val="21"/>
              </w:rPr>
            </w:pPr>
            <w:r>
              <w:rPr>
                <w:rFonts w:hint="eastAsia" w:ascii="宋体" w:hAnsi="宋体" w:cs="宋体"/>
                <w:b/>
                <w:bCs/>
                <w:szCs w:val="21"/>
              </w:rPr>
              <w:t>序号</w:t>
            </w:r>
          </w:p>
        </w:tc>
        <w:tc>
          <w:tcPr>
            <w:tcW w:w="826" w:type="pct"/>
            <w:tcBorders>
              <w:top w:val="single" w:color="auto" w:sz="4" w:space="0"/>
              <w:left w:val="single" w:color="auto" w:sz="4" w:space="0"/>
              <w:bottom w:val="single" w:color="auto" w:sz="4" w:space="0"/>
              <w:right w:val="single" w:color="auto" w:sz="4" w:space="0"/>
            </w:tcBorders>
            <w:vAlign w:val="center"/>
          </w:tcPr>
          <w:p w14:paraId="583FFC3B">
            <w:pPr>
              <w:spacing w:line="400" w:lineRule="exact"/>
              <w:jc w:val="center"/>
              <w:rPr>
                <w:rFonts w:ascii="宋体" w:hAnsi="宋体" w:cs="宋体"/>
                <w:b/>
                <w:bCs/>
                <w:szCs w:val="21"/>
              </w:rPr>
            </w:pPr>
            <w:r>
              <w:rPr>
                <w:rFonts w:hint="eastAsia" w:ascii="宋体" w:hAnsi="宋体" w:cs="宋体"/>
                <w:b/>
                <w:bCs/>
                <w:szCs w:val="21"/>
              </w:rPr>
              <w:t>内容</w:t>
            </w:r>
          </w:p>
        </w:tc>
        <w:tc>
          <w:tcPr>
            <w:tcW w:w="3009" w:type="pct"/>
            <w:tcBorders>
              <w:top w:val="single" w:color="auto" w:sz="4" w:space="0"/>
              <w:left w:val="single" w:color="auto" w:sz="4" w:space="0"/>
              <w:bottom w:val="single" w:color="auto" w:sz="4" w:space="0"/>
              <w:right w:val="single" w:color="auto" w:sz="4" w:space="0"/>
            </w:tcBorders>
            <w:vAlign w:val="center"/>
          </w:tcPr>
          <w:p w14:paraId="29BC49CA">
            <w:pPr>
              <w:spacing w:line="400" w:lineRule="exact"/>
              <w:jc w:val="center"/>
              <w:rPr>
                <w:rFonts w:ascii="宋体" w:hAnsi="宋体" w:cs="宋体"/>
                <w:b/>
                <w:bCs/>
                <w:szCs w:val="21"/>
              </w:rPr>
            </w:pPr>
            <w:r>
              <w:rPr>
                <w:rFonts w:hint="eastAsia" w:ascii="宋体" w:hAnsi="宋体" w:cs="宋体"/>
                <w:b/>
                <w:bCs/>
                <w:szCs w:val="21"/>
              </w:rPr>
              <w:t>要求</w:t>
            </w:r>
          </w:p>
        </w:tc>
        <w:tc>
          <w:tcPr>
            <w:tcW w:w="716" w:type="pct"/>
            <w:tcBorders>
              <w:top w:val="single" w:color="auto" w:sz="4" w:space="0"/>
              <w:left w:val="single" w:color="auto" w:sz="4" w:space="0"/>
              <w:bottom w:val="single" w:color="auto" w:sz="4" w:space="0"/>
              <w:right w:val="single" w:color="auto" w:sz="4" w:space="0"/>
            </w:tcBorders>
            <w:vAlign w:val="center"/>
          </w:tcPr>
          <w:p w14:paraId="37678281">
            <w:pPr>
              <w:spacing w:line="400" w:lineRule="exact"/>
              <w:jc w:val="center"/>
              <w:rPr>
                <w:rFonts w:ascii="宋体" w:hAnsi="宋体" w:cs="宋体"/>
                <w:b/>
                <w:bCs/>
                <w:szCs w:val="21"/>
              </w:rPr>
            </w:pPr>
            <w:r>
              <w:rPr>
                <w:rFonts w:hint="eastAsia" w:ascii="宋体" w:hAnsi="宋体" w:cs="宋体"/>
                <w:b/>
                <w:bCs/>
                <w:szCs w:val="21"/>
              </w:rPr>
              <w:t>投标响应</w:t>
            </w:r>
          </w:p>
        </w:tc>
      </w:tr>
      <w:tr w14:paraId="2D839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26336FD5">
            <w:pPr>
              <w:spacing w:line="400" w:lineRule="exact"/>
              <w:jc w:val="center"/>
              <w:rPr>
                <w:rFonts w:ascii="宋体" w:hAnsi="宋体" w:cs="宋体"/>
                <w:szCs w:val="21"/>
              </w:rPr>
            </w:pPr>
            <w:r>
              <w:rPr>
                <w:rFonts w:hint="eastAsia" w:ascii="宋体" w:hAnsi="宋体" w:cs="宋体"/>
                <w:szCs w:val="21"/>
              </w:rPr>
              <w:t>★1</w:t>
            </w:r>
          </w:p>
        </w:tc>
        <w:tc>
          <w:tcPr>
            <w:tcW w:w="826" w:type="pct"/>
            <w:tcBorders>
              <w:top w:val="single" w:color="auto" w:sz="4" w:space="0"/>
              <w:left w:val="single" w:color="auto" w:sz="4" w:space="0"/>
              <w:bottom w:val="single" w:color="auto" w:sz="4" w:space="0"/>
              <w:right w:val="single" w:color="auto" w:sz="4" w:space="0"/>
            </w:tcBorders>
            <w:vAlign w:val="center"/>
          </w:tcPr>
          <w:p w14:paraId="1E55FD79">
            <w:pPr>
              <w:spacing w:line="400" w:lineRule="exact"/>
              <w:jc w:val="center"/>
              <w:rPr>
                <w:rFonts w:ascii="宋体" w:hAnsi="宋体" w:cs="宋体"/>
                <w:szCs w:val="21"/>
              </w:rPr>
            </w:pPr>
            <w:r>
              <w:rPr>
                <w:rFonts w:hint="eastAsia" w:ascii="宋体" w:hAnsi="宋体" w:cs="宋体"/>
                <w:szCs w:val="21"/>
              </w:rPr>
              <w:t>服务期限</w:t>
            </w:r>
          </w:p>
        </w:tc>
        <w:tc>
          <w:tcPr>
            <w:tcW w:w="5519" w:type="dxa"/>
            <w:tcBorders>
              <w:top w:val="single" w:color="auto" w:sz="4" w:space="0"/>
              <w:left w:val="single" w:color="auto" w:sz="4" w:space="0"/>
              <w:bottom w:val="single" w:color="auto" w:sz="4" w:space="0"/>
              <w:right w:val="single" w:color="auto" w:sz="4" w:space="0"/>
            </w:tcBorders>
            <w:vAlign w:val="center"/>
          </w:tcPr>
          <w:p w14:paraId="63E9BC2F">
            <w:pPr>
              <w:spacing w:line="400" w:lineRule="exact"/>
              <w:rPr>
                <w:rFonts w:ascii="宋体" w:hAnsi="宋体" w:cs="宋体"/>
                <w:color w:val="FF0000"/>
                <w:szCs w:val="21"/>
              </w:rPr>
            </w:pPr>
            <w:r>
              <w:rPr>
                <w:rFonts w:hint="eastAsia" w:ascii="宋体" w:hAnsi="宋体" w:cs="宋体"/>
                <w:szCs w:val="21"/>
              </w:rPr>
              <w:t>详见各标项技术需求。</w:t>
            </w:r>
          </w:p>
        </w:tc>
        <w:tc>
          <w:tcPr>
            <w:tcW w:w="716" w:type="pct"/>
            <w:tcBorders>
              <w:top w:val="single" w:color="auto" w:sz="4" w:space="0"/>
              <w:left w:val="single" w:color="auto" w:sz="4" w:space="0"/>
              <w:bottom w:val="single" w:color="auto" w:sz="4" w:space="0"/>
              <w:right w:val="single" w:color="auto" w:sz="4" w:space="0"/>
            </w:tcBorders>
            <w:vAlign w:val="center"/>
          </w:tcPr>
          <w:p w14:paraId="18E53DE1">
            <w:pPr>
              <w:spacing w:line="400" w:lineRule="exact"/>
              <w:rPr>
                <w:rFonts w:ascii="宋体" w:hAnsi="宋体" w:cs="宋体"/>
                <w:szCs w:val="21"/>
              </w:rPr>
            </w:pPr>
          </w:p>
        </w:tc>
      </w:tr>
      <w:tr w14:paraId="608AC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2D1045B0">
            <w:pPr>
              <w:spacing w:line="400" w:lineRule="exact"/>
              <w:jc w:val="center"/>
              <w:rPr>
                <w:rFonts w:ascii="宋体" w:hAnsi="宋体" w:cs="宋体"/>
                <w:szCs w:val="21"/>
              </w:rPr>
            </w:pPr>
            <w:r>
              <w:rPr>
                <w:rFonts w:hint="eastAsia" w:ascii="宋体" w:hAnsi="宋体" w:cs="宋体"/>
                <w:szCs w:val="21"/>
              </w:rPr>
              <w:t>★2</w:t>
            </w:r>
          </w:p>
        </w:tc>
        <w:tc>
          <w:tcPr>
            <w:tcW w:w="826" w:type="pct"/>
            <w:tcBorders>
              <w:top w:val="single" w:color="auto" w:sz="4" w:space="0"/>
              <w:left w:val="single" w:color="auto" w:sz="4" w:space="0"/>
              <w:bottom w:val="single" w:color="auto" w:sz="4" w:space="0"/>
              <w:right w:val="single" w:color="auto" w:sz="4" w:space="0"/>
            </w:tcBorders>
            <w:vAlign w:val="center"/>
          </w:tcPr>
          <w:p w14:paraId="644E333F">
            <w:pPr>
              <w:spacing w:line="400" w:lineRule="exact"/>
              <w:jc w:val="center"/>
              <w:rPr>
                <w:rFonts w:ascii="宋体" w:hAnsi="宋体" w:cs="宋体"/>
                <w:szCs w:val="21"/>
              </w:rPr>
            </w:pPr>
            <w:r>
              <w:rPr>
                <w:rFonts w:hint="eastAsia" w:ascii="宋体" w:hAnsi="宋体" w:cs="宋体"/>
                <w:szCs w:val="21"/>
              </w:rPr>
              <w:t>服务地点</w:t>
            </w:r>
          </w:p>
        </w:tc>
        <w:tc>
          <w:tcPr>
            <w:tcW w:w="5519" w:type="dxa"/>
            <w:tcBorders>
              <w:top w:val="single" w:color="auto" w:sz="4" w:space="0"/>
              <w:left w:val="single" w:color="auto" w:sz="4" w:space="0"/>
              <w:bottom w:val="single" w:color="auto" w:sz="4" w:space="0"/>
              <w:right w:val="single" w:color="auto" w:sz="4" w:space="0"/>
            </w:tcBorders>
            <w:vAlign w:val="center"/>
          </w:tcPr>
          <w:p w14:paraId="2710EE93">
            <w:pPr>
              <w:spacing w:line="400" w:lineRule="exact"/>
              <w:rPr>
                <w:rFonts w:ascii="宋体" w:hAnsi="宋体" w:cs="宋体"/>
                <w:szCs w:val="21"/>
              </w:rPr>
            </w:pPr>
            <w:r>
              <w:rPr>
                <w:rFonts w:hint="eastAsia" w:ascii="宋体" w:hAnsi="宋体" w:cs="宋体"/>
                <w:szCs w:val="21"/>
              </w:rPr>
              <w:t>宁波大学（采购人指定地点）</w:t>
            </w:r>
          </w:p>
        </w:tc>
        <w:tc>
          <w:tcPr>
            <w:tcW w:w="716" w:type="pct"/>
            <w:tcBorders>
              <w:top w:val="single" w:color="auto" w:sz="4" w:space="0"/>
              <w:left w:val="single" w:color="auto" w:sz="4" w:space="0"/>
              <w:bottom w:val="single" w:color="auto" w:sz="4" w:space="0"/>
              <w:right w:val="single" w:color="auto" w:sz="4" w:space="0"/>
            </w:tcBorders>
            <w:vAlign w:val="center"/>
          </w:tcPr>
          <w:p w14:paraId="4F9D4C73">
            <w:pPr>
              <w:spacing w:line="400" w:lineRule="exact"/>
              <w:rPr>
                <w:rFonts w:ascii="宋体" w:hAnsi="宋体" w:cs="宋体"/>
                <w:szCs w:val="21"/>
              </w:rPr>
            </w:pPr>
          </w:p>
        </w:tc>
      </w:tr>
      <w:tr w14:paraId="43F33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476D424C">
            <w:pPr>
              <w:spacing w:line="400" w:lineRule="exact"/>
              <w:jc w:val="center"/>
              <w:rPr>
                <w:rFonts w:ascii="宋体" w:hAnsi="宋体" w:cs="宋体"/>
                <w:szCs w:val="21"/>
              </w:rPr>
            </w:pPr>
            <w:r>
              <w:rPr>
                <w:rFonts w:hint="eastAsia" w:ascii="宋体" w:hAnsi="宋体" w:cs="宋体"/>
                <w:szCs w:val="21"/>
              </w:rPr>
              <w:t>★3</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4595429D">
            <w:pPr>
              <w:spacing w:line="400" w:lineRule="exact"/>
              <w:jc w:val="center"/>
              <w:rPr>
                <w:rFonts w:ascii="宋体" w:hAnsi="宋体" w:cs="宋体"/>
                <w:szCs w:val="21"/>
              </w:rPr>
            </w:pPr>
            <w:r>
              <w:rPr>
                <w:rFonts w:hint="eastAsia" w:ascii="宋体" w:hAnsi="宋体" w:cs="宋体"/>
                <w:szCs w:val="21"/>
              </w:rPr>
              <w:t>付款方式</w:t>
            </w:r>
          </w:p>
        </w:tc>
        <w:tc>
          <w:tcPr>
            <w:tcW w:w="5519" w:type="dxa"/>
            <w:tcBorders>
              <w:top w:val="single" w:color="auto" w:sz="4" w:space="0"/>
              <w:left w:val="single" w:color="auto" w:sz="4" w:space="0"/>
              <w:bottom w:val="single" w:color="auto" w:sz="4" w:space="0"/>
              <w:right w:val="single" w:color="auto" w:sz="4" w:space="0"/>
            </w:tcBorders>
            <w:shd w:val="clear" w:color="auto" w:fill="auto"/>
            <w:vAlign w:val="center"/>
          </w:tcPr>
          <w:p w14:paraId="6EB59EE0">
            <w:pPr>
              <w:spacing w:line="400" w:lineRule="exact"/>
              <w:rPr>
                <w:rFonts w:ascii="宋体" w:hAnsi="宋体" w:cs="宋体"/>
                <w:szCs w:val="21"/>
              </w:rPr>
            </w:pPr>
            <w:r>
              <w:rPr>
                <w:rFonts w:hint="eastAsia" w:ascii="宋体" w:hAnsi="宋体" w:cs="宋体"/>
                <w:szCs w:val="21"/>
                <w:lang w:eastAsia="zh-CN"/>
              </w:rPr>
              <w:t>合同签订生效且具备实施条件后7个工作日内，采购人凭中标供应商开具的发票支付合同金额的40%，服务期满前1个月采购人付清剩余款项。</w:t>
            </w:r>
          </w:p>
        </w:tc>
        <w:tc>
          <w:tcPr>
            <w:tcW w:w="716" w:type="pct"/>
            <w:tcBorders>
              <w:top w:val="single" w:color="auto" w:sz="4" w:space="0"/>
              <w:left w:val="single" w:color="auto" w:sz="4" w:space="0"/>
              <w:bottom w:val="single" w:color="auto" w:sz="4" w:space="0"/>
              <w:right w:val="single" w:color="auto" w:sz="4" w:space="0"/>
            </w:tcBorders>
            <w:vAlign w:val="center"/>
          </w:tcPr>
          <w:p w14:paraId="489CD70F">
            <w:pPr>
              <w:spacing w:line="400" w:lineRule="exact"/>
              <w:rPr>
                <w:rFonts w:ascii="宋体" w:hAnsi="宋体" w:cs="宋体"/>
                <w:szCs w:val="21"/>
              </w:rPr>
            </w:pPr>
          </w:p>
        </w:tc>
      </w:tr>
      <w:tr w14:paraId="6F4F8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63EA8F66">
            <w:pPr>
              <w:spacing w:line="400" w:lineRule="exact"/>
              <w:jc w:val="center"/>
              <w:rPr>
                <w:rFonts w:ascii="宋体" w:hAnsi="宋体" w:cs="宋体"/>
                <w:szCs w:val="21"/>
              </w:rPr>
            </w:pPr>
            <w:r>
              <w:rPr>
                <w:rFonts w:hint="eastAsia" w:ascii="宋体" w:hAnsi="宋体" w:cs="宋体"/>
                <w:szCs w:val="21"/>
              </w:rPr>
              <w:t>4</w:t>
            </w:r>
          </w:p>
        </w:tc>
        <w:tc>
          <w:tcPr>
            <w:tcW w:w="826" w:type="pct"/>
            <w:tcBorders>
              <w:top w:val="single" w:color="auto" w:sz="4" w:space="0"/>
              <w:left w:val="single" w:color="auto" w:sz="4" w:space="0"/>
              <w:bottom w:val="single" w:color="auto" w:sz="4" w:space="0"/>
              <w:right w:val="single" w:color="auto" w:sz="4" w:space="0"/>
            </w:tcBorders>
            <w:vAlign w:val="center"/>
          </w:tcPr>
          <w:p w14:paraId="388C2362">
            <w:pPr>
              <w:spacing w:line="400" w:lineRule="exact"/>
              <w:jc w:val="center"/>
              <w:rPr>
                <w:rFonts w:ascii="宋体" w:hAnsi="宋体" w:cs="宋体"/>
                <w:szCs w:val="21"/>
              </w:rPr>
            </w:pPr>
            <w:r>
              <w:rPr>
                <w:rFonts w:hint="eastAsia" w:ascii="宋体" w:hAnsi="宋体" w:cs="宋体"/>
                <w:szCs w:val="21"/>
              </w:rPr>
              <w:t>履约保证金</w:t>
            </w:r>
          </w:p>
        </w:tc>
        <w:tc>
          <w:tcPr>
            <w:tcW w:w="5519" w:type="dxa"/>
            <w:tcBorders>
              <w:top w:val="single" w:color="auto" w:sz="4" w:space="0"/>
              <w:left w:val="single" w:color="auto" w:sz="4" w:space="0"/>
              <w:bottom w:val="single" w:color="auto" w:sz="4" w:space="0"/>
              <w:right w:val="single" w:color="auto" w:sz="4" w:space="0"/>
            </w:tcBorders>
            <w:vAlign w:val="center"/>
          </w:tcPr>
          <w:p w14:paraId="77BB9FF1">
            <w:pPr>
              <w:autoSpaceDE w:val="0"/>
              <w:autoSpaceDN w:val="0"/>
              <w:spacing w:line="400" w:lineRule="exact"/>
              <w:textAlignment w:val="bottom"/>
              <w:rPr>
                <w:rFonts w:hAnsi="宋体" w:cs="宋体"/>
              </w:rPr>
            </w:pPr>
            <w:r>
              <w:rPr>
                <w:rFonts w:hint="eastAsia" w:ascii="宋体" w:hAnsi="宋体" w:cs="宋体"/>
                <w:szCs w:val="21"/>
              </w:rPr>
              <w:t>无</w:t>
            </w:r>
          </w:p>
        </w:tc>
        <w:tc>
          <w:tcPr>
            <w:tcW w:w="716" w:type="pct"/>
            <w:tcBorders>
              <w:top w:val="single" w:color="auto" w:sz="4" w:space="0"/>
              <w:left w:val="single" w:color="auto" w:sz="4" w:space="0"/>
              <w:bottom w:val="single" w:color="auto" w:sz="4" w:space="0"/>
              <w:right w:val="single" w:color="auto" w:sz="4" w:space="0"/>
            </w:tcBorders>
            <w:vAlign w:val="center"/>
          </w:tcPr>
          <w:p w14:paraId="73F3E971">
            <w:pPr>
              <w:spacing w:line="400" w:lineRule="exact"/>
              <w:rPr>
                <w:rFonts w:ascii="宋体" w:hAnsi="宋体" w:cs="宋体"/>
                <w:szCs w:val="21"/>
              </w:rPr>
            </w:pPr>
          </w:p>
        </w:tc>
      </w:tr>
      <w:tr w14:paraId="36064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5A285CAC">
            <w:pPr>
              <w:spacing w:line="400" w:lineRule="exact"/>
              <w:jc w:val="center"/>
              <w:rPr>
                <w:rFonts w:ascii="宋体" w:hAnsi="宋体" w:cs="宋体"/>
                <w:szCs w:val="21"/>
              </w:rPr>
            </w:pPr>
            <w:r>
              <w:rPr>
                <w:rFonts w:hint="eastAsia" w:ascii="宋体" w:hAnsi="宋体" w:cs="宋体"/>
                <w:szCs w:val="21"/>
              </w:rPr>
              <w:t>★5</w:t>
            </w:r>
          </w:p>
        </w:tc>
        <w:tc>
          <w:tcPr>
            <w:tcW w:w="826" w:type="pct"/>
            <w:tcBorders>
              <w:top w:val="single" w:color="auto" w:sz="4" w:space="0"/>
              <w:left w:val="single" w:color="auto" w:sz="4" w:space="0"/>
              <w:bottom w:val="single" w:color="auto" w:sz="4" w:space="0"/>
              <w:right w:val="single" w:color="auto" w:sz="4" w:space="0"/>
            </w:tcBorders>
            <w:vAlign w:val="center"/>
          </w:tcPr>
          <w:p w14:paraId="4F7CB8CE">
            <w:pPr>
              <w:spacing w:line="400" w:lineRule="exact"/>
              <w:jc w:val="center"/>
              <w:rPr>
                <w:rFonts w:ascii="宋体" w:hAnsi="宋体" w:cs="宋体"/>
                <w:szCs w:val="21"/>
              </w:rPr>
            </w:pPr>
            <w:r>
              <w:rPr>
                <w:rFonts w:hint="eastAsia" w:ascii="宋体" w:hAnsi="宋体" w:cs="宋体"/>
                <w:szCs w:val="21"/>
              </w:rPr>
              <w:t>验收标准</w:t>
            </w:r>
          </w:p>
        </w:tc>
        <w:tc>
          <w:tcPr>
            <w:tcW w:w="5519" w:type="dxa"/>
            <w:tcBorders>
              <w:top w:val="single" w:color="auto" w:sz="4" w:space="0"/>
              <w:left w:val="single" w:color="auto" w:sz="4" w:space="0"/>
              <w:bottom w:val="single" w:color="auto" w:sz="4" w:space="0"/>
              <w:right w:val="single" w:color="auto" w:sz="4" w:space="0"/>
            </w:tcBorders>
            <w:vAlign w:val="center"/>
          </w:tcPr>
          <w:p w14:paraId="19B8175B">
            <w:pPr>
              <w:autoSpaceDE w:val="0"/>
              <w:autoSpaceDN w:val="0"/>
              <w:spacing w:line="400" w:lineRule="exact"/>
              <w:textAlignment w:val="bottom"/>
              <w:rPr>
                <w:rFonts w:ascii="宋体" w:hAnsi="宋体" w:cs="宋体"/>
                <w:szCs w:val="21"/>
              </w:rPr>
            </w:pPr>
            <w:r>
              <w:rPr>
                <w:rFonts w:hint="eastAsia" w:ascii="宋体" w:hAnsi="宋体" w:cs="宋体"/>
                <w:szCs w:val="21"/>
              </w:rPr>
              <w:t>1.应符合国家或行业有关的质量标准或验收规范并按照中标供应商提供的投标文件及中标供应商和采购人签订的采购合同为标准进行验收。</w:t>
            </w:r>
          </w:p>
          <w:p w14:paraId="0FE5368E">
            <w:pPr>
              <w:autoSpaceDE w:val="0"/>
              <w:autoSpaceDN w:val="0"/>
              <w:spacing w:line="400" w:lineRule="exact"/>
              <w:textAlignment w:val="bottom"/>
            </w:pPr>
            <w:r>
              <w:rPr>
                <w:rFonts w:hint="eastAsia" w:ascii="宋体" w:hAnsi="宋体" w:cs="宋体"/>
                <w:szCs w:val="21"/>
              </w:rPr>
              <w:t>2.具体要求详见招标文件技术需求。</w:t>
            </w:r>
          </w:p>
        </w:tc>
        <w:tc>
          <w:tcPr>
            <w:tcW w:w="716" w:type="pct"/>
            <w:tcBorders>
              <w:top w:val="single" w:color="auto" w:sz="4" w:space="0"/>
              <w:left w:val="single" w:color="auto" w:sz="4" w:space="0"/>
              <w:bottom w:val="single" w:color="auto" w:sz="4" w:space="0"/>
              <w:right w:val="single" w:color="auto" w:sz="4" w:space="0"/>
            </w:tcBorders>
            <w:vAlign w:val="center"/>
          </w:tcPr>
          <w:p w14:paraId="4D404790">
            <w:pPr>
              <w:spacing w:line="400" w:lineRule="exact"/>
              <w:rPr>
                <w:rFonts w:ascii="宋体" w:hAnsi="宋体" w:cs="宋体"/>
                <w:b/>
                <w:bCs/>
                <w:szCs w:val="21"/>
              </w:rPr>
            </w:pPr>
          </w:p>
        </w:tc>
      </w:tr>
      <w:tr w14:paraId="27BFE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2910303A">
            <w:pPr>
              <w:spacing w:line="400" w:lineRule="exact"/>
              <w:jc w:val="center"/>
              <w:rPr>
                <w:rFonts w:ascii="宋体" w:hAnsi="宋体" w:cs="宋体"/>
                <w:szCs w:val="21"/>
              </w:rPr>
            </w:pPr>
            <w:r>
              <w:rPr>
                <w:rFonts w:hint="eastAsia" w:ascii="宋体" w:hAnsi="宋体" w:cs="宋体"/>
                <w:szCs w:val="21"/>
              </w:rPr>
              <w:t>★6</w:t>
            </w:r>
          </w:p>
        </w:tc>
        <w:tc>
          <w:tcPr>
            <w:tcW w:w="826" w:type="pct"/>
            <w:tcBorders>
              <w:top w:val="single" w:color="auto" w:sz="4" w:space="0"/>
              <w:left w:val="single" w:color="auto" w:sz="4" w:space="0"/>
              <w:bottom w:val="single" w:color="auto" w:sz="4" w:space="0"/>
              <w:right w:val="single" w:color="auto" w:sz="4" w:space="0"/>
            </w:tcBorders>
            <w:vAlign w:val="center"/>
          </w:tcPr>
          <w:p w14:paraId="3B21CE79">
            <w:pPr>
              <w:spacing w:line="400" w:lineRule="exact"/>
              <w:jc w:val="center"/>
              <w:rPr>
                <w:rFonts w:ascii="宋体" w:hAnsi="宋体" w:cs="宋体"/>
                <w:szCs w:val="21"/>
              </w:rPr>
            </w:pPr>
            <w:r>
              <w:rPr>
                <w:rFonts w:hint="eastAsia" w:ascii="宋体" w:hAnsi="宋体" w:cs="宋体"/>
                <w:szCs w:val="21"/>
              </w:rPr>
              <w:t>其他要求</w:t>
            </w:r>
          </w:p>
        </w:tc>
        <w:tc>
          <w:tcPr>
            <w:tcW w:w="5519" w:type="dxa"/>
            <w:tcBorders>
              <w:top w:val="single" w:color="auto" w:sz="4" w:space="0"/>
              <w:left w:val="single" w:color="auto" w:sz="4" w:space="0"/>
              <w:bottom w:val="single" w:color="auto" w:sz="4" w:space="0"/>
              <w:right w:val="single" w:color="auto" w:sz="4" w:space="0"/>
            </w:tcBorders>
            <w:vAlign w:val="center"/>
          </w:tcPr>
          <w:p w14:paraId="2B035894">
            <w:pPr>
              <w:autoSpaceDE w:val="0"/>
              <w:autoSpaceDN w:val="0"/>
              <w:spacing w:line="400" w:lineRule="exact"/>
              <w:textAlignment w:val="bottom"/>
              <w:rPr>
                <w:rFonts w:ascii="宋体" w:hAnsi="宋体" w:cs="宋体"/>
                <w:szCs w:val="21"/>
              </w:rPr>
            </w:pPr>
            <w:r>
              <w:rPr>
                <w:rFonts w:hint="eastAsia" w:ascii="宋体" w:hAnsi="宋体" w:cs="宋体"/>
                <w:szCs w:val="21"/>
              </w:rPr>
              <w:t>1.供应商承诺提供的产品及相关服务符合法律规定，不存在知识产权、版权或其他任何纠纷。如出现任何法律问题、知识产权、版权问题，供应商承担一切责任，采购人不承担任何责任。</w:t>
            </w:r>
          </w:p>
          <w:p w14:paraId="3E12F392">
            <w:pPr>
              <w:autoSpaceDE w:val="0"/>
              <w:autoSpaceDN w:val="0"/>
              <w:spacing w:line="400" w:lineRule="exact"/>
              <w:textAlignment w:val="bottom"/>
              <w:rPr>
                <w:rFonts w:ascii="宋体" w:hAnsi="宋体" w:cs="宋体"/>
                <w:b/>
                <w:bCs/>
                <w:szCs w:val="21"/>
              </w:rPr>
            </w:pPr>
            <w:r>
              <w:rPr>
                <w:rFonts w:hint="eastAsia" w:ascii="宋体" w:hAnsi="宋体" w:cs="宋体"/>
                <w:szCs w:val="21"/>
              </w:rPr>
              <w:t>2.详见“第六章  采购合同样本”。</w:t>
            </w:r>
          </w:p>
        </w:tc>
        <w:tc>
          <w:tcPr>
            <w:tcW w:w="716" w:type="pct"/>
            <w:tcBorders>
              <w:top w:val="single" w:color="auto" w:sz="4" w:space="0"/>
              <w:left w:val="single" w:color="auto" w:sz="4" w:space="0"/>
              <w:bottom w:val="single" w:color="auto" w:sz="4" w:space="0"/>
              <w:right w:val="single" w:color="auto" w:sz="4" w:space="0"/>
            </w:tcBorders>
            <w:vAlign w:val="center"/>
          </w:tcPr>
          <w:p w14:paraId="09C6B950">
            <w:pPr>
              <w:spacing w:line="400" w:lineRule="exact"/>
              <w:rPr>
                <w:rFonts w:ascii="宋体" w:hAnsi="宋体" w:cs="宋体"/>
                <w:szCs w:val="21"/>
              </w:rPr>
            </w:pPr>
          </w:p>
        </w:tc>
      </w:tr>
      <w:tr w14:paraId="73FE3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585CF50E">
            <w:pPr>
              <w:spacing w:line="400" w:lineRule="exact"/>
              <w:jc w:val="center"/>
              <w:rPr>
                <w:rFonts w:ascii="宋体" w:hAnsi="宋体" w:cs="宋体"/>
                <w:szCs w:val="21"/>
              </w:rPr>
            </w:pPr>
            <w:r>
              <w:rPr>
                <w:rFonts w:hint="eastAsia" w:ascii="宋体" w:hAnsi="宋体" w:cs="宋体"/>
                <w:szCs w:val="21"/>
              </w:rPr>
              <w:t>7</w:t>
            </w:r>
          </w:p>
        </w:tc>
        <w:tc>
          <w:tcPr>
            <w:tcW w:w="826" w:type="pct"/>
            <w:tcBorders>
              <w:top w:val="single" w:color="auto" w:sz="4" w:space="0"/>
              <w:left w:val="single" w:color="auto" w:sz="4" w:space="0"/>
              <w:bottom w:val="single" w:color="auto" w:sz="4" w:space="0"/>
              <w:right w:val="single" w:color="auto" w:sz="4" w:space="0"/>
            </w:tcBorders>
            <w:vAlign w:val="center"/>
          </w:tcPr>
          <w:p w14:paraId="481D6268">
            <w:pPr>
              <w:spacing w:line="400" w:lineRule="exact"/>
              <w:jc w:val="center"/>
              <w:rPr>
                <w:rFonts w:ascii="宋体" w:hAnsi="宋体" w:cs="宋体"/>
                <w:szCs w:val="21"/>
              </w:rPr>
            </w:pPr>
            <w:r>
              <w:rPr>
                <w:rFonts w:hint="eastAsia" w:ascii="宋体" w:hAnsi="宋体" w:cs="宋体"/>
                <w:szCs w:val="21"/>
              </w:rPr>
              <w:t>签订合同时间</w:t>
            </w:r>
          </w:p>
        </w:tc>
        <w:tc>
          <w:tcPr>
            <w:tcW w:w="5519" w:type="dxa"/>
            <w:tcBorders>
              <w:top w:val="single" w:color="auto" w:sz="4" w:space="0"/>
              <w:left w:val="single" w:color="auto" w:sz="4" w:space="0"/>
              <w:bottom w:val="single" w:color="auto" w:sz="4" w:space="0"/>
              <w:right w:val="single" w:color="auto" w:sz="4" w:space="0"/>
            </w:tcBorders>
            <w:vAlign w:val="center"/>
          </w:tcPr>
          <w:p w14:paraId="56E2DCF5">
            <w:pPr>
              <w:autoSpaceDE w:val="0"/>
              <w:autoSpaceDN w:val="0"/>
              <w:spacing w:line="400" w:lineRule="exact"/>
              <w:textAlignment w:val="bottom"/>
              <w:rPr>
                <w:rFonts w:ascii="宋体" w:hAnsi="宋体" w:cs="宋体"/>
                <w:szCs w:val="21"/>
              </w:rPr>
            </w:pPr>
            <w:r>
              <w:rPr>
                <w:rFonts w:hint="eastAsia" w:ascii="宋体" w:hAnsi="宋体" w:cs="宋体"/>
                <w:szCs w:val="21"/>
              </w:rPr>
              <w:t>中标通知书发出之日起</w:t>
            </w:r>
            <w:r>
              <w:rPr>
                <w:rFonts w:hint="eastAsia" w:ascii="宋体" w:hAnsi="宋体" w:cs="宋体"/>
                <w:szCs w:val="21"/>
                <w:u w:val="single"/>
              </w:rPr>
              <w:t xml:space="preserve"> 30 </w:t>
            </w:r>
            <w:r>
              <w:rPr>
                <w:rFonts w:hint="eastAsia" w:ascii="宋体" w:hAnsi="宋体" w:cs="宋体"/>
                <w:szCs w:val="21"/>
              </w:rPr>
              <w:t>日内。</w:t>
            </w:r>
          </w:p>
        </w:tc>
        <w:tc>
          <w:tcPr>
            <w:tcW w:w="716" w:type="pct"/>
            <w:tcBorders>
              <w:top w:val="single" w:color="auto" w:sz="4" w:space="0"/>
              <w:left w:val="single" w:color="auto" w:sz="4" w:space="0"/>
              <w:bottom w:val="single" w:color="auto" w:sz="4" w:space="0"/>
              <w:right w:val="single" w:color="auto" w:sz="4" w:space="0"/>
            </w:tcBorders>
            <w:vAlign w:val="center"/>
          </w:tcPr>
          <w:p w14:paraId="49225D74">
            <w:pPr>
              <w:spacing w:line="400" w:lineRule="exact"/>
              <w:rPr>
                <w:rFonts w:ascii="宋体" w:hAnsi="宋体" w:cs="宋体"/>
                <w:szCs w:val="21"/>
              </w:rPr>
            </w:pPr>
          </w:p>
        </w:tc>
      </w:tr>
    </w:tbl>
    <w:p w14:paraId="76AEF107">
      <w:pPr>
        <w:spacing w:line="400" w:lineRule="exact"/>
        <w:jc w:val="center"/>
        <w:outlineLvl w:val="0"/>
        <w:rPr>
          <w:rFonts w:ascii="宋体" w:hAnsi="宋体" w:cs="宋体"/>
          <w:b/>
          <w:sz w:val="32"/>
        </w:rPr>
      </w:pPr>
      <w:r>
        <w:rPr>
          <w:rFonts w:hint="eastAsia" w:ascii="宋体" w:hAnsi="宋体" w:cs="宋体"/>
          <w:b/>
          <w:sz w:val="32"/>
        </w:rPr>
        <w:br w:type="page"/>
      </w:r>
      <w:bookmarkStart w:id="164" w:name="_Toc12082"/>
      <w:r>
        <w:rPr>
          <w:rFonts w:hint="eastAsia" w:ascii="宋体" w:hAnsi="宋体" w:cs="宋体"/>
          <w:b/>
          <w:sz w:val="32"/>
        </w:rPr>
        <w:t>第五章  评标办法及标准</w:t>
      </w:r>
      <w:bookmarkEnd w:id="164"/>
    </w:p>
    <w:p w14:paraId="4389A1E6">
      <w:pPr>
        <w:spacing w:line="400" w:lineRule="exact"/>
        <w:jc w:val="left"/>
        <w:rPr>
          <w:rFonts w:ascii="宋体" w:hAnsi="宋体" w:cs="宋体"/>
          <w:b/>
          <w:szCs w:val="21"/>
        </w:rPr>
      </w:pPr>
      <w:r>
        <w:rPr>
          <w:rFonts w:hint="eastAsia" w:ascii="宋体" w:hAnsi="宋体" w:cs="宋体"/>
          <w:b/>
          <w:szCs w:val="21"/>
        </w:rPr>
        <w:t>一、评标办法</w:t>
      </w:r>
    </w:p>
    <w:p w14:paraId="023BB6C0">
      <w:pPr>
        <w:spacing w:line="400" w:lineRule="exact"/>
        <w:ind w:firstLine="420" w:firstLineChars="200"/>
        <w:jc w:val="left"/>
        <w:rPr>
          <w:rFonts w:ascii="宋体" w:hAnsi="宋体" w:cs="宋体"/>
          <w:szCs w:val="21"/>
        </w:rPr>
      </w:pPr>
      <w:r>
        <w:rPr>
          <w:rFonts w:hint="eastAsia" w:ascii="宋体" w:hAnsi="宋体" w:cs="宋体"/>
          <w:szCs w:val="21"/>
        </w:rPr>
        <w:t>1.1本项目评标采用综合评分法。</w:t>
      </w:r>
    </w:p>
    <w:p w14:paraId="226803A7">
      <w:pPr>
        <w:spacing w:line="400" w:lineRule="exact"/>
        <w:ind w:firstLine="420" w:firstLineChars="200"/>
        <w:jc w:val="left"/>
        <w:rPr>
          <w:rFonts w:ascii="宋体" w:hAnsi="宋体" w:cs="宋体"/>
          <w:szCs w:val="21"/>
        </w:rPr>
      </w:pPr>
      <w:r>
        <w:rPr>
          <w:rFonts w:hint="eastAsia" w:ascii="宋体" w:hAnsi="宋体" w:cs="宋体"/>
          <w:szCs w:val="21"/>
        </w:rPr>
        <w:t>1.2综合评分法：采用百分制，总分100分。供应商的综合得分为技术商务得分与价格得分之和。每标项根据供应商按综合得分由高到低进行排序，推荐中标候选供应商。若供应商的综合得分相等，则投标报价低者列前；若投标报价也相同时，则采取随机抽签的方式确定排序，先抽出的排序列前。</w:t>
      </w:r>
    </w:p>
    <w:p w14:paraId="0303AD9C">
      <w:pPr>
        <w:spacing w:line="400" w:lineRule="exact"/>
        <w:ind w:firstLine="420" w:firstLineChars="200"/>
        <w:jc w:val="left"/>
        <w:rPr>
          <w:rFonts w:ascii="宋体" w:hAnsi="宋体" w:cs="宋体"/>
          <w:szCs w:val="21"/>
        </w:rPr>
      </w:pPr>
      <w:r>
        <w:rPr>
          <w:rFonts w:hint="eastAsia" w:ascii="宋体" w:hAnsi="宋体" w:cs="宋体"/>
          <w:szCs w:val="21"/>
        </w:rPr>
        <w:t>1.3</w:t>
      </w:r>
      <w:r>
        <w:rPr>
          <w:rFonts w:hint="eastAsia" w:ascii="宋体" w:hAnsi="宋体" w:cs="宋体"/>
        </w:rPr>
        <w:t>本项目需要落实的政府采购政策：</w:t>
      </w:r>
      <w:r>
        <w:rPr>
          <w:rFonts w:hint="eastAsia" w:ascii="宋体" w:hAnsi="宋体" w:cs="宋体"/>
          <w:szCs w:val="21"/>
        </w:rPr>
        <w:t>无。</w:t>
      </w:r>
    </w:p>
    <w:p w14:paraId="263E0DBA">
      <w:pPr>
        <w:spacing w:line="400" w:lineRule="exact"/>
        <w:ind w:firstLine="420" w:firstLineChars="200"/>
        <w:jc w:val="left"/>
        <w:rPr>
          <w:rFonts w:ascii="宋体" w:hAnsi="宋体" w:cs="宋体"/>
          <w:szCs w:val="21"/>
        </w:rPr>
      </w:pPr>
      <w:r>
        <w:rPr>
          <w:rFonts w:hint="eastAsia" w:ascii="宋体" w:hAnsi="宋体" w:cs="宋体"/>
          <w:szCs w:val="21"/>
        </w:rPr>
        <w:t>1.4标项1,2,3,4,5,6,7,8,9,10,11,12,13,14,15,16,17,18,19,20,21,22,23,24,25,26,27,</w:t>
      </w:r>
    </w:p>
    <w:p w14:paraId="7E060D80">
      <w:pPr>
        <w:spacing w:line="400" w:lineRule="exact"/>
        <w:jc w:val="left"/>
        <w:rPr>
          <w:rFonts w:ascii="宋体" w:hAnsi="宋体" w:cs="宋体"/>
          <w:szCs w:val="21"/>
        </w:rPr>
      </w:pPr>
      <w:r>
        <w:rPr>
          <w:rFonts w:hint="eastAsia" w:ascii="宋体" w:hAnsi="宋体" w:cs="宋体"/>
          <w:szCs w:val="21"/>
        </w:rPr>
        <w:t>28,29,30,31,32,33,34,35,36,37,38,39,40,41,42,43,44,45,46,47,48本次采购为非专门面向中小企业，采购标的对应的中小企业划分标准所属行业为：</w:t>
      </w:r>
      <w:r>
        <w:rPr>
          <w:rFonts w:hint="eastAsia" w:ascii="宋体" w:hAnsi="宋体" w:cs="宋体"/>
          <w:b/>
          <w:bCs/>
          <w:szCs w:val="21"/>
          <w:u w:val="single"/>
        </w:rPr>
        <w:t>软件和信息技术服务业</w:t>
      </w:r>
      <w:r>
        <w:rPr>
          <w:rFonts w:hint="eastAsia" w:ascii="宋体" w:hAnsi="宋体" w:cs="宋体"/>
          <w:szCs w:val="21"/>
        </w:rPr>
        <w:t>。本次评标将对满足招标文件第二章第十八条第1、2、3款要求的服务承接企业均为小微企业的价格给予10%的扣除，用扣除后的价格参与评审。价格扣除只用于评审过程，如中标，中标价格仍按照其投标价格进行公示。</w:t>
      </w:r>
    </w:p>
    <w:p w14:paraId="2866D309">
      <w:pPr>
        <w:spacing w:line="400" w:lineRule="exact"/>
        <w:ind w:firstLine="420" w:firstLineChars="200"/>
        <w:jc w:val="left"/>
        <w:rPr>
          <w:rFonts w:ascii="宋体" w:hAnsi="宋体" w:cs="宋体"/>
          <w:szCs w:val="21"/>
        </w:rPr>
      </w:pPr>
      <w:r>
        <w:rPr>
          <w:rFonts w:hint="eastAsia" w:ascii="宋体" w:hAnsi="宋体" w:cs="宋体"/>
          <w:szCs w:val="21"/>
        </w:rPr>
        <w:t>1.5本项目将对节能产品、环境标志产品给予政策性因素技术加分，投标产品如属于节能产品、环境标志产品的，供应商须提供由国家确定的认证机构出具的、处于有效期之内的节能产品、环境标志产品认证证书，未按要求提供认证证书或认证证书与中国政府采购网（</w:t>
      </w:r>
      <w:r>
        <w:fldChar w:fldCharType="begin"/>
      </w:r>
      <w:r>
        <w:instrText xml:space="preserve"> HYPERLINK "http://www.ccgp.gov.cn/" </w:instrText>
      </w:r>
      <w: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）节能产品、环境标志产品查询结果不相符的评标委员会将不予认可，不得享受技术加分。由多个产品集成的项目（标项），必须所有产品符合上述要求才能享受技术加分。（本项目不适用）</w:t>
      </w:r>
    </w:p>
    <w:p w14:paraId="7C3365AD">
      <w:pPr>
        <w:spacing w:line="400" w:lineRule="exact"/>
        <w:ind w:firstLine="420" w:firstLineChars="200"/>
        <w:jc w:val="left"/>
        <w:rPr>
          <w:rFonts w:ascii="宋体" w:hAnsi="宋体" w:cs="宋体"/>
          <w:szCs w:val="21"/>
        </w:rPr>
      </w:pPr>
      <w:r>
        <w:rPr>
          <w:rFonts w:hint="eastAsia" w:ascii="宋体" w:hAnsi="宋体" w:cs="宋体"/>
          <w:szCs w:val="21"/>
        </w:rPr>
        <w:t>1.6评标委员会成员对需要共同认定的事项存在争议的，应当按照少数服从多数的原则作出结论。</w:t>
      </w:r>
    </w:p>
    <w:p w14:paraId="770366AD">
      <w:pPr>
        <w:spacing w:line="400" w:lineRule="exact"/>
        <w:jc w:val="left"/>
        <w:rPr>
          <w:rFonts w:ascii="宋体" w:hAnsi="宋体" w:cs="宋体"/>
          <w:b/>
          <w:bCs/>
          <w:szCs w:val="21"/>
        </w:rPr>
      </w:pPr>
      <w:r>
        <w:rPr>
          <w:rFonts w:hint="eastAsia" w:ascii="宋体" w:hAnsi="宋体" w:cs="宋体"/>
          <w:b/>
          <w:bCs/>
          <w:szCs w:val="21"/>
        </w:rPr>
        <w:t>二、评标程序</w:t>
      </w:r>
    </w:p>
    <w:p w14:paraId="0EB2794D">
      <w:pPr>
        <w:spacing w:line="400" w:lineRule="exact"/>
        <w:ind w:firstLine="420" w:firstLineChars="200"/>
        <w:rPr>
          <w:rFonts w:ascii="宋体" w:hAnsi="宋体" w:cs="宋体"/>
          <w:b/>
          <w:szCs w:val="21"/>
        </w:rPr>
      </w:pPr>
      <w:r>
        <w:rPr>
          <w:rFonts w:hint="eastAsia" w:ascii="宋体" w:hAnsi="宋体" w:cs="宋体"/>
          <w:szCs w:val="21"/>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szCs w:val="21"/>
        </w:rPr>
        <w:t>资格性审查和符合性审查中，有任意一项审查结论不合格的，作无效标处理。</w:t>
      </w:r>
    </w:p>
    <w:p w14:paraId="2F1ADAC9">
      <w:pPr>
        <w:spacing w:line="400" w:lineRule="exact"/>
        <w:ind w:firstLine="420" w:firstLineChars="200"/>
        <w:jc w:val="left"/>
        <w:rPr>
          <w:rFonts w:ascii="宋体" w:hAnsi="宋体" w:cs="宋体"/>
          <w:szCs w:val="21"/>
        </w:rPr>
      </w:pPr>
      <w:r>
        <w:rPr>
          <w:rFonts w:hint="eastAsia" w:ascii="宋体" w:hAnsi="宋体" w:cs="宋体"/>
          <w:szCs w:val="21"/>
        </w:rPr>
        <w:t>2.2</w:t>
      </w:r>
      <w:r>
        <w:rPr>
          <w:rFonts w:hint="eastAsia" w:ascii="宋体" w:hAnsi="宋体" w:cs="宋体"/>
          <w:szCs w:val="21"/>
          <w:lang w:val="zh-CN"/>
        </w:rPr>
        <w:t>比较与评价：</w:t>
      </w:r>
      <w:r>
        <w:rPr>
          <w:rFonts w:hint="eastAsia" w:ascii="宋体" w:hAnsi="宋体" w:cs="宋体"/>
          <w:szCs w:val="21"/>
        </w:rPr>
        <w:t>评标委员会根据“附表3评分标准（兼评委打分表）”的要求，</w:t>
      </w:r>
      <w:r>
        <w:rPr>
          <w:rFonts w:hint="eastAsia" w:ascii="宋体" w:hAnsi="宋体" w:cs="宋体"/>
          <w:szCs w:val="21"/>
          <w:lang w:val="zh-CN"/>
        </w:rPr>
        <w:t>对照投标文件的应答进行比较，判定其偏差性质和程度，</w:t>
      </w:r>
      <w:r>
        <w:rPr>
          <w:rFonts w:hint="eastAsia" w:ascii="宋体" w:hAnsi="宋体" w:cs="宋体"/>
          <w:szCs w:val="21"/>
        </w:rPr>
        <w:t>由评标委员会成员在分值范围内自行评分。供应商商务和技术得分为各评标委员会成员有效评分的算术平均值（小数点后保留二位数）。</w:t>
      </w:r>
    </w:p>
    <w:p w14:paraId="66042256">
      <w:pPr>
        <w:spacing w:line="400" w:lineRule="exact"/>
        <w:ind w:firstLine="420" w:firstLineChars="200"/>
        <w:jc w:val="left"/>
        <w:rPr>
          <w:rFonts w:ascii="宋体" w:hAnsi="宋体" w:cs="宋体"/>
          <w:szCs w:val="21"/>
        </w:rPr>
      </w:pPr>
      <w:r>
        <w:rPr>
          <w:rFonts w:hint="eastAsia" w:ascii="宋体" w:hAnsi="宋体" w:cs="宋体"/>
          <w:szCs w:val="21"/>
        </w:rPr>
        <w:t>2.3在评标过程中，发现的价格计算错误按下述原则修正：</w:t>
      </w:r>
    </w:p>
    <w:p w14:paraId="5D9CB98C">
      <w:pPr>
        <w:spacing w:line="400" w:lineRule="exact"/>
        <w:ind w:firstLine="420" w:firstLineChars="200"/>
        <w:jc w:val="left"/>
        <w:rPr>
          <w:rFonts w:ascii="宋体" w:hAnsi="宋体" w:cs="宋体"/>
          <w:szCs w:val="21"/>
        </w:rPr>
      </w:pPr>
      <w:r>
        <w:rPr>
          <w:rFonts w:hint="eastAsia" w:ascii="宋体" w:hAnsi="宋体" w:cs="宋体"/>
          <w:szCs w:val="21"/>
        </w:rPr>
        <w:t>（1）投标文件中开标一览表内容与投标文件中相应内容不一致的，以开标一览表为准；</w:t>
      </w:r>
    </w:p>
    <w:p w14:paraId="7022F4A6">
      <w:pPr>
        <w:spacing w:line="400" w:lineRule="exact"/>
        <w:ind w:firstLine="420" w:firstLineChars="200"/>
        <w:jc w:val="left"/>
        <w:rPr>
          <w:rFonts w:ascii="宋体" w:hAnsi="宋体" w:cs="宋体"/>
          <w:szCs w:val="21"/>
        </w:rPr>
      </w:pPr>
      <w:r>
        <w:rPr>
          <w:rFonts w:hint="eastAsia" w:ascii="宋体" w:hAnsi="宋体" w:cs="宋体"/>
          <w:szCs w:val="21"/>
        </w:rPr>
        <w:t>（2）大写金额和小写金额不一致的，以大写金额为准；</w:t>
      </w:r>
    </w:p>
    <w:p w14:paraId="2FFBDBA4">
      <w:pPr>
        <w:spacing w:line="400" w:lineRule="exact"/>
        <w:ind w:firstLine="420" w:firstLineChars="200"/>
        <w:jc w:val="left"/>
        <w:rPr>
          <w:rFonts w:ascii="宋体" w:hAnsi="宋体" w:cs="宋体"/>
          <w:szCs w:val="21"/>
        </w:rPr>
      </w:pPr>
      <w:r>
        <w:rPr>
          <w:rFonts w:hint="eastAsia" w:ascii="宋体" w:hAnsi="宋体" w:cs="宋体"/>
          <w:szCs w:val="21"/>
        </w:rPr>
        <w:t>（3）单价金额小数点或者百分比有明显错位的，以开标一览表的总价为准，并修改单价；</w:t>
      </w:r>
    </w:p>
    <w:p w14:paraId="2CF6301E">
      <w:pPr>
        <w:spacing w:line="400" w:lineRule="exact"/>
        <w:ind w:firstLine="420" w:firstLineChars="200"/>
        <w:jc w:val="left"/>
        <w:rPr>
          <w:rFonts w:ascii="宋体" w:hAnsi="宋体" w:cs="宋体"/>
          <w:szCs w:val="21"/>
        </w:rPr>
      </w:pPr>
      <w:r>
        <w:rPr>
          <w:rFonts w:hint="eastAsia" w:ascii="宋体" w:hAnsi="宋体" w:cs="宋体"/>
          <w:szCs w:val="21"/>
        </w:rPr>
        <w:t>（4）总价金额与按单价汇总金额不一致的，以单价金额计算结果为准。</w:t>
      </w:r>
    </w:p>
    <w:p w14:paraId="22860326">
      <w:pPr>
        <w:spacing w:line="400" w:lineRule="exact"/>
        <w:ind w:firstLine="420" w:firstLineChars="200"/>
        <w:jc w:val="left"/>
        <w:rPr>
          <w:rFonts w:ascii="宋体" w:hAnsi="宋体" w:cs="宋体"/>
        </w:rPr>
      </w:pPr>
      <w:r>
        <w:rPr>
          <w:rFonts w:hint="eastAsia" w:ascii="宋体" w:hAnsi="宋体" w:cs="宋体"/>
          <w:szCs w:val="21"/>
        </w:rPr>
        <w:t>同时出现两种以上不一致的，按照前款规定的顺序修正。修正后的报价经供应商确认后具有约束力，若供应商不确认的，则其投标无效。</w:t>
      </w:r>
    </w:p>
    <w:p w14:paraId="079E94B4">
      <w:pPr>
        <w:spacing w:line="400" w:lineRule="exact"/>
        <w:ind w:firstLine="420" w:firstLineChars="200"/>
        <w:jc w:val="left"/>
        <w:rPr>
          <w:rFonts w:ascii="宋体" w:hAnsi="宋体" w:cs="宋体"/>
        </w:rPr>
      </w:pPr>
      <w:r>
        <w:rPr>
          <w:rFonts w:hint="eastAsia" w:ascii="宋体" w:hAnsi="宋体" w:cs="宋体"/>
          <w:szCs w:val="21"/>
        </w:rPr>
        <w:t>2.4</w:t>
      </w:r>
      <w:r>
        <w:rPr>
          <w:rFonts w:hint="eastAsia" w:ascii="宋体" w:hAnsi="宋体" w:cs="宋体"/>
        </w:rPr>
        <w:t>提供相同品牌产品且通过资格性审查、符合性审查的不同供应商参加同一标项投标的，按一家供应商计算，评审后综合得分最高的同品牌供应商获得中标候选供应商推荐资格；综合得分相同的，由评标委员会采取随机抽签方式确定，其他同品牌供应商不作为中标候选供应商。（本项目不适用）</w:t>
      </w:r>
    </w:p>
    <w:p w14:paraId="1FE048D0">
      <w:pPr>
        <w:spacing w:line="400" w:lineRule="exact"/>
        <w:ind w:firstLine="420" w:firstLineChars="200"/>
        <w:jc w:val="left"/>
        <w:rPr>
          <w:rFonts w:ascii="宋体" w:hAnsi="宋体" w:cs="宋体"/>
          <w:szCs w:val="21"/>
        </w:rPr>
      </w:pPr>
      <w:r>
        <w:rPr>
          <w:rFonts w:hint="eastAsia" w:ascii="宋体" w:hAnsi="宋体" w:cs="宋体"/>
        </w:rPr>
        <w:t>非单一产品采购项目，多家供应商提供的核心产品品牌相同的，按上述规定处理。（本项目不适用）</w:t>
      </w:r>
    </w:p>
    <w:p w14:paraId="51BC2CE6">
      <w:pPr>
        <w:spacing w:line="400" w:lineRule="exact"/>
        <w:ind w:firstLine="420" w:firstLineChars="200"/>
        <w:jc w:val="left"/>
        <w:rPr>
          <w:rFonts w:ascii="宋体" w:hAnsi="宋体" w:cs="宋体"/>
          <w:szCs w:val="21"/>
        </w:rPr>
      </w:pPr>
      <w:r>
        <w:rPr>
          <w:rFonts w:hint="eastAsia" w:ascii="宋体" w:hAnsi="宋体" w:cs="宋体"/>
          <w:szCs w:val="21"/>
        </w:rPr>
        <w:t>2.5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397301DE">
      <w:pPr>
        <w:spacing w:line="400" w:lineRule="exact"/>
        <w:ind w:firstLine="420" w:firstLineChars="200"/>
        <w:jc w:val="left"/>
        <w:rPr>
          <w:rFonts w:ascii="宋体" w:hAnsi="宋体" w:cs="宋体"/>
          <w:szCs w:val="21"/>
        </w:rPr>
      </w:pPr>
      <w:r>
        <w:rPr>
          <w:rFonts w:hint="eastAsia" w:ascii="宋体" w:hAnsi="宋体" w:cs="宋体"/>
          <w:szCs w:val="21"/>
        </w:rPr>
        <w:t>2.6推荐中标候选供应商：每标项根据供应商按综合得分由高到低进行排序，推荐中标候选供应商。若供应商的综合得分相等，则投标报价低者列前；若投标报价也相同时，则采取随机抽签的方式确定排序，先抽出的排序列前。</w:t>
      </w:r>
    </w:p>
    <w:p w14:paraId="505F9455">
      <w:pPr>
        <w:spacing w:line="400" w:lineRule="exact"/>
        <w:ind w:firstLine="422" w:firstLineChars="200"/>
        <w:jc w:val="left"/>
        <w:rPr>
          <w:rFonts w:ascii="宋体" w:hAnsi="宋体" w:cs="宋体"/>
          <w:b/>
          <w:szCs w:val="21"/>
        </w:rPr>
      </w:pPr>
      <w:r>
        <w:rPr>
          <w:rFonts w:hint="eastAsia" w:ascii="宋体" w:hAnsi="宋体" w:cs="宋体"/>
          <w:b/>
          <w:szCs w:val="21"/>
        </w:rPr>
        <w:t>2.3确定中标供应商</w:t>
      </w:r>
    </w:p>
    <w:p w14:paraId="51398678">
      <w:pPr>
        <w:spacing w:line="400" w:lineRule="exact"/>
        <w:ind w:firstLine="420" w:firstLineChars="200"/>
        <w:jc w:val="left"/>
        <w:rPr>
          <w:rFonts w:ascii="宋体" w:hAnsi="宋体" w:cs="宋体"/>
          <w:szCs w:val="21"/>
        </w:rPr>
      </w:pPr>
      <w:r>
        <w:rPr>
          <w:rFonts w:hint="eastAsia" w:ascii="宋体" w:hAnsi="宋体" w:cs="宋体"/>
          <w:szCs w:val="21"/>
        </w:rPr>
        <w:t>评标委员会按每标项根据供应商综合得分由高到低进行排序，向采购人推荐中标候选供应商。代理机构应当自评审结束之日起2个工作日内将评审报告送交采购人。采购人应当自收到评审报告之日起5个工作日内在评审报告推荐的中标候选供应商中，每标项按顺序确定1名中标供应商。中标供应商拒绝与采购人签订合同的，采购人可以按照评审报告推荐的中标候选供应商名单排序，确定下一候选供应商为中标供应商，也可以重新开展政府采购活动。</w:t>
      </w:r>
    </w:p>
    <w:p w14:paraId="16F9ACC3">
      <w:pPr>
        <w:spacing w:line="400" w:lineRule="exact"/>
        <w:jc w:val="left"/>
        <w:rPr>
          <w:rFonts w:ascii="宋体" w:hAnsi="宋体" w:cs="宋体"/>
          <w:b/>
          <w:szCs w:val="21"/>
        </w:rPr>
      </w:pPr>
      <w:r>
        <w:rPr>
          <w:rFonts w:hint="eastAsia" w:ascii="宋体" w:hAnsi="宋体" w:cs="宋体"/>
          <w:b/>
          <w:szCs w:val="21"/>
        </w:rPr>
        <w:t>三、投标的澄清</w:t>
      </w:r>
    </w:p>
    <w:p w14:paraId="6598434F">
      <w:pPr>
        <w:spacing w:line="400" w:lineRule="exact"/>
        <w:ind w:firstLine="420" w:firstLineChars="200"/>
        <w:rPr>
          <w:rFonts w:ascii="宋体" w:hAnsi="宋体" w:cs="宋体"/>
        </w:rPr>
      </w:pPr>
      <w:r>
        <w:rPr>
          <w:rFonts w:hint="eastAsia" w:ascii="宋体" w:hAnsi="宋体" w:cs="宋体"/>
        </w:rPr>
        <w:t>3.1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2EA6F542">
      <w:pPr>
        <w:spacing w:line="400" w:lineRule="exact"/>
        <w:ind w:firstLine="420" w:firstLineChars="200"/>
        <w:rPr>
          <w:rFonts w:ascii="宋体" w:hAnsi="宋体" w:cs="宋体"/>
        </w:rPr>
      </w:pPr>
      <w:r>
        <w:rPr>
          <w:rFonts w:hint="eastAsia" w:ascii="宋体" w:hAnsi="宋体" w:cs="宋体"/>
        </w:rPr>
        <w:t>3.2政采云具体操作如下：</w:t>
      </w:r>
    </w:p>
    <w:p w14:paraId="6BBA5143">
      <w:pPr>
        <w:spacing w:line="400" w:lineRule="exact"/>
        <w:ind w:firstLine="420" w:firstLineChars="200"/>
        <w:rPr>
          <w:rFonts w:ascii="宋体" w:hAnsi="宋体" w:cs="宋体"/>
        </w:rPr>
      </w:pPr>
      <w:r>
        <w:rPr>
          <w:rFonts w:hint="eastAsia" w:ascii="宋体" w:hAnsi="宋体" w:cs="宋体"/>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5BACC106">
      <w:pPr>
        <w:spacing w:line="400" w:lineRule="exact"/>
        <w:ind w:firstLine="420" w:firstLineChars="200"/>
        <w:rPr>
          <w:rFonts w:ascii="宋体" w:hAnsi="宋体" w:cs="宋体"/>
        </w:rPr>
      </w:pPr>
      <w:r>
        <w:rPr>
          <w:rFonts w:hint="eastAsia" w:ascii="宋体" w:hAnsi="宋体" w:cs="宋体"/>
        </w:rPr>
        <w:t>路径：用户中心—项目采购—询标澄清</w:t>
      </w:r>
    </w:p>
    <w:p w14:paraId="640DD198">
      <w:pPr>
        <w:spacing w:line="400" w:lineRule="exact"/>
        <w:ind w:firstLine="420" w:firstLineChars="200"/>
        <w:rPr>
          <w:rFonts w:ascii="宋体" w:hAnsi="宋体" w:cs="宋体"/>
        </w:rPr>
      </w:pPr>
      <w:r>
        <w:rPr>
          <w:rFonts w:hint="eastAsia" w:ascii="宋体" w:hAnsi="宋体" w:cs="宋体"/>
        </w:rPr>
        <w:t>（1）政采云平台通过待办事项和短信提醒供应商在截止时间前完成澄清。</w:t>
      </w:r>
    </w:p>
    <w:p w14:paraId="0BBDE96F">
      <w:pPr>
        <w:spacing w:line="400" w:lineRule="exact"/>
        <w:ind w:firstLine="420" w:firstLineChars="200"/>
        <w:rPr>
          <w:rFonts w:ascii="宋体" w:hAnsi="宋体" w:cs="宋体"/>
        </w:rPr>
      </w:pPr>
      <w:r>
        <w:rPr>
          <w:rFonts w:hint="eastAsia" w:ascii="宋体" w:hAnsi="宋体" w:cs="宋体"/>
        </w:rPr>
        <w:t>（2）供应商在“询标澄清-待办理”标签页下选择状态为“待澄清”的项目，点击操作栏【澄清】。</w:t>
      </w:r>
    </w:p>
    <w:p w14:paraId="14099864">
      <w:pPr>
        <w:spacing w:line="400" w:lineRule="exact"/>
        <w:ind w:firstLine="420" w:firstLineChars="200"/>
        <w:rPr>
          <w:rFonts w:ascii="宋体" w:hAnsi="宋体" w:cs="宋体"/>
        </w:rPr>
      </w:pPr>
      <w:r>
        <w:rPr>
          <w:rFonts w:hint="eastAsia" w:ascii="宋体" w:hAnsi="宋体" w:cs="宋体"/>
        </w:rPr>
        <w:t>（3）查看函内容，在澄清截止时间前上传澄清文件并对澄清文件进行签章。（注：澄清文件必须以PDF格式上传，文件大小：50M）。</w:t>
      </w:r>
    </w:p>
    <w:p w14:paraId="20BC41CE">
      <w:pPr>
        <w:spacing w:line="400" w:lineRule="exact"/>
        <w:ind w:firstLine="420" w:firstLineChars="200"/>
        <w:rPr>
          <w:rFonts w:ascii="宋体" w:hAnsi="宋体" w:cs="宋体"/>
        </w:rPr>
      </w:pPr>
      <w:r>
        <w:rPr>
          <w:rFonts w:hint="eastAsia" w:ascii="宋体" w:hAnsi="宋体" w:cs="宋体"/>
        </w:rPr>
        <w:t>（4）签章完成，文件名称处显示“已签章”，供应商可“撤回签章”修改澄清函和“查看文件”。</w:t>
      </w:r>
    </w:p>
    <w:p w14:paraId="2C0941B1">
      <w:pPr>
        <w:spacing w:line="400" w:lineRule="exact"/>
        <w:ind w:firstLine="420" w:firstLineChars="200"/>
        <w:rPr>
          <w:rFonts w:ascii="宋体" w:hAnsi="宋体" w:cs="宋体"/>
        </w:rPr>
      </w:pPr>
      <w:r>
        <w:rPr>
          <w:rFonts w:hint="eastAsia" w:ascii="宋体" w:hAnsi="宋体" w:cs="宋体"/>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691769C8">
      <w:pPr>
        <w:spacing w:line="400" w:lineRule="exact"/>
        <w:ind w:firstLine="420" w:firstLineChars="200"/>
        <w:rPr>
          <w:rFonts w:ascii="宋体" w:hAnsi="宋体" w:cs="宋体"/>
        </w:rPr>
      </w:pPr>
      <w:r>
        <w:rPr>
          <w:rFonts w:hint="eastAsia" w:ascii="宋体" w:hAnsi="宋体" w:cs="宋体"/>
        </w:rPr>
        <w:t>（6）完成状态：供应商澄清文件提交成功后，在“询标澄清-全部”标签页下显示状态为“已澄清”。</w:t>
      </w:r>
    </w:p>
    <w:p w14:paraId="639DDEE5">
      <w:pPr>
        <w:spacing w:line="400" w:lineRule="exact"/>
        <w:ind w:firstLine="420" w:firstLineChars="200"/>
        <w:rPr>
          <w:rFonts w:ascii="宋体" w:hAnsi="宋体" w:cs="宋体"/>
        </w:rPr>
      </w:pPr>
      <w:r>
        <w:rPr>
          <w:rFonts w:hint="eastAsia" w:ascii="宋体" w:hAnsi="宋体" w:cs="宋体"/>
        </w:rPr>
        <w:t>3.3开标现场，供应商安排</w:t>
      </w:r>
      <w:r>
        <w:rPr>
          <w:rFonts w:hint="eastAsia" w:ascii="宋体" w:hAnsi="宋体" w:cs="宋体"/>
          <w:szCs w:val="21"/>
        </w:rPr>
        <w:t>法定代表人或授权代表到场的，则由</w:t>
      </w:r>
      <w:r>
        <w:rPr>
          <w:rFonts w:hint="eastAsia" w:ascii="宋体" w:hAnsi="宋体" w:cs="宋体"/>
        </w:rPr>
        <w:t>评标委员会组长将问题汇总后向供应商发出书面“投标文件问题澄清通知”，供应商应对需要澄清的问题作</w:t>
      </w:r>
      <w:r>
        <w:rPr>
          <w:rFonts w:hint="eastAsia" w:ascii="宋体" w:hAnsi="宋体" w:cs="宋体"/>
          <w:lang w:eastAsia="zh-CN"/>
        </w:rPr>
        <w:t>出</w:t>
      </w:r>
      <w:r>
        <w:rPr>
          <w:rFonts w:hint="eastAsia" w:ascii="宋体" w:hAnsi="宋体" w:cs="宋体"/>
        </w:rPr>
        <w:t>书面回答，该书面澄清应当由</w:t>
      </w:r>
      <w:r>
        <w:rPr>
          <w:rFonts w:hint="eastAsia" w:ascii="宋体" w:hAnsi="宋体" w:cs="宋体"/>
          <w:szCs w:val="21"/>
        </w:rPr>
        <w:t>供应商的法定代表人或授权代表签字</w:t>
      </w:r>
      <w:r>
        <w:rPr>
          <w:rFonts w:hint="eastAsia" w:ascii="宋体" w:hAnsi="宋体" w:cs="宋体"/>
        </w:rPr>
        <w:t>或者加盖供应商公章。书面澄清将作为投标文件内容的一部分，具有相应的法律效力。</w:t>
      </w:r>
    </w:p>
    <w:p w14:paraId="009B2ACD">
      <w:pPr>
        <w:spacing w:line="400" w:lineRule="exact"/>
        <w:ind w:firstLine="420" w:firstLineChars="200"/>
        <w:jc w:val="left"/>
        <w:rPr>
          <w:rFonts w:ascii="宋体" w:hAnsi="宋体" w:cs="宋体"/>
        </w:rPr>
      </w:pPr>
      <w:r>
        <w:rPr>
          <w:rFonts w:hint="eastAsia" w:ascii="宋体" w:hAnsi="宋体" w:cs="宋体"/>
        </w:rPr>
        <w:t>3.4供应商未在截止时间前完成澄清，将被视作自动放弃。</w:t>
      </w:r>
    </w:p>
    <w:p w14:paraId="6773D609">
      <w:pPr>
        <w:spacing w:line="400" w:lineRule="exact"/>
        <w:jc w:val="left"/>
        <w:rPr>
          <w:rFonts w:ascii="宋体" w:hAnsi="宋体" w:cs="宋体"/>
          <w:szCs w:val="21"/>
        </w:rPr>
      </w:pPr>
      <w:r>
        <w:rPr>
          <w:rFonts w:hint="eastAsia" w:ascii="宋体" w:hAnsi="宋体" w:cs="宋体"/>
          <w:b/>
          <w:szCs w:val="21"/>
        </w:rPr>
        <w:t>四、特别声明：价格是评标的重要因素之一，但最低价不是中标的唯一依据。</w:t>
      </w:r>
    </w:p>
    <w:p w14:paraId="601AAAEA">
      <w:pPr>
        <w:spacing w:line="400" w:lineRule="exact"/>
        <w:jc w:val="left"/>
        <w:rPr>
          <w:rFonts w:ascii="宋体" w:hAnsi="宋体" w:cs="宋体"/>
          <w:b/>
          <w:szCs w:val="21"/>
        </w:rPr>
      </w:pPr>
      <w:r>
        <w:rPr>
          <w:rFonts w:hint="eastAsia" w:ascii="宋体" w:hAnsi="宋体" w:cs="宋体"/>
          <w:b/>
          <w:szCs w:val="21"/>
        </w:rPr>
        <w:t>五、重新招标</w:t>
      </w:r>
    </w:p>
    <w:p w14:paraId="1B2C5C9B">
      <w:pPr>
        <w:spacing w:line="400" w:lineRule="exact"/>
        <w:ind w:firstLine="420" w:firstLineChars="200"/>
        <w:rPr>
          <w:rFonts w:ascii="宋体" w:hAnsi="宋体" w:cs="宋体"/>
          <w:szCs w:val="21"/>
        </w:rPr>
      </w:pPr>
      <w:r>
        <w:rPr>
          <w:rFonts w:hint="eastAsia" w:ascii="宋体" w:hAnsi="宋体" w:cs="宋体"/>
          <w:szCs w:val="21"/>
        </w:rPr>
        <w:t>有下列情形之一的，采购人将重新招标：</w:t>
      </w:r>
    </w:p>
    <w:p w14:paraId="2BE38ED5">
      <w:pPr>
        <w:spacing w:line="400" w:lineRule="exact"/>
        <w:ind w:firstLine="420" w:firstLineChars="200"/>
        <w:rPr>
          <w:rFonts w:ascii="宋体" w:hAnsi="宋体" w:cs="宋体"/>
          <w:szCs w:val="21"/>
        </w:rPr>
      </w:pPr>
      <w:r>
        <w:rPr>
          <w:rFonts w:hint="eastAsia" w:ascii="宋体" w:hAnsi="宋体" w:cs="宋体"/>
          <w:szCs w:val="21"/>
        </w:rPr>
        <w:t>5.1投标截止时间止，单个标项供应商少于3个的；</w:t>
      </w:r>
    </w:p>
    <w:p w14:paraId="13E9A036">
      <w:pPr>
        <w:spacing w:line="400" w:lineRule="exact"/>
        <w:ind w:firstLine="420" w:firstLineChars="200"/>
        <w:rPr>
          <w:rFonts w:ascii="宋体" w:hAnsi="宋体" w:cs="宋体"/>
          <w:szCs w:val="21"/>
        </w:rPr>
      </w:pPr>
      <w:r>
        <w:rPr>
          <w:rFonts w:hint="eastAsia" w:ascii="宋体" w:hAnsi="宋体" w:cs="宋体"/>
          <w:szCs w:val="21"/>
        </w:rPr>
        <w:t>5.2评标委员会评标过程中，单个标项有效供应商少于3个的；</w:t>
      </w:r>
    </w:p>
    <w:p w14:paraId="3CF01487">
      <w:pPr>
        <w:widowControl/>
        <w:spacing w:line="400" w:lineRule="exact"/>
        <w:ind w:firstLine="420" w:firstLineChars="200"/>
        <w:jc w:val="left"/>
        <w:rPr>
          <w:rFonts w:ascii="宋体" w:hAnsi="宋体" w:cs="宋体"/>
          <w:szCs w:val="21"/>
        </w:rPr>
      </w:pPr>
      <w:r>
        <w:rPr>
          <w:rFonts w:hint="eastAsia" w:ascii="宋体" w:hAnsi="宋体" w:cs="宋体"/>
          <w:szCs w:val="21"/>
        </w:rPr>
        <w:t>5.3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1EBD846B">
      <w:pPr>
        <w:spacing w:line="400" w:lineRule="exact"/>
        <w:rPr>
          <w:rFonts w:ascii="宋体" w:hAnsi="宋体" w:cs="宋体"/>
          <w:szCs w:val="21"/>
        </w:rPr>
      </w:pPr>
      <w:r>
        <w:rPr>
          <w:rFonts w:hint="eastAsia" w:ascii="宋体" w:hAnsi="宋体" w:cs="宋体"/>
          <w:sz w:val="24"/>
          <w:szCs w:val="24"/>
        </w:rPr>
        <w:br w:type="page"/>
      </w:r>
      <w:r>
        <w:rPr>
          <w:rFonts w:hint="eastAsia" w:ascii="宋体" w:hAnsi="宋体" w:cs="宋体"/>
          <w:szCs w:val="21"/>
        </w:rPr>
        <w:t xml:space="preserve">附表1：                           </w:t>
      </w:r>
    </w:p>
    <w:p w14:paraId="232C611A">
      <w:pPr>
        <w:spacing w:line="400" w:lineRule="exact"/>
        <w:jc w:val="center"/>
        <w:rPr>
          <w:rFonts w:hint="eastAsia" w:ascii="宋体" w:hAnsi="宋体" w:cs="宋体"/>
          <w:b/>
          <w:szCs w:val="21"/>
        </w:rPr>
      </w:pPr>
      <w:r>
        <w:rPr>
          <w:rFonts w:hint="eastAsia" w:ascii="宋体" w:hAnsi="宋体" w:cs="宋体"/>
          <w:b/>
          <w:szCs w:val="21"/>
        </w:rPr>
        <w:t>资格性审查表（适用于标项1,2,3,4,5,6,7,8,9,10,11,13,14,15,16,17,18,19,20,21,22,23,24,</w:t>
      </w:r>
    </w:p>
    <w:p w14:paraId="5AB4D154">
      <w:pPr>
        <w:spacing w:line="400" w:lineRule="exact"/>
        <w:jc w:val="center"/>
        <w:rPr>
          <w:rFonts w:ascii="宋体" w:hAnsi="宋体" w:cs="宋体"/>
          <w:b/>
          <w:szCs w:val="21"/>
        </w:rPr>
      </w:pPr>
      <w:r>
        <w:rPr>
          <w:rFonts w:hint="eastAsia" w:ascii="宋体" w:hAnsi="宋体" w:cs="宋体"/>
          <w:b/>
          <w:szCs w:val="21"/>
        </w:rPr>
        <w:t>25,26,27,29,30,31,32,33,34,35,36,37,38,40,41,42,43,44,45,46,47,48）</w:t>
      </w:r>
    </w:p>
    <w:tbl>
      <w:tblPr>
        <w:tblStyle w:val="5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84"/>
        <w:gridCol w:w="5481"/>
      </w:tblGrid>
      <w:tr w14:paraId="0624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4BD60F4F">
            <w:pPr>
              <w:spacing w:line="400" w:lineRule="exact"/>
              <w:jc w:val="center"/>
              <w:rPr>
                <w:rFonts w:ascii="宋体" w:hAnsi="宋体" w:cs="宋体"/>
                <w:b/>
                <w:szCs w:val="21"/>
              </w:rPr>
            </w:pPr>
            <w:r>
              <w:rPr>
                <w:rFonts w:hint="eastAsia" w:ascii="宋体" w:hAnsi="宋体" w:cs="宋体"/>
                <w:b/>
                <w:szCs w:val="21"/>
              </w:rPr>
              <w:t>序号</w:t>
            </w:r>
          </w:p>
        </w:tc>
        <w:tc>
          <w:tcPr>
            <w:tcW w:w="2984" w:type="dxa"/>
            <w:tcBorders>
              <w:tl2br w:val="nil"/>
              <w:tr2bl w:val="nil"/>
            </w:tcBorders>
            <w:vAlign w:val="center"/>
          </w:tcPr>
          <w:p w14:paraId="28F66C44">
            <w:pPr>
              <w:spacing w:line="400" w:lineRule="exact"/>
              <w:jc w:val="center"/>
              <w:rPr>
                <w:rFonts w:ascii="宋体" w:hAnsi="宋体" w:cs="宋体"/>
                <w:b/>
                <w:szCs w:val="21"/>
              </w:rPr>
            </w:pPr>
            <w:r>
              <w:rPr>
                <w:rFonts w:hint="eastAsia" w:ascii="宋体" w:hAnsi="宋体" w:cs="宋体"/>
                <w:b/>
                <w:szCs w:val="21"/>
              </w:rPr>
              <w:t>要求说明</w:t>
            </w:r>
          </w:p>
        </w:tc>
        <w:tc>
          <w:tcPr>
            <w:tcW w:w="5481" w:type="dxa"/>
            <w:tcBorders>
              <w:tl2br w:val="nil"/>
              <w:tr2bl w:val="nil"/>
            </w:tcBorders>
            <w:vAlign w:val="center"/>
          </w:tcPr>
          <w:p w14:paraId="08AF09C7">
            <w:pPr>
              <w:spacing w:line="400" w:lineRule="exact"/>
              <w:jc w:val="center"/>
              <w:rPr>
                <w:rFonts w:ascii="宋体" w:hAnsi="宋体" w:cs="宋体"/>
                <w:b/>
                <w:szCs w:val="21"/>
              </w:rPr>
            </w:pPr>
            <w:r>
              <w:rPr>
                <w:rFonts w:hint="eastAsia" w:ascii="宋体" w:hAnsi="宋体" w:cs="宋体"/>
                <w:b/>
                <w:szCs w:val="21"/>
              </w:rPr>
              <w:t>审查要求</w:t>
            </w:r>
          </w:p>
        </w:tc>
      </w:tr>
      <w:tr w14:paraId="4803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6BF9C20A">
            <w:pPr>
              <w:spacing w:line="400" w:lineRule="exact"/>
              <w:jc w:val="center"/>
              <w:rPr>
                <w:rFonts w:ascii="宋体" w:hAnsi="宋体" w:cs="宋体"/>
                <w:szCs w:val="21"/>
              </w:rPr>
            </w:pPr>
            <w:r>
              <w:rPr>
                <w:rFonts w:hint="eastAsia" w:ascii="宋体" w:hAnsi="宋体" w:cs="宋体"/>
                <w:szCs w:val="21"/>
              </w:rPr>
              <w:t>1</w:t>
            </w:r>
          </w:p>
        </w:tc>
        <w:tc>
          <w:tcPr>
            <w:tcW w:w="2984" w:type="dxa"/>
            <w:tcBorders>
              <w:tl2br w:val="nil"/>
              <w:tr2bl w:val="nil"/>
            </w:tcBorders>
            <w:vAlign w:val="center"/>
          </w:tcPr>
          <w:p w14:paraId="2C842E8A">
            <w:pPr>
              <w:spacing w:line="400" w:lineRule="exact"/>
              <w:rPr>
                <w:rFonts w:ascii="宋体" w:hAnsi="宋体" w:cs="宋体"/>
                <w:szCs w:val="21"/>
              </w:rPr>
            </w:pPr>
            <w:r>
              <w:rPr>
                <w:rFonts w:hint="eastAsia" w:ascii="宋体" w:hAnsi="宋体" w:cs="宋体"/>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5481" w:type="dxa"/>
            <w:tcBorders>
              <w:tl2br w:val="nil"/>
              <w:tr2bl w:val="nil"/>
            </w:tcBorders>
            <w:vAlign w:val="center"/>
          </w:tcPr>
          <w:p w14:paraId="542886C0">
            <w:pPr>
              <w:spacing w:line="400" w:lineRule="exact"/>
              <w:jc w:val="left"/>
              <w:rPr>
                <w:rFonts w:ascii="宋体" w:hAnsi="宋体" w:cs="宋体"/>
                <w:szCs w:val="21"/>
              </w:rPr>
            </w:pPr>
            <w:r>
              <w:rPr>
                <w:rFonts w:hint="eastAsia" w:ascii="宋体" w:hAnsi="宋体" w:cs="宋体"/>
                <w:szCs w:val="21"/>
              </w:rPr>
              <w:t>A1.关于资格的承诺函（附件一）；</w:t>
            </w:r>
          </w:p>
          <w:p w14:paraId="1465BABA">
            <w:pPr>
              <w:spacing w:line="400" w:lineRule="exact"/>
              <w:jc w:val="left"/>
              <w:rPr>
                <w:rFonts w:ascii="宋体" w:hAnsi="宋体" w:cs="宋体"/>
                <w:szCs w:val="21"/>
              </w:rPr>
            </w:pPr>
            <w:r>
              <w:rPr>
                <w:rFonts w:hint="eastAsia" w:ascii="宋体" w:hAnsi="宋体" w:cs="宋体"/>
                <w:szCs w:val="21"/>
              </w:rPr>
              <w:t>A2.营业执照副本（或事业法人登记证副本或其他登记证明材料）复印件并加盖供应商公章（供应商如果有名称变更的，应提供由行政主管部门出具的变更证明文件复印件并加盖供应商公章）；</w:t>
            </w:r>
          </w:p>
          <w:p w14:paraId="792343A6">
            <w:pPr>
              <w:spacing w:line="400" w:lineRule="exact"/>
              <w:jc w:val="left"/>
              <w:rPr>
                <w:rFonts w:ascii="宋体" w:hAnsi="宋体" w:cs="宋体"/>
                <w:b/>
                <w:bCs/>
                <w:szCs w:val="21"/>
              </w:rPr>
            </w:pPr>
            <w:r>
              <w:rPr>
                <w:rFonts w:hint="eastAsia" w:ascii="宋体" w:hAnsi="宋体" w:cs="宋体"/>
                <w:b/>
                <w:bCs/>
                <w:szCs w:val="21"/>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4A8CF933">
            <w:pPr>
              <w:spacing w:line="400" w:lineRule="exact"/>
              <w:jc w:val="left"/>
              <w:rPr>
                <w:rFonts w:ascii="宋体" w:hAnsi="宋体" w:cs="宋体"/>
                <w:szCs w:val="21"/>
              </w:rPr>
            </w:pPr>
            <w:r>
              <w:rPr>
                <w:rFonts w:hint="eastAsia" w:ascii="宋体" w:hAnsi="宋体" w:cs="宋体"/>
                <w:b/>
                <w:bCs/>
                <w:szCs w:val="21"/>
              </w:rPr>
              <w:t>若在开标当天因不可抗力事件导致无法查询且一时无法恢复查询的，可在中标公示期间对中标候选供应商进行事后查询。中标候选供应商被列入失信被执行人、重大税收违法失信主体、政府采购严重违法失信行为记录名单的，采购人将依法取消其中标资格。</w:t>
            </w:r>
          </w:p>
        </w:tc>
      </w:tr>
      <w:tr w14:paraId="71CD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43535EF2">
            <w:pPr>
              <w:spacing w:line="400" w:lineRule="exact"/>
              <w:jc w:val="center"/>
              <w:rPr>
                <w:rFonts w:ascii="宋体" w:hAnsi="宋体" w:cs="宋体"/>
                <w:szCs w:val="21"/>
              </w:rPr>
            </w:pPr>
            <w:r>
              <w:rPr>
                <w:rFonts w:hint="eastAsia" w:ascii="宋体" w:hAnsi="宋体" w:cs="宋体"/>
                <w:szCs w:val="21"/>
              </w:rPr>
              <w:t>2</w:t>
            </w:r>
          </w:p>
        </w:tc>
        <w:tc>
          <w:tcPr>
            <w:tcW w:w="2984" w:type="dxa"/>
            <w:tcBorders>
              <w:tl2br w:val="nil"/>
              <w:tr2bl w:val="nil"/>
            </w:tcBorders>
            <w:vAlign w:val="center"/>
          </w:tcPr>
          <w:p w14:paraId="4ACA748C">
            <w:pPr>
              <w:spacing w:line="400" w:lineRule="exact"/>
              <w:rPr>
                <w:rFonts w:ascii="宋体" w:hAnsi="宋体" w:cs="宋体"/>
                <w:szCs w:val="21"/>
              </w:rPr>
            </w:pPr>
            <w:r>
              <w:rPr>
                <w:rFonts w:hint="eastAsia" w:ascii="宋体" w:hAnsi="宋体" w:cs="宋体"/>
                <w:szCs w:val="21"/>
              </w:rPr>
              <w:t>落实政府采购政策需满足的资格要求：</w:t>
            </w:r>
          </w:p>
        </w:tc>
        <w:tc>
          <w:tcPr>
            <w:tcW w:w="5481" w:type="dxa"/>
            <w:tcBorders>
              <w:tl2br w:val="nil"/>
              <w:tr2bl w:val="nil"/>
            </w:tcBorders>
            <w:vAlign w:val="center"/>
          </w:tcPr>
          <w:p w14:paraId="65F705AF">
            <w:pPr>
              <w:spacing w:line="400" w:lineRule="exact"/>
              <w:jc w:val="left"/>
              <w:rPr>
                <w:rFonts w:ascii="宋体" w:hAnsi="宋体" w:cs="宋体"/>
                <w:b/>
                <w:bCs/>
                <w:szCs w:val="21"/>
              </w:rPr>
            </w:pPr>
            <w:r>
              <w:rPr>
                <w:rFonts w:hint="eastAsia" w:ascii="宋体" w:hAnsi="宋体" w:cs="宋体"/>
                <w:szCs w:val="21"/>
              </w:rPr>
              <w:t>无。</w:t>
            </w:r>
          </w:p>
        </w:tc>
      </w:tr>
      <w:tr w14:paraId="5C23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1F857E9B">
            <w:pPr>
              <w:spacing w:line="400" w:lineRule="exact"/>
              <w:jc w:val="center"/>
              <w:rPr>
                <w:rFonts w:ascii="宋体" w:hAnsi="宋体" w:cs="宋体"/>
                <w:szCs w:val="21"/>
              </w:rPr>
            </w:pPr>
            <w:r>
              <w:rPr>
                <w:rFonts w:hint="eastAsia" w:ascii="宋体" w:hAnsi="宋体" w:cs="宋体"/>
                <w:szCs w:val="21"/>
              </w:rPr>
              <w:t>3</w:t>
            </w:r>
          </w:p>
        </w:tc>
        <w:tc>
          <w:tcPr>
            <w:tcW w:w="2984" w:type="dxa"/>
            <w:tcBorders>
              <w:tl2br w:val="nil"/>
              <w:tr2bl w:val="nil"/>
            </w:tcBorders>
            <w:vAlign w:val="center"/>
          </w:tcPr>
          <w:p w14:paraId="47649D13">
            <w:pPr>
              <w:spacing w:line="400" w:lineRule="exact"/>
              <w:rPr>
                <w:rFonts w:ascii="宋体" w:hAnsi="宋体" w:cs="宋体"/>
                <w:szCs w:val="21"/>
              </w:rPr>
            </w:pPr>
            <w:r>
              <w:rPr>
                <w:rFonts w:hint="eastAsia" w:ascii="宋体" w:hAnsi="宋体" w:cs="宋体"/>
                <w:szCs w:val="21"/>
              </w:rPr>
              <w:t>本项目的特定资格要求：</w:t>
            </w:r>
          </w:p>
        </w:tc>
        <w:tc>
          <w:tcPr>
            <w:tcW w:w="5481" w:type="dxa"/>
            <w:tcBorders>
              <w:tl2br w:val="nil"/>
              <w:tr2bl w:val="nil"/>
            </w:tcBorders>
            <w:vAlign w:val="center"/>
          </w:tcPr>
          <w:p w14:paraId="56B8B6E2">
            <w:pPr>
              <w:spacing w:line="400" w:lineRule="exact"/>
              <w:jc w:val="left"/>
              <w:rPr>
                <w:rFonts w:ascii="宋体" w:hAnsi="宋体" w:cs="宋体"/>
                <w:b/>
                <w:bCs/>
                <w:szCs w:val="21"/>
              </w:rPr>
            </w:pPr>
            <w:r>
              <w:rPr>
                <w:rFonts w:hint="eastAsia" w:ascii="宋体" w:hAnsi="宋体" w:cs="宋体"/>
                <w:szCs w:val="21"/>
              </w:rPr>
              <w:t>无。</w:t>
            </w:r>
          </w:p>
        </w:tc>
      </w:tr>
      <w:tr w14:paraId="5CCB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6" w:type="dxa"/>
            <w:gridSpan w:val="3"/>
            <w:tcBorders>
              <w:tl2br w:val="nil"/>
              <w:tr2bl w:val="nil"/>
            </w:tcBorders>
            <w:vAlign w:val="center"/>
          </w:tcPr>
          <w:p w14:paraId="40048441">
            <w:pPr>
              <w:spacing w:line="400" w:lineRule="exact"/>
              <w:jc w:val="center"/>
              <w:rPr>
                <w:rFonts w:ascii="宋体" w:hAnsi="宋体" w:cs="宋体"/>
                <w:szCs w:val="21"/>
              </w:rPr>
            </w:pPr>
            <w:r>
              <w:rPr>
                <w:rFonts w:hint="eastAsia" w:ascii="宋体" w:hAnsi="宋体" w:cs="宋体"/>
                <w:b/>
                <w:szCs w:val="21"/>
              </w:rPr>
              <w:t>资格性审查结论</w:t>
            </w:r>
          </w:p>
        </w:tc>
      </w:tr>
    </w:tbl>
    <w:p w14:paraId="24ABA086">
      <w:pPr>
        <w:spacing w:line="400" w:lineRule="exact"/>
        <w:rPr>
          <w:rFonts w:ascii="宋体" w:hAnsi="宋体" w:cs="宋体"/>
          <w:b/>
        </w:rPr>
      </w:pPr>
      <w:r>
        <w:rPr>
          <w:rFonts w:hint="eastAsia" w:ascii="宋体" w:hAnsi="宋体" w:cs="宋体"/>
          <w:b/>
        </w:rPr>
        <w:t>注：1.上述资格证明文件未按招标文件要求附入投标文件中的，资格性审查不合格。</w:t>
      </w:r>
    </w:p>
    <w:p w14:paraId="6C4E3D1D">
      <w:pPr>
        <w:spacing w:line="400" w:lineRule="exact"/>
        <w:ind w:firstLine="422" w:firstLineChars="200"/>
        <w:rPr>
          <w:rFonts w:hint="eastAsia" w:ascii="宋体" w:hAnsi="宋体" w:cs="宋体"/>
          <w:b/>
        </w:rPr>
      </w:pPr>
      <w:r>
        <w:rPr>
          <w:rFonts w:hint="eastAsia" w:ascii="宋体" w:hAnsi="宋体" w:cs="宋体"/>
          <w:b/>
        </w:rPr>
        <w:t>2.上述审查项目中，任意一项不符合的，资格性审查不合格。</w:t>
      </w:r>
    </w:p>
    <w:p w14:paraId="439AB4F3">
      <w:pPr>
        <w:spacing w:line="240" w:lineRule="auto"/>
        <w:ind w:firstLine="0" w:firstLineChars="0"/>
        <w:rPr>
          <w:rFonts w:hint="eastAsia" w:ascii="宋体" w:hAnsi="宋体" w:cs="宋体"/>
          <w:b/>
        </w:rPr>
      </w:pPr>
      <w:r>
        <w:rPr>
          <w:rFonts w:hint="eastAsia" w:ascii="宋体" w:hAnsi="宋体" w:cs="宋体"/>
          <w:b/>
        </w:rPr>
        <w:br w:type="page"/>
      </w:r>
    </w:p>
    <w:p w14:paraId="3E37B9AD">
      <w:pPr>
        <w:spacing w:line="400" w:lineRule="exact"/>
        <w:jc w:val="center"/>
        <w:rPr>
          <w:rFonts w:ascii="宋体" w:hAnsi="宋体" w:cs="宋体"/>
          <w:b/>
          <w:szCs w:val="21"/>
        </w:rPr>
      </w:pPr>
      <w:r>
        <w:rPr>
          <w:rFonts w:hint="eastAsia" w:ascii="宋体" w:hAnsi="宋体" w:cs="宋体"/>
          <w:b/>
          <w:szCs w:val="21"/>
        </w:rPr>
        <w:t>资格性审查表（适用于标项</w:t>
      </w:r>
      <w:r>
        <w:rPr>
          <w:rFonts w:hint="eastAsia" w:ascii="宋体" w:hAnsi="宋体" w:cs="宋体"/>
          <w:b/>
          <w:szCs w:val="21"/>
          <w:lang w:val="en-US" w:eastAsia="zh-CN"/>
        </w:rPr>
        <w:t>12,28,39</w:t>
      </w:r>
      <w:r>
        <w:rPr>
          <w:rFonts w:hint="eastAsia" w:ascii="宋体" w:hAnsi="宋体" w:cs="宋体"/>
          <w:b/>
          <w:szCs w:val="21"/>
        </w:rPr>
        <w:t>）</w:t>
      </w:r>
    </w:p>
    <w:tbl>
      <w:tblPr>
        <w:tblStyle w:val="5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984"/>
        <w:gridCol w:w="5481"/>
      </w:tblGrid>
      <w:tr w14:paraId="0E3D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07EE6BE4">
            <w:pPr>
              <w:spacing w:line="400" w:lineRule="exact"/>
              <w:jc w:val="center"/>
              <w:rPr>
                <w:rFonts w:ascii="宋体" w:hAnsi="宋体" w:cs="宋体"/>
                <w:b/>
                <w:szCs w:val="21"/>
              </w:rPr>
            </w:pPr>
            <w:r>
              <w:rPr>
                <w:rFonts w:hint="eastAsia" w:ascii="宋体" w:hAnsi="宋体" w:cs="宋体"/>
                <w:b/>
                <w:szCs w:val="21"/>
              </w:rPr>
              <w:t>序号</w:t>
            </w:r>
          </w:p>
        </w:tc>
        <w:tc>
          <w:tcPr>
            <w:tcW w:w="2984" w:type="dxa"/>
            <w:tcBorders>
              <w:tl2br w:val="nil"/>
              <w:tr2bl w:val="nil"/>
            </w:tcBorders>
            <w:vAlign w:val="center"/>
          </w:tcPr>
          <w:p w14:paraId="0699CD4B">
            <w:pPr>
              <w:spacing w:line="400" w:lineRule="exact"/>
              <w:jc w:val="center"/>
              <w:rPr>
                <w:rFonts w:ascii="宋体" w:hAnsi="宋体" w:cs="宋体"/>
                <w:b/>
                <w:szCs w:val="21"/>
              </w:rPr>
            </w:pPr>
            <w:r>
              <w:rPr>
                <w:rFonts w:hint="eastAsia" w:ascii="宋体" w:hAnsi="宋体" w:cs="宋体"/>
                <w:b/>
                <w:szCs w:val="21"/>
              </w:rPr>
              <w:t>要求说明</w:t>
            </w:r>
          </w:p>
        </w:tc>
        <w:tc>
          <w:tcPr>
            <w:tcW w:w="5481" w:type="dxa"/>
            <w:tcBorders>
              <w:tl2br w:val="nil"/>
              <w:tr2bl w:val="nil"/>
            </w:tcBorders>
            <w:vAlign w:val="center"/>
          </w:tcPr>
          <w:p w14:paraId="03EFF1A9">
            <w:pPr>
              <w:spacing w:line="400" w:lineRule="exact"/>
              <w:jc w:val="center"/>
              <w:rPr>
                <w:rFonts w:ascii="宋体" w:hAnsi="宋体" w:cs="宋体"/>
                <w:b/>
                <w:szCs w:val="21"/>
              </w:rPr>
            </w:pPr>
            <w:r>
              <w:rPr>
                <w:rFonts w:hint="eastAsia" w:ascii="宋体" w:hAnsi="宋体" w:cs="宋体"/>
                <w:b/>
                <w:szCs w:val="21"/>
              </w:rPr>
              <w:t>审查要求</w:t>
            </w:r>
          </w:p>
        </w:tc>
      </w:tr>
      <w:tr w14:paraId="129C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341F04D2">
            <w:pPr>
              <w:spacing w:line="400" w:lineRule="exact"/>
              <w:jc w:val="center"/>
              <w:rPr>
                <w:rFonts w:ascii="宋体" w:hAnsi="宋体" w:cs="宋体"/>
                <w:szCs w:val="21"/>
              </w:rPr>
            </w:pPr>
            <w:r>
              <w:rPr>
                <w:rFonts w:hint="eastAsia" w:ascii="宋体" w:hAnsi="宋体" w:cs="宋体"/>
                <w:szCs w:val="21"/>
              </w:rPr>
              <w:t>1</w:t>
            </w:r>
          </w:p>
        </w:tc>
        <w:tc>
          <w:tcPr>
            <w:tcW w:w="2984" w:type="dxa"/>
            <w:tcBorders>
              <w:tl2br w:val="nil"/>
              <w:tr2bl w:val="nil"/>
            </w:tcBorders>
            <w:vAlign w:val="center"/>
          </w:tcPr>
          <w:p w14:paraId="062C6D31">
            <w:pPr>
              <w:spacing w:line="400" w:lineRule="exact"/>
              <w:rPr>
                <w:rFonts w:ascii="宋体" w:hAnsi="宋体" w:cs="宋体"/>
                <w:szCs w:val="21"/>
              </w:rPr>
            </w:pPr>
            <w:r>
              <w:rPr>
                <w:rFonts w:hint="eastAsia" w:ascii="宋体" w:hAnsi="宋体" w:cs="宋体"/>
                <w:szCs w:val="21"/>
              </w:rPr>
              <w:t>满足《中华人民共和国政府采购法》第二十二条规定；未被“信用中国”（www.creditchina.gov.cn)、中国政府采购网（www.ccgp.gov.cn）列入失信被执行人、重大税收违法失信主体、政府采购严重违法失信行为记录名单。</w:t>
            </w:r>
          </w:p>
        </w:tc>
        <w:tc>
          <w:tcPr>
            <w:tcW w:w="5481" w:type="dxa"/>
            <w:tcBorders>
              <w:tl2br w:val="nil"/>
              <w:tr2bl w:val="nil"/>
            </w:tcBorders>
            <w:vAlign w:val="center"/>
          </w:tcPr>
          <w:p w14:paraId="3827A922">
            <w:pPr>
              <w:spacing w:line="400" w:lineRule="exact"/>
              <w:jc w:val="left"/>
              <w:rPr>
                <w:rFonts w:ascii="宋体" w:hAnsi="宋体" w:cs="宋体"/>
                <w:szCs w:val="21"/>
              </w:rPr>
            </w:pPr>
            <w:r>
              <w:rPr>
                <w:rFonts w:hint="eastAsia" w:ascii="宋体" w:hAnsi="宋体" w:cs="宋体"/>
                <w:szCs w:val="21"/>
              </w:rPr>
              <w:t>A1.关于资格的承诺函（附件一）；</w:t>
            </w:r>
          </w:p>
          <w:p w14:paraId="250E30C2">
            <w:pPr>
              <w:spacing w:line="400" w:lineRule="exact"/>
              <w:jc w:val="left"/>
              <w:rPr>
                <w:rFonts w:ascii="宋体" w:hAnsi="宋体" w:cs="宋体"/>
                <w:szCs w:val="21"/>
              </w:rPr>
            </w:pPr>
            <w:r>
              <w:rPr>
                <w:rFonts w:hint="eastAsia" w:ascii="宋体" w:hAnsi="宋体" w:cs="宋体"/>
                <w:szCs w:val="21"/>
              </w:rPr>
              <w:t>A2.营业执照副本（或事业法人登记证副本或其他登记证明材料）复印件并加盖供应商公章（供应商如果有名称变更的，应提供由行政主管部门出具的变更证明文件复印件并加盖供应商公章）；</w:t>
            </w:r>
          </w:p>
          <w:p w14:paraId="59000CF1">
            <w:pPr>
              <w:spacing w:line="400" w:lineRule="exact"/>
              <w:jc w:val="left"/>
              <w:rPr>
                <w:rFonts w:ascii="宋体" w:hAnsi="宋体" w:cs="宋体"/>
                <w:b/>
                <w:bCs/>
                <w:szCs w:val="21"/>
              </w:rPr>
            </w:pPr>
            <w:r>
              <w:rPr>
                <w:rFonts w:hint="eastAsia" w:ascii="宋体" w:hAnsi="宋体" w:cs="宋体"/>
                <w:b/>
                <w:bCs/>
                <w:szCs w:val="21"/>
              </w:rPr>
              <w:t>代理机构将于开标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0C5D9E07">
            <w:pPr>
              <w:spacing w:line="400" w:lineRule="exact"/>
              <w:jc w:val="left"/>
              <w:rPr>
                <w:rFonts w:ascii="宋体" w:hAnsi="宋体" w:cs="宋体"/>
                <w:szCs w:val="21"/>
              </w:rPr>
            </w:pPr>
            <w:r>
              <w:rPr>
                <w:rFonts w:hint="eastAsia" w:ascii="宋体" w:hAnsi="宋体" w:cs="宋体"/>
                <w:b/>
                <w:bCs/>
                <w:szCs w:val="21"/>
              </w:rPr>
              <w:t>若在开标当天因不可抗力事件导致无法查询且一时无法恢复查询的，可在中标公示期间对中标候选供应商进行事后查询。中标候选供应商被列入失信被执行人、重大税收违法失信主体、政府采购严重违法失信行为记录名单的，采购人将依法取消其中标资格。</w:t>
            </w:r>
          </w:p>
        </w:tc>
      </w:tr>
      <w:tr w14:paraId="201B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254FF9F8">
            <w:pPr>
              <w:spacing w:line="400" w:lineRule="exact"/>
              <w:jc w:val="center"/>
              <w:rPr>
                <w:rFonts w:ascii="宋体" w:hAnsi="宋体" w:cs="宋体"/>
                <w:szCs w:val="21"/>
              </w:rPr>
            </w:pPr>
            <w:r>
              <w:rPr>
                <w:rFonts w:hint="eastAsia" w:ascii="宋体" w:hAnsi="宋体" w:cs="宋体"/>
                <w:szCs w:val="21"/>
              </w:rPr>
              <w:t>2</w:t>
            </w:r>
          </w:p>
        </w:tc>
        <w:tc>
          <w:tcPr>
            <w:tcW w:w="2984" w:type="dxa"/>
            <w:tcBorders>
              <w:tl2br w:val="nil"/>
              <w:tr2bl w:val="nil"/>
            </w:tcBorders>
            <w:vAlign w:val="center"/>
          </w:tcPr>
          <w:p w14:paraId="003F0E71">
            <w:pPr>
              <w:spacing w:line="400" w:lineRule="exact"/>
              <w:rPr>
                <w:rFonts w:ascii="宋体" w:hAnsi="宋体" w:cs="宋体"/>
                <w:szCs w:val="21"/>
              </w:rPr>
            </w:pPr>
            <w:r>
              <w:rPr>
                <w:rFonts w:hint="eastAsia" w:ascii="宋体" w:hAnsi="宋体" w:cs="宋体"/>
                <w:szCs w:val="21"/>
              </w:rPr>
              <w:t>落实政府采购政策需满足的资格要求：</w:t>
            </w:r>
          </w:p>
        </w:tc>
        <w:tc>
          <w:tcPr>
            <w:tcW w:w="5481" w:type="dxa"/>
            <w:tcBorders>
              <w:tl2br w:val="nil"/>
              <w:tr2bl w:val="nil"/>
            </w:tcBorders>
            <w:vAlign w:val="center"/>
          </w:tcPr>
          <w:p w14:paraId="2AFE1DC4">
            <w:pPr>
              <w:spacing w:line="400" w:lineRule="exact"/>
              <w:jc w:val="left"/>
              <w:rPr>
                <w:rFonts w:ascii="宋体" w:hAnsi="宋体" w:cs="宋体"/>
                <w:b/>
                <w:bCs/>
                <w:szCs w:val="21"/>
              </w:rPr>
            </w:pPr>
            <w:r>
              <w:rPr>
                <w:rFonts w:hint="eastAsia" w:ascii="宋体" w:hAnsi="宋体" w:cs="宋体"/>
                <w:szCs w:val="21"/>
              </w:rPr>
              <w:t>无。</w:t>
            </w:r>
          </w:p>
        </w:tc>
      </w:tr>
      <w:tr w14:paraId="184D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491BB0F7">
            <w:pPr>
              <w:spacing w:line="400" w:lineRule="exact"/>
              <w:jc w:val="center"/>
              <w:rPr>
                <w:rFonts w:ascii="宋体" w:hAnsi="宋体" w:cs="宋体"/>
                <w:szCs w:val="21"/>
              </w:rPr>
            </w:pPr>
            <w:r>
              <w:rPr>
                <w:rFonts w:hint="eastAsia" w:ascii="宋体" w:hAnsi="宋体" w:cs="宋体"/>
                <w:szCs w:val="21"/>
              </w:rPr>
              <w:t>3</w:t>
            </w:r>
          </w:p>
        </w:tc>
        <w:tc>
          <w:tcPr>
            <w:tcW w:w="2984" w:type="dxa"/>
            <w:tcBorders>
              <w:tl2br w:val="nil"/>
              <w:tr2bl w:val="nil"/>
            </w:tcBorders>
            <w:vAlign w:val="center"/>
          </w:tcPr>
          <w:p w14:paraId="728A0EC0">
            <w:pPr>
              <w:spacing w:line="400" w:lineRule="exact"/>
              <w:rPr>
                <w:rFonts w:ascii="宋体" w:hAnsi="宋体" w:cs="宋体"/>
                <w:szCs w:val="21"/>
              </w:rPr>
            </w:pPr>
            <w:r>
              <w:rPr>
                <w:rFonts w:hint="eastAsia" w:ascii="宋体" w:hAnsi="宋体" w:cs="宋体"/>
                <w:szCs w:val="21"/>
              </w:rPr>
              <w:t>本项目的特定资格要求：</w:t>
            </w:r>
            <w:r>
              <w:rPr>
                <w:rFonts w:hint="eastAsia" w:hAnsi="宋体"/>
                <w:sz w:val="21"/>
                <w:szCs w:val="21"/>
                <w:lang w:val="en-US" w:eastAsia="zh-CN"/>
              </w:rPr>
              <w:t>供应商须具有有效期内的出版物经营许可证。</w:t>
            </w:r>
          </w:p>
        </w:tc>
        <w:tc>
          <w:tcPr>
            <w:tcW w:w="5481" w:type="dxa"/>
            <w:tcBorders>
              <w:tl2br w:val="nil"/>
              <w:tr2bl w:val="nil"/>
            </w:tcBorders>
            <w:vAlign w:val="center"/>
          </w:tcPr>
          <w:p w14:paraId="5ED4FBDB">
            <w:pPr>
              <w:spacing w:line="400" w:lineRule="exact"/>
              <w:jc w:val="left"/>
              <w:rPr>
                <w:rFonts w:ascii="宋体" w:hAnsi="宋体" w:cs="宋体"/>
                <w:b/>
                <w:bCs/>
                <w:szCs w:val="21"/>
              </w:rPr>
            </w:pPr>
            <w:r>
              <w:rPr>
                <w:rFonts w:hint="eastAsia" w:ascii="宋体" w:hAnsi="宋体" w:cs="宋体"/>
                <w:szCs w:val="21"/>
                <w:lang w:val="en-US" w:eastAsia="zh-CN"/>
              </w:rPr>
              <w:t>A3.</w:t>
            </w:r>
            <w:r>
              <w:rPr>
                <w:rFonts w:hint="eastAsia" w:hAnsi="宋体"/>
                <w:sz w:val="21"/>
                <w:szCs w:val="21"/>
                <w:lang w:val="en-US" w:eastAsia="zh-CN"/>
              </w:rPr>
              <w:t>供应商须具有有效期内的出版物经营许可证（投标文件中提供</w:t>
            </w:r>
            <w:r>
              <w:rPr>
                <w:rFonts w:hint="eastAsia" w:ascii="宋体" w:hAnsi="宋体" w:cs="宋体"/>
                <w:szCs w:val="21"/>
              </w:rPr>
              <w:t>复印件并加盖供应商公章</w:t>
            </w:r>
            <w:r>
              <w:rPr>
                <w:rFonts w:hint="eastAsia" w:hAnsi="宋体"/>
                <w:sz w:val="21"/>
                <w:szCs w:val="21"/>
                <w:lang w:val="en-US" w:eastAsia="zh-CN"/>
              </w:rPr>
              <w:t>）。</w:t>
            </w:r>
          </w:p>
        </w:tc>
      </w:tr>
      <w:tr w14:paraId="55F6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66" w:type="dxa"/>
            <w:gridSpan w:val="3"/>
            <w:tcBorders>
              <w:tl2br w:val="nil"/>
              <w:tr2bl w:val="nil"/>
            </w:tcBorders>
            <w:vAlign w:val="center"/>
          </w:tcPr>
          <w:p w14:paraId="1577D793">
            <w:pPr>
              <w:spacing w:line="400" w:lineRule="exact"/>
              <w:jc w:val="center"/>
              <w:rPr>
                <w:rFonts w:ascii="宋体" w:hAnsi="宋体" w:cs="宋体"/>
                <w:szCs w:val="21"/>
              </w:rPr>
            </w:pPr>
            <w:r>
              <w:rPr>
                <w:rFonts w:hint="eastAsia" w:ascii="宋体" w:hAnsi="宋体" w:cs="宋体"/>
                <w:b/>
                <w:szCs w:val="21"/>
              </w:rPr>
              <w:t>资格性审查结论</w:t>
            </w:r>
          </w:p>
        </w:tc>
      </w:tr>
    </w:tbl>
    <w:p w14:paraId="737AAA62">
      <w:pPr>
        <w:spacing w:line="400" w:lineRule="exact"/>
        <w:rPr>
          <w:rFonts w:hint="eastAsia" w:ascii="宋体" w:hAnsi="宋体" w:cs="宋体"/>
          <w:b/>
        </w:rPr>
      </w:pPr>
      <w:r>
        <w:rPr>
          <w:rFonts w:hint="eastAsia" w:ascii="宋体" w:hAnsi="宋体" w:cs="宋体"/>
          <w:b/>
        </w:rPr>
        <w:t>注：1.上述资格证明文件未按招标文件要求附入投标文件中的，资格性审查不合格。</w:t>
      </w:r>
    </w:p>
    <w:p w14:paraId="5E7211CD">
      <w:pPr>
        <w:spacing w:line="400" w:lineRule="exact"/>
        <w:ind w:firstLine="422" w:firstLineChars="200"/>
      </w:pPr>
      <w:r>
        <w:rPr>
          <w:rFonts w:hint="eastAsia" w:ascii="宋体" w:hAnsi="宋体" w:cs="宋体"/>
          <w:b/>
        </w:rPr>
        <w:t>2.上述审查项目中，任意一项不符合的，资格性审查不合格。</w:t>
      </w:r>
    </w:p>
    <w:p w14:paraId="2664FAD9">
      <w:pPr>
        <w:spacing w:line="400" w:lineRule="exact"/>
        <w:rPr>
          <w:rFonts w:ascii="宋体" w:hAnsi="宋体" w:cs="宋体"/>
          <w:szCs w:val="21"/>
        </w:rPr>
      </w:pPr>
    </w:p>
    <w:p w14:paraId="7969FE37">
      <w:pPr>
        <w:spacing w:line="400" w:lineRule="exact"/>
        <w:jc w:val="center"/>
        <w:rPr>
          <w:rFonts w:ascii="宋体" w:hAnsi="宋体" w:cs="宋体"/>
          <w:szCs w:val="21"/>
        </w:rPr>
      </w:pPr>
      <w:r>
        <w:rPr>
          <w:rFonts w:hint="eastAsia" w:ascii="宋体" w:hAnsi="宋体" w:cs="宋体"/>
          <w:b/>
          <w:szCs w:val="21"/>
        </w:rPr>
        <w:br w:type="page"/>
      </w:r>
    </w:p>
    <w:p w14:paraId="6690E24E">
      <w:pPr>
        <w:spacing w:line="400" w:lineRule="exact"/>
        <w:rPr>
          <w:rFonts w:ascii="宋体" w:hAnsi="宋体" w:cs="宋体"/>
          <w:szCs w:val="21"/>
        </w:rPr>
      </w:pPr>
      <w:r>
        <w:rPr>
          <w:rFonts w:hint="eastAsia" w:ascii="宋体" w:hAnsi="宋体" w:cs="宋体"/>
          <w:szCs w:val="21"/>
        </w:rPr>
        <w:t>附表2：</w:t>
      </w:r>
    </w:p>
    <w:p w14:paraId="356C929B">
      <w:pPr>
        <w:widowControl/>
        <w:snapToGrid w:val="0"/>
        <w:spacing w:line="400" w:lineRule="exact"/>
        <w:jc w:val="center"/>
        <w:rPr>
          <w:rFonts w:ascii="宋体" w:hAnsi="宋体" w:cs="宋体"/>
          <w:b/>
          <w:szCs w:val="21"/>
        </w:rPr>
      </w:pPr>
      <w:r>
        <w:rPr>
          <w:rFonts w:hint="eastAsia" w:ascii="宋体" w:hAnsi="宋体" w:cs="宋体"/>
          <w:b/>
          <w:szCs w:val="21"/>
        </w:rPr>
        <w:t>符合性审查表（适用于所有标项）</w:t>
      </w:r>
    </w:p>
    <w:tbl>
      <w:tblPr>
        <w:tblStyle w:val="52"/>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135"/>
        <w:gridCol w:w="4335"/>
      </w:tblGrid>
      <w:tr w14:paraId="5603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tcPr>
          <w:p w14:paraId="47487EEB">
            <w:pPr>
              <w:snapToGrid w:val="0"/>
              <w:spacing w:line="400" w:lineRule="exact"/>
              <w:jc w:val="center"/>
              <w:rPr>
                <w:rFonts w:ascii="宋体" w:hAnsi="宋体" w:cs="宋体"/>
                <w:b/>
                <w:szCs w:val="21"/>
              </w:rPr>
            </w:pPr>
            <w:r>
              <w:rPr>
                <w:rFonts w:hint="eastAsia" w:ascii="宋体" w:hAnsi="宋体" w:cs="宋体"/>
                <w:b/>
                <w:szCs w:val="21"/>
              </w:rPr>
              <w:t>序号</w:t>
            </w:r>
          </w:p>
        </w:tc>
        <w:tc>
          <w:tcPr>
            <w:tcW w:w="4135" w:type="dxa"/>
            <w:tcBorders>
              <w:tl2br w:val="nil"/>
              <w:tr2bl w:val="nil"/>
            </w:tcBorders>
            <w:vAlign w:val="center"/>
          </w:tcPr>
          <w:p w14:paraId="6BB511F0">
            <w:pPr>
              <w:snapToGrid w:val="0"/>
              <w:spacing w:line="400" w:lineRule="exact"/>
              <w:jc w:val="center"/>
              <w:rPr>
                <w:rFonts w:ascii="宋体" w:hAnsi="宋体" w:cs="宋体"/>
                <w:b/>
                <w:szCs w:val="21"/>
              </w:rPr>
            </w:pPr>
            <w:r>
              <w:rPr>
                <w:rFonts w:hint="eastAsia" w:ascii="宋体" w:hAnsi="宋体" w:cs="宋体"/>
                <w:b/>
                <w:szCs w:val="21"/>
              </w:rPr>
              <w:t>要求说明</w:t>
            </w:r>
          </w:p>
        </w:tc>
        <w:tc>
          <w:tcPr>
            <w:tcW w:w="4335" w:type="dxa"/>
            <w:tcBorders>
              <w:tl2br w:val="nil"/>
              <w:tr2bl w:val="nil"/>
            </w:tcBorders>
            <w:vAlign w:val="center"/>
          </w:tcPr>
          <w:p w14:paraId="48B0989E">
            <w:pPr>
              <w:snapToGrid w:val="0"/>
              <w:spacing w:line="400" w:lineRule="exact"/>
              <w:jc w:val="center"/>
              <w:rPr>
                <w:rFonts w:ascii="宋体" w:hAnsi="宋体" w:cs="宋体"/>
                <w:b/>
                <w:szCs w:val="21"/>
              </w:rPr>
            </w:pPr>
            <w:r>
              <w:rPr>
                <w:rFonts w:hint="eastAsia" w:ascii="宋体" w:hAnsi="宋体" w:cs="宋体"/>
                <w:b/>
                <w:szCs w:val="21"/>
              </w:rPr>
              <w:t>审查要求</w:t>
            </w:r>
          </w:p>
        </w:tc>
      </w:tr>
      <w:tr w14:paraId="0F91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79CD2636">
            <w:pPr>
              <w:snapToGrid w:val="0"/>
              <w:spacing w:line="400" w:lineRule="exact"/>
              <w:jc w:val="center"/>
              <w:rPr>
                <w:rFonts w:ascii="宋体" w:hAnsi="宋体" w:cs="宋体"/>
                <w:szCs w:val="21"/>
              </w:rPr>
            </w:pPr>
            <w:r>
              <w:rPr>
                <w:rFonts w:hint="eastAsia" w:ascii="宋体" w:hAnsi="宋体" w:cs="宋体"/>
                <w:szCs w:val="21"/>
              </w:rPr>
              <w:t>1</w:t>
            </w:r>
          </w:p>
        </w:tc>
        <w:tc>
          <w:tcPr>
            <w:tcW w:w="4135" w:type="dxa"/>
            <w:tcBorders>
              <w:tl2br w:val="nil"/>
              <w:tr2bl w:val="nil"/>
            </w:tcBorders>
            <w:vAlign w:val="center"/>
          </w:tcPr>
          <w:p w14:paraId="43804C0D">
            <w:pPr>
              <w:snapToGrid w:val="0"/>
              <w:spacing w:line="400" w:lineRule="exact"/>
              <w:rPr>
                <w:rFonts w:ascii="宋体" w:hAnsi="宋体" w:cs="宋体"/>
                <w:szCs w:val="21"/>
              </w:rPr>
            </w:pPr>
            <w:r>
              <w:rPr>
                <w:rFonts w:hint="eastAsia" w:ascii="宋体" w:hAnsi="宋体" w:cs="宋体"/>
                <w:szCs w:val="21"/>
              </w:rPr>
              <w:t>投标有效期：符合第二章“投标须知”第六、1条的要求。</w:t>
            </w:r>
          </w:p>
        </w:tc>
        <w:tc>
          <w:tcPr>
            <w:tcW w:w="4335" w:type="dxa"/>
            <w:tcBorders>
              <w:tl2br w:val="nil"/>
              <w:tr2bl w:val="nil"/>
            </w:tcBorders>
            <w:vAlign w:val="center"/>
          </w:tcPr>
          <w:p w14:paraId="65891460">
            <w:pPr>
              <w:snapToGrid w:val="0"/>
              <w:spacing w:line="400" w:lineRule="exact"/>
              <w:rPr>
                <w:rFonts w:ascii="宋体" w:hAnsi="宋体" w:cs="宋体"/>
                <w:szCs w:val="21"/>
              </w:rPr>
            </w:pPr>
            <w:r>
              <w:rPr>
                <w:rFonts w:hint="eastAsia" w:ascii="宋体" w:hAnsi="宋体" w:cs="宋体"/>
                <w:szCs w:val="21"/>
              </w:rPr>
              <w:t>提供“投标书”。</w:t>
            </w:r>
          </w:p>
        </w:tc>
      </w:tr>
      <w:tr w14:paraId="2B72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34A47A02">
            <w:pPr>
              <w:snapToGrid w:val="0"/>
              <w:spacing w:line="400" w:lineRule="exact"/>
              <w:jc w:val="center"/>
              <w:rPr>
                <w:rFonts w:ascii="宋体" w:hAnsi="宋体" w:cs="宋体"/>
                <w:szCs w:val="21"/>
              </w:rPr>
            </w:pPr>
            <w:r>
              <w:rPr>
                <w:rFonts w:hint="eastAsia" w:ascii="宋体" w:hAnsi="宋体" w:cs="宋体"/>
                <w:szCs w:val="21"/>
              </w:rPr>
              <w:t>2</w:t>
            </w:r>
          </w:p>
        </w:tc>
        <w:tc>
          <w:tcPr>
            <w:tcW w:w="4135" w:type="dxa"/>
            <w:tcBorders>
              <w:tl2br w:val="nil"/>
              <w:tr2bl w:val="nil"/>
            </w:tcBorders>
            <w:vAlign w:val="center"/>
          </w:tcPr>
          <w:p w14:paraId="1219FC47">
            <w:pPr>
              <w:snapToGrid w:val="0"/>
              <w:spacing w:line="400" w:lineRule="exact"/>
              <w:rPr>
                <w:rFonts w:ascii="宋体" w:hAnsi="宋体" w:cs="宋体"/>
                <w:szCs w:val="21"/>
              </w:rPr>
            </w:pPr>
            <w:r>
              <w:rPr>
                <w:rFonts w:hint="eastAsia" w:ascii="宋体" w:hAnsi="宋体" w:cs="宋体"/>
                <w:szCs w:val="21"/>
              </w:rPr>
              <w:t>法定代表人身份证明、法定代表人授权书。</w:t>
            </w:r>
          </w:p>
        </w:tc>
        <w:tc>
          <w:tcPr>
            <w:tcW w:w="4335" w:type="dxa"/>
            <w:tcBorders>
              <w:tl2br w:val="nil"/>
              <w:tr2bl w:val="nil"/>
            </w:tcBorders>
            <w:vAlign w:val="center"/>
          </w:tcPr>
          <w:p w14:paraId="02D2121C">
            <w:pPr>
              <w:snapToGrid w:val="0"/>
              <w:spacing w:line="400" w:lineRule="exact"/>
              <w:rPr>
                <w:rFonts w:ascii="宋体" w:hAnsi="宋体" w:cs="宋体"/>
                <w:szCs w:val="21"/>
              </w:rPr>
            </w:pPr>
            <w:r>
              <w:rPr>
                <w:rFonts w:hint="eastAsia" w:ascii="宋体" w:hAnsi="宋体" w:cs="宋体"/>
                <w:szCs w:val="21"/>
              </w:rPr>
              <w:t>（1）投标文件由法定代表人签字的，提供“法定代表人身份证明”。</w:t>
            </w:r>
          </w:p>
          <w:p w14:paraId="5F538EBE">
            <w:pPr>
              <w:snapToGrid w:val="0"/>
              <w:spacing w:line="400" w:lineRule="exact"/>
              <w:rPr>
                <w:rFonts w:ascii="宋体" w:hAnsi="宋体" w:cs="宋体"/>
                <w:szCs w:val="21"/>
              </w:rPr>
            </w:pPr>
            <w:r>
              <w:rPr>
                <w:rFonts w:hint="eastAsia" w:ascii="宋体" w:hAnsi="宋体" w:cs="宋体"/>
                <w:szCs w:val="21"/>
              </w:rPr>
              <w:t>（2）</w:t>
            </w:r>
            <w:r>
              <w:rPr>
                <w:rFonts w:hint="eastAsia" w:ascii="宋体" w:hAnsi="宋体" w:cs="宋体"/>
                <w:b/>
                <w:szCs w:val="21"/>
                <w:u w:val="single"/>
              </w:rPr>
              <w:t>投标文件由授权代表签字的，提供“法定代表人身份证明”和“法定代表人授权书”。</w:t>
            </w:r>
          </w:p>
        </w:tc>
      </w:tr>
      <w:tr w14:paraId="27E0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4D0EACB0">
            <w:pPr>
              <w:snapToGrid w:val="0"/>
              <w:spacing w:line="400" w:lineRule="exact"/>
              <w:jc w:val="center"/>
              <w:rPr>
                <w:rFonts w:ascii="宋体" w:hAnsi="宋体" w:cs="宋体"/>
                <w:szCs w:val="21"/>
              </w:rPr>
            </w:pPr>
            <w:r>
              <w:rPr>
                <w:rFonts w:hint="eastAsia" w:ascii="宋体" w:hAnsi="宋体" w:cs="宋体"/>
                <w:szCs w:val="21"/>
              </w:rPr>
              <w:t>3</w:t>
            </w:r>
          </w:p>
        </w:tc>
        <w:tc>
          <w:tcPr>
            <w:tcW w:w="4135" w:type="dxa"/>
            <w:tcBorders>
              <w:tl2br w:val="nil"/>
              <w:tr2bl w:val="nil"/>
            </w:tcBorders>
            <w:vAlign w:val="center"/>
          </w:tcPr>
          <w:p w14:paraId="582EA148">
            <w:pPr>
              <w:snapToGrid w:val="0"/>
              <w:spacing w:line="400" w:lineRule="exact"/>
              <w:rPr>
                <w:rFonts w:ascii="宋体" w:hAnsi="宋体" w:cs="宋体"/>
                <w:szCs w:val="21"/>
              </w:rPr>
            </w:pPr>
            <w:r>
              <w:rPr>
                <w:rFonts w:hint="eastAsia" w:ascii="宋体" w:hAnsi="宋体" w:cs="宋体"/>
                <w:szCs w:val="21"/>
              </w:rPr>
              <w:t>符合第二章“投标须知”第九、1条的要求。</w:t>
            </w:r>
          </w:p>
        </w:tc>
        <w:tc>
          <w:tcPr>
            <w:tcW w:w="4335" w:type="dxa"/>
            <w:tcBorders>
              <w:tl2br w:val="nil"/>
              <w:tr2bl w:val="nil"/>
            </w:tcBorders>
            <w:vAlign w:val="center"/>
          </w:tcPr>
          <w:p w14:paraId="06A94A8B">
            <w:pPr>
              <w:snapToGrid w:val="0"/>
              <w:spacing w:line="400" w:lineRule="exact"/>
              <w:rPr>
                <w:rFonts w:ascii="宋体" w:hAnsi="宋体" w:cs="宋体"/>
                <w:szCs w:val="21"/>
              </w:rPr>
            </w:pPr>
            <w:r>
              <w:rPr>
                <w:rFonts w:hint="eastAsia" w:ascii="宋体" w:hAnsi="宋体" w:cs="宋体"/>
                <w:szCs w:val="21"/>
              </w:rPr>
              <w:t>投标文件的签署盖章。</w:t>
            </w:r>
          </w:p>
        </w:tc>
      </w:tr>
      <w:tr w14:paraId="2346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5EC5675A">
            <w:pPr>
              <w:snapToGrid w:val="0"/>
              <w:spacing w:line="400" w:lineRule="exact"/>
              <w:jc w:val="center"/>
              <w:rPr>
                <w:rFonts w:ascii="宋体" w:hAnsi="宋体" w:cs="宋体"/>
                <w:szCs w:val="21"/>
              </w:rPr>
            </w:pPr>
            <w:r>
              <w:rPr>
                <w:rFonts w:hint="eastAsia" w:ascii="宋体" w:hAnsi="宋体" w:cs="宋体"/>
                <w:szCs w:val="21"/>
              </w:rPr>
              <w:t>4</w:t>
            </w:r>
          </w:p>
        </w:tc>
        <w:tc>
          <w:tcPr>
            <w:tcW w:w="4135" w:type="dxa"/>
            <w:tcBorders>
              <w:tl2br w:val="nil"/>
              <w:tr2bl w:val="nil"/>
            </w:tcBorders>
            <w:vAlign w:val="center"/>
          </w:tcPr>
          <w:p w14:paraId="16C685EF">
            <w:pPr>
              <w:snapToGrid w:val="0"/>
              <w:spacing w:line="400" w:lineRule="exact"/>
              <w:rPr>
                <w:rFonts w:ascii="宋体" w:hAnsi="宋体" w:cs="宋体"/>
                <w:szCs w:val="21"/>
              </w:rPr>
            </w:pPr>
            <w:r>
              <w:rPr>
                <w:rFonts w:hint="eastAsia" w:ascii="宋体" w:hAnsi="宋体" w:cs="宋体"/>
                <w:szCs w:val="21"/>
              </w:rPr>
              <w:t>对同个标项不允许提供两个投标方案。</w:t>
            </w:r>
          </w:p>
        </w:tc>
        <w:tc>
          <w:tcPr>
            <w:tcW w:w="4335" w:type="dxa"/>
            <w:tcBorders>
              <w:tl2br w:val="nil"/>
              <w:tr2bl w:val="nil"/>
            </w:tcBorders>
            <w:vAlign w:val="center"/>
          </w:tcPr>
          <w:p w14:paraId="2F7E941D">
            <w:pPr>
              <w:snapToGrid w:val="0"/>
              <w:spacing w:line="400" w:lineRule="exact"/>
              <w:rPr>
                <w:rFonts w:ascii="宋体" w:hAnsi="宋体" w:cs="宋体"/>
                <w:szCs w:val="21"/>
              </w:rPr>
            </w:pPr>
            <w:r>
              <w:rPr>
                <w:rFonts w:hint="eastAsia" w:ascii="宋体" w:hAnsi="宋体" w:cs="宋体"/>
                <w:szCs w:val="21"/>
              </w:rPr>
              <w:t>是否有两个投标方案。</w:t>
            </w:r>
          </w:p>
        </w:tc>
      </w:tr>
      <w:tr w14:paraId="736F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53982B5B">
            <w:pPr>
              <w:snapToGrid w:val="0"/>
              <w:spacing w:line="400" w:lineRule="exact"/>
              <w:jc w:val="center"/>
              <w:rPr>
                <w:rFonts w:ascii="宋体" w:hAnsi="宋体" w:cs="宋体"/>
                <w:szCs w:val="21"/>
              </w:rPr>
            </w:pPr>
            <w:r>
              <w:rPr>
                <w:rFonts w:hint="eastAsia" w:ascii="宋体" w:hAnsi="宋体" w:cs="宋体"/>
                <w:szCs w:val="21"/>
              </w:rPr>
              <w:t>5</w:t>
            </w:r>
          </w:p>
        </w:tc>
        <w:tc>
          <w:tcPr>
            <w:tcW w:w="4135" w:type="dxa"/>
            <w:tcBorders>
              <w:tl2br w:val="nil"/>
              <w:tr2bl w:val="nil"/>
            </w:tcBorders>
            <w:vAlign w:val="center"/>
          </w:tcPr>
          <w:p w14:paraId="2C6FCCC8">
            <w:pPr>
              <w:snapToGrid w:val="0"/>
              <w:spacing w:line="400" w:lineRule="exact"/>
              <w:rPr>
                <w:rFonts w:ascii="宋体" w:hAnsi="宋体" w:cs="宋体"/>
                <w:szCs w:val="21"/>
              </w:rPr>
            </w:pPr>
            <w:r>
              <w:rPr>
                <w:rFonts w:hint="eastAsia" w:ascii="宋体" w:hAnsi="宋体" w:cs="宋体"/>
                <w:szCs w:val="21"/>
              </w:rPr>
              <w:t>供应商不得在投标活动中提供任何虚假材料或从事其他违法活动的。</w:t>
            </w:r>
          </w:p>
        </w:tc>
        <w:tc>
          <w:tcPr>
            <w:tcW w:w="4335" w:type="dxa"/>
            <w:tcBorders>
              <w:tl2br w:val="nil"/>
              <w:tr2bl w:val="nil"/>
            </w:tcBorders>
            <w:vAlign w:val="center"/>
          </w:tcPr>
          <w:p w14:paraId="740BD4CA">
            <w:pPr>
              <w:snapToGrid w:val="0"/>
              <w:spacing w:line="400" w:lineRule="exact"/>
              <w:rPr>
                <w:rFonts w:ascii="宋体" w:hAnsi="宋体" w:cs="宋体"/>
                <w:szCs w:val="21"/>
              </w:rPr>
            </w:pPr>
            <w:r>
              <w:rPr>
                <w:rFonts w:hint="eastAsia" w:ascii="宋体" w:hAnsi="宋体" w:cs="宋体"/>
                <w:szCs w:val="21"/>
              </w:rPr>
              <w:t>不得提供任何虚假材料或从事其他违法活动。</w:t>
            </w:r>
          </w:p>
        </w:tc>
      </w:tr>
      <w:tr w14:paraId="4DA7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3D0CA31A">
            <w:pPr>
              <w:snapToGrid w:val="0"/>
              <w:spacing w:line="400" w:lineRule="exact"/>
              <w:jc w:val="center"/>
              <w:rPr>
                <w:rFonts w:ascii="宋体" w:hAnsi="宋体" w:cs="宋体"/>
                <w:szCs w:val="21"/>
              </w:rPr>
            </w:pPr>
            <w:r>
              <w:rPr>
                <w:rFonts w:hint="eastAsia" w:ascii="宋体" w:hAnsi="宋体" w:cs="宋体"/>
                <w:szCs w:val="21"/>
              </w:rPr>
              <w:t>6</w:t>
            </w:r>
          </w:p>
        </w:tc>
        <w:tc>
          <w:tcPr>
            <w:tcW w:w="4135" w:type="dxa"/>
            <w:tcBorders>
              <w:tl2br w:val="nil"/>
              <w:tr2bl w:val="nil"/>
            </w:tcBorders>
            <w:vAlign w:val="center"/>
          </w:tcPr>
          <w:p w14:paraId="2158AA43">
            <w:pPr>
              <w:snapToGrid w:val="0"/>
              <w:spacing w:line="400" w:lineRule="exact"/>
              <w:rPr>
                <w:rFonts w:ascii="宋体" w:hAnsi="宋体" w:cs="宋体"/>
              </w:rPr>
            </w:pPr>
            <w:r>
              <w:rPr>
                <w:rFonts w:hint="eastAsia" w:ascii="宋体" w:hAnsi="宋体" w:cs="宋体"/>
              </w:rPr>
              <w:t>评标委员会经过审查，认定供应商虚假应标、串通投标的，有下列情形之一的，视为供应商串通投标：</w:t>
            </w:r>
          </w:p>
          <w:p w14:paraId="7265D7CB">
            <w:pPr>
              <w:snapToGrid w:val="0"/>
              <w:spacing w:line="400" w:lineRule="exact"/>
              <w:rPr>
                <w:rFonts w:ascii="宋体" w:hAnsi="宋体" w:cs="宋体"/>
              </w:rPr>
            </w:pPr>
            <w:r>
              <w:rPr>
                <w:rFonts w:hint="eastAsia" w:ascii="宋体" w:hAnsi="宋体" w:cs="宋体"/>
              </w:rPr>
              <w:t>（1）不同供应商的投标文件由同一单位或者个人编制；</w:t>
            </w:r>
          </w:p>
          <w:p w14:paraId="6C7F4A1B">
            <w:pPr>
              <w:snapToGrid w:val="0"/>
              <w:spacing w:line="400" w:lineRule="exact"/>
              <w:rPr>
                <w:rFonts w:ascii="宋体" w:hAnsi="宋体" w:cs="宋体"/>
              </w:rPr>
            </w:pPr>
            <w:r>
              <w:rPr>
                <w:rFonts w:hint="eastAsia" w:ascii="宋体" w:hAnsi="宋体" w:cs="宋体"/>
              </w:rPr>
              <w:t>（2）不同供应商委托同一单位或者个人办理投标事宜；</w:t>
            </w:r>
          </w:p>
          <w:p w14:paraId="3EB64DA5">
            <w:pPr>
              <w:snapToGrid w:val="0"/>
              <w:spacing w:line="400" w:lineRule="exact"/>
              <w:rPr>
                <w:rFonts w:ascii="宋体" w:hAnsi="宋体" w:cs="宋体"/>
              </w:rPr>
            </w:pPr>
            <w:r>
              <w:rPr>
                <w:rFonts w:hint="eastAsia" w:ascii="宋体" w:hAnsi="宋体" w:cs="宋体"/>
              </w:rPr>
              <w:t>（3）不同供应商的投标文件载明的项目管理成员或者联系人员为同一人；</w:t>
            </w:r>
          </w:p>
          <w:p w14:paraId="21766DB1">
            <w:pPr>
              <w:snapToGrid w:val="0"/>
              <w:spacing w:line="400" w:lineRule="exact"/>
              <w:rPr>
                <w:rFonts w:ascii="宋体" w:hAnsi="宋体" w:cs="宋体"/>
              </w:rPr>
            </w:pPr>
            <w:r>
              <w:rPr>
                <w:rFonts w:hint="eastAsia" w:ascii="宋体" w:hAnsi="宋体" w:cs="宋体"/>
              </w:rPr>
              <w:t>（4）不同供应商的投标文件异常一致或者投标报价呈规律性差异；</w:t>
            </w:r>
          </w:p>
          <w:p w14:paraId="54A5A91E">
            <w:pPr>
              <w:snapToGrid w:val="0"/>
              <w:spacing w:line="400" w:lineRule="exact"/>
              <w:rPr>
                <w:rFonts w:ascii="宋体" w:hAnsi="宋体" w:cs="宋体"/>
              </w:rPr>
            </w:pPr>
            <w:r>
              <w:rPr>
                <w:rFonts w:hint="eastAsia" w:ascii="宋体" w:hAnsi="宋体" w:cs="宋体"/>
              </w:rPr>
              <w:t>（5）不同供应商的投标文件相互混装。</w:t>
            </w:r>
          </w:p>
        </w:tc>
        <w:tc>
          <w:tcPr>
            <w:tcW w:w="4335" w:type="dxa"/>
            <w:tcBorders>
              <w:tl2br w:val="nil"/>
              <w:tr2bl w:val="nil"/>
            </w:tcBorders>
            <w:vAlign w:val="center"/>
          </w:tcPr>
          <w:p w14:paraId="106DDBBC">
            <w:pPr>
              <w:snapToGrid w:val="0"/>
              <w:spacing w:line="400" w:lineRule="exact"/>
              <w:rPr>
                <w:rFonts w:ascii="宋体" w:hAnsi="宋体" w:cs="宋体"/>
                <w:szCs w:val="21"/>
              </w:rPr>
            </w:pPr>
            <w:r>
              <w:rPr>
                <w:rFonts w:hint="eastAsia" w:ascii="宋体" w:hAnsi="宋体" w:cs="宋体"/>
                <w:szCs w:val="21"/>
              </w:rPr>
              <w:t>不得有所述情形。</w:t>
            </w:r>
          </w:p>
        </w:tc>
      </w:tr>
      <w:tr w14:paraId="0282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618A8D12">
            <w:pPr>
              <w:snapToGrid w:val="0"/>
              <w:spacing w:line="400" w:lineRule="exact"/>
              <w:jc w:val="center"/>
              <w:rPr>
                <w:rFonts w:ascii="宋体" w:hAnsi="宋体" w:cs="宋体"/>
                <w:szCs w:val="21"/>
              </w:rPr>
            </w:pPr>
            <w:r>
              <w:rPr>
                <w:rFonts w:hint="eastAsia" w:ascii="宋体" w:hAnsi="宋体" w:cs="宋体"/>
                <w:szCs w:val="21"/>
              </w:rPr>
              <w:t>7</w:t>
            </w:r>
          </w:p>
        </w:tc>
        <w:tc>
          <w:tcPr>
            <w:tcW w:w="4135" w:type="dxa"/>
            <w:tcBorders>
              <w:tl2br w:val="nil"/>
              <w:tr2bl w:val="nil"/>
            </w:tcBorders>
            <w:vAlign w:val="center"/>
          </w:tcPr>
          <w:p w14:paraId="5B24DA20">
            <w:pPr>
              <w:snapToGrid w:val="0"/>
              <w:spacing w:line="400" w:lineRule="exact"/>
              <w:rPr>
                <w:rFonts w:ascii="宋体" w:hAnsi="宋体" w:cs="宋体"/>
              </w:rPr>
            </w:pPr>
            <w:r>
              <w:rPr>
                <w:rFonts w:hint="eastAsia" w:ascii="宋体" w:hAnsi="宋体" w:cs="宋体"/>
              </w:rPr>
              <w:t>参与同一个采购包（标项）的供应商存在下列情形之一且无法合理解释的，其投标（响应）文件无效：</w:t>
            </w:r>
          </w:p>
        </w:tc>
        <w:tc>
          <w:tcPr>
            <w:tcW w:w="4335" w:type="dxa"/>
            <w:tcBorders>
              <w:tl2br w:val="nil"/>
              <w:tr2bl w:val="nil"/>
            </w:tcBorders>
            <w:vAlign w:val="center"/>
          </w:tcPr>
          <w:p w14:paraId="360A04F4">
            <w:pPr>
              <w:snapToGrid w:val="0"/>
              <w:spacing w:line="400" w:lineRule="exact"/>
              <w:rPr>
                <w:rFonts w:ascii="宋体" w:hAnsi="宋体" w:cs="宋体"/>
                <w:szCs w:val="21"/>
              </w:rPr>
            </w:pPr>
            <w:r>
              <w:rPr>
                <w:rFonts w:hint="eastAsia" w:ascii="宋体" w:hAnsi="宋体" w:cs="宋体"/>
                <w:szCs w:val="21"/>
              </w:rPr>
              <w:t>1.不同供应商的电子投标（响应）文件上传计算机的网卡MAC地址或硬盘序列号等硬件信息相同的；</w:t>
            </w:r>
          </w:p>
          <w:p w14:paraId="62BF0C40">
            <w:pPr>
              <w:snapToGrid w:val="0"/>
              <w:spacing w:line="400" w:lineRule="exact"/>
              <w:rPr>
                <w:rFonts w:ascii="宋体" w:hAnsi="宋体" w:cs="宋体"/>
                <w:szCs w:val="21"/>
              </w:rPr>
            </w:pPr>
            <w:r>
              <w:rPr>
                <w:rFonts w:hint="eastAsia" w:ascii="宋体" w:hAnsi="宋体" w:cs="宋体"/>
                <w:szCs w:val="21"/>
              </w:rPr>
              <w:t>2.上传的电子投标（响应）文件若出现使用本项目其他投标（响应）供应商的数字证书加密的，或者加盖本项目其他投标（响应）供应商的电子印章的；</w:t>
            </w:r>
          </w:p>
          <w:p w14:paraId="1C6A7850">
            <w:pPr>
              <w:snapToGrid w:val="0"/>
              <w:spacing w:line="400" w:lineRule="exact"/>
              <w:rPr>
                <w:rFonts w:ascii="宋体" w:hAnsi="宋体" w:cs="宋体"/>
                <w:szCs w:val="21"/>
              </w:rPr>
            </w:pPr>
            <w:r>
              <w:rPr>
                <w:rFonts w:hint="eastAsia" w:ascii="宋体" w:hAnsi="宋体" w:cs="宋体"/>
                <w:szCs w:val="21"/>
              </w:rPr>
              <w:t>3.不同供应商的投标（响应）文件的内容存在3处（含）以上错误一致的；</w:t>
            </w:r>
          </w:p>
          <w:p w14:paraId="53F427BB">
            <w:pPr>
              <w:snapToGrid w:val="0"/>
              <w:spacing w:line="400" w:lineRule="exact"/>
              <w:rPr>
                <w:rFonts w:ascii="宋体" w:hAnsi="宋体" w:cs="宋体"/>
                <w:szCs w:val="21"/>
              </w:rPr>
            </w:pPr>
            <w:r>
              <w:rPr>
                <w:rFonts w:hint="eastAsia" w:ascii="宋体" w:hAnsi="宋体" w:cs="宋体"/>
                <w:szCs w:val="21"/>
              </w:rPr>
              <w:t>4.不同供应商联系人为同一人或不同联系人的联系电话一致的。</w:t>
            </w:r>
          </w:p>
          <w:p w14:paraId="13099FA3">
            <w:pPr>
              <w:snapToGrid w:val="0"/>
              <w:spacing w:line="400" w:lineRule="exact"/>
              <w:rPr>
                <w:rFonts w:ascii="宋体" w:hAnsi="宋体" w:cs="宋体"/>
                <w:szCs w:val="21"/>
              </w:rPr>
            </w:pPr>
            <w:r>
              <w:rPr>
                <w:rFonts w:hint="eastAsia" w:ascii="宋体" w:hAnsi="宋体" w:cs="宋体"/>
                <w:szCs w:val="21"/>
              </w:rPr>
              <w:t>5.不同供应商在相同Internet主机分配地址（相同IP地址）获取采购文件或网上投标（响应）的。</w:t>
            </w:r>
          </w:p>
        </w:tc>
      </w:tr>
      <w:tr w14:paraId="6B23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66AE2AC5">
            <w:pPr>
              <w:snapToGrid w:val="0"/>
              <w:spacing w:line="400" w:lineRule="exact"/>
              <w:jc w:val="center"/>
              <w:rPr>
                <w:rFonts w:ascii="宋体" w:hAnsi="宋体" w:cs="宋体"/>
                <w:szCs w:val="21"/>
              </w:rPr>
            </w:pPr>
            <w:r>
              <w:rPr>
                <w:rFonts w:hint="eastAsia" w:ascii="宋体" w:hAnsi="宋体" w:cs="宋体"/>
                <w:szCs w:val="21"/>
              </w:rPr>
              <w:t>8</w:t>
            </w:r>
          </w:p>
        </w:tc>
        <w:tc>
          <w:tcPr>
            <w:tcW w:w="4135" w:type="dxa"/>
            <w:tcBorders>
              <w:tl2br w:val="nil"/>
              <w:tr2bl w:val="nil"/>
            </w:tcBorders>
            <w:vAlign w:val="center"/>
          </w:tcPr>
          <w:p w14:paraId="37415070">
            <w:pPr>
              <w:snapToGrid w:val="0"/>
              <w:spacing w:line="400" w:lineRule="exact"/>
              <w:rPr>
                <w:rFonts w:ascii="宋体" w:hAnsi="宋体" w:cs="宋体"/>
                <w:szCs w:val="21"/>
              </w:rPr>
            </w:pPr>
            <w:r>
              <w:rPr>
                <w:rFonts w:hint="eastAsia" w:ascii="宋体" w:hAnsi="宋体" w:cs="宋体"/>
                <w:szCs w:val="21"/>
              </w:rPr>
              <w:t>符合法律、法规和招标文件中规定的其他实质性要求（实质性要求招标文件中“★”标记）。</w:t>
            </w:r>
          </w:p>
        </w:tc>
        <w:tc>
          <w:tcPr>
            <w:tcW w:w="4335" w:type="dxa"/>
            <w:tcBorders>
              <w:tl2br w:val="nil"/>
              <w:tr2bl w:val="nil"/>
            </w:tcBorders>
            <w:vAlign w:val="center"/>
          </w:tcPr>
          <w:p w14:paraId="322E1BD7">
            <w:pPr>
              <w:snapToGrid w:val="0"/>
              <w:spacing w:line="400" w:lineRule="exact"/>
              <w:rPr>
                <w:rFonts w:ascii="宋体" w:hAnsi="宋体" w:cs="宋体"/>
                <w:szCs w:val="21"/>
              </w:rPr>
            </w:pPr>
            <w:r>
              <w:rPr>
                <w:rFonts w:hint="eastAsia" w:ascii="宋体" w:hAnsi="宋体" w:cs="宋体"/>
                <w:szCs w:val="21"/>
              </w:rPr>
              <w:t>符合所述要求。</w:t>
            </w:r>
          </w:p>
        </w:tc>
      </w:tr>
      <w:tr w14:paraId="0A8A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3525E2CC">
            <w:pPr>
              <w:snapToGrid w:val="0"/>
              <w:spacing w:line="400" w:lineRule="exact"/>
              <w:jc w:val="center"/>
              <w:rPr>
                <w:rFonts w:ascii="宋体" w:hAnsi="宋体" w:cs="宋体"/>
                <w:szCs w:val="21"/>
              </w:rPr>
            </w:pPr>
            <w:r>
              <w:rPr>
                <w:rFonts w:hint="eastAsia" w:ascii="宋体" w:hAnsi="宋体" w:cs="宋体"/>
                <w:szCs w:val="21"/>
              </w:rPr>
              <w:t>9</w:t>
            </w:r>
          </w:p>
        </w:tc>
        <w:tc>
          <w:tcPr>
            <w:tcW w:w="4135" w:type="dxa"/>
            <w:tcBorders>
              <w:tl2br w:val="nil"/>
              <w:tr2bl w:val="nil"/>
            </w:tcBorders>
            <w:vAlign w:val="center"/>
          </w:tcPr>
          <w:p w14:paraId="19FECAE2">
            <w:pPr>
              <w:snapToGrid w:val="0"/>
              <w:spacing w:line="400" w:lineRule="exact"/>
              <w:rPr>
                <w:rFonts w:ascii="宋体" w:hAnsi="宋体" w:cs="宋体"/>
                <w:szCs w:val="21"/>
              </w:rPr>
            </w:pPr>
            <w:r>
              <w:rPr>
                <w:rFonts w:hint="eastAsia" w:ascii="宋体" w:hAnsi="宋体" w:cs="宋体"/>
                <w:szCs w:val="21"/>
              </w:rPr>
              <w:t>本项目不接受联合体投标。</w:t>
            </w:r>
          </w:p>
        </w:tc>
        <w:tc>
          <w:tcPr>
            <w:tcW w:w="4335" w:type="dxa"/>
            <w:tcBorders>
              <w:tl2br w:val="nil"/>
              <w:tr2bl w:val="nil"/>
            </w:tcBorders>
            <w:vAlign w:val="center"/>
          </w:tcPr>
          <w:p w14:paraId="0B86BB6C">
            <w:pPr>
              <w:snapToGrid w:val="0"/>
              <w:spacing w:line="400" w:lineRule="exact"/>
              <w:rPr>
                <w:rFonts w:ascii="宋体" w:hAnsi="宋体" w:cs="宋体"/>
                <w:szCs w:val="21"/>
              </w:rPr>
            </w:pPr>
            <w:r>
              <w:rPr>
                <w:rFonts w:hint="eastAsia" w:ascii="宋体" w:hAnsi="宋体" w:cs="宋体"/>
                <w:szCs w:val="21"/>
              </w:rPr>
              <w:t>供应商非联合体投标。</w:t>
            </w:r>
          </w:p>
        </w:tc>
      </w:tr>
      <w:tr w14:paraId="50DB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572509E4">
            <w:pPr>
              <w:snapToGrid w:val="0"/>
              <w:spacing w:line="400" w:lineRule="exact"/>
              <w:jc w:val="center"/>
              <w:rPr>
                <w:rFonts w:ascii="宋体" w:hAnsi="宋体" w:cs="宋体"/>
                <w:szCs w:val="21"/>
              </w:rPr>
            </w:pPr>
            <w:r>
              <w:rPr>
                <w:rFonts w:hint="eastAsia" w:ascii="宋体" w:hAnsi="宋体" w:cs="宋体"/>
                <w:szCs w:val="21"/>
              </w:rPr>
              <w:t>10</w:t>
            </w:r>
          </w:p>
        </w:tc>
        <w:tc>
          <w:tcPr>
            <w:tcW w:w="4135" w:type="dxa"/>
            <w:tcBorders>
              <w:tl2br w:val="nil"/>
              <w:tr2bl w:val="nil"/>
            </w:tcBorders>
            <w:vAlign w:val="center"/>
          </w:tcPr>
          <w:p w14:paraId="60DD685B">
            <w:pPr>
              <w:spacing w:line="400" w:lineRule="exact"/>
              <w:jc w:val="left"/>
              <w:rPr>
                <w:rFonts w:ascii="宋体" w:hAnsi="宋体" w:cs="宋体"/>
                <w:szCs w:val="21"/>
              </w:rPr>
            </w:pPr>
            <w:r>
              <w:rPr>
                <w:rFonts w:hint="eastAsia" w:ascii="宋体" w:hAnsi="宋体" w:cs="宋体"/>
                <w:szCs w:val="21"/>
              </w:rPr>
              <w:t>本次公开招标设有预算金额（最高限价），投标报价超过对应标项预算金额（最高限价）的投标将作为无效投标。</w:t>
            </w:r>
          </w:p>
          <w:p w14:paraId="1C8C0A54">
            <w:pPr>
              <w:spacing w:line="400" w:lineRule="exact"/>
              <w:jc w:val="left"/>
              <w:rPr>
                <w:rFonts w:ascii="宋体" w:hAnsi="宋体" w:cs="宋体"/>
                <w:szCs w:val="21"/>
              </w:rPr>
            </w:pPr>
            <w:r>
              <w:rPr>
                <w:rFonts w:hint="eastAsia" w:ascii="宋体" w:hAnsi="宋体" w:cs="宋体"/>
                <w:szCs w:val="21"/>
              </w:rPr>
              <w:t>本项目预算金额（最高限价）详见招标文件第一章“采购公告”。</w:t>
            </w:r>
          </w:p>
        </w:tc>
        <w:tc>
          <w:tcPr>
            <w:tcW w:w="4335" w:type="dxa"/>
            <w:tcBorders>
              <w:tl2br w:val="nil"/>
              <w:tr2bl w:val="nil"/>
            </w:tcBorders>
            <w:vAlign w:val="center"/>
          </w:tcPr>
          <w:p w14:paraId="655D3F0A">
            <w:pPr>
              <w:spacing w:line="400" w:lineRule="exact"/>
              <w:rPr>
                <w:rFonts w:ascii="宋体" w:hAnsi="宋体" w:cs="宋体"/>
                <w:szCs w:val="21"/>
              </w:rPr>
            </w:pPr>
            <w:r>
              <w:rPr>
                <w:rFonts w:hint="eastAsia" w:ascii="宋体" w:hAnsi="宋体" w:cs="宋体"/>
                <w:szCs w:val="21"/>
              </w:rPr>
              <w:t>提供“开标一览表”。</w:t>
            </w:r>
          </w:p>
        </w:tc>
      </w:tr>
      <w:tr w14:paraId="4BBF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l2br w:val="nil"/>
              <w:tr2bl w:val="nil"/>
            </w:tcBorders>
            <w:vAlign w:val="center"/>
          </w:tcPr>
          <w:p w14:paraId="55499308">
            <w:pPr>
              <w:snapToGrid w:val="0"/>
              <w:spacing w:line="400" w:lineRule="exact"/>
              <w:jc w:val="center"/>
              <w:rPr>
                <w:rFonts w:ascii="宋体" w:hAnsi="宋体" w:cs="宋体"/>
                <w:szCs w:val="21"/>
              </w:rPr>
            </w:pPr>
            <w:r>
              <w:rPr>
                <w:rFonts w:hint="eastAsia" w:ascii="宋体" w:hAnsi="宋体" w:cs="宋体"/>
                <w:szCs w:val="21"/>
              </w:rPr>
              <w:t>11</w:t>
            </w:r>
          </w:p>
        </w:tc>
        <w:tc>
          <w:tcPr>
            <w:tcW w:w="4135" w:type="dxa"/>
            <w:tcBorders>
              <w:tl2br w:val="nil"/>
              <w:tr2bl w:val="nil"/>
            </w:tcBorders>
            <w:vAlign w:val="center"/>
          </w:tcPr>
          <w:p w14:paraId="1E6A343F">
            <w:pPr>
              <w:spacing w:line="400" w:lineRule="exact"/>
              <w:rPr>
                <w:rFonts w:ascii="宋体" w:hAnsi="宋体" w:cs="宋体"/>
                <w:szCs w:val="21"/>
              </w:rPr>
            </w:pPr>
            <w:r>
              <w:rPr>
                <w:rFonts w:hint="eastAsia" w:ascii="宋体" w:hAnsi="宋体" w:cs="宋体"/>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335" w:type="dxa"/>
            <w:tcBorders>
              <w:tl2br w:val="nil"/>
              <w:tr2bl w:val="nil"/>
            </w:tcBorders>
            <w:vAlign w:val="center"/>
          </w:tcPr>
          <w:p w14:paraId="65269A37">
            <w:pPr>
              <w:spacing w:line="400" w:lineRule="exact"/>
              <w:rPr>
                <w:rFonts w:ascii="宋体" w:hAnsi="宋体" w:cs="宋体"/>
                <w:szCs w:val="21"/>
              </w:rPr>
            </w:pPr>
            <w:r>
              <w:rPr>
                <w:rFonts w:hint="eastAsia" w:ascii="宋体" w:hAnsi="宋体" w:cs="宋体"/>
                <w:szCs w:val="21"/>
              </w:rPr>
              <w:t>符合所述要求。</w:t>
            </w:r>
          </w:p>
        </w:tc>
      </w:tr>
      <w:tr w14:paraId="00B5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1" w:type="dxa"/>
            <w:gridSpan w:val="3"/>
            <w:tcBorders>
              <w:tl2br w:val="nil"/>
              <w:tr2bl w:val="nil"/>
            </w:tcBorders>
            <w:vAlign w:val="center"/>
          </w:tcPr>
          <w:p w14:paraId="39C34FAE">
            <w:pPr>
              <w:snapToGrid w:val="0"/>
              <w:spacing w:line="400" w:lineRule="exact"/>
              <w:jc w:val="center"/>
              <w:rPr>
                <w:rFonts w:ascii="宋体" w:hAnsi="宋体" w:cs="宋体"/>
                <w:szCs w:val="21"/>
              </w:rPr>
            </w:pPr>
            <w:r>
              <w:rPr>
                <w:rFonts w:hint="eastAsia" w:ascii="宋体" w:hAnsi="宋体" w:cs="宋体"/>
                <w:b/>
                <w:szCs w:val="21"/>
              </w:rPr>
              <w:t>符合性审查结论</w:t>
            </w:r>
          </w:p>
        </w:tc>
      </w:tr>
    </w:tbl>
    <w:p w14:paraId="1FE9340C">
      <w:pPr>
        <w:spacing w:line="400" w:lineRule="exact"/>
        <w:rPr>
          <w:rFonts w:ascii="宋体" w:hAnsi="宋体" w:cs="宋体"/>
          <w:b/>
        </w:rPr>
      </w:pPr>
      <w:r>
        <w:rPr>
          <w:rFonts w:hint="eastAsia" w:ascii="宋体" w:hAnsi="宋体" w:cs="宋体"/>
          <w:b/>
        </w:rPr>
        <w:t>注：1.上述审查项目中，任意一项不符合的，符合性审查不合格。</w:t>
      </w:r>
    </w:p>
    <w:p w14:paraId="7AB9706D">
      <w:pPr>
        <w:spacing w:line="400" w:lineRule="exact"/>
        <w:ind w:firstLine="413" w:firstLineChars="196"/>
        <w:rPr>
          <w:rFonts w:ascii="宋体" w:hAnsi="宋体" w:cs="宋体"/>
          <w:szCs w:val="21"/>
        </w:rPr>
      </w:pPr>
      <w:r>
        <w:rPr>
          <w:rFonts w:hint="eastAsia" w:ascii="宋体" w:hAnsi="宋体" w:cs="宋体"/>
          <w:b/>
        </w:rPr>
        <w:t>2.序号3-序号9、序号11在政采云上无须添加关联点。</w:t>
      </w:r>
    </w:p>
    <w:p w14:paraId="03D42FF9">
      <w:pPr>
        <w:adjustRightInd w:val="0"/>
        <w:snapToGrid w:val="0"/>
        <w:spacing w:line="400" w:lineRule="exact"/>
        <w:rPr>
          <w:rFonts w:ascii="宋体" w:hAnsi="宋体" w:cs="宋体"/>
          <w:szCs w:val="21"/>
        </w:rPr>
      </w:pPr>
      <w:r>
        <w:rPr>
          <w:rFonts w:hint="eastAsia" w:ascii="宋体" w:hAnsi="宋体" w:cs="宋体"/>
          <w:szCs w:val="21"/>
        </w:rPr>
        <w:br w:type="page"/>
      </w:r>
      <w:r>
        <w:rPr>
          <w:rFonts w:hint="eastAsia" w:ascii="宋体" w:hAnsi="宋体" w:cs="宋体"/>
          <w:szCs w:val="21"/>
        </w:rPr>
        <w:t>附表3：</w:t>
      </w:r>
    </w:p>
    <w:p w14:paraId="4CAE7561">
      <w:pPr>
        <w:adjustRightInd w:val="0"/>
        <w:snapToGrid w:val="0"/>
        <w:spacing w:line="400" w:lineRule="exact"/>
        <w:jc w:val="center"/>
        <w:outlineLvl w:val="9"/>
        <w:rPr>
          <w:rFonts w:hint="eastAsia" w:ascii="宋体" w:hAnsi="宋体" w:eastAsia="宋体" w:cs="宋体"/>
          <w:b/>
          <w:szCs w:val="21"/>
          <w:lang w:eastAsia="zh-CN"/>
        </w:rPr>
      </w:pPr>
      <w:r>
        <w:rPr>
          <w:rFonts w:hint="eastAsia" w:ascii="宋体" w:hAnsi="宋体" w:cs="宋体"/>
          <w:b/>
          <w:szCs w:val="21"/>
        </w:rPr>
        <w:t>评分标准（兼评委打分表）</w:t>
      </w:r>
      <w:r>
        <w:rPr>
          <w:rFonts w:hint="eastAsia" w:ascii="宋体" w:hAnsi="宋体" w:cs="宋体"/>
          <w:b/>
          <w:szCs w:val="21"/>
          <w:lang w:eastAsia="zh-CN"/>
        </w:rPr>
        <w:t>（适用于所有标项）</w:t>
      </w:r>
    </w:p>
    <w:p w14:paraId="18C49412">
      <w:pPr>
        <w:adjustRightInd w:val="0"/>
        <w:snapToGrid w:val="0"/>
        <w:spacing w:line="400" w:lineRule="exact"/>
        <w:rPr>
          <w:rFonts w:ascii="宋体" w:hAnsi="宋体" w:cs="宋体"/>
          <w:b/>
          <w:szCs w:val="21"/>
        </w:rPr>
      </w:pPr>
      <w:r>
        <w:rPr>
          <w:rFonts w:hint="eastAsia" w:ascii="宋体" w:hAnsi="宋体" w:cs="宋体"/>
          <w:b/>
          <w:szCs w:val="21"/>
        </w:rPr>
        <w:t>项目编号：NBITC-202530421G</w:t>
      </w:r>
    </w:p>
    <w:tbl>
      <w:tblPr>
        <w:tblStyle w:val="5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753"/>
        <w:gridCol w:w="713"/>
      </w:tblGrid>
      <w:tr w14:paraId="7800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11" w:type="pct"/>
            <w:gridSpan w:val="2"/>
            <w:tcBorders>
              <w:top w:val="single" w:color="auto" w:sz="4" w:space="0"/>
              <w:left w:val="single" w:color="auto" w:sz="4" w:space="0"/>
              <w:bottom w:val="single" w:color="auto" w:sz="4" w:space="0"/>
              <w:right w:val="single" w:color="auto" w:sz="2" w:space="0"/>
              <w:tl2br w:val="single" w:color="auto" w:sz="2" w:space="0"/>
            </w:tcBorders>
          </w:tcPr>
          <w:p w14:paraId="69693DD3">
            <w:pPr>
              <w:spacing w:line="400" w:lineRule="exact"/>
              <w:jc w:val="right"/>
              <w:rPr>
                <w:rFonts w:hint="eastAsia" w:ascii="宋体" w:hAnsi="宋体" w:cs="宋体"/>
                <w:szCs w:val="21"/>
                <w:lang w:eastAsia="zh-CN"/>
              </w:rPr>
            </w:pPr>
            <w:r>
              <w:rPr>
                <w:rFonts w:hint="eastAsia" w:ascii="宋体" w:hAnsi="宋体" w:cs="宋体"/>
                <w:szCs w:val="21"/>
                <w:lang w:eastAsia="zh-CN"/>
              </w:rPr>
              <w:t>供应商</w:t>
            </w:r>
          </w:p>
          <w:p w14:paraId="027F7A59">
            <w:pPr>
              <w:spacing w:line="400" w:lineRule="exact"/>
              <w:rPr>
                <w:rFonts w:ascii="宋体" w:hAnsi="宋体" w:cs="宋体"/>
                <w:szCs w:val="21"/>
              </w:rPr>
            </w:pPr>
            <w:r>
              <w:rPr>
                <w:rFonts w:hint="eastAsia" w:ascii="宋体" w:hAnsi="宋体" w:cs="宋体"/>
                <w:szCs w:val="21"/>
              </w:rPr>
              <w:t>评分项及分值</w:t>
            </w:r>
          </w:p>
        </w:tc>
        <w:tc>
          <w:tcPr>
            <w:tcW w:w="388" w:type="pct"/>
            <w:tcBorders>
              <w:top w:val="single" w:color="auto" w:sz="4" w:space="0"/>
              <w:left w:val="single" w:color="auto" w:sz="2" w:space="0"/>
              <w:bottom w:val="single" w:color="auto" w:sz="4" w:space="0"/>
              <w:right w:val="single" w:color="auto" w:sz="2" w:space="0"/>
            </w:tcBorders>
            <w:vAlign w:val="center"/>
          </w:tcPr>
          <w:p w14:paraId="0F906248">
            <w:pPr>
              <w:spacing w:line="400" w:lineRule="exact"/>
              <w:jc w:val="center"/>
              <w:rPr>
                <w:rFonts w:hint="eastAsia" w:ascii="宋体" w:hAnsi="宋体" w:eastAsia="宋体" w:cs="宋体"/>
                <w:szCs w:val="21"/>
                <w:lang w:eastAsia="zh-CN"/>
              </w:rPr>
            </w:pPr>
            <w:r>
              <w:rPr>
                <w:rFonts w:hint="eastAsia" w:ascii="宋体" w:hAnsi="宋体" w:cs="宋体"/>
                <w:szCs w:val="21"/>
                <w:lang w:eastAsia="zh-CN"/>
              </w:rPr>
              <w:t>分值</w:t>
            </w:r>
          </w:p>
        </w:tc>
      </w:tr>
      <w:tr w14:paraId="53FF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trPr>
        <w:tc>
          <w:tcPr>
            <w:tcW w:w="382" w:type="pct"/>
            <w:vMerge w:val="restart"/>
            <w:tcBorders>
              <w:top w:val="single" w:color="auto" w:sz="4" w:space="0"/>
              <w:left w:val="single" w:color="auto" w:sz="4" w:space="0"/>
              <w:right w:val="single" w:color="auto" w:sz="2" w:space="0"/>
            </w:tcBorders>
            <w:tcMar>
              <w:left w:w="28" w:type="dxa"/>
              <w:right w:w="28" w:type="dxa"/>
            </w:tcMar>
            <w:vAlign w:val="center"/>
          </w:tcPr>
          <w:p w14:paraId="7C80962F">
            <w:pPr>
              <w:spacing w:line="400" w:lineRule="exact"/>
              <w:jc w:val="center"/>
              <w:rPr>
                <w:rFonts w:ascii="宋体" w:hAnsi="宋体" w:cs="宋体"/>
                <w:szCs w:val="21"/>
              </w:rPr>
            </w:pPr>
            <w:r>
              <w:rPr>
                <w:rFonts w:hint="eastAsia" w:ascii="宋体" w:hAnsi="宋体" w:cs="宋体"/>
                <w:szCs w:val="21"/>
              </w:rPr>
              <w:t>技术商务分80分</w:t>
            </w:r>
          </w:p>
        </w:tc>
        <w:tc>
          <w:tcPr>
            <w:tcW w:w="4228" w:type="pct"/>
            <w:tcBorders>
              <w:top w:val="single" w:color="auto" w:sz="4" w:space="0"/>
              <w:left w:val="single" w:color="auto" w:sz="2" w:space="0"/>
              <w:bottom w:val="single" w:color="auto" w:sz="2" w:space="0"/>
              <w:right w:val="single" w:color="auto" w:sz="2" w:space="0"/>
            </w:tcBorders>
            <w:vAlign w:val="center"/>
          </w:tcPr>
          <w:p w14:paraId="7FE67173">
            <w:pPr>
              <w:tabs>
                <w:tab w:val="left" w:pos="317"/>
              </w:tabs>
              <w:spacing w:line="400" w:lineRule="exact"/>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.根据供应商提供的系统（数据库）综合性能进行综合评议（</w:t>
            </w:r>
            <w:r>
              <w:rPr>
                <w:rFonts w:hint="eastAsia" w:ascii="宋体" w:hAnsi="宋体" w:cs="宋体"/>
                <w:szCs w:val="21"/>
                <w:lang w:val="en-US" w:eastAsia="zh-CN"/>
              </w:rPr>
              <w:t>18</w:t>
            </w:r>
            <w:r>
              <w:rPr>
                <w:rFonts w:hint="eastAsia" w:ascii="宋体" w:hAnsi="宋体" w:cs="宋体"/>
                <w:szCs w:val="21"/>
              </w:rPr>
              <w:t>分）：</w:t>
            </w:r>
          </w:p>
          <w:p w14:paraId="5E2B0D2A">
            <w:pPr>
              <w:tabs>
                <w:tab w:val="left" w:pos="317"/>
              </w:tabs>
              <w:spacing w:line="40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.1根据供应商提供的系统（数据库）功能配置进行综合评议（</w:t>
            </w:r>
            <w:r>
              <w:rPr>
                <w:rFonts w:hint="eastAsia" w:ascii="宋体" w:hAnsi="宋体" w:cs="宋体"/>
                <w:szCs w:val="21"/>
                <w:lang w:val="en-US" w:eastAsia="zh-CN"/>
              </w:rPr>
              <w:t>6</w:t>
            </w:r>
            <w:r>
              <w:rPr>
                <w:rFonts w:hint="eastAsia" w:ascii="宋体" w:hAnsi="宋体" w:cs="宋体"/>
                <w:szCs w:val="21"/>
              </w:rPr>
              <w:t>分）：</w:t>
            </w:r>
          </w:p>
          <w:p w14:paraId="5CB7A2EB">
            <w:pPr>
              <w:tabs>
                <w:tab w:val="left" w:pos="317"/>
              </w:tabs>
              <w:spacing w:line="400" w:lineRule="exact"/>
              <w:rPr>
                <w:rFonts w:hint="eastAsia" w:ascii="宋体" w:hAnsi="宋体" w:cs="宋体"/>
                <w:szCs w:val="21"/>
                <w:lang w:val="en-US" w:eastAsia="zh-CN"/>
              </w:rPr>
            </w:pPr>
            <w:r>
              <w:rPr>
                <w:rFonts w:hint="eastAsia" w:ascii="宋体" w:hAnsi="宋体" w:cs="宋体"/>
                <w:szCs w:val="21"/>
                <w:lang w:val="en-US" w:eastAsia="zh-CN"/>
              </w:rPr>
              <w:t>系统（数据库）功能配置齐全、能充分满足招标需求、能够提供充足的数据信息的得6分；</w:t>
            </w:r>
          </w:p>
          <w:p w14:paraId="2FB7162C">
            <w:pPr>
              <w:tabs>
                <w:tab w:val="left" w:pos="317"/>
              </w:tabs>
              <w:spacing w:line="400" w:lineRule="exact"/>
              <w:rPr>
                <w:rFonts w:hint="eastAsia" w:ascii="宋体" w:hAnsi="宋体" w:cs="宋体"/>
                <w:szCs w:val="21"/>
                <w:lang w:val="en-US" w:eastAsia="zh-CN"/>
              </w:rPr>
            </w:pPr>
            <w:r>
              <w:rPr>
                <w:rFonts w:hint="eastAsia" w:ascii="宋体" w:hAnsi="宋体" w:cs="宋体"/>
                <w:szCs w:val="21"/>
                <w:lang w:val="en-US" w:eastAsia="zh-CN"/>
              </w:rPr>
              <w:t>系统（数据库）功能配置较齐全、能较充分满足招标需求、提供基本的数据信息的得4分；</w:t>
            </w:r>
          </w:p>
          <w:p w14:paraId="67113499">
            <w:pPr>
              <w:tabs>
                <w:tab w:val="left" w:pos="317"/>
              </w:tabs>
              <w:spacing w:line="400" w:lineRule="exact"/>
              <w:rPr>
                <w:rFonts w:hint="eastAsia" w:ascii="宋体" w:hAnsi="宋体" w:cs="宋体"/>
                <w:szCs w:val="21"/>
                <w:lang w:val="en-US" w:eastAsia="zh-CN"/>
              </w:rPr>
            </w:pPr>
            <w:r>
              <w:rPr>
                <w:rFonts w:hint="eastAsia" w:ascii="宋体" w:hAnsi="宋体" w:cs="宋体"/>
                <w:szCs w:val="21"/>
                <w:lang w:val="en-US" w:eastAsia="zh-CN"/>
              </w:rPr>
              <w:t>系统（数据库）功能配置存在缺陷、不能完全满足招标需求、升级更新缓慢的得2分；</w:t>
            </w:r>
          </w:p>
          <w:p w14:paraId="2BE0497E">
            <w:pPr>
              <w:tabs>
                <w:tab w:val="left" w:pos="317"/>
              </w:tabs>
              <w:spacing w:line="400" w:lineRule="exact"/>
              <w:rPr>
                <w:rFonts w:hint="eastAsia" w:ascii="宋体" w:hAnsi="宋体" w:cs="宋体"/>
                <w:szCs w:val="21"/>
                <w:lang w:val="en-US" w:eastAsia="zh-CN"/>
              </w:rPr>
            </w:pPr>
            <w:r>
              <w:rPr>
                <w:rFonts w:hint="eastAsia" w:ascii="宋体" w:hAnsi="宋体" w:cs="宋体"/>
                <w:szCs w:val="21"/>
                <w:lang w:val="en-US" w:eastAsia="zh-CN"/>
              </w:rPr>
              <w:t>未提供不得分。</w:t>
            </w:r>
          </w:p>
          <w:p w14:paraId="17DE915E">
            <w:pPr>
              <w:tabs>
                <w:tab w:val="left" w:pos="317"/>
              </w:tabs>
              <w:spacing w:line="40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.2根据供应商提供的系统（数据库）安全、适用性进行综合评议（</w:t>
            </w:r>
            <w:r>
              <w:rPr>
                <w:rFonts w:hint="eastAsia" w:ascii="宋体" w:hAnsi="宋体" w:cs="宋体"/>
                <w:szCs w:val="21"/>
                <w:lang w:val="en-US" w:eastAsia="zh-CN"/>
              </w:rPr>
              <w:t>6</w:t>
            </w:r>
            <w:r>
              <w:rPr>
                <w:rFonts w:hint="eastAsia" w:ascii="宋体" w:hAnsi="宋体" w:cs="宋体"/>
                <w:szCs w:val="21"/>
              </w:rPr>
              <w:t>分）：</w:t>
            </w:r>
          </w:p>
          <w:p w14:paraId="4D411631">
            <w:pPr>
              <w:tabs>
                <w:tab w:val="left" w:pos="317"/>
              </w:tabs>
              <w:spacing w:line="400" w:lineRule="exact"/>
              <w:rPr>
                <w:rFonts w:ascii="宋体" w:hAnsi="宋体" w:cs="宋体"/>
                <w:szCs w:val="21"/>
              </w:rPr>
            </w:pPr>
            <w:r>
              <w:rPr>
                <w:rFonts w:hint="eastAsia" w:ascii="宋体" w:hAnsi="宋体" w:cs="宋体"/>
                <w:szCs w:val="21"/>
              </w:rPr>
              <w:t>系统（数据库）独立、加密性强、安全性高、适用性强的得</w:t>
            </w:r>
            <w:r>
              <w:rPr>
                <w:rFonts w:hint="eastAsia" w:ascii="宋体" w:hAnsi="宋体" w:cs="宋体"/>
                <w:szCs w:val="21"/>
                <w:lang w:val="en-US" w:eastAsia="zh-CN"/>
              </w:rPr>
              <w:t>6</w:t>
            </w:r>
            <w:r>
              <w:rPr>
                <w:rFonts w:hint="eastAsia" w:ascii="宋体" w:hAnsi="宋体" w:cs="宋体"/>
                <w:szCs w:val="21"/>
              </w:rPr>
              <w:t>分；</w:t>
            </w:r>
          </w:p>
          <w:p w14:paraId="1A64AF2D">
            <w:pPr>
              <w:tabs>
                <w:tab w:val="left" w:pos="317"/>
              </w:tabs>
              <w:spacing w:line="400" w:lineRule="exact"/>
              <w:rPr>
                <w:rFonts w:ascii="宋体" w:hAnsi="宋体" w:cs="宋体"/>
                <w:szCs w:val="21"/>
              </w:rPr>
            </w:pPr>
            <w:r>
              <w:rPr>
                <w:rFonts w:hint="eastAsia" w:ascii="宋体" w:hAnsi="宋体" w:cs="宋体"/>
                <w:szCs w:val="21"/>
              </w:rPr>
              <w:t>系统（数据库）较独立、加密性较强、安全性较高、适用性较强的得</w:t>
            </w:r>
            <w:r>
              <w:rPr>
                <w:rFonts w:hint="eastAsia" w:ascii="宋体" w:hAnsi="宋体" w:cs="宋体"/>
                <w:szCs w:val="21"/>
                <w:lang w:val="en-US" w:eastAsia="zh-CN"/>
              </w:rPr>
              <w:t>4</w:t>
            </w:r>
            <w:r>
              <w:rPr>
                <w:rFonts w:hint="eastAsia" w:ascii="宋体" w:hAnsi="宋体" w:cs="宋体"/>
                <w:szCs w:val="21"/>
              </w:rPr>
              <w:t>分；</w:t>
            </w:r>
          </w:p>
          <w:p w14:paraId="62E9AE3F">
            <w:pPr>
              <w:tabs>
                <w:tab w:val="left" w:pos="317"/>
              </w:tabs>
              <w:spacing w:line="400" w:lineRule="exact"/>
              <w:rPr>
                <w:rFonts w:ascii="宋体" w:hAnsi="宋体" w:cs="宋体"/>
                <w:szCs w:val="21"/>
              </w:rPr>
            </w:pPr>
            <w:r>
              <w:rPr>
                <w:rFonts w:hint="eastAsia" w:ascii="宋体" w:hAnsi="宋体" w:cs="宋体"/>
                <w:szCs w:val="21"/>
              </w:rPr>
              <w:t>系统（数据库）不独立、加密性不足、安全性不足、适用性差的得</w:t>
            </w:r>
            <w:r>
              <w:rPr>
                <w:rFonts w:hint="eastAsia" w:ascii="宋体" w:hAnsi="宋体" w:cs="宋体"/>
                <w:szCs w:val="21"/>
                <w:lang w:val="en-US" w:eastAsia="zh-CN"/>
              </w:rPr>
              <w:t>2</w:t>
            </w:r>
            <w:r>
              <w:rPr>
                <w:rFonts w:hint="eastAsia" w:ascii="宋体" w:hAnsi="宋体" w:cs="宋体"/>
                <w:szCs w:val="21"/>
              </w:rPr>
              <w:t>分；</w:t>
            </w:r>
          </w:p>
          <w:p w14:paraId="43F058B9">
            <w:pPr>
              <w:tabs>
                <w:tab w:val="left" w:pos="317"/>
              </w:tabs>
              <w:spacing w:line="400" w:lineRule="exact"/>
              <w:rPr>
                <w:rFonts w:ascii="宋体" w:hAnsi="宋体" w:cs="宋体"/>
                <w:szCs w:val="21"/>
              </w:rPr>
            </w:pPr>
            <w:r>
              <w:rPr>
                <w:rFonts w:hint="eastAsia" w:ascii="宋体" w:hAnsi="宋体" w:cs="宋体"/>
                <w:szCs w:val="21"/>
              </w:rPr>
              <w:t>未提供不得分。</w:t>
            </w:r>
          </w:p>
          <w:p w14:paraId="42F09775">
            <w:pPr>
              <w:tabs>
                <w:tab w:val="left" w:pos="317"/>
              </w:tabs>
              <w:spacing w:line="400" w:lineRule="exac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.3根据供应商提供的系统（数据库）资源涵盖率进行综合评议（</w:t>
            </w:r>
            <w:r>
              <w:rPr>
                <w:rFonts w:hint="eastAsia" w:ascii="宋体" w:hAnsi="宋体" w:cs="宋体"/>
                <w:szCs w:val="21"/>
                <w:lang w:val="en-US" w:eastAsia="zh-CN"/>
              </w:rPr>
              <w:t>6</w:t>
            </w:r>
            <w:r>
              <w:rPr>
                <w:rFonts w:hint="eastAsia" w:ascii="宋体" w:hAnsi="宋体" w:cs="宋体"/>
                <w:szCs w:val="21"/>
              </w:rPr>
              <w:t>分）：</w:t>
            </w:r>
          </w:p>
          <w:p w14:paraId="50D36DE5">
            <w:pPr>
              <w:tabs>
                <w:tab w:val="left" w:pos="317"/>
              </w:tabs>
              <w:spacing w:line="400" w:lineRule="exact"/>
              <w:rPr>
                <w:rFonts w:ascii="宋体" w:hAnsi="宋体" w:cs="宋体"/>
                <w:szCs w:val="21"/>
              </w:rPr>
            </w:pPr>
            <w:r>
              <w:rPr>
                <w:rFonts w:hint="eastAsia" w:ascii="宋体" w:hAnsi="宋体" w:cs="宋体"/>
                <w:szCs w:val="21"/>
              </w:rPr>
              <w:t>系统（数据库）资源丰富、涵盖范围广的得</w:t>
            </w:r>
            <w:r>
              <w:rPr>
                <w:rFonts w:hint="eastAsia" w:ascii="宋体" w:hAnsi="宋体" w:cs="宋体"/>
                <w:szCs w:val="21"/>
                <w:lang w:val="en-US" w:eastAsia="zh-CN"/>
              </w:rPr>
              <w:t>6</w:t>
            </w:r>
            <w:r>
              <w:rPr>
                <w:rFonts w:hint="eastAsia" w:ascii="宋体" w:hAnsi="宋体" w:cs="宋体"/>
                <w:szCs w:val="21"/>
              </w:rPr>
              <w:t>分；</w:t>
            </w:r>
          </w:p>
          <w:p w14:paraId="102DFD71">
            <w:pPr>
              <w:tabs>
                <w:tab w:val="left" w:pos="317"/>
              </w:tabs>
              <w:spacing w:line="400" w:lineRule="exact"/>
              <w:rPr>
                <w:rFonts w:ascii="宋体" w:hAnsi="宋体" w:cs="宋体"/>
                <w:szCs w:val="21"/>
              </w:rPr>
            </w:pPr>
            <w:r>
              <w:rPr>
                <w:rFonts w:hint="eastAsia" w:ascii="宋体" w:hAnsi="宋体" w:cs="宋体"/>
                <w:szCs w:val="21"/>
              </w:rPr>
              <w:t>系统（数据库）资源较丰富、涵盖范围较广的得</w:t>
            </w:r>
            <w:r>
              <w:rPr>
                <w:rFonts w:hint="eastAsia" w:ascii="宋体" w:hAnsi="宋体" w:cs="宋体"/>
                <w:szCs w:val="21"/>
                <w:lang w:val="en-US" w:eastAsia="zh-CN"/>
              </w:rPr>
              <w:t>4</w:t>
            </w:r>
            <w:r>
              <w:rPr>
                <w:rFonts w:hint="eastAsia" w:ascii="宋体" w:hAnsi="宋体" w:cs="宋体"/>
                <w:szCs w:val="21"/>
              </w:rPr>
              <w:t>分；</w:t>
            </w:r>
          </w:p>
          <w:p w14:paraId="5EC42412">
            <w:pPr>
              <w:tabs>
                <w:tab w:val="left" w:pos="317"/>
              </w:tabs>
              <w:spacing w:line="400" w:lineRule="exact"/>
              <w:rPr>
                <w:rFonts w:ascii="宋体" w:hAnsi="宋体" w:cs="宋体"/>
                <w:szCs w:val="21"/>
              </w:rPr>
            </w:pPr>
            <w:r>
              <w:rPr>
                <w:rFonts w:hint="eastAsia" w:ascii="宋体" w:hAnsi="宋体" w:cs="宋体"/>
                <w:szCs w:val="21"/>
              </w:rPr>
              <w:t>系统（数据库）资源匮乏、涵盖范围较窄的得</w:t>
            </w:r>
            <w:r>
              <w:rPr>
                <w:rFonts w:hint="eastAsia" w:ascii="宋体" w:hAnsi="宋体" w:cs="宋体"/>
                <w:szCs w:val="21"/>
                <w:lang w:val="en-US" w:eastAsia="zh-CN"/>
              </w:rPr>
              <w:t>2</w:t>
            </w:r>
            <w:r>
              <w:rPr>
                <w:rFonts w:hint="eastAsia" w:ascii="宋体" w:hAnsi="宋体" w:cs="宋体"/>
                <w:szCs w:val="21"/>
              </w:rPr>
              <w:t>分；</w:t>
            </w:r>
          </w:p>
          <w:p w14:paraId="56E7C7CC">
            <w:pPr>
              <w:tabs>
                <w:tab w:val="left" w:pos="317"/>
              </w:tabs>
              <w:spacing w:line="400" w:lineRule="exact"/>
              <w:jc w:val="left"/>
              <w:rPr>
                <w:rFonts w:ascii="宋体" w:hAnsi="宋体" w:cs="宋体"/>
                <w:szCs w:val="21"/>
              </w:rPr>
            </w:pPr>
            <w:r>
              <w:rPr>
                <w:rFonts w:hint="eastAsia" w:ascii="宋体" w:hAnsi="宋体" w:cs="宋体"/>
                <w:szCs w:val="21"/>
              </w:rPr>
              <w:t>未提供不得分。</w:t>
            </w:r>
          </w:p>
        </w:tc>
        <w:tc>
          <w:tcPr>
            <w:tcW w:w="388" w:type="pct"/>
            <w:tcBorders>
              <w:top w:val="single" w:color="auto" w:sz="4" w:space="0"/>
              <w:left w:val="single" w:color="auto" w:sz="2" w:space="0"/>
              <w:bottom w:val="single" w:color="auto" w:sz="2" w:space="0"/>
              <w:right w:val="single" w:color="auto" w:sz="2" w:space="0"/>
            </w:tcBorders>
            <w:vAlign w:val="center"/>
          </w:tcPr>
          <w:p w14:paraId="7C75EAD4">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r>
      <w:tr w14:paraId="19E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2DB50D8E">
            <w:pPr>
              <w:spacing w:line="400" w:lineRule="exact"/>
              <w:jc w:val="center"/>
              <w:rPr>
                <w:rFonts w:ascii="宋体" w:hAnsi="宋体" w:cs="宋体"/>
                <w:szCs w:val="21"/>
              </w:rPr>
            </w:pPr>
          </w:p>
        </w:tc>
        <w:tc>
          <w:tcPr>
            <w:tcW w:w="4228" w:type="pct"/>
            <w:tcBorders>
              <w:top w:val="single" w:color="auto" w:sz="4" w:space="0"/>
              <w:left w:val="single" w:color="auto" w:sz="2" w:space="0"/>
              <w:bottom w:val="single" w:color="auto" w:sz="2" w:space="0"/>
              <w:right w:val="single" w:color="auto" w:sz="2" w:space="0"/>
            </w:tcBorders>
            <w:vAlign w:val="center"/>
          </w:tcPr>
          <w:p w14:paraId="03214081">
            <w:pPr>
              <w:tabs>
                <w:tab w:val="left" w:pos="317"/>
              </w:tabs>
              <w:spacing w:line="400" w:lineRule="exact"/>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.根据供应商提供的质量保证措施进行综合评议（</w:t>
            </w:r>
            <w:r>
              <w:rPr>
                <w:rFonts w:hint="eastAsia" w:ascii="宋体" w:hAnsi="宋体" w:cs="宋体"/>
                <w:szCs w:val="21"/>
                <w:lang w:val="en-US" w:eastAsia="zh-CN"/>
              </w:rPr>
              <w:t>6</w:t>
            </w:r>
            <w:r>
              <w:rPr>
                <w:rFonts w:hint="eastAsia" w:ascii="宋体" w:hAnsi="宋体" w:cs="宋体"/>
                <w:szCs w:val="21"/>
              </w:rPr>
              <w:t>分）：</w:t>
            </w:r>
          </w:p>
          <w:p w14:paraId="6FB84487">
            <w:pPr>
              <w:tabs>
                <w:tab w:val="left" w:pos="317"/>
              </w:tabs>
              <w:spacing w:line="400" w:lineRule="exact"/>
              <w:rPr>
                <w:rFonts w:ascii="宋体" w:hAnsi="宋体" w:cs="宋体"/>
                <w:szCs w:val="21"/>
              </w:rPr>
            </w:pPr>
            <w:r>
              <w:rPr>
                <w:rFonts w:hint="eastAsia" w:ascii="宋体" w:hAnsi="宋体" w:cs="宋体"/>
                <w:szCs w:val="21"/>
              </w:rPr>
              <w:t>质量保证措施完善，收集、整理、服务的数字资源监控管理到位，准确性高的得</w:t>
            </w:r>
            <w:r>
              <w:rPr>
                <w:rFonts w:hint="eastAsia" w:ascii="宋体" w:hAnsi="宋体" w:cs="宋体"/>
                <w:szCs w:val="21"/>
                <w:lang w:val="en-US" w:eastAsia="zh-CN"/>
              </w:rPr>
              <w:t>6</w:t>
            </w:r>
            <w:r>
              <w:rPr>
                <w:rFonts w:hint="eastAsia" w:ascii="宋体" w:hAnsi="宋体" w:cs="宋体"/>
                <w:szCs w:val="21"/>
              </w:rPr>
              <w:t>分；</w:t>
            </w:r>
          </w:p>
          <w:p w14:paraId="3A8C463F">
            <w:pPr>
              <w:tabs>
                <w:tab w:val="left" w:pos="317"/>
              </w:tabs>
              <w:spacing w:line="400" w:lineRule="exact"/>
              <w:rPr>
                <w:rFonts w:ascii="宋体" w:hAnsi="宋体" w:cs="宋体"/>
                <w:szCs w:val="21"/>
              </w:rPr>
            </w:pPr>
            <w:r>
              <w:rPr>
                <w:rFonts w:hint="eastAsia" w:ascii="宋体" w:hAnsi="宋体" w:cs="宋体"/>
                <w:szCs w:val="21"/>
              </w:rPr>
              <w:t>质量保证措施较完善，收集、整理、服务的数字资源监控管理较到位，准确性较高的得</w:t>
            </w:r>
            <w:r>
              <w:rPr>
                <w:rFonts w:hint="eastAsia" w:ascii="宋体" w:hAnsi="宋体" w:cs="宋体"/>
                <w:szCs w:val="21"/>
                <w:lang w:val="en-US" w:eastAsia="zh-CN"/>
              </w:rPr>
              <w:t>4</w:t>
            </w:r>
            <w:r>
              <w:rPr>
                <w:rFonts w:hint="eastAsia" w:ascii="宋体" w:hAnsi="宋体" w:cs="宋体"/>
                <w:szCs w:val="21"/>
              </w:rPr>
              <w:t>分；</w:t>
            </w:r>
          </w:p>
          <w:p w14:paraId="30B738F0">
            <w:pPr>
              <w:tabs>
                <w:tab w:val="left" w:pos="317"/>
              </w:tabs>
              <w:spacing w:line="400" w:lineRule="exact"/>
              <w:rPr>
                <w:rFonts w:ascii="宋体" w:hAnsi="宋体" w:cs="宋体"/>
                <w:szCs w:val="21"/>
              </w:rPr>
            </w:pPr>
            <w:r>
              <w:rPr>
                <w:rFonts w:hint="eastAsia" w:ascii="宋体" w:hAnsi="宋体" w:cs="宋体"/>
                <w:szCs w:val="21"/>
              </w:rPr>
              <w:t>质量保证措施不够完善，收集、整理、服务的数字资源监控管理不够到位，准确性不足的得</w:t>
            </w:r>
            <w:r>
              <w:rPr>
                <w:rFonts w:hint="eastAsia" w:ascii="宋体" w:hAnsi="宋体" w:cs="宋体"/>
                <w:szCs w:val="21"/>
                <w:lang w:val="en-US" w:eastAsia="zh-CN"/>
              </w:rPr>
              <w:t>2</w:t>
            </w:r>
            <w:r>
              <w:rPr>
                <w:rFonts w:hint="eastAsia" w:ascii="宋体" w:hAnsi="宋体" w:cs="宋体"/>
                <w:szCs w:val="21"/>
              </w:rPr>
              <w:t>分；</w:t>
            </w:r>
          </w:p>
          <w:p w14:paraId="6651A558">
            <w:pPr>
              <w:tabs>
                <w:tab w:val="left" w:pos="317"/>
              </w:tabs>
              <w:spacing w:line="400" w:lineRule="exact"/>
              <w:rPr>
                <w:rFonts w:ascii="宋体" w:hAnsi="宋体" w:cs="宋体"/>
              </w:rPr>
            </w:pPr>
            <w:r>
              <w:rPr>
                <w:rFonts w:hint="eastAsia" w:ascii="宋体" w:hAnsi="宋体" w:cs="宋体"/>
                <w:szCs w:val="21"/>
              </w:rPr>
              <w:t>未提供不得分。</w:t>
            </w:r>
          </w:p>
        </w:tc>
        <w:tc>
          <w:tcPr>
            <w:tcW w:w="388" w:type="pct"/>
            <w:tcBorders>
              <w:top w:val="single" w:color="auto" w:sz="4" w:space="0"/>
              <w:left w:val="single" w:color="auto" w:sz="2" w:space="0"/>
              <w:bottom w:val="single" w:color="auto" w:sz="2" w:space="0"/>
              <w:right w:val="single" w:color="auto" w:sz="2" w:space="0"/>
            </w:tcBorders>
            <w:vAlign w:val="center"/>
          </w:tcPr>
          <w:p w14:paraId="3E384186">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14:paraId="144E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740C7159">
            <w:pPr>
              <w:spacing w:line="400" w:lineRule="exact"/>
              <w:jc w:val="center"/>
              <w:rPr>
                <w:rFonts w:ascii="宋体" w:hAnsi="宋体" w:cs="宋体"/>
                <w:szCs w:val="21"/>
              </w:rPr>
            </w:pPr>
          </w:p>
        </w:tc>
        <w:tc>
          <w:tcPr>
            <w:tcW w:w="4228" w:type="pct"/>
            <w:tcBorders>
              <w:top w:val="single" w:color="auto" w:sz="4" w:space="0"/>
              <w:left w:val="single" w:color="auto" w:sz="2" w:space="0"/>
              <w:bottom w:val="single" w:color="auto" w:sz="2" w:space="0"/>
              <w:right w:val="single" w:color="auto" w:sz="2" w:space="0"/>
            </w:tcBorders>
            <w:vAlign w:val="center"/>
          </w:tcPr>
          <w:p w14:paraId="786E59B9">
            <w:pPr>
              <w:tabs>
                <w:tab w:val="left" w:pos="317"/>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.根据供应商提供的工作进度安排进行综合评议（</w:t>
            </w:r>
            <w:r>
              <w:rPr>
                <w:rFonts w:hint="eastAsia" w:ascii="宋体" w:hAnsi="宋体" w:cs="宋体"/>
                <w:szCs w:val="21"/>
                <w:highlight w:val="none"/>
                <w:lang w:val="en-US" w:eastAsia="zh-CN"/>
              </w:rPr>
              <w:t>6</w:t>
            </w:r>
            <w:r>
              <w:rPr>
                <w:rFonts w:hint="eastAsia" w:ascii="宋体" w:hAnsi="宋体" w:cs="宋体"/>
                <w:szCs w:val="21"/>
                <w:highlight w:val="none"/>
              </w:rPr>
              <w:t>分）：</w:t>
            </w:r>
          </w:p>
          <w:p w14:paraId="4F2775BF">
            <w:pPr>
              <w:tabs>
                <w:tab w:val="left" w:pos="317"/>
              </w:tabs>
              <w:spacing w:line="400" w:lineRule="exact"/>
              <w:rPr>
                <w:rFonts w:ascii="宋体" w:hAnsi="宋体" w:cs="宋体"/>
                <w:szCs w:val="21"/>
                <w:highlight w:val="none"/>
              </w:rPr>
            </w:pPr>
            <w:r>
              <w:rPr>
                <w:rFonts w:hint="eastAsia" w:ascii="宋体" w:hAnsi="宋体" w:cs="宋体"/>
                <w:szCs w:val="21"/>
                <w:highlight w:val="none"/>
              </w:rPr>
              <w:t>工作进度安排完善、合理高效、具有充分可靠的进度保障的得</w:t>
            </w:r>
            <w:r>
              <w:rPr>
                <w:rFonts w:hint="eastAsia" w:ascii="宋体" w:hAnsi="宋体" w:cs="宋体"/>
                <w:szCs w:val="21"/>
                <w:highlight w:val="none"/>
                <w:lang w:val="en-US" w:eastAsia="zh-CN"/>
              </w:rPr>
              <w:t>6</w:t>
            </w:r>
            <w:r>
              <w:rPr>
                <w:rFonts w:hint="eastAsia" w:ascii="宋体" w:hAnsi="宋体" w:cs="宋体"/>
                <w:szCs w:val="21"/>
                <w:highlight w:val="none"/>
              </w:rPr>
              <w:t>分；</w:t>
            </w:r>
          </w:p>
          <w:p w14:paraId="65BD0607">
            <w:pPr>
              <w:tabs>
                <w:tab w:val="left" w:pos="317"/>
              </w:tabs>
              <w:spacing w:line="400" w:lineRule="exact"/>
              <w:rPr>
                <w:rFonts w:ascii="宋体" w:hAnsi="宋体" w:cs="宋体"/>
                <w:szCs w:val="21"/>
                <w:highlight w:val="none"/>
              </w:rPr>
            </w:pPr>
            <w:r>
              <w:rPr>
                <w:rFonts w:hint="eastAsia" w:ascii="宋体" w:hAnsi="宋体" w:cs="宋体"/>
                <w:szCs w:val="21"/>
                <w:highlight w:val="none"/>
              </w:rPr>
              <w:t>工作进度安排较完善、较合理高效、具有较可靠的进度保障的得</w:t>
            </w:r>
            <w:r>
              <w:rPr>
                <w:rFonts w:hint="eastAsia" w:ascii="宋体" w:hAnsi="宋体" w:cs="宋体"/>
                <w:szCs w:val="21"/>
                <w:highlight w:val="none"/>
                <w:lang w:val="en-US" w:eastAsia="zh-CN"/>
              </w:rPr>
              <w:t>4</w:t>
            </w:r>
            <w:r>
              <w:rPr>
                <w:rFonts w:hint="eastAsia" w:ascii="宋体" w:hAnsi="宋体" w:cs="宋体"/>
                <w:szCs w:val="21"/>
                <w:highlight w:val="none"/>
              </w:rPr>
              <w:t>分；</w:t>
            </w:r>
          </w:p>
          <w:p w14:paraId="4FCCC056">
            <w:pPr>
              <w:tabs>
                <w:tab w:val="left" w:pos="317"/>
              </w:tabs>
              <w:spacing w:line="400" w:lineRule="exact"/>
              <w:rPr>
                <w:rFonts w:ascii="宋体" w:hAnsi="宋体" w:cs="宋体"/>
                <w:szCs w:val="21"/>
                <w:highlight w:val="none"/>
              </w:rPr>
            </w:pPr>
            <w:r>
              <w:rPr>
                <w:rFonts w:hint="eastAsia" w:ascii="宋体" w:hAnsi="宋体" w:cs="宋体"/>
                <w:szCs w:val="21"/>
                <w:highlight w:val="none"/>
              </w:rPr>
              <w:t>工作进度安排不够完善、不够高效、不具备可靠的进度保障的得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19E65C91">
            <w:pPr>
              <w:tabs>
                <w:tab w:val="left" w:pos="317"/>
              </w:tabs>
              <w:spacing w:line="400" w:lineRule="exact"/>
              <w:rPr>
                <w:rFonts w:ascii="宋体" w:hAnsi="宋体" w:cs="宋体"/>
                <w:highlight w:val="none"/>
              </w:rPr>
            </w:pPr>
            <w:r>
              <w:rPr>
                <w:rFonts w:hint="eastAsia" w:ascii="宋体" w:hAnsi="宋体" w:cs="宋体"/>
                <w:szCs w:val="21"/>
                <w:highlight w:val="none"/>
              </w:rPr>
              <w:t>未提供不得分。</w:t>
            </w:r>
          </w:p>
        </w:tc>
        <w:tc>
          <w:tcPr>
            <w:tcW w:w="388" w:type="pct"/>
            <w:tcBorders>
              <w:top w:val="single" w:color="auto" w:sz="4" w:space="0"/>
              <w:left w:val="single" w:color="auto" w:sz="2" w:space="0"/>
              <w:bottom w:val="single" w:color="auto" w:sz="2" w:space="0"/>
              <w:right w:val="single" w:color="auto" w:sz="2" w:space="0"/>
            </w:tcBorders>
            <w:vAlign w:val="center"/>
          </w:tcPr>
          <w:p w14:paraId="1A8A2B67">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r>
      <w:tr w14:paraId="652F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16047594">
            <w:pPr>
              <w:spacing w:line="400" w:lineRule="exact"/>
              <w:jc w:val="center"/>
              <w:rPr>
                <w:rFonts w:ascii="宋体" w:hAnsi="宋体" w:cs="宋体"/>
                <w:szCs w:val="21"/>
              </w:rPr>
            </w:pPr>
          </w:p>
        </w:tc>
        <w:tc>
          <w:tcPr>
            <w:tcW w:w="4228" w:type="pct"/>
            <w:tcBorders>
              <w:top w:val="single" w:color="auto" w:sz="4" w:space="0"/>
              <w:left w:val="single" w:color="auto" w:sz="2" w:space="0"/>
              <w:bottom w:val="single" w:color="auto" w:sz="2" w:space="0"/>
              <w:right w:val="single" w:color="auto" w:sz="2" w:space="0"/>
            </w:tcBorders>
            <w:vAlign w:val="center"/>
          </w:tcPr>
          <w:p w14:paraId="060EA31C">
            <w:pPr>
              <w:tabs>
                <w:tab w:val="left" w:pos="317"/>
              </w:tabs>
              <w:spacing w:line="400" w:lineRule="exact"/>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.根据供应商拟投入本项目人员配备进行综合评议（</w:t>
            </w:r>
            <w:r>
              <w:rPr>
                <w:rFonts w:hint="eastAsia" w:ascii="宋体" w:hAnsi="宋体" w:cs="宋体"/>
                <w:szCs w:val="21"/>
                <w:lang w:val="en-US" w:eastAsia="zh-CN"/>
              </w:rPr>
              <w:t>6</w:t>
            </w:r>
            <w:r>
              <w:rPr>
                <w:rFonts w:hint="eastAsia" w:ascii="宋体" w:hAnsi="宋体" w:cs="宋体"/>
                <w:szCs w:val="21"/>
              </w:rPr>
              <w:t>分）：</w:t>
            </w:r>
          </w:p>
          <w:p w14:paraId="229ACB89">
            <w:pPr>
              <w:tabs>
                <w:tab w:val="left" w:pos="180"/>
              </w:tabs>
              <w:spacing w:line="400" w:lineRule="exact"/>
              <w:jc w:val="left"/>
              <w:rPr>
                <w:rFonts w:ascii="宋体" w:hAnsi="宋体" w:cs="宋体"/>
                <w:szCs w:val="21"/>
              </w:rPr>
            </w:pPr>
            <w:r>
              <w:rPr>
                <w:rFonts w:hint="eastAsia" w:ascii="宋体" w:hAnsi="宋体" w:cs="宋体"/>
                <w:szCs w:val="21"/>
              </w:rPr>
              <w:t>拟投入人员配备充足、专业性强、</w:t>
            </w:r>
            <w:r>
              <w:rPr>
                <w:rFonts w:hint="eastAsia" w:ascii="宋体" w:hAnsi="宋体" w:cs="宋体"/>
                <w:szCs w:val="21"/>
                <w:lang w:eastAsia="zh-CN"/>
              </w:rPr>
              <w:t>平均从事本项目相关行业经验达三年及以上</w:t>
            </w:r>
            <w:r>
              <w:rPr>
                <w:rFonts w:hint="eastAsia" w:ascii="宋体" w:hAnsi="宋体" w:cs="宋体"/>
                <w:szCs w:val="21"/>
              </w:rPr>
              <w:t>的得</w:t>
            </w:r>
            <w:r>
              <w:rPr>
                <w:rFonts w:hint="eastAsia" w:ascii="宋体" w:hAnsi="宋体" w:cs="宋体"/>
                <w:szCs w:val="21"/>
                <w:lang w:val="en-US" w:eastAsia="zh-CN"/>
              </w:rPr>
              <w:t>6</w:t>
            </w:r>
            <w:r>
              <w:rPr>
                <w:rFonts w:hint="eastAsia" w:ascii="宋体" w:hAnsi="宋体" w:cs="宋体"/>
                <w:szCs w:val="21"/>
              </w:rPr>
              <w:t>分；</w:t>
            </w:r>
          </w:p>
          <w:p w14:paraId="130C46DA">
            <w:pPr>
              <w:tabs>
                <w:tab w:val="left" w:pos="180"/>
              </w:tabs>
              <w:spacing w:line="400" w:lineRule="exact"/>
              <w:jc w:val="left"/>
              <w:rPr>
                <w:rFonts w:ascii="宋体" w:hAnsi="宋体" w:cs="宋体"/>
                <w:szCs w:val="21"/>
              </w:rPr>
            </w:pPr>
            <w:r>
              <w:rPr>
                <w:rFonts w:hint="eastAsia" w:ascii="宋体" w:hAnsi="宋体" w:cs="宋体"/>
                <w:szCs w:val="21"/>
              </w:rPr>
              <w:t>拟投入人员配备较充足、专业性较强、平均从事本项目</w:t>
            </w:r>
            <w:r>
              <w:rPr>
                <w:rFonts w:hint="eastAsia" w:ascii="宋体" w:hAnsi="宋体" w:cs="宋体"/>
                <w:szCs w:val="21"/>
                <w:lang w:eastAsia="zh-CN"/>
              </w:rPr>
              <w:t>相关</w:t>
            </w:r>
            <w:r>
              <w:rPr>
                <w:rFonts w:hint="eastAsia" w:ascii="宋体" w:hAnsi="宋体" w:cs="宋体"/>
                <w:szCs w:val="21"/>
              </w:rPr>
              <w:t>行业经验达</w:t>
            </w:r>
            <w:r>
              <w:rPr>
                <w:rFonts w:hint="eastAsia" w:ascii="宋体" w:hAnsi="宋体" w:cs="宋体"/>
                <w:szCs w:val="21"/>
                <w:lang w:eastAsia="zh-CN"/>
              </w:rPr>
              <w:t>两</w:t>
            </w:r>
            <w:r>
              <w:rPr>
                <w:rFonts w:hint="eastAsia" w:ascii="宋体" w:hAnsi="宋体" w:cs="宋体"/>
                <w:szCs w:val="21"/>
              </w:rPr>
              <w:t>年及以上的得</w:t>
            </w:r>
            <w:r>
              <w:rPr>
                <w:rFonts w:hint="eastAsia" w:ascii="宋体" w:hAnsi="宋体" w:cs="宋体"/>
                <w:szCs w:val="21"/>
                <w:lang w:val="en-US" w:eastAsia="zh-CN"/>
              </w:rPr>
              <w:t>4</w:t>
            </w:r>
            <w:r>
              <w:rPr>
                <w:rFonts w:hint="eastAsia" w:ascii="宋体" w:hAnsi="宋体" w:cs="宋体"/>
                <w:szCs w:val="21"/>
              </w:rPr>
              <w:t>分；</w:t>
            </w:r>
          </w:p>
          <w:p w14:paraId="44A3E852">
            <w:pPr>
              <w:tabs>
                <w:tab w:val="left" w:pos="180"/>
              </w:tabs>
              <w:spacing w:line="400" w:lineRule="exact"/>
              <w:jc w:val="left"/>
              <w:rPr>
                <w:rFonts w:ascii="宋体" w:hAnsi="宋体" w:cs="宋体"/>
                <w:szCs w:val="21"/>
              </w:rPr>
            </w:pPr>
            <w:r>
              <w:rPr>
                <w:rFonts w:hint="eastAsia" w:ascii="宋体" w:hAnsi="宋体" w:cs="宋体"/>
                <w:szCs w:val="21"/>
              </w:rPr>
              <w:t>拟投入人员配备不足、缺乏专业性、平均从事本项目</w:t>
            </w:r>
            <w:r>
              <w:rPr>
                <w:rFonts w:hint="eastAsia" w:ascii="宋体" w:hAnsi="宋体" w:cs="宋体"/>
                <w:szCs w:val="21"/>
                <w:lang w:eastAsia="zh-CN"/>
              </w:rPr>
              <w:t>相关</w:t>
            </w:r>
            <w:r>
              <w:rPr>
                <w:rFonts w:hint="eastAsia" w:ascii="宋体" w:hAnsi="宋体" w:cs="宋体"/>
                <w:szCs w:val="21"/>
              </w:rPr>
              <w:t>行业经验</w:t>
            </w:r>
            <w:r>
              <w:rPr>
                <w:rFonts w:hint="eastAsia" w:ascii="宋体" w:hAnsi="宋体" w:cs="宋体"/>
                <w:szCs w:val="21"/>
                <w:lang w:eastAsia="zh-CN"/>
              </w:rPr>
              <w:t>不足两年</w:t>
            </w:r>
            <w:r>
              <w:rPr>
                <w:rFonts w:hint="eastAsia" w:ascii="宋体" w:hAnsi="宋体" w:cs="宋体"/>
                <w:szCs w:val="21"/>
              </w:rPr>
              <w:t>的得</w:t>
            </w:r>
            <w:r>
              <w:rPr>
                <w:rFonts w:hint="eastAsia" w:ascii="宋体" w:hAnsi="宋体" w:cs="宋体"/>
                <w:szCs w:val="21"/>
                <w:lang w:val="en-US" w:eastAsia="zh-CN"/>
              </w:rPr>
              <w:t>2</w:t>
            </w:r>
            <w:r>
              <w:rPr>
                <w:rFonts w:hint="eastAsia" w:ascii="宋体" w:hAnsi="宋体" w:cs="宋体"/>
                <w:szCs w:val="21"/>
              </w:rPr>
              <w:t>分；</w:t>
            </w:r>
          </w:p>
          <w:p w14:paraId="01D37094">
            <w:pPr>
              <w:tabs>
                <w:tab w:val="left" w:pos="180"/>
              </w:tabs>
              <w:spacing w:line="400" w:lineRule="exact"/>
              <w:jc w:val="left"/>
              <w:rPr>
                <w:rFonts w:ascii="宋体" w:hAnsi="宋体" w:cs="宋体"/>
                <w:szCs w:val="21"/>
              </w:rPr>
            </w:pPr>
            <w:r>
              <w:rPr>
                <w:rFonts w:hint="eastAsia" w:ascii="宋体" w:hAnsi="宋体" w:cs="宋体"/>
                <w:szCs w:val="21"/>
              </w:rPr>
              <w:t>未提供不得分。</w:t>
            </w:r>
          </w:p>
          <w:p w14:paraId="1687C54A">
            <w:pPr>
              <w:tabs>
                <w:tab w:val="left" w:pos="180"/>
              </w:tabs>
              <w:spacing w:line="400" w:lineRule="exact"/>
              <w:jc w:val="left"/>
              <w:rPr>
                <w:rFonts w:ascii="宋体" w:hAnsi="宋体" w:cs="宋体"/>
                <w:szCs w:val="21"/>
              </w:rPr>
            </w:pPr>
            <w:r>
              <w:rPr>
                <w:rFonts w:hint="eastAsia" w:ascii="宋体" w:hAnsi="宋体" w:cs="宋体"/>
                <w:b/>
                <w:bCs/>
                <w:szCs w:val="21"/>
              </w:rPr>
              <w:t>注：投标文件中提供拟投入本项目人员资历及经验证明等材料以及供应商单位为其缴纳的</w:t>
            </w:r>
            <w:r>
              <w:rPr>
                <w:rFonts w:hint="eastAsia" w:ascii="宋体" w:hAnsi="宋体" w:cs="宋体"/>
                <w:b/>
                <w:bCs/>
                <w:szCs w:val="21"/>
                <w:lang w:eastAsia="zh-CN"/>
              </w:rPr>
              <w:t>距</w:t>
            </w:r>
            <w:r>
              <w:rPr>
                <w:rFonts w:hint="eastAsia" w:ascii="宋体" w:hAnsi="宋体" w:cs="宋体"/>
                <w:b/>
                <w:bCs/>
                <w:szCs w:val="21"/>
              </w:rPr>
              <w:t>提交投标文件截止时间前连续三个月的社保证明复印件并加盖供应商公章</w:t>
            </w:r>
            <w:r>
              <w:rPr>
                <w:rFonts w:hint="eastAsia" w:ascii="宋体" w:hAnsi="宋体" w:cs="宋体"/>
                <w:b/>
                <w:bCs/>
                <w:szCs w:val="21"/>
                <w:lang w:eastAsia="zh-CN"/>
              </w:rPr>
              <w:t>，否则不得分</w:t>
            </w:r>
            <w:r>
              <w:rPr>
                <w:rFonts w:hint="eastAsia" w:ascii="宋体" w:hAnsi="宋体" w:cs="宋体"/>
                <w:b/>
                <w:bCs/>
                <w:szCs w:val="21"/>
              </w:rPr>
              <w:t>。</w:t>
            </w:r>
          </w:p>
        </w:tc>
        <w:tc>
          <w:tcPr>
            <w:tcW w:w="388" w:type="pct"/>
            <w:tcBorders>
              <w:top w:val="single" w:color="auto" w:sz="4" w:space="0"/>
              <w:left w:val="single" w:color="auto" w:sz="2" w:space="0"/>
              <w:bottom w:val="single" w:color="auto" w:sz="2" w:space="0"/>
              <w:right w:val="single" w:color="auto" w:sz="2" w:space="0"/>
            </w:tcBorders>
            <w:vAlign w:val="center"/>
          </w:tcPr>
          <w:p w14:paraId="1C18D96A">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14:paraId="44B0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790EEF7C">
            <w:pPr>
              <w:spacing w:line="400" w:lineRule="exact"/>
              <w:jc w:val="center"/>
              <w:rPr>
                <w:rFonts w:ascii="宋体" w:hAnsi="宋体" w:cs="宋体"/>
                <w:szCs w:val="21"/>
              </w:rPr>
            </w:pPr>
          </w:p>
        </w:tc>
        <w:tc>
          <w:tcPr>
            <w:tcW w:w="4228" w:type="pct"/>
            <w:tcBorders>
              <w:top w:val="single" w:color="auto" w:sz="4" w:space="0"/>
              <w:left w:val="single" w:color="auto" w:sz="2" w:space="0"/>
              <w:bottom w:val="single" w:color="auto" w:sz="2" w:space="0"/>
              <w:right w:val="single" w:color="auto" w:sz="2" w:space="0"/>
            </w:tcBorders>
            <w:vAlign w:val="center"/>
          </w:tcPr>
          <w:p w14:paraId="0A30AB18">
            <w:pPr>
              <w:tabs>
                <w:tab w:val="left" w:pos="317"/>
              </w:tabs>
              <w:spacing w:line="400" w:lineRule="exact"/>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.根据供应商对数据库的知识产权保障方案进行综合评议（</w:t>
            </w:r>
            <w:r>
              <w:rPr>
                <w:rFonts w:hint="eastAsia" w:ascii="宋体" w:hAnsi="宋体" w:cs="宋体"/>
                <w:szCs w:val="21"/>
                <w:lang w:val="en-US" w:eastAsia="zh-CN"/>
              </w:rPr>
              <w:t>6</w:t>
            </w:r>
            <w:r>
              <w:rPr>
                <w:rFonts w:hint="eastAsia" w:ascii="宋体" w:hAnsi="宋体" w:cs="宋体"/>
                <w:szCs w:val="21"/>
              </w:rPr>
              <w:t>分）：</w:t>
            </w:r>
          </w:p>
          <w:p w14:paraId="426CFA39">
            <w:pPr>
              <w:tabs>
                <w:tab w:val="left" w:pos="180"/>
              </w:tabs>
              <w:spacing w:line="400" w:lineRule="exact"/>
              <w:jc w:val="left"/>
              <w:rPr>
                <w:rFonts w:ascii="宋体" w:hAnsi="宋体" w:cs="宋体"/>
                <w:szCs w:val="21"/>
              </w:rPr>
            </w:pPr>
            <w:r>
              <w:rPr>
                <w:rFonts w:hint="eastAsia" w:ascii="宋体" w:hAnsi="宋体" w:cs="宋体"/>
                <w:szCs w:val="21"/>
              </w:rPr>
              <w:t>供应商具有充足的数据库数据使用许可（包含但不限于授权、声明、著作权等），能通过多种形式及手段保障数据库的安全性能的得</w:t>
            </w:r>
            <w:r>
              <w:rPr>
                <w:rFonts w:hint="eastAsia" w:ascii="宋体" w:hAnsi="宋体" w:cs="宋体"/>
                <w:szCs w:val="21"/>
                <w:lang w:val="en-US" w:eastAsia="zh-CN"/>
              </w:rPr>
              <w:t>6</w:t>
            </w:r>
            <w:r>
              <w:rPr>
                <w:rFonts w:hint="eastAsia" w:ascii="宋体" w:hAnsi="宋体" w:cs="宋体"/>
                <w:szCs w:val="21"/>
              </w:rPr>
              <w:t>分；</w:t>
            </w:r>
          </w:p>
          <w:p w14:paraId="14B89AE9">
            <w:pPr>
              <w:tabs>
                <w:tab w:val="left" w:pos="180"/>
              </w:tabs>
              <w:spacing w:line="400" w:lineRule="exact"/>
              <w:jc w:val="left"/>
              <w:rPr>
                <w:rFonts w:ascii="宋体" w:hAnsi="宋体" w:cs="宋体"/>
                <w:szCs w:val="21"/>
              </w:rPr>
            </w:pPr>
            <w:r>
              <w:rPr>
                <w:rFonts w:hint="eastAsia" w:ascii="宋体" w:hAnsi="宋体" w:cs="宋体"/>
                <w:szCs w:val="21"/>
              </w:rPr>
              <w:t>供应商具有</w:t>
            </w:r>
            <w:r>
              <w:rPr>
                <w:rFonts w:hint="eastAsia" w:ascii="宋体" w:hAnsi="宋体" w:cs="宋体"/>
                <w:szCs w:val="21"/>
                <w:lang w:eastAsia="zh-CN"/>
              </w:rPr>
              <w:t>较充足</w:t>
            </w:r>
            <w:r>
              <w:rPr>
                <w:rFonts w:hint="eastAsia" w:ascii="宋体" w:hAnsi="宋体" w:cs="宋体"/>
                <w:szCs w:val="21"/>
              </w:rPr>
              <w:t>的数据库数据使用许可（包含但不限于授权、声明、著作权等），基本能够通过较多样的形式及手段保障数据库的安全性能的得</w:t>
            </w:r>
            <w:r>
              <w:rPr>
                <w:rFonts w:hint="eastAsia" w:ascii="宋体" w:hAnsi="宋体" w:cs="宋体"/>
                <w:szCs w:val="21"/>
                <w:lang w:val="en-US" w:eastAsia="zh-CN"/>
              </w:rPr>
              <w:t>4</w:t>
            </w:r>
            <w:r>
              <w:rPr>
                <w:rFonts w:hint="eastAsia" w:ascii="宋体" w:hAnsi="宋体" w:cs="宋体"/>
                <w:szCs w:val="21"/>
              </w:rPr>
              <w:t>分；</w:t>
            </w:r>
          </w:p>
          <w:p w14:paraId="39B151B6">
            <w:pPr>
              <w:tabs>
                <w:tab w:val="left" w:pos="180"/>
              </w:tabs>
              <w:spacing w:line="400" w:lineRule="exact"/>
              <w:jc w:val="left"/>
              <w:rPr>
                <w:rFonts w:ascii="宋体" w:hAnsi="宋体" w:cs="宋体"/>
                <w:szCs w:val="21"/>
              </w:rPr>
            </w:pPr>
            <w:r>
              <w:rPr>
                <w:rFonts w:hint="eastAsia" w:ascii="宋体" w:hAnsi="宋体" w:cs="宋体"/>
                <w:szCs w:val="21"/>
              </w:rPr>
              <w:t>供应商具有数据库数据使用许可（包含但不限于授权、声明、著作权等）数量较少，保障数据库的安全性能的手段较单一</w:t>
            </w:r>
            <w:r>
              <w:rPr>
                <w:rFonts w:hint="eastAsia" w:ascii="宋体" w:hAnsi="宋体" w:cs="宋体"/>
                <w:szCs w:val="21"/>
                <w:lang w:eastAsia="zh-CN"/>
              </w:rPr>
              <w:t>的</w:t>
            </w:r>
            <w:r>
              <w:rPr>
                <w:rFonts w:hint="eastAsia" w:ascii="宋体" w:hAnsi="宋体" w:cs="宋体"/>
                <w:szCs w:val="21"/>
              </w:rPr>
              <w:t>得2分；</w:t>
            </w:r>
          </w:p>
          <w:p w14:paraId="5D5A6397">
            <w:pPr>
              <w:tabs>
                <w:tab w:val="left" w:pos="180"/>
              </w:tabs>
              <w:spacing w:line="400" w:lineRule="exact"/>
              <w:jc w:val="left"/>
              <w:rPr>
                <w:rFonts w:hint="eastAsia" w:ascii="宋体" w:hAnsi="宋体" w:cs="宋体"/>
                <w:b/>
                <w:bCs/>
                <w:szCs w:val="21"/>
              </w:rPr>
            </w:pPr>
            <w:r>
              <w:rPr>
                <w:rFonts w:hint="eastAsia" w:ascii="宋体" w:hAnsi="宋体" w:cs="宋体"/>
                <w:szCs w:val="21"/>
              </w:rPr>
              <w:t>未提供不得分。</w:t>
            </w:r>
          </w:p>
        </w:tc>
        <w:tc>
          <w:tcPr>
            <w:tcW w:w="388" w:type="pct"/>
            <w:tcBorders>
              <w:top w:val="single" w:color="auto" w:sz="4" w:space="0"/>
              <w:left w:val="single" w:color="auto" w:sz="2" w:space="0"/>
              <w:bottom w:val="single" w:color="auto" w:sz="2" w:space="0"/>
              <w:right w:val="single" w:color="auto" w:sz="2" w:space="0"/>
            </w:tcBorders>
            <w:vAlign w:val="center"/>
          </w:tcPr>
          <w:p w14:paraId="728F6CB0">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14:paraId="7AA5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383A5FD1">
            <w:pPr>
              <w:spacing w:line="400" w:lineRule="exact"/>
              <w:jc w:val="center"/>
              <w:rPr>
                <w:rFonts w:ascii="宋体" w:hAnsi="宋体" w:cs="宋体"/>
                <w:szCs w:val="21"/>
              </w:rPr>
            </w:pPr>
          </w:p>
        </w:tc>
        <w:tc>
          <w:tcPr>
            <w:tcW w:w="4228" w:type="pct"/>
            <w:tcBorders>
              <w:top w:val="single" w:color="auto" w:sz="4" w:space="0"/>
              <w:left w:val="single" w:color="auto" w:sz="2" w:space="0"/>
              <w:bottom w:val="single" w:color="auto" w:sz="2" w:space="0"/>
              <w:right w:val="single" w:color="auto" w:sz="2" w:space="0"/>
            </w:tcBorders>
            <w:vAlign w:val="center"/>
          </w:tcPr>
          <w:p w14:paraId="2E6ECB4F">
            <w:pPr>
              <w:tabs>
                <w:tab w:val="left" w:pos="317"/>
              </w:tabs>
              <w:spacing w:line="400" w:lineRule="exact"/>
              <w:jc w:val="left"/>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.根据供应商提供的测试及验收方案进行综合评议（</w:t>
            </w:r>
            <w:r>
              <w:rPr>
                <w:rFonts w:hint="eastAsia" w:ascii="宋体" w:hAnsi="宋体" w:cs="宋体"/>
                <w:szCs w:val="21"/>
                <w:lang w:val="en-US" w:eastAsia="zh-CN"/>
              </w:rPr>
              <w:t>6</w:t>
            </w:r>
            <w:r>
              <w:rPr>
                <w:rFonts w:hint="eastAsia" w:ascii="宋体" w:hAnsi="宋体" w:cs="宋体"/>
                <w:szCs w:val="21"/>
              </w:rPr>
              <w:t>分）：</w:t>
            </w:r>
          </w:p>
          <w:p w14:paraId="6DE52360">
            <w:pPr>
              <w:tabs>
                <w:tab w:val="left" w:pos="180"/>
              </w:tabs>
              <w:spacing w:line="400" w:lineRule="exact"/>
              <w:jc w:val="left"/>
              <w:rPr>
                <w:rFonts w:ascii="宋体" w:hAnsi="宋体" w:cs="宋体"/>
                <w:szCs w:val="21"/>
              </w:rPr>
            </w:pPr>
            <w:r>
              <w:rPr>
                <w:rFonts w:hint="eastAsia" w:ascii="宋体" w:hAnsi="宋体" w:cs="宋体"/>
                <w:szCs w:val="21"/>
              </w:rPr>
              <w:t>数据库结构、数据表及其之间的数据调用关系测试方案详细、验收方案完善的得</w:t>
            </w:r>
            <w:r>
              <w:rPr>
                <w:rFonts w:hint="eastAsia" w:ascii="宋体" w:hAnsi="宋体" w:cs="宋体"/>
                <w:szCs w:val="21"/>
                <w:lang w:val="en-US" w:eastAsia="zh-CN"/>
              </w:rPr>
              <w:t>6</w:t>
            </w:r>
            <w:r>
              <w:rPr>
                <w:rFonts w:hint="eastAsia" w:ascii="宋体" w:hAnsi="宋体" w:cs="宋体"/>
                <w:szCs w:val="21"/>
              </w:rPr>
              <w:t>分；</w:t>
            </w:r>
          </w:p>
          <w:p w14:paraId="72859D73">
            <w:pPr>
              <w:tabs>
                <w:tab w:val="left" w:pos="180"/>
              </w:tabs>
              <w:spacing w:line="400" w:lineRule="exact"/>
              <w:jc w:val="left"/>
              <w:rPr>
                <w:rFonts w:ascii="宋体" w:hAnsi="宋体" w:cs="宋体"/>
                <w:szCs w:val="21"/>
              </w:rPr>
            </w:pPr>
            <w:r>
              <w:rPr>
                <w:rFonts w:hint="eastAsia" w:ascii="宋体" w:hAnsi="宋体" w:cs="宋体"/>
                <w:szCs w:val="21"/>
              </w:rPr>
              <w:t>数据库结构、数据表及其之间的数据调用关系测试方案较详细、验收方案较完善的得</w:t>
            </w:r>
            <w:r>
              <w:rPr>
                <w:rFonts w:hint="eastAsia" w:ascii="宋体" w:hAnsi="宋体" w:cs="宋体"/>
                <w:szCs w:val="21"/>
                <w:lang w:val="en-US" w:eastAsia="zh-CN"/>
              </w:rPr>
              <w:t>4</w:t>
            </w:r>
            <w:r>
              <w:rPr>
                <w:rFonts w:hint="eastAsia" w:ascii="宋体" w:hAnsi="宋体" w:cs="宋体"/>
                <w:szCs w:val="21"/>
              </w:rPr>
              <w:t>分；</w:t>
            </w:r>
          </w:p>
          <w:p w14:paraId="46E424D5">
            <w:pPr>
              <w:tabs>
                <w:tab w:val="left" w:pos="180"/>
              </w:tabs>
              <w:spacing w:line="400" w:lineRule="exact"/>
              <w:jc w:val="left"/>
              <w:rPr>
                <w:rFonts w:ascii="宋体" w:hAnsi="宋体" w:cs="宋体"/>
                <w:szCs w:val="21"/>
              </w:rPr>
            </w:pPr>
            <w:r>
              <w:rPr>
                <w:rFonts w:hint="eastAsia" w:ascii="宋体" w:hAnsi="宋体" w:cs="宋体"/>
                <w:szCs w:val="21"/>
              </w:rPr>
              <w:t>数据库结构、数据表及其之间的数据调用关系测试方案简单、验收方案笼统的得</w:t>
            </w:r>
            <w:r>
              <w:rPr>
                <w:rFonts w:hint="eastAsia" w:ascii="宋体" w:hAnsi="宋体" w:cs="宋体"/>
                <w:szCs w:val="21"/>
                <w:lang w:val="en-US" w:eastAsia="zh-CN"/>
              </w:rPr>
              <w:t>2</w:t>
            </w:r>
            <w:r>
              <w:rPr>
                <w:rFonts w:hint="eastAsia" w:ascii="宋体" w:hAnsi="宋体" w:cs="宋体"/>
                <w:szCs w:val="21"/>
              </w:rPr>
              <w:t>分；</w:t>
            </w:r>
          </w:p>
          <w:p w14:paraId="669AC69F">
            <w:pPr>
              <w:tabs>
                <w:tab w:val="left" w:pos="180"/>
              </w:tabs>
              <w:spacing w:line="400" w:lineRule="exact"/>
              <w:jc w:val="left"/>
              <w:rPr>
                <w:rFonts w:ascii="宋体" w:hAnsi="宋体" w:cs="宋体"/>
                <w:szCs w:val="21"/>
              </w:rPr>
            </w:pPr>
            <w:r>
              <w:rPr>
                <w:rFonts w:hint="eastAsia" w:ascii="宋体" w:hAnsi="宋体" w:cs="宋体"/>
                <w:szCs w:val="21"/>
              </w:rPr>
              <w:t>未提供不得分。</w:t>
            </w:r>
          </w:p>
        </w:tc>
        <w:tc>
          <w:tcPr>
            <w:tcW w:w="388" w:type="pct"/>
            <w:tcBorders>
              <w:top w:val="single" w:color="auto" w:sz="4" w:space="0"/>
              <w:left w:val="single" w:color="auto" w:sz="2" w:space="0"/>
              <w:bottom w:val="single" w:color="auto" w:sz="2" w:space="0"/>
              <w:right w:val="single" w:color="auto" w:sz="2" w:space="0"/>
            </w:tcBorders>
            <w:vAlign w:val="center"/>
          </w:tcPr>
          <w:p w14:paraId="6B7FC250">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14:paraId="40A0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0435ADF1">
            <w:pPr>
              <w:spacing w:line="400" w:lineRule="exact"/>
              <w:jc w:val="center"/>
              <w:rPr>
                <w:rFonts w:ascii="宋体" w:hAnsi="宋体" w:cs="宋体"/>
                <w:szCs w:val="21"/>
              </w:rPr>
            </w:pPr>
          </w:p>
        </w:tc>
        <w:tc>
          <w:tcPr>
            <w:tcW w:w="4228" w:type="pct"/>
            <w:tcBorders>
              <w:top w:val="single" w:color="auto" w:sz="4" w:space="0"/>
              <w:left w:val="single" w:color="auto" w:sz="2" w:space="0"/>
              <w:bottom w:val="single" w:color="auto" w:sz="2" w:space="0"/>
              <w:right w:val="single" w:color="auto" w:sz="2" w:space="0"/>
            </w:tcBorders>
            <w:vAlign w:val="center"/>
          </w:tcPr>
          <w:p w14:paraId="76E73AB1">
            <w:pPr>
              <w:tabs>
                <w:tab w:val="left" w:pos="317"/>
              </w:tabs>
              <w:spacing w:line="400" w:lineRule="exact"/>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.根据供应商提供的系统（数据库）升级维护方案进行综合评议（</w:t>
            </w:r>
            <w:r>
              <w:rPr>
                <w:rFonts w:hint="eastAsia" w:ascii="宋体" w:hAnsi="宋体" w:cs="宋体"/>
                <w:szCs w:val="21"/>
                <w:lang w:val="en-US" w:eastAsia="zh-CN"/>
              </w:rPr>
              <w:t>6</w:t>
            </w:r>
            <w:r>
              <w:rPr>
                <w:rFonts w:hint="eastAsia" w:ascii="宋体" w:hAnsi="宋体" w:cs="宋体"/>
                <w:szCs w:val="21"/>
              </w:rPr>
              <w:t>分）：</w:t>
            </w:r>
          </w:p>
          <w:p w14:paraId="1A8AEE39">
            <w:pPr>
              <w:tabs>
                <w:tab w:val="left" w:pos="180"/>
              </w:tabs>
              <w:spacing w:line="400" w:lineRule="exact"/>
              <w:jc w:val="left"/>
              <w:rPr>
                <w:rFonts w:hint="eastAsia" w:ascii="宋体" w:hAnsi="宋体" w:cs="宋体"/>
                <w:szCs w:val="21"/>
              </w:rPr>
            </w:pPr>
            <w:r>
              <w:rPr>
                <w:rFonts w:hint="eastAsia" w:ascii="宋体" w:hAnsi="宋体" w:cs="宋体"/>
                <w:szCs w:val="21"/>
              </w:rPr>
              <w:t>系统（数据库）升级维护对馆方报告的漏洞有较强的针对性，有详细的升级计划及时间、兼容性好，能确保无缝对接的得6分；</w:t>
            </w:r>
          </w:p>
          <w:p w14:paraId="79E07923">
            <w:pPr>
              <w:tabs>
                <w:tab w:val="left" w:pos="180"/>
              </w:tabs>
              <w:spacing w:line="400" w:lineRule="exact"/>
              <w:jc w:val="left"/>
              <w:rPr>
                <w:rFonts w:hint="eastAsia" w:ascii="宋体" w:hAnsi="宋体" w:cs="宋体"/>
                <w:szCs w:val="21"/>
              </w:rPr>
            </w:pPr>
            <w:r>
              <w:rPr>
                <w:rFonts w:hint="eastAsia" w:ascii="宋体" w:hAnsi="宋体" w:cs="宋体"/>
                <w:szCs w:val="21"/>
              </w:rPr>
              <w:t>系统（数据库）升级维护对馆方报告的漏洞</w:t>
            </w:r>
            <w:r>
              <w:rPr>
                <w:rFonts w:hint="eastAsia" w:ascii="宋体" w:hAnsi="宋体" w:cs="宋体"/>
                <w:szCs w:val="21"/>
                <w:lang w:eastAsia="zh-CN"/>
              </w:rPr>
              <w:t>具有一定</w:t>
            </w:r>
            <w:r>
              <w:rPr>
                <w:rFonts w:hint="eastAsia" w:ascii="宋体" w:hAnsi="宋体" w:cs="宋体"/>
                <w:szCs w:val="21"/>
              </w:rPr>
              <w:t>针对性，对升级计划及时间有部分提及但不够具体、兼容性较好，基本能保障无缝对接的得4分；</w:t>
            </w:r>
          </w:p>
          <w:p w14:paraId="3527B770">
            <w:pPr>
              <w:tabs>
                <w:tab w:val="left" w:pos="180"/>
              </w:tabs>
              <w:spacing w:line="400" w:lineRule="exact"/>
              <w:jc w:val="left"/>
              <w:rPr>
                <w:rFonts w:hint="eastAsia" w:ascii="宋体" w:hAnsi="宋体" w:cs="宋体"/>
                <w:szCs w:val="21"/>
              </w:rPr>
            </w:pPr>
            <w:r>
              <w:rPr>
                <w:rFonts w:hint="eastAsia" w:ascii="宋体" w:hAnsi="宋体" w:cs="宋体"/>
                <w:szCs w:val="21"/>
              </w:rPr>
              <w:t>系统（数据库）升级维护方案简单粗略，针对性较差、对于关键节点描述不明确，兼容性较差的得2分；</w:t>
            </w:r>
          </w:p>
          <w:p w14:paraId="5B70E673">
            <w:pPr>
              <w:tabs>
                <w:tab w:val="left" w:pos="180"/>
              </w:tabs>
              <w:spacing w:line="400" w:lineRule="exact"/>
              <w:jc w:val="left"/>
              <w:rPr>
                <w:rFonts w:ascii="宋体" w:hAnsi="宋体" w:cs="宋体"/>
              </w:rPr>
            </w:pPr>
            <w:r>
              <w:rPr>
                <w:rFonts w:hint="eastAsia" w:ascii="宋体" w:hAnsi="宋体" w:cs="宋体"/>
                <w:szCs w:val="21"/>
              </w:rPr>
              <w:t>未提供不得分。</w:t>
            </w:r>
          </w:p>
        </w:tc>
        <w:tc>
          <w:tcPr>
            <w:tcW w:w="388" w:type="pct"/>
            <w:tcBorders>
              <w:left w:val="single" w:color="auto" w:sz="2" w:space="0"/>
              <w:bottom w:val="single" w:color="auto" w:sz="2" w:space="0"/>
              <w:right w:val="single" w:color="auto" w:sz="2" w:space="0"/>
            </w:tcBorders>
            <w:vAlign w:val="center"/>
          </w:tcPr>
          <w:p w14:paraId="3BE26418">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14:paraId="790B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5E7891A4">
            <w:pPr>
              <w:spacing w:line="400" w:lineRule="exact"/>
              <w:jc w:val="center"/>
              <w:rPr>
                <w:rFonts w:ascii="宋体" w:hAnsi="宋体" w:cs="宋体"/>
                <w:szCs w:val="21"/>
              </w:rPr>
            </w:pPr>
          </w:p>
        </w:tc>
        <w:tc>
          <w:tcPr>
            <w:tcW w:w="4228" w:type="pct"/>
            <w:tcBorders>
              <w:top w:val="single" w:color="auto" w:sz="4" w:space="0"/>
              <w:left w:val="single" w:color="auto" w:sz="2" w:space="0"/>
              <w:bottom w:val="single" w:color="auto" w:sz="2" w:space="0"/>
              <w:right w:val="single" w:color="auto" w:sz="2" w:space="0"/>
            </w:tcBorders>
            <w:vAlign w:val="center"/>
          </w:tcPr>
          <w:p w14:paraId="5B1DD8E8">
            <w:pPr>
              <w:tabs>
                <w:tab w:val="left" w:pos="317"/>
              </w:tabs>
              <w:spacing w:line="400" w:lineRule="exact"/>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.根据供应商提供的故障处理应急预案进行综合评议（6分）：</w:t>
            </w:r>
          </w:p>
          <w:p w14:paraId="4B0158FB">
            <w:pPr>
              <w:tabs>
                <w:tab w:val="left" w:pos="180"/>
              </w:tabs>
              <w:spacing w:line="400" w:lineRule="exact"/>
              <w:jc w:val="left"/>
              <w:rPr>
                <w:rFonts w:hint="eastAsia" w:ascii="宋体" w:hAnsi="宋体" w:cs="宋体"/>
                <w:szCs w:val="21"/>
              </w:rPr>
            </w:pPr>
            <w:r>
              <w:rPr>
                <w:rFonts w:hint="eastAsia" w:ascii="宋体" w:hAnsi="宋体" w:cs="宋体"/>
                <w:szCs w:val="21"/>
              </w:rPr>
              <w:t>制定详细的数据库恢复计划，具有明确的恢复流程及文档记录，增加数据备份及复制内容的得6分；</w:t>
            </w:r>
          </w:p>
          <w:p w14:paraId="09AA0922">
            <w:pPr>
              <w:tabs>
                <w:tab w:val="left" w:pos="180"/>
              </w:tabs>
              <w:spacing w:line="400" w:lineRule="exact"/>
              <w:jc w:val="left"/>
              <w:rPr>
                <w:rFonts w:hint="eastAsia" w:ascii="宋体" w:hAnsi="宋体" w:cs="宋体"/>
                <w:szCs w:val="21"/>
              </w:rPr>
            </w:pPr>
            <w:r>
              <w:rPr>
                <w:rFonts w:hint="eastAsia" w:ascii="宋体" w:hAnsi="宋体" w:cs="宋体"/>
                <w:szCs w:val="21"/>
              </w:rPr>
              <w:t>具有基本的数据库恢复计划，有基础的恢复流程及文档记录，数据备份内容未充分体现的得4分；</w:t>
            </w:r>
          </w:p>
          <w:p w14:paraId="41DCAB50">
            <w:pPr>
              <w:tabs>
                <w:tab w:val="left" w:pos="180"/>
              </w:tabs>
              <w:spacing w:line="400" w:lineRule="exact"/>
              <w:jc w:val="left"/>
              <w:rPr>
                <w:rFonts w:ascii="宋体" w:hAnsi="宋体" w:cs="宋体"/>
                <w:szCs w:val="21"/>
              </w:rPr>
            </w:pPr>
            <w:r>
              <w:rPr>
                <w:rFonts w:hint="eastAsia" w:ascii="宋体" w:hAnsi="宋体" w:cs="宋体"/>
                <w:szCs w:val="21"/>
              </w:rPr>
              <w:t>数据库恢复计划、恢复流程、文档记录均描述</w:t>
            </w:r>
            <w:r>
              <w:rPr>
                <w:rFonts w:hint="eastAsia" w:ascii="宋体" w:hAnsi="宋体" w:cs="宋体"/>
                <w:szCs w:val="21"/>
                <w:lang w:eastAsia="zh-CN"/>
              </w:rPr>
              <w:t>得</w:t>
            </w:r>
            <w:r>
              <w:rPr>
                <w:rFonts w:hint="eastAsia" w:ascii="宋体" w:hAnsi="宋体" w:cs="宋体"/>
                <w:szCs w:val="21"/>
              </w:rPr>
              <w:t>简单粗略，内容有逻辑问题或前后矛盾的得2分；</w:t>
            </w:r>
          </w:p>
          <w:p w14:paraId="251D6D20">
            <w:pPr>
              <w:tabs>
                <w:tab w:val="left" w:pos="180"/>
              </w:tabs>
              <w:spacing w:line="400" w:lineRule="exact"/>
              <w:jc w:val="left"/>
              <w:rPr>
                <w:rFonts w:ascii="宋体" w:hAnsi="宋体" w:cs="宋体"/>
              </w:rPr>
            </w:pPr>
            <w:r>
              <w:rPr>
                <w:rFonts w:hint="eastAsia" w:ascii="宋体" w:hAnsi="宋体" w:cs="宋体"/>
                <w:szCs w:val="21"/>
              </w:rPr>
              <w:t>未提供不得分。</w:t>
            </w:r>
          </w:p>
        </w:tc>
        <w:tc>
          <w:tcPr>
            <w:tcW w:w="388" w:type="pct"/>
            <w:tcBorders>
              <w:left w:val="single" w:color="auto" w:sz="2" w:space="0"/>
              <w:bottom w:val="single" w:color="auto" w:sz="2" w:space="0"/>
              <w:right w:val="single" w:color="auto" w:sz="2" w:space="0"/>
            </w:tcBorders>
            <w:vAlign w:val="center"/>
          </w:tcPr>
          <w:p w14:paraId="3E5AB28B">
            <w:pPr>
              <w:spacing w:line="400" w:lineRule="exact"/>
              <w:jc w:val="center"/>
              <w:rPr>
                <w:rFonts w:ascii="宋体" w:hAnsi="宋体" w:cs="宋体"/>
                <w:szCs w:val="21"/>
              </w:rPr>
            </w:pPr>
            <w:r>
              <w:rPr>
                <w:rFonts w:hint="eastAsia" w:ascii="宋体" w:hAnsi="宋体" w:cs="宋体"/>
                <w:szCs w:val="21"/>
              </w:rPr>
              <w:t>6</w:t>
            </w:r>
          </w:p>
        </w:tc>
      </w:tr>
      <w:tr w14:paraId="22CC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48FE59FB">
            <w:pPr>
              <w:spacing w:line="400" w:lineRule="exact"/>
              <w:jc w:val="center"/>
              <w:rPr>
                <w:rFonts w:ascii="宋体" w:hAnsi="宋体" w:cs="宋体"/>
                <w:szCs w:val="21"/>
              </w:rPr>
            </w:pPr>
          </w:p>
        </w:tc>
        <w:tc>
          <w:tcPr>
            <w:tcW w:w="4228" w:type="pct"/>
            <w:tcBorders>
              <w:top w:val="single" w:color="auto" w:sz="4" w:space="0"/>
              <w:left w:val="single" w:color="auto" w:sz="2" w:space="0"/>
              <w:bottom w:val="single" w:color="auto" w:sz="2" w:space="0"/>
              <w:right w:val="single" w:color="auto" w:sz="2" w:space="0"/>
            </w:tcBorders>
            <w:vAlign w:val="center"/>
          </w:tcPr>
          <w:p w14:paraId="20B602D9">
            <w:pPr>
              <w:tabs>
                <w:tab w:val="left" w:pos="317"/>
              </w:tabs>
              <w:spacing w:line="400" w:lineRule="exact"/>
              <w:jc w:val="left"/>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.根据供应商提供的培训方案进行综合评议（</w:t>
            </w:r>
            <w:r>
              <w:rPr>
                <w:rFonts w:hint="eastAsia" w:ascii="宋体" w:hAnsi="宋体" w:cs="宋体"/>
                <w:szCs w:val="21"/>
                <w:lang w:val="en-US" w:eastAsia="zh-CN"/>
              </w:rPr>
              <w:t>6</w:t>
            </w:r>
            <w:r>
              <w:rPr>
                <w:rFonts w:hint="eastAsia" w:ascii="宋体" w:hAnsi="宋体" w:cs="宋体"/>
                <w:szCs w:val="21"/>
              </w:rPr>
              <w:t>分）：</w:t>
            </w:r>
          </w:p>
          <w:p w14:paraId="19F04025">
            <w:pPr>
              <w:spacing w:line="400" w:lineRule="exact"/>
              <w:rPr>
                <w:rFonts w:ascii="宋体" w:hAnsi="宋体" w:cs="宋体"/>
              </w:rPr>
            </w:pPr>
            <w:r>
              <w:rPr>
                <w:rFonts w:hint="eastAsia" w:ascii="宋体" w:hAnsi="宋体" w:cs="宋体"/>
              </w:rPr>
              <w:t>培训计划内容详实，方式多样，能为采购人提供有效可行的培训方案的得</w:t>
            </w:r>
            <w:r>
              <w:rPr>
                <w:rFonts w:hint="eastAsia" w:ascii="宋体" w:hAnsi="宋体" w:cs="宋体"/>
                <w:lang w:val="en-US" w:eastAsia="zh-CN"/>
              </w:rPr>
              <w:t>6</w:t>
            </w:r>
            <w:r>
              <w:rPr>
                <w:rFonts w:hint="eastAsia" w:ascii="宋体" w:hAnsi="宋体" w:cs="宋体"/>
              </w:rPr>
              <w:t>分；</w:t>
            </w:r>
          </w:p>
          <w:p w14:paraId="3E4B3EB4">
            <w:pPr>
              <w:spacing w:line="400" w:lineRule="exact"/>
              <w:rPr>
                <w:rFonts w:ascii="宋体" w:hAnsi="宋体" w:cs="宋体"/>
              </w:rPr>
            </w:pPr>
            <w:r>
              <w:rPr>
                <w:rFonts w:hint="eastAsia" w:ascii="宋体" w:hAnsi="宋体" w:cs="宋体"/>
              </w:rPr>
              <w:t>培训计划内容较详实，方式较多样，能为采购人提供较有效的培训方案的得</w:t>
            </w:r>
            <w:r>
              <w:rPr>
                <w:rFonts w:hint="eastAsia" w:ascii="宋体" w:hAnsi="宋体" w:cs="宋体"/>
                <w:lang w:val="en-US" w:eastAsia="zh-CN"/>
              </w:rPr>
              <w:t>4</w:t>
            </w:r>
            <w:r>
              <w:rPr>
                <w:rFonts w:hint="eastAsia" w:ascii="宋体" w:hAnsi="宋体" w:cs="宋体"/>
              </w:rPr>
              <w:t>分；</w:t>
            </w:r>
          </w:p>
          <w:p w14:paraId="47588A69">
            <w:pPr>
              <w:spacing w:line="400" w:lineRule="exact"/>
              <w:rPr>
                <w:rFonts w:ascii="宋体" w:hAnsi="宋体" w:cs="宋体"/>
              </w:rPr>
            </w:pPr>
            <w:r>
              <w:rPr>
                <w:rFonts w:hint="eastAsia" w:ascii="宋体" w:hAnsi="宋体" w:cs="宋体"/>
              </w:rPr>
              <w:t>培训计划内容笼统，方式单一，不能为采购人提供有效培训方案的得</w:t>
            </w:r>
            <w:r>
              <w:rPr>
                <w:rFonts w:hint="eastAsia" w:ascii="宋体" w:hAnsi="宋体" w:cs="宋体"/>
                <w:lang w:val="en-US" w:eastAsia="zh-CN"/>
              </w:rPr>
              <w:t>2</w:t>
            </w:r>
            <w:r>
              <w:rPr>
                <w:rFonts w:hint="eastAsia" w:ascii="宋体" w:hAnsi="宋体" w:cs="宋体"/>
              </w:rPr>
              <w:t>分；</w:t>
            </w:r>
          </w:p>
          <w:p w14:paraId="60E4FDD9">
            <w:pPr>
              <w:spacing w:line="400" w:lineRule="exact"/>
              <w:rPr>
                <w:rFonts w:ascii="宋体" w:hAnsi="宋体" w:cs="宋体"/>
              </w:rPr>
            </w:pPr>
            <w:r>
              <w:rPr>
                <w:rFonts w:hint="eastAsia" w:ascii="宋体" w:hAnsi="宋体" w:cs="宋体"/>
              </w:rPr>
              <w:t>未提供不得分。</w:t>
            </w:r>
          </w:p>
        </w:tc>
        <w:tc>
          <w:tcPr>
            <w:tcW w:w="388" w:type="pct"/>
            <w:tcBorders>
              <w:left w:val="single" w:color="auto" w:sz="2" w:space="0"/>
              <w:bottom w:val="single" w:color="auto" w:sz="2" w:space="0"/>
              <w:right w:val="single" w:color="auto" w:sz="2" w:space="0"/>
            </w:tcBorders>
            <w:vAlign w:val="center"/>
          </w:tcPr>
          <w:p w14:paraId="70D5F288">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14:paraId="1F0D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32648E68">
            <w:pPr>
              <w:spacing w:line="400" w:lineRule="exact"/>
              <w:jc w:val="center"/>
              <w:rPr>
                <w:rFonts w:ascii="宋体" w:hAnsi="宋体" w:cs="宋体"/>
                <w:szCs w:val="21"/>
              </w:rPr>
            </w:pPr>
          </w:p>
        </w:tc>
        <w:tc>
          <w:tcPr>
            <w:tcW w:w="4228" w:type="pct"/>
            <w:tcBorders>
              <w:top w:val="single" w:color="auto" w:sz="2" w:space="0"/>
              <w:left w:val="single" w:color="auto" w:sz="2" w:space="0"/>
              <w:bottom w:val="single" w:color="auto" w:sz="4" w:space="0"/>
              <w:right w:val="single" w:color="auto" w:sz="2" w:space="0"/>
            </w:tcBorders>
            <w:vAlign w:val="center"/>
          </w:tcPr>
          <w:p w14:paraId="3791AA64">
            <w:pPr>
              <w:tabs>
                <w:tab w:val="left" w:pos="317"/>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.根据供应商提供的定期回访方案进行综合评议（</w:t>
            </w:r>
            <w:r>
              <w:rPr>
                <w:rFonts w:hint="eastAsia" w:ascii="宋体" w:hAnsi="宋体" w:cs="宋体"/>
                <w:szCs w:val="21"/>
                <w:lang w:val="en-US" w:eastAsia="zh-CN"/>
              </w:rPr>
              <w:t>6</w:t>
            </w:r>
            <w:r>
              <w:rPr>
                <w:rFonts w:hint="eastAsia" w:ascii="宋体" w:hAnsi="宋体" w:cs="宋体"/>
                <w:szCs w:val="21"/>
              </w:rPr>
              <w:t>分）：</w:t>
            </w:r>
          </w:p>
          <w:p w14:paraId="74B1FB95">
            <w:pPr>
              <w:tabs>
                <w:tab w:val="left" w:pos="175"/>
              </w:tabs>
              <w:spacing w:line="400" w:lineRule="exact"/>
              <w:jc w:val="left"/>
              <w:rPr>
                <w:rFonts w:ascii="宋体" w:hAnsi="宋体" w:cs="宋体"/>
                <w:szCs w:val="21"/>
              </w:rPr>
            </w:pPr>
            <w:r>
              <w:rPr>
                <w:rFonts w:hint="eastAsia" w:ascii="宋体" w:hAnsi="宋体" w:cs="宋体"/>
                <w:szCs w:val="21"/>
              </w:rPr>
              <w:t>定期回访方案内容详实，可行性强，能为采购人提供有效的反馈机制及解决措施的得</w:t>
            </w:r>
            <w:r>
              <w:rPr>
                <w:rFonts w:hint="eastAsia" w:ascii="宋体" w:hAnsi="宋体" w:cs="宋体"/>
                <w:szCs w:val="21"/>
                <w:lang w:val="en-US" w:eastAsia="zh-CN"/>
              </w:rPr>
              <w:t>6</w:t>
            </w:r>
            <w:r>
              <w:rPr>
                <w:rFonts w:hint="eastAsia" w:ascii="宋体" w:hAnsi="宋体" w:cs="宋体"/>
                <w:szCs w:val="21"/>
              </w:rPr>
              <w:t>分；</w:t>
            </w:r>
          </w:p>
          <w:p w14:paraId="130AE2A5">
            <w:pPr>
              <w:tabs>
                <w:tab w:val="left" w:pos="175"/>
              </w:tabs>
              <w:spacing w:line="400" w:lineRule="exact"/>
              <w:jc w:val="left"/>
              <w:rPr>
                <w:rFonts w:ascii="宋体" w:hAnsi="宋体" w:cs="宋体"/>
                <w:szCs w:val="21"/>
              </w:rPr>
            </w:pPr>
            <w:r>
              <w:rPr>
                <w:rFonts w:hint="eastAsia" w:ascii="宋体" w:hAnsi="宋体" w:cs="宋体"/>
                <w:szCs w:val="21"/>
              </w:rPr>
              <w:t>定期回访方案内容较详实，可行性较强，能为采购人提供较有效的反馈机制及解决措施的得</w:t>
            </w:r>
            <w:r>
              <w:rPr>
                <w:rFonts w:hint="eastAsia" w:ascii="宋体" w:hAnsi="宋体" w:cs="宋体"/>
                <w:szCs w:val="21"/>
                <w:lang w:val="en-US" w:eastAsia="zh-CN"/>
              </w:rPr>
              <w:t>4</w:t>
            </w:r>
            <w:r>
              <w:rPr>
                <w:rFonts w:hint="eastAsia" w:ascii="宋体" w:hAnsi="宋体" w:cs="宋体"/>
                <w:szCs w:val="21"/>
              </w:rPr>
              <w:t>分；</w:t>
            </w:r>
          </w:p>
          <w:p w14:paraId="2B810EC6">
            <w:pPr>
              <w:tabs>
                <w:tab w:val="left" w:pos="175"/>
              </w:tabs>
              <w:spacing w:line="400" w:lineRule="exact"/>
              <w:jc w:val="left"/>
              <w:rPr>
                <w:rFonts w:ascii="宋体" w:hAnsi="宋体" w:cs="宋体"/>
                <w:szCs w:val="21"/>
              </w:rPr>
            </w:pPr>
            <w:r>
              <w:rPr>
                <w:rFonts w:hint="eastAsia" w:ascii="宋体" w:hAnsi="宋体" w:cs="宋体"/>
                <w:szCs w:val="21"/>
              </w:rPr>
              <w:t>定期回访方案内容笼统、可行性较低、存在缺陷的得</w:t>
            </w:r>
            <w:r>
              <w:rPr>
                <w:rFonts w:hint="eastAsia" w:ascii="宋体" w:hAnsi="宋体" w:cs="宋体"/>
                <w:szCs w:val="21"/>
                <w:lang w:val="en-US" w:eastAsia="zh-CN"/>
              </w:rPr>
              <w:t>2</w:t>
            </w:r>
            <w:r>
              <w:rPr>
                <w:rFonts w:hint="eastAsia" w:ascii="宋体" w:hAnsi="宋体" w:cs="宋体"/>
                <w:szCs w:val="21"/>
              </w:rPr>
              <w:t>分；</w:t>
            </w:r>
          </w:p>
          <w:p w14:paraId="7E85B11D">
            <w:pPr>
              <w:spacing w:line="400" w:lineRule="exact"/>
              <w:rPr>
                <w:rFonts w:ascii="宋体" w:hAnsi="宋体" w:cs="宋体"/>
              </w:rPr>
            </w:pPr>
            <w:r>
              <w:rPr>
                <w:rFonts w:hint="eastAsia" w:ascii="宋体" w:hAnsi="宋体" w:cs="宋体"/>
                <w:szCs w:val="21"/>
              </w:rPr>
              <w:t>未提供不得分。</w:t>
            </w:r>
          </w:p>
        </w:tc>
        <w:tc>
          <w:tcPr>
            <w:tcW w:w="388" w:type="pct"/>
            <w:tcBorders>
              <w:top w:val="single" w:color="auto" w:sz="2" w:space="0"/>
              <w:left w:val="single" w:color="auto" w:sz="2" w:space="0"/>
              <w:bottom w:val="single" w:color="auto" w:sz="4" w:space="0"/>
              <w:right w:val="single" w:color="auto" w:sz="2" w:space="0"/>
            </w:tcBorders>
            <w:vAlign w:val="center"/>
          </w:tcPr>
          <w:p w14:paraId="679031A3">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6</w:t>
            </w:r>
          </w:p>
        </w:tc>
      </w:tr>
      <w:tr w14:paraId="4F38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767D974C">
            <w:pPr>
              <w:spacing w:line="400" w:lineRule="exact"/>
              <w:jc w:val="center"/>
              <w:rPr>
                <w:rFonts w:ascii="宋体" w:hAnsi="宋体" w:cs="宋体"/>
                <w:szCs w:val="21"/>
              </w:rPr>
            </w:pPr>
          </w:p>
        </w:tc>
        <w:tc>
          <w:tcPr>
            <w:tcW w:w="4228" w:type="pct"/>
            <w:tcBorders>
              <w:top w:val="single" w:color="auto" w:sz="2" w:space="0"/>
              <w:left w:val="single" w:color="auto" w:sz="2" w:space="0"/>
              <w:bottom w:val="single" w:color="auto" w:sz="4" w:space="0"/>
              <w:right w:val="single" w:color="auto" w:sz="2" w:space="0"/>
            </w:tcBorders>
            <w:vAlign w:val="center"/>
          </w:tcPr>
          <w:p w14:paraId="4821DEFA">
            <w:pPr>
              <w:tabs>
                <w:tab w:val="left" w:pos="317"/>
              </w:tabs>
              <w:spacing w:line="400" w:lineRule="exact"/>
              <w:jc w:val="lef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.根据供应商提供的响应速度进行综合评议（</w:t>
            </w:r>
            <w:r>
              <w:rPr>
                <w:rFonts w:hint="eastAsia" w:ascii="宋体" w:hAnsi="宋体" w:cs="宋体"/>
                <w:szCs w:val="21"/>
                <w:lang w:val="en-US" w:eastAsia="zh-CN"/>
              </w:rPr>
              <w:t>6</w:t>
            </w:r>
            <w:r>
              <w:rPr>
                <w:rFonts w:hint="eastAsia" w:ascii="宋体" w:hAnsi="宋体" w:cs="宋体"/>
                <w:szCs w:val="21"/>
              </w:rPr>
              <w:t>分）：</w:t>
            </w:r>
          </w:p>
          <w:p w14:paraId="724426BB">
            <w:pPr>
              <w:tabs>
                <w:tab w:val="left" w:pos="175"/>
              </w:tabs>
              <w:spacing w:line="400" w:lineRule="exact"/>
              <w:jc w:val="left"/>
              <w:rPr>
                <w:rFonts w:hint="eastAsia" w:ascii="宋体"/>
                <w:szCs w:val="21"/>
              </w:rPr>
            </w:pPr>
            <w:r>
              <w:rPr>
                <w:rFonts w:hint="eastAsia" w:ascii="宋体"/>
                <w:szCs w:val="21"/>
                <w:lang w:val="en-US" w:eastAsia="zh-CN"/>
              </w:rPr>
              <w:t>11.1</w:t>
            </w:r>
            <w:r>
              <w:rPr>
                <w:rFonts w:hint="eastAsia" w:ascii="宋体"/>
                <w:szCs w:val="21"/>
              </w:rPr>
              <w:t>供应商承诺</w:t>
            </w:r>
            <w:r>
              <w:rPr>
                <w:rFonts w:hint="eastAsia" w:ascii="宋体"/>
                <w:szCs w:val="21"/>
                <w:lang w:eastAsia="zh-CN"/>
              </w:rPr>
              <w:t>接到</w:t>
            </w:r>
            <w:r>
              <w:rPr>
                <w:rFonts w:hint="eastAsia" w:ascii="宋体"/>
                <w:szCs w:val="21"/>
              </w:rPr>
              <w:t>采购人</w:t>
            </w:r>
            <w:r>
              <w:rPr>
                <w:rFonts w:hint="eastAsia" w:ascii="宋体"/>
                <w:szCs w:val="21"/>
                <w:lang w:eastAsia="zh-CN"/>
              </w:rPr>
              <w:t>通知后</w:t>
            </w:r>
            <w:r>
              <w:rPr>
                <w:rFonts w:hint="eastAsia" w:ascii="宋体"/>
                <w:szCs w:val="21"/>
              </w:rPr>
              <w:t>的响应时间</w:t>
            </w:r>
            <w:r>
              <w:rPr>
                <w:rFonts w:hint="eastAsia" w:ascii="宋体"/>
                <w:szCs w:val="21"/>
                <w:lang w:eastAsia="zh-CN"/>
              </w:rPr>
              <w:t>（含远程支持）</w:t>
            </w:r>
            <w:r>
              <w:rPr>
                <w:rFonts w:hint="eastAsia" w:ascii="宋体"/>
                <w:szCs w:val="21"/>
              </w:rPr>
              <w:t>不超过1小时，以保证数据库产品的正常使用的得</w:t>
            </w:r>
            <w:r>
              <w:rPr>
                <w:rFonts w:hint="eastAsia" w:ascii="宋体"/>
                <w:szCs w:val="21"/>
                <w:lang w:val="en-US" w:eastAsia="zh-CN"/>
              </w:rPr>
              <w:t>2</w:t>
            </w:r>
            <w:r>
              <w:rPr>
                <w:rFonts w:hint="eastAsia" w:ascii="宋体"/>
                <w:szCs w:val="21"/>
              </w:rPr>
              <w:t>分；</w:t>
            </w:r>
          </w:p>
          <w:p w14:paraId="4AB67201">
            <w:pPr>
              <w:tabs>
                <w:tab w:val="left" w:pos="175"/>
              </w:tabs>
              <w:spacing w:line="400" w:lineRule="exact"/>
              <w:jc w:val="left"/>
              <w:rPr>
                <w:rFonts w:hint="eastAsia" w:ascii="宋体"/>
                <w:szCs w:val="21"/>
              </w:rPr>
            </w:pPr>
            <w:r>
              <w:rPr>
                <w:rFonts w:hint="eastAsia" w:ascii="宋体"/>
                <w:szCs w:val="21"/>
                <w:lang w:val="en-US" w:eastAsia="zh-CN"/>
              </w:rPr>
              <w:t>11.2</w:t>
            </w:r>
            <w:r>
              <w:rPr>
                <w:rFonts w:hint="eastAsia" w:ascii="宋体"/>
                <w:szCs w:val="21"/>
              </w:rPr>
              <w:t>供应商承诺若远程支持无法解决问题的，在24小时内上门服务的得</w:t>
            </w:r>
            <w:r>
              <w:rPr>
                <w:rFonts w:hint="eastAsia" w:ascii="宋体"/>
                <w:szCs w:val="21"/>
                <w:lang w:val="en-US" w:eastAsia="zh-CN"/>
              </w:rPr>
              <w:t>2</w:t>
            </w:r>
            <w:r>
              <w:rPr>
                <w:rFonts w:hint="eastAsia" w:ascii="宋体"/>
                <w:szCs w:val="21"/>
              </w:rPr>
              <w:t>分；</w:t>
            </w:r>
          </w:p>
          <w:p w14:paraId="7B338DE1">
            <w:pPr>
              <w:tabs>
                <w:tab w:val="left" w:pos="175"/>
              </w:tabs>
              <w:spacing w:line="400" w:lineRule="exact"/>
              <w:jc w:val="left"/>
              <w:rPr>
                <w:rFonts w:hint="eastAsia" w:ascii="宋体"/>
                <w:szCs w:val="21"/>
              </w:rPr>
            </w:pPr>
            <w:r>
              <w:rPr>
                <w:rFonts w:hint="eastAsia" w:ascii="宋体"/>
                <w:szCs w:val="21"/>
                <w:lang w:val="en-US" w:eastAsia="zh-CN"/>
              </w:rPr>
              <w:t>11.3</w:t>
            </w:r>
            <w:r>
              <w:rPr>
                <w:rFonts w:hint="eastAsia" w:ascii="宋体"/>
                <w:szCs w:val="21"/>
              </w:rPr>
              <w:t>供应商承诺在3天内解决数据库故障问题的得</w:t>
            </w:r>
            <w:r>
              <w:rPr>
                <w:rFonts w:hint="eastAsia" w:ascii="宋体"/>
                <w:szCs w:val="21"/>
                <w:lang w:val="en-US" w:eastAsia="zh-CN"/>
              </w:rPr>
              <w:t>2</w:t>
            </w:r>
            <w:r>
              <w:rPr>
                <w:rFonts w:hint="eastAsia" w:ascii="宋体"/>
                <w:szCs w:val="21"/>
              </w:rPr>
              <w:t>分。</w:t>
            </w:r>
          </w:p>
          <w:p w14:paraId="7B1B787E">
            <w:pPr>
              <w:tabs>
                <w:tab w:val="left" w:pos="175"/>
              </w:tabs>
              <w:spacing w:line="400" w:lineRule="exact"/>
              <w:jc w:val="left"/>
              <w:rPr>
                <w:rFonts w:ascii="宋体" w:hAnsi="宋体" w:cs="宋体"/>
              </w:rPr>
            </w:pPr>
            <w:r>
              <w:rPr>
                <w:rFonts w:hint="eastAsia" w:ascii="宋体"/>
                <w:b/>
                <w:bCs/>
                <w:szCs w:val="21"/>
                <w:lang w:eastAsia="zh-CN"/>
              </w:rPr>
              <w:t>注：投标</w:t>
            </w:r>
            <w:r>
              <w:rPr>
                <w:rFonts w:hint="eastAsia" w:ascii="宋体"/>
                <w:b/>
                <w:bCs/>
                <w:szCs w:val="21"/>
              </w:rPr>
              <w:t>文件中提供</w:t>
            </w:r>
            <w:r>
              <w:rPr>
                <w:rFonts w:hint="eastAsia" w:ascii="宋体"/>
                <w:b/>
                <w:bCs/>
                <w:szCs w:val="21"/>
                <w:lang w:eastAsia="zh-CN"/>
              </w:rPr>
              <w:t>上述承诺函（格式自拟）并加盖供应商公章，否则不得分</w:t>
            </w:r>
            <w:r>
              <w:rPr>
                <w:rFonts w:hint="eastAsia" w:ascii="宋体"/>
                <w:b/>
                <w:bCs/>
                <w:szCs w:val="21"/>
              </w:rPr>
              <w:t>。</w:t>
            </w:r>
          </w:p>
        </w:tc>
        <w:tc>
          <w:tcPr>
            <w:tcW w:w="388" w:type="pct"/>
            <w:tcBorders>
              <w:top w:val="single" w:color="auto" w:sz="2" w:space="0"/>
              <w:left w:val="single" w:color="auto" w:sz="2" w:space="0"/>
              <w:bottom w:val="single" w:color="auto" w:sz="4" w:space="0"/>
              <w:right w:val="single" w:color="auto" w:sz="2" w:space="0"/>
            </w:tcBorders>
            <w:vAlign w:val="center"/>
          </w:tcPr>
          <w:p w14:paraId="735A1F74">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r>
      <w:tr w14:paraId="71F3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vMerge w:val="continue"/>
            <w:tcBorders>
              <w:left w:val="single" w:color="auto" w:sz="4" w:space="0"/>
              <w:right w:val="single" w:color="auto" w:sz="2" w:space="0"/>
            </w:tcBorders>
            <w:tcMar>
              <w:left w:w="28" w:type="dxa"/>
              <w:right w:w="28" w:type="dxa"/>
            </w:tcMar>
            <w:textDirection w:val="tbRlV"/>
            <w:vAlign w:val="center"/>
          </w:tcPr>
          <w:p w14:paraId="1EBF323D">
            <w:pPr>
              <w:spacing w:line="400" w:lineRule="exact"/>
              <w:jc w:val="center"/>
              <w:rPr>
                <w:rFonts w:ascii="宋体" w:hAnsi="宋体" w:cs="宋体"/>
                <w:szCs w:val="21"/>
              </w:rPr>
            </w:pPr>
          </w:p>
        </w:tc>
        <w:tc>
          <w:tcPr>
            <w:tcW w:w="4228" w:type="pct"/>
            <w:tcBorders>
              <w:top w:val="single" w:color="auto" w:sz="2" w:space="0"/>
              <w:left w:val="single" w:color="auto" w:sz="2" w:space="0"/>
              <w:bottom w:val="single" w:color="auto" w:sz="4" w:space="0"/>
              <w:right w:val="single" w:color="auto" w:sz="2" w:space="0"/>
            </w:tcBorders>
            <w:vAlign w:val="center"/>
          </w:tcPr>
          <w:p w14:paraId="48270686">
            <w:pPr>
              <w:tabs>
                <w:tab w:val="left" w:pos="317"/>
              </w:tabs>
              <w:spacing w:line="400" w:lineRule="exact"/>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业绩（2分）：</w:t>
            </w:r>
          </w:p>
          <w:p w14:paraId="3F138BEC">
            <w:pPr>
              <w:tabs>
                <w:tab w:val="left" w:pos="317"/>
              </w:tabs>
              <w:spacing w:line="400" w:lineRule="exact"/>
              <w:jc w:val="left"/>
              <w:rPr>
                <w:rFonts w:ascii="宋体" w:hAnsi="宋体" w:cs="宋体"/>
                <w:szCs w:val="21"/>
              </w:rPr>
            </w:pPr>
            <w:r>
              <w:rPr>
                <w:rFonts w:hint="eastAsia" w:ascii="宋体" w:hAnsi="宋体" w:cs="宋体"/>
                <w:szCs w:val="21"/>
              </w:rPr>
              <w:t>自202</w:t>
            </w:r>
            <w:r>
              <w:rPr>
                <w:rFonts w:hint="eastAsia" w:ascii="宋体" w:hAnsi="宋体" w:cs="宋体"/>
                <w:szCs w:val="21"/>
                <w:lang w:val="en-US" w:eastAsia="zh-CN"/>
              </w:rPr>
              <w:t>2</w:t>
            </w:r>
            <w:r>
              <w:rPr>
                <w:rFonts w:hint="eastAsia" w:ascii="宋体" w:hAnsi="宋体" w:cs="宋体"/>
                <w:szCs w:val="21"/>
              </w:rPr>
              <w:t>年1月1日（以合同签订日期为准）起至今，供应商</w:t>
            </w:r>
            <w:r>
              <w:rPr>
                <w:rFonts w:hint="eastAsia" w:ascii="宋体" w:hAnsi="宋体" w:cs="宋体"/>
                <w:szCs w:val="21"/>
                <w:lang w:eastAsia="zh-CN"/>
              </w:rPr>
              <w:t>具有</w:t>
            </w:r>
            <w:r>
              <w:rPr>
                <w:rFonts w:hint="eastAsia" w:ascii="宋体" w:hAnsi="宋体" w:cs="宋体"/>
                <w:szCs w:val="21"/>
              </w:rPr>
              <w:t>类似项目合同案例的</w:t>
            </w:r>
            <w:r>
              <w:rPr>
                <w:rFonts w:hint="eastAsia" w:ascii="宋体" w:hAnsi="宋体" w:cs="宋体"/>
                <w:szCs w:val="21"/>
                <w:lang w:eastAsia="zh-CN"/>
              </w:rPr>
              <w:t>，每提供一份合同</w:t>
            </w:r>
            <w:r>
              <w:rPr>
                <w:rFonts w:hint="eastAsia" w:ascii="宋体" w:hAnsi="宋体" w:cs="宋体"/>
                <w:szCs w:val="21"/>
              </w:rPr>
              <w:t>得1分，</w:t>
            </w:r>
            <w:r>
              <w:rPr>
                <w:rFonts w:hint="eastAsia" w:ascii="宋体" w:hAnsi="宋体" w:cs="宋体"/>
                <w:szCs w:val="21"/>
                <w:lang w:eastAsia="zh-CN"/>
              </w:rPr>
              <w:t>最多得</w:t>
            </w:r>
            <w:r>
              <w:rPr>
                <w:rFonts w:hint="eastAsia" w:ascii="宋体" w:hAnsi="宋体" w:cs="宋体"/>
                <w:szCs w:val="21"/>
              </w:rPr>
              <w:t>2分。</w:t>
            </w:r>
          </w:p>
          <w:p w14:paraId="20377C54">
            <w:pPr>
              <w:tabs>
                <w:tab w:val="left" w:pos="317"/>
              </w:tabs>
              <w:spacing w:line="400" w:lineRule="exact"/>
              <w:jc w:val="left"/>
              <w:rPr>
                <w:rFonts w:ascii="宋体" w:hAnsi="宋体" w:cs="宋体"/>
                <w:szCs w:val="21"/>
              </w:rPr>
            </w:pPr>
            <w:r>
              <w:rPr>
                <w:rFonts w:hint="eastAsia" w:ascii="宋体" w:hAnsi="宋体" w:cs="宋体"/>
                <w:b/>
                <w:bCs/>
                <w:szCs w:val="21"/>
              </w:rPr>
              <w:t>注：投标文件中须提供合同复印件并加盖供应商公章，类似项目案例需得到评标委员会的认可</w:t>
            </w:r>
            <w:r>
              <w:rPr>
                <w:rFonts w:hint="eastAsia" w:ascii="宋体" w:hAnsi="宋体" w:cs="宋体"/>
                <w:b/>
                <w:bCs/>
                <w:szCs w:val="21"/>
                <w:lang w:eastAsia="zh-CN"/>
              </w:rPr>
              <w:t>，否则不得分</w:t>
            </w:r>
            <w:r>
              <w:rPr>
                <w:rFonts w:hint="eastAsia" w:ascii="宋体" w:hAnsi="宋体" w:cs="宋体"/>
                <w:b/>
                <w:bCs/>
                <w:szCs w:val="21"/>
              </w:rPr>
              <w:t>。</w:t>
            </w:r>
          </w:p>
        </w:tc>
        <w:tc>
          <w:tcPr>
            <w:tcW w:w="388" w:type="pct"/>
            <w:tcBorders>
              <w:top w:val="single" w:color="auto" w:sz="2" w:space="0"/>
              <w:left w:val="single" w:color="auto" w:sz="2" w:space="0"/>
              <w:bottom w:val="single" w:color="auto" w:sz="4" w:space="0"/>
              <w:right w:val="single" w:color="auto" w:sz="2" w:space="0"/>
            </w:tcBorders>
            <w:vAlign w:val="center"/>
          </w:tcPr>
          <w:p w14:paraId="37BF8ABC">
            <w:pPr>
              <w:spacing w:line="4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r>
      <w:tr w14:paraId="6725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2" w:type="pct"/>
            <w:tcBorders>
              <w:top w:val="single" w:color="auto" w:sz="2" w:space="0"/>
              <w:left w:val="single" w:color="auto" w:sz="4" w:space="0"/>
              <w:bottom w:val="single" w:color="auto" w:sz="4" w:space="0"/>
              <w:right w:val="single" w:color="auto" w:sz="2" w:space="0"/>
            </w:tcBorders>
            <w:vAlign w:val="center"/>
          </w:tcPr>
          <w:p w14:paraId="2B8A37FD">
            <w:pPr>
              <w:spacing w:line="400" w:lineRule="exact"/>
              <w:jc w:val="center"/>
              <w:rPr>
                <w:rFonts w:ascii="宋体" w:hAnsi="宋体" w:cs="宋体"/>
                <w:szCs w:val="21"/>
              </w:rPr>
            </w:pPr>
            <w:r>
              <w:rPr>
                <w:rFonts w:hint="eastAsia" w:ascii="宋体" w:hAnsi="宋体" w:cs="宋体"/>
                <w:szCs w:val="21"/>
              </w:rPr>
              <w:t>价格分20分</w:t>
            </w:r>
          </w:p>
        </w:tc>
        <w:tc>
          <w:tcPr>
            <w:tcW w:w="4228" w:type="pct"/>
            <w:tcBorders>
              <w:top w:val="single" w:color="auto" w:sz="2" w:space="0"/>
              <w:left w:val="single" w:color="auto" w:sz="2" w:space="0"/>
              <w:bottom w:val="single" w:color="auto" w:sz="4" w:space="0"/>
              <w:right w:val="single" w:color="auto" w:sz="2" w:space="0"/>
            </w:tcBorders>
            <w:vAlign w:val="center"/>
          </w:tcPr>
          <w:p w14:paraId="7F9EE2B9">
            <w:pPr>
              <w:snapToGrid w:val="0"/>
              <w:spacing w:line="400" w:lineRule="exact"/>
              <w:rPr>
                <w:rFonts w:ascii="宋体" w:hAnsi="宋体" w:cs="宋体"/>
                <w:szCs w:val="21"/>
              </w:rPr>
            </w:pPr>
            <w:r>
              <w:rPr>
                <w:rFonts w:hint="eastAsia" w:ascii="宋体" w:hAnsi="宋体" w:cs="宋体"/>
                <w:szCs w:val="21"/>
              </w:rPr>
              <w:t>参与评审的价格=投标报价-小微企业价格优惠10%（如是）</w:t>
            </w:r>
          </w:p>
          <w:p w14:paraId="7E45937F">
            <w:pPr>
              <w:snapToGrid w:val="0"/>
              <w:spacing w:line="400" w:lineRule="exact"/>
              <w:rPr>
                <w:rFonts w:ascii="宋体" w:hAnsi="宋体" w:cs="宋体"/>
                <w:szCs w:val="21"/>
              </w:rPr>
            </w:pPr>
            <w:r>
              <w:rPr>
                <w:rFonts w:hint="eastAsia" w:ascii="宋体" w:hAnsi="宋体" w:cs="宋体"/>
                <w:szCs w:val="21"/>
              </w:rPr>
              <w:t>评标基准价=满足招标文件要求且最低的参与评审的价格</w:t>
            </w:r>
          </w:p>
          <w:p w14:paraId="306ABD9B">
            <w:pPr>
              <w:snapToGrid w:val="0"/>
              <w:spacing w:line="400" w:lineRule="exact"/>
              <w:rPr>
                <w:rFonts w:ascii="宋体" w:hAnsi="宋体" w:cs="宋体"/>
                <w:szCs w:val="21"/>
              </w:rPr>
            </w:pPr>
            <w:r>
              <w:rPr>
                <w:rFonts w:hint="eastAsia" w:ascii="宋体" w:hAnsi="宋体" w:cs="宋体"/>
                <w:szCs w:val="21"/>
              </w:rPr>
              <w:t>基准价得分为满分。</w:t>
            </w:r>
          </w:p>
          <w:p w14:paraId="058CA4B3">
            <w:pPr>
              <w:snapToGrid w:val="0"/>
              <w:spacing w:line="400" w:lineRule="exact"/>
              <w:rPr>
                <w:rFonts w:ascii="宋体" w:hAnsi="宋体" w:cs="宋体"/>
                <w:szCs w:val="21"/>
              </w:rPr>
            </w:pPr>
            <w:r>
              <w:rPr>
                <w:rFonts w:hint="eastAsia" w:ascii="宋体" w:hAnsi="宋体" w:cs="宋体"/>
                <w:szCs w:val="21"/>
              </w:rPr>
              <w:t>其他投标报价得分=(评标基准价/参与评审的价格)×价格权重×100</w:t>
            </w:r>
          </w:p>
          <w:p w14:paraId="582916E8">
            <w:pPr>
              <w:spacing w:line="400" w:lineRule="exact"/>
              <w:rPr>
                <w:rFonts w:ascii="宋体" w:hAnsi="宋体" w:cs="宋体"/>
                <w:szCs w:val="21"/>
              </w:rPr>
            </w:pPr>
            <w:r>
              <w:rPr>
                <w:rFonts w:hint="eastAsia" w:ascii="宋体" w:hAnsi="宋体" w:cs="宋体"/>
                <w:szCs w:val="21"/>
              </w:rPr>
              <w:t>投标报价得分以四舍五入保留小数点后2位。</w:t>
            </w:r>
          </w:p>
        </w:tc>
        <w:tc>
          <w:tcPr>
            <w:tcW w:w="388" w:type="pct"/>
            <w:tcBorders>
              <w:top w:val="single" w:color="auto" w:sz="2" w:space="0"/>
              <w:left w:val="single" w:color="auto" w:sz="2" w:space="0"/>
              <w:bottom w:val="single" w:color="auto" w:sz="4" w:space="0"/>
              <w:right w:val="single" w:color="auto" w:sz="2" w:space="0"/>
            </w:tcBorders>
            <w:vAlign w:val="center"/>
          </w:tcPr>
          <w:p w14:paraId="5DE43BFA">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20</w:t>
            </w:r>
          </w:p>
        </w:tc>
      </w:tr>
      <w:tr w14:paraId="1F51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3"/>
            <w:tcBorders>
              <w:top w:val="single" w:color="auto" w:sz="2" w:space="0"/>
              <w:left w:val="single" w:color="auto" w:sz="4" w:space="0"/>
              <w:bottom w:val="single" w:color="auto" w:sz="4" w:space="0"/>
              <w:right w:val="single" w:color="auto" w:sz="2" w:space="0"/>
            </w:tcBorders>
            <w:vAlign w:val="center"/>
          </w:tcPr>
          <w:p w14:paraId="1977C858">
            <w:pPr>
              <w:spacing w:line="400" w:lineRule="exact"/>
              <w:jc w:val="center"/>
              <w:rPr>
                <w:rFonts w:ascii="宋体" w:hAnsi="宋体" w:cs="宋体"/>
                <w:szCs w:val="21"/>
              </w:rPr>
            </w:pPr>
            <w:r>
              <w:rPr>
                <w:rFonts w:hint="eastAsia" w:ascii="宋体" w:hAnsi="宋体" w:cs="宋体"/>
                <w:szCs w:val="21"/>
              </w:rPr>
              <w:t>综合评分得分（满分100分）</w:t>
            </w:r>
          </w:p>
        </w:tc>
      </w:tr>
    </w:tbl>
    <w:p w14:paraId="5C92972B">
      <w:pPr>
        <w:adjustRightInd w:val="0"/>
        <w:snapToGrid w:val="0"/>
        <w:spacing w:line="400" w:lineRule="exact"/>
        <w:rPr>
          <w:rFonts w:ascii="宋体" w:hAnsi="宋体" w:cs="宋体"/>
          <w:sz w:val="24"/>
          <w:szCs w:val="24"/>
        </w:rPr>
      </w:pPr>
    </w:p>
    <w:p w14:paraId="3E519874">
      <w:pPr>
        <w:spacing w:line="400" w:lineRule="exact"/>
        <w:rPr>
          <w:rFonts w:ascii="宋体" w:hAnsi="宋体" w:cs="宋体"/>
          <w:b/>
          <w:szCs w:val="21"/>
        </w:rPr>
      </w:pPr>
      <w:r>
        <w:rPr>
          <w:rFonts w:hint="eastAsia" w:ascii="宋体" w:hAnsi="宋体" w:cs="宋体"/>
          <w:b/>
          <w:szCs w:val="21"/>
        </w:rPr>
        <w:br w:type="page"/>
      </w:r>
    </w:p>
    <w:p w14:paraId="38DCFF20">
      <w:pPr>
        <w:spacing w:line="400" w:lineRule="exact"/>
        <w:jc w:val="center"/>
        <w:outlineLvl w:val="0"/>
        <w:rPr>
          <w:rFonts w:ascii="宋体" w:hAnsi="宋体" w:cs="宋体"/>
          <w:b/>
          <w:sz w:val="32"/>
        </w:rPr>
      </w:pPr>
      <w:bookmarkStart w:id="165" w:name="_Toc27769"/>
      <w:r>
        <w:rPr>
          <w:rFonts w:hint="eastAsia" w:ascii="宋体" w:hAnsi="宋体" w:cs="宋体"/>
          <w:b/>
          <w:sz w:val="32"/>
        </w:rPr>
        <w:t>第六章  采购合同样本</w:t>
      </w:r>
      <w:bookmarkEnd w:id="165"/>
    </w:p>
    <w:p w14:paraId="53309703">
      <w:pPr>
        <w:spacing w:line="400" w:lineRule="exact"/>
        <w:jc w:val="center"/>
        <w:rPr>
          <w:b/>
          <w:sz w:val="24"/>
        </w:rPr>
      </w:pPr>
      <w:r>
        <w:rPr>
          <w:b/>
          <w:bCs/>
        </w:rPr>
        <w:t>（</w:t>
      </w:r>
      <w:r>
        <w:rPr>
          <w:b/>
        </w:rPr>
        <w:t>本合同未尽事宜或合同内容需实质性调整，根据招标文件规定、</w:t>
      </w:r>
      <w:r>
        <w:rPr>
          <w:rFonts w:hint="eastAsia"/>
          <w:b/>
        </w:rPr>
        <w:t>采购人</w:t>
      </w:r>
      <w:r>
        <w:rPr>
          <w:b/>
        </w:rPr>
        <w:t>邀约情况及中标</w:t>
      </w:r>
      <w:r>
        <w:rPr>
          <w:rFonts w:hint="eastAsia"/>
          <w:b/>
        </w:rPr>
        <w:t>供应商</w:t>
      </w:r>
      <w:r>
        <w:rPr>
          <w:b/>
        </w:rPr>
        <w:t>实际承诺结果据实增补或调整</w:t>
      </w:r>
      <w:r>
        <w:rPr>
          <w:b/>
          <w:bCs/>
        </w:rPr>
        <w:t>）</w:t>
      </w:r>
    </w:p>
    <w:p w14:paraId="2CFBC47E">
      <w:pPr>
        <w:spacing w:line="400" w:lineRule="exact"/>
        <w:ind w:firstLine="420" w:firstLineChars="200"/>
        <w:rPr>
          <w:szCs w:val="21"/>
        </w:rPr>
      </w:pPr>
      <w:r>
        <w:rPr>
          <w:szCs w:val="21"/>
        </w:rPr>
        <w:t>根据《中华人民共和国</w:t>
      </w:r>
      <w:r>
        <w:rPr>
          <w:rFonts w:hint="eastAsia"/>
          <w:szCs w:val="21"/>
        </w:rPr>
        <w:t>民法典</w:t>
      </w:r>
      <w:r>
        <w:rPr>
          <w:szCs w:val="21"/>
        </w:rPr>
        <w:t>》、《中华人民共和国著作权法》和其他相关法律法规，甲乙双方就___________________数据库使用及相关服务事宜，协商一致，达成如下意见，共同遵照执行。</w:t>
      </w:r>
    </w:p>
    <w:p w14:paraId="21606CF2">
      <w:pPr>
        <w:spacing w:line="400" w:lineRule="exact"/>
        <w:rPr>
          <w:b/>
          <w:szCs w:val="21"/>
        </w:rPr>
      </w:pPr>
    </w:p>
    <w:p w14:paraId="770E78C2">
      <w:pPr>
        <w:spacing w:line="400" w:lineRule="exact"/>
        <w:rPr>
          <w:b/>
          <w:szCs w:val="21"/>
        </w:rPr>
      </w:pPr>
      <w:r>
        <w:rPr>
          <w:b/>
          <w:szCs w:val="21"/>
        </w:rPr>
        <w:t xml:space="preserve">甲方（甲方）：宁波大学 </w:t>
      </w:r>
    </w:p>
    <w:p w14:paraId="4FFC9722">
      <w:pPr>
        <w:spacing w:line="400" w:lineRule="exact"/>
        <w:rPr>
          <w:b/>
          <w:szCs w:val="21"/>
        </w:rPr>
      </w:pPr>
      <w:r>
        <w:rPr>
          <w:b/>
          <w:szCs w:val="21"/>
        </w:rPr>
        <w:t>乙方（乙方）：</w:t>
      </w:r>
    </w:p>
    <w:p w14:paraId="1AED5D1B">
      <w:pPr>
        <w:spacing w:line="400" w:lineRule="exact"/>
        <w:rPr>
          <w:szCs w:val="21"/>
        </w:rPr>
      </w:pPr>
      <w:r>
        <w:rPr>
          <w:b/>
          <w:szCs w:val="21"/>
        </w:rPr>
        <w:t>合同编号：</w:t>
      </w:r>
    </w:p>
    <w:p w14:paraId="27DE46EB">
      <w:pPr>
        <w:spacing w:line="400" w:lineRule="exact"/>
        <w:rPr>
          <w:rFonts w:ascii="宋体" w:hAnsi="宋体" w:cs="宋体"/>
          <w:b/>
          <w:szCs w:val="21"/>
        </w:rPr>
      </w:pPr>
      <w:r>
        <w:rPr>
          <w:rFonts w:hint="eastAsia" w:ascii="宋体" w:hAnsi="宋体" w:cs="宋体"/>
          <w:b/>
          <w:bCs/>
          <w:szCs w:val="21"/>
        </w:rPr>
        <w:t>一、</w:t>
      </w:r>
      <w:r>
        <w:rPr>
          <w:rFonts w:hint="eastAsia" w:ascii="宋体" w:hAnsi="宋体" w:cs="宋体"/>
          <w:b/>
          <w:szCs w:val="21"/>
        </w:rPr>
        <w:t>采购商品合同价格</w:t>
      </w:r>
    </w:p>
    <w:p w14:paraId="2D94908F">
      <w:pPr>
        <w:pStyle w:val="201"/>
        <w:tabs>
          <w:tab w:val="left" w:pos="360"/>
        </w:tabs>
        <w:spacing w:line="400" w:lineRule="exact"/>
        <w:ind w:firstLine="420"/>
        <w:rPr>
          <w:rFonts w:ascii="宋体" w:hAnsi="宋体" w:cs="宋体"/>
          <w:sz w:val="21"/>
          <w:szCs w:val="21"/>
        </w:rPr>
      </w:pPr>
      <w:r>
        <w:rPr>
          <w:rFonts w:hint="eastAsia" w:ascii="宋体" w:hAnsi="宋体" w:cs="宋体"/>
          <w:sz w:val="21"/>
          <w:szCs w:val="21"/>
        </w:rPr>
        <w:t xml:space="preserve">1.采购内容： </w:t>
      </w: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810"/>
        <w:gridCol w:w="3993"/>
      </w:tblGrid>
      <w:tr w14:paraId="543A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0" w:type="pct"/>
            <w:vAlign w:val="center"/>
          </w:tcPr>
          <w:p w14:paraId="05F045FA">
            <w:pPr>
              <w:spacing w:line="400" w:lineRule="exact"/>
              <w:jc w:val="center"/>
              <w:rPr>
                <w:rFonts w:ascii="宋体" w:hAnsi="宋体" w:cs="宋体"/>
                <w:szCs w:val="21"/>
              </w:rPr>
            </w:pPr>
            <w:r>
              <w:rPr>
                <w:rFonts w:hint="eastAsia" w:ascii="宋体" w:hAnsi="宋体" w:cs="宋体"/>
                <w:szCs w:val="21"/>
              </w:rPr>
              <w:t>数据库名称</w:t>
            </w:r>
          </w:p>
        </w:tc>
        <w:tc>
          <w:tcPr>
            <w:tcW w:w="1532" w:type="pct"/>
            <w:vAlign w:val="center"/>
          </w:tcPr>
          <w:p w14:paraId="75C9AB67">
            <w:pPr>
              <w:spacing w:line="400" w:lineRule="exact"/>
              <w:jc w:val="center"/>
              <w:rPr>
                <w:rFonts w:ascii="宋体" w:hAnsi="宋体" w:cs="宋体"/>
                <w:szCs w:val="21"/>
              </w:rPr>
            </w:pPr>
            <w:r>
              <w:rPr>
                <w:rFonts w:hint="eastAsia" w:ascii="宋体" w:hAnsi="宋体" w:cs="宋体"/>
                <w:szCs w:val="21"/>
              </w:rPr>
              <w:t>价格（人民币，元）</w:t>
            </w:r>
          </w:p>
        </w:tc>
        <w:tc>
          <w:tcPr>
            <w:tcW w:w="2177" w:type="pct"/>
            <w:vAlign w:val="center"/>
          </w:tcPr>
          <w:p w14:paraId="49339923">
            <w:pPr>
              <w:spacing w:line="400" w:lineRule="exact"/>
              <w:jc w:val="center"/>
              <w:rPr>
                <w:rFonts w:ascii="宋体" w:hAnsi="宋体" w:cs="宋体"/>
                <w:szCs w:val="21"/>
              </w:rPr>
            </w:pPr>
            <w:r>
              <w:rPr>
                <w:rFonts w:hint="eastAsia" w:ascii="宋体" w:hAnsi="宋体" w:cs="宋体"/>
                <w:szCs w:val="21"/>
              </w:rPr>
              <w:t>服务期</w:t>
            </w:r>
          </w:p>
        </w:tc>
      </w:tr>
      <w:tr w14:paraId="19BD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0" w:type="pct"/>
            <w:vAlign w:val="center"/>
          </w:tcPr>
          <w:p w14:paraId="5EF664DF">
            <w:pPr>
              <w:spacing w:line="400" w:lineRule="exact"/>
              <w:jc w:val="center"/>
              <w:rPr>
                <w:rFonts w:ascii="宋体" w:hAnsi="宋体" w:cs="宋体"/>
                <w:szCs w:val="21"/>
              </w:rPr>
            </w:pPr>
          </w:p>
        </w:tc>
        <w:tc>
          <w:tcPr>
            <w:tcW w:w="1532" w:type="pct"/>
            <w:vAlign w:val="center"/>
          </w:tcPr>
          <w:p w14:paraId="3407D74A">
            <w:pPr>
              <w:spacing w:line="400" w:lineRule="exact"/>
              <w:jc w:val="center"/>
              <w:rPr>
                <w:rFonts w:ascii="宋体" w:hAnsi="宋体" w:cs="宋体"/>
                <w:szCs w:val="21"/>
              </w:rPr>
            </w:pPr>
          </w:p>
        </w:tc>
        <w:tc>
          <w:tcPr>
            <w:tcW w:w="2177" w:type="pct"/>
            <w:vAlign w:val="center"/>
          </w:tcPr>
          <w:p w14:paraId="25EEA14A">
            <w:pPr>
              <w:spacing w:line="400" w:lineRule="exact"/>
              <w:jc w:val="center"/>
              <w:rPr>
                <w:rFonts w:ascii="宋体" w:hAnsi="宋体" w:cs="宋体"/>
                <w:szCs w:val="21"/>
              </w:rPr>
            </w:pPr>
          </w:p>
        </w:tc>
      </w:tr>
    </w:tbl>
    <w:p w14:paraId="00B1D9FC">
      <w:pPr>
        <w:pStyle w:val="201"/>
        <w:tabs>
          <w:tab w:val="left" w:pos="360"/>
        </w:tabs>
        <w:spacing w:line="400" w:lineRule="exact"/>
        <w:ind w:firstLine="420"/>
        <w:rPr>
          <w:rFonts w:ascii="宋体" w:hAnsi="宋体" w:cs="宋体"/>
          <w:sz w:val="21"/>
          <w:szCs w:val="21"/>
        </w:rPr>
      </w:pPr>
      <w:r>
        <w:rPr>
          <w:rFonts w:hint="eastAsia" w:ascii="宋体" w:hAnsi="宋体" w:cs="宋体"/>
          <w:sz w:val="21"/>
          <w:szCs w:val="21"/>
        </w:rPr>
        <w:t>2.以上合同价格包括运抵甲方指定地点的一切费用以及开票税费。</w:t>
      </w:r>
    </w:p>
    <w:p w14:paraId="6D5AA793">
      <w:pPr>
        <w:spacing w:line="400" w:lineRule="exact"/>
        <w:rPr>
          <w:rFonts w:ascii="宋体" w:hAnsi="宋体" w:cs="宋体"/>
          <w:b/>
          <w:szCs w:val="21"/>
        </w:rPr>
      </w:pPr>
      <w:r>
        <w:rPr>
          <w:rFonts w:hint="eastAsia" w:ascii="宋体" w:hAnsi="宋体" w:cs="宋体"/>
          <w:b/>
          <w:szCs w:val="21"/>
        </w:rPr>
        <w:t>二、双方权利与责任条款：</w:t>
      </w:r>
    </w:p>
    <w:p w14:paraId="0A9DD568">
      <w:pPr>
        <w:spacing w:line="400" w:lineRule="exact"/>
        <w:rPr>
          <w:rFonts w:ascii="宋体" w:hAnsi="宋体" w:cs="宋体"/>
          <w:szCs w:val="21"/>
        </w:rPr>
      </w:pPr>
      <w:r>
        <w:rPr>
          <w:rFonts w:hint="eastAsia" w:ascii="宋体" w:hAnsi="宋体" w:cs="宋体"/>
          <w:szCs w:val="21"/>
        </w:rPr>
        <w:t>1.甲方权利与责任</w:t>
      </w:r>
    </w:p>
    <w:p w14:paraId="77DB4256">
      <w:pPr>
        <w:spacing w:line="400" w:lineRule="exact"/>
        <w:rPr>
          <w:rFonts w:ascii="宋体" w:hAnsi="宋体" w:cs="宋体"/>
          <w:szCs w:val="21"/>
        </w:rPr>
      </w:pPr>
      <w:r>
        <w:rPr>
          <w:rFonts w:hint="eastAsia" w:ascii="宋体" w:hAnsi="宋体" w:cs="宋体"/>
          <w:szCs w:val="21"/>
        </w:rPr>
        <w:t>1）甲方依本合同约定取得所采购数据库内容的使用权，乙方应按照约定的日期对数字资源进行安装或开放链接，保证甲方使用。</w:t>
      </w:r>
    </w:p>
    <w:p w14:paraId="37373207">
      <w:pPr>
        <w:spacing w:line="400" w:lineRule="exact"/>
        <w:rPr>
          <w:rFonts w:ascii="宋体" w:hAnsi="宋体" w:cs="宋体"/>
          <w:szCs w:val="21"/>
        </w:rPr>
      </w:pPr>
      <w:r>
        <w:rPr>
          <w:rFonts w:hint="eastAsia" w:ascii="宋体" w:hAnsi="宋体" w:cs="宋体"/>
          <w:szCs w:val="21"/>
        </w:rPr>
        <w:t>2）甲方不得进行非法出售、转售、复制、解密、扩散，或利用乙方数据库制作和销售任何形式的商用数据(库)以及任何形式的出版物。</w:t>
      </w:r>
    </w:p>
    <w:p w14:paraId="07C3B86A">
      <w:pPr>
        <w:spacing w:line="400" w:lineRule="exact"/>
        <w:rPr>
          <w:rFonts w:ascii="宋体" w:hAnsi="宋体" w:cs="宋体"/>
          <w:szCs w:val="21"/>
        </w:rPr>
      </w:pPr>
      <w:r>
        <w:rPr>
          <w:rFonts w:hint="eastAsia" w:ascii="宋体" w:hAnsi="宋体" w:cs="宋体"/>
          <w:szCs w:val="21"/>
        </w:rPr>
        <w:t>2.乙方权利与责任</w:t>
      </w:r>
    </w:p>
    <w:p w14:paraId="74A92D5A">
      <w:pPr>
        <w:spacing w:line="400" w:lineRule="exact"/>
        <w:rPr>
          <w:rFonts w:ascii="宋体" w:hAnsi="宋体" w:cs="宋体"/>
          <w:szCs w:val="21"/>
        </w:rPr>
      </w:pPr>
      <w:r>
        <w:rPr>
          <w:rFonts w:hint="eastAsia" w:ascii="宋体" w:hAnsi="宋体" w:cs="宋体"/>
          <w:szCs w:val="21"/>
        </w:rPr>
        <w:t>1）按照本协议规定，乙方应按约定时间及方式向甲方提供所采购数据库及约定服务，开通访问权限。</w:t>
      </w:r>
    </w:p>
    <w:p w14:paraId="3A0845AB">
      <w:pPr>
        <w:spacing w:line="400" w:lineRule="exact"/>
        <w:rPr>
          <w:rFonts w:ascii="宋体" w:hAnsi="宋体" w:cs="宋体"/>
          <w:szCs w:val="21"/>
        </w:rPr>
      </w:pPr>
      <w:r>
        <w:rPr>
          <w:rFonts w:hint="eastAsia" w:ascii="宋体" w:hAnsi="宋体" w:cs="宋体"/>
          <w:szCs w:val="21"/>
        </w:rPr>
        <w:t>2）保证本合同中所供应的数字资源符合国家有关规定，不得提供非法出版物，保证资源的完整性。</w:t>
      </w:r>
    </w:p>
    <w:p w14:paraId="2BA6C61A">
      <w:pPr>
        <w:spacing w:line="400" w:lineRule="exact"/>
        <w:rPr>
          <w:rFonts w:ascii="宋体" w:hAnsi="宋体" w:cs="宋体"/>
          <w:szCs w:val="21"/>
        </w:rPr>
      </w:pPr>
      <w:r>
        <w:rPr>
          <w:rFonts w:hint="eastAsia" w:ascii="宋体" w:hAnsi="宋体" w:cs="宋体"/>
          <w:szCs w:val="21"/>
        </w:rPr>
        <w:t>3）乙方承诺：乙方为甲方提供的所有数据库中数据及系统平台的版权均已拥有或取得合法权利，不存在侵害第三方权利的情形。如出现相关版权等知识产权纠纷问题均由乙方解决，与甲方无关，乙方承担与之相关的一切法律责任，造成甲方损失的，应赔偿甲方。</w:t>
      </w:r>
    </w:p>
    <w:p w14:paraId="056C5E1B">
      <w:pPr>
        <w:spacing w:line="400" w:lineRule="exact"/>
        <w:rPr>
          <w:rFonts w:ascii="宋体" w:hAnsi="宋体" w:cs="宋体"/>
          <w:b/>
          <w:szCs w:val="21"/>
        </w:rPr>
      </w:pPr>
      <w:r>
        <w:rPr>
          <w:rFonts w:hint="eastAsia" w:ascii="宋体" w:hAnsi="宋体" w:cs="宋体"/>
          <w:b/>
          <w:szCs w:val="21"/>
        </w:rPr>
        <w:t>三、费用和支付</w:t>
      </w:r>
    </w:p>
    <w:p w14:paraId="7DE6608B">
      <w:pPr>
        <w:spacing w:line="400" w:lineRule="exact"/>
        <w:rPr>
          <w:rFonts w:ascii="宋体" w:hAnsi="宋体" w:cs="宋体"/>
          <w:szCs w:val="21"/>
        </w:rPr>
      </w:pPr>
      <w:r>
        <w:rPr>
          <w:rFonts w:hint="eastAsia" w:ascii="宋体" w:hAnsi="宋体" w:cs="宋体"/>
          <w:szCs w:val="21"/>
        </w:rPr>
        <w:t>1.本协议总金额为_________元，大写：__________________元。</w:t>
      </w:r>
    </w:p>
    <w:p w14:paraId="596DB765">
      <w:pPr>
        <w:spacing w:line="400" w:lineRule="exact"/>
        <w:rPr>
          <w:rFonts w:ascii="宋体" w:hAnsi="宋体" w:cs="宋体"/>
          <w:color w:val="000000"/>
          <w:szCs w:val="21"/>
        </w:rPr>
      </w:pPr>
      <w:r>
        <w:rPr>
          <w:rFonts w:hint="eastAsia" w:ascii="宋体" w:hAnsi="宋体" w:cs="宋体"/>
          <w:color w:val="000000"/>
          <w:szCs w:val="21"/>
        </w:rPr>
        <w:t>乙方银行账户信息：</w:t>
      </w:r>
    </w:p>
    <w:p w14:paraId="081170BD">
      <w:pPr>
        <w:spacing w:line="400" w:lineRule="exact"/>
        <w:rPr>
          <w:rFonts w:ascii="宋体" w:hAnsi="宋体" w:cs="宋体"/>
          <w:color w:val="000000"/>
          <w:szCs w:val="21"/>
        </w:rPr>
      </w:pPr>
      <w:r>
        <w:rPr>
          <w:rFonts w:hint="eastAsia" w:ascii="宋体" w:hAnsi="宋体" w:cs="宋体"/>
          <w:color w:val="000000"/>
          <w:szCs w:val="21"/>
        </w:rPr>
        <w:t xml:space="preserve">开户名称： </w:t>
      </w:r>
    </w:p>
    <w:p w14:paraId="43F28163">
      <w:pPr>
        <w:spacing w:line="400" w:lineRule="exact"/>
        <w:rPr>
          <w:rFonts w:ascii="宋体" w:hAnsi="宋体" w:cs="宋体"/>
          <w:color w:val="000000"/>
          <w:szCs w:val="21"/>
        </w:rPr>
      </w:pPr>
      <w:r>
        <w:rPr>
          <w:rFonts w:hint="eastAsia" w:ascii="宋体" w:hAnsi="宋体" w:cs="宋体"/>
          <w:color w:val="000000"/>
          <w:szCs w:val="21"/>
        </w:rPr>
        <w:t xml:space="preserve">开户行名称： </w:t>
      </w:r>
    </w:p>
    <w:p w14:paraId="48556494">
      <w:pPr>
        <w:spacing w:line="400" w:lineRule="exact"/>
        <w:rPr>
          <w:rFonts w:ascii="宋体" w:hAnsi="宋体" w:cs="宋体"/>
          <w:color w:val="000000"/>
          <w:szCs w:val="21"/>
        </w:rPr>
      </w:pPr>
      <w:r>
        <w:rPr>
          <w:rFonts w:hint="eastAsia" w:ascii="宋体" w:hAnsi="宋体" w:cs="宋体"/>
          <w:color w:val="000000"/>
          <w:szCs w:val="21"/>
        </w:rPr>
        <w:t>开户行账号：</w:t>
      </w:r>
    </w:p>
    <w:p w14:paraId="4E9FD32C">
      <w:pPr>
        <w:spacing w:line="400" w:lineRule="exact"/>
        <w:rPr>
          <w:rFonts w:ascii="宋体" w:hAnsi="宋体" w:cs="宋体"/>
          <w:szCs w:val="21"/>
        </w:rPr>
      </w:pPr>
      <w:r>
        <w:rPr>
          <w:rFonts w:hint="eastAsia" w:ascii="宋体" w:hAnsi="宋体" w:cs="宋体"/>
          <w:szCs w:val="21"/>
        </w:rPr>
        <w:t>2.合同签订生效且具备实施条件后7个工作日内，甲方凭乙方开具的收据一次性付完合同款项。</w:t>
      </w:r>
    </w:p>
    <w:p w14:paraId="19C07432">
      <w:pPr>
        <w:spacing w:line="400" w:lineRule="exact"/>
        <w:rPr>
          <w:rFonts w:ascii="宋体" w:hAnsi="宋体" w:cs="宋体"/>
          <w:b/>
          <w:bCs/>
          <w:szCs w:val="21"/>
        </w:rPr>
      </w:pPr>
      <w:r>
        <w:rPr>
          <w:rFonts w:hint="eastAsia" w:ascii="宋体" w:hAnsi="宋体" w:cs="宋体"/>
          <w:b/>
          <w:bCs/>
          <w:szCs w:val="21"/>
        </w:rPr>
        <w:t>四、违约责任</w:t>
      </w:r>
    </w:p>
    <w:p w14:paraId="76701BB2">
      <w:pPr>
        <w:spacing w:line="400" w:lineRule="exact"/>
        <w:rPr>
          <w:rFonts w:ascii="宋体" w:hAnsi="宋体" w:cs="宋体"/>
          <w:szCs w:val="21"/>
        </w:rPr>
      </w:pPr>
      <w:r>
        <w:rPr>
          <w:rFonts w:hint="eastAsia" w:ascii="宋体" w:hAnsi="宋体" w:cs="宋体"/>
          <w:szCs w:val="21"/>
        </w:rPr>
        <w:t>1.如果乙方未按合同规定的要求交付合同货物和提供服务；或乙方未能履行合同规定的其</w:t>
      </w:r>
      <w:r>
        <w:rPr>
          <w:rFonts w:hint="eastAsia" w:ascii="宋体" w:hAnsi="宋体" w:cs="宋体"/>
          <w:szCs w:val="21"/>
          <w:lang w:eastAsia="zh-CN"/>
        </w:rPr>
        <w:t>他</w:t>
      </w:r>
      <w:r>
        <w:rPr>
          <w:rFonts w:hint="eastAsia" w:ascii="宋体" w:hAnsi="宋体" w:cs="宋体"/>
          <w:szCs w:val="21"/>
        </w:rPr>
        <w:t>义务时，甲方有权向乙方发出违约通知书，乙方应按照甲方选择的下列一种或多种方式承担赔偿责任：</w:t>
      </w:r>
    </w:p>
    <w:p w14:paraId="589445E0">
      <w:pPr>
        <w:spacing w:line="400" w:lineRule="exact"/>
        <w:rPr>
          <w:rFonts w:ascii="宋体" w:hAnsi="宋体" w:cs="宋体"/>
          <w:szCs w:val="21"/>
        </w:rPr>
      </w:pPr>
      <w:r>
        <w:rPr>
          <w:rFonts w:hint="eastAsia" w:ascii="宋体" w:hAnsi="宋体" w:cs="宋体"/>
          <w:szCs w:val="21"/>
        </w:rPr>
        <w:t>1）在甲方同意延长的交货期限内交付数字资源，并承担由此给甲方造成的一切损失。</w:t>
      </w:r>
    </w:p>
    <w:p w14:paraId="4B2C7FE1">
      <w:pPr>
        <w:spacing w:line="400" w:lineRule="exact"/>
        <w:rPr>
          <w:rFonts w:ascii="宋体" w:hAnsi="宋体" w:cs="宋体"/>
          <w:szCs w:val="21"/>
        </w:rPr>
      </w:pPr>
      <w:r>
        <w:rPr>
          <w:rFonts w:hint="eastAsia" w:ascii="宋体" w:hAnsi="宋体" w:cs="宋体"/>
          <w:szCs w:val="21"/>
        </w:rPr>
        <w:t>2）逾期交付超过30日，甲方有权单方决定解除合同，乙方将所订数字资源的相应款额退还给甲方，并承担由此发生的一切费用和损失。</w:t>
      </w:r>
    </w:p>
    <w:p w14:paraId="2503B849">
      <w:pPr>
        <w:spacing w:line="400" w:lineRule="exact"/>
        <w:rPr>
          <w:rFonts w:ascii="宋体" w:hAnsi="宋体" w:cs="宋体"/>
          <w:szCs w:val="21"/>
        </w:rPr>
      </w:pPr>
      <w:r>
        <w:rPr>
          <w:rFonts w:hint="eastAsia" w:ascii="宋体" w:hAnsi="宋体" w:cs="宋体"/>
          <w:szCs w:val="21"/>
        </w:rPr>
        <w:t>3）甲方有权部分或全部解除合同并要求乙方赔偿由此造成的损失。此时乙方可采取必要的补救措施，相关费用由乙方承担。</w:t>
      </w:r>
    </w:p>
    <w:p w14:paraId="3A70616A">
      <w:pPr>
        <w:spacing w:line="400" w:lineRule="exact"/>
        <w:rPr>
          <w:rFonts w:ascii="宋体" w:hAnsi="宋体" w:cs="宋体"/>
          <w:szCs w:val="21"/>
        </w:rPr>
      </w:pPr>
      <w:r>
        <w:rPr>
          <w:rFonts w:hint="eastAsia" w:ascii="宋体" w:hAnsi="宋体" w:cs="宋体"/>
          <w:szCs w:val="21"/>
        </w:rPr>
        <w:t>2.如果乙方在收到甲方的违约通知书后十五日内未作答复，视为同意甲方的主张。</w:t>
      </w:r>
    </w:p>
    <w:p w14:paraId="764A1046">
      <w:pPr>
        <w:spacing w:line="400" w:lineRule="exact"/>
        <w:rPr>
          <w:rFonts w:ascii="宋体" w:hAnsi="宋体" w:cs="宋体"/>
          <w:szCs w:val="21"/>
        </w:rPr>
      </w:pPr>
      <w:r>
        <w:rPr>
          <w:rFonts w:hint="eastAsia" w:ascii="宋体" w:hAnsi="宋体" w:cs="宋体"/>
          <w:szCs w:val="21"/>
        </w:rPr>
        <w:t>3.若发生知识产权权属纠纷的，则甲方有权单方通知乙方解除本合同，乙方需全额退款。造成甲方损失的，还应另行承担赔偿责任。</w:t>
      </w:r>
    </w:p>
    <w:p w14:paraId="6F90E3BB">
      <w:pPr>
        <w:spacing w:line="400" w:lineRule="exact"/>
        <w:rPr>
          <w:rFonts w:ascii="宋体" w:hAnsi="宋体" w:cs="宋体"/>
          <w:szCs w:val="21"/>
        </w:rPr>
      </w:pPr>
      <w:r>
        <w:rPr>
          <w:rFonts w:hint="eastAsia" w:ascii="宋体" w:hAnsi="宋体" w:cs="宋体"/>
          <w:szCs w:val="21"/>
        </w:rPr>
        <w:t>4.延期付款的违约责任：如果甲方未按照合同约定时间或金额支付合同款，每逾期一日，甲方应按照逾期未支付的金额的万分之一计算，向乙方支付逾期付款违约金，但不超过合同总金额的百分之一。</w:t>
      </w:r>
    </w:p>
    <w:p w14:paraId="1AC2CB5F">
      <w:pPr>
        <w:spacing w:line="400" w:lineRule="exact"/>
        <w:rPr>
          <w:rFonts w:ascii="宋体" w:hAnsi="宋体" w:cs="宋体"/>
          <w:szCs w:val="21"/>
        </w:rPr>
      </w:pPr>
      <w:r>
        <w:rPr>
          <w:rFonts w:hint="eastAsia" w:ascii="宋体" w:hAnsi="宋体" w:cs="宋体"/>
          <w:szCs w:val="21"/>
        </w:rPr>
        <w:t>5.以上各项交付的违约金并不影响违约方履行合同的各项义务。</w:t>
      </w:r>
    </w:p>
    <w:p w14:paraId="5147C069">
      <w:pPr>
        <w:spacing w:line="400" w:lineRule="exact"/>
        <w:rPr>
          <w:rFonts w:ascii="宋体" w:hAnsi="宋体" w:cs="宋体"/>
          <w:b/>
          <w:bCs/>
          <w:szCs w:val="21"/>
        </w:rPr>
      </w:pPr>
      <w:r>
        <w:rPr>
          <w:rFonts w:hint="eastAsia" w:ascii="宋体" w:hAnsi="宋体" w:cs="宋体"/>
          <w:b/>
          <w:bCs/>
          <w:szCs w:val="21"/>
        </w:rPr>
        <w:t>五、争议的解决</w:t>
      </w:r>
    </w:p>
    <w:p w14:paraId="3F1C14DC">
      <w:pPr>
        <w:pStyle w:val="262"/>
        <w:spacing w:line="400" w:lineRule="exact"/>
        <w:ind w:firstLine="0" w:firstLineChars="0"/>
        <w:rPr>
          <w:rFonts w:ascii="宋体" w:hAnsi="宋体" w:cs="宋体"/>
          <w:sz w:val="21"/>
          <w:szCs w:val="21"/>
        </w:rPr>
      </w:pPr>
      <w:r>
        <w:rPr>
          <w:rFonts w:hint="eastAsia" w:ascii="宋体" w:hAnsi="宋体" w:cs="宋体"/>
          <w:sz w:val="21"/>
          <w:szCs w:val="21"/>
        </w:rPr>
        <w:t>1.由本合同引起或与本合同有关的任何争议，双方均应通过友好协商解决。协商不成，任何一方均可将争议提交原告住所地人民法院裁决。</w:t>
      </w:r>
    </w:p>
    <w:p w14:paraId="3BA12930">
      <w:pPr>
        <w:spacing w:line="400" w:lineRule="exact"/>
        <w:rPr>
          <w:rFonts w:ascii="宋体" w:hAnsi="宋体" w:cs="宋体"/>
          <w:szCs w:val="21"/>
        </w:rPr>
      </w:pPr>
      <w:r>
        <w:rPr>
          <w:rFonts w:hint="eastAsia" w:ascii="宋体" w:hAnsi="宋体" w:cs="宋体"/>
          <w:szCs w:val="21"/>
        </w:rPr>
        <w:t>2.如本合同任何条款被法院裁决为无效，不影响本合同其他条款的持续有效和执行。</w:t>
      </w:r>
    </w:p>
    <w:p w14:paraId="0F8FFB2F">
      <w:pPr>
        <w:spacing w:line="400" w:lineRule="exact"/>
        <w:rPr>
          <w:rFonts w:ascii="宋体" w:hAnsi="宋体" w:cs="宋体"/>
          <w:b/>
          <w:bCs/>
          <w:szCs w:val="21"/>
        </w:rPr>
      </w:pPr>
      <w:r>
        <w:rPr>
          <w:rFonts w:hint="eastAsia" w:ascii="宋体" w:hAnsi="宋体" w:cs="宋体"/>
          <w:b/>
          <w:bCs/>
          <w:szCs w:val="21"/>
        </w:rPr>
        <w:t>六、不可抗力</w:t>
      </w:r>
    </w:p>
    <w:p w14:paraId="69C2BDBB">
      <w:pPr>
        <w:pStyle w:val="262"/>
        <w:spacing w:line="400" w:lineRule="exact"/>
        <w:ind w:firstLine="0" w:firstLineChars="0"/>
        <w:rPr>
          <w:rFonts w:ascii="宋体" w:hAnsi="宋体" w:cs="宋体"/>
          <w:sz w:val="21"/>
          <w:szCs w:val="21"/>
        </w:rPr>
      </w:pPr>
      <w:r>
        <w:rPr>
          <w:rFonts w:hint="eastAsia" w:ascii="宋体" w:hAnsi="宋体" w:cs="宋体"/>
          <w:sz w:val="21"/>
          <w:szCs w:val="21"/>
        </w:rPr>
        <w:t>1.“不可抗力”是指双方不能合理控制、不可预见或即使预见亦无法避免的事件，该事件妨碍、影响或延误任何一方根据本合同履行其全部或部分义务。该事件包括但不限于地震、台风、洪水、火灾或其他天灾、战争、骚乱、罢工、恶性传染病及法律或政策改变或任何其他类似事件。</w:t>
      </w:r>
    </w:p>
    <w:p w14:paraId="7572D82D">
      <w:pPr>
        <w:spacing w:line="400" w:lineRule="exact"/>
        <w:rPr>
          <w:rFonts w:ascii="宋体" w:hAnsi="宋体" w:cs="宋体"/>
          <w:szCs w:val="21"/>
        </w:rPr>
      </w:pPr>
      <w:r>
        <w:rPr>
          <w:rFonts w:hint="eastAsia" w:ascii="宋体" w:hAnsi="宋体" w:cs="宋体"/>
          <w:szCs w:val="21"/>
        </w:rPr>
        <w:t>2.如发生不可抗力事件，遭受该事件的一方应在合理时间内用可能的最快捷的方式通知对方，并在十五日内提供证明文件说明该事件的细节和不能履行或部分不能履行或延迟履行本合同的原因，然后由双方协商是否延期履行本合同或终止本合同。因不可抗力原因未履行合同的，未履行一方对另一方不承担违约责任。</w:t>
      </w:r>
    </w:p>
    <w:p w14:paraId="7A24B372">
      <w:pPr>
        <w:spacing w:line="400" w:lineRule="exact"/>
        <w:rPr>
          <w:rFonts w:ascii="宋体" w:hAnsi="宋体" w:cs="宋体"/>
          <w:b/>
          <w:bCs/>
          <w:szCs w:val="21"/>
        </w:rPr>
      </w:pPr>
      <w:r>
        <w:rPr>
          <w:rFonts w:hint="eastAsia" w:ascii="宋体" w:hAnsi="宋体" w:cs="宋体"/>
          <w:b/>
          <w:bCs/>
          <w:szCs w:val="21"/>
        </w:rPr>
        <w:t>七、合同的生效</w:t>
      </w:r>
    </w:p>
    <w:p w14:paraId="69C9476E">
      <w:pPr>
        <w:spacing w:line="400" w:lineRule="exact"/>
        <w:rPr>
          <w:rFonts w:ascii="宋体" w:hAnsi="宋体" w:cs="宋体"/>
          <w:szCs w:val="21"/>
        </w:rPr>
      </w:pPr>
      <w:r>
        <w:rPr>
          <w:rFonts w:hint="eastAsia" w:ascii="宋体" w:hAnsi="宋体" w:cs="宋体"/>
          <w:szCs w:val="21"/>
        </w:rPr>
        <w:t>1.本合同经甲方和乙方法定代表人或其委托人签字并加盖公章或合同专用章后生效。</w:t>
      </w:r>
    </w:p>
    <w:p w14:paraId="33C32DC2">
      <w:pPr>
        <w:spacing w:line="400" w:lineRule="exact"/>
        <w:rPr>
          <w:rFonts w:ascii="宋体" w:hAnsi="宋体" w:cs="宋体"/>
          <w:szCs w:val="21"/>
        </w:rPr>
      </w:pPr>
      <w:r>
        <w:rPr>
          <w:rFonts w:hint="eastAsia" w:ascii="宋体" w:hAnsi="宋体" w:cs="宋体"/>
          <w:szCs w:val="21"/>
        </w:rPr>
        <w:t>2.相关招标文件、投标文件及乙方的有关承诺与本合同具有同等法律效力。</w:t>
      </w:r>
    </w:p>
    <w:p w14:paraId="65B69177">
      <w:pPr>
        <w:spacing w:line="400" w:lineRule="exact"/>
        <w:rPr>
          <w:rFonts w:ascii="宋体" w:hAnsi="宋体" w:cs="宋体"/>
          <w:szCs w:val="21"/>
        </w:rPr>
      </w:pPr>
      <w:r>
        <w:rPr>
          <w:rFonts w:hint="eastAsia" w:ascii="宋体" w:hAnsi="宋体" w:cs="宋体"/>
          <w:szCs w:val="21"/>
        </w:rPr>
        <w:t>3.本协议有效期为  年  月  日至  年  月  日，协议一式</w:t>
      </w:r>
      <w:r>
        <w:rPr>
          <w:rFonts w:hint="eastAsia" w:ascii="宋体" w:hAnsi="宋体" w:cs="宋体"/>
          <w:szCs w:val="21"/>
          <w:u w:val="single"/>
        </w:rPr>
        <w:t xml:space="preserve"> 陆 </w:t>
      </w:r>
      <w:r>
        <w:rPr>
          <w:rFonts w:hint="eastAsia" w:ascii="宋体" w:hAnsi="宋体" w:cs="宋体"/>
          <w:szCs w:val="21"/>
        </w:rPr>
        <w:t>份，甲方执</w:t>
      </w:r>
      <w:r>
        <w:rPr>
          <w:rFonts w:hint="eastAsia" w:ascii="宋体" w:hAnsi="宋体" w:cs="宋体"/>
          <w:szCs w:val="21"/>
          <w:u w:val="single"/>
        </w:rPr>
        <w:t xml:space="preserve"> 肆 </w:t>
      </w:r>
      <w:r>
        <w:rPr>
          <w:rFonts w:hint="eastAsia" w:ascii="宋体" w:hAnsi="宋体" w:cs="宋体"/>
          <w:szCs w:val="21"/>
        </w:rPr>
        <w:t>份、乙方执</w:t>
      </w:r>
      <w:r>
        <w:rPr>
          <w:rFonts w:hint="eastAsia" w:ascii="宋体" w:hAnsi="宋体" w:cs="宋体"/>
          <w:szCs w:val="21"/>
          <w:u w:val="single"/>
        </w:rPr>
        <w:t xml:space="preserve"> 贰 </w:t>
      </w:r>
      <w:r>
        <w:rPr>
          <w:rFonts w:hint="eastAsia" w:ascii="宋体" w:hAnsi="宋体" w:cs="宋体"/>
          <w:szCs w:val="21"/>
        </w:rPr>
        <w:t>份，具有同等法律效力。</w:t>
      </w:r>
    </w:p>
    <w:p w14:paraId="7A813894">
      <w:pPr>
        <w:pStyle w:val="201"/>
        <w:tabs>
          <w:tab w:val="left" w:pos="360"/>
        </w:tabs>
        <w:spacing w:line="400" w:lineRule="exact"/>
        <w:ind w:firstLine="420"/>
        <w:rPr>
          <w:rFonts w:ascii="宋体" w:hAnsi="宋体" w:cs="宋体"/>
          <w:sz w:val="21"/>
          <w:szCs w:val="21"/>
        </w:rPr>
      </w:pPr>
    </w:p>
    <w:p w14:paraId="477756CC">
      <w:pPr>
        <w:pStyle w:val="201"/>
        <w:tabs>
          <w:tab w:val="left" w:pos="360"/>
        </w:tabs>
        <w:spacing w:line="400" w:lineRule="exact"/>
        <w:ind w:firstLine="420"/>
        <w:rPr>
          <w:rFonts w:ascii="宋体" w:hAnsi="宋体" w:cs="宋体"/>
          <w:sz w:val="21"/>
          <w:szCs w:val="21"/>
        </w:rPr>
      </w:pPr>
    </w:p>
    <w:p w14:paraId="3C2163F8">
      <w:pPr>
        <w:spacing w:line="400" w:lineRule="exact"/>
        <w:ind w:firstLine="420" w:firstLineChars="200"/>
        <w:rPr>
          <w:rFonts w:ascii="宋体" w:hAnsi="宋体" w:cs="宋体"/>
          <w:szCs w:val="21"/>
        </w:rPr>
      </w:pPr>
      <w:r>
        <w:rPr>
          <w:rFonts w:hint="eastAsia" w:ascii="宋体" w:hAnsi="宋体" w:cs="宋体"/>
          <w:szCs w:val="21"/>
        </w:rPr>
        <w:t>甲方：                                    乙方：</w:t>
      </w:r>
    </w:p>
    <w:p w14:paraId="0554B484">
      <w:pPr>
        <w:spacing w:line="400" w:lineRule="exact"/>
        <w:ind w:firstLine="420" w:firstLineChars="200"/>
        <w:rPr>
          <w:rFonts w:ascii="宋体" w:hAnsi="宋体" w:cs="宋体"/>
          <w:szCs w:val="21"/>
        </w:rPr>
      </w:pPr>
      <w:r>
        <w:rPr>
          <w:rFonts w:hint="eastAsia" w:ascii="宋体" w:hAnsi="宋体" w:cs="宋体"/>
          <w:szCs w:val="21"/>
        </w:rPr>
        <w:t>地址：                                    地址：</w:t>
      </w:r>
    </w:p>
    <w:p w14:paraId="49E6E25B">
      <w:pPr>
        <w:spacing w:line="400" w:lineRule="exact"/>
        <w:ind w:firstLine="420" w:firstLineChars="200"/>
        <w:rPr>
          <w:rFonts w:ascii="宋体" w:hAnsi="宋体" w:cs="宋体"/>
          <w:szCs w:val="21"/>
        </w:rPr>
      </w:pPr>
      <w:r>
        <w:rPr>
          <w:rFonts w:hint="eastAsia" w:ascii="宋体" w:hAnsi="宋体" w:cs="宋体"/>
          <w:szCs w:val="21"/>
        </w:rPr>
        <w:t>法定代表人（或授权代表）：（签字）        法定代表人（或授权代表）：（签字）</w:t>
      </w:r>
    </w:p>
    <w:p w14:paraId="7727DAB7">
      <w:pPr>
        <w:spacing w:line="400" w:lineRule="exact"/>
        <w:ind w:firstLine="420"/>
        <w:rPr>
          <w:rFonts w:ascii="宋体" w:hAnsi="宋体" w:cs="宋体"/>
          <w:szCs w:val="21"/>
        </w:rPr>
      </w:pPr>
      <w:r>
        <w:rPr>
          <w:rFonts w:hint="eastAsia" w:ascii="宋体" w:hAnsi="宋体" w:cs="宋体"/>
          <w:szCs w:val="21"/>
        </w:rPr>
        <w:t>签订地点：   年   月   日                 签订日期：   年   月   日</w:t>
      </w:r>
    </w:p>
    <w:p w14:paraId="0E993CF1">
      <w:pPr>
        <w:pStyle w:val="208"/>
        <w:ind w:left="105" w:right="105" w:firstLine="643"/>
        <w:rPr>
          <w:rFonts w:ascii="宋体" w:hAnsi="宋体" w:cs="宋体"/>
          <w:b/>
          <w:color w:val="auto"/>
          <w:sz w:val="32"/>
        </w:rPr>
        <w:sectPr>
          <w:pgSz w:w="11905" w:h="16838"/>
          <w:pgMar w:top="1474" w:right="1474" w:bottom="1474" w:left="1474" w:header="907" w:footer="850" w:gutter="0"/>
          <w:pgBorders>
            <w:top w:val="none" w:sz="0" w:space="0"/>
            <w:left w:val="none" w:sz="0" w:space="0"/>
            <w:bottom w:val="none" w:sz="0" w:space="0"/>
            <w:right w:val="none" w:sz="0" w:space="0"/>
          </w:pgBorders>
          <w:cols w:space="0" w:num="1"/>
          <w:docGrid w:type="lines" w:linePitch="289" w:charSpace="0"/>
        </w:sectPr>
      </w:pPr>
      <w:bookmarkStart w:id="166" w:name="_Toc216662965"/>
    </w:p>
    <w:bookmarkEnd w:id="166"/>
    <w:p w14:paraId="5A1D107C">
      <w:pPr>
        <w:spacing w:line="400" w:lineRule="exact"/>
        <w:jc w:val="center"/>
        <w:outlineLvl w:val="0"/>
        <w:rPr>
          <w:rFonts w:ascii="宋体" w:hAnsi="宋体" w:cs="宋体"/>
          <w:b/>
          <w:sz w:val="32"/>
        </w:rPr>
      </w:pPr>
      <w:bookmarkStart w:id="167" w:name="_Toc105926978"/>
      <w:bookmarkStart w:id="168" w:name="_Toc8334"/>
      <w:r>
        <w:rPr>
          <w:rFonts w:hint="eastAsia" w:ascii="宋体" w:hAnsi="宋体" w:cs="宋体"/>
          <w:b/>
          <w:sz w:val="32"/>
        </w:rPr>
        <w:t>第七章  附件</w:t>
      </w:r>
      <w:bookmarkEnd w:id="167"/>
      <w:bookmarkEnd w:id="168"/>
    </w:p>
    <w:p w14:paraId="73F6E1C3">
      <w:pPr>
        <w:autoSpaceDE w:val="0"/>
        <w:autoSpaceDN w:val="0"/>
        <w:adjustRightInd w:val="0"/>
        <w:spacing w:before="960" w:line="420" w:lineRule="exact"/>
        <w:jc w:val="center"/>
        <w:rPr>
          <w:rStyle w:val="117"/>
          <w:rFonts w:ascii="宋体" w:hAnsi="宋体" w:cs="宋体"/>
          <w:sz w:val="32"/>
          <w:szCs w:val="32"/>
        </w:rPr>
      </w:pPr>
      <w:r>
        <w:rPr>
          <w:rStyle w:val="117"/>
          <w:rFonts w:hint="eastAsia" w:ascii="宋体" w:hAnsi="宋体" w:cs="宋体"/>
          <w:sz w:val="32"/>
          <w:szCs w:val="32"/>
        </w:rPr>
        <w:t>A.资格文件</w:t>
      </w:r>
    </w:p>
    <w:p w14:paraId="69E54C57">
      <w:pPr>
        <w:spacing w:line="360" w:lineRule="auto"/>
        <w:ind w:firstLine="1120" w:firstLineChars="400"/>
        <w:rPr>
          <w:rFonts w:ascii="宋体" w:hAnsi="宋体" w:cs="宋体"/>
          <w:sz w:val="28"/>
        </w:rPr>
      </w:pPr>
    </w:p>
    <w:p w14:paraId="2F04452D">
      <w:pPr>
        <w:spacing w:line="360" w:lineRule="auto"/>
        <w:rPr>
          <w:rFonts w:ascii="宋体" w:hAnsi="宋体" w:cs="宋体"/>
          <w:b/>
          <w:sz w:val="32"/>
          <w:szCs w:val="32"/>
        </w:rPr>
      </w:pPr>
      <w:r>
        <w:rPr>
          <w:rFonts w:hint="eastAsia" w:ascii="宋体" w:hAnsi="宋体" w:cs="宋体"/>
          <w:sz w:val="28"/>
        </w:rPr>
        <w:br w:type="page"/>
      </w:r>
      <w:r>
        <w:rPr>
          <w:rFonts w:hint="eastAsia" w:ascii="宋体" w:hAnsi="宋体" w:cs="宋体"/>
          <w:b/>
          <w:sz w:val="32"/>
          <w:szCs w:val="32"/>
        </w:rPr>
        <w:t xml:space="preserve">封面                                       </w:t>
      </w:r>
    </w:p>
    <w:p w14:paraId="6D1BA6B9">
      <w:pPr>
        <w:spacing w:line="360" w:lineRule="auto"/>
        <w:jc w:val="right"/>
        <w:rPr>
          <w:rFonts w:ascii="宋体" w:hAnsi="宋体" w:cs="宋体"/>
          <w:b/>
          <w:sz w:val="32"/>
          <w:szCs w:val="32"/>
        </w:rPr>
      </w:pPr>
    </w:p>
    <w:p w14:paraId="3578A3F5">
      <w:pPr>
        <w:spacing w:line="360" w:lineRule="auto"/>
        <w:rPr>
          <w:rFonts w:ascii="宋体" w:hAnsi="宋体" w:cs="宋体"/>
          <w:sz w:val="28"/>
          <w:szCs w:val="28"/>
        </w:rPr>
      </w:pPr>
    </w:p>
    <w:p w14:paraId="3E31B7D7">
      <w:pPr>
        <w:spacing w:line="360" w:lineRule="auto"/>
        <w:jc w:val="center"/>
        <w:rPr>
          <w:rFonts w:ascii="宋体" w:hAnsi="宋体" w:cs="宋体"/>
          <w:b/>
          <w:sz w:val="42"/>
          <w:szCs w:val="52"/>
        </w:rPr>
      </w:pPr>
      <w:r>
        <w:rPr>
          <w:rFonts w:hint="eastAsia" w:ascii="宋体" w:hAnsi="宋体" w:cs="宋体"/>
          <w:b/>
          <w:sz w:val="40"/>
          <w:szCs w:val="40"/>
        </w:rPr>
        <w:t>宁波大学鼎秀古籍全文数据库等采购项目</w:t>
      </w:r>
    </w:p>
    <w:p w14:paraId="548AA826">
      <w:pPr>
        <w:spacing w:line="360" w:lineRule="auto"/>
        <w:rPr>
          <w:rFonts w:ascii="宋体" w:hAnsi="宋体" w:cs="宋体"/>
          <w:sz w:val="42"/>
          <w:szCs w:val="52"/>
        </w:rPr>
      </w:pPr>
    </w:p>
    <w:p w14:paraId="02110753">
      <w:pPr>
        <w:spacing w:line="360" w:lineRule="auto"/>
        <w:jc w:val="center"/>
        <w:rPr>
          <w:rFonts w:ascii="宋体" w:hAnsi="宋体" w:cs="宋体"/>
          <w:sz w:val="36"/>
          <w:szCs w:val="36"/>
        </w:rPr>
      </w:pPr>
      <w:r>
        <w:rPr>
          <w:rFonts w:hint="eastAsia" w:ascii="宋体" w:hAnsi="宋体" w:cs="宋体"/>
          <w:sz w:val="36"/>
          <w:szCs w:val="36"/>
        </w:rPr>
        <w:t>项目编号：</w:t>
      </w:r>
      <w:r>
        <w:rPr>
          <w:rFonts w:hint="eastAsia" w:ascii="宋体" w:hAnsi="宋体" w:cs="宋体"/>
          <w:sz w:val="36"/>
          <w:szCs w:val="36"/>
          <w:u w:val="single"/>
        </w:rPr>
        <w:t>NBITC-202530421G</w:t>
      </w:r>
    </w:p>
    <w:p w14:paraId="17CCFA4F">
      <w:pPr>
        <w:spacing w:line="360" w:lineRule="auto"/>
        <w:jc w:val="center"/>
        <w:rPr>
          <w:rFonts w:ascii="宋体" w:hAnsi="宋体" w:cs="宋体"/>
          <w:sz w:val="36"/>
          <w:szCs w:val="36"/>
        </w:rPr>
      </w:pPr>
      <w:r>
        <w:rPr>
          <w:rFonts w:hint="eastAsia" w:ascii="宋体" w:hAnsi="宋体" w:cs="宋体"/>
          <w:sz w:val="36"/>
          <w:szCs w:val="36"/>
        </w:rPr>
        <w:t>标    项：</w:t>
      </w:r>
      <w:r>
        <w:rPr>
          <w:rFonts w:hint="eastAsia" w:ascii="宋体" w:hAnsi="宋体" w:cs="宋体"/>
          <w:sz w:val="36"/>
          <w:szCs w:val="36"/>
          <w:u w:val="single"/>
        </w:rPr>
        <w:t>（如有多个标项）</w:t>
      </w:r>
    </w:p>
    <w:p w14:paraId="4CC523DF">
      <w:pPr>
        <w:rPr>
          <w:rFonts w:ascii="宋体" w:hAnsi="宋体" w:cs="宋体"/>
          <w:sz w:val="28"/>
          <w:szCs w:val="28"/>
        </w:rPr>
      </w:pPr>
    </w:p>
    <w:p w14:paraId="5E366BDE">
      <w:pPr>
        <w:spacing w:line="360" w:lineRule="auto"/>
        <w:jc w:val="center"/>
        <w:rPr>
          <w:rFonts w:ascii="宋体" w:hAnsi="宋体" w:cs="宋体"/>
          <w:sz w:val="36"/>
          <w:szCs w:val="36"/>
        </w:rPr>
      </w:pPr>
      <w:r>
        <w:rPr>
          <w:rFonts w:hint="eastAsia" w:ascii="宋体" w:hAnsi="宋体" w:cs="宋体"/>
          <w:sz w:val="36"/>
          <w:szCs w:val="36"/>
        </w:rPr>
        <w:t>（资格文件）</w:t>
      </w:r>
    </w:p>
    <w:p w14:paraId="5C6A129D">
      <w:pPr>
        <w:jc w:val="center"/>
        <w:rPr>
          <w:rFonts w:ascii="宋体" w:hAnsi="宋体" w:cs="宋体"/>
          <w:sz w:val="28"/>
          <w:szCs w:val="28"/>
        </w:rPr>
      </w:pPr>
    </w:p>
    <w:p w14:paraId="692FF887">
      <w:pPr>
        <w:spacing w:line="360" w:lineRule="auto"/>
        <w:jc w:val="center"/>
        <w:rPr>
          <w:rFonts w:ascii="宋体" w:hAnsi="宋体" w:cs="宋体"/>
          <w:b/>
          <w:sz w:val="72"/>
          <w:szCs w:val="72"/>
        </w:rPr>
      </w:pPr>
      <w:r>
        <w:rPr>
          <w:rFonts w:hint="eastAsia" w:ascii="宋体" w:hAnsi="宋体" w:cs="宋体"/>
          <w:b/>
          <w:sz w:val="72"/>
          <w:szCs w:val="72"/>
        </w:rPr>
        <w:t>投标文件</w:t>
      </w:r>
    </w:p>
    <w:p w14:paraId="70278DAC">
      <w:pPr>
        <w:spacing w:line="360" w:lineRule="auto"/>
        <w:jc w:val="center"/>
        <w:rPr>
          <w:rFonts w:ascii="宋体" w:hAnsi="宋体" w:cs="宋体"/>
          <w:sz w:val="36"/>
          <w:szCs w:val="36"/>
        </w:rPr>
      </w:pPr>
    </w:p>
    <w:p w14:paraId="07FA30D5">
      <w:pPr>
        <w:spacing w:line="360" w:lineRule="auto"/>
        <w:jc w:val="center"/>
        <w:rPr>
          <w:rFonts w:ascii="宋体" w:hAnsi="宋体" w:cs="宋体"/>
          <w:sz w:val="36"/>
          <w:szCs w:val="36"/>
        </w:rPr>
      </w:pPr>
    </w:p>
    <w:p w14:paraId="768288D2">
      <w:pPr>
        <w:spacing w:line="360" w:lineRule="auto"/>
        <w:jc w:val="center"/>
        <w:rPr>
          <w:rFonts w:ascii="宋体" w:hAnsi="宋体" w:cs="宋体"/>
          <w:sz w:val="36"/>
          <w:szCs w:val="36"/>
        </w:rPr>
      </w:pPr>
    </w:p>
    <w:p w14:paraId="3521DC53">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14:paraId="1F8D137A">
      <w:pPr>
        <w:pStyle w:val="28"/>
        <w:ind w:left="101" w:leftChars="48" w:firstLine="1920" w:firstLineChars="800"/>
        <w:jc w:val="left"/>
        <w:rPr>
          <w:rFonts w:hAnsi="宋体" w:cs="宋体"/>
          <w:kern w:val="2"/>
          <w:szCs w:val="28"/>
          <w:u w:val="single"/>
        </w:rPr>
      </w:pPr>
    </w:p>
    <w:p w14:paraId="0B73CD62">
      <w:pPr>
        <w:spacing w:line="360" w:lineRule="auto"/>
        <w:jc w:val="center"/>
        <w:rPr>
          <w:rFonts w:ascii="宋体" w:hAnsi="宋体" w:cs="宋体"/>
          <w:sz w:val="36"/>
          <w:szCs w:val="36"/>
        </w:rPr>
      </w:pPr>
      <w:r>
        <w:rPr>
          <w:rFonts w:hint="eastAsia" w:ascii="宋体" w:hAnsi="宋体" w:cs="宋体"/>
          <w:sz w:val="36"/>
          <w:szCs w:val="36"/>
        </w:rPr>
        <w:t>年  月  日</w:t>
      </w:r>
    </w:p>
    <w:p w14:paraId="246C445B">
      <w:pPr>
        <w:spacing w:line="360" w:lineRule="auto"/>
        <w:rPr>
          <w:rStyle w:val="117"/>
          <w:rFonts w:ascii="宋体" w:hAnsi="宋体" w:cs="宋体"/>
          <w:szCs w:val="21"/>
        </w:rPr>
      </w:pPr>
      <w:r>
        <w:rPr>
          <w:rStyle w:val="117"/>
          <w:rFonts w:hint="eastAsia" w:ascii="宋体" w:hAnsi="宋体" w:cs="宋体"/>
          <w:szCs w:val="21"/>
        </w:rPr>
        <w:br w:type="page"/>
      </w:r>
    </w:p>
    <w:p w14:paraId="1E7BAB46">
      <w:pPr>
        <w:spacing w:line="400" w:lineRule="exact"/>
        <w:jc w:val="center"/>
        <w:rPr>
          <w:rFonts w:ascii="宋体" w:hAnsi="宋体" w:cs="宋体"/>
          <w:b/>
          <w:szCs w:val="21"/>
        </w:rPr>
      </w:pPr>
      <w:r>
        <w:rPr>
          <w:rFonts w:hint="eastAsia" w:ascii="宋体" w:hAnsi="宋体" w:cs="宋体"/>
          <w:b/>
          <w:szCs w:val="21"/>
        </w:rPr>
        <w:t>A1.</w:t>
      </w:r>
      <w:r>
        <w:rPr>
          <w:rStyle w:val="117"/>
          <w:rFonts w:hint="eastAsia" w:ascii="宋体" w:hAnsi="宋体" w:cs="宋体"/>
          <w:sz w:val="21"/>
          <w:szCs w:val="21"/>
        </w:rPr>
        <w:t>关于</w:t>
      </w:r>
      <w:r>
        <w:rPr>
          <w:rFonts w:hint="eastAsia" w:ascii="宋体" w:hAnsi="宋体" w:cs="宋体"/>
          <w:b/>
          <w:szCs w:val="21"/>
        </w:rPr>
        <w:t>资格的承诺函</w:t>
      </w:r>
    </w:p>
    <w:p w14:paraId="122CA9F4">
      <w:pPr>
        <w:spacing w:line="400" w:lineRule="exact"/>
        <w:rPr>
          <w:rFonts w:ascii="宋体" w:hAnsi="宋体" w:cs="宋体"/>
          <w:b/>
          <w:szCs w:val="21"/>
        </w:rPr>
      </w:pPr>
      <w:r>
        <w:rPr>
          <w:rFonts w:hint="eastAsia" w:ascii="宋体" w:hAnsi="宋体" w:cs="宋体"/>
          <w:szCs w:val="21"/>
        </w:rPr>
        <w:t>致：采购人</w:t>
      </w:r>
    </w:p>
    <w:p w14:paraId="4A01109E">
      <w:pPr>
        <w:spacing w:line="400" w:lineRule="exact"/>
        <w:ind w:firstLine="420" w:firstLineChars="200"/>
        <w:rPr>
          <w:rFonts w:ascii="宋体" w:hAnsi="宋体" w:cs="宋体"/>
          <w:szCs w:val="21"/>
        </w:rPr>
      </w:pPr>
      <w:r>
        <w:rPr>
          <w:rFonts w:hint="eastAsia" w:ascii="宋体" w:hAnsi="宋体" w:cs="宋体"/>
          <w:bCs/>
          <w:szCs w:val="21"/>
        </w:rPr>
        <w:t>我单位承诺：</w:t>
      </w:r>
    </w:p>
    <w:p w14:paraId="421136A0">
      <w:pPr>
        <w:spacing w:line="400" w:lineRule="exact"/>
        <w:ind w:firstLine="420" w:firstLineChars="200"/>
        <w:rPr>
          <w:rFonts w:ascii="宋体" w:hAnsi="宋体" w:cs="宋体"/>
          <w:szCs w:val="21"/>
        </w:rPr>
      </w:pPr>
      <w:r>
        <w:rPr>
          <w:rFonts w:hint="eastAsia" w:ascii="宋体" w:hAnsi="宋体" w:cs="宋体"/>
          <w:szCs w:val="21"/>
        </w:rPr>
        <w:t>我单位满足《中华人民共和国政府采购法》第二十二条 供应商参加政府采购活动应当具备的下列条件：</w:t>
      </w:r>
    </w:p>
    <w:p w14:paraId="0B3D1BE3">
      <w:pPr>
        <w:spacing w:line="400" w:lineRule="exact"/>
        <w:ind w:firstLine="420" w:firstLineChars="200"/>
        <w:rPr>
          <w:rFonts w:ascii="宋体" w:hAnsi="宋体" w:cs="宋体"/>
          <w:szCs w:val="21"/>
        </w:rPr>
      </w:pPr>
      <w:r>
        <w:rPr>
          <w:rFonts w:hint="eastAsia" w:ascii="宋体" w:hAnsi="宋体" w:cs="宋体"/>
          <w:szCs w:val="21"/>
        </w:rPr>
        <w:t>（一）具有独立承担民事责任的能力；</w:t>
      </w:r>
    </w:p>
    <w:p w14:paraId="092FF3FB">
      <w:pPr>
        <w:spacing w:line="400" w:lineRule="exact"/>
        <w:ind w:firstLine="420" w:firstLineChars="200"/>
        <w:rPr>
          <w:rFonts w:ascii="宋体" w:hAnsi="宋体" w:cs="宋体"/>
          <w:szCs w:val="21"/>
        </w:rPr>
      </w:pPr>
      <w:r>
        <w:rPr>
          <w:rFonts w:hint="eastAsia" w:ascii="宋体" w:hAnsi="宋体" w:cs="宋体"/>
          <w:szCs w:val="21"/>
        </w:rPr>
        <w:t>（二）具有良好的商业信誉和健全的财务会计制度；</w:t>
      </w:r>
    </w:p>
    <w:p w14:paraId="4299C35A">
      <w:pPr>
        <w:spacing w:line="400" w:lineRule="exact"/>
        <w:ind w:firstLine="420" w:firstLineChars="200"/>
        <w:rPr>
          <w:rFonts w:ascii="宋体" w:hAnsi="宋体" w:cs="宋体"/>
          <w:szCs w:val="21"/>
        </w:rPr>
      </w:pPr>
      <w:r>
        <w:rPr>
          <w:rFonts w:hint="eastAsia" w:ascii="宋体" w:hAnsi="宋体" w:cs="宋体"/>
          <w:szCs w:val="21"/>
        </w:rPr>
        <w:t>（三）具有履行合同所必需的设备和专业技术能力；</w:t>
      </w:r>
    </w:p>
    <w:p w14:paraId="1B34660F">
      <w:pPr>
        <w:spacing w:line="400" w:lineRule="exact"/>
        <w:ind w:firstLine="420" w:firstLineChars="200"/>
        <w:rPr>
          <w:rFonts w:ascii="宋体" w:hAnsi="宋体" w:cs="宋体"/>
          <w:szCs w:val="21"/>
        </w:rPr>
      </w:pPr>
      <w:r>
        <w:rPr>
          <w:rFonts w:hint="eastAsia" w:ascii="宋体" w:hAnsi="宋体" w:cs="宋体"/>
          <w:szCs w:val="21"/>
        </w:rPr>
        <w:t>（四）有依法缴纳税收和社会保障资金的良好记录；</w:t>
      </w:r>
    </w:p>
    <w:p w14:paraId="21D86ED3">
      <w:pPr>
        <w:spacing w:line="400" w:lineRule="exact"/>
        <w:ind w:firstLine="420" w:firstLineChars="200"/>
        <w:rPr>
          <w:rFonts w:ascii="宋体" w:hAnsi="宋体" w:cs="宋体"/>
          <w:szCs w:val="21"/>
        </w:rPr>
      </w:pPr>
      <w:r>
        <w:rPr>
          <w:rFonts w:hint="eastAsia" w:ascii="宋体" w:hAnsi="宋体" w:cs="宋体"/>
          <w:szCs w:val="21"/>
        </w:rPr>
        <w:t>（五）参加政府采购活动前三年内，在经营活动中没有重大违法记录；</w:t>
      </w:r>
    </w:p>
    <w:p w14:paraId="65619DA8">
      <w:pPr>
        <w:spacing w:line="400" w:lineRule="exact"/>
        <w:ind w:firstLine="420" w:firstLineChars="200"/>
        <w:rPr>
          <w:rFonts w:ascii="宋体" w:hAnsi="宋体" w:cs="宋体"/>
          <w:szCs w:val="21"/>
        </w:rPr>
      </w:pPr>
      <w:r>
        <w:rPr>
          <w:rFonts w:hint="eastAsia" w:ascii="宋体" w:hAnsi="宋体" w:cs="宋体"/>
          <w:szCs w:val="21"/>
        </w:rPr>
        <w:t>（六）法律、行政法规规定的其他条件。</w:t>
      </w:r>
    </w:p>
    <w:p w14:paraId="1C9BB6F1">
      <w:pPr>
        <w:spacing w:line="400" w:lineRule="exact"/>
        <w:ind w:firstLine="420" w:firstLineChars="200"/>
        <w:rPr>
          <w:rFonts w:ascii="宋体" w:hAnsi="宋体" w:cs="宋体"/>
          <w:szCs w:val="21"/>
        </w:rPr>
      </w:pPr>
    </w:p>
    <w:p w14:paraId="6879EFCB">
      <w:pPr>
        <w:spacing w:line="400" w:lineRule="exact"/>
        <w:ind w:firstLine="420" w:firstLineChars="200"/>
        <w:rPr>
          <w:rFonts w:ascii="宋体" w:hAnsi="宋体" w:cs="宋体"/>
          <w:szCs w:val="21"/>
        </w:rPr>
      </w:pPr>
      <w:r>
        <w:rPr>
          <w:rFonts w:hint="eastAsia" w:ascii="宋体" w:hAnsi="宋体" w:cs="宋体"/>
          <w:szCs w:val="21"/>
        </w:rPr>
        <w:t>特此承诺。</w:t>
      </w:r>
    </w:p>
    <w:p w14:paraId="3273802D">
      <w:pPr>
        <w:spacing w:line="400" w:lineRule="exact"/>
        <w:ind w:firstLine="420" w:firstLineChars="200"/>
        <w:rPr>
          <w:rFonts w:ascii="宋体" w:hAnsi="宋体" w:cs="宋体"/>
          <w:szCs w:val="21"/>
        </w:rPr>
      </w:pPr>
    </w:p>
    <w:p w14:paraId="2F31A23D">
      <w:pPr>
        <w:spacing w:line="400" w:lineRule="exact"/>
        <w:ind w:firstLine="420" w:firstLineChars="200"/>
        <w:rPr>
          <w:rFonts w:ascii="宋体" w:hAnsi="宋体" w:cs="宋体"/>
          <w:szCs w:val="21"/>
        </w:rPr>
      </w:pPr>
      <w:r>
        <w:rPr>
          <w:rFonts w:hint="eastAsia" w:ascii="宋体" w:hAnsi="宋体" w:cs="宋体"/>
          <w:szCs w:val="21"/>
        </w:rPr>
        <w:t>供应商（盖章）：</w:t>
      </w:r>
    </w:p>
    <w:p w14:paraId="68902EA7">
      <w:pPr>
        <w:spacing w:line="400" w:lineRule="exact"/>
        <w:ind w:firstLine="420" w:firstLineChars="200"/>
        <w:rPr>
          <w:rFonts w:ascii="宋体" w:hAnsi="宋体" w:cs="宋体"/>
          <w:szCs w:val="21"/>
        </w:rPr>
      </w:pPr>
      <w:r>
        <w:rPr>
          <w:rFonts w:hint="eastAsia" w:ascii="宋体" w:hAnsi="宋体" w:cs="宋体"/>
          <w:szCs w:val="21"/>
        </w:rPr>
        <w:t>日          期：</w:t>
      </w:r>
    </w:p>
    <w:p w14:paraId="7C91C4DA">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A2.营业执照副本（或事业法人登记证副本或其他登记证明材料）复印件并加盖供应商公章（供应商如果有名称变更的，应提供由行政主管部门出具的变更证明文件复印件并加盖供应商公章）。</w:t>
      </w:r>
      <w:r>
        <w:rPr>
          <w:rFonts w:hint="eastAsia" w:ascii="宋体" w:hAnsi="宋体" w:cs="宋体"/>
          <w:b/>
          <w:szCs w:val="21"/>
        </w:rPr>
        <w:br w:type="page"/>
      </w:r>
    </w:p>
    <w:p w14:paraId="0FE43011">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宋体"/>
          <w:b/>
          <w:szCs w:val="21"/>
          <w:lang w:eastAsia="zh-CN"/>
        </w:rPr>
      </w:pPr>
      <w:r>
        <w:rPr>
          <w:rFonts w:hint="eastAsia" w:ascii="宋体" w:hAnsi="宋体" w:cs="宋体"/>
          <w:b/>
          <w:szCs w:val="21"/>
        </w:rPr>
        <w:t>★A3.供应商须具有有效期内的出版物经营许可证（投标文件中提供复印件并加盖供应商公章）（适用于标项12,28</w:t>
      </w:r>
      <w:r>
        <w:rPr>
          <w:rFonts w:hint="eastAsia" w:ascii="宋体" w:hAnsi="宋体" w:cs="宋体"/>
          <w:b/>
          <w:szCs w:val="21"/>
          <w:lang w:val="en-US" w:eastAsia="zh-CN"/>
        </w:rPr>
        <w:t>,39</w:t>
      </w:r>
      <w:r>
        <w:rPr>
          <w:rFonts w:hint="eastAsia" w:ascii="宋体" w:hAnsi="宋体" w:cs="宋体"/>
          <w:b/>
          <w:szCs w:val="21"/>
        </w:rPr>
        <w:t>）</w:t>
      </w:r>
      <w:r>
        <w:rPr>
          <w:rFonts w:hint="eastAsia" w:ascii="宋体" w:hAnsi="宋体" w:cs="宋体"/>
          <w:b/>
          <w:szCs w:val="21"/>
          <w:lang w:eastAsia="zh-CN"/>
        </w:rPr>
        <w:t>。</w:t>
      </w:r>
    </w:p>
    <w:p w14:paraId="242A14E4">
      <w:pPr>
        <w:pStyle w:val="264"/>
        <w:keepNext w:val="0"/>
        <w:keepLines w:val="0"/>
        <w:pageBreakBefore w:val="0"/>
        <w:widowControl w:val="0"/>
        <w:kinsoku/>
        <w:wordWrap/>
        <w:overflowPunct/>
        <w:topLinePunct w:val="0"/>
        <w:autoSpaceDE/>
        <w:autoSpaceDN/>
        <w:bidi w:val="0"/>
        <w:snapToGrid/>
        <w:spacing w:before="0" w:after="0" w:line="400" w:lineRule="exact"/>
        <w:ind w:firstLine="0"/>
        <w:jc w:val="center"/>
        <w:rPr>
          <w:rStyle w:val="117"/>
          <w:rFonts w:ascii="宋体" w:hAnsi="宋体" w:cs="宋体"/>
          <w:sz w:val="32"/>
          <w:szCs w:val="32"/>
        </w:rPr>
      </w:pPr>
      <w:bookmarkStart w:id="169" w:name="_Toc21541026"/>
      <w:bookmarkStart w:id="170" w:name="_Toc16913"/>
      <w:bookmarkStart w:id="171" w:name="_Toc44162157"/>
      <w:r>
        <w:rPr>
          <w:rStyle w:val="117"/>
          <w:rFonts w:hint="eastAsia" w:ascii="宋体" w:hAnsi="宋体" w:cs="宋体"/>
          <w:sz w:val="32"/>
          <w:szCs w:val="32"/>
        </w:rPr>
        <w:br w:type="page"/>
      </w:r>
      <w:r>
        <w:rPr>
          <w:rStyle w:val="117"/>
          <w:rFonts w:hint="eastAsia" w:ascii="宋体" w:hAnsi="宋体" w:cs="宋体"/>
          <w:sz w:val="32"/>
          <w:szCs w:val="32"/>
        </w:rPr>
        <w:t>B.商务和技术文件</w:t>
      </w:r>
      <w:bookmarkEnd w:id="169"/>
      <w:bookmarkEnd w:id="170"/>
      <w:bookmarkEnd w:id="171"/>
    </w:p>
    <w:p w14:paraId="544DDE38">
      <w:pPr>
        <w:autoSpaceDE w:val="0"/>
        <w:autoSpaceDN w:val="0"/>
        <w:adjustRightInd w:val="0"/>
        <w:spacing w:line="420" w:lineRule="exact"/>
        <w:rPr>
          <w:rStyle w:val="117"/>
          <w:rFonts w:ascii="宋体" w:hAnsi="宋体" w:cs="宋体"/>
          <w:b w:val="0"/>
          <w:lang w:val="zh-CN"/>
        </w:rPr>
      </w:pPr>
      <w:r>
        <w:rPr>
          <w:rStyle w:val="117"/>
          <w:rFonts w:hint="eastAsia" w:ascii="宋体" w:hAnsi="宋体" w:cs="宋体"/>
          <w:sz w:val="32"/>
          <w:szCs w:val="32"/>
        </w:rPr>
        <w:br w:type="page"/>
      </w:r>
      <w:r>
        <w:rPr>
          <w:rStyle w:val="117"/>
          <w:rFonts w:hint="eastAsia" w:ascii="宋体" w:hAnsi="宋体" w:cs="宋体"/>
          <w:szCs w:val="21"/>
        </w:rPr>
        <w:t>封面</w:t>
      </w:r>
    </w:p>
    <w:p w14:paraId="07419CAA">
      <w:pPr>
        <w:spacing w:line="360" w:lineRule="auto"/>
        <w:ind w:firstLine="1285" w:firstLineChars="400"/>
        <w:jc w:val="right"/>
        <w:rPr>
          <w:rFonts w:ascii="宋体" w:hAnsi="宋体" w:cs="宋体"/>
          <w:b/>
          <w:sz w:val="32"/>
          <w:szCs w:val="32"/>
        </w:rPr>
      </w:pPr>
    </w:p>
    <w:p w14:paraId="16CBFB89">
      <w:pPr>
        <w:spacing w:line="360" w:lineRule="auto"/>
        <w:rPr>
          <w:rFonts w:ascii="宋体" w:hAnsi="宋体" w:cs="宋体"/>
          <w:sz w:val="28"/>
          <w:szCs w:val="28"/>
        </w:rPr>
      </w:pPr>
    </w:p>
    <w:p w14:paraId="6B43842C">
      <w:pPr>
        <w:spacing w:after="120" w:line="900" w:lineRule="exact"/>
        <w:jc w:val="center"/>
        <w:rPr>
          <w:rFonts w:ascii="宋体" w:hAnsi="宋体" w:cs="宋体"/>
          <w:b/>
          <w:sz w:val="40"/>
          <w:szCs w:val="40"/>
        </w:rPr>
      </w:pPr>
      <w:r>
        <w:rPr>
          <w:rFonts w:hint="eastAsia" w:ascii="宋体" w:hAnsi="宋体" w:cs="宋体"/>
          <w:b/>
          <w:sz w:val="40"/>
          <w:szCs w:val="40"/>
        </w:rPr>
        <w:t>宁波大学鼎秀古籍全文数据库等采购项目</w:t>
      </w:r>
    </w:p>
    <w:p w14:paraId="09016665">
      <w:pPr>
        <w:spacing w:line="360" w:lineRule="auto"/>
        <w:jc w:val="center"/>
        <w:rPr>
          <w:rFonts w:ascii="宋体" w:hAnsi="宋体" w:cs="宋体"/>
          <w:sz w:val="36"/>
          <w:szCs w:val="36"/>
          <w:u w:val="single"/>
        </w:rPr>
      </w:pPr>
    </w:p>
    <w:p w14:paraId="41ADCA8D">
      <w:pPr>
        <w:spacing w:line="360" w:lineRule="auto"/>
        <w:jc w:val="center"/>
        <w:rPr>
          <w:rFonts w:ascii="宋体" w:hAnsi="宋体" w:cs="宋体"/>
          <w:sz w:val="36"/>
          <w:szCs w:val="36"/>
          <w:u w:val="single"/>
        </w:rPr>
      </w:pPr>
      <w:r>
        <w:rPr>
          <w:rFonts w:hint="eastAsia" w:ascii="宋体" w:hAnsi="宋体" w:cs="宋体"/>
          <w:sz w:val="36"/>
          <w:szCs w:val="36"/>
        </w:rPr>
        <w:t>项目编号：</w:t>
      </w:r>
      <w:r>
        <w:rPr>
          <w:rFonts w:hint="eastAsia" w:ascii="宋体" w:hAnsi="宋体" w:cs="宋体"/>
          <w:sz w:val="36"/>
          <w:szCs w:val="36"/>
          <w:u w:val="single"/>
        </w:rPr>
        <w:t>NBITC-202530421G</w:t>
      </w:r>
    </w:p>
    <w:p w14:paraId="7CB7AA83">
      <w:pPr>
        <w:spacing w:line="360" w:lineRule="auto"/>
        <w:jc w:val="center"/>
        <w:rPr>
          <w:rFonts w:ascii="宋体" w:hAnsi="宋体" w:cs="宋体"/>
          <w:sz w:val="36"/>
          <w:szCs w:val="36"/>
        </w:rPr>
      </w:pPr>
      <w:r>
        <w:rPr>
          <w:rFonts w:hint="eastAsia" w:ascii="宋体" w:hAnsi="宋体" w:cs="宋体"/>
          <w:sz w:val="36"/>
          <w:szCs w:val="36"/>
        </w:rPr>
        <w:t>标    项：</w:t>
      </w:r>
      <w:r>
        <w:rPr>
          <w:rFonts w:hint="eastAsia" w:ascii="宋体" w:hAnsi="宋体" w:cs="宋体"/>
          <w:sz w:val="36"/>
          <w:szCs w:val="36"/>
          <w:u w:val="single"/>
        </w:rPr>
        <w:t>（如有多个标项）</w:t>
      </w:r>
    </w:p>
    <w:p w14:paraId="14AF3796">
      <w:pPr>
        <w:rPr>
          <w:rFonts w:ascii="宋体" w:hAnsi="宋体" w:cs="宋体"/>
          <w:sz w:val="28"/>
          <w:szCs w:val="28"/>
        </w:rPr>
      </w:pPr>
    </w:p>
    <w:p w14:paraId="16002D54">
      <w:pPr>
        <w:spacing w:line="360" w:lineRule="auto"/>
        <w:jc w:val="center"/>
        <w:rPr>
          <w:rFonts w:ascii="宋体" w:hAnsi="宋体" w:cs="宋体"/>
          <w:sz w:val="36"/>
          <w:szCs w:val="36"/>
        </w:rPr>
      </w:pPr>
      <w:r>
        <w:rPr>
          <w:rFonts w:hint="eastAsia" w:ascii="宋体" w:hAnsi="宋体" w:cs="宋体"/>
          <w:sz w:val="36"/>
          <w:szCs w:val="36"/>
        </w:rPr>
        <w:t>（商务和技术文件）</w:t>
      </w:r>
    </w:p>
    <w:p w14:paraId="5258CFCE">
      <w:pPr>
        <w:jc w:val="center"/>
        <w:rPr>
          <w:rFonts w:ascii="宋体" w:hAnsi="宋体" w:cs="宋体"/>
          <w:sz w:val="28"/>
          <w:szCs w:val="28"/>
        </w:rPr>
      </w:pPr>
    </w:p>
    <w:p w14:paraId="1DD1B5E4">
      <w:pPr>
        <w:spacing w:line="360" w:lineRule="auto"/>
        <w:jc w:val="center"/>
        <w:rPr>
          <w:rFonts w:ascii="宋体" w:hAnsi="宋体" w:cs="宋体"/>
          <w:b/>
          <w:sz w:val="72"/>
          <w:szCs w:val="72"/>
        </w:rPr>
      </w:pPr>
    </w:p>
    <w:p w14:paraId="5872339C">
      <w:pPr>
        <w:spacing w:line="360" w:lineRule="auto"/>
        <w:jc w:val="center"/>
        <w:rPr>
          <w:rFonts w:ascii="宋体" w:hAnsi="宋体" w:cs="宋体"/>
          <w:b/>
          <w:sz w:val="72"/>
          <w:szCs w:val="72"/>
        </w:rPr>
      </w:pPr>
      <w:r>
        <w:rPr>
          <w:rFonts w:hint="eastAsia" w:ascii="宋体" w:hAnsi="宋体" w:cs="宋体"/>
          <w:b/>
          <w:sz w:val="72"/>
          <w:szCs w:val="72"/>
        </w:rPr>
        <w:t>投标文件</w:t>
      </w:r>
    </w:p>
    <w:p w14:paraId="55B118EE">
      <w:pPr>
        <w:spacing w:line="360" w:lineRule="auto"/>
        <w:jc w:val="center"/>
        <w:rPr>
          <w:rFonts w:ascii="宋体" w:hAnsi="宋体" w:cs="宋体"/>
          <w:sz w:val="36"/>
          <w:szCs w:val="36"/>
        </w:rPr>
      </w:pPr>
    </w:p>
    <w:p w14:paraId="3921342D">
      <w:pPr>
        <w:spacing w:line="360" w:lineRule="auto"/>
        <w:jc w:val="center"/>
        <w:rPr>
          <w:rFonts w:ascii="宋体" w:hAnsi="宋体" w:cs="宋体"/>
          <w:sz w:val="36"/>
          <w:szCs w:val="36"/>
        </w:rPr>
      </w:pPr>
    </w:p>
    <w:p w14:paraId="781C89BC">
      <w:pPr>
        <w:spacing w:line="360" w:lineRule="auto"/>
        <w:jc w:val="center"/>
        <w:rPr>
          <w:rFonts w:ascii="宋体" w:hAnsi="宋体" w:cs="宋体"/>
          <w:sz w:val="36"/>
          <w:szCs w:val="36"/>
        </w:rPr>
      </w:pPr>
    </w:p>
    <w:p w14:paraId="37C80687">
      <w:pPr>
        <w:spacing w:line="360" w:lineRule="auto"/>
        <w:jc w:val="center"/>
        <w:rPr>
          <w:rFonts w:ascii="宋体" w:hAnsi="宋体" w:cs="宋体"/>
          <w:sz w:val="36"/>
          <w:szCs w:val="36"/>
        </w:rPr>
      </w:pPr>
    </w:p>
    <w:p w14:paraId="3537D0C2">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14:paraId="0C7D9CC1">
      <w:pPr>
        <w:pStyle w:val="28"/>
        <w:ind w:left="101" w:leftChars="48" w:firstLine="1920" w:firstLineChars="800"/>
        <w:jc w:val="left"/>
        <w:rPr>
          <w:rFonts w:hAnsi="宋体" w:cs="宋体"/>
          <w:kern w:val="2"/>
          <w:szCs w:val="28"/>
          <w:u w:val="single"/>
        </w:rPr>
      </w:pPr>
    </w:p>
    <w:p w14:paraId="71ED24AE">
      <w:pPr>
        <w:pStyle w:val="264"/>
        <w:jc w:val="center"/>
        <w:rPr>
          <w:rStyle w:val="117"/>
          <w:rFonts w:ascii="宋体" w:hAnsi="宋体" w:cs="宋体"/>
          <w:b w:val="0"/>
          <w:sz w:val="28"/>
          <w:szCs w:val="28"/>
        </w:rPr>
      </w:pPr>
      <w:bookmarkStart w:id="172" w:name="_Toc21541027"/>
      <w:bookmarkStart w:id="173" w:name="_Toc12534"/>
      <w:bookmarkStart w:id="174" w:name="_Toc44162158"/>
      <w:r>
        <w:rPr>
          <w:rStyle w:val="117"/>
          <w:rFonts w:hint="eastAsia" w:ascii="宋体" w:hAnsi="宋体" w:cs="宋体"/>
          <w:b w:val="0"/>
          <w:sz w:val="32"/>
          <w:szCs w:val="32"/>
        </w:rPr>
        <w:t>年  月  日</w:t>
      </w:r>
      <w:bookmarkEnd w:id="172"/>
      <w:bookmarkEnd w:id="173"/>
      <w:bookmarkEnd w:id="174"/>
    </w:p>
    <w:p w14:paraId="0985E467">
      <w:pPr>
        <w:spacing w:line="360" w:lineRule="auto"/>
        <w:ind w:firstLine="4200" w:firstLineChars="2000"/>
        <w:jc w:val="left"/>
        <w:rPr>
          <w:rFonts w:ascii="宋体" w:hAnsi="宋体" w:cs="宋体"/>
          <w:szCs w:val="21"/>
        </w:rPr>
      </w:pPr>
    </w:p>
    <w:p w14:paraId="02AA9282">
      <w:pPr>
        <w:spacing w:line="400" w:lineRule="exact"/>
        <w:jc w:val="center"/>
        <w:rPr>
          <w:rFonts w:ascii="宋体" w:hAnsi="宋体" w:cs="宋体"/>
          <w:b/>
          <w:szCs w:val="21"/>
        </w:rPr>
      </w:pPr>
      <w:r>
        <w:rPr>
          <w:rStyle w:val="117"/>
          <w:rFonts w:hint="eastAsia" w:ascii="宋体" w:hAnsi="宋体" w:cs="宋体"/>
          <w:szCs w:val="21"/>
        </w:rPr>
        <w:br w:type="page"/>
      </w:r>
      <w:r>
        <w:rPr>
          <w:rFonts w:hint="eastAsia" w:ascii="宋体" w:hAnsi="宋体" w:cs="宋体"/>
          <w:b/>
          <w:szCs w:val="21"/>
        </w:rPr>
        <w:t>B1.投标书</w:t>
      </w:r>
    </w:p>
    <w:p w14:paraId="553D3E11">
      <w:pPr>
        <w:spacing w:line="400" w:lineRule="exact"/>
        <w:rPr>
          <w:rFonts w:ascii="宋体" w:hAnsi="宋体" w:cs="宋体"/>
          <w:szCs w:val="21"/>
        </w:rPr>
      </w:pPr>
      <w:r>
        <w:rPr>
          <w:rFonts w:hint="eastAsia" w:ascii="宋体" w:hAnsi="宋体" w:cs="宋体"/>
          <w:szCs w:val="21"/>
        </w:rPr>
        <w:t>致：宁波市国际招标有限公司</w:t>
      </w:r>
    </w:p>
    <w:p w14:paraId="178BE885">
      <w:pPr>
        <w:spacing w:line="400" w:lineRule="exact"/>
        <w:ind w:firstLine="420" w:firstLineChars="200"/>
        <w:rPr>
          <w:rFonts w:ascii="宋体" w:hAnsi="宋体" w:cs="宋体"/>
          <w:szCs w:val="21"/>
        </w:rPr>
      </w:pPr>
      <w:r>
        <w:rPr>
          <w:rFonts w:hint="eastAsia" w:ascii="宋体" w:hAnsi="宋体" w:cs="宋体"/>
          <w:szCs w:val="21"/>
          <w:u w:val="single"/>
        </w:rPr>
        <w:t>（供应商全称）　</w:t>
      </w:r>
      <w:r>
        <w:rPr>
          <w:rFonts w:hint="eastAsia" w:ascii="宋体" w:hAnsi="宋体" w:cs="宋体"/>
          <w:szCs w:val="21"/>
        </w:rPr>
        <w:t>授权</w:t>
      </w:r>
      <w:r>
        <w:rPr>
          <w:rFonts w:hint="eastAsia" w:ascii="宋体" w:hAnsi="宋体" w:cs="宋体"/>
          <w:szCs w:val="21"/>
          <w:u w:val="single"/>
        </w:rPr>
        <w:t xml:space="preserve">  （全名、职务）  </w:t>
      </w:r>
      <w:r>
        <w:rPr>
          <w:rFonts w:hint="eastAsia" w:ascii="宋体" w:hAnsi="宋体" w:cs="宋体"/>
          <w:szCs w:val="21"/>
        </w:rPr>
        <w:t>为全权代表，参加贵方组织的</w:t>
      </w:r>
      <w:r>
        <w:rPr>
          <w:rFonts w:hint="eastAsia" w:ascii="宋体" w:hAnsi="宋体" w:cs="宋体"/>
          <w:szCs w:val="21"/>
          <w:u w:val="single"/>
        </w:rPr>
        <w:t>宁波大学鼎秀古籍全文数据库等采购项目</w:t>
      </w:r>
      <w:r>
        <w:rPr>
          <w:rFonts w:hint="eastAsia" w:ascii="宋体" w:hAnsi="宋体" w:cs="宋体"/>
          <w:szCs w:val="21"/>
        </w:rPr>
        <w:t>（项目编号：</w:t>
      </w:r>
      <w:r>
        <w:rPr>
          <w:rFonts w:hint="eastAsia" w:ascii="宋体" w:hAnsi="宋体" w:cs="宋体"/>
          <w:szCs w:val="21"/>
          <w:u w:val="single"/>
        </w:rPr>
        <w:t>NBITC-202530421G</w:t>
      </w:r>
      <w:r>
        <w:rPr>
          <w:rFonts w:hint="eastAsia" w:ascii="宋体" w:hAnsi="宋体" w:cs="宋体"/>
          <w:szCs w:val="21"/>
        </w:rPr>
        <w:t>）招标活动并投标，为便于采购人公正、择优地确定中标供应商及其服务，我方就本次投标有关事项郑重声明如下：</w:t>
      </w:r>
    </w:p>
    <w:p w14:paraId="6BC77DEA">
      <w:pPr>
        <w:snapToGrid w:val="0"/>
        <w:spacing w:line="400" w:lineRule="exact"/>
        <w:ind w:firstLine="420" w:firstLineChars="200"/>
        <w:rPr>
          <w:rFonts w:ascii="宋体" w:hAnsi="宋体" w:cs="宋体"/>
          <w:szCs w:val="21"/>
        </w:rPr>
      </w:pPr>
      <w:r>
        <w:rPr>
          <w:rFonts w:hint="eastAsia" w:ascii="宋体" w:hAnsi="宋体" w:cs="宋体"/>
          <w:szCs w:val="21"/>
        </w:rPr>
        <w:t>1.我方提交的所有投标文件、资料都是准确的和真实的。如有虚假或隐瞒，我方愿意承担一切后果，并不再寻求任何旨在减轻或免除法律责任的辩解。</w:t>
      </w:r>
    </w:p>
    <w:p w14:paraId="0D1CD359">
      <w:pPr>
        <w:snapToGrid w:val="0"/>
        <w:spacing w:line="400" w:lineRule="exact"/>
        <w:ind w:firstLine="420" w:firstLineChars="200"/>
        <w:rPr>
          <w:rFonts w:ascii="宋体" w:hAnsi="宋体" w:cs="宋体"/>
          <w:szCs w:val="21"/>
        </w:rPr>
      </w:pPr>
      <w:r>
        <w:rPr>
          <w:rFonts w:hint="eastAsia" w:ascii="宋体" w:hAnsi="宋体" w:cs="宋体"/>
          <w:szCs w:val="21"/>
        </w:rPr>
        <w:t>2.我方不是为本项目提供整体设计、规范编制或者项目管理、监理、检测等服务的供应商。</w:t>
      </w:r>
    </w:p>
    <w:p w14:paraId="24A62C83">
      <w:pPr>
        <w:snapToGrid w:val="0"/>
        <w:spacing w:line="400" w:lineRule="exact"/>
        <w:ind w:firstLine="420" w:firstLineChars="200"/>
        <w:rPr>
          <w:rFonts w:ascii="宋体" w:hAnsi="宋体" w:cs="宋体"/>
          <w:szCs w:val="21"/>
        </w:rPr>
      </w:pPr>
      <w:r>
        <w:rPr>
          <w:rFonts w:hint="eastAsia" w:ascii="宋体" w:hAnsi="宋体" w:cs="宋体"/>
          <w:szCs w:val="21"/>
        </w:rPr>
        <w:t>3.我们已详细审查全部招标文件及有关的澄清/修改文件（若有），我们完全理解并同意放弃对这方面提出任何异议的权利。</w:t>
      </w:r>
    </w:p>
    <w:p w14:paraId="4E261DFF">
      <w:pPr>
        <w:snapToGrid w:val="0"/>
        <w:spacing w:line="40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rPr>
        <w:t>保证遵守招标文件有关条款规定。</w:t>
      </w:r>
    </w:p>
    <w:p w14:paraId="451E2F5C">
      <w:pPr>
        <w:snapToGrid w:val="0"/>
        <w:spacing w:line="400" w:lineRule="exact"/>
        <w:ind w:firstLine="420" w:firstLineChars="200"/>
        <w:rPr>
          <w:rFonts w:ascii="宋体" w:hAnsi="宋体" w:cs="宋体"/>
          <w:szCs w:val="21"/>
        </w:rPr>
      </w:pPr>
      <w:r>
        <w:rPr>
          <w:rFonts w:hint="eastAsia" w:ascii="宋体" w:hAnsi="宋体" w:cs="宋体"/>
          <w:szCs w:val="21"/>
        </w:rPr>
        <w:t>5.本项目的投标报价详见“开标一览表”。</w:t>
      </w:r>
    </w:p>
    <w:p w14:paraId="42A9176B">
      <w:pPr>
        <w:spacing w:line="400" w:lineRule="exact"/>
        <w:ind w:firstLine="420" w:firstLineChars="200"/>
        <w:jc w:val="left"/>
        <w:rPr>
          <w:rFonts w:ascii="宋体" w:hAnsi="宋体" w:cs="宋体"/>
          <w:szCs w:val="21"/>
        </w:rPr>
      </w:pPr>
      <w:r>
        <w:rPr>
          <w:rFonts w:hint="eastAsia" w:ascii="宋体" w:hAnsi="宋体" w:cs="宋体"/>
          <w:szCs w:val="21"/>
        </w:rPr>
        <w:t>6.投标文件有效期为自开标之日起</w:t>
      </w:r>
      <w:r>
        <w:rPr>
          <w:rFonts w:hint="eastAsia" w:ascii="宋体" w:hAnsi="宋体" w:cs="宋体"/>
          <w:szCs w:val="21"/>
          <w:u w:val="single"/>
        </w:rPr>
        <w:t xml:space="preserve"> 90 </w:t>
      </w:r>
      <w:r>
        <w:rPr>
          <w:rFonts w:hint="eastAsia" w:ascii="宋体" w:hAnsi="宋体" w:cs="宋体"/>
          <w:szCs w:val="21"/>
        </w:rPr>
        <w:t>个日历日。</w:t>
      </w:r>
    </w:p>
    <w:p w14:paraId="44C62B6C">
      <w:pPr>
        <w:spacing w:line="400" w:lineRule="exact"/>
        <w:ind w:firstLine="420" w:firstLineChars="200"/>
        <w:jc w:val="left"/>
        <w:rPr>
          <w:rFonts w:ascii="宋体" w:hAnsi="宋体" w:cs="宋体"/>
        </w:rPr>
      </w:pPr>
      <w:r>
        <w:rPr>
          <w:rFonts w:hint="eastAsia" w:ascii="宋体" w:hAnsi="宋体" w:cs="宋体"/>
          <w:szCs w:val="21"/>
        </w:rPr>
        <w:t>7.</w:t>
      </w:r>
      <w:r>
        <w:rPr>
          <w:rFonts w:hint="eastAsia" w:ascii="宋体" w:hAnsi="宋体" w:cs="宋体"/>
        </w:rPr>
        <w:t>保证在中标后忠实地执行与采购人所签署的合同，并承担合同规定的责任义务。</w:t>
      </w:r>
    </w:p>
    <w:p w14:paraId="124212FE">
      <w:pPr>
        <w:spacing w:line="400" w:lineRule="exact"/>
        <w:ind w:firstLine="420" w:firstLineChars="200"/>
        <w:jc w:val="left"/>
        <w:rPr>
          <w:rFonts w:ascii="宋体" w:hAnsi="宋体" w:cs="宋体"/>
          <w:szCs w:val="21"/>
        </w:rPr>
      </w:pPr>
      <w:r>
        <w:rPr>
          <w:rFonts w:hint="eastAsia" w:ascii="宋体" w:hAnsi="宋体" w:cs="宋体"/>
        </w:rPr>
        <w:t>8.同意招标（采购）文件中有关招标代理服务费的条款，如有异议在投标前会以书面方式向招标代理机构提出，保证在中标后按照招标（采购）文件规定的金额、时间和方式，向招标代理机构一次性交纳招标代理服务费。我方如逾期未交纳（含未足额）的，愿凭招标代理机构开出的违约通知，按上述规定应交纳金额（含欠交纳）的200%交纳违约金和滞纳的银行利息。对招标代理服务费交纳的异议，我方服从招标（采购）人的协调。</w:t>
      </w:r>
    </w:p>
    <w:p w14:paraId="1C371C11">
      <w:pPr>
        <w:spacing w:line="400" w:lineRule="exact"/>
        <w:ind w:firstLine="420" w:firstLineChars="200"/>
        <w:jc w:val="left"/>
        <w:rPr>
          <w:rFonts w:ascii="宋体" w:hAnsi="宋体" w:cs="宋体"/>
          <w:szCs w:val="21"/>
        </w:rPr>
      </w:pPr>
      <w:r>
        <w:rPr>
          <w:rFonts w:hint="eastAsia" w:ascii="宋体" w:hAnsi="宋体" w:cs="宋体"/>
          <w:szCs w:val="21"/>
        </w:rPr>
        <w:t>9.与本</w:t>
      </w:r>
      <w:r>
        <w:rPr>
          <w:rFonts w:hint="eastAsia" w:ascii="宋体" w:hAnsi="宋体" w:cs="宋体"/>
          <w:szCs w:val="21"/>
          <w:lang w:eastAsia="zh-CN"/>
        </w:rPr>
        <w:t>次</w:t>
      </w:r>
      <w:r>
        <w:rPr>
          <w:rFonts w:hint="eastAsia" w:ascii="宋体" w:hAnsi="宋体" w:cs="宋体"/>
          <w:szCs w:val="21"/>
        </w:rPr>
        <w:t>投标有关的一切正式来往通讯请寄：</w:t>
      </w:r>
    </w:p>
    <w:p w14:paraId="3CFB3B22">
      <w:pPr>
        <w:spacing w:line="400" w:lineRule="exact"/>
        <w:ind w:firstLine="420" w:firstLineChars="200"/>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w:t>
      </w:r>
    </w:p>
    <w:p w14:paraId="10E07668">
      <w:pPr>
        <w:spacing w:line="400" w:lineRule="exact"/>
        <w:ind w:firstLine="420" w:firstLineChars="200"/>
        <w:jc w:val="left"/>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w:t>
      </w:r>
    </w:p>
    <w:p w14:paraId="7FA373E1">
      <w:pPr>
        <w:spacing w:line="400" w:lineRule="exact"/>
        <w:jc w:val="left"/>
        <w:rPr>
          <w:rFonts w:ascii="宋体" w:hAnsi="宋体" w:cs="宋体"/>
          <w:szCs w:val="21"/>
        </w:rPr>
      </w:pPr>
    </w:p>
    <w:p w14:paraId="5CE70A0B">
      <w:pPr>
        <w:spacing w:line="400" w:lineRule="exact"/>
        <w:jc w:val="left"/>
        <w:rPr>
          <w:rFonts w:ascii="宋体" w:hAnsi="宋体" w:cs="宋体"/>
          <w:szCs w:val="21"/>
        </w:rPr>
      </w:pPr>
      <w:r>
        <w:rPr>
          <w:rFonts w:hint="eastAsia" w:ascii="宋体" w:hAnsi="宋体" w:cs="宋体"/>
          <w:szCs w:val="21"/>
        </w:rPr>
        <w:t>供应商（盖章）：</w:t>
      </w:r>
    </w:p>
    <w:p w14:paraId="792AF665">
      <w:pPr>
        <w:spacing w:line="400" w:lineRule="exact"/>
        <w:rPr>
          <w:rFonts w:ascii="宋体" w:hAnsi="宋体" w:cs="宋体"/>
          <w:szCs w:val="21"/>
          <w:u w:val="single"/>
        </w:rPr>
      </w:pPr>
      <w:r>
        <w:rPr>
          <w:rFonts w:hint="eastAsia" w:ascii="宋体" w:hAnsi="宋体" w:cs="宋体"/>
          <w:szCs w:val="21"/>
        </w:rPr>
        <w:t>日          期：</w:t>
      </w:r>
    </w:p>
    <w:p w14:paraId="46754485">
      <w:pPr>
        <w:spacing w:line="400" w:lineRule="exact"/>
        <w:jc w:val="center"/>
        <w:rPr>
          <w:rFonts w:ascii="宋体" w:hAnsi="宋体" w:cs="宋体"/>
          <w:b/>
          <w:bCs/>
          <w:szCs w:val="21"/>
        </w:rPr>
      </w:pPr>
      <w:r>
        <w:rPr>
          <w:rStyle w:val="117"/>
          <w:rFonts w:hint="eastAsia" w:ascii="宋体" w:hAnsi="宋体" w:cs="宋体"/>
          <w:szCs w:val="21"/>
        </w:rPr>
        <w:br w:type="page"/>
      </w:r>
      <w:r>
        <w:rPr>
          <w:rFonts w:hint="eastAsia" w:ascii="宋体" w:hAnsi="宋体" w:cs="宋体"/>
          <w:b/>
          <w:bCs/>
        </w:rPr>
        <w:t>B</w:t>
      </w:r>
      <w:r>
        <w:rPr>
          <w:rFonts w:hint="eastAsia" w:ascii="宋体" w:hAnsi="宋体" w:cs="宋体"/>
          <w:b/>
          <w:bCs/>
          <w:szCs w:val="21"/>
        </w:rPr>
        <w:t>2.法定代表人身份证明</w:t>
      </w:r>
    </w:p>
    <w:p w14:paraId="2C857DB0">
      <w:pPr>
        <w:spacing w:line="400" w:lineRule="exact"/>
        <w:rPr>
          <w:rFonts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14:paraId="0AC2FCFD">
      <w:pPr>
        <w:spacing w:line="400" w:lineRule="exact"/>
        <w:rPr>
          <w:rFonts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14:paraId="32172363">
      <w:pPr>
        <w:spacing w:line="400" w:lineRule="exact"/>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14:paraId="6268E483">
      <w:pPr>
        <w:spacing w:line="400" w:lineRule="exact"/>
        <w:rPr>
          <w:rFonts w:ascii="宋体" w:hAnsi="宋体" w:cs="宋体"/>
          <w:szCs w:val="21"/>
          <w:u w:val="single"/>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98975FC">
      <w:pPr>
        <w:spacing w:line="400" w:lineRule="exact"/>
        <w:rPr>
          <w:rFonts w:ascii="宋体" w:hAnsi="宋体" w:cs="宋体"/>
          <w:szCs w:val="21"/>
          <w:u w:val="single"/>
        </w:rPr>
      </w:pPr>
      <w:r>
        <w:rPr>
          <w:rFonts w:hint="eastAsia" w:ascii="宋体" w:hAnsi="宋体" w:cs="宋体"/>
          <w:szCs w:val="21"/>
        </w:rPr>
        <w:t>经营期限：</w:t>
      </w:r>
    </w:p>
    <w:p w14:paraId="16FBFF23">
      <w:pPr>
        <w:spacing w:line="40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5696A5F2">
      <w:pPr>
        <w:spacing w:line="400" w:lineRule="exact"/>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5BC21C04">
      <w:pPr>
        <w:spacing w:line="400" w:lineRule="exact"/>
        <w:ind w:firstLine="560"/>
        <w:rPr>
          <w:rFonts w:ascii="宋体" w:hAnsi="宋体" w:cs="宋体"/>
          <w:szCs w:val="21"/>
        </w:rPr>
      </w:pPr>
    </w:p>
    <w:p w14:paraId="209DD795">
      <w:pPr>
        <w:spacing w:line="400" w:lineRule="exact"/>
        <w:rPr>
          <w:rFonts w:ascii="宋体" w:hAnsi="宋体" w:cs="宋体"/>
          <w:szCs w:val="21"/>
        </w:rPr>
      </w:pPr>
      <w:r>
        <w:rPr>
          <w:rFonts w:hint="eastAsia" w:ascii="宋体" w:hAnsi="宋体" w:cs="宋体"/>
          <w:szCs w:val="21"/>
        </w:rPr>
        <w:t xml:space="preserve">    系</w:t>
      </w:r>
      <w:r>
        <w:rPr>
          <w:rFonts w:hint="eastAsia" w:ascii="宋体" w:hAnsi="宋体" w:cs="宋体"/>
          <w:szCs w:val="21"/>
          <w:u w:val="single"/>
        </w:rPr>
        <w:t>（供应商名称）</w:t>
      </w:r>
      <w:r>
        <w:rPr>
          <w:rFonts w:hint="eastAsia" w:ascii="宋体" w:hAnsi="宋体" w:cs="宋体"/>
          <w:szCs w:val="21"/>
        </w:rPr>
        <w:t>的法定代表人。</w:t>
      </w:r>
    </w:p>
    <w:p w14:paraId="3065994F">
      <w:pPr>
        <w:spacing w:line="400" w:lineRule="exact"/>
        <w:ind w:firstLine="560"/>
        <w:rPr>
          <w:rFonts w:ascii="宋体" w:hAnsi="宋体" w:cs="宋体"/>
          <w:szCs w:val="21"/>
        </w:rPr>
      </w:pPr>
    </w:p>
    <w:p w14:paraId="6C8FB2EE">
      <w:pPr>
        <w:spacing w:line="400" w:lineRule="exact"/>
        <w:rPr>
          <w:rFonts w:ascii="宋体" w:hAnsi="宋体" w:cs="宋体"/>
          <w:szCs w:val="21"/>
        </w:rPr>
      </w:pPr>
      <w:r>
        <w:rPr>
          <w:rFonts w:hint="eastAsia" w:ascii="宋体" w:hAnsi="宋体" w:cs="宋体"/>
          <w:szCs w:val="21"/>
        </w:rPr>
        <w:t>特此证明。</w:t>
      </w:r>
    </w:p>
    <w:p w14:paraId="548A1638">
      <w:pPr>
        <w:spacing w:line="400" w:lineRule="exact"/>
        <w:rPr>
          <w:rFonts w:ascii="宋体" w:hAnsi="宋体" w:cs="宋体"/>
          <w:szCs w:val="21"/>
        </w:rPr>
      </w:pPr>
    </w:p>
    <w:p w14:paraId="11363F40">
      <w:pPr>
        <w:spacing w:line="400" w:lineRule="exact"/>
        <w:jc w:val="left"/>
        <w:rPr>
          <w:rFonts w:ascii="宋体" w:hAnsi="宋体" w:cs="宋体"/>
          <w:szCs w:val="21"/>
        </w:rPr>
      </w:pPr>
      <w:r>
        <w:rPr>
          <w:rFonts w:hint="eastAsia" w:ascii="宋体" w:hAnsi="宋体" w:cs="宋体"/>
          <w:szCs w:val="21"/>
        </w:rPr>
        <w:t>供应商（盖章）：</w:t>
      </w:r>
    </w:p>
    <w:p w14:paraId="147B7791">
      <w:pPr>
        <w:spacing w:line="400" w:lineRule="exact"/>
        <w:rPr>
          <w:rFonts w:ascii="宋体" w:hAnsi="宋体" w:cs="宋体"/>
          <w:szCs w:val="21"/>
          <w:u w:val="single"/>
        </w:rPr>
      </w:pPr>
      <w:r>
        <w:rPr>
          <w:rFonts w:hint="eastAsia" w:ascii="宋体" w:hAnsi="宋体" w:cs="宋体"/>
          <w:szCs w:val="21"/>
        </w:rPr>
        <w:t>日          期：</w:t>
      </w:r>
    </w:p>
    <w:p w14:paraId="671F4BA3">
      <w:pPr>
        <w:spacing w:line="400" w:lineRule="exact"/>
        <w:rPr>
          <w:rFonts w:ascii="宋体" w:hAnsi="宋体" w:cs="宋体"/>
          <w:szCs w:val="21"/>
          <w:u w:val="single"/>
        </w:rPr>
      </w:pPr>
    </w:p>
    <w:p w14:paraId="0A41E7C7">
      <w:pPr>
        <w:spacing w:line="400" w:lineRule="exact"/>
        <w:rPr>
          <w:rFonts w:ascii="宋体" w:hAnsi="宋体" w:cs="宋体"/>
          <w:szCs w:val="21"/>
          <w:u w:val="single"/>
        </w:rPr>
      </w:pPr>
      <w:r>
        <w:rPr>
          <w:rFonts w:hint="eastAsia" w:ascii="宋体" w:hAnsi="宋体" w:cs="宋体"/>
          <w:szCs w:val="21"/>
        </w:rPr>
        <w:t>后附：法定代表人身份证复印件加盖供应商公章。</w:t>
      </w:r>
    </w:p>
    <w:p w14:paraId="409EC3FB">
      <w:pPr>
        <w:spacing w:line="400" w:lineRule="exact"/>
        <w:jc w:val="center"/>
        <w:rPr>
          <w:rFonts w:ascii="宋体" w:hAnsi="宋体" w:cs="宋体"/>
          <w:b/>
          <w:szCs w:val="21"/>
        </w:rPr>
      </w:pPr>
      <w:r>
        <w:rPr>
          <w:rStyle w:val="117"/>
          <w:rFonts w:hint="eastAsia" w:ascii="宋体" w:hAnsi="宋体" w:cs="宋体"/>
          <w:szCs w:val="21"/>
        </w:rPr>
        <w:br w:type="page"/>
      </w:r>
      <w:r>
        <w:rPr>
          <w:rFonts w:hint="eastAsia" w:ascii="宋体" w:hAnsi="宋体" w:cs="宋体"/>
          <w:b/>
          <w:szCs w:val="21"/>
        </w:rPr>
        <w:t>B3.法定代表人授权书</w:t>
      </w:r>
    </w:p>
    <w:p w14:paraId="68CF94FC">
      <w:pPr>
        <w:spacing w:line="400" w:lineRule="exact"/>
        <w:jc w:val="center"/>
        <w:rPr>
          <w:rFonts w:ascii="宋体" w:hAnsi="宋体" w:cs="宋体"/>
          <w:b/>
          <w:szCs w:val="21"/>
        </w:rPr>
      </w:pPr>
      <w:r>
        <w:rPr>
          <w:rFonts w:hint="eastAsia" w:ascii="宋体" w:hAnsi="宋体" w:cs="宋体"/>
          <w:b/>
          <w:szCs w:val="21"/>
        </w:rPr>
        <w:t>（投标文件由授权代表签字的须提供）</w:t>
      </w:r>
    </w:p>
    <w:p w14:paraId="795EC1F7">
      <w:pPr>
        <w:spacing w:line="400" w:lineRule="exact"/>
        <w:rPr>
          <w:rFonts w:ascii="宋体" w:hAnsi="宋体" w:cs="宋体"/>
          <w:szCs w:val="21"/>
        </w:rPr>
      </w:pPr>
      <w:r>
        <w:rPr>
          <w:rFonts w:hint="eastAsia" w:ascii="宋体" w:hAnsi="宋体" w:cs="宋体"/>
          <w:szCs w:val="21"/>
        </w:rPr>
        <w:t>致：采购人</w:t>
      </w:r>
    </w:p>
    <w:p w14:paraId="2E4AE821">
      <w:pPr>
        <w:spacing w:line="400" w:lineRule="exact"/>
        <w:ind w:firstLine="420" w:firstLineChars="200"/>
        <w:rPr>
          <w:rFonts w:ascii="宋体" w:hAnsi="宋体" w:cs="宋体"/>
          <w:szCs w:val="21"/>
        </w:rPr>
      </w:pPr>
      <w:r>
        <w:rPr>
          <w:rFonts w:hint="eastAsia" w:ascii="宋体" w:hAnsi="宋体" w:cs="宋体"/>
          <w:szCs w:val="21"/>
          <w:u w:val="single"/>
        </w:rPr>
        <w:t>（供应商全称）</w:t>
      </w:r>
      <w:r>
        <w:rPr>
          <w:rFonts w:hint="eastAsia" w:ascii="宋体" w:hAnsi="宋体" w:cs="宋体"/>
          <w:szCs w:val="21"/>
        </w:rPr>
        <w:t>法定代表人</w:t>
      </w:r>
      <w:r>
        <w:rPr>
          <w:rFonts w:hint="eastAsia" w:ascii="宋体" w:hAnsi="宋体" w:cs="宋体"/>
          <w:szCs w:val="21"/>
          <w:u w:val="single"/>
        </w:rPr>
        <w:t>（法定代表人姓名）</w:t>
      </w:r>
      <w:r>
        <w:rPr>
          <w:rFonts w:hint="eastAsia" w:ascii="宋体" w:hAnsi="宋体" w:cs="宋体"/>
          <w:szCs w:val="21"/>
        </w:rPr>
        <w:t>授权</w:t>
      </w:r>
      <w:r>
        <w:rPr>
          <w:rFonts w:hint="eastAsia" w:ascii="宋体" w:hAnsi="宋体" w:cs="宋体"/>
          <w:szCs w:val="21"/>
          <w:u w:val="single"/>
        </w:rPr>
        <w:t>（授权代表姓名）</w:t>
      </w:r>
      <w:r>
        <w:rPr>
          <w:rFonts w:hint="eastAsia" w:ascii="宋体" w:hAnsi="宋体" w:cs="宋体"/>
          <w:szCs w:val="21"/>
        </w:rPr>
        <w:t>为授权代表，参加</w:t>
      </w:r>
      <w:r>
        <w:rPr>
          <w:rFonts w:hint="eastAsia" w:ascii="宋体" w:hAnsi="宋体" w:cs="宋体"/>
          <w:szCs w:val="21"/>
          <w:u w:val="single"/>
        </w:rPr>
        <w:t>宁波大学鼎秀古籍全文数据库等采购项目</w:t>
      </w:r>
      <w:r>
        <w:rPr>
          <w:rFonts w:hint="eastAsia" w:ascii="宋体" w:hAnsi="宋体" w:cs="宋体"/>
          <w:szCs w:val="21"/>
        </w:rPr>
        <w:t>，项目编号为</w:t>
      </w:r>
      <w:r>
        <w:rPr>
          <w:rFonts w:hint="eastAsia" w:ascii="宋体" w:hAnsi="宋体" w:cs="宋体"/>
          <w:szCs w:val="21"/>
          <w:u w:val="single"/>
        </w:rPr>
        <w:t>NBITC-202530421G</w:t>
      </w:r>
      <w:r>
        <w:rPr>
          <w:rFonts w:hint="eastAsia" w:ascii="宋体" w:hAnsi="宋体" w:cs="宋体"/>
          <w:szCs w:val="21"/>
        </w:rPr>
        <w:t>，其在招投标活动中的一切活动本公司均予承认。</w:t>
      </w:r>
    </w:p>
    <w:p w14:paraId="36E5DB4D">
      <w:pPr>
        <w:spacing w:line="400" w:lineRule="exact"/>
        <w:jc w:val="left"/>
        <w:rPr>
          <w:rFonts w:ascii="宋体" w:hAnsi="宋体" w:cs="宋体"/>
          <w:szCs w:val="21"/>
        </w:rPr>
      </w:pPr>
    </w:p>
    <w:p w14:paraId="6D89C35A">
      <w:pPr>
        <w:spacing w:line="400" w:lineRule="exact"/>
        <w:jc w:val="left"/>
        <w:rPr>
          <w:rFonts w:ascii="宋体" w:hAnsi="宋体" w:cs="宋体"/>
          <w:szCs w:val="21"/>
        </w:rPr>
      </w:pPr>
      <w:r>
        <w:rPr>
          <w:rFonts w:hint="eastAsia" w:ascii="宋体" w:hAnsi="宋体" w:cs="宋体"/>
          <w:szCs w:val="21"/>
        </w:rPr>
        <w:t>供应商（盖章）：</w:t>
      </w:r>
    </w:p>
    <w:p w14:paraId="023DAAD1">
      <w:pPr>
        <w:spacing w:line="400" w:lineRule="exact"/>
        <w:jc w:val="left"/>
        <w:rPr>
          <w:rFonts w:ascii="宋体" w:hAnsi="宋体" w:cs="宋体"/>
          <w:szCs w:val="21"/>
        </w:rPr>
      </w:pPr>
      <w:r>
        <w:rPr>
          <w:rFonts w:hint="eastAsia" w:ascii="宋体" w:hAnsi="宋体" w:cs="宋体"/>
          <w:szCs w:val="21"/>
        </w:rPr>
        <w:t>法定代表人（签字或盖章）：</w:t>
      </w:r>
    </w:p>
    <w:p w14:paraId="2C51FC0E">
      <w:pPr>
        <w:spacing w:line="400" w:lineRule="exact"/>
        <w:rPr>
          <w:rFonts w:ascii="宋体" w:hAnsi="宋体" w:cs="宋体"/>
          <w:szCs w:val="21"/>
          <w:u w:val="single"/>
        </w:rPr>
      </w:pPr>
      <w:r>
        <w:rPr>
          <w:rFonts w:hint="eastAsia" w:ascii="宋体" w:hAnsi="宋体" w:cs="宋体"/>
          <w:szCs w:val="21"/>
        </w:rPr>
        <w:t>日          期：</w:t>
      </w:r>
    </w:p>
    <w:p w14:paraId="06E24952">
      <w:pPr>
        <w:spacing w:line="400" w:lineRule="exact"/>
        <w:rPr>
          <w:rFonts w:ascii="宋体" w:hAnsi="宋体" w:cs="宋体"/>
          <w:szCs w:val="21"/>
        </w:rPr>
      </w:pPr>
    </w:p>
    <w:p w14:paraId="392C4DEF">
      <w:pPr>
        <w:spacing w:line="400" w:lineRule="exact"/>
        <w:rPr>
          <w:rFonts w:ascii="宋体" w:hAnsi="宋体" w:cs="宋体"/>
          <w:szCs w:val="21"/>
        </w:rPr>
      </w:pPr>
      <w:r>
        <w:rPr>
          <w:rFonts w:hint="eastAsia" w:ascii="宋体" w:hAnsi="宋体" w:cs="宋体"/>
          <w:szCs w:val="21"/>
        </w:rPr>
        <w:t>附：</w:t>
      </w:r>
    </w:p>
    <w:p w14:paraId="5A61EE91">
      <w:pPr>
        <w:spacing w:line="400" w:lineRule="exact"/>
        <w:ind w:firstLine="555"/>
        <w:rPr>
          <w:rFonts w:ascii="宋体" w:hAnsi="宋体" w:cs="宋体"/>
          <w:szCs w:val="21"/>
          <w:u w:val="single"/>
        </w:rPr>
      </w:pPr>
      <w:r>
        <w:rPr>
          <w:rFonts w:hint="eastAsia" w:ascii="宋体" w:hAnsi="宋体" w:cs="宋体"/>
          <w:szCs w:val="21"/>
        </w:rPr>
        <w:t>授权代表姓名：</w:t>
      </w:r>
      <w:r>
        <w:rPr>
          <w:rFonts w:hint="eastAsia" w:ascii="宋体" w:hAnsi="宋体" w:cs="宋体"/>
          <w:szCs w:val="21"/>
          <w:u w:val="single"/>
        </w:rPr>
        <w:t xml:space="preserve">                         </w:t>
      </w:r>
    </w:p>
    <w:p w14:paraId="185605D9">
      <w:pPr>
        <w:spacing w:line="400" w:lineRule="exact"/>
        <w:ind w:firstLine="555"/>
        <w:rPr>
          <w:rFonts w:ascii="宋体" w:hAnsi="宋体" w:cs="宋体"/>
          <w:szCs w:val="21"/>
          <w:u w:val="single"/>
        </w:rPr>
      </w:pPr>
      <w:r>
        <w:rPr>
          <w:rFonts w:hint="eastAsia" w:ascii="宋体" w:hAnsi="宋体" w:cs="宋体"/>
          <w:szCs w:val="21"/>
        </w:rPr>
        <w:t>授权代表身份证号码：</w:t>
      </w:r>
      <w:r>
        <w:rPr>
          <w:rFonts w:hint="eastAsia" w:ascii="宋体" w:hAnsi="宋体" w:cs="宋体"/>
          <w:szCs w:val="21"/>
          <w:u w:val="single"/>
        </w:rPr>
        <w:t xml:space="preserve">                   </w:t>
      </w:r>
    </w:p>
    <w:p w14:paraId="6F42A700">
      <w:pPr>
        <w:spacing w:line="400" w:lineRule="exact"/>
        <w:ind w:firstLine="555"/>
        <w:rPr>
          <w:rFonts w:ascii="宋体" w:hAnsi="宋体" w:cs="宋体"/>
          <w:szCs w:val="21"/>
          <w:u w:val="single"/>
        </w:rPr>
      </w:pPr>
      <w:r>
        <w:rPr>
          <w:rFonts w:hint="eastAsia" w:ascii="宋体" w:hAnsi="宋体" w:cs="宋体"/>
          <w:szCs w:val="21"/>
        </w:rPr>
        <w:t>职务：</w:t>
      </w:r>
      <w:r>
        <w:rPr>
          <w:rFonts w:hint="eastAsia" w:ascii="宋体" w:hAnsi="宋体" w:cs="宋体"/>
          <w:szCs w:val="21"/>
          <w:u w:val="single"/>
        </w:rPr>
        <w:t xml:space="preserve">                                 </w:t>
      </w:r>
    </w:p>
    <w:p w14:paraId="0FFAD299">
      <w:pPr>
        <w:spacing w:line="400" w:lineRule="exact"/>
        <w:ind w:firstLine="555"/>
        <w:rPr>
          <w:rFonts w:ascii="宋体" w:hAnsi="宋体" w:cs="宋体"/>
          <w:szCs w:val="21"/>
          <w:u w:val="single"/>
        </w:rPr>
      </w:pPr>
      <w:r>
        <w:rPr>
          <w:rFonts w:hint="eastAsia" w:ascii="宋体" w:hAnsi="宋体" w:cs="宋体"/>
          <w:szCs w:val="21"/>
        </w:rPr>
        <w:t>详细通讯地址：</w:t>
      </w:r>
      <w:r>
        <w:rPr>
          <w:rFonts w:hint="eastAsia" w:ascii="宋体" w:hAnsi="宋体" w:cs="宋体"/>
          <w:szCs w:val="21"/>
          <w:u w:val="single"/>
        </w:rPr>
        <w:t xml:space="preserve">                         </w:t>
      </w:r>
    </w:p>
    <w:p w14:paraId="3B5A58A9">
      <w:pPr>
        <w:spacing w:line="400" w:lineRule="exact"/>
        <w:ind w:firstLine="555"/>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14:paraId="1C0AFD44">
      <w:pPr>
        <w:spacing w:line="400" w:lineRule="exact"/>
        <w:ind w:firstLine="555"/>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xml:space="preserve">                                 </w:t>
      </w:r>
    </w:p>
    <w:p w14:paraId="5A7D2892">
      <w:pPr>
        <w:spacing w:line="400" w:lineRule="exact"/>
        <w:ind w:firstLine="525" w:firstLineChars="250"/>
        <w:rPr>
          <w:rFonts w:ascii="宋体" w:hAnsi="宋体" w:cs="宋体"/>
          <w:szCs w:val="21"/>
          <w:u w:val="single"/>
        </w:rPr>
      </w:pPr>
    </w:p>
    <w:p w14:paraId="062C0C29">
      <w:pPr>
        <w:spacing w:line="400" w:lineRule="exact"/>
        <w:ind w:firstLine="525" w:firstLineChars="250"/>
        <w:rPr>
          <w:rFonts w:ascii="宋体" w:hAnsi="宋体" w:cs="宋体"/>
          <w:b/>
          <w:szCs w:val="21"/>
        </w:rPr>
      </w:pPr>
      <w:r>
        <w:rPr>
          <w:rFonts w:hint="eastAsia" w:ascii="宋体" w:hAnsi="宋体" w:cs="宋体"/>
          <w:szCs w:val="21"/>
        </w:rPr>
        <w:t>后附：法定代表人及授权代表身份证复印件加盖供应商公章。</w:t>
      </w:r>
    </w:p>
    <w:p w14:paraId="135CCB4D">
      <w:pPr>
        <w:rPr>
          <w:rFonts w:ascii="宋体" w:hAnsi="宋体" w:cs="宋体"/>
          <w:b/>
          <w:szCs w:val="21"/>
        </w:rPr>
      </w:pPr>
      <w:r>
        <w:rPr>
          <w:rFonts w:hint="eastAsia" w:ascii="宋体" w:hAnsi="宋体" w:cs="宋体"/>
          <w:b/>
          <w:szCs w:val="21"/>
        </w:rPr>
        <w:br w:type="page"/>
      </w:r>
    </w:p>
    <w:p w14:paraId="17A3A774">
      <w:pPr>
        <w:pStyle w:val="18"/>
        <w:spacing w:line="400" w:lineRule="exact"/>
        <w:jc w:val="center"/>
        <w:rPr>
          <w:rFonts w:hAnsi="宋体" w:cs="宋体"/>
          <w:b/>
          <w:szCs w:val="21"/>
        </w:rPr>
      </w:pPr>
      <w:r>
        <w:rPr>
          <w:rFonts w:hint="eastAsia" w:hAnsi="宋体" w:cs="宋体"/>
          <w:b/>
          <w:szCs w:val="21"/>
        </w:rPr>
        <w:t>B4.供应商一般情况表</w:t>
      </w:r>
    </w:p>
    <w:p w14:paraId="006FCE61">
      <w:pPr>
        <w:pStyle w:val="18"/>
        <w:spacing w:line="400" w:lineRule="exact"/>
        <w:rPr>
          <w:rFonts w:hAnsi="宋体" w:cs="宋体"/>
          <w:sz w:val="21"/>
          <w:szCs w:val="21"/>
        </w:rPr>
      </w:pPr>
      <w:r>
        <w:rPr>
          <w:rFonts w:hint="eastAsia" w:hAnsi="宋体" w:cs="宋体"/>
          <w:sz w:val="21"/>
          <w:szCs w:val="21"/>
        </w:rPr>
        <w:t>项目名称：</w:t>
      </w:r>
      <w:r>
        <w:rPr>
          <w:rFonts w:hint="eastAsia" w:hAnsi="宋体" w:cs="宋体"/>
          <w:sz w:val="21"/>
          <w:szCs w:val="21"/>
          <w:u w:val="single"/>
        </w:rPr>
        <w:t>宁波大学鼎秀古籍全文数据库等采购项目</w:t>
      </w:r>
    </w:p>
    <w:p w14:paraId="5C4D2020">
      <w:pPr>
        <w:pStyle w:val="18"/>
        <w:spacing w:line="400" w:lineRule="exact"/>
        <w:rPr>
          <w:rFonts w:hAnsi="宋体" w:cs="宋体"/>
          <w:sz w:val="21"/>
          <w:szCs w:val="21"/>
          <w:u w:val="single"/>
        </w:rPr>
      </w:pPr>
      <w:r>
        <w:rPr>
          <w:rFonts w:hint="eastAsia" w:hAnsi="宋体" w:cs="宋体"/>
          <w:sz w:val="21"/>
          <w:szCs w:val="21"/>
        </w:rPr>
        <w:t>项目编号：</w:t>
      </w:r>
      <w:r>
        <w:rPr>
          <w:rFonts w:hint="eastAsia" w:hAnsi="宋体" w:cs="宋体"/>
          <w:sz w:val="21"/>
          <w:szCs w:val="21"/>
          <w:u w:val="single"/>
        </w:rPr>
        <w:t>NBITC-202530421G</w:t>
      </w:r>
    </w:p>
    <w:p w14:paraId="128871D6">
      <w:pPr>
        <w:spacing w:line="400" w:lineRule="exact"/>
        <w:rPr>
          <w:rFonts w:ascii="宋体" w:hAnsi="宋体" w:cs="宋体"/>
          <w:b/>
          <w:szCs w:val="21"/>
        </w:rPr>
      </w:pPr>
      <w:r>
        <w:rPr>
          <w:rFonts w:hint="eastAsia" w:hAnsi="宋体" w:cs="宋体"/>
          <w:szCs w:val="21"/>
        </w:rPr>
        <w:t>标项：</w:t>
      </w:r>
    </w:p>
    <w:tbl>
      <w:tblPr>
        <w:tblStyle w:val="52"/>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4498"/>
        <w:gridCol w:w="7"/>
        <w:gridCol w:w="4009"/>
      </w:tblGrid>
      <w:tr w14:paraId="3F4D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0451A22E">
            <w:pPr>
              <w:spacing w:line="400" w:lineRule="exact"/>
              <w:jc w:val="center"/>
              <w:rPr>
                <w:rFonts w:ascii="宋体" w:hAnsi="宋体" w:cs="宋体"/>
                <w:szCs w:val="21"/>
              </w:rPr>
            </w:pPr>
            <w:r>
              <w:rPr>
                <w:rFonts w:hint="eastAsia" w:ascii="宋体" w:hAnsi="宋体" w:cs="宋体"/>
                <w:szCs w:val="21"/>
              </w:rPr>
              <w:t>1</w:t>
            </w:r>
          </w:p>
        </w:tc>
        <w:tc>
          <w:tcPr>
            <w:tcW w:w="8514" w:type="dxa"/>
            <w:gridSpan w:val="3"/>
            <w:tcBorders>
              <w:tl2br w:val="nil"/>
              <w:tr2bl w:val="nil"/>
            </w:tcBorders>
            <w:vAlign w:val="center"/>
          </w:tcPr>
          <w:p w14:paraId="33728F28">
            <w:pPr>
              <w:spacing w:line="400" w:lineRule="exact"/>
              <w:rPr>
                <w:rFonts w:ascii="宋体" w:hAnsi="宋体" w:cs="宋体"/>
                <w:szCs w:val="21"/>
              </w:rPr>
            </w:pPr>
            <w:r>
              <w:rPr>
                <w:rFonts w:hint="eastAsia" w:ascii="宋体" w:hAnsi="宋体" w:cs="宋体"/>
                <w:szCs w:val="21"/>
              </w:rPr>
              <w:t>单位名称：</w:t>
            </w:r>
          </w:p>
        </w:tc>
      </w:tr>
      <w:tr w14:paraId="2033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24F45D73">
            <w:pPr>
              <w:spacing w:line="400" w:lineRule="exact"/>
              <w:jc w:val="center"/>
              <w:rPr>
                <w:rFonts w:ascii="宋体" w:hAnsi="宋体" w:cs="宋体"/>
                <w:szCs w:val="21"/>
              </w:rPr>
            </w:pPr>
            <w:r>
              <w:rPr>
                <w:rFonts w:hint="eastAsia" w:ascii="宋体" w:hAnsi="宋体" w:cs="宋体"/>
                <w:szCs w:val="21"/>
              </w:rPr>
              <w:t>2</w:t>
            </w:r>
          </w:p>
        </w:tc>
        <w:tc>
          <w:tcPr>
            <w:tcW w:w="8514" w:type="dxa"/>
            <w:gridSpan w:val="3"/>
            <w:tcBorders>
              <w:tl2br w:val="nil"/>
              <w:tr2bl w:val="nil"/>
            </w:tcBorders>
            <w:vAlign w:val="center"/>
          </w:tcPr>
          <w:p w14:paraId="41C4028D">
            <w:pPr>
              <w:spacing w:line="400" w:lineRule="exact"/>
              <w:rPr>
                <w:rFonts w:ascii="宋体" w:hAnsi="宋体" w:cs="宋体"/>
                <w:szCs w:val="21"/>
              </w:rPr>
            </w:pPr>
            <w:r>
              <w:rPr>
                <w:rFonts w:hint="eastAsia" w:ascii="宋体" w:hAnsi="宋体" w:cs="宋体"/>
                <w:szCs w:val="21"/>
              </w:rPr>
              <w:t>总部地址：</w:t>
            </w:r>
          </w:p>
        </w:tc>
      </w:tr>
      <w:tr w14:paraId="13A5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20B2732E">
            <w:pPr>
              <w:spacing w:line="400" w:lineRule="exact"/>
              <w:jc w:val="center"/>
              <w:rPr>
                <w:rFonts w:ascii="宋体" w:hAnsi="宋体" w:cs="宋体"/>
                <w:szCs w:val="21"/>
              </w:rPr>
            </w:pPr>
            <w:r>
              <w:rPr>
                <w:rFonts w:hint="eastAsia" w:ascii="宋体" w:hAnsi="宋体" w:cs="宋体"/>
                <w:szCs w:val="21"/>
              </w:rPr>
              <w:t>3</w:t>
            </w:r>
          </w:p>
        </w:tc>
        <w:tc>
          <w:tcPr>
            <w:tcW w:w="8514" w:type="dxa"/>
            <w:gridSpan w:val="3"/>
            <w:tcBorders>
              <w:tl2br w:val="nil"/>
              <w:tr2bl w:val="nil"/>
            </w:tcBorders>
            <w:vAlign w:val="center"/>
          </w:tcPr>
          <w:p w14:paraId="2DB5D644">
            <w:pPr>
              <w:spacing w:line="400" w:lineRule="exact"/>
              <w:rPr>
                <w:rFonts w:ascii="宋体" w:hAnsi="宋体" w:cs="宋体"/>
                <w:szCs w:val="21"/>
              </w:rPr>
            </w:pPr>
            <w:r>
              <w:rPr>
                <w:rFonts w:hint="eastAsia" w:ascii="宋体" w:hAnsi="宋体" w:cs="宋体"/>
                <w:szCs w:val="21"/>
              </w:rPr>
              <w:t>当地代表处地址：</w:t>
            </w:r>
          </w:p>
        </w:tc>
      </w:tr>
      <w:tr w14:paraId="0611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194851C1">
            <w:pPr>
              <w:spacing w:line="400" w:lineRule="exact"/>
              <w:jc w:val="center"/>
              <w:rPr>
                <w:rFonts w:ascii="宋体" w:hAnsi="宋体" w:cs="宋体"/>
                <w:szCs w:val="21"/>
              </w:rPr>
            </w:pPr>
            <w:r>
              <w:rPr>
                <w:rFonts w:hint="eastAsia" w:ascii="宋体" w:hAnsi="宋体" w:cs="宋体"/>
                <w:szCs w:val="21"/>
              </w:rPr>
              <w:t>4</w:t>
            </w:r>
          </w:p>
        </w:tc>
        <w:tc>
          <w:tcPr>
            <w:tcW w:w="4498" w:type="dxa"/>
            <w:tcBorders>
              <w:tl2br w:val="nil"/>
              <w:tr2bl w:val="nil"/>
            </w:tcBorders>
            <w:vAlign w:val="center"/>
          </w:tcPr>
          <w:p w14:paraId="48B875BC">
            <w:pPr>
              <w:spacing w:line="400" w:lineRule="exact"/>
              <w:rPr>
                <w:rFonts w:ascii="宋体" w:hAnsi="宋体" w:cs="宋体"/>
                <w:szCs w:val="21"/>
              </w:rPr>
            </w:pPr>
            <w:r>
              <w:rPr>
                <w:rFonts w:hint="eastAsia" w:ascii="宋体" w:hAnsi="宋体" w:cs="宋体"/>
                <w:szCs w:val="21"/>
              </w:rPr>
              <w:t>电  话：</w:t>
            </w:r>
          </w:p>
        </w:tc>
        <w:tc>
          <w:tcPr>
            <w:tcW w:w="4016" w:type="dxa"/>
            <w:gridSpan w:val="2"/>
            <w:tcBorders>
              <w:tl2br w:val="nil"/>
              <w:tr2bl w:val="nil"/>
            </w:tcBorders>
            <w:vAlign w:val="center"/>
          </w:tcPr>
          <w:p w14:paraId="5551E217">
            <w:pPr>
              <w:spacing w:line="400" w:lineRule="exact"/>
              <w:rPr>
                <w:rFonts w:ascii="宋体" w:hAnsi="宋体" w:cs="宋体"/>
                <w:szCs w:val="21"/>
              </w:rPr>
            </w:pPr>
            <w:r>
              <w:rPr>
                <w:rFonts w:hint="eastAsia" w:ascii="宋体" w:hAnsi="宋体" w:cs="宋体"/>
                <w:szCs w:val="21"/>
              </w:rPr>
              <w:t>联 系 人：</w:t>
            </w:r>
          </w:p>
        </w:tc>
      </w:tr>
      <w:tr w14:paraId="580B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39314339">
            <w:pPr>
              <w:spacing w:line="400" w:lineRule="exact"/>
              <w:jc w:val="center"/>
              <w:rPr>
                <w:rFonts w:ascii="宋体" w:hAnsi="宋体" w:cs="宋体"/>
                <w:szCs w:val="21"/>
              </w:rPr>
            </w:pPr>
            <w:r>
              <w:rPr>
                <w:rFonts w:hint="eastAsia" w:ascii="宋体" w:hAnsi="宋体" w:cs="宋体"/>
                <w:szCs w:val="21"/>
              </w:rPr>
              <w:t>5</w:t>
            </w:r>
          </w:p>
        </w:tc>
        <w:tc>
          <w:tcPr>
            <w:tcW w:w="4498" w:type="dxa"/>
            <w:tcBorders>
              <w:tl2br w:val="nil"/>
              <w:tr2bl w:val="nil"/>
            </w:tcBorders>
            <w:vAlign w:val="center"/>
          </w:tcPr>
          <w:p w14:paraId="747123A4">
            <w:pPr>
              <w:spacing w:line="400" w:lineRule="exact"/>
              <w:rPr>
                <w:rFonts w:ascii="宋体" w:hAnsi="宋体" w:cs="宋体"/>
                <w:szCs w:val="21"/>
              </w:rPr>
            </w:pPr>
            <w:r>
              <w:rPr>
                <w:rFonts w:hint="eastAsia" w:ascii="宋体" w:hAnsi="宋体" w:cs="宋体"/>
                <w:szCs w:val="21"/>
              </w:rPr>
              <w:t>传  真：</w:t>
            </w:r>
          </w:p>
        </w:tc>
        <w:tc>
          <w:tcPr>
            <w:tcW w:w="4016" w:type="dxa"/>
            <w:gridSpan w:val="2"/>
            <w:tcBorders>
              <w:tl2br w:val="nil"/>
              <w:tr2bl w:val="nil"/>
            </w:tcBorders>
            <w:vAlign w:val="center"/>
          </w:tcPr>
          <w:p w14:paraId="6B7D5EDB">
            <w:pPr>
              <w:spacing w:line="400" w:lineRule="exact"/>
              <w:rPr>
                <w:rFonts w:ascii="宋体" w:hAnsi="宋体" w:cs="宋体"/>
                <w:szCs w:val="21"/>
              </w:rPr>
            </w:pPr>
            <w:r>
              <w:rPr>
                <w:rFonts w:hint="eastAsia" w:ascii="宋体" w:hAnsi="宋体" w:cs="宋体"/>
                <w:szCs w:val="21"/>
              </w:rPr>
              <w:t>电子信箱：</w:t>
            </w:r>
          </w:p>
        </w:tc>
      </w:tr>
      <w:tr w14:paraId="67BE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31FDD7B1">
            <w:pPr>
              <w:spacing w:line="400" w:lineRule="exact"/>
              <w:jc w:val="center"/>
              <w:rPr>
                <w:rFonts w:ascii="宋体" w:hAnsi="宋体" w:cs="宋体"/>
                <w:szCs w:val="21"/>
              </w:rPr>
            </w:pPr>
            <w:r>
              <w:rPr>
                <w:rFonts w:hint="eastAsia" w:ascii="宋体" w:hAnsi="宋体" w:cs="宋体"/>
                <w:szCs w:val="21"/>
              </w:rPr>
              <w:t>6</w:t>
            </w:r>
          </w:p>
        </w:tc>
        <w:tc>
          <w:tcPr>
            <w:tcW w:w="4498" w:type="dxa"/>
            <w:tcBorders>
              <w:tl2br w:val="nil"/>
              <w:tr2bl w:val="nil"/>
            </w:tcBorders>
            <w:vAlign w:val="center"/>
          </w:tcPr>
          <w:p w14:paraId="69BE4B51">
            <w:pPr>
              <w:spacing w:line="400" w:lineRule="exact"/>
              <w:rPr>
                <w:rFonts w:ascii="宋体" w:hAnsi="宋体" w:cs="宋体"/>
                <w:szCs w:val="21"/>
              </w:rPr>
            </w:pPr>
            <w:r>
              <w:rPr>
                <w:rFonts w:hint="eastAsia" w:ascii="宋体" w:hAnsi="宋体" w:cs="宋体"/>
                <w:szCs w:val="21"/>
              </w:rPr>
              <w:t>注册地：</w:t>
            </w:r>
          </w:p>
        </w:tc>
        <w:tc>
          <w:tcPr>
            <w:tcW w:w="4016" w:type="dxa"/>
            <w:gridSpan w:val="2"/>
            <w:tcBorders>
              <w:tl2br w:val="nil"/>
              <w:tr2bl w:val="nil"/>
            </w:tcBorders>
            <w:vAlign w:val="center"/>
          </w:tcPr>
          <w:p w14:paraId="17F83B44">
            <w:pPr>
              <w:spacing w:line="400" w:lineRule="exact"/>
              <w:rPr>
                <w:rFonts w:ascii="宋体" w:hAnsi="宋体" w:cs="宋体"/>
                <w:szCs w:val="21"/>
              </w:rPr>
            </w:pPr>
            <w:r>
              <w:rPr>
                <w:rFonts w:hint="eastAsia" w:ascii="宋体" w:hAnsi="宋体" w:cs="宋体"/>
                <w:szCs w:val="21"/>
              </w:rPr>
              <w:t>注册年份：</w:t>
            </w:r>
          </w:p>
        </w:tc>
      </w:tr>
      <w:tr w14:paraId="340D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1177C7FA">
            <w:pPr>
              <w:spacing w:line="400" w:lineRule="exact"/>
              <w:jc w:val="center"/>
              <w:rPr>
                <w:rFonts w:ascii="宋体" w:hAnsi="宋体" w:cs="宋体"/>
                <w:szCs w:val="21"/>
              </w:rPr>
            </w:pPr>
            <w:r>
              <w:rPr>
                <w:rFonts w:hint="eastAsia" w:ascii="宋体" w:hAnsi="宋体" w:cs="宋体"/>
                <w:szCs w:val="21"/>
              </w:rPr>
              <w:t>7</w:t>
            </w:r>
          </w:p>
        </w:tc>
        <w:tc>
          <w:tcPr>
            <w:tcW w:w="8514" w:type="dxa"/>
            <w:gridSpan w:val="3"/>
            <w:tcBorders>
              <w:tl2br w:val="nil"/>
              <w:tr2bl w:val="nil"/>
            </w:tcBorders>
            <w:vAlign w:val="center"/>
          </w:tcPr>
          <w:p w14:paraId="1ACA1179">
            <w:pPr>
              <w:spacing w:line="400" w:lineRule="exact"/>
              <w:rPr>
                <w:rFonts w:ascii="宋体" w:hAnsi="宋体" w:cs="宋体"/>
                <w:szCs w:val="21"/>
              </w:rPr>
            </w:pPr>
            <w:r>
              <w:rPr>
                <w:rFonts w:hint="eastAsia" w:ascii="宋体" w:hAnsi="宋体" w:cs="宋体"/>
                <w:szCs w:val="21"/>
              </w:rPr>
              <w:t>公司的资质等级（请附上有关证书的复印件）</w:t>
            </w:r>
          </w:p>
        </w:tc>
      </w:tr>
      <w:tr w14:paraId="74AE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04C44A09">
            <w:pPr>
              <w:spacing w:line="400" w:lineRule="exact"/>
              <w:jc w:val="center"/>
              <w:rPr>
                <w:rFonts w:ascii="宋体" w:hAnsi="宋体" w:cs="宋体"/>
                <w:szCs w:val="21"/>
              </w:rPr>
            </w:pPr>
            <w:r>
              <w:rPr>
                <w:rFonts w:hint="eastAsia" w:ascii="宋体" w:hAnsi="宋体" w:cs="宋体"/>
                <w:szCs w:val="21"/>
              </w:rPr>
              <w:t>8</w:t>
            </w:r>
          </w:p>
        </w:tc>
        <w:tc>
          <w:tcPr>
            <w:tcW w:w="8514" w:type="dxa"/>
            <w:gridSpan w:val="3"/>
            <w:tcBorders>
              <w:tl2br w:val="nil"/>
              <w:tr2bl w:val="nil"/>
            </w:tcBorders>
            <w:vAlign w:val="center"/>
          </w:tcPr>
          <w:p w14:paraId="040D6230">
            <w:pPr>
              <w:spacing w:line="400" w:lineRule="exact"/>
              <w:rPr>
                <w:rFonts w:ascii="宋体" w:hAnsi="宋体" w:cs="宋体"/>
                <w:szCs w:val="21"/>
              </w:rPr>
            </w:pPr>
            <w:r>
              <w:rPr>
                <w:rFonts w:hint="eastAsia" w:ascii="宋体" w:hAnsi="宋体" w:cs="宋体"/>
                <w:szCs w:val="21"/>
              </w:rPr>
              <w:t>公司（是否通过，何种）质量保证体系认证（如通过请附相关证书复印件，提供认证机构年审监督报告）</w:t>
            </w:r>
          </w:p>
        </w:tc>
      </w:tr>
      <w:tr w14:paraId="71B1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45737F03">
            <w:pPr>
              <w:spacing w:line="400" w:lineRule="exact"/>
              <w:jc w:val="center"/>
              <w:rPr>
                <w:rFonts w:ascii="宋体" w:hAnsi="宋体" w:cs="宋体"/>
                <w:szCs w:val="21"/>
              </w:rPr>
            </w:pPr>
            <w:r>
              <w:rPr>
                <w:rFonts w:hint="eastAsia" w:ascii="宋体" w:hAnsi="宋体" w:cs="宋体"/>
                <w:szCs w:val="21"/>
              </w:rPr>
              <w:t>9</w:t>
            </w:r>
          </w:p>
        </w:tc>
        <w:tc>
          <w:tcPr>
            <w:tcW w:w="4505" w:type="dxa"/>
            <w:gridSpan w:val="2"/>
            <w:tcBorders>
              <w:tl2br w:val="nil"/>
              <w:tr2bl w:val="nil"/>
            </w:tcBorders>
            <w:vAlign w:val="center"/>
          </w:tcPr>
          <w:p w14:paraId="63467301">
            <w:pPr>
              <w:spacing w:line="400" w:lineRule="exact"/>
              <w:rPr>
                <w:rFonts w:ascii="宋体" w:hAnsi="宋体" w:cs="宋体"/>
                <w:szCs w:val="21"/>
              </w:rPr>
            </w:pPr>
            <w:r>
              <w:rPr>
                <w:rFonts w:hint="eastAsia" w:ascii="宋体" w:hAnsi="宋体" w:cs="宋体"/>
                <w:szCs w:val="21"/>
              </w:rPr>
              <w:t>从业人员数量</w:t>
            </w:r>
          </w:p>
        </w:tc>
        <w:tc>
          <w:tcPr>
            <w:tcW w:w="4009" w:type="dxa"/>
            <w:tcBorders>
              <w:tl2br w:val="nil"/>
              <w:tr2bl w:val="nil"/>
            </w:tcBorders>
            <w:vAlign w:val="center"/>
          </w:tcPr>
          <w:p w14:paraId="4902D989">
            <w:pPr>
              <w:spacing w:line="400" w:lineRule="exact"/>
              <w:rPr>
                <w:rFonts w:ascii="宋体" w:hAnsi="宋体" w:cs="宋体"/>
                <w:szCs w:val="21"/>
              </w:rPr>
            </w:pPr>
          </w:p>
        </w:tc>
      </w:tr>
      <w:tr w14:paraId="086A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0E32D0DF">
            <w:pPr>
              <w:spacing w:line="400" w:lineRule="exact"/>
              <w:jc w:val="center"/>
              <w:rPr>
                <w:rFonts w:ascii="宋体" w:hAnsi="宋体" w:cs="宋体"/>
                <w:szCs w:val="21"/>
              </w:rPr>
            </w:pPr>
            <w:r>
              <w:rPr>
                <w:rFonts w:hint="eastAsia" w:ascii="宋体" w:hAnsi="宋体" w:cs="宋体"/>
                <w:szCs w:val="21"/>
              </w:rPr>
              <w:t>10</w:t>
            </w:r>
          </w:p>
        </w:tc>
        <w:tc>
          <w:tcPr>
            <w:tcW w:w="4505" w:type="dxa"/>
            <w:gridSpan w:val="2"/>
            <w:tcBorders>
              <w:tl2br w:val="nil"/>
              <w:tr2bl w:val="nil"/>
            </w:tcBorders>
            <w:vAlign w:val="center"/>
          </w:tcPr>
          <w:p w14:paraId="1154CF70">
            <w:pPr>
              <w:spacing w:line="400" w:lineRule="exact"/>
              <w:rPr>
                <w:rFonts w:ascii="宋体" w:hAnsi="宋体" w:cs="宋体"/>
                <w:szCs w:val="21"/>
              </w:rPr>
            </w:pPr>
            <w:r>
              <w:rPr>
                <w:rFonts w:hint="eastAsia" w:ascii="宋体" w:hAnsi="宋体" w:cs="宋体"/>
                <w:szCs w:val="21"/>
              </w:rPr>
              <w:t>营业收入</w:t>
            </w:r>
          </w:p>
        </w:tc>
        <w:tc>
          <w:tcPr>
            <w:tcW w:w="4009" w:type="dxa"/>
            <w:tcBorders>
              <w:tl2br w:val="nil"/>
              <w:tr2bl w:val="nil"/>
            </w:tcBorders>
            <w:vAlign w:val="center"/>
          </w:tcPr>
          <w:p w14:paraId="5A963E25">
            <w:pPr>
              <w:spacing w:line="400" w:lineRule="exact"/>
              <w:rPr>
                <w:rFonts w:ascii="宋体" w:hAnsi="宋体" w:cs="宋体"/>
                <w:szCs w:val="21"/>
              </w:rPr>
            </w:pPr>
          </w:p>
        </w:tc>
      </w:tr>
      <w:tr w14:paraId="4ACA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7" w:type="dxa"/>
            <w:tcBorders>
              <w:tl2br w:val="nil"/>
              <w:tr2bl w:val="nil"/>
            </w:tcBorders>
            <w:vAlign w:val="center"/>
          </w:tcPr>
          <w:p w14:paraId="7F5BE3FA">
            <w:pPr>
              <w:spacing w:line="400" w:lineRule="exact"/>
              <w:jc w:val="center"/>
              <w:rPr>
                <w:rFonts w:ascii="宋体" w:hAnsi="宋体" w:cs="宋体"/>
                <w:szCs w:val="21"/>
              </w:rPr>
            </w:pPr>
            <w:r>
              <w:rPr>
                <w:rFonts w:hint="eastAsia" w:ascii="宋体" w:hAnsi="宋体" w:cs="宋体"/>
                <w:szCs w:val="21"/>
              </w:rPr>
              <w:t>11</w:t>
            </w:r>
          </w:p>
        </w:tc>
        <w:tc>
          <w:tcPr>
            <w:tcW w:w="4505" w:type="dxa"/>
            <w:gridSpan w:val="2"/>
            <w:tcBorders>
              <w:tl2br w:val="nil"/>
              <w:tr2bl w:val="nil"/>
            </w:tcBorders>
            <w:vAlign w:val="center"/>
          </w:tcPr>
          <w:p w14:paraId="66CA6480">
            <w:pPr>
              <w:spacing w:line="400" w:lineRule="exact"/>
              <w:rPr>
                <w:rFonts w:ascii="宋体" w:hAnsi="宋体" w:cs="宋体"/>
                <w:szCs w:val="21"/>
              </w:rPr>
            </w:pPr>
            <w:r>
              <w:rPr>
                <w:rFonts w:hint="eastAsia" w:ascii="宋体" w:hAnsi="宋体" w:cs="宋体"/>
                <w:szCs w:val="21"/>
              </w:rPr>
              <w:t>其他需要说明的情况</w:t>
            </w:r>
          </w:p>
        </w:tc>
        <w:tc>
          <w:tcPr>
            <w:tcW w:w="4009" w:type="dxa"/>
            <w:tcBorders>
              <w:tl2br w:val="nil"/>
              <w:tr2bl w:val="nil"/>
            </w:tcBorders>
            <w:vAlign w:val="center"/>
          </w:tcPr>
          <w:p w14:paraId="260AD1AB">
            <w:pPr>
              <w:spacing w:line="400" w:lineRule="exact"/>
              <w:rPr>
                <w:rFonts w:ascii="宋体" w:hAnsi="宋体" w:cs="宋体"/>
                <w:szCs w:val="21"/>
              </w:rPr>
            </w:pPr>
          </w:p>
        </w:tc>
      </w:tr>
    </w:tbl>
    <w:p w14:paraId="30E9B33F">
      <w:pPr>
        <w:spacing w:line="400" w:lineRule="exact"/>
        <w:jc w:val="left"/>
        <w:rPr>
          <w:rFonts w:ascii="宋体" w:hAnsi="宋体" w:cs="宋体"/>
          <w:szCs w:val="21"/>
        </w:rPr>
      </w:pPr>
    </w:p>
    <w:p w14:paraId="39111EC8">
      <w:pPr>
        <w:spacing w:line="400" w:lineRule="exact"/>
        <w:jc w:val="left"/>
        <w:rPr>
          <w:rFonts w:ascii="宋体" w:hAnsi="宋体" w:cs="宋体"/>
          <w:szCs w:val="21"/>
        </w:rPr>
      </w:pPr>
      <w:r>
        <w:rPr>
          <w:rFonts w:hint="eastAsia" w:ascii="宋体" w:hAnsi="宋体" w:cs="宋体"/>
          <w:szCs w:val="21"/>
        </w:rPr>
        <w:t>供应商（盖章）：</w:t>
      </w:r>
    </w:p>
    <w:p w14:paraId="49332D06">
      <w:pPr>
        <w:spacing w:line="400" w:lineRule="exac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11E0EC3D">
      <w:pPr>
        <w:spacing w:line="400" w:lineRule="exact"/>
        <w:jc w:val="center"/>
        <w:rPr>
          <w:rFonts w:ascii="宋体" w:hAnsi="宋体" w:cs="宋体"/>
          <w:b/>
          <w:szCs w:val="21"/>
        </w:rPr>
      </w:pPr>
      <w:bookmarkStart w:id="175" w:name="_Toc10852"/>
      <w:r>
        <w:rPr>
          <w:rFonts w:hint="eastAsia" w:ascii="宋体" w:hAnsi="宋体" w:cs="宋体"/>
          <w:b/>
          <w:szCs w:val="21"/>
        </w:rPr>
        <w:t>B5.技术需求响应表</w:t>
      </w:r>
      <w:bookmarkEnd w:id="175"/>
    </w:p>
    <w:p w14:paraId="7BB31EC3">
      <w:pPr>
        <w:adjustRightInd w:val="0"/>
        <w:snapToGrid w:val="0"/>
        <w:spacing w:line="40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宁波大学鼎秀古籍全文数据库等采购项目</w:t>
      </w:r>
    </w:p>
    <w:p w14:paraId="1E8060D0">
      <w:pPr>
        <w:adjustRightInd w:val="0"/>
        <w:snapToGrid w:val="0"/>
        <w:spacing w:line="400" w:lineRule="exac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NBITC-202530421G</w:t>
      </w:r>
    </w:p>
    <w:p w14:paraId="08E027C0">
      <w:pPr>
        <w:adjustRightInd w:val="0"/>
        <w:snapToGrid w:val="0"/>
        <w:spacing w:line="400" w:lineRule="exact"/>
        <w:rPr>
          <w:rFonts w:ascii="宋体" w:hAnsi="宋体" w:cs="宋体"/>
          <w:szCs w:val="21"/>
        </w:rPr>
      </w:pPr>
      <w:r>
        <w:rPr>
          <w:rFonts w:hint="eastAsia" w:ascii="宋体" w:hAnsi="宋体" w:cs="宋体"/>
          <w:szCs w:val="21"/>
        </w:rPr>
        <w:t>标项：</w:t>
      </w:r>
    </w:p>
    <w:tbl>
      <w:tblPr>
        <w:tblStyle w:val="52"/>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4608"/>
        <w:gridCol w:w="1928"/>
        <w:gridCol w:w="1434"/>
      </w:tblGrid>
      <w:tr w14:paraId="711A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03F57453">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序号</w:t>
            </w:r>
          </w:p>
        </w:tc>
        <w:tc>
          <w:tcPr>
            <w:tcW w:w="4608" w:type="dxa"/>
            <w:tcBorders>
              <w:tl2br w:val="nil"/>
              <w:tr2bl w:val="nil"/>
            </w:tcBorders>
            <w:vAlign w:val="center"/>
          </w:tcPr>
          <w:p w14:paraId="0427AD87">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招标要求</w:t>
            </w:r>
          </w:p>
        </w:tc>
        <w:tc>
          <w:tcPr>
            <w:tcW w:w="1928" w:type="dxa"/>
            <w:tcBorders>
              <w:tl2br w:val="nil"/>
              <w:tr2bl w:val="nil"/>
            </w:tcBorders>
            <w:vAlign w:val="center"/>
          </w:tcPr>
          <w:p w14:paraId="6D464DE0">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投标响应</w:t>
            </w:r>
          </w:p>
        </w:tc>
        <w:tc>
          <w:tcPr>
            <w:tcW w:w="1434" w:type="dxa"/>
            <w:tcBorders>
              <w:tl2br w:val="nil"/>
              <w:tr2bl w:val="nil"/>
            </w:tcBorders>
            <w:vAlign w:val="center"/>
          </w:tcPr>
          <w:p w14:paraId="1E477B35">
            <w:pPr>
              <w:adjustRightInd w:val="0"/>
              <w:snapToGrid w:val="0"/>
              <w:spacing w:line="400" w:lineRule="exact"/>
              <w:jc w:val="center"/>
              <w:rPr>
                <w:rFonts w:ascii="宋体" w:hAnsi="宋体" w:cs="宋体"/>
                <w:spacing w:val="20"/>
                <w:szCs w:val="21"/>
              </w:rPr>
            </w:pPr>
            <w:r>
              <w:rPr>
                <w:rFonts w:hint="eastAsia" w:ascii="宋体" w:hAnsi="宋体" w:cs="宋体"/>
                <w:spacing w:val="20"/>
                <w:szCs w:val="21"/>
              </w:rPr>
              <w:t>偏离说明</w:t>
            </w:r>
          </w:p>
        </w:tc>
      </w:tr>
      <w:tr w14:paraId="627F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37F8E9FA">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14:paraId="7777F259">
            <w:pPr>
              <w:spacing w:line="400" w:lineRule="exact"/>
              <w:rPr>
                <w:rFonts w:ascii="宋体" w:hAnsi="宋体" w:cs="宋体"/>
                <w:b/>
                <w:bCs/>
              </w:rPr>
            </w:pPr>
          </w:p>
        </w:tc>
        <w:tc>
          <w:tcPr>
            <w:tcW w:w="1928" w:type="dxa"/>
            <w:tcBorders>
              <w:tl2br w:val="nil"/>
              <w:tr2bl w:val="nil"/>
            </w:tcBorders>
            <w:vAlign w:val="center"/>
          </w:tcPr>
          <w:p w14:paraId="35B4021C">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14:paraId="26D17340">
            <w:pPr>
              <w:adjustRightInd w:val="0"/>
              <w:snapToGrid w:val="0"/>
              <w:spacing w:line="400" w:lineRule="exact"/>
              <w:jc w:val="center"/>
              <w:rPr>
                <w:rFonts w:ascii="宋体" w:hAnsi="宋体" w:cs="宋体"/>
                <w:spacing w:val="20"/>
                <w:szCs w:val="21"/>
              </w:rPr>
            </w:pPr>
          </w:p>
        </w:tc>
      </w:tr>
      <w:tr w14:paraId="6FA1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11A1DCAB">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14:paraId="462E9CE8">
            <w:pPr>
              <w:spacing w:line="400" w:lineRule="exact"/>
              <w:rPr>
                <w:rFonts w:ascii="宋体" w:hAnsi="宋体" w:cs="宋体"/>
              </w:rPr>
            </w:pPr>
          </w:p>
        </w:tc>
        <w:tc>
          <w:tcPr>
            <w:tcW w:w="1928" w:type="dxa"/>
            <w:tcBorders>
              <w:tl2br w:val="nil"/>
              <w:tr2bl w:val="nil"/>
            </w:tcBorders>
            <w:vAlign w:val="center"/>
          </w:tcPr>
          <w:p w14:paraId="2F3A00F9">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14:paraId="09108DBE">
            <w:pPr>
              <w:adjustRightInd w:val="0"/>
              <w:snapToGrid w:val="0"/>
              <w:spacing w:line="400" w:lineRule="exact"/>
              <w:jc w:val="center"/>
              <w:rPr>
                <w:rFonts w:ascii="宋体" w:hAnsi="宋体" w:cs="宋体"/>
                <w:spacing w:val="20"/>
                <w:szCs w:val="21"/>
              </w:rPr>
            </w:pPr>
          </w:p>
        </w:tc>
      </w:tr>
      <w:tr w14:paraId="1201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384953E2">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14:paraId="1A91B122">
            <w:pPr>
              <w:spacing w:line="400" w:lineRule="exact"/>
              <w:rPr>
                <w:rFonts w:ascii="宋体" w:hAnsi="宋体" w:cs="宋体"/>
              </w:rPr>
            </w:pPr>
          </w:p>
        </w:tc>
        <w:tc>
          <w:tcPr>
            <w:tcW w:w="1928" w:type="dxa"/>
            <w:tcBorders>
              <w:tl2br w:val="nil"/>
              <w:tr2bl w:val="nil"/>
            </w:tcBorders>
            <w:vAlign w:val="center"/>
          </w:tcPr>
          <w:p w14:paraId="123F8532">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14:paraId="2AA9083A">
            <w:pPr>
              <w:adjustRightInd w:val="0"/>
              <w:snapToGrid w:val="0"/>
              <w:spacing w:line="400" w:lineRule="exact"/>
              <w:jc w:val="center"/>
              <w:rPr>
                <w:rFonts w:ascii="宋体" w:hAnsi="宋体" w:cs="宋体"/>
                <w:spacing w:val="20"/>
                <w:szCs w:val="21"/>
              </w:rPr>
            </w:pPr>
          </w:p>
        </w:tc>
      </w:tr>
      <w:tr w14:paraId="6200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632BC3D7">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14:paraId="6B3738B0">
            <w:pPr>
              <w:spacing w:line="400" w:lineRule="exact"/>
              <w:rPr>
                <w:rFonts w:ascii="宋体" w:hAnsi="宋体" w:cs="宋体"/>
              </w:rPr>
            </w:pPr>
          </w:p>
        </w:tc>
        <w:tc>
          <w:tcPr>
            <w:tcW w:w="1928" w:type="dxa"/>
            <w:tcBorders>
              <w:tl2br w:val="nil"/>
              <w:tr2bl w:val="nil"/>
            </w:tcBorders>
            <w:vAlign w:val="center"/>
          </w:tcPr>
          <w:p w14:paraId="1A3AF673">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14:paraId="70BB2737">
            <w:pPr>
              <w:adjustRightInd w:val="0"/>
              <w:snapToGrid w:val="0"/>
              <w:spacing w:line="400" w:lineRule="exact"/>
              <w:jc w:val="center"/>
              <w:rPr>
                <w:rFonts w:ascii="宋体" w:hAnsi="宋体" w:cs="宋体"/>
                <w:spacing w:val="20"/>
                <w:szCs w:val="21"/>
              </w:rPr>
            </w:pPr>
          </w:p>
        </w:tc>
      </w:tr>
      <w:tr w14:paraId="6908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9" w:type="dxa"/>
            <w:tcBorders>
              <w:tl2br w:val="nil"/>
              <w:tr2bl w:val="nil"/>
            </w:tcBorders>
            <w:vAlign w:val="center"/>
          </w:tcPr>
          <w:p w14:paraId="0A381238">
            <w:pPr>
              <w:adjustRightInd w:val="0"/>
              <w:snapToGrid w:val="0"/>
              <w:spacing w:line="400" w:lineRule="exact"/>
              <w:jc w:val="center"/>
              <w:rPr>
                <w:rFonts w:ascii="宋体" w:hAnsi="宋体" w:cs="宋体"/>
                <w:spacing w:val="20"/>
                <w:szCs w:val="21"/>
              </w:rPr>
            </w:pPr>
          </w:p>
        </w:tc>
        <w:tc>
          <w:tcPr>
            <w:tcW w:w="4608" w:type="dxa"/>
            <w:tcBorders>
              <w:tl2br w:val="nil"/>
              <w:tr2bl w:val="nil"/>
            </w:tcBorders>
          </w:tcPr>
          <w:p w14:paraId="5B82F009">
            <w:pPr>
              <w:spacing w:line="400" w:lineRule="exact"/>
              <w:rPr>
                <w:rFonts w:ascii="宋体" w:hAnsi="宋体" w:cs="宋体"/>
              </w:rPr>
            </w:pPr>
          </w:p>
        </w:tc>
        <w:tc>
          <w:tcPr>
            <w:tcW w:w="1928" w:type="dxa"/>
            <w:tcBorders>
              <w:tl2br w:val="nil"/>
              <w:tr2bl w:val="nil"/>
            </w:tcBorders>
            <w:vAlign w:val="center"/>
          </w:tcPr>
          <w:p w14:paraId="3B24E6FF">
            <w:pPr>
              <w:adjustRightInd w:val="0"/>
              <w:snapToGrid w:val="0"/>
              <w:spacing w:line="400" w:lineRule="exact"/>
              <w:jc w:val="center"/>
              <w:rPr>
                <w:rFonts w:ascii="宋体" w:hAnsi="宋体" w:cs="宋体"/>
                <w:spacing w:val="20"/>
                <w:szCs w:val="21"/>
              </w:rPr>
            </w:pPr>
          </w:p>
        </w:tc>
        <w:tc>
          <w:tcPr>
            <w:tcW w:w="1434" w:type="dxa"/>
            <w:tcBorders>
              <w:tl2br w:val="nil"/>
              <w:tr2bl w:val="nil"/>
            </w:tcBorders>
            <w:vAlign w:val="center"/>
          </w:tcPr>
          <w:p w14:paraId="14B2C670">
            <w:pPr>
              <w:adjustRightInd w:val="0"/>
              <w:snapToGrid w:val="0"/>
              <w:spacing w:line="400" w:lineRule="exact"/>
              <w:jc w:val="center"/>
              <w:rPr>
                <w:rFonts w:ascii="宋体" w:hAnsi="宋体" w:cs="宋体"/>
                <w:spacing w:val="20"/>
                <w:szCs w:val="21"/>
              </w:rPr>
            </w:pPr>
          </w:p>
        </w:tc>
      </w:tr>
    </w:tbl>
    <w:p w14:paraId="414FA77F">
      <w:pPr>
        <w:adjustRightInd w:val="0"/>
        <w:snapToGrid w:val="0"/>
        <w:spacing w:line="400" w:lineRule="exact"/>
        <w:rPr>
          <w:rFonts w:ascii="宋体" w:hAnsi="宋体" w:cs="宋体"/>
          <w:spacing w:val="20"/>
          <w:szCs w:val="21"/>
        </w:rPr>
      </w:pPr>
      <w:r>
        <w:rPr>
          <w:rFonts w:hint="eastAsia" w:ascii="宋体" w:hAnsi="宋体" w:cs="宋体"/>
          <w:szCs w:val="21"/>
        </w:rPr>
        <w:t>注：须与“第三章  招标内容与服务需求”中“一、技术需求”逐项比较，如有偏离的，须在本表中列明，并提供详细的偏离说明。</w:t>
      </w:r>
    </w:p>
    <w:p w14:paraId="17A350EF">
      <w:pPr>
        <w:adjustRightInd w:val="0"/>
        <w:snapToGrid w:val="0"/>
        <w:spacing w:line="400" w:lineRule="exact"/>
        <w:rPr>
          <w:rFonts w:ascii="宋体" w:hAnsi="宋体" w:cs="宋体"/>
          <w:spacing w:val="20"/>
          <w:szCs w:val="21"/>
        </w:rPr>
      </w:pPr>
    </w:p>
    <w:p w14:paraId="21D55DF9">
      <w:pPr>
        <w:spacing w:line="400" w:lineRule="exact"/>
        <w:jc w:val="left"/>
        <w:rPr>
          <w:rFonts w:ascii="宋体" w:hAnsi="宋体" w:cs="宋体"/>
          <w:szCs w:val="21"/>
        </w:rPr>
      </w:pPr>
      <w:r>
        <w:rPr>
          <w:rFonts w:hint="eastAsia" w:ascii="宋体" w:hAnsi="宋体" w:cs="宋体"/>
          <w:szCs w:val="21"/>
        </w:rPr>
        <w:t>供应商（盖章）：</w:t>
      </w:r>
    </w:p>
    <w:p w14:paraId="68E55080">
      <w:pPr>
        <w:spacing w:line="400" w:lineRule="exact"/>
        <w:rPr>
          <w:rFonts w:ascii="宋体" w:hAnsi="宋体" w:cs="宋体"/>
          <w:szCs w:val="21"/>
        </w:rPr>
      </w:pPr>
      <w:r>
        <w:rPr>
          <w:rFonts w:hint="eastAsia" w:ascii="宋体" w:hAnsi="宋体" w:cs="宋体"/>
          <w:szCs w:val="21"/>
        </w:rPr>
        <w:t>日          期：</w:t>
      </w:r>
    </w:p>
    <w:p w14:paraId="7C04AC5C">
      <w:pPr>
        <w:snapToGrid w:val="0"/>
        <w:spacing w:line="400" w:lineRule="exact"/>
        <w:ind w:firstLine="4095" w:firstLineChars="1950"/>
        <w:jc w:val="left"/>
        <w:rPr>
          <w:rFonts w:ascii="宋体" w:hAnsi="宋体" w:cs="宋体"/>
          <w:szCs w:val="21"/>
        </w:rPr>
      </w:pPr>
    </w:p>
    <w:p w14:paraId="337B720D">
      <w:pPr>
        <w:spacing w:line="400" w:lineRule="exact"/>
        <w:ind w:firstLine="4095" w:firstLineChars="1950"/>
        <w:jc w:val="left"/>
        <w:rPr>
          <w:rFonts w:ascii="宋体" w:hAnsi="宋体" w:cs="宋体"/>
          <w:szCs w:val="21"/>
        </w:rPr>
      </w:pPr>
    </w:p>
    <w:p w14:paraId="63B3B441">
      <w:pPr>
        <w:snapToGrid w:val="0"/>
        <w:spacing w:line="400" w:lineRule="exact"/>
        <w:jc w:val="left"/>
        <w:rPr>
          <w:rFonts w:ascii="宋体" w:hAnsi="宋体" w:cs="宋体"/>
          <w:szCs w:val="21"/>
          <w:u w:val="single"/>
        </w:rPr>
      </w:pPr>
    </w:p>
    <w:p w14:paraId="5E42CF80">
      <w:pPr>
        <w:spacing w:line="360" w:lineRule="auto"/>
        <w:rPr>
          <w:rFonts w:ascii="宋体" w:hAnsi="宋体" w:cs="宋体"/>
          <w:szCs w:val="21"/>
        </w:rPr>
      </w:pPr>
    </w:p>
    <w:p w14:paraId="2DE4BDAC">
      <w:pPr>
        <w:spacing w:line="360" w:lineRule="auto"/>
        <w:rPr>
          <w:rFonts w:ascii="宋体" w:hAnsi="宋体" w:cs="宋体"/>
          <w:szCs w:val="21"/>
        </w:rPr>
      </w:pPr>
    </w:p>
    <w:p w14:paraId="57DCBAFB">
      <w:pPr>
        <w:spacing w:line="360" w:lineRule="auto"/>
        <w:rPr>
          <w:rStyle w:val="117"/>
          <w:rFonts w:ascii="宋体" w:hAnsi="宋体" w:cs="宋体"/>
          <w:szCs w:val="21"/>
        </w:rPr>
      </w:pPr>
      <w:r>
        <w:rPr>
          <w:rFonts w:hint="eastAsia" w:ascii="宋体" w:hAnsi="宋体" w:cs="宋体"/>
          <w:szCs w:val="21"/>
        </w:rPr>
        <w:br w:type="page"/>
      </w:r>
    </w:p>
    <w:p w14:paraId="247BA4D9">
      <w:pPr>
        <w:spacing w:line="400" w:lineRule="exact"/>
        <w:jc w:val="center"/>
        <w:rPr>
          <w:rFonts w:ascii="宋体" w:hAnsi="宋体" w:cs="宋体"/>
          <w:b/>
          <w:szCs w:val="21"/>
        </w:rPr>
      </w:pPr>
      <w:r>
        <w:rPr>
          <w:rFonts w:hint="eastAsia" w:ascii="宋体" w:hAnsi="宋体" w:cs="宋体"/>
          <w:b/>
          <w:szCs w:val="21"/>
        </w:rPr>
        <w:t>B6.商务条款响应表</w:t>
      </w:r>
    </w:p>
    <w:p w14:paraId="6F92D392">
      <w:pPr>
        <w:adjustRightInd w:val="0"/>
        <w:snapToGrid w:val="0"/>
        <w:spacing w:line="40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宁波大学鼎秀古籍全文数据库等采购项目</w:t>
      </w:r>
    </w:p>
    <w:p w14:paraId="0C648694">
      <w:pPr>
        <w:adjustRightInd w:val="0"/>
        <w:snapToGrid w:val="0"/>
        <w:spacing w:line="400" w:lineRule="exact"/>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NBITC-202530421G</w:t>
      </w:r>
    </w:p>
    <w:p w14:paraId="6F16E1A7">
      <w:pPr>
        <w:adjustRightInd w:val="0"/>
        <w:snapToGrid w:val="0"/>
        <w:spacing w:line="400" w:lineRule="exact"/>
        <w:rPr>
          <w:rFonts w:ascii="宋体" w:hAnsi="宋体" w:cs="宋体"/>
          <w:szCs w:val="21"/>
        </w:rPr>
      </w:pPr>
      <w:r>
        <w:rPr>
          <w:rFonts w:hint="eastAsia" w:ascii="宋体" w:hAnsi="宋体" w:cs="宋体"/>
          <w:szCs w:val="21"/>
        </w:rPr>
        <w:t xml:space="preserve">标项：                              </w:t>
      </w:r>
    </w:p>
    <w:tbl>
      <w:tblPr>
        <w:tblStyle w:val="5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9"/>
        <w:gridCol w:w="1515"/>
        <w:gridCol w:w="5519"/>
        <w:gridCol w:w="1313"/>
      </w:tblGrid>
      <w:tr w14:paraId="0F4D7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5E96CCBC">
            <w:pPr>
              <w:spacing w:line="400" w:lineRule="exact"/>
              <w:jc w:val="center"/>
              <w:rPr>
                <w:rFonts w:ascii="宋体" w:hAnsi="宋体" w:cs="宋体"/>
                <w:b/>
                <w:bCs/>
                <w:szCs w:val="21"/>
              </w:rPr>
            </w:pPr>
            <w:r>
              <w:rPr>
                <w:rFonts w:hint="eastAsia" w:ascii="宋体" w:hAnsi="宋体" w:cs="宋体"/>
                <w:b/>
                <w:bCs/>
                <w:szCs w:val="21"/>
              </w:rPr>
              <w:t>序号</w:t>
            </w:r>
          </w:p>
        </w:tc>
        <w:tc>
          <w:tcPr>
            <w:tcW w:w="826" w:type="pct"/>
            <w:tcBorders>
              <w:top w:val="single" w:color="auto" w:sz="4" w:space="0"/>
              <w:left w:val="single" w:color="auto" w:sz="4" w:space="0"/>
              <w:bottom w:val="single" w:color="auto" w:sz="4" w:space="0"/>
              <w:right w:val="single" w:color="auto" w:sz="4" w:space="0"/>
            </w:tcBorders>
            <w:vAlign w:val="center"/>
          </w:tcPr>
          <w:p w14:paraId="112F7B51">
            <w:pPr>
              <w:spacing w:line="400" w:lineRule="exact"/>
              <w:jc w:val="center"/>
              <w:rPr>
                <w:rFonts w:ascii="宋体" w:hAnsi="宋体" w:cs="宋体"/>
                <w:b/>
                <w:bCs/>
                <w:szCs w:val="21"/>
              </w:rPr>
            </w:pPr>
            <w:r>
              <w:rPr>
                <w:rFonts w:hint="eastAsia" w:ascii="宋体" w:hAnsi="宋体" w:cs="宋体"/>
                <w:b/>
                <w:bCs/>
                <w:szCs w:val="21"/>
              </w:rPr>
              <w:t>内容</w:t>
            </w:r>
          </w:p>
        </w:tc>
        <w:tc>
          <w:tcPr>
            <w:tcW w:w="3009" w:type="pct"/>
            <w:tcBorders>
              <w:top w:val="single" w:color="auto" w:sz="4" w:space="0"/>
              <w:left w:val="single" w:color="auto" w:sz="4" w:space="0"/>
              <w:bottom w:val="single" w:color="auto" w:sz="4" w:space="0"/>
              <w:right w:val="single" w:color="auto" w:sz="4" w:space="0"/>
            </w:tcBorders>
            <w:vAlign w:val="center"/>
          </w:tcPr>
          <w:p w14:paraId="438626B4">
            <w:pPr>
              <w:spacing w:line="400" w:lineRule="exact"/>
              <w:jc w:val="center"/>
              <w:rPr>
                <w:rFonts w:ascii="宋体" w:hAnsi="宋体" w:cs="宋体"/>
                <w:b/>
                <w:bCs/>
                <w:szCs w:val="21"/>
              </w:rPr>
            </w:pPr>
            <w:r>
              <w:rPr>
                <w:rFonts w:hint="eastAsia" w:ascii="宋体" w:hAnsi="宋体" w:cs="宋体"/>
                <w:b/>
                <w:bCs/>
                <w:szCs w:val="21"/>
              </w:rPr>
              <w:t>要求</w:t>
            </w:r>
          </w:p>
        </w:tc>
        <w:tc>
          <w:tcPr>
            <w:tcW w:w="716" w:type="pct"/>
            <w:tcBorders>
              <w:top w:val="single" w:color="auto" w:sz="4" w:space="0"/>
              <w:left w:val="single" w:color="auto" w:sz="4" w:space="0"/>
              <w:bottom w:val="single" w:color="auto" w:sz="4" w:space="0"/>
              <w:right w:val="single" w:color="auto" w:sz="4" w:space="0"/>
            </w:tcBorders>
            <w:vAlign w:val="center"/>
          </w:tcPr>
          <w:p w14:paraId="62D45E75">
            <w:pPr>
              <w:spacing w:line="400" w:lineRule="exact"/>
              <w:jc w:val="center"/>
              <w:rPr>
                <w:rFonts w:ascii="宋体" w:hAnsi="宋体" w:cs="宋体"/>
                <w:b/>
                <w:bCs/>
                <w:szCs w:val="21"/>
              </w:rPr>
            </w:pPr>
            <w:r>
              <w:rPr>
                <w:rFonts w:hint="eastAsia" w:ascii="宋体" w:hAnsi="宋体" w:cs="宋体"/>
                <w:b/>
                <w:bCs/>
                <w:szCs w:val="21"/>
              </w:rPr>
              <w:t>投标响应</w:t>
            </w:r>
          </w:p>
        </w:tc>
      </w:tr>
      <w:tr w14:paraId="5FF79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1903BC79">
            <w:pPr>
              <w:spacing w:line="400" w:lineRule="exact"/>
              <w:jc w:val="center"/>
              <w:rPr>
                <w:rFonts w:ascii="宋体" w:hAnsi="宋体" w:cs="宋体"/>
                <w:szCs w:val="21"/>
              </w:rPr>
            </w:pPr>
            <w:r>
              <w:rPr>
                <w:rFonts w:hint="eastAsia" w:ascii="宋体" w:hAnsi="宋体" w:cs="宋体"/>
                <w:szCs w:val="21"/>
              </w:rPr>
              <w:t>★1</w:t>
            </w:r>
          </w:p>
        </w:tc>
        <w:tc>
          <w:tcPr>
            <w:tcW w:w="826" w:type="pct"/>
            <w:tcBorders>
              <w:top w:val="single" w:color="auto" w:sz="4" w:space="0"/>
              <w:left w:val="single" w:color="auto" w:sz="4" w:space="0"/>
              <w:bottom w:val="single" w:color="auto" w:sz="4" w:space="0"/>
              <w:right w:val="single" w:color="auto" w:sz="4" w:space="0"/>
            </w:tcBorders>
            <w:vAlign w:val="center"/>
          </w:tcPr>
          <w:p w14:paraId="02A73569">
            <w:pPr>
              <w:spacing w:line="400" w:lineRule="exact"/>
              <w:jc w:val="center"/>
              <w:rPr>
                <w:rFonts w:ascii="宋体" w:hAnsi="宋体" w:cs="宋体"/>
                <w:szCs w:val="21"/>
              </w:rPr>
            </w:pPr>
            <w:r>
              <w:rPr>
                <w:rFonts w:hint="eastAsia" w:ascii="宋体" w:hAnsi="宋体" w:cs="宋体"/>
                <w:szCs w:val="21"/>
              </w:rPr>
              <w:t>服务期限</w:t>
            </w:r>
          </w:p>
        </w:tc>
        <w:tc>
          <w:tcPr>
            <w:tcW w:w="5519" w:type="dxa"/>
            <w:tcBorders>
              <w:top w:val="single" w:color="auto" w:sz="4" w:space="0"/>
              <w:left w:val="single" w:color="auto" w:sz="4" w:space="0"/>
              <w:bottom w:val="single" w:color="auto" w:sz="4" w:space="0"/>
              <w:right w:val="single" w:color="auto" w:sz="4" w:space="0"/>
            </w:tcBorders>
            <w:vAlign w:val="center"/>
          </w:tcPr>
          <w:p w14:paraId="6508E455">
            <w:pPr>
              <w:spacing w:line="400" w:lineRule="exact"/>
              <w:rPr>
                <w:rFonts w:ascii="宋体" w:hAnsi="宋体" w:cs="宋体"/>
                <w:color w:val="FF0000"/>
                <w:szCs w:val="21"/>
              </w:rPr>
            </w:pPr>
            <w:r>
              <w:rPr>
                <w:rFonts w:hint="eastAsia" w:ascii="宋体" w:hAnsi="宋体" w:cs="宋体"/>
                <w:szCs w:val="21"/>
              </w:rPr>
              <w:t>详见各标项技术需求。</w:t>
            </w:r>
          </w:p>
        </w:tc>
        <w:tc>
          <w:tcPr>
            <w:tcW w:w="716" w:type="pct"/>
            <w:tcBorders>
              <w:top w:val="single" w:color="auto" w:sz="4" w:space="0"/>
              <w:left w:val="single" w:color="auto" w:sz="4" w:space="0"/>
              <w:bottom w:val="single" w:color="auto" w:sz="4" w:space="0"/>
              <w:right w:val="single" w:color="auto" w:sz="4" w:space="0"/>
            </w:tcBorders>
            <w:vAlign w:val="center"/>
          </w:tcPr>
          <w:p w14:paraId="54C04D1F">
            <w:pPr>
              <w:spacing w:line="400" w:lineRule="exact"/>
              <w:rPr>
                <w:rFonts w:ascii="宋体" w:hAnsi="宋体" w:cs="宋体"/>
                <w:szCs w:val="21"/>
              </w:rPr>
            </w:pPr>
          </w:p>
        </w:tc>
      </w:tr>
      <w:tr w14:paraId="32E58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6F9936EF">
            <w:pPr>
              <w:spacing w:line="400" w:lineRule="exact"/>
              <w:jc w:val="center"/>
              <w:rPr>
                <w:rFonts w:ascii="宋体" w:hAnsi="宋体" w:cs="宋体"/>
                <w:szCs w:val="21"/>
              </w:rPr>
            </w:pPr>
            <w:r>
              <w:rPr>
                <w:rFonts w:hint="eastAsia" w:ascii="宋体" w:hAnsi="宋体" w:cs="宋体"/>
                <w:szCs w:val="21"/>
              </w:rPr>
              <w:t>★2</w:t>
            </w:r>
          </w:p>
        </w:tc>
        <w:tc>
          <w:tcPr>
            <w:tcW w:w="826" w:type="pct"/>
            <w:tcBorders>
              <w:top w:val="single" w:color="auto" w:sz="4" w:space="0"/>
              <w:left w:val="single" w:color="auto" w:sz="4" w:space="0"/>
              <w:bottom w:val="single" w:color="auto" w:sz="4" w:space="0"/>
              <w:right w:val="single" w:color="auto" w:sz="4" w:space="0"/>
            </w:tcBorders>
            <w:vAlign w:val="center"/>
          </w:tcPr>
          <w:p w14:paraId="10A292A7">
            <w:pPr>
              <w:spacing w:line="400" w:lineRule="exact"/>
              <w:jc w:val="center"/>
              <w:rPr>
                <w:rFonts w:ascii="宋体" w:hAnsi="宋体" w:cs="宋体"/>
                <w:szCs w:val="21"/>
              </w:rPr>
            </w:pPr>
            <w:r>
              <w:rPr>
                <w:rFonts w:hint="eastAsia" w:ascii="宋体" w:hAnsi="宋体" w:cs="宋体"/>
                <w:szCs w:val="21"/>
              </w:rPr>
              <w:t>服务地点</w:t>
            </w:r>
          </w:p>
        </w:tc>
        <w:tc>
          <w:tcPr>
            <w:tcW w:w="5519" w:type="dxa"/>
            <w:tcBorders>
              <w:top w:val="single" w:color="auto" w:sz="4" w:space="0"/>
              <w:left w:val="single" w:color="auto" w:sz="4" w:space="0"/>
              <w:bottom w:val="single" w:color="auto" w:sz="4" w:space="0"/>
              <w:right w:val="single" w:color="auto" w:sz="4" w:space="0"/>
            </w:tcBorders>
            <w:vAlign w:val="center"/>
          </w:tcPr>
          <w:p w14:paraId="31AD1AC9">
            <w:pPr>
              <w:spacing w:line="400" w:lineRule="exact"/>
              <w:rPr>
                <w:rFonts w:ascii="宋体" w:hAnsi="宋体" w:cs="宋体"/>
                <w:szCs w:val="21"/>
              </w:rPr>
            </w:pPr>
            <w:r>
              <w:rPr>
                <w:rFonts w:hint="eastAsia" w:ascii="宋体" w:hAnsi="宋体" w:cs="宋体"/>
                <w:szCs w:val="21"/>
              </w:rPr>
              <w:t>宁波大学（采购人指定地点）</w:t>
            </w:r>
          </w:p>
        </w:tc>
        <w:tc>
          <w:tcPr>
            <w:tcW w:w="716" w:type="pct"/>
            <w:tcBorders>
              <w:top w:val="single" w:color="auto" w:sz="4" w:space="0"/>
              <w:left w:val="single" w:color="auto" w:sz="4" w:space="0"/>
              <w:bottom w:val="single" w:color="auto" w:sz="4" w:space="0"/>
              <w:right w:val="single" w:color="auto" w:sz="4" w:space="0"/>
            </w:tcBorders>
            <w:vAlign w:val="center"/>
          </w:tcPr>
          <w:p w14:paraId="55FB0178">
            <w:pPr>
              <w:spacing w:line="400" w:lineRule="exact"/>
              <w:rPr>
                <w:rFonts w:ascii="宋体" w:hAnsi="宋体" w:cs="宋体"/>
                <w:szCs w:val="21"/>
              </w:rPr>
            </w:pPr>
          </w:p>
        </w:tc>
      </w:tr>
      <w:tr w14:paraId="563EB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2E7E6C95">
            <w:pPr>
              <w:spacing w:line="400" w:lineRule="exact"/>
              <w:jc w:val="center"/>
              <w:rPr>
                <w:rFonts w:ascii="宋体" w:hAnsi="宋体" w:cs="宋体"/>
                <w:szCs w:val="21"/>
              </w:rPr>
            </w:pPr>
            <w:r>
              <w:rPr>
                <w:rFonts w:hint="eastAsia" w:ascii="宋体" w:hAnsi="宋体" w:cs="宋体"/>
                <w:szCs w:val="21"/>
              </w:rPr>
              <w:t>★3</w:t>
            </w:r>
          </w:p>
        </w:tc>
        <w:tc>
          <w:tcPr>
            <w:tcW w:w="826" w:type="pct"/>
            <w:tcBorders>
              <w:top w:val="single" w:color="auto" w:sz="4" w:space="0"/>
              <w:left w:val="single" w:color="auto" w:sz="4" w:space="0"/>
              <w:bottom w:val="single" w:color="auto" w:sz="4" w:space="0"/>
              <w:right w:val="single" w:color="auto" w:sz="4" w:space="0"/>
            </w:tcBorders>
            <w:shd w:val="clear" w:color="auto" w:fill="auto"/>
            <w:vAlign w:val="center"/>
          </w:tcPr>
          <w:p w14:paraId="2DA12A3C">
            <w:pPr>
              <w:spacing w:line="400" w:lineRule="exact"/>
              <w:jc w:val="center"/>
              <w:rPr>
                <w:rFonts w:ascii="宋体" w:hAnsi="宋体" w:cs="宋体"/>
                <w:szCs w:val="21"/>
              </w:rPr>
            </w:pPr>
            <w:r>
              <w:rPr>
                <w:rFonts w:hint="eastAsia" w:ascii="宋体" w:hAnsi="宋体" w:cs="宋体"/>
                <w:szCs w:val="21"/>
              </w:rPr>
              <w:t>付款方式</w:t>
            </w:r>
          </w:p>
        </w:tc>
        <w:tc>
          <w:tcPr>
            <w:tcW w:w="5519" w:type="dxa"/>
            <w:tcBorders>
              <w:top w:val="single" w:color="auto" w:sz="4" w:space="0"/>
              <w:left w:val="single" w:color="auto" w:sz="4" w:space="0"/>
              <w:bottom w:val="single" w:color="auto" w:sz="4" w:space="0"/>
              <w:right w:val="single" w:color="auto" w:sz="4" w:space="0"/>
            </w:tcBorders>
            <w:shd w:val="clear" w:color="auto" w:fill="auto"/>
            <w:vAlign w:val="center"/>
          </w:tcPr>
          <w:p w14:paraId="310230DF">
            <w:pPr>
              <w:spacing w:line="400" w:lineRule="exact"/>
              <w:rPr>
                <w:rFonts w:ascii="宋体" w:hAnsi="宋体" w:cs="宋体"/>
                <w:szCs w:val="21"/>
              </w:rPr>
            </w:pPr>
            <w:r>
              <w:rPr>
                <w:rFonts w:hint="eastAsia" w:ascii="宋体" w:hAnsi="宋体" w:cs="宋体"/>
                <w:szCs w:val="21"/>
                <w:lang w:eastAsia="zh-CN"/>
              </w:rPr>
              <w:t>合同签订生效且具备实施条件后7个工作日内，采购人凭中标供应商开具的发票支付合同金额的40%，服务期满前1个月采购人付清剩余款项。</w:t>
            </w:r>
          </w:p>
        </w:tc>
        <w:tc>
          <w:tcPr>
            <w:tcW w:w="716" w:type="pct"/>
            <w:tcBorders>
              <w:top w:val="single" w:color="auto" w:sz="4" w:space="0"/>
              <w:left w:val="single" w:color="auto" w:sz="4" w:space="0"/>
              <w:bottom w:val="single" w:color="auto" w:sz="4" w:space="0"/>
              <w:right w:val="single" w:color="auto" w:sz="4" w:space="0"/>
            </w:tcBorders>
            <w:vAlign w:val="center"/>
          </w:tcPr>
          <w:p w14:paraId="351ABF2A">
            <w:pPr>
              <w:spacing w:line="400" w:lineRule="exact"/>
              <w:rPr>
                <w:rFonts w:ascii="宋体" w:hAnsi="宋体" w:cs="宋体"/>
                <w:szCs w:val="21"/>
              </w:rPr>
            </w:pPr>
          </w:p>
        </w:tc>
      </w:tr>
      <w:tr w14:paraId="1D1F5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1E5F553A">
            <w:pPr>
              <w:spacing w:line="400" w:lineRule="exact"/>
              <w:jc w:val="center"/>
              <w:rPr>
                <w:rFonts w:ascii="宋体" w:hAnsi="宋体" w:cs="宋体"/>
                <w:szCs w:val="21"/>
              </w:rPr>
            </w:pPr>
            <w:r>
              <w:rPr>
                <w:rFonts w:hint="eastAsia" w:ascii="宋体" w:hAnsi="宋体" w:cs="宋体"/>
                <w:szCs w:val="21"/>
              </w:rPr>
              <w:t>4</w:t>
            </w:r>
          </w:p>
        </w:tc>
        <w:tc>
          <w:tcPr>
            <w:tcW w:w="826" w:type="pct"/>
            <w:tcBorders>
              <w:top w:val="single" w:color="auto" w:sz="4" w:space="0"/>
              <w:left w:val="single" w:color="auto" w:sz="4" w:space="0"/>
              <w:bottom w:val="single" w:color="auto" w:sz="4" w:space="0"/>
              <w:right w:val="single" w:color="auto" w:sz="4" w:space="0"/>
            </w:tcBorders>
            <w:vAlign w:val="center"/>
          </w:tcPr>
          <w:p w14:paraId="09110B56">
            <w:pPr>
              <w:spacing w:line="400" w:lineRule="exact"/>
              <w:jc w:val="center"/>
              <w:rPr>
                <w:rFonts w:ascii="宋体" w:hAnsi="宋体" w:cs="宋体"/>
                <w:szCs w:val="21"/>
              </w:rPr>
            </w:pPr>
            <w:r>
              <w:rPr>
                <w:rFonts w:hint="eastAsia" w:ascii="宋体" w:hAnsi="宋体" w:cs="宋体"/>
                <w:szCs w:val="21"/>
              </w:rPr>
              <w:t>履约保证金</w:t>
            </w:r>
          </w:p>
        </w:tc>
        <w:tc>
          <w:tcPr>
            <w:tcW w:w="5519" w:type="dxa"/>
            <w:tcBorders>
              <w:top w:val="single" w:color="auto" w:sz="4" w:space="0"/>
              <w:left w:val="single" w:color="auto" w:sz="4" w:space="0"/>
              <w:bottom w:val="single" w:color="auto" w:sz="4" w:space="0"/>
              <w:right w:val="single" w:color="auto" w:sz="4" w:space="0"/>
            </w:tcBorders>
            <w:vAlign w:val="center"/>
          </w:tcPr>
          <w:p w14:paraId="2A979920">
            <w:pPr>
              <w:autoSpaceDE w:val="0"/>
              <w:autoSpaceDN w:val="0"/>
              <w:spacing w:line="400" w:lineRule="exact"/>
              <w:textAlignment w:val="bottom"/>
              <w:rPr>
                <w:rFonts w:hAnsi="宋体" w:cs="宋体"/>
              </w:rPr>
            </w:pPr>
            <w:r>
              <w:rPr>
                <w:rFonts w:hint="eastAsia" w:ascii="宋体" w:hAnsi="宋体" w:cs="宋体"/>
                <w:szCs w:val="21"/>
              </w:rPr>
              <w:t>无</w:t>
            </w:r>
          </w:p>
        </w:tc>
        <w:tc>
          <w:tcPr>
            <w:tcW w:w="716" w:type="pct"/>
            <w:tcBorders>
              <w:top w:val="single" w:color="auto" w:sz="4" w:space="0"/>
              <w:left w:val="single" w:color="auto" w:sz="4" w:space="0"/>
              <w:bottom w:val="single" w:color="auto" w:sz="4" w:space="0"/>
              <w:right w:val="single" w:color="auto" w:sz="4" w:space="0"/>
            </w:tcBorders>
            <w:vAlign w:val="center"/>
          </w:tcPr>
          <w:p w14:paraId="50BE371F">
            <w:pPr>
              <w:spacing w:line="400" w:lineRule="exact"/>
              <w:rPr>
                <w:rFonts w:ascii="宋体" w:hAnsi="宋体" w:cs="宋体"/>
                <w:szCs w:val="21"/>
              </w:rPr>
            </w:pPr>
          </w:p>
        </w:tc>
      </w:tr>
      <w:tr w14:paraId="1FEED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3F5FAE6C">
            <w:pPr>
              <w:spacing w:line="400" w:lineRule="exact"/>
              <w:jc w:val="center"/>
              <w:rPr>
                <w:rFonts w:ascii="宋体" w:hAnsi="宋体" w:cs="宋体"/>
                <w:szCs w:val="21"/>
              </w:rPr>
            </w:pPr>
            <w:r>
              <w:rPr>
                <w:rFonts w:hint="eastAsia" w:ascii="宋体" w:hAnsi="宋体" w:cs="宋体"/>
                <w:szCs w:val="21"/>
              </w:rPr>
              <w:t>★5</w:t>
            </w:r>
          </w:p>
        </w:tc>
        <w:tc>
          <w:tcPr>
            <w:tcW w:w="826" w:type="pct"/>
            <w:tcBorders>
              <w:top w:val="single" w:color="auto" w:sz="4" w:space="0"/>
              <w:left w:val="single" w:color="auto" w:sz="4" w:space="0"/>
              <w:bottom w:val="single" w:color="auto" w:sz="4" w:space="0"/>
              <w:right w:val="single" w:color="auto" w:sz="4" w:space="0"/>
            </w:tcBorders>
            <w:vAlign w:val="center"/>
          </w:tcPr>
          <w:p w14:paraId="6497E18A">
            <w:pPr>
              <w:spacing w:line="400" w:lineRule="exact"/>
              <w:jc w:val="center"/>
              <w:rPr>
                <w:rFonts w:ascii="宋体" w:hAnsi="宋体" w:cs="宋体"/>
                <w:szCs w:val="21"/>
              </w:rPr>
            </w:pPr>
            <w:r>
              <w:rPr>
                <w:rFonts w:hint="eastAsia" w:ascii="宋体" w:hAnsi="宋体" w:cs="宋体"/>
                <w:szCs w:val="21"/>
              </w:rPr>
              <w:t>验收标准</w:t>
            </w:r>
          </w:p>
        </w:tc>
        <w:tc>
          <w:tcPr>
            <w:tcW w:w="5519" w:type="dxa"/>
            <w:tcBorders>
              <w:top w:val="single" w:color="auto" w:sz="4" w:space="0"/>
              <w:left w:val="single" w:color="auto" w:sz="4" w:space="0"/>
              <w:bottom w:val="single" w:color="auto" w:sz="4" w:space="0"/>
              <w:right w:val="single" w:color="auto" w:sz="4" w:space="0"/>
            </w:tcBorders>
            <w:vAlign w:val="center"/>
          </w:tcPr>
          <w:p w14:paraId="3EC75767">
            <w:pPr>
              <w:autoSpaceDE w:val="0"/>
              <w:autoSpaceDN w:val="0"/>
              <w:spacing w:line="400" w:lineRule="exact"/>
              <w:textAlignment w:val="bottom"/>
              <w:rPr>
                <w:rFonts w:ascii="宋体" w:hAnsi="宋体" w:cs="宋体"/>
                <w:szCs w:val="21"/>
              </w:rPr>
            </w:pPr>
            <w:r>
              <w:rPr>
                <w:rFonts w:hint="eastAsia" w:ascii="宋体" w:hAnsi="宋体" w:cs="宋体"/>
                <w:szCs w:val="21"/>
              </w:rPr>
              <w:t>1.应符合国家或行业有关的质量标准或验收规范并按照中标供应商提供的投标文件及中标供应商和采购人签订的采购合同为标准进行验收。</w:t>
            </w:r>
          </w:p>
          <w:p w14:paraId="7CD6A7F0">
            <w:pPr>
              <w:autoSpaceDE w:val="0"/>
              <w:autoSpaceDN w:val="0"/>
              <w:spacing w:line="400" w:lineRule="exact"/>
              <w:textAlignment w:val="bottom"/>
            </w:pPr>
            <w:r>
              <w:rPr>
                <w:rFonts w:hint="eastAsia" w:ascii="宋体" w:hAnsi="宋体" w:cs="宋体"/>
                <w:szCs w:val="21"/>
              </w:rPr>
              <w:t>2.具体要求详见招标文件技术需求。</w:t>
            </w:r>
          </w:p>
        </w:tc>
        <w:tc>
          <w:tcPr>
            <w:tcW w:w="716" w:type="pct"/>
            <w:tcBorders>
              <w:top w:val="single" w:color="auto" w:sz="4" w:space="0"/>
              <w:left w:val="single" w:color="auto" w:sz="4" w:space="0"/>
              <w:bottom w:val="single" w:color="auto" w:sz="4" w:space="0"/>
              <w:right w:val="single" w:color="auto" w:sz="4" w:space="0"/>
            </w:tcBorders>
            <w:vAlign w:val="center"/>
          </w:tcPr>
          <w:p w14:paraId="34317A28">
            <w:pPr>
              <w:spacing w:line="400" w:lineRule="exact"/>
              <w:rPr>
                <w:rFonts w:ascii="宋体" w:hAnsi="宋体" w:cs="宋体"/>
                <w:b/>
                <w:bCs/>
                <w:szCs w:val="21"/>
              </w:rPr>
            </w:pPr>
          </w:p>
        </w:tc>
      </w:tr>
      <w:tr w14:paraId="234CB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057B2C0F">
            <w:pPr>
              <w:spacing w:line="400" w:lineRule="exact"/>
              <w:jc w:val="center"/>
              <w:rPr>
                <w:rFonts w:ascii="宋体" w:hAnsi="宋体" w:cs="宋体"/>
                <w:szCs w:val="21"/>
              </w:rPr>
            </w:pPr>
            <w:r>
              <w:rPr>
                <w:rFonts w:hint="eastAsia" w:ascii="宋体" w:hAnsi="宋体" w:cs="宋体"/>
                <w:szCs w:val="21"/>
              </w:rPr>
              <w:t>★6</w:t>
            </w:r>
          </w:p>
        </w:tc>
        <w:tc>
          <w:tcPr>
            <w:tcW w:w="826" w:type="pct"/>
            <w:tcBorders>
              <w:top w:val="single" w:color="auto" w:sz="4" w:space="0"/>
              <w:left w:val="single" w:color="auto" w:sz="4" w:space="0"/>
              <w:bottom w:val="single" w:color="auto" w:sz="4" w:space="0"/>
              <w:right w:val="single" w:color="auto" w:sz="4" w:space="0"/>
            </w:tcBorders>
            <w:vAlign w:val="center"/>
          </w:tcPr>
          <w:p w14:paraId="2388F70A">
            <w:pPr>
              <w:spacing w:line="400" w:lineRule="exact"/>
              <w:jc w:val="center"/>
              <w:rPr>
                <w:rFonts w:ascii="宋体" w:hAnsi="宋体" w:cs="宋体"/>
                <w:szCs w:val="21"/>
              </w:rPr>
            </w:pPr>
            <w:r>
              <w:rPr>
                <w:rFonts w:hint="eastAsia" w:ascii="宋体" w:hAnsi="宋体" w:cs="宋体"/>
                <w:szCs w:val="21"/>
              </w:rPr>
              <w:t>其他要求</w:t>
            </w:r>
          </w:p>
        </w:tc>
        <w:tc>
          <w:tcPr>
            <w:tcW w:w="5519" w:type="dxa"/>
            <w:tcBorders>
              <w:top w:val="single" w:color="auto" w:sz="4" w:space="0"/>
              <w:left w:val="single" w:color="auto" w:sz="4" w:space="0"/>
              <w:bottom w:val="single" w:color="auto" w:sz="4" w:space="0"/>
              <w:right w:val="single" w:color="auto" w:sz="4" w:space="0"/>
            </w:tcBorders>
            <w:vAlign w:val="center"/>
          </w:tcPr>
          <w:p w14:paraId="24F9BEC4">
            <w:pPr>
              <w:autoSpaceDE w:val="0"/>
              <w:autoSpaceDN w:val="0"/>
              <w:spacing w:line="400" w:lineRule="exact"/>
              <w:textAlignment w:val="bottom"/>
              <w:rPr>
                <w:rFonts w:ascii="宋体" w:hAnsi="宋体" w:cs="宋体"/>
                <w:szCs w:val="21"/>
              </w:rPr>
            </w:pPr>
            <w:r>
              <w:rPr>
                <w:rFonts w:hint="eastAsia" w:ascii="宋体" w:hAnsi="宋体" w:cs="宋体"/>
                <w:szCs w:val="21"/>
              </w:rPr>
              <w:t>1.供应商承诺提供的产品及相关服务符合法律规定，不存在知识产权、版权或其他任何纠纷。如出现任何法律问题、知识产权、版权问题，供应商承担一切责任，采购人不承担任何责任。</w:t>
            </w:r>
          </w:p>
          <w:p w14:paraId="587BEA48">
            <w:pPr>
              <w:autoSpaceDE w:val="0"/>
              <w:autoSpaceDN w:val="0"/>
              <w:spacing w:line="400" w:lineRule="exact"/>
              <w:textAlignment w:val="bottom"/>
              <w:rPr>
                <w:rFonts w:ascii="宋体" w:hAnsi="宋体" w:cs="宋体"/>
                <w:b/>
                <w:bCs/>
                <w:szCs w:val="21"/>
              </w:rPr>
            </w:pPr>
            <w:r>
              <w:rPr>
                <w:rFonts w:hint="eastAsia" w:ascii="宋体" w:hAnsi="宋体" w:cs="宋体"/>
                <w:szCs w:val="21"/>
              </w:rPr>
              <w:t>2.详见“第六章  采购合同样本”。</w:t>
            </w:r>
          </w:p>
        </w:tc>
        <w:tc>
          <w:tcPr>
            <w:tcW w:w="716" w:type="pct"/>
            <w:tcBorders>
              <w:top w:val="single" w:color="auto" w:sz="4" w:space="0"/>
              <w:left w:val="single" w:color="auto" w:sz="4" w:space="0"/>
              <w:bottom w:val="single" w:color="auto" w:sz="4" w:space="0"/>
              <w:right w:val="single" w:color="auto" w:sz="4" w:space="0"/>
            </w:tcBorders>
            <w:vAlign w:val="center"/>
          </w:tcPr>
          <w:p w14:paraId="7508E28D">
            <w:pPr>
              <w:spacing w:line="400" w:lineRule="exact"/>
              <w:rPr>
                <w:rFonts w:ascii="宋体" w:hAnsi="宋体" w:cs="宋体"/>
                <w:szCs w:val="21"/>
              </w:rPr>
            </w:pPr>
          </w:p>
        </w:tc>
      </w:tr>
      <w:tr w14:paraId="3E30A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vAlign w:val="center"/>
          </w:tcPr>
          <w:p w14:paraId="399BE519">
            <w:pPr>
              <w:spacing w:line="400" w:lineRule="exact"/>
              <w:jc w:val="center"/>
              <w:rPr>
                <w:rFonts w:ascii="宋体" w:hAnsi="宋体" w:cs="宋体"/>
                <w:szCs w:val="21"/>
              </w:rPr>
            </w:pPr>
            <w:r>
              <w:rPr>
                <w:rFonts w:hint="eastAsia" w:ascii="宋体" w:hAnsi="宋体" w:cs="宋体"/>
                <w:szCs w:val="21"/>
              </w:rPr>
              <w:t>7</w:t>
            </w:r>
          </w:p>
        </w:tc>
        <w:tc>
          <w:tcPr>
            <w:tcW w:w="826" w:type="pct"/>
            <w:tcBorders>
              <w:top w:val="single" w:color="auto" w:sz="4" w:space="0"/>
              <w:left w:val="single" w:color="auto" w:sz="4" w:space="0"/>
              <w:bottom w:val="single" w:color="auto" w:sz="4" w:space="0"/>
              <w:right w:val="single" w:color="auto" w:sz="4" w:space="0"/>
            </w:tcBorders>
            <w:vAlign w:val="center"/>
          </w:tcPr>
          <w:p w14:paraId="5573CBC7">
            <w:pPr>
              <w:spacing w:line="400" w:lineRule="exact"/>
              <w:jc w:val="center"/>
              <w:rPr>
                <w:rFonts w:ascii="宋体" w:hAnsi="宋体" w:cs="宋体"/>
                <w:szCs w:val="21"/>
              </w:rPr>
            </w:pPr>
            <w:r>
              <w:rPr>
                <w:rFonts w:hint="eastAsia" w:ascii="宋体" w:hAnsi="宋体" w:cs="宋体"/>
                <w:szCs w:val="21"/>
              </w:rPr>
              <w:t>签订合同时间</w:t>
            </w:r>
          </w:p>
        </w:tc>
        <w:tc>
          <w:tcPr>
            <w:tcW w:w="5519" w:type="dxa"/>
            <w:tcBorders>
              <w:top w:val="single" w:color="auto" w:sz="4" w:space="0"/>
              <w:left w:val="single" w:color="auto" w:sz="4" w:space="0"/>
              <w:bottom w:val="single" w:color="auto" w:sz="4" w:space="0"/>
              <w:right w:val="single" w:color="auto" w:sz="4" w:space="0"/>
            </w:tcBorders>
            <w:vAlign w:val="center"/>
          </w:tcPr>
          <w:p w14:paraId="4E3B3FBE">
            <w:pPr>
              <w:autoSpaceDE w:val="0"/>
              <w:autoSpaceDN w:val="0"/>
              <w:spacing w:line="400" w:lineRule="exact"/>
              <w:textAlignment w:val="bottom"/>
              <w:rPr>
                <w:rFonts w:ascii="宋体" w:hAnsi="宋体" w:cs="宋体"/>
                <w:szCs w:val="21"/>
              </w:rPr>
            </w:pPr>
            <w:r>
              <w:rPr>
                <w:rFonts w:hint="eastAsia" w:ascii="宋体" w:hAnsi="宋体" w:cs="宋体"/>
                <w:szCs w:val="21"/>
              </w:rPr>
              <w:t>中标通知书发出之日起</w:t>
            </w:r>
            <w:r>
              <w:rPr>
                <w:rFonts w:hint="eastAsia" w:ascii="宋体" w:hAnsi="宋体" w:cs="宋体"/>
                <w:szCs w:val="21"/>
                <w:u w:val="single"/>
              </w:rPr>
              <w:t xml:space="preserve"> 30 </w:t>
            </w:r>
            <w:r>
              <w:rPr>
                <w:rFonts w:hint="eastAsia" w:ascii="宋体" w:hAnsi="宋体" w:cs="宋体"/>
                <w:szCs w:val="21"/>
              </w:rPr>
              <w:t>日内。</w:t>
            </w:r>
          </w:p>
        </w:tc>
        <w:tc>
          <w:tcPr>
            <w:tcW w:w="716" w:type="pct"/>
            <w:tcBorders>
              <w:top w:val="single" w:color="auto" w:sz="4" w:space="0"/>
              <w:left w:val="single" w:color="auto" w:sz="4" w:space="0"/>
              <w:bottom w:val="single" w:color="auto" w:sz="4" w:space="0"/>
              <w:right w:val="single" w:color="auto" w:sz="4" w:space="0"/>
            </w:tcBorders>
            <w:vAlign w:val="center"/>
          </w:tcPr>
          <w:p w14:paraId="6C5D99DA">
            <w:pPr>
              <w:spacing w:line="400" w:lineRule="exact"/>
              <w:rPr>
                <w:rFonts w:ascii="宋体" w:hAnsi="宋体" w:cs="宋体"/>
                <w:szCs w:val="21"/>
              </w:rPr>
            </w:pPr>
          </w:p>
        </w:tc>
      </w:tr>
    </w:tbl>
    <w:p w14:paraId="6C57DD3E">
      <w:pPr>
        <w:adjustRightInd w:val="0"/>
        <w:snapToGrid w:val="0"/>
        <w:spacing w:line="400" w:lineRule="exact"/>
        <w:rPr>
          <w:rFonts w:ascii="宋体" w:hAnsi="宋体" w:cs="宋体"/>
          <w:szCs w:val="21"/>
        </w:rPr>
      </w:pPr>
      <w:r>
        <w:rPr>
          <w:rFonts w:hint="eastAsia" w:ascii="宋体" w:hAnsi="宋体" w:cs="宋体"/>
          <w:szCs w:val="21"/>
        </w:rPr>
        <w:t>注：须与“第四章  商务条款”逐项比较，如有偏离的，须在本表中列明，并提供详细的偏离说明。</w:t>
      </w:r>
    </w:p>
    <w:p w14:paraId="6D94AE60">
      <w:pPr>
        <w:adjustRightInd w:val="0"/>
        <w:snapToGrid w:val="0"/>
        <w:spacing w:line="400" w:lineRule="exact"/>
        <w:rPr>
          <w:rFonts w:ascii="宋体" w:hAnsi="宋体" w:cs="宋体"/>
          <w:szCs w:val="21"/>
        </w:rPr>
      </w:pPr>
    </w:p>
    <w:p w14:paraId="5FC7E3EF">
      <w:pPr>
        <w:spacing w:line="400" w:lineRule="exact"/>
        <w:jc w:val="left"/>
        <w:rPr>
          <w:rFonts w:ascii="宋体" w:hAnsi="宋体" w:cs="宋体"/>
          <w:szCs w:val="21"/>
        </w:rPr>
      </w:pPr>
      <w:bookmarkStart w:id="176" w:name="_Toc436408720"/>
      <w:bookmarkStart w:id="177" w:name="_Toc441316563"/>
      <w:r>
        <w:rPr>
          <w:rFonts w:hint="eastAsia" w:ascii="宋体" w:hAnsi="宋体" w:cs="宋体"/>
          <w:szCs w:val="21"/>
        </w:rPr>
        <w:t>供应商（盖章）：</w:t>
      </w:r>
    </w:p>
    <w:p w14:paraId="3A35656B">
      <w:pPr>
        <w:spacing w:line="400" w:lineRule="exact"/>
        <w:rPr>
          <w:rFonts w:ascii="宋体" w:hAnsi="宋体" w:cs="宋体"/>
          <w:szCs w:val="21"/>
        </w:rPr>
      </w:pPr>
      <w:r>
        <w:rPr>
          <w:rFonts w:hint="eastAsia" w:ascii="宋体" w:hAnsi="宋体" w:cs="宋体"/>
          <w:szCs w:val="21"/>
        </w:rPr>
        <w:t>日          期：</w:t>
      </w:r>
      <w:r>
        <w:rPr>
          <w:rFonts w:hint="eastAsia" w:ascii="宋体" w:hAnsi="宋体" w:cs="宋体"/>
          <w:szCs w:val="21"/>
        </w:rPr>
        <w:br w:type="page"/>
      </w:r>
      <w:bookmarkEnd w:id="176"/>
      <w:bookmarkStart w:id="178" w:name="_Toc441316564"/>
      <w:r>
        <w:rPr>
          <w:rFonts w:hint="eastAsia" w:ascii="宋体" w:hAnsi="宋体" w:cs="宋体"/>
          <w:szCs w:val="21"/>
        </w:rPr>
        <w:t>B7.系统或数据库概况（自拟）；</w:t>
      </w:r>
    </w:p>
    <w:p w14:paraId="69C73895">
      <w:pPr>
        <w:spacing w:line="400" w:lineRule="exact"/>
        <w:jc w:val="left"/>
        <w:rPr>
          <w:rFonts w:ascii="宋体" w:hAnsi="宋体" w:cs="宋体"/>
          <w:szCs w:val="21"/>
        </w:rPr>
      </w:pPr>
      <w:r>
        <w:rPr>
          <w:rFonts w:hint="eastAsia" w:ascii="宋体" w:hAnsi="宋体" w:cs="宋体"/>
          <w:szCs w:val="21"/>
        </w:rPr>
        <w:t>B8.响应方案（自拟）；</w:t>
      </w:r>
    </w:p>
    <w:p w14:paraId="3430235F">
      <w:pPr>
        <w:spacing w:line="400" w:lineRule="exact"/>
        <w:jc w:val="left"/>
        <w:rPr>
          <w:rFonts w:ascii="宋体" w:hAnsi="宋体" w:cs="宋体"/>
          <w:szCs w:val="21"/>
        </w:rPr>
      </w:pPr>
      <w:r>
        <w:rPr>
          <w:rFonts w:hint="eastAsia" w:ascii="宋体" w:hAnsi="宋体" w:cs="宋体"/>
          <w:szCs w:val="21"/>
        </w:rPr>
        <w:t>B9.售后服务、质量保障方案（自拟）；</w:t>
      </w:r>
    </w:p>
    <w:p w14:paraId="5636FBEF">
      <w:pPr>
        <w:spacing w:line="400" w:lineRule="exact"/>
        <w:jc w:val="left"/>
        <w:rPr>
          <w:rFonts w:ascii="宋体" w:hAnsi="宋体" w:cs="宋体"/>
          <w:szCs w:val="21"/>
        </w:rPr>
      </w:pPr>
      <w:r>
        <w:rPr>
          <w:rFonts w:hint="eastAsia" w:ascii="宋体" w:hAnsi="宋体" w:cs="宋体"/>
          <w:szCs w:val="21"/>
        </w:rPr>
        <w:t>B10.供应商与本项目类似的业绩情况（如有，自拟）；</w:t>
      </w:r>
    </w:p>
    <w:p w14:paraId="0C346985">
      <w:pPr>
        <w:spacing w:line="400" w:lineRule="exact"/>
        <w:jc w:val="left"/>
        <w:rPr>
          <w:rFonts w:ascii="宋体" w:hAnsi="宋体" w:cs="宋体"/>
          <w:szCs w:val="21"/>
        </w:rPr>
      </w:pPr>
      <w:r>
        <w:rPr>
          <w:rFonts w:hint="eastAsia" w:ascii="宋体" w:hAnsi="宋体" w:cs="宋体"/>
          <w:szCs w:val="21"/>
        </w:rPr>
        <w:t>B11.第五章“评标办法及标准”中评分标准（兼评委打分表）要求提供的资料（如有，请提供）；</w:t>
      </w:r>
    </w:p>
    <w:p w14:paraId="4343F9B5">
      <w:pPr>
        <w:spacing w:line="400" w:lineRule="exact"/>
        <w:jc w:val="left"/>
        <w:rPr>
          <w:rFonts w:ascii="宋体" w:hAnsi="宋体" w:cs="宋体"/>
          <w:szCs w:val="21"/>
        </w:rPr>
      </w:pPr>
      <w:r>
        <w:rPr>
          <w:rFonts w:hint="eastAsia" w:ascii="宋体" w:hAnsi="宋体" w:cs="宋体"/>
          <w:szCs w:val="21"/>
        </w:rPr>
        <w:t>B12.招标文件要求提供的和供应商认为需要的其他资料（如有，请提供）。</w:t>
      </w:r>
    </w:p>
    <w:p w14:paraId="736D955E">
      <w:pPr>
        <w:spacing w:line="400" w:lineRule="exact"/>
        <w:ind w:left="420" w:leftChars="200"/>
        <w:jc w:val="left"/>
        <w:rPr>
          <w:rFonts w:ascii="宋体" w:hAnsi="宋体" w:cs="宋体"/>
          <w:szCs w:val="21"/>
          <w:u w:val="single"/>
        </w:rPr>
      </w:pPr>
      <w:r>
        <w:rPr>
          <w:rFonts w:hint="eastAsia" w:ascii="宋体" w:hAnsi="宋体" w:cs="宋体"/>
          <w:b/>
        </w:rPr>
        <w:br w:type="page"/>
      </w:r>
    </w:p>
    <w:p w14:paraId="0FD46828">
      <w:pPr>
        <w:pStyle w:val="264"/>
        <w:spacing w:before="0" w:after="0" w:line="400" w:lineRule="exact"/>
        <w:ind w:firstLine="482"/>
        <w:jc w:val="center"/>
        <w:rPr>
          <w:rStyle w:val="117"/>
          <w:rFonts w:ascii="宋体" w:hAnsi="宋体" w:cs="宋体"/>
          <w:sz w:val="32"/>
          <w:szCs w:val="32"/>
        </w:rPr>
      </w:pPr>
      <w:bookmarkStart w:id="179" w:name="_Toc8677"/>
      <w:bookmarkStart w:id="180" w:name="_Toc443468293"/>
      <w:bookmarkStart w:id="181" w:name="_Toc44162159"/>
      <w:bookmarkStart w:id="182" w:name="_Toc21541028"/>
      <w:r>
        <w:rPr>
          <w:rStyle w:val="117"/>
          <w:rFonts w:hint="eastAsia" w:ascii="宋体" w:hAnsi="宋体" w:cs="宋体"/>
          <w:bCs/>
          <w:sz w:val="32"/>
          <w:szCs w:val="32"/>
        </w:rPr>
        <w:t>C.报价文件</w:t>
      </w:r>
      <w:bookmarkEnd w:id="179"/>
      <w:bookmarkEnd w:id="180"/>
      <w:bookmarkEnd w:id="181"/>
      <w:bookmarkEnd w:id="182"/>
    </w:p>
    <w:p w14:paraId="3DC2DAA3">
      <w:pPr>
        <w:autoSpaceDE w:val="0"/>
        <w:autoSpaceDN w:val="0"/>
        <w:adjustRightInd w:val="0"/>
        <w:spacing w:line="420" w:lineRule="exact"/>
        <w:rPr>
          <w:rStyle w:val="117"/>
          <w:rFonts w:ascii="宋体" w:hAnsi="宋体" w:cs="宋体"/>
          <w:b w:val="0"/>
          <w:lang w:val="zh-CN"/>
        </w:rPr>
      </w:pPr>
      <w:r>
        <w:rPr>
          <w:rStyle w:val="117"/>
          <w:rFonts w:hint="eastAsia" w:ascii="宋体" w:hAnsi="宋体" w:cs="宋体"/>
          <w:sz w:val="32"/>
          <w:szCs w:val="32"/>
        </w:rPr>
        <w:br w:type="page"/>
      </w:r>
      <w:r>
        <w:rPr>
          <w:rStyle w:val="117"/>
          <w:rFonts w:hint="eastAsia" w:ascii="宋体" w:hAnsi="宋体" w:cs="宋体"/>
          <w:szCs w:val="21"/>
        </w:rPr>
        <w:t>封面</w:t>
      </w:r>
    </w:p>
    <w:p w14:paraId="371D2E6B">
      <w:pPr>
        <w:spacing w:line="360" w:lineRule="auto"/>
        <w:ind w:firstLine="1285" w:firstLineChars="400"/>
        <w:jc w:val="right"/>
        <w:rPr>
          <w:rFonts w:ascii="宋体" w:hAnsi="宋体" w:cs="宋体"/>
          <w:b/>
          <w:sz w:val="32"/>
          <w:szCs w:val="32"/>
        </w:rPr>
      </w:pPr>
    </w:p>
    <w:p w14:paraId="4062156A">
      <w:pPr>
        <w:spacing w:line="360" w:lineRule="auto"/>
        <w:rPr>
          <w:rFonts w:ascii="宋体" w:hAnsi="宋体" w:cs="宋体"/>
          <w:sz w:val="28"/>
          <w:szCs w:val="28"/>
        </w:rPr>
      </w:pPr>
    </w:p>
    <w:p w14:paraId="7AF4292A">
      <w:pPr>
        <w:spacing w:after="120" w:line="900" w:lineRule="exact"/>
        <w:jc w:val="center"/>
        <w:rPr>
          <w:rFonts w:ascii="宋体" w:hAnsi="宋体" w:cs="宋体"/>
          <w:b/>
          <w:sz w:val="40"/>
          <w:szCs w:val="40"/>
        </w:rPr>
      </w:pPr>
      <w:r>
        <w:rPr>
          <w:rFonts w:hint="eastAsia" w:ascii="宋体" w:hAnsi="宋体" w:cs="宋体"/>
          <w:b/>
          <w:sz w:val="40"/>
          <w:szCs w:val="40"/>
        </w:rPr>
        <w:t>宁波大学鼎秀古籍全文数据库等采购项目</w:t>
      </w:r>
    </w:p>
    <w:p w14:paraId="73FEE90C">
      <w:pPr>
        <w:spacing w:line="360" w:lineRule="auto"/>
        <w:jc w:val="center"/>
        <w:rPr>
          <w:rFonts w:ascii="宋体" w:hAnsi="宋体" w:cs="宋体"/>
          <w:sz w:val="36"/>
          <w:szCs w:val="36"/>
          <w:u w:val="single"/>
        </w:rPr>
      </w:pPr>
    </w:p>
    <w:p w14:paraId="52CE8684">
      <w:pPr>
        <w:spacing w:line="360" w:lineRule="auto"/>
        <w:jc w:val="center"/>
        <w:rPr>
          <w:rFonts w:ascii="宋体" w:hAnsi="宋体" w:cs="宋体"/>
          <w:sz w:val="36"/>
          <w:szCs w:val="36"/>
          <w:u w:val="single"/>
        </w:rPr>
      </w:pPr>
      <w:r>
        <w:rPr>
          <w:rFonts w:hint="eastAsia" w:ascii="宋体" w:hAnsi="宋体" w:cs="宋体"/>
          <w:sz w:val="36"/>
          <w:szCs w:val="36"/>
        </w:rPr>
        <w:t>项目编号：</w:t>
      </w:r>
      <w:r>
        <w:rPr>
          <w:rFonts w:hint="eastAsia" w:ascii="宋体" w:hAnsi="宋体" w:cs="宋体"/>
          <w:sz w:val="36"/>
          <w:szCs w:val="36"/>
          <w:u w:val="single"/>
        </w:rPr>
        <w:t>NBITC-202530421G</w:t>
      </w:r>
    </w:p>
    <w:p w14:paraId="70AC21DD">
      <w:pPr>
        <w:spacing w:line="360" w:lineRule="auto"/>
        <w:jc w:val="center"/>
        <w:rPr>
          <w:rFonts w:ascii="宋体" w:hAnsi="宋体" w:cs="宋体"/>
          <w:sz w:val="36"/>
          <w:szCs w:val="36"/>
        </w:rPr>
      </w:pPr>
      <w:r>
        <w:rPr>
          <w:rFonts w:hint="eastAsia" w:ascii="宋体" w:hAnsi="宋体" w:cs="宋体"/>
          <w:sz w:val="36"/>
          <w:szCs w:val="36"/>
        </w:rPr>
        <w:t>标    项：</w:t>
      </w:r>
      <w:r>
        <w:rPr>
          <w:rFonts w:hint="eastAsia" w:ascii="宋体" w:hAnsi="宋体" w:cs="宋体"/>
          <w:sz w:val="36"/>
          <w:szCs w:val="36"/>
          <w:u w:val="single"/>
        </w:rPr>
        <w:t>（如有多个标项）</w:t>
      </w:r>
    </w:p>
    <w:p w14:paraId="3FC1DB43">
      <w:pPr>
        <w:rPr>
          <w:rFonts w:ascii="宋体" w:hAnsi="宋体" w:cs="宋体"/>
          <w:sz w:val="28"/>
          <w:szCs w:val="28"/>
        </w:rPr>
      </w:pPr>
    </w:p>
    <w:p w14:paraId="416746A8">
      <w:pPr>
        <w:spacing w:line="360" w:lineRule="auto"/>
        <w:jc w:val="center"/>
        <w:rPr>
          <w:rFonts w:ascii="宋体" w:hAnsi="宋体" w:cs="宋体"/>
          <w:sz w:val="36"/>
          <w:szCs w:val="36"/>
        </w:rPr>
      </w:pPr>
      <w:r>
        <w:rPr>
          <w:rFonts w:hint="eastAsia" w:ascii="宋体" w:hAnsi="宋体" w:cs="宋体"/>
          <w:sz w:val="36"/>
          <w:szCs w:val="36"/>
        </w:rPr>
        <w:t>（报价文件）</w:t>
      </w:r>
    </w:p>
    <w:p w14:paraId="23DC0F17">
      <w:pPr>
        <w:jc w:val="center"/>
        <w:rPr>
          <w:rFonts w:ascii="宋体" w:hAnsi="宋体" w:cs="宋体"/>
          <w:sz w:val="28"/>
          <w:szCs w:val="28"/>
        </w:rPr>
      </w:pPr>
    </w:p>
    <w:p w14:paraId="60116099">
      <w:pPr>
        <w:spacing w:line="360" w:lineRule="auto"/>
        <w:jc w:val="center"/>
        <w:rPr>
          <w:rFonts w:ascii="宋体" w:hAnsi="宋体" w:cs="宋体"/>
          <w:b/>
          <w:sz w:val="72"/>
          <w:szCs w:val="72"/>
        </w:rPr>
      </w:pPr>
    </w:p>
    <w:p w14:paraId="54F17F5F">
      <w:pPr>
        <w:spacing w:line="360" w:lineRule="auto"/>
        <w:jc w:val="center"/>
        <w:rPr>
          <w:rFonts w:ascii="宋体" w:hAnsi="宋体" w:cs="宋体"/>
          <w:b/>
          <w:sz w:val="72"/>
          <w:szCs w:val="72"/>
        </w:rPr>
      </w:pPr>
      <w:r>
        <w:rPr>
          <w:rFonts w:hint="eastAsia" w:ascii="宋体" w:hAnsi="宋体" w:cs="宋体"/>
          <w:b/>
          <w:sz w:val="72"/>
          <w:szCs w:val="72"/>
        </w:rPr>
        <w:t>投标文件</w:t>
      </w:r>
    </w:p>
    <w:p w14:paraId="6D5D0E6D">
      <w:pPr>
        <w:spacing w:line="360" w:lineRule="auto"/>
        <w:jc w:val="center"/>
        <w:rPr>
          <w:rFonts w:ascii="宋体" w:hAnsi="宋体" w:cs="宋体"/>
          <w:sz w:val="36"/>
          <w:szCs w:val="36"/>
        </w:rPr>
      </w:pPr>
    </w:p>
    <w:p w14:paraId="5812DD37">
      <w:pPr>
        <w:spacing w:line="360" w:lineRule="auto"/>
        <w:jc w:val="center"/>
        <w:rPr>
          <w:rFonts w:ascii="宋体" w:hAnsi="宋体" w:cs="宋体"/>
          <w:sz w:val="36"/>
          <w:szCs w:val="36"/>
        </w:rPr>
      </w:pPr>
    </w:p>
    <w:p w14:paraId="564E5742">
      <w:pPr>
        <w:spacing w:line="360" w:lineRule="auto"/>
        <w:jc w:val="center"/>
        <w:rPr>
          <w:rFonts w:ascii="宋体" w:hAnsi="宋体" w:cs="宋体"/>
          <w:sz w:val="36"/>
          <w:szCs w:val="36"/>
        </w:rPr>
      </w:pPr>
    </w:p>
    <w:p w14:paraId="695674AA">
      <w:pPr>
        <w:spacing w:line="360" w:lineRule="auto"/>
        <w:jc w:val="center"/>
        <w:rPr>
          <w:rFonts w:ascii="宋体" w:hAnsi="宋体" w:cs="宋体"/>
          <w:sz w:val="36"/>
          <w:szCs w:val="36"/>
        </w:rPr>
      </w:pPr>
    </w:p>
    <w:p w14:paraId="4F7BBE4F">
      <w:pPr>
        <w:spacing w:line="360" w:lineRule="auto"/>
        <w:jc w:val="center"/>
        <w:rPr>
          <w:rFonts w:ascii="宋体" w:hAnsi="宋体" w:cs="宋体"/>
          <w:sz w:val="36"/>
          <w:szCs w:val="36"/>
          <w:u w:val="single"/>
        </w:rPr>
      </w:pPr>
      <w:r>
        <w:rPr>
          <w:rFonts w:hint="eastAsia" w:ascii="宋体" w:hAnsi="宋体" w:cs="宋体"/>
          <w:sz w:val="36"/>
          <w:szCs w:val="36"/>
        </w:rPr>
        <w:t>供应商全称：</w:t>
      </w:r>
      <w:r>
        <w:rPr>
          <w:rFonts w:hint="eastAsia" w:ascii="宋体" w:hAnsi="宋体" w:cs="宋体"/>
          <w:sz w:val="36"/>
          <w:szCs w:val="36"/>
          <w:u w:val="single"/>
        </w:rPr>
        <w:t>（加盖单位公章）</w:t>
      </w:r>
    </w:p>
    <w:p w14:paraId="5B3D757C">
      <w:pPr>
        <w:pStyle w:val="28"/>
        <w:ind w:left="101" w:leftChars="48" w:firstLine="1920" w:firstLineChars="800"/>
        <w:jc w:val="left"/>
        <w:rPr>
          <w:rFonts w:hAnsi="宋体" w:cs="宋体"/>
          <w:kern w:val="2"/>
          <w:szCs w:val="28"/>
          <w:u w:val="single"/>
        </w:rPr>
      </w:pPr>
    </w:p>
    <w:p w14:paraId="332D6DE7">
      <w:pPr>
        <w:pStyle w:val="264"/>
        <w:jc w:val="center"/>
        <w:rPr>
          <w:rStyle w:val="117"/>
          <w:rFonts w:ascii="宋体" w:hAnsi="宋体" w:cs="宋体"/>
          <w:b w:val="0"/>
          <w:sz w:val="32"/>
          <w:szCs w:val="32"/>
        </w:rPr>
      </w:pPr>
      <w:bookmarkStart w:id="183" w:name="_Toc4975"/>
      <w:bookmarkStart w:id="184" w:name="_Toc443468294"/>
      <w:bookmarkStart w:id="185" w:name="_Toc44162160"/>
      <w:bookmarkStart w:id="186" w:name="_Toc21541029"/>
      <w:r>
        <w:rPr>
          <w:rStyle w:val="117"/>
          <w:rFonts w:hint="eastAsia" w:ascii="宋体" w:hAnsi="宋体" w:cs="宋体"/>
          <w:b w:val="0"/>
          <w:sz w:val="32"/>
          <w:szCs w:val="32"/>
        </w:rPr>
        <w:t>年  月  日</w:t>
      </w:r>
      <w:bookmarkEnd w:id="183"/>
      <w:bookmarkEnd w:id="184"/>
      <w:bookmarkEnd w:id="185"/>
      <w:bookmarkEnd w:id="186"/>
    </w:p>
    <w:p w14:paraId="67CFCD21">
      <w:pPr>
        <w:pStyle w:val="264"/>
        <w:rPr>
          <w:rStyle w:val="117"/>
          <w:rFonts w:ascii="宋体" w:hAnsi="宋体" w:cs="宋体"/>
          <w:sz w:val="28"/>
          <w:szCs w:val="28"/>
        </w:rPr>
      </w:pPr>
    </w:p>
    <w:p w14:paraId="467B732D">
      <w:pPr>
        <w:pStyle w:val="264"/>
        <w:rPr>
          <w:rStyle w:val="117"/>
          <w:rFonts w:ascii="宋体" w:hAnsi="宋体" w:cs="宋体"/>
          <w:sz w:val="28"/>
          <w:szCs w:val="28"/>
        </w:rPr>
      </w:pPr>
    </w:p>
    <w:bookmarkEnd w:id="177"/>
    <w:bookmarkEnd w:id="178"/>
    <w:p w14:paraId="744BFC86">
      <w:pPr>
        <w:spacing w:line="400" w:lineRule="exact"/>
        <w:jc w:val="center"/>
        <w:rPr>
          <w:rFonts w:ascii="宋体" w:hAnsi="宋体" w:cs="宋体"/>
          <w:b/>
          <w:szCs w:val="21"/>
        </w:rPr>
      </w:pPr>
      <w:bookmarkStart w:id="187" w:name="_Toc21541030"/>
      <w:bookmarkStart w:id="188" w:name="_Toc14907"/>
      <w:bookmarkStart w:id="189" w:name="_Toc44162161"/>
      <w:r>
        <w:rPr>
          <w:rFonts w:hint="eastAsia" w:ascii="宋体" w:hAnsi="宋体" w:cs="宋体"/>
          <w:b/>
          <w:szCs w:val="21"/>
        </w:rPr>
        <w:t>C1</w:t>
      </w:r>
      <w:bookmarkEnd w:id="187"/>
      <w:bookmarkEnd w:id="188"/>
      <w:bookmarkEnd w:id="189"/>
      <w:bookmarkStart w:id="190" w:name="_Toc21541032"/>
      <w:bookmarkStart w:id="191" w:name="_Toc14922"/>
      <w:bookmarkStart w:id="192" w:name="_Toc44162162"/>
      <w:r>
        <w:rPr>
          <w:rFonts w:hint="eastAsia" w:ascii="宋体" w:hAnsi="宋体" w:cs="宋体"/>
          <w:b/>
          <w:szCs w:val="21"/>
        </w:rPr>
        <w:t>.开标一览表</w:t>
      </w:r>
    </w:p>
    <w:p w14:paraId="65BD423B">
      <w:pPr>
        <w:pStyle w:val="19"/>
        <w:spacing w:line="400" w:lineRule="exact"/>
        <w:ind w:firstLine="0"/>
        <w:rPr>
          <w:rFonts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宁波大学鼎秀古籍全文数据库等采购项目</w:t>
      </w:r>
    </w:p>
    <w:p w14:paraId="37488D67">
      <w:pPr>
        <w:pStyle w:val="19"/>
        <w:spacing w:line="400" w:lineRule="exact"/>
        <w:ind w:firstLine="0"/>
        <w:rPr>
          <w:rFonts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NBITC-202530421G</w:t>
      </w:r>
    </w:p>
    <w:p w14:paraId="43EEF12B">
      <w:pPr>
        <w:pStyle w:val="19"/>
        <w:spacing w:line="400" w:lineRule="exact"/>
        <w:ind w:firstLine="0"/>
      </w:pPr>
      <w:r>
        <w:rPr>
          <w:rFonts w:hint="eastAsia" w:ascii="宋体" w:hAnsi="宋体" w:eastAsia="宋体" w:cs="宋体"/>
          <w:sz w:val="21"/>
          <w:szCs w:val="21"/>
        </w:rPr>
        <w:t>标项：</w:t>
      </w:r>
    </w:p>
    <w:tbl>
      <w:tblPr>
        <w:tblStyle w:val="5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974"/>
        <w:gridCol w:w="2136"/>
        <w:gridCol w:w="2136"/>
      </w:tblGrid>
      <w:tr w14:paraId="5C0E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1012" w:type="dxa"/>
            <w:vAlign w:val="center"/>
          </w:tcPr>
          <w:p w14:paraId="59F2656B">
            <w:pPr>
              <w:spacing w:line="400" w:lineRule="exact"/>
              <w:jc w:val="center"/>
              <w:rPr>
                <w:rFonts w:ascii="宋体" w:hAnsi="宋体" w:cs="宋体"/>
                <w:b/>
                <w:szCs w:val="21"/>
              </w:rPr>
            </w:pPr>
            <w:r>
              <w:rPr>
                <w:rFonts w:hint="eastAsia" w:ascii="宋体" w:hAnsi="宋体" w:cs="宋体"/>
                <w:b/>
                <w:szCs w:val="21"/>
              </w:rPr>
              <w:t>标项</w:t>
            </w:r>
          </w:p>
        </w:tc>
        <w:tc>
          <w:tcPr>
            <w:tcW w:w="3974" w:type="dxa"/>
            <w:vAlign w:val="center"/>
          </w:tcPr>
          <w:p w14:paraId="10E22144">
            <w:pPr>
              <w:spacing w:line="400" w:lineRule="exact"/>
              <w:jc w:val="center"/>
              <w:rPr>
                <w:rFonts w:ascii="宋体" w:hAnsi="宋体" w:cs="宋体"/>
                <w:b/>
                <w:szCs w:val="21"/>
              </w:rPr>
            </w:pPr>
            <w:r>
              <w:rPr>
                <w:rFonts w:hint="eastAsia" w:ascii="宋体" w:hAnsi="宋体" w:cs="宋体"/>
                <w:b/>
                <w:szCs w:val="21"/>
              </w:rPr>
              <w:t>标项名称</w:t>
            </w:r>
          </w:p>
        </w:tc>
        <w:tc>
          <w:tcPr>
            <w:tcW w:w="2136" w:type="dxa"/>
            <w:vAlign w:val="center"/>
          </w:tcPr>
          <w:p w14:paraId="01C2CCF1">
            <w:pPr>
              <w:spacing w:line="400" w:lineRule="exact"/>
              <w:jc w:val="center"/>
              <w:rPr>
                <w:rFonts w:ascii="宋体" w:hAnsi="宋体" w:cs="宋体"/>
                <w:b/>
                <w:szCs w:val="21"/>
              </w:rPr>
            </w:pPr>
            <w:r>
              <w:rPr>
                <w:rFonts w:hint="eastAsia" w:ascii="宋体" w:hAnsi="宋体" w:cs="宋体"/>
                <w:b/>
                <w:szCs w:val="21"/>
              </w:rPr>
              <w:t>投标报价（小写：元）</w:t>
            </w:r>
          </w:p>
        </w:tc>
        <w:tc>
          <w:tcPr>
            <w:tcW w:w="2136" w:type="dxa"/>
            <w:vAlign w:val="center"/>
          </w:tcPr>
          <w:p w14:paraId="034FC8CF">
            <w:pPr>
              <w:spacing w:line="400" w:lineRule="exact"/>
              <w:jc w:val="center"/>
              <w:rPr>
                <w:rFonts w:ascii="宋体" w:hAnsi="宋体" w:cs="宋体"/>
                <w:b/>
                <w:szCs w:val="21"/>
              </w:rPr>
            </w:pPr>
            <w:r>
              <w:rPr>
                <w:rFonts w:hint="eastAsia" w:ascii="宋体" w:hAnsi="宋体" w:cs="宋体"/>
                <w:b/>
                <w:szCs w:val="21"/>
              </w:rPr>
              <w:t>投标报价（大写：元）</w:t>
            </w:r>
          </w:p>
        </w:tc>
      </w:tr>
      <w:tr w14:paraId="3F8D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2" w:type="dxa"/>
            <w:vAlign w:val="center"/>
          </w:tcPr>
          <w:p w14:paraId="3B1CCA7B">
            <w:pPr>
              <w:spacing w:line="400" w:lineRule="exact"/>
              <w:jc w:val="center"/>
              <w:rPr>
                <w:rFonts w:ascii="宋体" w:hAnsi="宋体" w:cs="宋体"/>
                <w:szCs w:val="21"/>
              </w:rPr>
            </w:pPr>
          </w:p>
        </w:tc>
        <w:tc>
          <w:tcPr>
            <w:tcW w:w="3974" w:type="dxa"/>
            <w:vAlign w:val="center"/>
          </w:tcPr>
          <w:p w14:paraId="44E9F2F2">
            <w:pPr>
              <w:spacing w:line="400" w:lineRule="exact"/>
              <w:jc w:val="center"/>
              <w:rPr>
                <w:rFonts w:ascii="宋体" w:hAnsi="宋体" w:cs="宋体"/>
                <w:szCs w:val="21"/>
              </w:rPr>
            </w:pPr>
          </w:p>
        </w:tc>
        <w:tc>
          <w:tcPr>
            <w:tcW w:w="2136" w:type="dxa"/>
            <w:vAlign w:val="center"/>
          </w:tcPr>
          <w:p w14:paraId="4E4582C8">
            <w:pPr>
              <w:spacing w:line="400" w:lineRule="exact"/>
              <w:jc w:val="center"/>
              <w:rPr>
                <w:rFonts w:ascii="宋体" w:hAnsi="宋体" w:cs="宋体"/>
                <w:szCs w:val="21"/>
              </w:rPr>
            </w:pPr>
          </w:p>
        </w:tc>
        <w:tc>
          <w:tcPr>
            <w:tcW w:w="2136" w:type="dxa"/>
            <w:vAlign w:val="center"/>
          </w:tcPr>
          <w:p w14:paraId="2C5430BD">
            <w:pPr>
              <w:spacing w:line="400" w:lineRule="exact"/>
              <w:jc w:val="center"/>
              <w:rPr>
                <w:rFonts w:ascii="宋体" w:hAnsi="宋体" w:cs="宋体"/>
                <w:szCs w:val="21"/>
              </w:rPr>
            </w:pPr>
          </w:p>
        </w:tc>
      </w:tr>
    </w:tbl>
    <w:p w14:paraId="68D1CE73">
      <w:pPr>
        <w:snapToGrid w:val="0"/>
        <w:spacing w:line="400" w:lineRule="exact"/>
        <w:jc w:val="left"/>
        <w:rPr>
          <w:rFonts w:ascii="宋体" w:hAnsi="宋体" w:cs="宋体"/>
        </w:rPr>
      </w:pPr>
      <w:r>
        <w:rPr>
          <w:rFonts w:hint="eastAsia" w:ascii="宋体" w:hAnsi="宋体" w:cs="宋体"/>
        </w:rPr>
        <w:t>注: 1.以上投标报价应与“分项报价表”中的“投标报价”相一致；</w:t>
      </w:r>
    </w:p>
    <w:p w14:paraId="6A02DC3C">
      <w:pPr>
        <w:snapToGrid w:val="0"/>
        <w:spacing w:line="400" w:lineRule="exact"/>
        <w:ind w:firstLine="420" w:firstLineChars="200"/>
        <w:jc w:val="left"/>
        <w:rPr>
          <w:rFonts w:ascii="宋体" w:hAnsi="宋体" w:cs="宋体"/>
        </w:rPr>
      </w:pPr>
      <w:r>
        <w:rPr>
          <w:rFonts w:hint="eastAsia" w:ascii="宋体" w:hAnsi="宋体" w:cs="宋体"/>
          <w:szCs w:val="21"/>
        </w:rPr>
        <w:t>2.投标文件中开标一览表内容与政采云系统“开标一览表”中录入的报价内容不一致的，以投标文件中开标一览表为准。</w:t>
      </w:r>
    </w:p>
    <w:p w14:paraId="7D7B0AE2">
      <w:pPr>
        <w:snapToGrid w:val="0"/>
        <w:spacing w:line="400" w:lineRule="exact"/>
        <w:rPr>
          <w:rFonts w:ascii="宋体" w:hAnsi="宋体" w:cs="宋体"/>
          <w:szCs w:val="21"/>
          <w:u w:val="single"/>
        </w:rPr>
      </w:pPr>
    </w:p>
    <w:p w14:paraId="2A96EDF3">
      <w:pPr>
        <w:spacing w:line="400" w:lineRule="exact"/>
        <w:jc w:val="left"/>
        <w:rPr>
          <w:rFonts w:ascii="宋体" w:hAnsi="宋体" w:cs="宋体"/>
          <w:szCs w:val="21"/>
        </w:rPr>
      </w:pPr>
      <w:r>
        <w:rPr>
          <w:rFonts w:hint="eastAsia" w:ascii="宋体" w:hAnsi="宋体" w:cs="宋体"/>
          <w:szCs w:val="21"/>
        </w:rPr>
        <w:t>供应商（盖章）：</w:t>
      </w:r>
    </w:p>
    <w:p w14:paraId="29C5DC51">
      <w:pPr>
        <w:spacing w:line="400" w:lineRule="exact"/>
        <w:rPr>
          <w:rFonts w:ascii="宋体" w:hAnsi="宋体" w:cs="宋体"/>
          <w:szCs w:val="21"/>
          <w:u w:val="single"/>
        </w:rPr>
      </w:pPr>
      <w:r>
        <w:rPr>
          <w:rFonts w:hint="eastAsia" w:ascii="宋体" w:hAnsi="宋体" w:cs="宋体"/>
          <w:szCs w:val="21"/>
        </w:rPr>
        <w:t>日          期：</w:t>
      </w:r>
    </w:p>
    <w:p w14:paraId="0341F308">
      <w:pPr>
        <w:pStyle w:val="26"/>
        <w:snapToGrid w:val="0"/>
        <w:spacing w:before="0" w:beforeAutospacing="0" w:after="0" w:afterAutospacing="0" w:line="400" w:lineRule="exact"/>
        <w:jc w:val="center"/>
        <w:rPr>
          <w:rFonts w:hAnsi="宋体" w:cs="宋体"/>
          <w:b/>
          <w:kern w:val="2"/>
          <w:sz w:val="21"/>
          <w:szCs w:val="21"/>
        </w:rPr>
      </w:pPr>
      <w:r>
        <w:rPr>
          <w:rFonts w:hint="eastAsia" w:hAnsi="宋体" w:cs="宋体"/>
          <w:b/>
          <w:szCs w:val="21"/>
        </w:rPr>
        <w:br w:type="page"/>
      </w:r>
      <w:r>
        <w:rPr>
          <w:rFonts w:hint="eastAsia" w:hAnsi="宋体" w:cs="宋体"/>
          <w:b/>
          <w:kern w:val="2"/>
          <w:sz w:val="21"/>
          <w:szCs w:val="21"/>
        </w:rPr>
        <w:t>C2.分项报价表</w:t>
      </w:r>
    </w:p>
    <w:p w14:paraId="6BA1D2FD">
      <w:pPr>
        <w:pStyle w:val="19"/>
        <w:spacing w:line="400" w:lineRule="exact"/>
        <w:ind w:firstLine="0"/>
        <w:rPr>
          <w:rFonts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宁波大学鼎秀古籍全文数据库等采购项目</w:t>
      </w:r>
    </w:p>
    <w:p w14:paraId="7BA262BF">
      <w:pPr>
        <w:pStyle w:val="19"/>
        <w:spacing w:line="400" w:lineRule="exact"/>
        <w:ind w:firstLine="0"/>
        <w:rPr>
          <w:rFonts w:ascii="宋体" w:hAnsi="宋体" w:eastAsia="宋体" w:cs="宋体"/>
          <w:sz w:val="21"/>
          <w:szCs w:val="21"/>
          <w:u w:val="single"/>
        </w:rPr>
      </w:pPr>
      <w:r>
        <w:rPr>
          <w:rFonts w:hint="eastAsia" w:ascii="宋体" w:hAnsi="宋体" w:eastAsia="宋体" w:cs="宋体"/>
          <w:sz w:val="21"/>
          <w:szCs w:val="21"/>
        </w:rPr>
        <w:t>项目编号：</w:t>
      </w:r>
      <w:r>
        <w:rPr>
          <w:rFonts w:hint="eastAsia" w:ascii="宋体" w:hAnsi="宋体" w:eastAsia="宋体" w:cs="宋体"/>
          <w:sz w:val="21"/>
          <w:szCs w:val="21"/>
          <w:u w:val="single"/>
        </w:rPr>
        <w:t>NBITC-202530421G</w:t>
      </w:r>
    </w:p>
    <w:p w14:paraId="33DC5C8D">
      <w:pPr>
        <w:pStyle w:val="19"/>
        <w:spacing w:line="400" w:lineRule="exact"/>
        <w:ind w:firstLine="0"/>
        <w:rPr>
          <w:rFonts w:ascii="宋体" w:hAnsi="宋体" w:eastAsia="宋体" w:cs="宋体"/>
          <w:sz w:val="21"/>
          <w:szCs w:val="21"/>
        </w:rPr>
      </w:pPr>
      <w:r>
        <w:rPr>
          <w:rFonts w:hint="eastAsia" w:ascii="宋体" w:hAnsi="宋体" w:eastAsia="宋体" w:cs="宋体"/>
          <w:sz w:val="21"/>
          <w:szCs w:val="21"/>
        </w:rPr>
        <w:t>标项：                                                             货币单位：人民币元</w:t>
      </w:r>
    </w:p>
    <w:tbl>
      <w:tblPr>
        <w:tblStyle w:val="52"/>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2039"/>
        <w:gridCol w:w="1473"/>
        <w:gridCol w:w="1573"/>
        <w:gridCol w:w="2908"/>
      </w:tblGrid>
      <w:tr w14:paraId="060A0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tcBorders>
              <w:top w:val="single" w:color="auto" w:sz="4" w:space="0"/>
              <w:left w:val="single" w:color="auto" w:sz="4" w:space="0"/>
            </w:tcBorders>
            <w:vAlign w:val="center"/>
          </w:tcPr>
          <w:p w14:paraId="0D9096FA">
            <w:pPr>
              <w:spacing w:line="400" w:lineRule="exact"/>
              <w:jc w:val="center"/>
              <w:rPr>
                <w:rFonts w:ascii="宋体" w:hAnsi="宋体" w:cs="宋体"/>
                <w:b/>
                <w:bCs/>
                <w:szCs w:val="21"/>
              </w:rPr>
            </w:pPr>
            <w:r>
              <w:rPr>
                <w:rFonts w:hint="eastAsia" w:ascii="宋体" w:hAnsi="宋体" w:cs="宋体"/>
                <w:b/>
                <w:bCs/>
                <w:szCs w:val="21"/>
              </w:rPr>
              <w:t>序号</w:t>
            </w:r>
          </w:p>
        </w:tc>
        <w:tc>
          <w:tcPr>
            <w:tcW w:w="1112" w:type="pct"/>
            <w:tcBorders>
              <w:top w:val="single" w:color="auto" w:sz="4" w:space="0"/>
            </w:tcBorders>
            <w:vAlign w:val="center"/>
          </w:tcPr>
          <w:p w14:paraId="6E7FD528">
            <w:pPr>
              <w:spacing w:line="400" w:lineRule="exact"/>
              <w:jc w:val="center"/>
              <w:rPr>
                <w:rFonts w:ascii="宋体" w:hAnsi="宋体" w:cs="宋体"/>
                <w:b/>
                <w:bCs/>
                <w:szCs w:val="21"/>
              </w:rPr>
            </w:pPr>
            <w:r>
              <w:rPr>
                <w:rFonts w:hint="eastAsia" w:ascii="宋体" w:hAnsi="宋体" w:cs="宋体"/>
                <w:b/>
                <w:bCs/>
                <w:szCs w:val="21"/>
              </w:rPr>
              <w:t>服务内容</w:t>
            </w:r>
          </w:p>
        </w:tc>
        <w:tc>
          <w:tcPr>
            <w:tcW w:w="803" w:type="pct"/>
            <w:tcBorders>
              <w:top w:val="single" w:color="auto" w:sz="4" w:space="0"/>
            </w:tcBorders>
            <w:vAlign w:val="center"/>
          </w:tcPr>
          <w:p w14:paraId="22175582">
            <w:pPr>
              <w:spacing w:line="400" w:lineRule="exact"/>
              <w:jc w:val="center"/>
              <w:rPr>
                <w:rFonts w:ascii="宋体" w:hAnsi="宋体" w:cs="宋体"/>
                <w:b/>
                <w:bCs/>
                <w:szCs w:val="21"/>
              </w:rPr>
            </w:pPr>
            <w:r>
              <w:rPr>
                <w:rFonts w:hint="eastAsia" w:ascii="宋体" w:hAnsi="宋体" w:cs="宋体"/>
                <w:b/>
                <w:bCs/>
                <w:szCs w:val="21"/>
              </w:rPr>
              <w:t>数量</w:t>
            </w:r>
          </w:p>
        </w:tc>
        <w:tc>
          <w:tcPr>
            <w:tcW w:w="857" w:type="pct"/>
            <w:tcBorders>
              <w:top w:val="single" w:color="auto" w:sz="4" w:space="0"/>
            </w:tcBorders>
            <w:vAlign w:val="center"/>
          </w:tcPr>
          <w:p w14:paraId="15E56E0E">
            <w:pPr>
              <w:spacing w:line="400" w:lineRule="exact"/>
              <w:jc w:val="center"/>
              <w:rPr>
                <w:rFonts w:ascii="宋体" w:hAnsi="宋体" w:cs="宋体"/>
                <w:b/>
                <w:bCs/>
                <w:szCs w:val="21"/>
              </w:rPr>
            </w:pPr>
            <w:r>
              <w:rPr>
                <w:rFonts w:hint="eastAsia" w:ascii="宋体" w:hAnsi="宋体" w:cs="宋体"/>
                <w:b/>
                <w:bCs/>
                <w:szCs w:val="21"/>
              </w:rPr>
              <w:t>单价</w:t>
            </w:r>
          </w:p>
        </w:tc>
        <w:tc>
          <w:tcPr>
            <w:tcW w:w="1586" w:type="pct"/>
            <w:tcBorders>
              <w:top w:val="single" w:color="auto" w:sz="4" w:space="0"/>
              <w:right w:val="single" w:color="auto" w:sz="4" w:space="0"/>
            </w:tcBorders>
            <w:vAlign w:val="center"/>
          </w:tcPr>
          <w:p w14:paraId="781823B6">
            <w:pPr>
              <w:spacing w:line="400" w:lineRule="exact"/>
              <w:jc w:val="center"/>
              <w:rPr>
                <w:rFonts w:ascii="宋体" w:hAnsi="宋体" w:cs="宋体"/>
                <w:b/>
                <w:bCs/>
                <w:szCs w:val="21"/>
              </w:rPr>
            </w:pPr>
            <w:r>
              <w:rPr>
                <w:rFonts w:hint="eastAsia" w:ascii="宋体" w:hAnsi="宋体" w:cs="宋体"/>
                <w:b/>
                <w:bCs/>
                <w:szCs w:val="21"/>
              </w:rPr>
              <w:t>合计</w:t>
            </w:r>
          </w:p>
        </w:tc>
      </w:tr>
      <w:tr w14:paraId="4359F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tcBorders>
              <w:top w:val="single" w:color="auto" w:sz="4" w:space="0"/>
              <w:left w:val="single" w:color="auto" w:sz="4" w:space="0"/>
              <w:bottom w:val="single" w:color="auto" w:sz="4" w:space="0"/>
            </w:tcBorders>
            <w:vAlign w:val="center"/>
          </w:tcPr>
          <w:p w14:paraId="22343074">
            <w:pPr>
              <w:spacing w:line="400" w:lineRule="exact"/>
              <w:jc w:val="center"/>
              <w:rPr>
                <w:rFonts w:ascii="宋体" w:hAnsi="宋体" w:cs="宋体"/>
                <w:szCs w:val="21"/>
              </w:rPr>
            </w:pPr>
          </w:p>
        </w:tc>
        <w:tc>
          <w:tcPr>
            <w:tcW w:w="1112" w:type="pct"/>
            <w:tcBorders>
              <w:top w:val="single" w:color="auto" w:sz="4" w:space="0"/>
              <w:bottom w:val="single" w:color="auto" w:sz="4" w:space="0"/>
            </w:tcBorders>
            <w:vAlign w:val="center"/>
          </w:tcPr>
          <w:p w14:paraId="60392DF9">
            <w:pPr>
              <w:spacing w:line="400" w:lineRule="exact"/>
              <w:jc w:val="center"/>
              <w:rPr>
                <w:rFonts w:ascii="宋体" w:hAnsi="宋体" w:cs="宋体"/>
                <w:szCs w:val="21"/>
              </w:rPr>
            </w:pPr>
          </w:p>
        </w:tc>
        <w:tc>
          <w:tcPr>
            <w:tcW w:w="803" w:type="pct"/>
            <w:tcBorders>
              <w:top w:val="single" w:color="auto" w:sz="4" w:space="0"/>
              <w:bottom w:val="single" w:color="auto" w:sz="4" w:space="0"/>
            </w:tcBorders>
            <w:vAlign w:val="center"/>
          </w:tcPr>
          <w:p w14:paraId="60655D9D">
            <w:pPr>
              <w:spacing w:line="400" w:lineRule="exact"/>
              <w:jc w:val="center"/>
              <w:rPr>
                <w:rFonts w:ascii="宋体" w:hAnsi="宋体" w:cs="宋体"/>
                <w:bCs/>
                <w:szCs w:val="21"/>
              </w:rPr>
            </w:pPr>
          </w:p>
        </w:tc>
        <w:tc>
          <w:tcPr>
            <w:tcW w:w="857" w:type="pct"/>
            <w:tcBorders>
              <w:top w:val="single" w:color="auto" w:sz="4" w:space="0"/>
              <w:bottom w:val="single" w:color="auto" w:sz="4" w:space="0"/>
            </w:tcBorders>
            <w:vAlign w:val="center"/>
          </w:tcPr>
          <w:p w14:paraId="4203DC2B">
            <w:pPr>
              <w:spacing w:line="400" w:lineRule="exact"/>
              <w:jc w:val="center"/>
              <w:rPr>
                <w:rFonts w:ascii="宋体" w:hAnsi="宋体" w:cs="宋体"/>
                <w:bCs/>
                <w:szCs w:val="21"/>
              </w:rPr>
            </w:pPr>
          </w:p>
        </w:tc>
        <w:tc>
          <w:tcPr>
            <w:tcW w:w="1586" w:type="pct"/>
            <w:tcBorders>
              <w:top w:val="single" w:color="auto" w:sz="4" w:space="0"/>
              <w:bottom w:val="single" w:color="auto" w:sz="4" w:space="0"/>
              <w:right w:val="single" w:color="auto" w:sz="4" w:space="0"/>
            </w:tcBorders>
            <w:vAlign w:val="center"/>
          </w:tcPr>
          <w:p w14:paraId="526454D5">
            <w:pPr>
              <w:tabs>
                <w:tab w:val="left" w:pos="4648"/>
              </w:tabs>
              <w:spacing w:line="400" w:lineRule="exact"/>
              <w:jc w:val="center"/>
              <w:rPr>
                <w:rFonts w:ascii="宋体" w:hAnsi="宋体" w:cs="宋体"/>
                <w:bCs/>
                <w:szCs w:val="21"/>
              </w:rPr>
            </w:pPr>
          </w:p>
        </w:tc>
      </w:tr>
      <w:tr w14:paraId="5A3A9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tcBorders>
              <w:top w:val="single" w:color="auto" w:sz="4" w:space="0"/>
              <w:left w:val="single" w:color="auto" w:sz="4" w:space="0"/>
              <w:bottom w:val="single" w:color="auto" w:sz="4" w:space="0"/>
            </w:tcBorders>
            <w:vAlign w:val="center"/>
          </w:tcPr>
          <w:p w14:paraId="446C42E3">
            <w:pPr>
              <w:spacing w:line="400" w:lineRule="exact"/>
              <w:jc w:val="center"/>
              <w:rPr>
                <w:rFonts w:ascii="宋体" w:hAnsi="宋体" w:cs="宋体"/>
                <w:szCs w:val="21"/>
              </w:rPr>
            </w:pPr>
          </w:p>
        </w:tc>
        <w:tc>
          <w:tcPr>
            <w:tcW w:w="1112" w:type="pct"/>
            <w:tcBorders>
              <w:top w:val="single" w:color="auto" w:sz="4" w:space="0"/>
              <w:bottom w:val="single" w:color="auto" w:sz="4" w:space="0"/>
            </w:tcBorders>
            <w:vAlign w:val="center"/>
          </w:tcPr>
          <w:p w14:paraId="62A69BCE">
            <w:pPr>
              <w:spacing w:line="400" w:lineRule="exact"/>
              <w:jc w:val="center"/>
              <w:rPr>
                <w:rFonts w:ascii="宋体" w:hAnsi="宋体" w:cs="宋体"/>
                <w:szCs w:val="21"/>
              </w:rPr>
            </w:pPr>
          </w:p>
        </w:tc>
        <w:tc>
          <w:tcPr>
            <w:tcW w:w="803" w:type="pct"/>
            <w:tcBorders>
              <w:top w:val="single" w:color="auto" w:sz="4" w:space="0"/>
              <w:bottom w:val="single" w:color="auto" w:sz="4" w:space="0"/>
            </w:tcBorders>
            <w:vAlign w:val="center"/>
          </w:tcPr>
          <w:p w14:paraId="40CB812B">
            <w:pPr>
              <w:spacing w:line="400" w:lineRule="exact"/>
              <w:jc w:val="center"/>
              <w:rPr>
                <w:rFonts w:ascii="宋体" w:hAnsi="宋体" w:cs="宋体"/>
                <w:bCs/>
                <w:szCs w:val="21"/>
              </w:rPr>
            </w:pPr>
          </w:p>
        </w:tc>
        <w:tc>
          <w:tcPr>
            <w:tcW w:w="857" w:type="pct"/>
            <w:tcBorders>
              <w:top w:val="single" w:color="auto" w:sz="4" w:space="0"/>
              <w:bottom w:val="single" w:color="auto" w:sz="4" w:space="0"/>
            </w:tcBorders>
            <w:vAlign w:val="center"/>
          </w:tcPr>
          <w:p w14:paraId="3382F3A8">
            <w:pPr>
              <w:spacing w:line="400" w:lineRule="exact"/>
              <w:jc w:val="center"/>
              <w:rPr>
                <w:rFonts w:ascii="宋体" w:hAnsi="宋体" w:cs="宋体"/>
                <w:bCs/>
                <w:szCs w:val="21"/>
              </w:rPr>
            </w:pPr>
          </w:p>
        </w:tc>
        <w:tc>
          <w:tcPr>
            <w:tcW w:w="1586" w:type="pct"/>
            <w:tcBorders>
              <w:top w:val="single" w:color="auto" w:sz="4" w:space="0"/>
              <w:bottom w:val="single" w:color="auto" w:sz="4" w:space="0"/>
              <w:right w:val="single" w:color="auto" w:sz="4" w:space="0"/>
            </w:tcBorders>
            <w:vAlign w:val="center"/>
          </w:tcPr>
          <w:p w14:paraId="61F66604">
            <w:pPr>
              <w:tabs>
                <w:tab w:val="left" w:pos="4648"/>
              </w:tabs>
              <w:spacing w:line="400" w:lineRule="exact"/>
              <w:jc w:val="center"/>
              <w:rPr>
                <w:rFonts w:ascii="宋体" w:hAnsi="宋体" w:cs="宋体"/>
                <w:bCs/>
                <w:szCs w:val="21"/>
              </w:rPr>
            </w:pPr>
          </w:p>
        </w:tc>
      </w:tr>
      <w:tr w14:paraId="074D3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tcBorders>
              <w:top w:val="single" w:color="auto" w:sz="4" w:space="0"/>
              <w:left w:val="single" w:color="auto" w:sz="4" w:space="0"/>
              <w:bottom w:val="single" w:color="auto" w:sz="4" w:space="0"/>
            </w:tcBorders>
            <w:vAlign w:val="center"/>
          </w:tcPr>
          <w:p w14:paraId="2B79E944">
            <w:pPr>
              <w:spacing w:line="400" w:lineRule="exact"/>
              <w:jc w:val="center"/>
              <w:rPr>
                <w:rFonts w:ascii="宋体" w:hAnsi="宋体" w:cs="宋体"/>
                <w:szCs w:val="21"/>
              </w:rPr>
            </w:pPr>
          </w:p>
        </w:tc>
        <w:tc>
          <w:tcPr>
            <w:tcW w:w="1112" w:type="pct"/>
            <w:tcBorders>
              <w:top w:val="single" w:color="auto" w:sz="4" w:space="0"/>
              <w:bottom w:val="single" w:color="auto" w:sz="4" w:space="0"/>
            </w:tcBorders>
            <w:vAlign w:val="center"/>
          </w:tcPr>
          <w:p w14:paraId="121100EE">
            <w:pPr>
              <w:spacing w:line="400" w:lineRule="exact"/>
              <w:jc w:val="center"/>
              <w:rPr>
                <w:rFonts w:ascii="宋体" w:hAnsi="宋体" w:cs="宋体"/>
                <w:szCs w:val="21"/>
              </w:rPr>
            </w:pPr>
          </w:p>
        </w:tc>
        <w:tc>
          <w:tcPr>
            <w:tcW w:w="803" w:type="pct"/>
            <w:tcBorders>
              <w:top w:val="single" w:color="auto" w:sz="4" w:space="0"/>
              <w:bottom w:val="single" w:color="auto" w:sz="4" w:space="0"/>
            </w:tcBorders>
            <w:vAlign w:val="center"/>
          </w:tcPr>
          <w:p w14:paraId="1C073D0B">
            <w:pPr>
              <w:spacing w:line="400" w:lineRule="exact"/>
              <w:jc w:val="center"/>
              <w:rPr>
                <w:rFonts w:ascii="宋体" w:hAnsi="宋体" w:cs="宋体"/>
                <w:bCs/>
                <w:szCs w:val="21"/>
              </w:rPr>
            </w:pPr>
          </w:p>
        </w:tc>
        <w:tc>
          <w:tcPr>
            <w:tcW w:w="857" w:type="pct"/>
            <w:tcBorders>
              <w:top w:val="single" w:color="auto" w:sz="4" w:space="0"/>
              <w:bottom w:val="single" w:color="auto" w:sz="4" w:space="0"/>
            </w:tcBorders>
            <w:vAlign w:val="center"/>
          </w:tcPr>
          <w:p w14:paraId="704156EE">
            <w:pPr>
              <w:spacing w:line="400" w:lineRule="exact"/>
              <w:jc w:val="center"/>
              <w:rPr>
                <w:rFonts w:ascii="宋体" w:hAnsi="宋体" w:cs="宋体"/>
                <w:bCs/>
                <w:szCs w:val="21"/>
              </w:rPr>
            </w:pPr>
          </w:p>
        </w:tc>
        <w:tc>
          <w:tcPr>
            <w:tcW w:w="1586" w:type="pct"/>
            <w:tcBorders>
              <w:top w:val="single" w:color="auto" w:sz="4" w:space="0"/>
              <w:bottom w:val="single" w:color="auto" w:sz="4" w:space="0"/>
              <w:right w:val="single" w:color="auto" w:sz="4" w:space="0"/>
            </w:tcBorders>
            <w:vAlign w:val="center"/>
          </w:tcPr>
          <w:p w14:paraId="3A8723FB">
            <w:pPr>
              <w:tabs>
                <w:tab w:val="left" w:pos="4648"/>
              </w:tabs>
              <w:spacing w:line="400" w:lineRule="exact"/>
              <w:jc w:val="center"/>
              <w:rPr>
                <w:rFonts w:ascii="宋体" w:hAnsi="宋体" w:cs="宋体"/>
                <w:bCs/>
                <w:szCs w:val="21"/>
              </w:rPr>
            </w:pPr>
          </w:p>
        </w:tc>
      </w:tr>
      <w:tr w14:paraId="11835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tcBorders>
              <w:top w:val="single" w:color="auto" w:sz="4" w:space="0"/>
              <w:left w:val="single" w:color="auto" w:sz="4" w:space="0"/>
              <w:bottom w:val="single" w:color="auto" w:sz="4" w:space="0"/>
            </w:tcBorders>
            <w:vAlign w:val="center"/>
          </w:tcPr>
          <w:p w14:paraId="2F4FCBD0">
            <w:pPr>
              <w:spacing w:line="400" w:lineRule="exact"/>
              <w:jc w:val="center"/>
              <w:rPr>
                <w:rFonts w:ascii="宋体" w:hAnsi="宋体" w:cs="宋体"/>
                <w:szCs w:val="21"/>
              </w:rPr>
            </w:pPr>
          </w:p>
        </w:tc>
        <w:tc>
          <w:tcPr>
            <w:tcW w:w="1112" w:type="pct"/>
            <w:tcBorders>
              <w:top w:val="single" w:color="auto" w:sz="4" w:space="0"/>
              <w:bottom w:val="single" w:color="auto" w:sz="4" w:space="0"/>
            </w:tcBorders>
            <w:vAlign w:val="center"/>
          </w:tcPr>
          <w:p w14:paraId="303A294E">
            <w:pPr>
              <w:spacing w:line="400" w:lineRule="exact"/>
              <w:jc w:val="center"/>
              <w:rPr>
                <w:rFonts w:ascii="宋体" w:hAnsi="宋体" w:cs="宋体"/>
                <w:szCs w:val="21"/>
              </w:rPr>
            </w:pPr>
          </w:p>
        </w:tc>
        <w:tc>
          <w:tcPr>
            <w:tcW w:w="803" w:type="pct"/>
            <w:tcBorders>
              <w:top w:val="single" w:color="auto" w:sz="4" w:space="0"/>
              <w:bottom w:val="single" w:color="auto" w:sz="4" w:space="0"/>
            </w:tcBorders>
            <w:vAlign w:val="center"/>
          </w:tcPr>
          <w:p w14:paraId="33571F6D">
            <w:pPr>
              <w:spacing w:line="400" w:lineRule="exact"/>
              <w:jc w:val="center"/>
              <w:rPr>
                <w:rFonts w:ascii="宋体" w:hAnsi="宋体" w:cs="宋体"/>
                <w:bCs/>
                <w:szCs w:val="21"/>
              </w:rPr>
            </w:pPr>
          </w:p>
        </w:tc>
        <w:tc>
          <w:tcPr>
            <w:tcW w:w="857" w:type="pct"/>
            <w:tcBorders>
              <w:top w:val="single" w:color="auto" w:sz="4" w:space="0"/>
              <w:bottom w:val="single" w:color="auto" w:sz="4" w:space="0"/>
            </w:tcBorders>
            <w:vAlign w:val="center"/>
          </w:tcPr>
          <w:p w14:paraId="4C788773">
            <w:pPr>
              <w:spacing w:line="400" w:lineRule="exact"/>
              <w:jc w:val="center"/>
              <w:rPr>
                <w:rFonts w:ascii="宋体" w:hAnsi="宋体" w:cs="宋体"/>
                <w:bCs/>
                <w:szCs w:val="21"/>
              </w:rPr>
            </w:pPr>
          </w:p>
        </w:tc>
        <w:tc>
          <w:tcPr>
            <w:tcW w:w="1586" w:type="pct"/>
            <w:tcBorders>
              <w:top w:val="single" w:color="auto" w:sz="4" w:space="0"/>
              <w:bottom w:val="single" w:color="auto" w:sz="4" w:space="0"/>
              <w:right w:val="single" w:color="auto" w:sz="4" w:space="0"/>
            </w:tcBorders>
            <w:vAlign w:val="center"/>
          </w:tcPr>
          <w:p w14:paraId="5ED26141">
            <w:pPr>
              <w:tabs>
                <w:tab w:val="left" w:pos="4648"/>
              </w:tabs>
              <w:spacing w:line="400" w:lineRule="exact"/>
              <w:jc w:val="center"/>
              <w:rPr>
                <w:rFonts w:ascii="宋体" w:hAnsi="宋体" w:cs="宋体"/>
                <w:bCs/>
                <w:szCs w:val="21"/>
              </w:rPr>
            </w:pPr>
          </w:p>
        </w:tc>
      </w:tr>
      <w:tr w14:paraId="5123E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tcBorders>
              <w:top w:val="single" w:color="auto" w:sz="4" w:space="0"/>
              <w:left w:val="single" w:color="auto" w:sz="4" w:space="0"/>
              <w:bottom w:val="single" w:color="auto" w:sz="4" w:space="0"/>
            </w:tcBorders>
            <w:vAlign w:val="center"/>
          </w:tcPr>
          <w:p w14:paraId="17EA76AE">
            <w:pPr>
              <w:spacing w:line="400" w:lineRule="exact"/>
              <w:jc w:val="center"/>
              <w:rPr>
                <w:rFonts w:ascii="宋体" w:hAnsi="宋体" w:cs="宋体"/>
                <w:szCs w:val="21"/>
              </w:rPr>
            </w:pPr>
          </w:p>
        </w:tc>
        <w:tc>
          <w:tcPr>
            <w:tcW w:w="1112" w:type="pct"/>
            <w:tcBorders>
              <w:top w:val="single" w:color="auto" w:sz="4" w:space="0"/>
              <w:bottom w:val="single" w:color="auto" w:sz="4" w:space="0"/>
            </w:tcBorders>
            <w:vAlign w:val="center"/>
          </w:tcPr>
          <w:p w14:paraId="2C273CDD">
            <w:pPr>
              <w:spacing w:line="400" w:lineRule="exact"/>
              <w:jc w:val="center"/>
              <w:rPr>
                <w:rFonts w:ascii="宋体" w:hAnsi="宋体" w:cs="宋体"/>
                <w:szCs w:val="21"/>
              </w:rPr>
            </w:pPr>
          </w:p>
        </w:tc>
        <w:tc>
          <w:tcPr>
            <w:tcW w:w="803" w:type="pct"/>
            <w:tcBorders>
              <w:top w:val="single" w:color="auto" w:sz="4" w:space="0"/>
              <w:bottom w:val="single" w:color="auto" w:sz="4" w:space="0"/>
            </w:tcBorders>
            <w:vAlign w:val="center"/>
          </w:tcPr>
          <w:p w14:paraId="4E76FE85">
            <w:pPr>
              <w:spacing w:line="400" w:lineRule="exact"/>
              <w:jc w:val="center"/>
              <w:rPr>
                <w:rFonts w:ascii="宋体" w:hAnsi="宋体" w:cs="宋体"/>
                <w:bCs/>
                <w:szCs w:val="21"/>
              </w:rPr>
            </w:pPr>
          </w:p>
        </w:tc>
        <w:tc>
          <w:tcPr>
            <w:tcW w:w="857" w:type="pct"/>
            <w:tcBorders>
              <w:top w:val="single" w:color="auto" w:sz="4" w:space="0"/>
              <w:bottom w:val="single" w:color="auto" w:sz="4" w:space="0"/>
            </w:tcBorders>
            <w:vAlign w:val="center"/>
          </w:tcPr>
          <w:p w14:paraId="6980BB9A">
            <w:pPr>
              <w:spacing w:line="400" w:lineRule="exact"/>
              <w:jc w:val="center"/>
              <w:rPr>
                <w:rFonts w:ascii="宋体" w:hAnsi="宋体" w:cs="宋体"/>
                <w:bCs/>
                <w:szCs w:val="21"/>
              </w:rPr>
            </w:pPr>
          </w:p>
        </w:tc>
        <w:tc>
          <w:tcPr>
            <w:tcW w:w="1586" w:type="pct"/>
            <w:tcBorders>
              <w:top w:val="single" w:color="auto" w:sz="4" w:space="0"/>
              <w:bottom w:val="single" w:color="auto" w:sz="4" w:space="0"/>
              <w:right w:val="single" w:color="auto" w:sz="4" w:space="0"/>
            </w:tcBorders>
            <w:vAlign w:val="center"/>
          </w:tcPr>
          <w:p w14:paraId="1242006E">
            <w:pPr>
              <w:tabs>
                <w:tab w:val="left" w:pos="4648"/>
              </w:tabs>
              <w:spacing w:line="400" w:lineRule="exact"/>
              <w:jc w:val="center"/>
              <w:rPr>
                <w:rFonts w:ascii="宋体" w:hAnsi="宋体" w:cs="宋体"/>
                <w:bCs/>
                <w:szCs w:val="21"/>
              </w:rPr>
            </w:pPr>
          </w:p>
        </w:tc>
      </w:tr>
      <w:tr w14:paraId="595D2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0" w:type="pct"/>
            <w:tcBorders>
              <w:top w:val="single" w:color="auto" w:sz="4" w:space="0"/>
              <w:left w:val="single" w:color="auto" w:sz="4" w:space="0"/>
              <w:bottom w:val="single" w:color="auto" w:sz="4" w:space="0"/>
            </w:tcBorders>
            <w:vAlign w:val="center"/>
          </w:tcPr>
          <w:p w14:paraId="7A7A7229">
            <w:pPr>
              <w:spacing w:line="400" w:lineRule="exact"/>
              <w:jc w:val="center"/>
              <w:rPr>
                <w:rFonts w:ascii="宋体" w:hAnsi="宋体" w:cs="宋体"/>
                <w:szCs w:val="21"/>
              </w:rPr>
            </w:pPr>
          </w:p>
        </w:tc>
        <w:tc>
          <w:tcPr>
            <w:tcW w:w="1112" w:type="pct"/>
            <w:tcBorders>
              <w:top w:val="single" w:color="auto" w:sz="4" w:space="0"/>
              <w:bottom w:val="single" w:color="auto" w:sz="4" w:space="0"/>
            </w:tcBorders>
            <w:vAlign w:val="center"/>
          </w:tcPr>
          <w:p w14:paraId="3A3EF227">
            <w:pPr>
              <w:spacing w:line="400" w:lineRule="exact"/>
              <w:jc w:val="center"/>
              <w:rPr>
                <w:rFonts w:ascii="宋体" w:hAnsi="宋体" w:cs="宋体"/>
                <w:szCs w:val="21"/>
              </w:rPr>
            </w:pPr>
          </w:p>
        </w:tc>
        <w:tc>
          <w:tcPr>
            <w:tcW w:w="803" w:type="pct"/>
            <w:tcBorders>
              <w:top w:val="single" w:color="auto" w:sz="4" w:space="0"/>
              <w:bottom w:val="single" w:color="auto" w:sz="4" w:space="0"/>
            </w:tcBorders>
            <w:vAlign w:val="center"/>
          </w:tcPr>
          <w:p w14:paraId="2A2BC723">
            <w:pPr>
              <w:spacing w:line="400" w:lineRule="exact"/>
              <w:jc w:val="center"/>
              <w:rPr>
                <w:rFonts w:ascii="宋体" w:hAnsi="宋体" w:cs="宋体"/>
                <w:bCs/>
                <w:szCs w:val="21"/>
              </w:rPr>
            </w:pPr>
          </w:p>
        </w:tc>
        <w:tc>
          <w:tcPr>
            <w:tcW w:w="857" w:type="pct"/>
            <w:tcBorders>
              <w:top w:val="single" w:color="auto" w:sz="4" w:space="0"/>
              <w:bottom w:val="single" w:color="auto" w:sz="4" w:space="0"/>
            </w:tcBorders>
            <w:vAlign w:val="center"/>
          </w:tcPr>
          <w:p w14:paraId="1F3BA0C0">
            <w:pPr>
              <w:spacing w:line="400" w:lineRule="exact"/>
              <w:jc w:val="center"/>
              <w:rPr>
                <w:rFonts w:ascii="宋体" w:hAnsi="宋体" w:cs="宋体"/>
                <w:bCs/>
                <w:szCs w:val="21"/>
              </w:rPr>
            </w:pPr>
          </w:p>
        </w:tc>
        <w:tc>
          <w:tcPr>
            <w:tcW w:w="1586" w:type="pct"/>
            <w:tcBorders>
              <w:top w:val="single" w:color="auto" w:sz="4" w:space="0"/>
              <w:bottom w:val="single" w:color="auto" w:sz="4" w:space="0"/>
              <w:right w:val="single" w:color="auto" w:sz="4" w:space="0"/>
            </w:tcBorders>
            <w:vAlign w:val="center"/>
          </w:tcPr>
          <w:p w14:paraId="72543089">
            <w:pPr>
              <w:tabs>
                <w:tab w:val="left" w:pos="4648"/>
              </w:tabs>
              <w:spacing w:line="400" w:lineRule="exact"/>
              <w:jc w:val="center"/>
              <w:rPr>
                <w:rFonts w:ascii="宋体" w:hAnsi="宋体" w:cs="宋体"/>
                <w:bCs/>
                <w:szCs w:val="21"/>
              </w:rPr>
            </w:pPr>
          </w:p>
        </w:tc>
      </w:tr>
      <w:tr w14:paraId="5AE20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3" w:type="pct"/>
            <w:gridSpan w:val="4"/>
            <w:tcBorders>
              <w:top w:val="single" w:color="auto" w:sz="4" w:space="0"/>
              <w:left w:val="single" w:color="auto" w:sz="4" w:space="0"/>
              <w:bottom w:val="single" w:color="auto" w:sz="4" w:space="0"/>
            </w:tcBorders>
            <w:vAlign w:val="center"/>
          </w:tcPr>
          <w:p w14:paraId="1F1DDD00">
            <w:pPr>
              <w:spacing w:line="400" w:lineRule="exact"/>
              <w:jc w:val="center"/>
              <w:rPr>
                <w:rFonts w:ascii="宋体" w:hAnsi="宋体" w:cs="宋体"/>
                <w:bCs/>
                <w:szCs w:val="21"/>
              </w:rPr>
            </w:pPr>
            <w:r>
              <w:rPr>
                <w:rFonts w:hint="eastAsia" w:ascii="宋体" w:hAnsi="宋体" w:cs="宋体"/>
                <w:kern w:val="0"/>
                <w:szCs w:val="21"/>
              </w:rPr>
              <w:t>合计</w:t>
            </w:r>
          </w:p>
        </w:tc>
        <w:tc>
          <w:tcPr>
            <w:tcW w:w="1586" w:type="pct"/>
            <w:tcBorders>
              <w:top w:val="single" w:color="auto" w:sz="4" w:space="0"/>
              <w:bottom w:val="single" w:color="auto" w:sz="4" w:space="0"/>
              <w:right w:val="single" w:color="auto" w:sz="4" w:space="0"/>
            </w:tcBorders>
            <w:vAlign w:val="center"/>
          </w:tcPr>
          <w:p w14:paraId="6449F072">
            <w:pPr>
              <w:tabs>
                <w:tab w:val="left" w:pos="4648"/>
              </w:tabs>
              <w:spacing w:line="400" w:lineRule="exact"/>
              <w:jc w:val="center"/>
              <w:rPr>
                <w:rFonts w:ascii="宋体" w:hAnsi="宋体" w:cs="宋体"/>
                <w:bCs/>
                <w:szCs w:val="21"/>
              </w:rPr>
            </w:pPr>
          </w:p>
        </w:tc>
      </w:tr>
      <w:tr w14:paraId="4B252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3" w:type="pct"/>
            <w:gridSpan w:val="4"/>
            <w:tcBorders>
              <w:top w:val="single" w:color="auto" w:sz="4" w:space="0"/>
              <w:left w:val="single" w:color="auto" w:sz="4" w:space="0"/>
              <w:bottom w:val="single" w:color="auto" w:sz="4" w:space="0"/>
              <w:right w:val="single" w:color="auto" w:sz="4" w:space="0"/>
            </w:tcBorders>
            <w:vAlign w:val="center"/>
          </w:tcPr>
          <w:p w14:paraId="78C0577E">
            <w:pPr>
              <w:spacing w:line="400" w:lineRule="exact"/>
              <w:jc w:val="center"/>
              <w:rPr>
                <w:rFonts w:ascii="宋体" w:hAnsi="宋体" w:cs="宋体"/>
                <w:b/>
                <w:szCs w:val="21"/>
              </w:rPr>
            </w:pPr>
            <w:r>
              <w:rPr>
                <w:rFonts w:hint="eastAsia" w:ascii="宋体" w:hAnsi="宋体" w:cs="宋体"/>
                <w:b/>
                <w:szCs w:val="21"/>
              </w:rPr>
              <w:t>投标报价（小写）</w:t>
            </w:r>
          </w:p>
        </w:tc>
        <w:tc>
          <w:tcPr>
            <w:tcW w:w="1586" w:type="pct"/>
            <w:tcBorders>
              <w:top w:val="single" w:color="auto" w:sz="4" w:space="0"/>
              <w:left w:val="single" w:color="auto" w:sz="4" w:space="0"/>
              <w:bottom w:val="single" w:color="auto" w:sz="4" w:space="0"/>
              <w:right w:val="single" w:color="auto" w:sz="4" w:space="0"/>
            </w:tcBorders>
            <w:vAlign w:val="center"/>
          </w:tcPr>
          <w:p w14:paraId="34CDF8A2">
            <w:pPr>
              <w:spacing w:line="400" w:lineRule="exact"/>
              <w:jc w:val="center"/>
              <w:rPr>
                <w:rFonts w:ascii="宋体" w:hAnsi="宋体" w:cs="宋体"/>
                <w:szCs w:val="21"/>
              </w:rPr>
            </w:pP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tc>
      </w:tr>
      <w:tr w14:paraId="67A45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3" w:type="pct"/>
            <w:gridSpan w:val="4"/>
            <w:tcBorders>
              <w:top w:val="single" w:color="auto" w:sz="4" w:space="0"/>
              <w:left w:val="single" w:color="auto" w:sz="4" w:space="0"/>
              <w:bottom w:val="single" w:color="auto" w:sz="4" w:space="0"/>
              <w:right w:val="single" w:color="auto" w:sz="4" w:space="0"/>
            </w:tcBorders>
            <w:vAlign w:val="center"/>
          </w:tcPr>
          <w:p w14:paraId="44D875C9">
            <w:pPr>
              <w:spacing w:line="400" w:lineRule="exact"/>
              <w:jc w:val="center"/>
              <w:rPr>
                <w:rFonts w:ascii="宋体" w:hAnsi="宋体" w:cs="宋体"/>
                <w:b/>
                <w:szCs w:val="21"/>
              </w:rPr>
            </w:pPr>
            <w:r>
              <w:rPr>
                <w:rFonts w:hint="eastAsia" w:ascii="宋体" w:hAnsi="宋体" w:cs="宋体"/>
                <w:b/>
                <w:szCs w:val="21"/>
              </w:rPr>
              <w:t>投标报价（大写）</w:t>
            </w:r>
          </w:p>
        </w:tc>
        <w:tc>
          <w:tcPr>
            <w:tcW w:w="1586" w:type="pct"/>
            <w:tcBorders>
              <w:top w:val="single" w:color="auto" w:sz="4" w:space="0"/>
              <w:left w:val="single" w:color="auto" w:sz="4" w:space="0"/>
              <w:bottom w:val="single" w:color="auto" w:sz="4" w:space="0"/>
              <w:right w:val="single" w:color="auto" w:sz="4" w:space="0"/>
            </w:tcBorders>
            <w:vAlign w:val="center"/>
          </w:tcPr>
          <w:p w14:paraId="3A795725">
            <w:pPr>
              <w:spacing w:line="400" w:lineRule="exact"/>
              <w:jc w:val="center"/>
              <w:rPr>
                <w:rFonts w:ascii="宋体" w:hAnsi="宋体" w:cs="宋体"/>
                <w:szCs w:val="21"/>
              </w:rPr>
            </w:pP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tc>
      </w:tr>
    </w:tbl>
    <w:p w14:paraId="245EF6C2">
      <w:pPr>
        <w:spacing w:line="400" w:lineRule="exact"/>
        <w:jc w:val="left"/>
        <w:rPr>
          <w:rFonts w:ascii="宋体" w:hAnsi="宋体" w:cs="宋体"/>
          <w:szCs w:val="21"/>
        </w:rPr>
      </w:pPr>
    </w:p>
    <w:p w14:paraId="77B83059">
      <w:pPr>
        <w:spacing w:line="400" w:lineRule="exact"/>
        <w:jc w:val="left"/>
        <w:rPr>
          <w:rFonts w:ascii="宋体" w:hAnsi="宋体" w:cs="宋体"/>
          <w:szCs w:val="21"/>
        </w:rPr>
      </w:pPr>
      <w:r>
        <w:rPr>
          <w:rFonts w:hint="eastAsia" w:ascii="宋体" w:hAnsi="宋体" w:cs="宋体"/>
          <w:szCs w:val="21"/>
        </w:rPr>
        <w:t>供应商（盖章）：</w:t>
      </w:r>
    </w:p>
    <w:p w14:paraId="5CD2B7B1">
      <w:pPr>
        <w:spacing w:line="400" w:lineRule="exact"/>
        <w:jc w:val="left"/>
        <w:rPr>
          <w:rFonts w:ascii="宋体" w:hAnsi="宋体" w:cs="宋体"/>
          <w:szCs w:val="21"/>
        </w:rPr>
      </w:pPr>
      <w:r>
        <w:rPr>
          <w:rFonts w:hint="eastAsia" w:ascii="宋体" w:hAnsi="宋体" w:cs="宋体"/>
          <w:szCs w:val="21"/>
        </w:rPr>
        <w:t>日          期：</w:t>
      </w:r>
    </w:p>
    <w:p w14:paraId="0FC3CC7A">
      <w:pPr>
        <w:pStyle w:val="26"/>
        <w:snapToGrid w:val="0"/>
        <w:spacing w:before="0" w:beforeAutospacing="0" w:after="0" w:afterAutospacing="0" w:line="400" w:lineRule="exact"/>
        <w:jc w:val="center"/>
        <w:rPr>
          <w:rFonts w:hAnsi="宋体" w:cs="宋体"/>
          <w:b/>
        </w:rPr>
      </w:pPr>
      <w:r>
        <w:rPr>
          <w:rFonts w:hint="eastAsia" w:hAnsi="宋体" w:cs="宋体"/>
          <w:b/>
          <w:sz w:val="21"/>
          <w:szCs w:val="21"/>
        </w:rPr>
        <w:br w:type="page"/>
      </w:r>
      <w:r>
        <w:rPr>
          <w:rFonts w:hint="eastAsia" w:hAnsi="宋体" w:cs="宋体"/>
          <w:b/>
          <w:kern w:val="2"/>
          <w:sz w:val="21"/>
          <w:szCs w:val="21"/>
        </w:rPr>
        <w:t>C3.中小企业声明函</w:t>
      </w:r>
      <w:bookmarkEnd w:id="190"/>
      <w:bookmarkEnd w:id="191"/>
      <w:bookmarkEnd w:id="192"/>
      <w:r>
        <w:rPr>
          <w:rFonts w:hint="eastAsia" w:hAnsi="宋体" w:cs="宋体"/>
          <w:b/>
          <w:kern w:val="2"/>
          <w:sz w:val="21"/>
          <w:szCs w:val="21"/>
        </w:rPr>
        <w:t>（适用于标项一）</w:t>
      </w:r>
    </w:p>
    <w:p w14:paraId="0074BF1E">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00D1098E">
      <w:pPr>
        <w:spacing w:line="400" w:lineRule="exact"/>
        <w:ind w:firstLine="420" w:firstLineChars="200"/>
        <w:rPr>
          <w:rFonts w:ascii="宋体" w:hAnsi="宋体" w:cs="宋体"/>
        </w:rPr>
      </w:pPr>
      <w:r>
        <w:rPr>
          <w:rFonts w:hint="eastAsia" w:ascii="宋体" w:hAnsi="宋体" w:cs="宋体"/>
          <w:u w:val="single"/>
        </w:rPr>
        <w:t xml:space="preserve"> 鼎秀古籍全文检索平台-第三辑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50F5EC7C">
      <w:pPr>
        <w:spacing w:line="400" w:lineRule="exact"/>
        <w:ind w:firstLine="420" w:firstLineChars="200"/>
        <w:rPr>
          <w:rFonts w:ascii="宋体" w:hAnsi="宋体" w:cs="宋体"/>
        </w:rPr>
      </w:pPr>
      <w:r>
        <w:rPr>
          <w:rFonts w:hint="eastAsia" w:ascii="宋体" w:hAnsi="宋体" w:cs="宋体"/>
        </w:rPr>
        <w:t>......</w:t>
      </w:r>
    </w:p>
    <w:p w14:paraId="22810733">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37A36D1">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42C3D551">
      <w:pPr>
        <w:spacing w:line="400" w:lineRule="exact"/>
        <w:ind w:firstLine="420" w:firstLineChars="200"/>
        <w:rPr>
          <w:rFonts w:ascii="宋体" w:hAnsi="宋体" w:cs="宋体"/>
        </w:rPr>
      </w:pPr>
    </w:p>
    <w:p w14:paraId="3769DCFC">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09EF6425">
      <w:pPr>
        <w:spacing w:line="400" w:lineRule="exact"/>
        <w:ind w:firstLine="420" w:firstLineChars="200"/>
        <w:rPr>
          <w:rFonts w:ascii="宋体" w:hAnsi="宋体" w:cs="宋体"/>
        </w:rPr>
      </w:pPr>
    </w:p>
    <w:p w14:paraId="56600A9E">
      <w:pPr>
        <w:spacing w:line="400" w:lineRule="exact"/>
        <w:jc w:val="left"/>
        <w:rPr>
          <w:rFonts w:ascii="宋体" w:hAnsi="宋体" w:cs="宋体"/>
          <w:szCs w:val="21"/>
        </w:rPr>
      </w:pPr>
      <w:r>
        <w:rPr>
          <w:rFonts w:hint="eastAsia" w:ascii="宋体" w:hAnsi="宋体" w:cs="宋体"/>
          <w:szCs w:val="21"/>
        </w:rPr>
        <w:t>供应商（盖章）：</w:t>
      </w:r>
    </w:p>
    <w:p w14:paraId="17B19B66">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2E29164F">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w:t>
      </w:r>
    </w:p>
    <w:p w14:paraId="7FAB450A">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2CCAAE0E">
      <w:pPr>
        <w:spacing w:line="400" w:lineRule="exact"/>
        <w:ind w:firstLine="420" w:firstLineChars="200"/>
        <w:rPr>
          <w:rFonts w:ascii="宋体" w:hAnsi="宋体" w:cs="宋体"/>
        </w:rPr>
      </w:pPr>
      <w:r>
        <w:rPr>
          <w:rFonts w:hint="eastAsia" w:ascii="宋体" w:hAnsi="宋体" w:cs="宋体"/>
          <w:u w:val="single"/>
        </w:rPr>
        <w:t xml:space="preserve"> RESSET金融研究数据库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5F66AF37">
      <w:pPr>
        <w:spacing w:line="400" w:lineRule="exact"/>
        <w:ind w:firstLine="420" w:firstLineChars="200"/>
        <w:rPr>
          <w:rFonts w:ascii="宋体" w:hAnsi="宋体" w:cs="宋体"/>
        </w:rPr>
      </w:pPr>
      <w:r>
        <w:rPr>
          <w:rFonts w:hint="eastAsia" w:ascii="宋体" w:hAnsi="宋体" w:cs="宋体"/>
        </w:rPr>
        <w:t>......</w:t>
      </w:r>
    </w:p>
    <w:p w14:paraId="27E82474">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197AF88">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5CD9140D">
      <w:pPr>
        <w:spacing w:line="400" w:lineRule="exact"/>
        <w:ind w:firstLine="420" w:firstLineChars="200"/>
        <w:rPr>
          <w:rFonts w:ascii="宋体" w:hAnsi="宋体" w:cs="宋体"/>
        </w:rPr>
      </w:pPr>
    </w:p>
    <w:p w14:paraId="3E55E5FB">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3E582B7A">
      <w:pPr>
        <w:spacing w:line="400" w:lineRule="exact"/>
        <w:ind w:firstLine="420" w:firstLineChars="200"/>
        <w:rPr>
          <w:rFonts w:ascii="宋体" w:hAnsi="宋体" w:cs="宋体"/>
        </w:rPr>
      </w:pPr>
    </w:p>
    <w:p w14:paraId="7E68CC17">
      <w:pPr>
        <w:spacing w:line="400" w:lineRule="exact"/>
        <w:jc w:val="left"/>
        <w:rPr>
          <w:rFonts w:ascii="宋体" w:hAnsi="宋体" w:cs="宋体"/>
          <w:szCs w:val="21"/>
        </w:rPr>
      </w:pPr>
      <w:r>
        <w:rPr>
          <w:rFonts w:hint="eastAsia" w:ascii="宋体" w:hAnsi="宋体" w:cs="宋体"/>
          <w:szCs w:val="21"/>
        </w:rPr>
        <w:t>供应商（盖章）：</w:t>
      </w:r>
    </w:p>
    <w:p w14:paraId="56B4E22E">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62A0217A">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w:t>
      </w:r>
    </w:p>
    <w:p w14:paraId="6464667E">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625B26F">
      <w:pPr>
        <w:spacing w:line="400" w:lineRule="exact"/>
        <w:ind w:firstLine="420" w:firstLineChars="200"/>
        <w:rPr>
          <w:rFonts w:ascii="宋体" w:hAnsi="宋体" w:cs="宋体"/>
        </w:rPr>
      </w:pPr>
      <w:r>
        <w:rPr>
          <w:rFonts w:hint="eastAsia" w:ascii="宋体" w:hAnsi="宋体" w:cs="宋体"/>
          <w:u w:val="single"/>
        </w:rPr>
        <w:t xml:space="preserve"> EPS全球统计数据分析数据库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27FFD126">
      <w:pPr>
        <w:spacing w:line="400" w:lineRule="exact"/>
        <w:ind w:firstLine="420" w:firstLineChars="200"/>
        <w:rPr>
          <w:rFonts w:ascii="宋体" w:hAnsi="宋体" w:cs="宋体"/>
        </w:rPr>
      </w:pPr>
      <w:r>
        <w:rPr>
          <w:rFonts w:hint="eastAsia" w:ascii="宋体" w:hAnsi="宋体" w:cs="宋体"/>
        </w:rPr>
        <w:t>......</w:t>
      </w:r>
    </w:p>
    <w:p w14:paraId="3AE7F39A">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E3E0051">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29FEC32">
      <w:pPr>
        <w:spacing w:line="400" w:lineRule="exact"/>
        <w:ind w:firstLine="420" w:firstLineChars="200"/>
        <w:rPr>
          <w:rFonts w:ascii="宋体" w:hAnsi="宋体" w:cs="宋体"/>
        </w:rPr>
      </w:pPr>
    </w:p>
    <w:p w14:paraId="601F9914">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04068FEF">
      <w:pPr>
        <w:spacing w:line="400" w:lineRule="exact"/>
        <w:ind w:firstLine="420" w:firstLineChars="200"/>
        <w:rPr>
          <w:rFonts w:ascii="宋体" w:hAnsi="宋体" w:cs="宋体"/>
        </w:rPr>
      </w:pPr>
    </w:p>
    <w:p w14:paraId="7CD1463B">
      <w:pPr>
        <w:spacing w:line="400" w:lineRule="exact"/>
        <w:jc w:val="left"/>
        <w:rPr>
          <w:rFonts w:ascii="宋体" w:hAnsi="宋体" w:cs="宋体"/>
          <w:szCs w:val="21"/>
        </w:rPr>
      </w:pPr>
      <w:r>
        <w:rPr>
          <w:rFonts w:hint="eastAsia" w:ascii="宋体" w:hAnsi="宋体" w:cs="宋体"/>
          <w:szCs w:val="21"/>
        </w:rPr>
        <w:t>供应商（盖章）：</w:t>
      </w:r>
    </w:p>
    <w:p w14:paraId="6409EE77">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616276E4">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w:t>
      </w:r>
    </w:p>
    <w:p w14:paraId="36CA97B5">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7BDC2184">
      <w:pPr>
        <w:spacing w:line="400" w:lineRule="exact"/>
        <w:ind w:firstLine="420" w:firstLineChars="200"/>
        <w:rPr>
          <w:rFonts w:ascii="宋体" w:hAnsi="宋体" w:cs="宋体"/>
        </w:rPr>
      </w:pPr>
      <w:r>
        <w:rPr>
          <w:rFonts w:hint="eastAsia" w:ascii="宋体" w:hAnsi="宋体" w:cs="宋体"/>
          <w:u w:val="single"/>
        </w:rPr>
        <w:t xml:space="preserve"> CEIC全球经济金融数据库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7FD288C7">
      <w:pPr>
        <w:spacing w:line="400" w:lineRule="exact"/>
        <w:ind w:firstLine="420" w:firstLineChars="200"/>
        <w:rPr>
          <w:rFonts w:ascii="宋体" w:hAnsi="宋体" w:cs="宋体"/>
        </w:rPr>
      </w:pPr>
      <w:r>
        <w:rPr>
          <w:rFonts w:hint="eastAsia" w:ascii="宋体" w:hAnsi="宋体" w:cs="宋体"/>
        </w:rPr>
        <w:t>......</w:t>
      </w:r>
    </w:p>
    <w:p w14:paraId="1FE7555F">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D3D2D65">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1CE9DFFB">
      <w:pPr>
        <w:spacing w:line="400" w:lineRule="exact"/>
        <w:ind w:firstLine="420" w:firstLineChars="200"/>
        <w:rPr>
          <w:rFonts w:ascii="宋体" w:hAnsi="宋体" w:cs="宋体"/>
        </w:rPr>
      </w:pPr>
    </w:p>
    <w:p w14:paraId="694103E1">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C4C5F12">
      <w:pPr>
        <w:spacing w:line="400" w:lineRule="exact"/>
        <w:ind w:firstLine="420" w:firstLineChars="200"/>
        <w:rPr>
          <w:rFonts w:ascii="宋体" w:hAnsi="宋体" w:cs="宋体"/>
        </w:rPr>
      </w:pPr>
    </w:p>
    <w:p w14:paraId="1E1BC42C">
      <w:pPr>
        <w:spacing w:line="400" w:lineRule="exact"/>
        <w:jc w:val="left"/>
        <w:rPr>
          <w:rFonts w:ascii="宋体" w:hAnsi="宋体" w:cs="宋体"/>
          <w:szCs w:val="21"/>
        </w:rPr>
      </w:pPr>
      <w:r>
        <w:rPr>
          <w:rFonts w:hint="eastAsia" w:ascii="宋体" w:hAnsi="宋体" w:cs="宋体"/>
          <w:szCs w:val="21"/>
        </w:rPr>
        <w:t>供应商（盖章）：</w:t>
      </w:r>
    </w:p>
    <w:p w14:paraId="1978A095">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1C3C4DF9">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中小企业声明函（适用于标项五）</w:t>
      </w:r>
    </w:p>
    <w:p w14:paraId="76D48190">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15CA1A74">
      <w:pPr>
        <w:spacing w:line="400" w:lineRule="exact"/>
        <w:ind w:firstLine="420" w:firstLineChars="200"/>
        <w:rPr>
          <w:rFonts w:ascii="宋体" w:hAnsi="宋体" w:cs="宋体"/>
        </w:rPr>
      </w:pPr>
      <w:r>
        <w:rPr>
          <w:rFonts w:hint="eastAsia" w:ascii="宋体" w:hAnsi="宋体" w:cs="宋体"/>
          <w:u w:val="single"/>
        </w:rPr>
        <w:t xml:space="preserve"> 读秀知识库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2CBB20B4">
      <w:pPr>
        <w:spacing w:line="400" w:lineRule="exact"/>
        <w:ind w:firstLine="420" w:firstLineChars="200"/>
        <w:rPr>
          <w:rFonts w:ascii="宋体" w:hAnsi="宋体" w:cs="宋体"/>
        </w:rPr>
      </w:pPr>
      <w:r>
        <w:rPr>
          <w:rFonts w:hint="eastAsia" w:ascii="宋体" w:hAnsi="宋体" w:cs="宋体"/>
        </w:rPr>
        <w:t>......</w:t>
      </w:r>
    </w:p>
    <w:p w14:paraId="5CA79B91">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87081AD">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4FCBEB64">
      <w:pPr>
        <w:spacing w:line="400" w:lineRule="exact"/>
        <w:ind w:firstLine="420" w:firstLineChars="200"/>
        <w:rPr>
          <w:rFonts w:ascii="宋体" w:hAnsi="宋体" w:cs="宋体"/>
        </w:rPr>
      </w:pPr>
    </w:p>
    <w:p w14:paraId="56BFCEE2">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6A72B93E">
      <w:pPr>
        <w:spacing w:line="400" w:lineRule="exact"/>
        <w:ind w:firstLine="420" w:firstLineChars="200"/>
        <w:rPr>
          <w:rFonts w:ascii="宋体" w:hAnsi="宋体" w:cs="宋体"/>
        </w:rPr>
      </w:pPr>
    </w:p>
    <w:p w14:paraId="1E64C0DF">
      <w:pPr>
        <w:spacing w:line="400" w:lineRule="exact"/>
        <w:jc w:val="left"/>
        <w:rPr>
          <w:rFonts w:ascii="宋体" w:hAnsi="宋体" w:cs="宋体"/>
          <w:szCs w:val="21"/>
        </w:rPr>
      </w:pPr>
      <w:r>
        <w:rPr>
          <w:rFonts w:hint="eastAsia" w:ascii="宋体" w:hAnsi="宋体" w:cs="宋体"/>
          <w:szCs w:val="21"/>
        </w:rPr>
        <w:t>供应商（盖章）：</w:t>
      </w:r>
    </w:p>
    <w:p w14:paraId="020E78F7">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2B5EC7C1">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中小企业声明函（适用于标项六）</w:t>
      </w:r>
    </w:p>
    <w:p w14:paraId="4AA09098">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79C4A028">
      <w:pPr>
        <w:spacing w:line="400" w:lineRule="exact"/>
        <w:ind w:firstLine="420" w:firstLineChars="200"/>
        <w:rPr>
          <w:rFonts w:ascii="宋体" w:hAnsi="宋体" w:cs="宋体"/>
        </w:rPr>
      </w:pPr>
      <w:r>
        <w:rPr>
          <w:rFonts w:hint="eastAsia" w:ascii="宋体" w:hAnsi="宋体" w:cs="宋体"/>
          <w:u w:val="single"/>
        </w:rPr>
        <w:t xml:space="preserve"> Springer期刊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59AA374F">
      <w:pPr>
        <w:spacing w:line="400" w:lineRule="exact"/>
        <w:ind w:firstLine="420" w:firstLineChars="200"/>
        <w:rPr>
          <w:rFonts w:ascii="宋体" w:hAnsi="宋体" w:cs="宋体"/>
        </w:rPr>
      </w:pPr>
      <w:r>
        <w:rPr>
          <w:rFonts w:hint="eastAsia" w:ascii="宋体" w:hAnsi="宋体" w:cs="宋体"/>
        </w:rPr>
        <w:t>......</w:t>
      </w:r>
    </w:p>
    <w:p w14:paraId="499D4AC0">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99CEDEF">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4373E189">
      <w:pPr>
        <w:spacing w:line="400" w:lineRule="exact"/>
        <w:ind w:firstLine="420" w:firstLineChars="200"/>
        <w:rPr>
          <w:rFonts w:ascii="宋体" w:hAnsi="宋体" w:cs="宋体"/>
        </w:rPr>
      </w:pPr>
    </w:p>
    <w:p w14:paraId="5C929FCA">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60ACE3E3">
      <w:pPr>
        <w:spacing w:line="400" w:lineRule="exact"/>
        <w:ind w:firstLine="420" w:firstLineChars="200"/>
        <w:rPr>
          <w:rFonts w:ascii="宋体" w:hAnsi="宋体" w:cs="宋体"/>
        </w:rPr>
      </w:pPr>
    </w:p>
    <w:p w14:paraId="395145D4">
      <w:pPr>
        <w:spacing w:line="400" w:lineRule="exact"/>
        <w:jc w:val="left"/>
        <w:rPr>
          <w:rFonts w:ascii="宋体" w:hAnsi="宋体" w:cs="宋体"/>
          <w:szCs w:val="21"/>
        </w:rPr>
      </w:pPr>
      <w:r>
        <w:rPr>
          <w:rFonts w:hint="eastAsia" w:ascii="宋体" w:hAnsi="宋体" w:cs="宋体"/>
          <w:szCs w:val="21"/>
        </w:rPr>
        <w:t>供应商（盖章）：</w:t>
      </w:r>
    </w:p>
    <w:p w14:paraId="09206405">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3FF068B1">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中小企业声明函（适用于标项七）</w:t>
      </w:r>
    </w:p>
    <w:p w14:paraId="534565AB">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59EFE0E0">
      <w:pPr>
        <w:spacing w:line="400" w:lineRule="exact"/>
        <w:ind w:firstLine="420" w:firstLineChars="200"/>
        <w:rPr>
          <w:rFonts w:ascii="宋体" w:hAnsi="宋体" w:cs="宋体"/>
        </w:rPr>
      </w:pPr>
      <w:r>
        <w:rPr>
          <w:rFonts w:hint="eastAsia" w:ascii="宋体" w:hAnsi="宋体" w:cs="宋体"/>
          <w:u w:val="single"/>
        </w:rPr>
        <w:t xml:space="preserve"> SCOPUS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2E26CE92">
      <w:pPr>
        <w:spacing w:line="400" w:lineRule="exact"/>
        <w:ind w:firstLine="420" w:firstLineChars="200"/>
        <w:rPr>
          <w:rFonts w:ascii="宋体" w:hAnsi="宋体" w:cs="宋体"/>
        </w:rPr>
      </w:pPr>
      <w:r>
        <w:rPr>
          <w:rFonts w:hint="eastAsia" w:ascii="宋体" w:hAnsi="宋体" w:cs="宋体"/>
        </w:rPr>
        <w:t>......</w:t>
      </w:r>
    </w:p>
    <w:p w14:paraId="1A73F8AE">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4F6575DC">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80F051D">
      <w:pPr>
        <w:spacing w:line="400" w:lineRule="exact"/>
        <w:ind w:firstLine="420" w:firstLineChars="200"/>
        <w:rPr>
          <w:rFonts w:ascii="宋体" w:hAnsi="宋体" w:cs="宋体"/>
        </w:rPr>
      </w:pPr>
    </w:p>
    <w:p w14:paraId="095F3158">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34F0ADA">
      <w:pPr>
        <w:spacing w:line="400" w:lineRule="exact"/>
        <w:ind w:firstLine="420" w:firstLineChars="200"/>
        <w:rPr>
          <w:rFonts w:ascii="宋体" w:hAnsi="宋体" w:cs="宋体"/>
        </w:rPr>
      </w:pPr>
    </w:p>
    <w:p w14:paraId="3A9D0502">
      <w:pPr>
        <w:spacing w:line="400" w:lineRule="exact"/>
        <w:jc w:val="left"/>
        <w:rPr>
          <w:rFonts w:ascii="宋体" w:hAnsi="宋体" w:cs="宋体"/>
          <w:szCs w:val="21"/>
        </w:rPr>
      </w:pPr>
      <w:r>
        <w:rPr>
          <w:rFonts w:hint="eastAsia" w:ascii="宋体" w:hAnsi="宋体" w:cs="宋体"/>
          <w:szCs w:val="21"/>
        </w:rPr>
        <w:t>供应商（盖章）：</w:t>
      </w:r>
    </w:p>
    <w:p w14:paraId="0FAA8B4D">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45B4A05E">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中小企业声明函（适用于标项八）</w:t>
      </w:r>
    </w:p>
    <w:p w14:paraId="064EB173">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15313A8A">
      <w:pPr>
        <w:spacing w:line="400" w:lineRule="exact"/>
        <w:ind w:firstLine="420" w:firstLineChars="200"/>
        <w:rPr>
          <w:rFonts w:ascii="宋体" w:hAnsi="宋体" w:cs="宋体"/>
        </w:rPr>
      </w:pPr>
      <w:r>
        <w:rPr>
          <w:rFonts w:hint="eastAsia" w:ascii="宋体" w:hAnsi="宋体" w:cs="宋体"/>
          <w:u w:val="single"/>
        </w:rPr>
        <w:t xml:space="preserve"> EBSCO主题数据库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5029A63D">
      <w:pPr>
        <w:spacing w:line="400" w:lineRule="exact"/>
        <w:ind w:firstLine="420" w:firstLineChars="200"/>
        <w:rPr>
          <w:rFonts w:ascii="宋体" w:hAnsi="宋体" w:cs="宋体"/>
        </w:rPr>
      </w:pPr>
      <w:r>
        <w:rPr>
          <w:rFonts w:hint="eastAsia" w:ascii="宋体" w:hAnsi="宋体" w:cs="宋体"/>
        </w:rPr>
        <w:t>......</w:t>
      </w:r>
    </w:p>
    <w:p w14:paraId="5FD8540E">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7EB1A75">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ECB8F52">
      <w:pPr>
        <w:spacing w:line="400" w:lineRule="exact"/>
        <w:ind w:firstLine="420" w:firstLineChars="200"/>
        <w:rPr>
          <w:rFonts w:ascii="宋体" w:hAnsi="宋体" w:cs="宋体"/>
        </w:rPr>
      </w:pPr>
    </w:p>
    <w:p w14:paraId="7EF7EFD4">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5CACFF72">
      <w:pPr>
        <w:spacing w:line="400" w:lineRule="exact"/>
        <w:ind w:firstLine="420" w:firstLineChars="200"/>
        <w:rPr>
          <w:rFonts w:ascii="宋体" w:hAnsi="宋体" w:cs="宋体"/>
        </w:rPr>
      </w:pPr>
    </w:p>
    <w:p w14:paraId="01635C7A">
      <w:pPr>
        <w:spacing w:line="400" w:lineRule="exact"/>
        <w:jc w:val="left"/>
        <w:rPr>
          <w:rFonts w:ascii="宋体" w:hAnsi="宋体" w:cs="宋体"/>
          <w:szCs w:val="21"/>
        </w:rPr>
      </w:pPr>
      <w:r>
        <w:rPr>
          <w:rFonts w:hint="eastAsia" w:ascii="宋体" w:hAnsi="宋体" w:cs="宋体"/>
          <w:szCs w:val="21"/>
        </w:rPr>
        <w:t>供应商（盖章）：</w:t>
      </w:r>
    </w:p>
    <w:p w14:paraId="3BB97E60">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69AF0C55">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中小企业声明函（适用于标项九）</w:t>
      </w:r>
    </w:p>
    <w:p w14:paraId="31DD8D31">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1E8CE736">
      <w:pPr>
        <w:spacing w:line="400" w:lineRule="exact"/>
        <w:ind w:firstLine="420" w:firstLineChars="200"/>
        <w:rPr>
          <w:rFonts w:ascii="宋体" w:hAnsi="宋体" w:cs="宋体"/>
        </w:rPr>
      </w:pPr>
      <w:r>
        <w:rPr>
          <w:rFonts w:hint="eastAsia" w:ascii="宋体" w:hAnsi="宋体" w:cs="宋体"/>
          <w:u w:val="single"/>
        </w:rPr>
        <w:t xml:space="preserve"> 中华经典古籍库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25824385">
      <w:pPr>
        <w:spacing w:line="400" w:lineRule="exact"/>
        <w:ind w:firstLine="420" w:firstLineChars="200"/>
        <w:rPr>
          <w:rFonts w:ascii="宋体" w:hAnsi="宋体" w:cs="宋体"/>
        </w:rPr>
      </w:pPr>
      <w:r>
        <w:rPr>
          <w:rFonts w:hint="eastAsia" w:ascii="宋体" w:hAnsi="宋体" w:cs="宋体"/>
        </w:rPr>
        <w:t>......</w:t>
      </w:r>
    </w:p>
    <w:p w14:paraId="1D51CB8A">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C6B1C4E">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225472A">
      <w:pPr>
        <w:spacing w:line="400" w:lineRule="exact"/>
        <w:ind w:firstLine="420" w:firstLineChars="200"/>
        <w:rPr>
          <w:rFonts w:ascii="宋体" w:hAnsi="宋体" w:cs="宋体"/>
        </w:rPr>
      </w:pPr>
    </w:p>
    <w:p w14:paraId="643B8717">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1527B054">
      <w:pPr>
        <w:spacing w:line="400" w:lineRule="exact"/>
        <w:ind w:firstLine="420" w:firstLineChars="200"/>
        <w:rPr>
          <w:rFonts w:ascii="宋体" w:hAnsi="宋体" w:cs="宋体"/>
        </w:rPr>
      </w:pPr>
    </w:p>
    <w:p w14:paraId="1BABBC7C">
      <w:pPr>
        <w:spacing w:line="400" w:lineRule="exact"/>
        <w:jc w:val="left"/>
        <w:rPr>
          <w:rFonts w:ascii="宋体" w:hAnsi="宋体" w:cs="宋体"/>
          <w:szCs w:val="21"/>
        </w:rPr>
      </w:pPr>
      <w:r>
        <w:rPr>
          <w:rFonts w:hint="eastAsia" w:ascii="宋体" w:hAnsi="宋体" w:cs="宋体"/>
          <w:szCs w:val="21"/>
        </w:rPr>
        <w:t>供应商（盖章）：</w:t>
      </w:r>
    </w:p>
    <w:p w14:paraId="479399DF">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0174EC50">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w:t>
      </w:r>
    </w:p>
    <w:p w14:paraId="0DF57037">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C0EA6C4">
      <w:pPr>
        <w:spacing w:line="400" w:lineRule="exact"/>
        <w:ind w:firstLine="420" w:firstLineChars="200"/>
        <w:rPr>
          <w:rFonts w:ascii="宋体" w:hAnsi="宋体" w:cs="宋体"/>
        </w:rPr>
      </w:pPr>
      <w:r>
        <w:rPr>
          <w:rFonts w:hint="eastAsia" w:ascii="宋体" w:hAnsi="宋体" w:cs="宋体"/>
          <w:u w:val="single"/>
        </w:rPr>
        <w:t xml:space="preserve"> 智慧之光-知识产权一体化管理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3D87BF3A">
      <w:pPr>
        <w:spacing w:line="400" w:lineRule="exact"/>
        <w:ind w:firstLine="420" w:firstLineChars="200"/>
        <w:rPr>
          <w:rFonts w:ascii="宋体" w:hAnsi="宋体" w:cs="宋体"/>
        </w:rPr>
      </w:pPr>
      <w:r>
        <w:rPr>
          <w:rFonts w:hint="eastAsia" w:ascii="宋体" w:hAnsi="宋体" w:cs="宋体"/>
        </w:rPr>
        <w:t>......</w:t>
      </w:r>
    </w:p>
    <w:p w14:paraId="167C33E3">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DBC9541">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4E2725E5">
      <w:pPr>
        <w:spacing w:line="400" w:lineRule="exact"/>
        <w:ind w:firstLine="420" w:firstLineChars="200"/>
        <w:rPr>
          <w:rFonts w:ascii="宋体" w:hAnsi="宋体" w:cs="宋体"/>
        </w:rPr>
      </w:pPr>
    </w:p>
    <w:p w14:paraId="5D3914E0">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54012451">
      <w:pPr>
        <w:spacing w:line="400" w:lineRule="exact"/>
        <w:ind w:firstLine="420" w:firstLineChars="200"/>
        <w:rPr>
          <w:rFonts w:ascii="宋体" w:hAnsi="宋体" w:cs="宋体"/>
        </w:rPr>
      </w:pPr>
    </w:p>
    <w:p w14:paraId="2E83B491">
      <w:pPr>
        <w:spacing w:line="400" w:lineRule="exact"/>
        <w:jc w:val="left"/>
        <w:rPr>
          <w:rFonts w:ascii="宋体" w:hAnsi="宋体" w:cs="宋体"/>
          <w:szCs w:val="21"/>
        </w:rPr>
      </w:pPr>
      <w:r>
        <w:rPr>
          <w:rFonts w:hint="eastAsia" w:ascii="宋体" w:hAnsi="宋体" w:cs="宋体"/>
          <w:szCs w:val="21"/>
        </w:rPr>
        <w:t>供应商（盖章）：</w:t>
      </w:r>
    </w:p>
    <w:p w14:paraId="7751780C">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5DEE6A51">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中小企业声明函（适用于标项十一）</w:t>
      </w:r>
    </w:p>
    <w:p w14:paraId="64C2D4B8">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56BB2F71">
      <w:pPr>
        <w:spacing w:line="400" w:lineRule="exact"/>
        <w:ind w:firstLine="420" w:firstLineChars="200"/>
        <w:rPr>
          <w:rFonts w:ascii="宋体" w:hAnsi="宋体" w:cs="宋体"/>
        </w:rPr>
      </w:pPr>
      <w:r>
        <w:rPr>
          <w:rFonts w:hint="eastAsia" w:ascii="宋体" w:hAnsi="宋体" w:cs="宋体"/>
          <w:u w:val="single"/>
        </w:rPr>
        <w:t xml:space="preserve"> 燕递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4D42D810">
      <w:pPr>
        <w:spacing w:line="400" w:lineRule="exact"/>
        <w:ind w:firstLine="420" w:firstLineChars="200"/>
        <w:rPr>
          <w:rFonts w:ascii="宋体" w:hAnsi="宋体" w:cs="宋体"/>
        </w:rPr>
      </w:pPr>
      <w:r>
        <w:rPr>
          <w:rFonts w:hint="eastAsia" w:ascii="宋体" w:hAnsi="宋体" w:cs="宋体"/>
        </w:rPr>
        <w:t>......</w:t>
      </w:r>
    </w:p>
    <w:p w14:paraId="33B05A5E">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E08DFC3">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4D3BB497">
      <w:pPr>
        <w:spacing w:line="400" w:lineRule="exact"/>
        <w:ind w:firstLine="420" w:firstLineChars="200"/>
        <w:rPr>
          <w:rFonts w:ascii="宋体" w:hAnsi="宋体" w:cs="宋体"/>
        </w:rPr>
      </w:pPr>
    </w:p>
    <w:p w14:paraId="22E12450">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1AE4A20">
      <w:pPr>
        <w:spacing w:line="400" w:lineRule="exact"/>
        <w:ind w:firstLine="420" w:firstLineChars="200"/>
        <w:rPr>
          <w:rFonts w:ascii="宋体" w:hAnsi="宋体" w:cs="宋体"/>
        </w:rPr>
      </w:pPr>
    </w:p>
    <w:p w14:paraId="268FFD4B">
      <w:pPr>
        <w:spacing w:line="400" w:lineRule="exact"/>
        <w:jc w:val="left"/>
        <w:rPr>
          <w:rFonts w:ascii="宋体" w:hAnsi="宋体" w:cs="宋体"/>
          <w:szCs w:val="21"/>
        </w:rPr>
      </w:pPr>
      <w:r>
        <w:rPr>
          <w:rFonts w:hint="eastAsia" w:ascii="宋体" w:hAnsi="宋体" w:cs="宋体"/>
          <w:szCs w:val="21"/>
        </w:rPr>
        <w:t>供应商（盖章）：</w:t>
      </w:r>
    </w:p>
    <w:p w14:paraId="11E53401">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556B0932">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中小企业声明函（适用于标项十二）</w:t>
      </w:r>
    </w:p>
    <w:p w14:paraId="445D4A36">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23E52341">
      <w:pPr>
        <w:spacing w:line="400" w:lineRule="exact"/>
        <w:ind w:firstLine="420" w:firstLineChars="200"/>
        <w:rPr>
          <w:rFonts w:ascii="宋体" w:hAnsi="宋体" w:cs="宋体"/>
        </w:rPr>
      </w:pPr>
      <w:r>
        <w:rPr>
          <w:rFonts w:hint="eastAsia" w:ascii="宋体" w:hAnsi="宋体" w:cs="宋体"/>
          <w:u w:val="single"/>
        </w:rPr>
        <w:t xml:space="preserve"> 未来学堂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BC0D5D2">
      <w:pPr>
        <w:spacing w:line="400" w:lineRule="exact"/>
        <w:ind w:firstLine="420" w:firstLineChars="200"/>
        <w:rPr>
          <w:rFonts w:ascii="宋体" w:hAnsi="宋体" w:cs="宋体"/>
        </w:rPr>
      </w:pPr>
      <w:r>
        <w:rPr>
          <w:rFonts w:hint="eastAsia" w:ascii="宋体" w:hAnsi="宋体" w:cs="宋体"/>
        </w:rPr>
        <w:t>......</w:t>
      </w:r>
    </w:p>
    <w:p w14:paraId="0600FD0F">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54F7FBD">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00646FDF">
      <w:pPr>
        <w:spacing w:line="400" w:lineRule="exact"/>
        <w:ind w:firstLine="420" w:firstLineChars="200"/>
        <w:rPr>
          <w:rFonts w:ascii="宋体" w:hAnsi="宋体" w:cs="宋体"/>
        </w:rPr>
      </w:pPr>
    </w:p>
    <w:p w14:paraId="71BB133F">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5B653E5">
      <w:pPr>
        <w:spacing w:line="400" w:lineRule="exact"/>
        <w:ind w:firstLine="420" w:firstLineChars="200"/>
        <w:rPr>
          <w:rFonts w:ascii="宋体" w:hAnsi="宋体" w:cs="宋体"/>
        </w:rPr>
      </w:pPr>
    </w:p>
    <w:p w14:paraId="0BBB4861">
      <w:pPr>
        <w:spacing w:line="400" w:lineRule="exact"/>
        <w:jc w:val="left"/>
        <w:rPr>
          <w:rFonts w:ascii="宋体" w:hAnsi="宋体" w:cs="宋体"/>
          <w:szCs w:val="21"/>
        </w:rPr>
      </w:pPr>
      <w:r>
        <w:rPr>
          <w:rFonts w:hint="eastAsia" w:ascii="宋体" w:hAnsi="宋体" w:cs="宋体"/>
          <w:szCs w:val="21"/>
        </w:rPr>
        <w:t>供应商（盖章）：</w:t>
      </w:r>
    </w:p>
    <w:p w14:paraId="2E7F2A66">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578AFC6A">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中小企业声明函（适用于标项十三）</w:t>
      </w:r>
    </w:p>
    <w:p w14:paraId="7EB6313B">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50B93CB5">
      <w:pPr>
        <w:spacing w:line="400" w:lineRule="exact"/>
        <w:ind w:firstLine="420" w:firstLineChars="200"/>
        <w:rPr>
          <w:rFonts w:ascii="宋体" w:hAnsi="宋体" w:cs="宋体"/>
        </w:rPr>
      </w:pPr>
      <w:r>
        <w:rPr>
          <w:rFonts w:hint="eastAsia" w:ascii="宋体" w:hAnsi="宋体" w:cs="宋体"/>
          <w:u w:val="single"/>
        </w:rPr>
        <w:t xml:space="preserve"> ProQuest Central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92F1BF9">
      <w:pPr>
        <w:spacing w:line="400" w:lineRule="exact"/>
        <w:ind w:firstLine="420" w:firstLineChars="200"/>
        <w:rPr>
          <w:rFonts w:ascii="宋体" w:hAnsi="宋体" w:cs="宋体"/>
        </w:rPr>
      </w:pPr>
      <w:r>
        <w:rPr>
          <w:rFonts w:hint="eastAsia" w:ascii="宋体" w:hAnsi="宋体" w:cs="宋体"/>
        </w:rPr>
        <w:t>......</w:t>
      </w:r>
    </w:p>
    <w:p w14:paraId="790CD0AB">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159648A">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B0EC203">
      <w:pPr>
        <w:spacing w:line="400" w:lineRule="exact"/>
        <w:ind w:firstLine="420" w:firstLineChars="200"/>
        <w:rPr>
          <w:rFonts w:ascii="宋体" w:hAnsi="宋体" w:cs="宋体"/>
        </w:rPr>
      </w:pPr>
    </w:p>
    <w:p w14:paraId="20C95C6A">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27A5169C">
      <w:pPr>
        <w:spacing w:line="400" w:lineRule="exact"/>
        <w:ind w:firstLine="420" w:firstLineChars="200"/>
        <w:rPr>
          <w:rFonts w:ascii="宋体" w:hAnsi="宋体" w:cs="宋体"/>
        </w:rPr>
      </w:pPr>
    </w:p>
    <w:p w14:paraId="361F1FD2">
      <w:pPr>
        <w:spacing w:line="400" w:lineRule="exact"/>
        <w:jc w:val="left"/>
        <w:rPr>
          <w:rFonts w:ascii="宋体" w:hAnsi="宋体" w:cs="宋体"/>
          <w:szCs w:val="21"/>
        </w:rPr>
      </w:pPr>
      <w:r>
        <w:rPr>
          <w:rFonts w:hint="eastAsia" w:ascii="宋体" w:hAnsi="宋体" w:cs="宋体"/>
          <w:szCs w:val="21"/>
        </w:rPr>
        <w:t>供应商（盖章）：</w:t>
      </w:r>
    </w:p>
    <w:p w14:paraId="32221EA9">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54A0782A">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中小企业声明函（适用于标项十四）</w:t>
      </w:r>
    </w:p>
    <w:p w14:paraId="743E850A">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2687BCD3">
      <w:pPr>
        <w:spacing w:line="400" w:lineRule="exact"/>
        <w:ind w:firstLine="420" w:firstLineChars="200"/>
        <w:rPr>
          <w:rFonts w:ascii="宋体" w:hAnsi="宋体" w:cs="宋体"/>
        </w:rPr>
      </w:pPr>
      <w:r>
        <w:rPr>
          <w:rFonts w:hint="eastAsia" w:ascii="宋体" w:hAnsi="宋体" w:cs="宋体"/>
          <w:u w:val="single"/>
        </w:rPr>
        <w:t xml:space="preserve"> 世界艺术鉴赏库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43A0432D">
      <w:pPr>
        <w:spacing w:line="400" w:lineRule="exact"/>
        <w:ind w:firstLine="420" w:firstLineChars="200"/>
        <w:rPr>
          <w:rFonts w:ascii="宋体" w:hAnsi="宋体" w:cs="宋体"/>
        </w:rPr>
      </w:pPr>
      <w:r>
        <w:rPr>
          <w:rFonts w:hint="eastAsia" w:ascii="宋体" w:hAnsi="宋体" w:cs="宋体"/>
        </w:rPr>
        <w:t>......</w:t>
      </w:r>
    </w:p>
    <w:p w14:paraId="6A99414A">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42A3919">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0888C56">
      <w:pPr>
        <w:spacing w:line="400" w:lineRule="exact"/>
        <w:ind w:firstLine="420" w:firstLineChars="200"/>
        <w:rPr>
          <w:rFonts w:ascii="宋体" w:hAnsi="宋体" w:cs="宋体"/>
        </w:rPr>
      </w:pPr>
    </w:p>
    <w:p w14:paraId="44DA806F">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1F7E6A8A">
      <w:pPr>
        <w:spacing w:line="400" w:lineRule="exact"/>
        <w:ind w:firstLine="420" w:firstLineChars="200"/>
        <w:rPr>
          <w:rFonts w:ascii="宋体" w:hAnsi="宋体" w:cs="宋体"/>
        </w:rPr>
      </w:pPr>
    </w:p>
    <w:p w14:paraId="10556266">
      <w:pPr>
        <w:spacing w:line="400" w:lineRule="exact"/>
        <w:jc w:val="left"/>
        <w:rPr>
          <w:rFonts w:ascii="宋体" w:hAnsi="宋体" w:cs="宋体"/>
          <w:szCs w:val="21"/>
        </w:rPr>
      </w:pPr>
      <w:r>
        <w:rPr>
          <w:rFonts w:hint="eastAsia" w:ascii="宋体" w:hAnsi="宋体" w:cs="宋体"/>
          <w:szCs w:val="21"/>
        </w:rPr>
        <w:t>供应商（盖章）：</w:t>
      </w:r>
    </w:p>
    <w:p w14:paraId="0C5EA21D">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4E1FFDEE">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中小企业声明函（适用于标项十五）</w:t>
      </w:r>
    </w:p>
    <w:p w14:paraId="7714C680">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0EC82923">
      <w:pPr>
        <w:spacing w:line="400" w:lineRule="exact"/>
        <w:ind w:firstLine="420" w:firstLineChars="200"/>
        <w:rPr>
          <w:rFonts w:ascii="宋体" w:hAnsi="宋体" w:cs="宋体"/>
        </w:rPr>
      </w:pPr>
      <w:r>
        <w:rPr>
          <w:rFonts w:hint="eastAsia" w:ascii="宋体" w:hAnsi="宋体" w:cs="宋体"/>
          <w:u w:val="single"/>
        </w:rPr>
        <w:t xml:space="preserve"> 智慧芽AI技术分析Eureka2.0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2D0A4D82">
      <w:pPr>
        <w:spacing w:line="400" w:lineRule="exact"/>
        <w:ind w:firstLine="420" w:firstLineChars="200"/>
        <w:rPr>
          <w:rFonts w:ascii="宋体" w:hAnsi="宋体" w:cs="宋体"/>
        </w:rPr>
      </w:pPr>
      <w:r>
        <w:rPr>
          <w:rFonts w:hint="eastAsia" w:ascii="宋体" w:hAnsi="宋体" w:cs="宋体"/>
        </w:rPr>
        <w:t>......</w:t>
      </w:r>
    </w:p>
    <w:p w14:paraId="2E98CDE4">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5AD3614">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126D3E8E">
      <w:pPr>
        <w:spacing w:line="400" w:lineRule="exact"/>
        <w:ind w:firstLine="420" w:firstLineChars="200"/>
        <w:rPr>
          <w:rFonts w:ascii="宋体" w:hAnsi="宋体" w:cs="宋体"/>
        </w:rPr>
      </w:pPr>
    </w:p>
    <w:p w14:paraId="0DF96B8C">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0C45372E">
      <w:pPr>
        <w:spacing w:line="400" w:lineRule="exact"/>
        <w:ind w:firstLine="420" w:firstLineChars="200"/>
        <w:rPr>
          <w:rFonts w:ascii="宋体" w:hAnsi="宋体" w:cs="宋体"/>
        </w:rPr>
      </w:pPr>
    </w:p>
    <w:p w14:paraId="5AFB89E8">
      <w:pPr>
        <w:spacing w:line="400" w:lineRule="exact"/>
        <w:jc w:val="left"/>
        <w:rPr>
          <w:rFonts w:ascii="宋体" w:hAnsi="宋体" w:cs="宋体"/>
          <w:szCs w:val="21"/>
        </w:rPr>
      </w:pPr>
      <w:r>
        <w:rPr>
          <w:rFonts w:hint="eastAsia" w:ascii="宋体" w:hAnsi="宋体" w:cs="宋体"/>
          <w:szCs w:val="21"/>
        </w:rPr>
        <w:t>供应商（盖章）：</w:t>
      </w:r>
    </w:p>
    <w:p w14:paraId="6AB36B05">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351EFCBB">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中小企业声明函（适用于标项十六）</w:t>
      </w:r>
    </w:p>
    <w:p w14:paraId="1698A89C">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5589F3B7">
      <w:pPr>
        <w:spacing w:line="400" w:lineRule="exact"/>
        <w:ind w:firstLine="420" w:firstLineChars="200"/>
        <w:rPr>
          <w:rFonts w:ascii="宋体" w:hAnsi="宋体" w:cs="宋体"/>
        </w:rPr>
      </w:pPr>
      <w:r>
        <w:rPr>
          <w:rFonts w:hint="eastAsia" w:ascii="宋体" w:hAnsi="宋体" w:cs="宋体"/>
          <w:u w:val="single"/>
        </w:rPr>
        <w:t xml:space="preserve"> 华知·文鉴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367039BC">
      <w:pPr>
        <w:spacing w:line="400" w:lineRule="exact"/>
        <w:ind w:firstLine="420" w:firstLineChars="200"/>
        <w:rPr>
          <w:rFonts w:ascii="宋体" w:hAnsi="宋体" w:cs="宋体"/>
        </w:rPr>
      </w:pPr>
      <w:r>
        <w:rPr>
          <w:rFonts w:hint="eastAsia" w:ascii="宋体" w:hAnsi="宋体" w:cs="宋体"/>
        </w:rPr>
        <w:t>......</w:t>
      </w:r>
    </w:p>
    <w:p w14:paraId="6572201E">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E55E73B">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480A28B">
      <w:pPr>
        <w:spacing w:line="400" w:lineRule="exact"/>
        <w:ind w:firstLine="420" w:firstLineChars="200"/>
        <w:rPr>
          <w:rFonts w:ascii="宋体" w:hAnsi="宋体" w:cs="宋体"/>
        </w:rPr>
      </w:pPr>
    </w:p>
    <w:p w14:paraId="18DB4E9A">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2C5F95D4">
      <w:pPr>
        <w:spacing w:line="400" w:lineRule="exact"/>
        <w:ind w:firstLine="420" w:firstLineChars="200"/>
        <w:rPr>
          <w:rFonts w:ascii="宋体" w:hAnsi="宋体" w:cs="宋体"/>
        </w:rPr>
      </w:pPr>
    </w:p>
    <w:p w14:paraId="2FE3AFE7">
      <w:pPr>
        <w:spacing w:line="400" w:lineRule="exact"/>
        <w:jc w:val="left"/>
        <w:rPr>
          <w:rFonts w:ascii="宋体" w:hAnsi="宋体" w:cs="宋体"/>
          <w:szCs w:val="21"/>
        </w:rPr>
      </w:pPr>
      <w:r>
        <w:rPr>
          <w:rFonts w:hint="eastAsia" w:ascii="宋体" w:hAnsi="宋体" w:cs="宋体"/>
          <w:szCs w:val="21"/>
        </w:rPr>
        <w:t>供应商（盖章）：</w:t>
      </w:r>
    </w:p>
    <w:p w14:paraId="0D17F3E1">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5F2DD0E3">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中小企业声明函（适用于标项十七）</w:t>
      </w:r>
    </w:p>
    <w:p w14:paraId="2080D86A">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5354A888">
      <w:pPr>
        <w:spacing w:line="400" w:lineRule="exact"/>
        <w:ind w:firstLine="420" w:firstLineChars="200"/>
        <w:rPr>
          <w:rFonts w:ascii="宋体" w:hAnsi="宋体" w:cs="宋体"/>
        </w:rPr>
      </w:pPr>
      <w:r>
        <w:rPr>
          <w:rFonts w:hint="eastAsia" w:ascii="宋体" w:hAnsi="宋体" w:cs="宋体"/>
          <w:u w:val="single"/>
        </w:rPr>
        <w:t xml:space="preserve"> 大为全球专利检索分析系统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CB47DB6">
      <w:pPr>
        <w:spacing w:line="400" w:lineRule="exact"/>
        <w:ind w:firstLine="420" w:firstLineChars="200"/>
        <w:rPr>
          <w:rFonts w:ascii="宋体" w:hAnsi="宋体" w:cs="宋体"/>
        </w:rPr>
      </w:pPr>
      <w:r>
        <w:rPr>
          <w:rFonts w:hint="eastAsia" w:ascii="宋体" w:hAnsi="宋体" w:cs="宋体"/>
        </w:rPr>
        <w:t>......</w:t>
      </w:r>
    </w:p>
    <w:p w14:paraId="4D208BE4">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2EB74E1">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62F29E9">
      <w:pPr>
        <w:spacing w:line="400" w:lineRule="exact"/>
        <w:ind w:firstLine="420" w:firstLineChars="200"/>
        <w:rPr>
          <w:rFonts w:ascii="宋体" w:hAnsi="宋体" w:cs="宋体"/>
        </w:rPr>
      </w:pPr>
    </w:p>
    <w:p w14:paraId="033B9AE1">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EFD6645">
      <w:pPr>
        <w:spacing w:line="400" w:lineRule="exact"/>
        <w:ind w:firstLine="420" w:firstLineChars="200"/>
        <w:rPr>
          <w:rFonts w:ascii="宋体" w:hAnsi="宋体" w:cs="宋体"/>
        </w:rPr>
      </w:pPr>
    </w:p>
    <w:p w14:paraId="3FE4CF91">
      <w:pPr>
        <w:spacing w:line="400" w:lineRule="exact"/>
        <w:jc w:val="left"/>
        <w:rPr>
          <w:rFonts w:ascii="宋体" w:hAnsi="宋体" w:cs="宋体"/>
          <w:szCs w:val="21"/>
        </w:rPr>
      </w:pPr>
      <w:r>
        <w:rPr>
          <w:rFonts w:hint="eastAsia" w:ascii="宋体" w:hAnsi="宋体" w:cs="宋体"/>
          <w:szCs w:val="21"/>
        </w:rPr>
        <w:t>供应商（盖章）：</w:t>
      </w:r>
    </w:p>
    <w:p w14:paraId="615FB34F">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00D72E5F">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中小企业声明函（适用于标项十八）</w:t>
      </w:r>
    </w:p>
    <w:p w14:paraId="2F6CDC87">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1AFF159">
      <w:pPr>
        <w:spacing w:line="400" w:lineRule="exact"/>
        <w:ind w:firstLine="420" w:firstLineChars="200"/>
        <w:rPr>
          <w:rFonts w:ascii="宋体" w:hAnsi="宋体" w:cs="宋体"/>
        </w:rPr>
      </w:pPr>
      <w:r>
        <w:rPr>
          <w:rFonts w:hint="eastAsia" w:ascii="宋体" w:hAnsi="宋体" w:cs="宋体"/>
          <w:u w:val="single"/>
        </w:rPr>
        <w:t xml:space="preserve"> 泛研全球科研项目数据库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1A0BC35F">
      <w:pPr>
        <w:spacing w:line="400" w:lineRule="exact"/>
        <w:ind w:firstLine="420" w:firstLineChars="200"/>
        <w:rPr>
          <w:rFonts w:ascii="宋体" w:hAnsi="宋体" w:cs="宋体"/>
        </w:rPr>
      </w:pPr>
      <w:r>
        <w:rPr>
          <w:rFonts w:hint="eastAsia" w:ascii="宋体" w:hAnsi="宋体" w:cs="宋体"/>
        </w:rPr>
        <w:t>......</w:t>
      </w:r>
    </w:p>
    <w:p w14:paraId="4AEB93B0">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06F2BE7">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ACE4E3B">
      <w:pPr>
        <w:spacing w:line="400" w:lineRule="exact"/>
        <w:ind w:firstLine="420" w:firstLineChars="200"/>
        <w:rPr>
          <w:rFonts w:ascii="宋体" w:hAnsi="宋体" w:cs="宋体"/>
        </w:rPr>
      </w:pPr>
    </w:p>
    <w:p w14:paraId="26C2ED99">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6901C14">
      <w:pPr>
        <w:spacing w:line="400" w:lineRule="exact"/>
        <w:ind w:firstLine="420" w:firstLineChars="200"/>
        <w:rPr>
          <w:rFonts w:ascii="宋体" w:hAnsi="宋体" w:cs="宋体"/>
        </w:rPr>
      </w:pPr>
    </w:p>
    <w:p w14:paraId="35A99DD6">
      <w:pPr>
        <w:spacing w:line="400" w:lineRule="exact"/>
        <w:jc w:val="left"/>
        <w:rPr>
          <w:rFonts w:ascii="宋体" w:hAnsi="宋体" w:cs="宋体"/>
          <w:szCs w:val="21"/>
        </w:rPr>
      </w:pPr>
      <w:r>
        <w:rPr>
          <w:rFonts w:hint="eastAsia" w:ascii="宋体" w:hAnsi="宋体" w:cs="宋体"/>
          <w:szCs w:val="21"/>
        </w:rPr>
        <w:t>供应商（盖章）：</w:t>
      </w:r>
    </w:p>
    <w:p w14:paraId="041FEDCF">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2D8F01B8">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中小企业声明函（适用于标项十九）</w:t>
      </w:r>
    </w:p>
    <w:p w14:paraId="2038B268">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0CC6C756">
      <w:pPr>
        <w:spacing w:line="400" w:lineRule="exact"/>
        <w:ind w:firstLine="420" w:firstLineChars="200"/>
        <w:rPr>
          <w:rFonts w:ascii="宋体" w:hAnsi="宋体" w:cs="宋体"/>
        </w:rPr>
      </w:pPr>
      <w:r>
        <w:rPr>
          <w:rFonts w:hint="eastAsia" w:ascii="宋体" w:hAnsi="宋体" w:cs="宋体"/>
          <w:u w:val="single"/>
        </w:rPr>
        <w:t xml:space="preserve"> Ai HUB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48E9ED6D">
      <w:pPr>
        <w:spacing w:line="400" w:lineRule="exact"/>
        <w:ind w:firstLine="420" w:firstLineChars="200"/>
        <w:rPr>
          <w:rFonts w:ascii="宋体" w:hAnsi="宋体" w:cs="宋体"/>
        </w:rPr>
      </w:pPr>
      <w:r>
        <w:rPr>
          <w:rFonts w:hint="eastAsia" w:ascii="宋体" w:hAnsi="宋体" w:cs="宋体"/>
        </w:rPr>
        <w:t>......</w:t>
      </w:r>
    </w:p>
    <w:p w14:paraId="66E67EA0">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CBAF62B">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6E2DEDF">
      <w:pPr>
        <w:spacing w:line="400" w:lineRule="exact"/>
        <w:ind w:firstLine="420" w:firstLineChars="200"/>
        <w:rPr>
          <w:rFonts w:ascii="宋体" w:hAnsi="宋体" w:cs="宋体"/>
        </w:rPr>
      </w:pPr>
    </w:p>
    <w:p w14:paraId="1A43EDCB">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833789C">
      <w:pPr>
        <w:spacing w:line="400" w:lineRule="exact"/>
        <w:ind w:firstLine="420" w:firstLineChars="200"/>
        <w:rPr>
          <w:rFonts w:ascii="宋体" w:hAnsi="宋体" w:cs="宋体"/>
        </w:rPr>
      </w:pPr>
    </w:p>
    <w:p w14:paraId="454342F2">
      <w:pPr>
        <w:spacing w:line="400" w:lineRule="exact"/>
        <w:jc w:val="left"/>
        <w:rPr>
          <w:rFonts w:ascii="宋体" w:hAnsi="宋体" w:cs="宋体"/>
          <w:szCs w:val="21"/>
        </w:rPr>
      </w:pPr>
      <w:r>
        <w:rPr>
          <w:rFonts w:hint="eastAsia" w:ascii="宋体" w:hAnsi="宋体" w:cs="宋体"/>
          <w:szCs w:val="21"/>
        </w:rPr>
        <w:t>供应商（盖章）：</w:t>
      </w:r>
    </w:p>
    <w:p w14:paraId="43458653">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448B80DF">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w:t>
      </w:r>
    </w:p>
    <w:p w14:paraId="38F2F9A6">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3D92646">
      <w:pPr>
        <w:spacing w:line="400" w:lineRule="exact"/>
        <w:ind w:firstLine="420" w:firstLineChars="200"/>
        <w:rPr>
          <w:rFonts w:ascii="宋体" w:hAnsi="宋体" w:cs="宋体"/>
        </w:rPr>
      </w:pPr>
      <w:r>
        <w:rPr>
          <w:rFonts w:hint="eastAsia" w:ascii="宋体" w:hAnsi="宋体" w:cs="宋体"/>
          <w:u w:val="single"/>
        </w:rPr>
        <w:t xml:space="preserve"> ERS资源利用绩效分析平台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76FE0213">
      <w:pPr>
        <w:spacing w:line="400" w:lineRule="exact"/>
        <w:ind w:firstLine="420" w:firstLineChars="200"/>
        <w:rPr>
          <w:rFonts w:ascii="宋体" w:hAnsi="宋体" w:cs="宋体"/>
        </w:rPr>
      </w:pPr>
      <w:r>
        <w:rPr>
          <w:rFonts w:hint="eastAsia" w:ascii="宋体" w:hAnsi="宋体" w:cs="宋体"/>
        </w:rPr>
        <w:t>......</w:t>
      </w:r>
    </w:p>
    <w:p w14:paraId="0C764653">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4C7A78E">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625046A">
      <w:pPr>
        <w:spacing w:line="400" w:lineRule="exact"/>
        <w:ind w:firstLine="420" w:firstLineChars="200"/>
        <w:rPr>
          <w:rFonts w:ascii="宋体" w:hAnsi="宋体" w:cs="宋体"/>
        </w:rPr>
      </w:pPr>
    </w:p>
    <w:p w14:paraId="6AF5B540">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4BAEC90">
      <w:pPr>
        <w:spacing w:line="400" w:lineRule="exact"/>
        <w:ind w:firstLine="420" w:firstLineChars="200"/>
        <w:rPr>
          <w:rFonts w:ascii="宋体" w:hAnsi="宋体" w:cs="宋体"/>
        </w:rPr>
      </w:pPr>
    </w:p>
    <w:p w14:paraId="78366D40">
      <w:pPr>
        <w:spacing w:line="400" w:lineRule="exact"/>
        <w:jc w:val="left"/>
        <w:rPr>
          <w:rFonts w:ascii="宋体" w:hAnsi="宋体" w:cs="宋体"/>
          <w:szCs w:val="21"/>
        </w:rPr>
      </w:pPr>
      <w:r>
        <w:rPr>
          <w:rFonts w:hint="eastAsia" w:ascii="宋体" w:hAnsi="宋体" w:cs="宋体"/>
          <w:szCs w:val="21"/>
        </w:rPr>
        <w:t>供应商（盖章）：</w:t>
      </w:r>
    </w:p>
    <w:p w14:paraId="6FC828E4">
      <w:pPr>
        <w:spacing w:line="400" w:lineRule="exact"/>
        <w:jc w:val="left"/>
        <w:rPr>
          <w:rFonts w:ascii="宋体" w:hAnsi="宋体" w:cs="宋体"/>
          <w:szCs w:val="21"/>
        </w:rPr>
      </w:pPr>
      <w:r>
        <w:rPr>
          <w:rFonts w:hint="eastAsia" w:ascii="宋体" w:hAnsi="宋体" w:cs="宋体"/>
          <w:szCs w:val="21"/>
        </w:rPr>
        <w:t>日          期：</w:t>
      </w:r>
    </w:p>
    <w:p w14:paraId="4E0BCA0D">
      <w:pPr>
        <w:rPr>
          <w:rFonts w:ascii="宋体" w:hAnsi="宋体" w:cs="宋体"/>
          <w:szCs w:val="21"/>
        </w:rPr>
      </w:pPr>
      <w:r>
        <w:rPr>
          <w:rFonts w:hint="eastAsia" w:ascii="宋体" w:hAnsi="宋体" w:cs="宋体"/>
          <w:szCs w:val="21"/>
        </w:rPr>
        <w:br w:type="page"/>
      </w:r>
    </w:p>
    <w:p w14:paraId="6F0F5ECF">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中小企业声明函（适用于标项二十一）</w:t>
      </w:r>
    </w:p>
    <w:p w14:paraId="06A61EB7">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57360AD4">
      <w:pPr>
        <w:spacing w:line="400" w:lineRule="exact"/>
        <w:ind w:firstLine="420" w:firstLineChars="200"/>
        <w:rPr>
          <w:rFonts w:ascii="宋体" w:hAnsi="宋体" w:cs="宋体"/>
        </w:rPr>
      </w:pPr>
      <w:r>
        <w:rPr>
          <w:rFonts w:hint="eastAsia" w:ascii="宋体" w:hAnsi="宋体" w:cs="宋体"/>
          <w:u w:val="single"/>
        </w:rPr>
        <w:t xml:space="preserve"> 雅乐经典视频数据库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9A28779">
      <w:pPr>
        <w:spacing w:line="400" w:lineRule="exact"/>
        <w:ind w:firstLine="420" w:firstLineChars="200"/>
        <w:rPr>
          <w:rFonts w:ascii="宋体" w:hAnsi="宋体" w:cs="宋体"/>
        </w:rPr>
      </w:pPr>
      <w:r>
        <w:rPr>
          <w:rFonts w:hint="eastAsia" w:ascii="宋体" w:hAnsi="宋体" w:cs="宋体"/>
        </w:rPr>
        <w:t>......</w:t>
      </w:r>
    </w:p>
    <w:p w14:paraId="7778B2E1">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BCF8EEC">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B010ED0">
      <w:pPr>
        <w:spacing w:line="400" w:lineRule="exact"/>
        <w:ind w:firstLine="420" w:firstLineChars="200"/>
        <w:rPr>
          <w:rFonts w:ascii="宋体" w:hAnsi="宋体" w:cs="宋体"/>
        </w:rPr>
      </w:pPr>
    </w:p>
    <w:p w14:paraId="2B9C2F2A">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04311CD5">
      <w:pPr>
        <w:spacing w:line="400" w:lineRule="exact"/>
        <w:ind w:firstLine="420" w:firstLineChars="200"/>
        <w:rPr>
          <w:rFonts w:ascii="宋体" w:hAnsi="宋体" w:cs="宋体"/>
        </w:rPr>
      </w:pPr>
    </w:p>
    <w:p w14:paraId="4E7745A1">
      <w:pPr>
        <w:spacing w:line="400" w:lineRule="exact"/>
        <w:jc w:val="left"/>
        <w:rPr>
          <w:rFonts w:ascii="宋体" w:hAnsi="宋体" w:cs="宋体"/>
          <w:szCs w:val="21"/>
        </w:rPr>
      </w:pPr>
      <w:r>
        <w:rPr>
          <w:rFonts w:hint="eastAsia" w:ascii="宋体" w:hAnsi="宋体" w:cs="宋体"/>
          <w:szCs w:val="21"/>
        </w:rPr>
        <w:t>供应商（盖章）：</w:t>
      </w:r>
    </w:p>
    <w:p w14:paraId="0BCCA2A8">
      <w:pPr>
        <w:spacing w:line="400" w:lineRule="exact"/>
        <w:jc w:val="left"/>
        <w:rPr>
          <w:rFonts w:ascii="宋体" w:hAnsi="宋体" w:cs="宋体"/>
          <w:szCs w:val="21"/>
        </w:rPr>
      </w:pPr>
      <w:r>
        <w:rPr>
          <w:rFonts w:hint="eastAsia" w:ascii="宋体" w:hAnsi="宋体" w:cs="宋体"/>
          <w:szCs w:val="21"/>
        </w:rPr>
        <w:t>日          期：</w:t>
      </w:r>
    </w:p>
    <w:p w14:paraId="51521518">
      <w:pPr>
        <w:rPr>
          <w:rFonts w:ascii="宋体" w:hAnsi="宋体" w:cs="宋体"/>
          <w:szCs w:val="21"/>
        </w:rPr>
      </w:pPr>
      <w:r>
        <w:rPr>
          <w:rFonts w:hint="eastAsia" w:ascii="宋体" w:hAnsi="宋体" w:cs="宋体"/>
          <w:szCs w:val="21"/>
        </w:rPr>
        <w:br w:type="page"/>
      </w:r>
    </w:p>
    <w:p w14:paraId="7FC77E14">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中小企业声明函（适用于标项二十二）</w:t>
      </w:r>
    </w:p>
    <w:p w14:paraId="2A281FA4">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748A590A">
      <w:pPr>
        <w:spacing w:line="400" w:lineRule="exact"/>
        <w:ind w:firstLine="420" w:firstLineChars="200"/>
        <w:rPr>
          <w:rFonts w:ascii="宋体" w:hAnsi="宋体" w:cs="宋体"/>
        </w:rPr>
      </w:pPr>
      <w:r>
        <w:rPr>
          <w:rFonts w:hint="eastAsia" w:ascii="宋体" w:hAnsi="宋体" w:cs="宋体"/>
          <w:u w:val="single"/>
        </w:rPr>
        <w:t xml:space="preserve"> NoteExpress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34CD9AD">
      <w:pPr>
        <w:spacing w:line="400" w:lineRule="exact"/>
        <w:ind w:firstLine="420" w:firstLineChars="200"/>
        <w:rPr>
          <w:rFonts w:ascii="宋体" w:hAnsi="宋体" w:cs="宋体"/>
        </w:rPr>
      </w:pPr>
      <w:r>
        <w:rPr>
          <w:rFonts w:hint="eastAsia" w:ascii="宋体" w:hAnsi="宋体" w:cs="宋体"/>
        </w:rPr>
        <w:t>......</w:t>
      </w:r>
    </w:p>
    <w:p w14:paraId="6CAA0AC7">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6DD99D6">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DC0EBAC">
      <w:pPr>
        <w:spacing w:line="400" w:lineRule="exact"/>
        <w:ind w:firstLine="420" w:firstLineChars="200"/>
        <w:rPr>
          <w:rFonts w:ascii="宋体" w:hAnsi="宋体" w:cs="宋体"/>
        </w:rPr>
      </w:pPr>
    </w:p>
    <w:p w14:paraId="043396EF">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2A60055A">
      <w:pPr>
        <w:spacing w:line="400" w:lineRule="exact"/>
        <w:ind w:firstLine="420" w:firstLineChars="200"/>
        <w:rPr>
          <w:rFonts w:ascii="宋体" w:hAnsi="宋体" w:cs="宋体"/>
        </w:rPr>
      </w:pPr>
    </w:p>
    <w:p w14:paraId="7CECD8EE">
      <w:pPr>
        <w:spacing w:line="400" w:lineRule="exact"/>
        <w:jc w:val="left"/>
        <w:rPr>
          <w:rFonts w:ascii="宋体" w:hAnsi="宋体" w:cs="宋体"/>
          <w:szCs w:val="21"/>
        </w:rPr>
      </w:pPr>
      <w:r>
        <w:rPr>
          <w:rFonts w:hint="eastAsia" w:ascii="宋体" w:hAnsi="宋体" w:cs="宋体"/>
          <w:szCs w:val="21"/>
        </w:rPr>
        <w:t>供应商（盖章）：</w:t>
      </w:r>
    </w:p>
    <w:p w14:paraId="73798F22">
      <w:pPr>
        <w:spacing w:line="400" w:lineRule="exact"/>
        <w:jc w:val="left"/>
        <w:rPr>
          <w:rFonts w:ascii="宋体" w:hAnsi="宋体" w:cs="宋体"/>
          <w:szCs w:val="21"/>
        </w:rPr>
      </w:pPr>
      <w:r>
        <w:rPr>
          <w:rFonts w:hint="eastAsia" w:ascii="宋体" w:hAnsi="宋体" w:cs="宋体"/>
          <w:szCs w:val="21"/>
        </w:rPr>
        <w:t>日          期：</w:t>
      </w:r>
    </w:p>
    <w:p w14:paraId="63295782">
      <w:pPr>
        <w:rPr>
          <w:rFonts w:ascii="宋体" w:hAnsi="宋体" w:cs="宋体"/>
          <w:szCs w:val="21"/>
        </w:rPr>
      </w:pPr>
      <w:r>
        <w:rPr>
          <w:rFonts w:hint="eastAsia" w:ascii="宋体" w:hAnsi="宋体" w:cs="宋体"/>
          <w:szCs w:val="21"/>
        </w:rPr>
        <w:br w:type="page"/>
      </w:r>
    </w:p>
    <w:p w14:paraId="7A989D54">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中小企业声明函（适用于标项二十三）</w:t>
      </w:r>
    </w:p>
    <w:p w14:paraId="2D0B1D98">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2D8DC3C3">
      <w:pPr>
        <w:spacing w:line="400" w:lineRule="exact"/>
        <w:ind w:firstLine="420" w:firstLineChars="200"/>
        <w:rPr>
          <w:rFonts w:ascii="宋体" w:hAnsi="宋体" w:cs="宋体"/>
        </w:rPr>
      </w:pPr>
      <w:r>
        <w:rPr>
          <w:rFonts w:hint="eastAsia" w:ascii="宋体" w:hAnsi="宋体" w:cs="宋体"/>
          <w:u w:val="single"/>
        </w:rPr>
        <w:t xml:space="preserve"> 京东读书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4787F977">
      <w:pPr>
        <w:spacing w:line="400" w:lineRule="exact"/>
        <w:ind w:firstLine="420" w:firstLineChars="200"/>
        <w:rPr>
          <w:rFonts w:ascii="宋体" w:hAnsi="宋体" w:cs="宋体"/>
        </w:rPr>
      </w:pPr>
      <w:r>
        <w:rPr>
          <w:rFonts w:hint="eastAsia" w:ascii="宋体" w:hAnsi="宋体" w:cs="宋体"/>
        </w:rPr>
        <w:t>......</w:t>
      </w:r>
    </w:p>
    <w:p w14:paraId="72A144E9">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08459B8">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54518709">
      <w:pPr>
        <w:spacing w:line="400" w:lineRule="exact"/>
        <w:ind w:firstLine="420" w:firstLineChars="200"/>
        <w:rPr>
          <w:rFonts w:ascii="宋体" w:hAnsi="宋体" w:cs="宋体"/>
        </w:rPr>
      </w:pPr>
    </w:p>
    <w:p w14:paraId="36899164">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D4CEC6E">
      <w:pPr>
        <w:spacing w:line="400" w:lineRule="exact"/>
        <w:ind w:firstLine="420" w:firstLineChars="200"/>
        <w:rPr>
          <w:rFonts w:ascii="宋体" w:hAnsi="宋体" w:cs="宋体"/>
        </w:rPr>
      </w:pPr>
    </w:p>
    <w:p w14:paraId="34CB221B">
      <w:pPr>
        <w:spacing w:line="400" w:lineRule="exact"/>
        <w:jc w:val="left"/>
        <w:rPr>
          <w:rFonts w:ascii="宋体" w:hAnsi="宋体" w:cs="宋体"/>
          <w:szCs w:val="21"/>
        </w:rPr>
      </w:pPr>
      <w:r>
        <w:rPr>
          <w:rFonts w:hint="eastAsia" w:ascii="宋体" w:hAnsi="宋体" w:cs="宋体"/>
          <w:szCs w:val="21"/>
        </w:rPr>
        <w:t>供应商（盖章）：</w:t>
      </w:r>
    </w:p>
    <w:p w14:paraId="33AEC4DF">
      <w:pPr>
        <w:spacing w:line="400" w:lineRule="exact"/>
        <w:jc w:val="left"/>
        <w:rPr>
          <w:rFonts w:ascii="宋体" w:hAnsi="宋体" w:cs="宋体"/>
          <w:szCs w:val="21"/>
        </w:rPr>
      </w:pPr>
      <w:r>
        <w:rPr>
          <w:rFonts w:hint="eastAsia" w:ascii="宋体" w:hAnsi="宋体" w:cs="宋体"/>
          <w:szCs w:val="21"/>
        </w:rPr>
        <w:t>日          期：</w:t>
      </w:r>
    </w:p>
    <w:p w14:paraId="456C70F4">
      <w:pPr>
        <w:rPr>
          <w:rFonts w:ascii="宋体" w:hAnsi="宋体" w:cs="宋体"/>
          <w:szCs w:val="21"/>
        </w:rPr>
      </w:pPr>
      <w:r>
        <w:rPr>
          <w:rFonts w:hint="eastAsia" w:ascii="宋体" w:hAnsi="宋体" w:cs="宋体"/>
          <w:szCs w:val="21"/>
        </w:rPr>
        <w:br w:type="page"/>
      </w:r>
    </w:p>
    <w:p w14:paraId="0C74A150">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中小企业声明函（适用于标项二十四）</w:t>
      </w:r>
    </w:p>
    <w:p w14:paraId="609563D2">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5BA8142">
      <w:pPr>
        <w:spacing w:line="400" w:lineRule="exact"/>
        <w:ind w:firstLine="420" w:firstLineChars="200"/>
        <w:rPr>
          <w:rFonts w:ascii="宋体" w:hAnsi="宋体" w:cs="宋体"/>
        </w:rPr>
      </w:pPr>
      <w:r>
        <w:rPr>
          <w:rFonts w:hint="eastAsia" w:ascii="宋体" w:hAnsi="宋体" w:cs="宋体"/>
          <w:u w:val="single"/>
        </w:rPr>
        <w:t xml:space="preserve"> MeTel多媒体教学资源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7179816A">
      <w:pPr>
        <w:spacing w:line="400" w:lineRule="exact"/>
        <w:ind w:firstLine="420" w:firstLineChars="200"/>
        <w:rPr>
          <w:rFonts w:ascii="宋体" w:hAnsi="宋体" w:cs="宋体"/>
        </w:rPr>
      </w:pPr>
      <w:r>
        <w:rPr>
          <w:rFonts w:hint="eastAsia" w:ascii="宋体" w:hAnsi="宋体" w:cs="宋体"/>
        </w:rPr>
        <w:t>......</w:t>
      </w:r>
    </w:p>
    <w:p w14:paraId="6E9131CE">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61A67BB">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66678EB0">
      <w:pPr>
        <w:spacing w:line="400" w:lineRule="exact"/>
        <w:ind w:firstLine="420" w:firstLineChars="200"/>
        <w:rPr>
          <w:rFonts w:ascii="宋体" w:hAnsi="宋体" w:cs="宋体"/>
        </w:rPr>
      </w:pPr>
    </w:p>
    <w:p w14:paraId="2AE08FAF">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32BEA604">
      <w:pPr>
        <w:spacing w:line="400" w:lineRule="exact"/>
        <w:ind w:firstLine="420" w:firstLineChars="200"/>
        <w:rPr>
          <w:rFonts w:ascii="宋体" w:hAnsi="宋体" w:cs="宋体"/>
        </w:rPr>
      </w:pPr>
    </w:p>
    <w:p w14:paraId="15008913">
      <w:pPr>
        <w:spacing w:line="400" w:lineRule="exact"/>
        <w:jc w:val="left"/>
        <w:rPr>
          <w:rFonts w:ascii="宋体" w:hAnsi="宋体" w:cs="宋体"/>
          <w:szCs w:val="21"/>
        </w:rPr>
      </w:pPr>
      <w:r>
        <w:rPr>
          <w:rFonts w:hint="eastAsia" w:ascii="宋体" w:hAnsi="宋体" w:cs="宋体"/>
          <w:szCs w:val="21"/>
        </w:rPr>
        <w:t>供应商（盖章）：</w:t>
      </w:r>
    </w:p>
    <w:p w14:paraId="21B8B978">
      <w:pPr>
        <w:spacing w:line="400" w:lineRule="exact"/>
        <w:jc w:val="left"/>
        <w:rPr>
          <w:rFonts w:ascii="宋体" w:hAnsi="宋体" w:cs="宋体"/>
          <w:szCs w:val="21"/>
        </w:rPr>
      </w:pPr>
      <w:r>
        <w:rPr>
          <w:rFonts w:hint="eastAsia" w:ascii="宋体" w:hAnsi="宋体" w:cs="宋体"/>
          <w:szCs w:val="21"/>
        </w:rPr>
        <w:t>日          期：</w:t>
      </w:r>
    </w:p>
    <w:p w14:paraId="45E1DA7B">
      <w:pPr>
        <w:rPr>
          <w:rFonts w:ascii="宋体" w:hAnsi="宋体" w:cs="宋体"/>
          <w:szCs w:val="21"/>
        </w:rPr>
      </w:pPr>
      <w:r>
        <w:rPr>
          <w:rFonts w:hint="eastAsia" w:ascii="宋体" w:hAnsi="宋体" w:cs="宋体"/>
          <w:szCs w:val="21"/>
        </w:rPr>
        <w:br w:type="page"/>
      </w:r>
    </w:p>
    <w:p w14:paraId="3156C99F">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中小企业声明函（适用于标项二十五）</w:t>
      </w:r>
    </w:p>
    <w:p w14:paraId="607ED1CD">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4DC2973A">
      <w:pPr>
        <w:spacing w:line="400" w:lineRule="exact"/>
        <w:ind w:firstLine="420" w:firstLineChars="200"/>
        <w:rPr>
          <w:rFonts w:ascii="宋体" w:hAnsi="宋体" w:cs="宋体"/>
        </w:rPr>
      </w:pPr>
      <w:r>
        <w:rPr>
          <w:rFonts w:hint="eastAsia" w:ascii="宋体" w:hAnsi="宋体" w:cs="宋体"/>
          <w:u w:val="single"/>
        </w:rPr>
        <w:t xml:space="preserve"> 智慧芽专利数据库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0D8DC00B">
      <w:pPr>
        <w:spacing w:line="400" w:lineRule="exact"/>
        <w:ind w:firstLine="420" w:firstLineChars="200"/>
        <w:rPr>
          <w:rFonts w:ascii="宋体" w:hAnsi="宋体" w:cs="宋体"/>
        </w:rPr>
      </w:pPr>
      <w:r>
        <w:rPr>
          <w:rFonts w:hint="eastAsia" w:ascii="宋体" w:hAnsi="宋体" w:cs="宋体"/>
        </w:rPr>
        <w:t>......</w:t>
      </w:r>
    </w:p>
    <w:p w14:paraId="1161F96A">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88C09E9">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009A8B7B">
      <w:pPr>
        <w:spacing w:line="400" w:lineRule="exact"/>
        <w:ind w:firstLine="420" w:firstLineChars="200"/>
        <w:rPr>
          <w:rFonts w:ascii="宋体" w:hAnsi="宋体" w:cs="宋体"/>
        </w:rPr>
      </w:pPr>
    </w:p>
    <w:p w14:paraId="373B5C78">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6F636F69">
      <w:pPr>
        <w:spacing w:line="400" w:lineRule="exact"/>
        <w:ind w:firstLine="420" w:firstLineChars="200"/>
        <w:rPr>
          <w:rFonts w:ascii="宋体" w:hAnsi="宋体" w:cs="宋体"/>
        </w:rPr>
      </w:pPr>
    </w:p>
    <w:p w14:paraId="654E72E0">
      <w:pPr>
        <w:spacing w:line="400" w:lineRule="exact"/>
        <w:jc w:val="left"/>
        <w:rPr>
          <w:rFonts w:ascii="宋体" w:hAnsi="宋体" w:cs="宋体"/>
          <w:szCs w:val="21"/>
        </w:rPr>
      </w:pPr>
      <w:r>
        <w:rPr>
          <w:rFonts w:hint="eastAsia" w:ascii="宋体" w:hAnsi="宋体" w:cs="宋体"/>
          <w:szCs w:val="21"/>
        </w:rPr>
        <w:t>供应商（盖章）：</w:t>
      </w:r>
    </w:p>
    <w:p w14:paraId="094072D5">
      <w:pPr>
        <w:spacing w:line="400" w:lineRule="exact"/>
        <w:jc w:val="left"/>
        <w:rPr>
          <w:rFonts w:ascii="宋体" w:hAnsi="宋体" w:cs="宋体"/>
          <w:szCs w:val="21"/>
        </w:rPr>
      </w:pPr>
      <w:r>
        <w:rPr>
          <w:rFonts w:hint="eastAsia" w:ascii="宋体" w:hAnsi="宋体" w:cs="宋体"/>
          <w:szCs w:val="21"/>
        </w:rPr>
        <w:t>日          期：</w:t>
      </w:r>
    </w:p>
    <w:p w14:paraId="38B299E8">
      <w:pPr>
        <w:rPr>
          <w:rFonts w:ascii="宋体" w:hAnsi="宋体" w:cs="宋体"/>
          <w:szCs w:val="21"/>
        </w:rPr>
      </w:pPr>
      <w:r>
        <w:rPr>
          <w:rFonts w:hint="eastAsia" w:ascii="宋体" w:hAnsi="宋体" w:cs="宋体"/>
          <w:szCs w:val="21"/>
        </w:rPr>
        <w:br w:type="page"/>
      </w:r>
    </w:p>
    <w:p w14:paraId="3D68002A">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中小企业声明函（适用于标项二十六）</w:t>
      </w:r>
    </w:p>
    <w:p w14:paraId="622D223F">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6C1F4290">
      <w:pPr>
        <w:spacing w:line="400" w:lineRule="exact"/>
        <w:ind w:firstLine="420" w:firstLineChars="200"/>
        <w:rPr>
          <w:rFonts w:ascii="宋体" w:hAnsi="宋体" w:cs="宋体"/>
        </w:rPr>
      </w:pPr>
      <w:r>
        <w:rPr>
          <w:rFonts w:hint="eastAsia" w:ascii="宋体" w:hAnsi="宋体" w:cs="宋体"/>
          <w:u w:val="single"/>
        </w:rPr>
        <w:t xml:space="preserve"> 科研人事论文诚信档案管理系统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08AA0B81">
      <w:pPr>
        <w:spacing w:line="400" w:lineRule="exact"/>
        <w:ind w:firstLine="420" w:firstLineChars="200"/>
        <w:rPr>
          <w:rFonts w:ascii="宋体" w:hAnsi="宋体" w:cs="宋体"/>
        </w:rPr>
      </w:pPr>
      <w:r>
        <w:rPr>
          <w:rFonts w:hint="eastAsia" w:ascii="宋体" w:hAnsi="宋体" w:cs="宋体"/>
        </w:rPr>
        <w:t>......</w:t>
      </w:r>
    </w:p>
    <w:p w14:paraId="17C34216">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4064BFC6">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140FD00E">
      <w:pPr>
        <w:spacing w:line="400" w:lineRule="exact"/>
        <w:ind w:firstLine="420" w:firstLineChars="200"/>
        <w:rPr>
          <w:rFonts w:ascii="宋体" w:hAnsi="宋体" w:cs="宋体"/>
        </w:rPr>
      </w:pPr>
    </w:p>
    <w:p w14:paraId="2A0FD95F">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596C74D5">
      <w:pPr>
        <w:spacing w:line="400" w:lineRule="exact"/>
        <w:ind w:firstLine="420" w:firstLineChars="200"/>
        <w:rPr>
          <w:rFonts w:ascii="宋体" w:hAnsi="宋体" w:cs="宋体"/>
        </w:rPr>
      </w:pPr>
    </w:p>
    <w:p w14:paraId="374B7E88">
      <w:pPr>
        <w:spacing w:line="400" w:lineRule="exact"/>
        <w:jc w:val="left"/>
        <w:rPr>
          <w:rFonts w:ascii="宋体" w:hAnsi="宋体" w:cs="宋体"/>
          <w:szCs w:val="21"/>
        </w:rPr>
      </w:pPr>
      <w:r>
        <w:rPr>
          <w:rFonts w:hint="eastAsia" w:ascii="宋体" w:hAnsi="宋体" w:cs="宋体"/>
          <w:szCs w:val="21"/>
        </w:rPr>
        <w:t>供应商（盖章）：</w:t>
      </w:r>
    </w:p>
    <w:p w14:paraId="4A3F49EA">
      <w:pPr>
        <w:spacing w:line="400" w:lineRule="exact"/>
        <w:jc w:val="left"/>
        <w:rPr>
          <w:rFonts w:ascii="宋体" w:hAnsi="宋体" w:cs="宋体"/>
          <w:szCs w:val="21"/>
        </w:rPr>
      </w:pPr>
      <w:r>
        <w:rPr>
          <w:rFonts w:hint="eastAsia" w:ascii="宋体" w:hAnsi="宋体" w:cs="宋体"/>
          <w:szCs w:val="21"/>
        </w:rPr>
        <w:t>日          期：</w:t>
      </w:r>
    </w:p>
    <w:p w14:paraId="0312B1AF">
      <w:pPr>
        <w:rPr>
          <w:rFonts w:ascii="宋体" w:hAnsi="宋体" w:cs="宋体"/>
          <w:szCs w:val="21"/>
        </w:rPr>
      </w:pPr>
      <w:r>
        <w:rPr>
          <w:rFonts w:hint="eastAsia" w:ascii="宋体" w:hAnsi="宋体" w:cs="宋体"/>
          <w:szCs w:val="21"/>
        </w:rPr>
        <w:br w:type="page"/>
      </w:r>
    </w:p>
    <w:p w14:paraId="0D0BF238">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中小企业声明函（适用于标项二十七）</w:t>
      </w:r>
    </w:p>
    <w:p w14:paraId="0F868687">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2C1973C">
      <w:pPr>
        <w:spacing w:line="400" w:lineRule="exact"/>
        <w:ind w:firstLine="420" w:firstLineChars="200"/>
        <w:rPr>
          <w:rFonts w:ascii="宋体" w:hAnsi="宋体" w:cs="宋体"/>
        </w:rPr>
      </w:pPr>
      <w:r>
        <w:rPr>
          <w:rFonts w:hint="eastAsia" w:ascii="宋体" w:hAnsi="宋体" w:cs="宋体"/>
          <w:u w:val="single"/>
        </w:rPr>
        <w:t xml:space="preserve"> incoPat专利数据库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4D2839EC">
      <w:pPr>
        <w:spacing w:line="400" w:lineRule="exact"/>
        <w:ind w:firstLine="420" w:firstLineChars="200"/>
        <w:rPr>
          <w:rFonts w:ascii="宋体" w:hAnsi="宋体" w:cs="宋体"/>
        </w:rPr>
      </w:pPr>
      <w:r>
        <w:rPr>
          <w:rFonts w:hint="eastAsia" w:ascii="宋体" w:hAnsi="宋体" w:cs="宋体"/>
        </w:rPr>
        <w:t>......</w:t>
      </w:r>
    </w:p>
    <w:p w14:paraId="08331A41">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75CC588">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ED58677">
      <w:pPr>
        <w:spacing w:line="400" w:lineRule="exact"/>
        <w:ind w:firstLine="420" w:firstLineChars="200"/>
        <w:rPr>
          <w:rFonts w:ascii="宋体" w:hAnsi="宋体" w:cs="宋体"/>
        </w:rPr>
      </w:pPr>
    </w:p>
    <w:p w14:paraId="6D265275">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7CAECFE5">
      <w:pPr>
        <w:spacing w:line="400" w:lineRule="exact"/>
        <w:ind w:firstLine="420" w:firstLineChars="200"/>
        <w:rPr>
          <w:rFonts w:ascii="宋体" w:hAnsi="宋体" w:cs="宋体"/>
        </w:rPr>
      </w:pPr>
    </w:p>
    <w:p w14:paraId="37A7982E">
      <w:pPr>
        <w:spacing w:line="400" w:lineRule="exact"/>
        <w:jc w:val="left"/>
        <w:rPr>
          <w:rFonts w:ascii="宋体" w:hAnsi="宋体" w:cs="宋体"/>
          <w:szCs w:val="21"/>
        </w:rPr>
      </w:pPr>
      <w:r>
        <w:rPr>
          <w:rFonts w:hint="eastAsia" w:ascii="宋体" w:hAnsi="宋体" w:cs="宋体"/>
          <w:szCs w:val="21"/>
        </w:rPr>
        <w:t>供应商（盖章）：</w:t>
      </w:r>
    </w:p>
    <w:p w14:paraId="28DF7B69">
      <w:pPr>
        <w:spacing w:line="400" w:lineRule="exact"/>
        <w:jc w:val="left"/>
        <w:rPr>
          <w:rFonts w:ascii="宋体" w:hAnsi="宋体" w:cs="宋体"/>
          <w:szCs w:val="21"/>
        </w:rPr>
      </w:pPr>
      <w:r>
        <w:rPr>
          <w:rFonts w:hint="eastAsia" w:ascii="宋体" w:hAnsi="宋体" w:cs="宋体"/>
          <w:szCs w:val="21"/>
        </w:rPr>
        <w:t>日          期：</w:t>
      </w:r>
    </w:p>
    <w:p w14:paraId="7137DD9E">
      <w:pPr>
        <w:rPr>
          <w:rFonts w:ascii="宋体" w:hAnsi="宋体" w:cs="宋体"/>
          <w:szCs w:val="21"/>
        </w:rPr>
      </w:pPr>
      <w:r>
        <w:rPr>
          <w:rFonts w:hint="eastAsia" w:ascii="宋体" w:hAnsi="宋体" w:cs="宋体"/>
          <w:szCs w:val="21"/>
        </w:rPr>
        <w:br w:type="page"/>
      </w:r>
    </w:p>
    <w:p w14:paraId="7DC99470">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中小企业声明函（适用于标项二十八）</w:t>
      </w:r>
    </w:p>
    <w:p w14:paraId="143017FE">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22402A31">
      <w:pPr>
        <w:spacing w:line="400" w:lineRule="exact"/>
        <w:ind w:firstLine="420" w:firstLineChars="200"/>
        <w:rPr>
          <w:rFonts w:ascii="宋体" w:hAnsi="宋体" w:cs="宋体"/>
        </w:rPr>
      </w:pPr>
      <w:r>
        <w:rPr>
          <w:rFonts w:hint="eastAsia" w:ascii="宋体" w:hAnsi="宋体" w:cs="宋体"/>
          <w:u w:val="single"/>
        </w:rPr>
        <w:t xml:space="preserve"> 爱读宝微书房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74AD784A">
      <w:pPr>
        <w:spacing w:line="400" w:lineRule="exact"/>
        <w:ind w:firstLine="420" w:firstLineChars="200"/>
        <w:rPr>
          <w:rFonts w:ascii="宋体" w:hAnsi="宋体" w:cs="宋体"/>
        </w:rPr>
      </w:pPr>
      <w:r>
        <w:rPr>
          <w:rFonts w:hint="eastAsia" w:ascii="宋体" w:hAnsi="宋体" w:cs="宋体"/>
        </w:rPr>
        <w:t>......</w:t>
      </w:r>
    </w:p>
    <w:p w14:paraId="00A75FFB">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7B5863D">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654D7939">
      <w:pPr>
        <w:spacing w:line="400" w:lineRule="exact"/>
        <w:ind w:firstLine="420" w:firstLineChars="200"/>
        <w:rPr>
          <w:rFonts w:ascii="宋体" w:hAnsi="宋体" w:cs="宋体"/>
        </w:rPr>
      </w:pPr>
    </w:p>
    <w:p w14:paraId="44156731">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1DA39BFA">
      <w:pPr>
        <w:spacing w:line="400" w:lineRule="exact"/>
        <w:ind w:firstLine="420" w:firstLineChars="200"/>
        <w:rPr>
          <w:rFonts w:ascii="宋体" w:hAnsi="宋体" w:cs="宋体"/>
        </w:rPr>
      </w:pPr>
    </w:p>
    <w:p w14:paraId="3DAADA1D">
      <w:pPr>
        <w:spacing w:line="400" w:lineRule="exact"/>
        <w:jc w:val="left"/>
        <w:rPr>
          <w:rFonts w:ascii="宋体" w:hAnsi="宋体" w:cs="宋体"/>
          <w:szCs w:val="21"/>
        </w:rPr>
      </w:pPr>
      <w:r>
        <w:rPr>
          <w:rFonts w:hint="eastAsia" w:ascii="宋体" w:hAnsi="宋体" w:cs="宋体"/>
          <w:szCs w:val="21"/>
        </w:rPr>
        <w:t>供应商（盖章）：</w:t>
      </w:r>
    </w:p>
    <w:p w14:paraId="7EE133B8">
      <w:pPr>
        <w:spacing w:line="400" w:lineRule="exact"/>
        <w:jc w:val="left"/>
        <w:rPr>
          <w:rFonts w:ascii="宋体" w:hAnsi="宋体" w:cs="宋体"/>
          <w:szCs w:val="21"/>
        </w:rPr>
      </w:pPr>
      <w:r>
        <w:rPr>
          <w:rFonts w:hint="eastAsia" w:ascii="宋体" w:hAnsi="宋体" w:cs="宋体"/>
          <w:szCs w:val="21"/>
        </w:rPr>
        <w:t>日          期：</w:t>
      </w:r>
    </w:p>
    <w:p w14:paraId="67727E96">
      <w:pPr>
        <w:rPr>
          <w:rFonts w:ascii="宋体" w:hAnsi="宋体" w:cs="宋体"/>
          <w:szCs w:val="21"/>
        </w:rPr>
      </w:pPr>
      <w:r>
        <w:rPr>
          <w:rFonts w:hint="eastAsia" w:ascii="宋体" w:hAnsi="宋体" w:cs="宋体"/>
          <w:szCs w:val="21"/>
        </w:rPr>
        <w:br w:type="page"/>
      </w:r>
    </w:p>
    <w:p w14:paraId="0A9F8479">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中小企业声明函（适用于标项二十九）</w:t>
      </w:r>
    </w:p>
    <w:p w14:paraId="04BD43A6">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6064D41">
      <w:pPr>
        <w:spacing w:line="400" w:lineRule="exact"/>
        <w:ind w:firstLine="420" w:firstLineChars="200"/>
        <w:rPr>
          <w:rFonts w:ascii="宋体" w:hAnsi="宋体" w:cs="宋体"/>
        </w:rPr>
      </w:pPr>
      <w:r>
        <w:rPr>
          <w:rFonts w:hint="eastAsia" w:ascii="宋体" w:hAnsi="宋体" w:cs="宋体"/>
          <w:u w:val="single"/>
        </w:rPr>
        <w:t xml:space="preserve"> 正保多媒体数据库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19C9E21B">
      <w:pPr>
        <w:spacing w:line="400" w:lineRule="exact"/>
        <w:ind w:firstLine="420" w:firstLineChars="200"/>
        <w:rPr>
          <w:rFonts w:ascii="宋体" w:hAnsi="宋体" w:cs="宋体"/>
        </w:rPr>
      </w:pPr>
      <w:r>
        <w:rPr>
          <w:rFonts w:hint="eastAsia" w:ascii="宋体" w:hAnsi="宋体" w:cs="宋体"/>
        </w:rPr>
        <w:t>......</w:t>
      </w:r>
    </w:p>
    <w:p w14:paraId="0135D0C7">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24F5F15">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3E595E4">
      <w:pPr>
        <w:spacing w:line="400" w:lineRule="exact"/>
        <w:ind w:firstLine="420" w:firstLineChars="200"/>
        <w:rPr>
          <w:rFonts w:ascii="宋体" w:hAnsi="宋体" w:cs="宋体"/>
        </w:rPr>
      </w:pPr>
    </w:p>
    <w:p w14:paraId="165083FD">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1786D75B">
      <w:pPr>
        <w:spacing w:line="400" w:lineRule="exact"/>
        <w:ind w:firstLine="420" w:firstLineChars="200"/>
        <w:rPr>
          <w:rFonts w:ascii="宋体" w:hAnsi="宋体" w:cs="宋体"/>
        </w:rPr>
      </w:pPr>
    </w:p>
    <w:p w14:paraId="7BADD682">
      <w:pPr>
        <w:spacing w:line="400" w:lineRule="exact"/>
        <w:jc w:val="left"/>
        <w:rPr>
          <w:rFonts w:ascii="宋体" w:hAnsi="宋体" w:cs="宋体"/>
          <w:szCs w:val="21"/>
        </w:rPr>
      </w:pPr>
      <w:r>
        <w:rPr>
          <w:rFonts w:hint="eastAsia" w:ascii="宋体" w:hAnsi="宋体" w:cs="宋体"/>
          <w:szCs w:val="21"/>
        </w:rPr>
        <w:t>供应商（盖章）：</w:t>
      </w:r>
    </w:p>
    <w:p w14:paraId="68832596">
      <w:pPr>
        <w:spacing w:line="400" w:lineRule="exact"/>
        <w:jc w:val="left"/>
        <w:rPr>
          <w:rFonts w:ascii="宋体" w:hAnsi="宋体" w:cs="宋体"/>
          <w:szCs w:val="21"/>
        </w:rPr>
      </w:pPr>
      <w:r>
        <w:rPr>
          <w:rFonts w:hint="eastAsia" w:ascii="宋体" w:hAnsi="宋体" w:cs="宋体"/>
          <w:szCs w:val="21"/>
        </w:rPr>
        <w:t>日          期：</w:t>
      </w:r>
    </w:p>
    <w:p w14:paraId="7ED7C3A9">
      <w:pPr>
        <w:rPr>
          <w:rFonts w:ascii="宋体" w:hAnsi="宋体" w:cs="宋体"/>
          <w:szCs w:val="21"/>
        </w:rPr>
      </w:pPr>
      <w:r>
        <w:rPr>
          <w:rFonts w:hint="eastAsia" w:ascii="宋体" w:hAnsi="宋体" w:cs="宋体"/>
          <w:szCs w:val="21"/>
        </w:rPr>
        <w:br w:type="page"/>
      </w:r>
    </w:p>
    <w:p w14:paraId="484481C0">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w:t>
      </w:r>
    </w:p>
    <w:p w14:paraId="091B8471">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5F2F64A">
      <w:pPr>
        <w:spacing w:line="400" w:lineRule="exact"/>
        <w:ind w:firstLine="420" w:firstLineChars="200"/>
        <w:rPr>
          <w:rFonts w:ascii="宋体" w:hAnsi="宋体" w:cs="宋体"/>
        </w:rPr>
      </w:pPr>
      <w:r>
        <w:rPr>
          <w:rFonts w:hint="eastAsia" w:ascii="宋体" w:hAnsi="宋体" w:cs="宋体"/>
          <w:u w:val="single"/>
        </w:rPr>
        <w:t xml:space="preserve"> 壹专利数据库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081AF498">
      <w:pPr>
        <w:spacing w:line="400" w:lineRule="exact"/>
        <w:ind w:firstLine="420" w:firstLineChars="200"/>
        <w:rPr>
          <w:rFonts w:ascii="宋体" w:hAnsi="宋体" w:cs="宋体"/>
        </w:rPr>
      </w:pPr>
      <w:r>
        <w:rPr>
          <w:rFonts w:hint="eastAsia" w:ascii="宋体" w:hAnsi="宋体" w:cs="宋体"/>
        </w:rPr>
        <w:t>......</w:t>
      </w:r>
    </w:p>
    <w:p w14:paraId="7ABBF1EE">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36FA70F">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6E2E0335">
      <w:pPr>
        <w:spacing w:line="400" w:lineRule="exact"/>
        <w:ind w:firstLine="420" w:firstLineChars="200"/>
        <w:rPr>
          <w:rFonts w:ascii="宋体" w:hAnsi="宋体" w:cs="宋体"/>
        </w:rPr>
      </w:pPr>
    </w:p>
    <w:p w14:paraId="694A7E30">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61D92BD">
      <w:pPr>
        <w:spacing w:line="400" w:lineRule="exact"/>
        <w:ind w:firstLine="420" w:firstLineChars="200"/>
        <w:rPr>
          <w:rFonts w:ascii="宋体" w:hAnsi="宋体" w:cs="宋体"/>
        </w:rPr>
      </w:pPr>
    </w:p>
    <w:p w14:paraId="4414AACA">
      <w:pPr>
        <w:spacing w:line="400" w:lineRule="exact"/>
        <w:jc w:val="left"/>
        <w:rPr>
          <w:rFonts w:ascii="宋体" w:hAnsi="宋体" w:cs="宋体"/>
          <w:szCs w:val="21"/>
        </w:rPr>
      </w:pPr>
      <w:r>
        <w:rPr>
          <w:rFonts w:hint="eastAsia" w:ascii="宋体" w:hAnsi="宋体" w:cs="宋体"/>
          <w:szCs w:val="21"/>
        </w:rPr>
        <w:t>供应商（盖章）：</w:t>
      </w:r>
    </w:p>
    <w:p w14:paraId="09168984">
      <w:pPr>
        <w:spacing w:line="400" w:lineRule="exact"/>
        <w:jc w:val="left"/>
        <w:rPr>
          <w:rFonts w:ascii="宋体" w:hAnsi="宋体" w:cs="宋体"/>
          <w:szCs w:val="21"/>
        </w:rPr>
      </w:pPr>
      <w:r>
        <w:rPr>
          <w:rFonts w:hint="eastAsia" w:ascii="宋体" w:hAnsi="宋体" w:cs="宋体"/>
          <w:szCs w:val="21"/>
        </w:rPr>
        <w:t>日          期：</w:t>
      </w:r>
    </w:p>
    <w:p w14:paraId="358DA932">
      <w:pPr>
        <w:rPr>
          <w:rFonts w:ascii="宋体" w:hAnsi="宋体" w:cs="宋体"/>
          <w:szCs w:val="21"/>
        </w:rPr>
      </w:pPr>
      <w:r>
        <w:rPr>
          <w:rFonts w:hint="eastAsia" w:ascii="宋体" w:hAnsi="宋体" w:cs="宋体"/>
          <w:szCs w:val="21"/>
        </w:rPr>
        <w:br w:type="page"/>
      </w:r>
    </w:p>
    <w:p w14:paraId="3DEF174F">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中小企业声明函（适用于标项三十一）</w:t>
      </w:r>
    </w:p>
    <w:p w14:paraId="521E4759">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0AC608C2">
      <w:pPr>
        <w:spacing w:line="400" w:lineRule="exact"/>
        <w:ind w:firstLine="420" w:firstLineChars="200"/>
        <w:rPr>
          <w:rFonts w:ascii="宋体" w:hAnsi="宋体" w:cs="宋体"/>
        </w:rPr>
      </w:pPr>
      <w:r>
        <w:rPr>
          <w:rFonts w:hint="eastAsia" w:ascii="宋体" w:hAnsi="宋体" w:cs="宋体"/>
          <w:u w:val="single"/>
        </w:rPr>
        <w:t xml:space="preserve"> 新东方多媒体学习库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56FBDD5A">
      <w:pPr>
        <w:spacing w:line="400" w:lineRule="exact"/>
        <w:ind w:firstLine="420" w:firstLineChars="200"/>
        <w:rPr>
          <w:rFonts w:ascii="宋体" w:hAnsi="宋体" w:cs="宋体"/>
        </w:rPr>
      </w:pPr>
      <w:r>
        <w:rPr>
          <w:rFonts w:hint="eastAsia" w:ascii="宋体" w:hAnsi="宋体" w:cs="宋体"/>
        </w:rPr>
        <w:t>......</w:t>
      </w:r>
    </w:p>
    <w:p w14:paraId="1BF42821">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4ACF0F83">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6EC028FD">
      <w:pPr>
        <w:spacing w:line="400" w:lineRule="exact"/>
        <w:ind w:firstLine="420" w:firstLineChars="200"/>
        <w:rPr>
          <w:rFonts w:ascii="宋体" w:hAnsi="宋体" w:cs="宋体"/>
        </w:rPr>
      </w:pPr>
    </w:p>
    <w:p w14:paraId="28E5D8EF">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541B02D9">
      <w:pPr>
        <w:spacing w:line="400" w:lineRule="exact"/>
        <w:ind w:firstLine="420" w:firstLineChars="200"/>
        <w:rPr>
          <w:rFonts w:ascii="宋体" w:hAnsi="宋体" w:cs="宋体"/>
        </w:rPr>
      </w:pPr>
    </w:p>
    <w:p w14:paraId="74EA1A35">
      <w:pPr>
        <w:spacing w:line="400" w:lineRule="exact"/>
        <w:jc w:val="left"/>
        <w:rPr>
          <w:rFonts w:ascii="宋体" w:hAnsi="宋体" w:cs="宋体"/>
          <w:szCs w:val="21"/>
        </w:rPr>
      </w:pPr>
      <w:r>
        <w:rPr>
          <w:rFonts w:hint="eastAsia" w:ascii="宋体" w:hAnsi="宋体" w:cs="宋体"/>
          <w:szCs w:val="21"/>
        </w:rPr>
        <w:t>供应商（盖章）：</w:t>
      </w:r>
    </w:p>
    <w:p w14:paraId="060E8C34">
      <w:pPr>
        <w:spacing w:line="400" w:lineRule="exact"/>
        <w:jc w:val="left"/>
        <w:rPr>
          <w:rFonts w:ascii="宋体" w:hAnsi="宋体" w:cs="宋体"/>
          <w:szCs w:val="21"/>
        </w:rPr>
      </w:pPr>
      <w:r>
        <w:rPr>
          <w:rFonts w:hint="eastAsia" w:ascii="宋体" w:hAnsi="宋体" w:cs="宋体"/>
          <w:szCs w:val="21"/>
        </w:rPr>
        <w:t>日          期：</w:t>
      </w:r>
    </w:p>
    <w:p w14:paraId="75670AD0">
      <w:pPr>
        <w:rPr>
          <w:rFonts w:ascii="宋体" w:hAnsi="宋体" w:cs="宋体"/>
          <w:szCs w:val="21"/>
        </w:rPr>
      </w:pPr>
      <w:r>
        <w:rPr>
          <w:rFonts w:hint="eastAsia" w:ascii="宋体" w:hAnsi="宋体" w:cs="宋体"/>
          <w:szCs w:val="21"/>
        </w:rPr>
        <w:br w:type="page"/>
      </w:r>
    </w:p>
    <w:p w14:paraId="0E06F2D2">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中小企业声明函（适用于标项三十二）</w:t>
      </w:r>
    </w:p>
    <w:p w14:paraId="5933E8BE">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45568548">
      <w:pPr>
        <w:spacing w:line="400" w:lineRule="exact"/>
        <w:ind w:firstLine="420" w:firstLineChars="200"/>
        <w:rPr>
          <w:rFonts w:ascii="宋体" w:hAnsi="宋体" w:cs="宋体"/>
        </w:rPr>
      </w:pPr>
      <w:r>
        <w:rPr>
          <w:rFonts w:hint="eastAsia" w:ascii="宋体" w:hAnsi="宋体" w:cs="宋体"/>
          <w:u w:val="single"/>
        </w:rPr>
        <w:t xml:space="preserve"> 智图知识资源整合数据库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17B15467">
      <w:pPr>
        <w:spacing w:line="400" w:lineRule="exact"/>
        <w:ind w:firstLine="420" w:firstLineChars="200"/>
        <w:rPr>
          <w:rFonts w:ascii="宋体" w:hAnsi="宋体" w:cs="宋体"/>
        </w:rPr>
      </w:pPr>
      <w:r>
        <w:rPr>
          <w:rFonts w:hint="eastAsia" w:ascii="宋体" w:hAnsi="宋体" w:cs="宋体"/>
        </w:rPr>
        <w:t>......</w:t>
      </w:r>
    </w:p>
    <w:p w14:paraId="2E23F408">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BC63567">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FC80A1E">
      <w:pPr>
        <w:spacing w:line="400" w:lineRule="exact"/>
        <w:ind w:firstLine="420" w:firstLineChars="200"/>
        <w:rPr>
          <w:rFonts w:ascii="宋体" w:hAnsi="宋体" w:cs="宋体"/>
        </w:rPr>
      </w:pPr>
    </w:p>
    <w:p w14:paraId="25D62B06">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288EC5C6">
      <w:pPr>
        <w:spacing w:line="400" w:lineRule="exact"/>
        <w:ind w:firstLine="420" w:firstLineChars="200"/>
        <w:rPr>
          <w:rFonts w:ascii="宋体" w:hAnsi="宋体" w:cs="宋体"/>
        </w:rPr>
      </w:pPr>
    </w:p>
    <w:p w14:paraId="2B7FC22D">
      <w:pPr>
        <w:spacing w:line="400" w:lineRule="exact"/>
        <w:jc w:val="left"/>
        <w:rPr>
          <w:rFonts w:ascii="宋体" w:hAnsi="宋体" w:cs="宋体"/>
          <w:szCs w:val="21"/>
        </w:rPr>
      </w:pPr>
      <w:r>
        <w:rPr>
          <w:rFonts w:hint="eastAsia" w:ascii="宋体" w:hAnsi="宋体" w:cs="宋体"/>
          <w:szCs w:val="21"/>
        </w:rPr>
        <w:t>供应商（盖章）：</w:t>
      </w:r>
    </w:p>
    <w:p w14:paraId="203AD18B">
      <w:pPr>
        <w:spacing w:line="400" w:lineRule="exact"/>
        <w:jc w:val="left"/>
        <w:rPr>
          <w:rFonts w:ascii="宋体" w:hAnsi="宋体" w:cs="宋体"/>
          <w:szCs w:val="21"/>
        </w:rPr>
      </w:pPr>
      <w:r>
        <w:rPr>
          <w:rFonts w:hint="eastAsia" w:ascii="宋体" w:hAnsi="宋体" w:cs="宋体"/>
          <w:szCs w:val="21"/>
        </w:rPr>
        <w:t>日          期：</w:t>
      </w:r>
    </w:p>
    <w:p w14:paraId="03339D57">
      <w:pPr>
        <w:rPr>
          <w:rFonts w:ascii="宋体" w:hAnsi="宋体" w:cs="宋体"/>
          <w:szCs w:val="21"/>
        </w:rPr>
      </w:pPr>
      <w:r>
        <w:rPr>
          <w:rFonts w:hint="eastAsia" w:ascii="宋体" w:hAnsi="宋体" w:cs="宋体"/>
          <w:szCs w:val="21"/>
        </w:rPr>
        <w:br w:type="page"/>
      </w:r>
    </w:p>
    <w:p w14:paraId="1709C7B9">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中小企业声明函（适用于标项三十三）</w:t>
      </w:r>
    </w:p>
    <w:p w14:paraId="6BE75921">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7741180D">
      <w:pPr>
        <w:spacing w:line="400" w:lineRule="exact"/>
        <w:ind w:firstLine="420" w:firstLineChars="200"/>
        <w:rPr>
          <w:rFonts w:ascii="宋体" w:hAnsi="宋体" w:cs="宋体"/>
        </w:rPr>
      </w:pPr>
      <w:r>
        <w:rPr>
          <w:rFonts w:hint="eastAsia" w:ascii="宋体" w:hAnsi="宋体" w:cs="宋体"/>
          <w:u w:val="single"/>
        </w:rPr>
        <w:t xml:space="preserve"> 网上报告厅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8D0713A">
      <w:pPr>
        <w:spacing w:line="400" w:lineRule="exact"/>
        <w:ind w:firstLine="420" w:firstLineChars="200"/>
        <w:rPr>
          <w:rFonts w:ascii="宋体" w:hAnsi="宋体" w:cs="宋体"/>
        </w:rPr>
      </w:pPr>
      <w:r>
        <w:rPr>
          <w:rFonts w:hint="eastAsia" w:ascii="宋体" w:hAnsi="宋体" w:cs="宋体"/>
        </w:rPr>
        <w:t>......</w:t>
      </w:r>
    </w:p>
    <w:p w14:paraId="4BB10F46">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6C686FC2">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6C860E61">
      <w:pPr>
        <w:spacing w:line="400" w:lineRule="exact"/>
        <w:ind w:firstLine="420" w:firstLineChars="200"/>
        <w:rPr>
          <w:rFonts w:ascii="宋体" w:hAnsi="宋体" w:cs="宋体"/>
        </w:rPr>
      </w:pPr>
    </w:p>
    <w:p w14:paraId="62DAE4E0">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32EEFE69">
      <w:pPr>
        <w:spacing w:line="400" w:lineRule="exact"/>
        <w:ind w:firstLine="420" w:firstLineChars="200"/>
        <w:rPr>
          <w:rFonts w:ascii="宋体" w:hAnsi="宋体" w:cs="宋体"/>
        </w:rPr>
      </w:pPr>
    </w:p>
    <w:p w14:paraId="39BB2907">
      <w:pPr>
        <w:spacing w:line="400" w:lineRule="exact"/>
        <w:jc w:val="left"/>
        <w:rPr>
          <w:rFonts w:ascii="宋体" w:hAnsi="宋体" w:cs="宋体"/>
          <w:szCs w:val="21"/>
        </w:rPr>
      </w:pPr>
      <w:r>
        <w:rPr>
          <w:rFonts w:hint="eastAsia" w:ascii="宋体" w:hAnsi="宋体" w:cs="宋体"/>
          <w:szCs w:val="21"/>
        </w:rPr>
        <w:t>供应商（盖章）：</w:t>
      </w:r>
    </w:p>
    <w:p w14:paraId="12695794">
      <w:pPr>
        <w:spacing w:line="400" w:lineRule="exact"/>
        <w:jc w:val="left"/>
        <w:rPr>
          <w:rFonts w:ascii="宋体" w:hAnsi="宋体" w:cs="宋体"/>
          <w:szCs w:val="21"/>
        </w:rPr>
      </w:pPr>
      <w:r>
        <w:rPr>
          <w:rFonts w:hint="eastAsia" w:ascii="宋体" w:hAnsi="宋体" w:cs="宋体"/>
          <w:szCs w:val="21"/>
        </w:rPr>
        <w:t>日          期：</w:t>
      </w:r>
    </w:p>
    <w:p w14:paraId="55424E7B">
      <w:pPr>
        <w:rPr>
          <w:rFonts w:ascii="宋体" w:hAnsi="宋体" w:cs="宋体"/>
          <w:szCs w:val="21"/>
        </w:rPr>
      </w:pPr>
      <w:r>
        <w:rPr>
          <w:rFonts w:hint="eastAsia" w:ascii="宋体" w:hAnsi="宋体" w:cs="宋体"/>
          <w:szCs w:val="21"/>
        </w:rPr>
        <w:br w:type="page"/>
      </w:r>
    </w:p>
    <w:p w14:paraId="5D190E41">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中小企业声明函（适用于标项三十四）</w:t>
      </w:r>
    </w:p>
    <w:p w14:paraId="04AFDEBB">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10E6BDA1">
      <w:pPr>
        <w:spacing w:line="400" w:lineRule="exact"/>
        <w:ind w:firstLine="420" w:firstLineChars="200"/>
        <w:rPr>
          <w:rFonts w:ascii="宋体" w:hAnsi="宋体" w:cs="宋体"/>
        </w:rPr>
      </w:pPr>
      <w:r>
        <w:rPr>
          <w:rFonts w:hint="eastAsia" w:ascii="宋体" w:hAnsi="宋体" w:cs="宋体"/>
          <w:u w:val="single"/>
        </w:rPr>
        <w:t xml:space="preserve"> 万方数据库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77DC4DF3">
      <w:pPr>
        <w:spacing w:line="400" w:lineRule="exact"/>
        <w:ind w:firstLine="420" w:firstLineChars="200"/>
        <w:rPr>
          <w:rFonts w:ascii="宋体" w:hAnsi="宋体" w:cs="宋体"/>
        </w:rPr>
      </w:pPr>
      <w:r>
        <w:rPr>
          <w:rFonts w:hint="eastAsia" w:ascii="宋体" w:hAnsi="宋体" w:cs="宋体"/>
        </w:rPr>
        <w:t>......</w:t>
      </w:r>
    </w:p>
    <w:p w14:paraId="2F49F139">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298B931">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FB79D43">
      <w:pPr>
        <w:spacing w:line="400" w:lineRule="exact"/>
        <w:ind w:firstLine="420" w:firstLineChars="200"/>
        <w:rPr>
          <w:rFonts w:ascii="宋体" w:hAnsi="宋体" w:cs="宋体"/>
        </w:rPr>
      </w:pPr>
    </w:p>
    <w:p w14:paraId="4E55910F">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228F88B4">
      <w:pPr>
        <w:spacing w:line="400" w:lineRule="exact"/>
        <w:ind w:firstLine="420" w:firstLineChars="200"/>
        <w:rPr>
          <w:rFonts w:ascii="宋体" w:hAnsi="宋体" w:cs="宋体"/>
        </w:rPr>
      </w:pPr>
    </w:p>
    <w:p w14:paraId="43B08AC6">
      <w:pPr>
        <w:spacing w:line="400" w:lineRule="exact"/>
        <w:jc w:val="left"/>
        <w:rPr>
          <w:rFonts w:ascii="宋体" w:hAnsi="宋体" w:cs="宋体"/>
          <w:szCs w:val="21"/>
        </w:rPr>
      </w:pPr>
      <w:r>
        <w:rPr>
          <w:rFonts w:hint="eastAsia" w:ascii="宋体" w:hAnsi="宋体" w:cs="宋体"/>
          <w:szCs w:val="21"/>
        </w:rPr>
        <w:t>供应商（盖章）：</w:t>
      </w:r>
    </w:p>
    <w:p w14:paraId="712692C2">
      <w:pPr>
        <w:spacing w:line="400" w:lineRule="exact"/>
        <w:jc w:val="left"/>
        <w:rPr>
          <w:rFonts w:ascii="宋体" w:hAnsi="宋体" w:cs="宋体"/>
          <w:szCs w:val="21"/>
        </w:rPr>
      </w:pPr>
      <w:r>
        <w:rPr>
          <w:rFonts w:hint="eastAsia" w:ascii="宋体" w:hAnsi="宋体" w:cs="宋体"/>
          <w:szCs w:val="21"/>
        </w:rPr>
        <w:t>日          期：</w:t>
      </w:r>
    </w:p>
    <w:p w14:paraId="00201DE1">
      <w:pPr>
        <w:rPr>
          <w:rFonts w:ascii="宋体" w:hAnsi="宋体" w:cs="宋体"/>
          <w:szCs w:val="21"/>
        </w:rPr>
      </w:pPr>
      <w:r>
        <w:rPr>
          <w:rFonts w:hint="eastAsia" w:ascii="宋体" w:hAnsi="宋体" w:cs="宋体"/>
          <w:szCs w:val="21"/>
        </w:rPr>
        <w:br w:type="page"/>
      </w:r>
    </w:p>
    <w:p w14:paraId="10922F3B">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中小企业声明函（适用于标项三十五）</w:t>
      </w:r>
    </w:p>
    <w:p w14:paraId="7A0B1B99">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5E19A304">
      <w:pPr>
        <w:spacing w:line="400" w:lineRule="exact"/>
        <w:ind w:firstLine="420" w:firstLineChars="200"/>
        <w:rPr>
          <w:rFonts w:ascii="宋体" w:hAnsi="宋体" w:cs="宋体"/>
        </w:rPr>
      </w:pPr>
      <w:r>
        <w:rPr>
          <w:rFonts w:hint="eastAsia" w:ascii="宋体" w:hAnsi="宋体" w:cs="宋体"/>
          <w:u w:val="single"/>
        </w:rPr>
        <w:t xml:space="preserve"> 知网CNKI总库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04EFA39">
      <w:pPr>
        <w:spacing w:line="400" w:lineRule="exact"/>
        <w:ind w:firstLine="420" w:firstLineChars="200"/>
        <w:rPr>
          <w:rFonts w:ascii="宋体" w:hAnsi="宋体" w:cs="宋体"/>
        </w:rPr>
      </w:pPr>
      <w:r>
        <w:rPr>
          <w:rFonts w:hint="eastAsia" w:ascii="宋体" w:hAnsi="宋体" w:cs="宋体"/>
        </w:rPr>
        <w:t>......</w:t>
      </w:r>
    </w:p>
    <w:p w14:paraId="578A6483">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A9D3631">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236E4E8">
      <w:pPr>
        <w:spacing w:line="400" w:lineRule="exact"/>
        <w:ind w:firstLine="420" w:firstLineChars="200"/>
        <w:rPr>
          <w:rFonts w:ascii="宋体" w:hAnsi="宋体" w:cs="宋体"/>
        </w:rPr>
      </w:pPr>
    </w:p>
    <w:p w14:paraId="7AA1EB93">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4C34154">
      <w:pPr>
        <w:spacing w:line="400" w:lineRule="exact"/>
        <w:ind w:firstLine="420" w:firstLineChars="200"/>
        <w:rPr>
          <w:rFonts w:ascii="宋体" w:hAnsi="宋体" w:cs="宋体"/>
        </w:rPr>
      </w:pPr>
    </w:p>
    <w:p w14:paraId="22E51D7A">
      <w:pPr>
        <w:spacing w:line="400" w:lineRule="exact"/>
        <w:jc w:val="left"/>
        <w:rPr>
          <w:rFonts w:ascii="宋体" w:hAnsi="宋体" w:cs="宋体"/>
          <w:szCs w:val="21"/>
        </w:rPr>
      </w:pPr>
      <w:r>
        <w:rPr>
          <w:rFonts w:hint="eastAsia" w:ascii="宋体" w:hAnsi="宋体" w:cs="宋体"/>
          <w:szCs w:val="21"/>
        </w:rPr>
        <w:t>供应商（盖章）：</w:t>
      </w:r>
    </w:p>
    <w:p w14:paraId="4F0713D5">
      <w:pPr>
        <w:spacing w:line="400" w:lineRule="exact"/>
        <w:jc w:val="left"/>
        <w:rPr>
          <w:rFonts w:ascii="宋体" w:hAnsi="宋体" w:cs="宋体"/>
          <w:szCs w:val="21"/>
        </w:rPr>
      </w:pPr>
      <w:r>
        <w:rPr>
          <w:rFonts w:hint="eastAsia" w:ascii="宋体" w:hAnsi="宋体" w:cs="宋体"/>
          <w:szCs w:val="21"/>
        </w:rPr>
        <w:t>日          期：</w:t>
      </w:r>
    </w:p>
    <w:p w14:paraId="2A8FDC51">
      <w:pPr>
        <w:rPr>
          <w:rFonts w:ascii="宋体" w:hAnsi="宋体" w:cs="宋体"/>
          <w:szCs w:val="21"/>
        </w:rPr>
      </w:pPr>
      <w:r>
        <w:rPr>
          <w:rFonts w:hint="eastAsia" w:ascii="宋体" w:hAnsi="宋体" w:cs="宋体"/>
          <w:szCs w:val="21"/>
        </w:rPr>
        <w:br w:type="page"/>
      </w:r>
    </w:p>
    <w:p w14:paraId="414E0567">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中小企业声明函（适用于标项三十六）</w:t>
      </w:r>
    </w:p>
    <w:p w14:paraId="23F4D077">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278DC058">
      <w:pPr>
        <w:spacing w:line="400" w:lineRule="exact"/>
        <w:ind w:firstLine="420" w:firstLineChars="200"/>
        <w:rPr>
          <w:rFonts w:ascii="宋体" w:hAnsi="宋体" w:cs="宋体"/>
        </w:rPr>
      </w:pPr>
      <w:r>
        <w:rPr>
          <w:rFonts w:hint="eastAsia" w:ascii="宋体" w:hAnsi="宋体" w:cs="宋体"/>
          <w:u w:val="single"/>
        </w:rPr>
        <w:t xml:space="preserve"> 人大报刊复印资料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1636AD67">
      <w:pPr>
        <w:spacing w:line="400" w:lineRule="exact"/>
        <w:ind w:firstLine="420" w:firstLineChars="200"/>
        <w:rPr>
          <w:rFonts w:ascii="宋体" w:hAnsi="宋体" w:cs="宋体"/>
        </w:rPr>
      </w:pPr>
      <w:r>
        <w:rPr>
          <w:rFonts w:hint="eastAsia" w:ascii="宋体" w:hAnsi="宋体" w:cs="宋体"/>
        </w:rPr>
        <w:t>......</w:t>
      </w:r>
    </w:p>
    <w:p w14:paraId="5118799E">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66C7D77">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02550E61">
      <w:pPr>
        <w:spacing w:line="400" w:lineRule="exact"/>
        <w:ind w:firstLine="420" w:firstLineChars="200"/>
        <w:rPr>
          <w:rFonts w:ascii="宋体" w:hAnsi="宋体" w:cs="宋体"/>
        </w:rPr>
      </w:pPr>
    </w:p>
    <w:p w14:paraId="0D490DEC">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06D059A9">
      <w:pPr>
        <w:spacing w:line="400" w:lineRule="exact"/>
        <w:ind w:firstLine="420" w:firstLineChars="200"/>
        <w:rPr>
          <w:rFonts w:ascii="宋体" w:hAnsi="宋体" w:cs="宋体"/>
        </w:rPr>
      </w:pPr>
    </w:p>
    <w:p w14:paraId="3054D424">
      <w:pPr>
        <w:spacing w:line="400" w:lineRule="exact"/>
        <w:jc w:val="left"/>
        <w:rPr>
          <w:rFonts w:ascii="宋体" w:hAnsi="宋体" w:cs="宋体"/>
          <w:szCs w:val="21"/>
        </w:rPr>
      </w:pPr>
      <w:r>
        <w:rPr>
          <w:rFonts w:hint="eastAsia" w:ascii="宋体" w:hAnsi="宋体" w:cs="宋体"/>
          <w:szCs w:val="21"/>
        </w:rPr>
        <w:t>供应商（盖章）：</w:t>
      </w:r>
    </w:p>
    <w:p w14:paraId="52C4FC8C">
      <w:pPr>
        <w:spacing w:line="400" w:lineRule="exact"/>
        <w:jc w:val="left"/>
        <w:rPr>
          <w:rFonts w:ascii="宋体" w:hAnsi="宋体" w:cs="宋体"/>
          <w:szCs w:val="21"/>
        </w:rPr>
      </w:pPr>
      <w:r>
        <w:rPr>
          <w:rFonts w:hint="eastAsia" w:ascii="宋体" w:hAnsi="宋体" w:cs="宋体"/>
          <w:szCs w:val="21"/>
        </w:rPr>
        <w:t>日          期：</w:t>
      </w:r>
    </w:p>
    <w:p w14:paraId="60F6CCA2">
      <w:pPr>
        <w:rPr>
          <w:rFonts w:ascii="宋体" w:hAnsi="宋体" w:cs="宋体"/>
          <w:szCs w:val="21"/>
        </w:rPr>
      </w:pPr>
      <w:r>
        <w:rPr>
          <w:rFonts w:hint="eastAsia" w:ascii="宋体" w:hAnsi="宋体" w:cs="宋体"/>
          <w:szCs w:val="21"/>
        </w:rPr>
        <w:br w:type="page"/>
      </w:r>
    </w:p>
    <w:p w14:paraId="7BE78004">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中小企业声明函（适用于标项三十七）</w:t>
      </w:r>
    </w:p>
    <w:p w14:paraId="24A2815A">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43B1EF37">
      <w:pPr>
        <w:spacing w:line="400" w:lineRule="exact"/>
        <w:ind w:firstLine="420" w:firstLineChars="200"/>
        <w:rPr>
          <w:rFonts w:ascii="宋体" w:hAnsi="宋体" w:cs="宋体"/>
        </w:rPr>
      </w:pPr>
      <w:r>
        <w:rPr>
          <w:rFonts w:hint="eastAsia" w:ascii="宋体" w:hAnsi="宋体" w:cs="宋体"/>
          <w:u w:val="single"/>
        </w:rPr>
        <w:t xml:space="preserve"> 经纶元数据服务平台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055CF711">
      <w:pPr>
        <w:spacing w:line="400" w:lineRule="exact"/>
        <w:ind w:firstLine="420" w:firstLineChars="200"/>
        <w:rPr>
          <w:rFonts w:ascii="宋体" w:hAnsi="宋体" w:cs="宋体"/>
        </w:rPr>
      </w:pPr>
      <w:r>
        <w:rPr>
          <w:rFonts w:hint="eastAsia" w:ascii="宋体" w:hAnsi="宋体" w:cs="宋体"/>
        </w:rPr>
        <w:t>......</w:t>
      </w:r>
    </w:p>
    <w:p w14:paraId="4F58D983">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D23582E">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1B180200">
      <w:pPr>
        <w:spacing w:line="400" w:lineRule="exact"/>
        <w:ind w:firstLine="420" w:firstLineChars="200"/>
        <w:rPr>
          <w:rFonts w:ascii="宋体" w:hAnsi="宋体" w:cs="宋体"/>
        </w:rPr>
      </w:pPr>
    </w:p>
    <w:p w14:paraId="7962E18B">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2415C807">
      <w:pPr>
        <w:spacing w:line="400" w:lineRule="exact"/>
        <w:ind w:firstLine="420" w:firstLineChars="200"/>
        <w:rPr>
          <w:rFonts w:ascii="宋体" w:hAnsi="宋体" w:cs="宋体"/>
        </w:rPr>
      </w:pPr>
    </w:p>
    <w:p w14:paraId="56922228">
      <w:pPr>
        <w:spacing w:line="400" w:lineRule="exact"/>
        <w:jc w:val="left"/>
        <w:rPr>
          <w:rFonts w:ascii="宋体" w:hAnsi="宋体" w:cs="宋体"/>
          <w:szCs w:val="21"/>
        </w:rPr>
      </w:pPr>
      <w:r>
        <w:rPr>
          <w:rFonts w:hint="eastAsia" w:ascii="宋体" w:hAnsi="宋体" w:cs="宋体"/>
          <w:szCs w:val="21"/>
        </w:rPr>
        <w:t>供应商（盖章）：</w:t>
      </w:r>
    </w:p>
    <w:p w14:paraId="02B61EB9">
      <w:pPr>
        <w:spacing w:line="400" w:lineRule="exact"/>
        <w:jc w:val="left"/>
        <w:rPr>
          <w:rFonts w:ascii="宋体" w:hAnsi="宋体" w:cs="宋体"/>
          <w:szCs w:val="21"/>
        </w:rPr>
      </w:pPr>
      <w:r>
        <w:rPr>
          <w:rFonts w:hint="eastAsia" w:ascii="宋体" w:hAnsi="宋体" w:cs="宋体"/>
          <w:szCs w:val="21"/>
        </w:rPr>
        <w:t>日          期：</w:t>
      </w:r>
    </w:p>
    <w:p w14:paraId="6C49E1D1">
      <w:pPr>
        <w:rPr>
          <w:rFonts w:ascii="宋体" w:hAnsi="宋体" w:cs="宋体"/>
          <w:szCs w:val="21"/>
        </w:rPr>
      </w:pPr>
      <w:r>
        <w:rPr>
          <w:rFonts w:hint="eastAsia" w:ascii="宋体" w:hAnsi="宋体" w:cs="宋体"/>
          <w:szCs w:val="21"/>
        </w:rPr>
        <w:br w:type="page"/>
      </w:r>
    </w:p>
    <w:p w14:paraId="1B1736C6">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中小企业声明函（适用于标项三十八）</w:t>
      </w:r>
    </w:p>
    <w:p w14:paraId="09E2572B">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D5B624E">
      <w:pPr>
        <w:spacing w:line="400" w:lineRule="exact"/>
        <w:ind w:firstLine="420" w:firstLineChars="200"/>
        <w:rPr>
          <w:rFonts w:ascii="宋体" w:hAnsi="宋体" w:cs="宋体"/>
        </w:rPr>
      </w:pPr>
      <w:r>
        <w:rPr>
          <w:rFonts w:hint="eastAsia" w:ascii="宋体" w:hAnsi="宋体" w:cs="宋体"/>
          <w:u w:val="single"/>
        </w:rPr>
        <w:t xml:space="preserve"> 中文社会科学引文索引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5C2E8F8D">
      <w:pPr>
        <w:spacing w:line="400" w:lineRule="exact"/>
        <w:ind w:firstLine="420" w:firstLineChars="200"/>
        <w:rPr>
          <w:rFonts w:ascii="宋体" w:hAnsi="宋体" w:cs="宋体"/>
        </w:rPr>
      </w:pPr>
      <w:r>
        <w:rPr>
          <w:rFonts w:hint="eastAsia" w:ascii="宋体" w:hAnsi="宋体" w:cs="宋体"/>
        </w:rPr>
        <w:t>......</w:t>
      </w:r>
    </w:p>
    <w:p w14:paraId="0F827655">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C7FF94C">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FCF06A7">
      <w:pPr>
        <w:spacing w:line="400" w:lineRule="exact"/>
        <w:ind w:firstLine="420" w:firstLineChars="200"/>
        <w:rPr>
          <w:rFonts w:ascii="宋体" w:hAnsi="宋体" w:cs="宋体"/>
        </w:rPr>
      </w:pPr>
    </w:p>
    <w:p w14:paraId="0FFF4A68">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1297A726">
      <w:pPr>
        <w:spacing w:line="400" w:lineRule="exact"/>
        <w:ind w:firstLine="420" w:firstLineChars="200"/>
        <w:rPr>
          <w:rFonts w:ascii="宋体" w:hAnsi="宋体" w:cs="宋体"/>
        </w:rPr>
      </w:pPr>
    </w:p>
    <w:p w14:paraId="76889A92">
      <w:pPr>
        <w:spacing w:line="400" w:lineRule="exact"/>
        <w:jc w:val="left"/>
        <w:rPr>
          <w:rFonts w:ascii="宋体" w:hAnsi="宋体" w:cs="宋体"/>
          <w:szCs w:val="21"/>
        </w:rPr>
      </w:pPr>
      <w:r>
        <w:rPr>
          <w:rFonts w:hint="eastAsia" w:ascii="宋体" w:hAnsi="宋体" w:cs="宋体"/>
          <w:szCs w:val="21"/>
        </w:rPr>
        <w:t>供应商（盖章）：</w:t>
      </w:r>
    </w:p>
    <w:p w14:paraId="5559300B">
      <w:pPr>
        <w:spacing w:line="400" w:lineRule="exact"/>
        <w:jc w:val="left"/>
        <w:rPr>
          <w:rFonts w:ascii="宋体" w:hAnsi="宋体" w:cs="宋体"/>
          <w:szCs w:val="21"/>
        </w:rPr>
      </w:pPr>
      <w:r>
        <w:rPr>
          <w:rFonts w:hint="eastAsia" w:ascii="宋体" w:hAnsi="宋体" w:cs="宋体"/>
          <w:szCs w:val="21"/>
        </w:rPr>
        <w:t>日          期：</w:t>
      </w:r>
    </w:p>
    <w:p w14:paraId="0A0B6300">
      <w:pPr>
        <w:rPr>
          <w:rFonts w:ascii="宋体" w:hAnsi="宋体" w:cs="宋体"/>
          <w:szCs w:val="21"/>
        </w:rPr>
      </w:pPr>
      <w:r>
        <w:rPr>
          <w:rFonts w:hint="eastAsia" w:ascii="宋体" w:hAnsi="宋体" w:cs="宋体"/>
          <w:szCs w:val="21"/>
        </w:rPr>
        <w:br w:type="page"/>
      </w:r>
    </w:p>
    <w:p w14:paraId="4C41E7AE">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中小企业声明函（适用于标项三十九）</w:t>
      </w:r>
    </w:p>
    <w:p w14:paraId="4C917C7E">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27CB9519">
      <w:pPr>
        <w:spacing w:line="400" w:lineRule="exact"/>
        <w:ind w:firstLine="420" w:firstLineChars="200"/>
        <w:rPr>
          <w:rFonts w:ascii="宋体" w:hAnsi="宋体" w:cs="宋体"/>
        </w:rPr>
      </w:pPr>
      <w:r>
        <w:rPr>
          <w:rFonts w:hint="eastAsia" w:ascii="宋体" w:hAnsi="宋体" w:cs="宋体"/>
          <w:u w:val="single"/>
        </w:rPr>
        <w:t xml:space="preserve"> 超星期刊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3C13BC7C">
      <w:pPr>
        <w:spacing w:line="400" w:lineRule="exact"/>
        <w:ind w:firstLine="420" w:firstLineChars="200"/>
        <w:rPr>
          <w:rFonts w:ascii="宋体" w:hAnsi="宋体" w:cs="宋体"/>
        </w:rPr>
      </w:pPr>
      <w:r>
        <w:rPr>
          <w:rFonts w:hint="eastAsia" w:ascii="宋体" w:hAnsi="宋体" w:cs="宋体"/>
        </w:rPr>
        <w:t>......</w:t>
      </w:r>
    </w:p>
    <w:p w14:paraId="1F36B21B">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ED4988E">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0B074D53">
      <w:pPr>
        <w:spacing w:line="400" w:lineRule="exact"/>
        <w:ind w:firstLine="420" w:firstLineChars="200"/>
        <w:rPr>
          <w:rFonts w:ascii="宋体" w:hAnsi="宋体" w:cs="宋体"/>
        </w:rPr>
      </w:pPr>
    </w:p>
    <w:p w14:paraId="79EF8AC8">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7F67B28A">
      <w:pPr>
        <w:spacing w:line="400" w:lineRule="exact"/>
        <w:ind w:firstLine="420" w:firstLineChars="200"/>
        <w:rPr>
          <w:rFonts w:ascii="宋体" w:hAnsi="宋体" w:cs="宋体"/>
        </w:rPr>
      </w:pPr>
    </w:p>
    <w:p w14:paraId="738E6484">
      <w:pPr>
        <w:spacing w:line="400" w:lineRule="exact"/>
        <w:jc w:val="left"/>
        <w:rPr>
          <w:rFonts w:ascii="宋体" w:hAnsi="宋体" w:cs="宋体"/>
          <w:szCs w:val="21"/>
        </w:rPr>
      </w:pPr>
      <w:r>
        <w:rPr>
          <w:rFonts w:hint="eastAsia" w:ascii="宋体" w:hAnsi="宋体" w:cs="宋体"/>
          <w:szCs w:val="21"/>
        </w:rPr>
        <w:t>供应商（盖章）：</w:t>
      </w:r>
    </w:p>
    <w:p w14:paraId="0DC3B0D1">
      <w:pPr>
        <w:spacing w:line="400" w:lineRule="exact"/>
        <w:jc w:val="left"/>
        <w:rPr>
          <w:rFonts w:ascii="宋体" w:hAnsi="宋体" w:cs="宋体"/>
          <w:szCs w:val="21"/>
        </w:rPr>
      </w:pPr>
      <w:r>
        <w:rPr>
          <w:rFonts w:hint="eastAsia" w:ascii="宋体" w:hAnsi="宋体" w:cs="宋体"/>
          <w:szCs w:val="21"/>
        </w:rPr>
        <w:t>日          期：</w:t>
      </w:r>
    </w:p>
    <w:p w14:paraId="70A2DBAC">
      <w:pPr>
        <w:rPr>
          <w:rFonts w:ascii="宋体" w:hAnsi="宋体" w:cs="宋体"/>
          <w:szCs w:val="21"/>
        </w:rPr>
      </w:pPr>
      <w:r>
        <w:rPr>
          <w:rFonts w:hint="eastAsia" w:ascii="宋体" w:hAnsi="宋体" w:cs="宋体"/>
          <w:szCs w:val="21"/>
        </w:rPr>
        <w:br w:type="page"/>
      </w:r>
    </w:p>
    <w:p w14:paraId="2BCBB389">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中小企业声明函（适用于标项四十）</w:t>
      </w:r>
    </w:p>
    <w:p w14:paraId="0B07DE07">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A819378">
      <w:pPr>
        <w:spacing w:line="400" w:lineRule="exact"/>
        <w:ind w:firstLine="420" w:firstLineChars="200"/>
        <w:rPr>
          <w:rFonts w:ascii="宋体" w:hAnsi="宋体" w:cs="宋体"/>
        </w:rPr>
      </w:pPr>
      <w:r>
        <w:rPr>
          <w:rFonts w:hint="eastAsia" w:ascii="宋体" w:hAnsi="宋体" w:cs="宋体"/>
          <w:u w:val="single"/>
        </w:rPr>
        <w:t xml:space="preserve"> Scival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16378976">
      <w:pPr>
        <w:spacing w:line="400" w:lineRule="exact"/>
        <w:ind w:firstLine="420" w:firstLineChars="200"/>
        <w:rPr>
          <w:rFonts w:ascii="宋体" w:hAnsi="宋体" w:cs="宋体"/>
        </w:rPr>
      </w:pPr>
      <w:r>
        <w:rPr>
          <w:rFonts w:hint="eastAsia" w:ascii="宋体" w:hAnsi="宋体" w:cs="宋体"/>
        </w:rPr>
        <w:t>......</w:t>
      </w:r>
    </w:p>
    <w:p w14:paraId="03E2DE19">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6A36435">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0320EDC4">
      <w:pPr>
        <w:spacing w:line="400" w:lineRule="exact"/>
        <w:ind w:firstLine="420" w:firstLineChars="200"/>
        <w:rPr>
          <w:rFonts w:ascii="宋体" w:hAnsi="宋体" w:cs="宋体"/>
        </w:rPr>
      </w:pPr>
    </w:p>
    <w:p w14:paraId="37B0F8FD">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04F01882">
      <w:pPr>
        <w:spacing w:line="400" w:lineRule="exact"/>
        <w:ind w:firstLine="420" w:firstLineChars="200"/>
        <w:rPr>
          <w:rFonts w:ascii="宋体" w:hAnsi="宋体" w:cs="宋体"/>
        </w:rPr>
      </w:pPr>
    </w:p>
    <w:p w14:paraId="6B794DFE">
      <w:pPr>
        <w:spacing w:line="400" w:lineRule="exact"/>
        <w:jc w:val="left"/>
        <w:rPr>
          <w:rFonts w:ascii="宋体" w:hAnsi="宋体" w:cs="宋体"/>
          <w:szCs w:val="21"/>
        </w:rPr>
      </w:pPr>
      <w:r>
        <w:rPr>
          <w:rFonts w:hint="eastAsia" w:ascii="宋体" w:hAnsi="宋体" w:cs="宋体"/>
          <w:szCs w:val="21"/>
        </w:rPr>
        <w:t>供应商（盖章）：</w:t>
      </w:r>
    </w:p>
    <w:p w14:paraId="7CC3DB72">
      <w:pPr>
        <w:spacing w:line="400" w:lineRule="exact"/>
        <w:jc w:val="left"/>
        <w:rPr>
          <w:rFonts w:ascii="宋体" w:hAnsi="宋体" w:cs="宋体"/>
          <w:szCs w:val="21"/>
        </w:rPr>
      </w:pPr>
      <w:r>
        <w:rPr>
          <w:rFonts w:hint="eastAsia" w:ascii="宋体" w:hAnsi="宋体" w:cs="宋体"/>
          <w:szCs w:val="21"/>
        </w:rPr>
        <w:t>日          期：</w:t>
      </w:r>
    </w:p>
    <w:p w14:paraId="2C4B24FF">
      <w:pPr>
        <w:rPr>
          <w:rFonts w:ascii="宋体" w:hAnsi="宋体" w:cs="宋体"/>
          <w:szCs w:val="21"/>
        </w:rPr>
      </w:pPr>
      <w:r>
        <w:rPr>
          <w:rFonts w:hint="eastAsia" w:ascii="宋体" w:hAnsi="宋体" w:cs="宋体"/>
          <w:szCs w:val="21"/>
        </w:rPr>
        <w:br w:type="page"/>
      </w:r>
    </w:p>
    <w:p w14:paraId="7EC367C6">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中小企业声明函（适用于标项四十一）</w:t>
      </w:r>
    </w:p>
    <w:p w14:paraId="2EE82703">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155B0AC8">
      <w:pPr>
        <w:spacing w:line="400" w:lineRule="exact"/>
        <w:ind w:firstLine="420" w:firstLineChars="200"/>
        <w:rPr>
          <w:rFonts w:ascii="宋体" w:hAnsi="宋体" w:cs="宋体"/>
        </w:rPr>
      </w:pPr>
      <w:r>
        <w:rPr>
          <w:rFonts w:hint="eastAsia" w:ascii="宋体" w:hAnsi="宋体" w:cs="宋体"/>
          <w:u w:val="single"/>
        </w:rPr>
        <w:t xml:space="preserve"> 知衣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2D4C81C">
      <w:pPr>
        <w:spacing w:line="400" w:lineRule="exact"/>
        <w:ind w:firstLine="420" w:firstLineChars="200"/>
        <w:rPr>
          <w:rFonts w:ascii="宋体" w:hAnsi="宋体" w:cs="宋体"/>
        </w:rPr>
      </w:pPr>
      <w:r>
        <w:rPr>
          <w:rFonts w:hint="eastAsia" w:ascii="宋体" w:hAnsi="宋体" w:cs="宋体"/>
        </w:rPr>
        <w:t>......</w:t>
      </w:r>
    </w:p>
    <w:p w14:paraId="02EE8F14">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74E422D">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7778712">
      <w:pPr>
        <w:spacing w:line="400" w:lineRule="exact"/>
        <w:ind w:firstLine="420" w:firstLineChars="200"/>
        <w:rPr>
          <w:rFonts w:ascii="宋体" w:hAnsi="宋体" w:cs="宋体"/>
        </w:rPr>
      </w:pPr>
    </w:p>
    <w:p w14:paraId="608A1119">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2FA692A4">
      <w:pPr>
        <w:spacing w:line="400" w:lineRule="exact"/>
        <w:ind w:firstLine="420" w:firstLineChars="200"/>
        <w:rPr>
          <w:rFonts w:ascii="宋体" w:hAnsi="宋体" w:cs="宋体"/>
        </w:rPr>
      </w:pPr>
    </w:p>
    <w:p w14:paraId="0D978F2B">
      <w:pPr>
        <w:spacing w:line="400" w:lineRule="exact"/>
        <w:jc w:val="left"/>
        <w:rPr>
          <w:rFonts w:ascii="宋体" w:hAnsi="宋体" w:cs="宋体"/>
          <w:szCs w:val="21"/>
        </w:rPr>
      </w:pPr>
      <w:r>
        <w:rPr>
          <w:rFonts w:hint="eastAsia" w:ascii="宋体" w:hAnsi="宋体" w:cs="宋体"/>
          <w:szCs w:val="21"/>
        </w:rPr>
        <w:t>供应商（盖章）：</w:t>
      </w:r>
    </w:p>
    <w:p w14:paraId="7A476E2A">
      <w:pPr>
        <w:spacing w:line="400" w:lineRule="exact"/>
        <w:jc w:val="left"/>
        <w:rPr>
          <w:rFonts w:ascii="宋体" w:hAnsi="宋体" w:cs="宋体"/>
          <w:szCs w:val="21"/>
        </w:rPr>
      </w:pPr>
      <w:r>
        <w:rPr>
          <w:rFonts w:hint="eastAsia" w:ascii="宋体" w:hAnsi="宋体" w:cs="宋体"/>
          <w:szCs w:val="21"/>
        </w:rPr>
        <w:t>日          期：</w:t>
      </w:r>
    </w:p>
    <w:p w14:paraId="1EC6CBEB">
      <w:pPr>
        <w:rPr>
          <w:rFonts w:ascii="宋体" w:hAnsi="宋体" w:cs="宋体"/>
          <w:szCs w:val="21"/>
        </w:rPr>
      </w:pPr>
      <w:r>
        <w:rPr>
          <w:rFonts w:hint="eastAsia" w:ascii="宋体" w:hAnsi="宋体" w:cs="宋体"/>
          <w:szCs w:val="21"/>
        </w:rPr>
        <w:br w:type="page"/>
      </w:r>
    </w:p>
    <w:p w14:paraId="18A5D1EF">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中小企业声明函（适用于标项四十二）</w:t>
      </w:r>
    </w:p>
    <w:p w14:paraId="460CC599">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47E6CB36">
      <w:pPr>
        <w:spacing w:line="400" w:lineRule="exact"/>
        <w:ind w:firstLine="420" w:firstLineChars="200"/>
        <w:rPr>
          <w:rFonts w:ascii="宋体" w:hAnsi="宋体" w:cs="宋体"/>
        </w:rPr>
      </w:pPr>
      <w:r>
        <w:rPr>
          <w:rFonts w:hint="eastAsia" w:ascii="宋体" w:hAnsi="宋体" w:cs="宋体"/>
          <w:u w:val="single"/>
        </w:rPr>
        <w:t xml:space="preserve"> 德古意特语言学文学期刊库（现刊）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38D8009E">
      <w:pPr>
        <w:spacing w:line="400" w:lineRule="exact"/>
        <w:ind w:firstLine="420" w:firstLineChars="200"/>
        <w:rPr>
          <w:rFonts w:ascii="宋体" w:hAnsi="宋体" w:cs="宋体"/>
        </w:rPr>
      </w:pPr>
      <w:r>
        <w:rPr>
          <w:rFonts w:hint="eastAsia" w:ascii="宋体" w:hAnsi="宋体" w:cs="宋体"/>
        </w:rPr>
        <w:t>......</w:t>
      </w:r>
    </w:p>
    <w:p w14:paraId="4C51D02B">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ED68F3F">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0B1B5EBF">
      <w:pPr>
        <w:spacing w:line="400" w:lineRule="exact"/>
        <w:ind w:firstLine="420" w:firstLineChars="200"/>
        <w:rPr>
          <w:rFonts w:ascii="宋体" w:hAnsi="宋体" w:cs="宋体"/>
        </w:rPr>
      </w:pPr>
    </w:p>
    <w:p w14:paraId="52FE8F11">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7FF88DAE">
      <w:pPr>
        <w:spacing w:line="400" w:lineRule="exact"/>
        <w:ind w:firstLine="420" w:firstLineChars="200"/>
        <w:rPr>
          <w:rFonts w:ascii="宋体" w:hAnsi="宋体" w:cs="宋体"/>
        </w:rPr>
      </w:pPr>
    </w:p>
    <w:p w14:paraId="56CFB80C">
      <w:pPr>
        <w:spacing w:line="400" w:lineRule="exact"/>
        <w:jc w:val="left"/>
        <w:rPr>
          <w:rFonts w:ascii="宋体" w:hAnsi="宋体" w:cs="宋体"/>
          <w:szCs w:val="21"/>
        </w:rPr>
      </w:pPr>
      <w:r>
        <w:rPr>
          <w:rFonts w:hint="eastAsia" w:ascii="宋体" w:hAnsi="宋体" w:cs="宋体"/>
          <w:szCs w:val="21"/>
        </w:rPr>
        <w:t>供应商（盖章）：</w:t>
      </w:r>
    </w:p>
    <w:p w14:paraId="743E89E1">
      <w:pPr>
        <w:spacing w:line="400" w:lineRule="exact"/>
        <w:jc w:val="left"/>
        <w:rPr>
          <w:rFonts w:ascii="宋体" w:hAnsi="宋体" w:cs="宋体"/>
          <w:szCs w:val="21"/>
        </w:rPr>
      </w:pPr>
      <w:r>
        <w:rPr>
          <w:rFonts w:hint="eastAsia" w:ascii="宋体" w:hAnsi="宋体" w:cs="宋体"/>
          <w:szCs w:val="21"/>
        </w:rPr>
        <w:t>日          期：</w:t>
      </w:r>
    </w:p>
    <w:p w14:paraId="388062EF">
      <w:pPr>
        <w:rPr>
          <w:rFonts w:ascii="宋体" w:hAnsi="宋体" w:cs="宋体"/>
          <w:szCs w:val="21"/>
        </w:rPr>
      </w:pPr>
      <w:r>
        <w:rPr>
          <w:rFonts w:hint="eastAsia" w:ascii="宋体" w:hAnsi="宋体" w:cs="宋体"/>
          <w:szCs w:val="21"/>
        </w:rPr>
        <w:br w:type="page"/>
      </w:r>
    </w:p>
    <w:p w14:paraId="29CF7E22">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中小企业声明函（适用于标项四十三）</w:t>
      </w:r>
    </w:p>
    <w:p w14:paraId="1E9D0CEE">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71692FBF">
      <w:pPr>
        <w:spacing w:line="400" w:lineRule="exact"/>
        <w:ind w:firstLine="420" w:firstLineChars="200"/>
        <w:rPr>
          <w:rFonts w:ascii="宋体" w:hAnsi="宋体" w:cs="宋体"/>
        </w:rPr>
      </w:pPr>
      <w:r>
        <w:rPr>
          <w:rFonts w:hint="eastAsia" w:ascii="宋体" w:hAnsi="宋体" w:cs="宋体"/>
          <w:u w:val="single"/>
        </w:rPr>
        <w:t xml:space="preserve"> 中华医学期刊全文数据库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1A65E78A">
      <w:pPr>
        <w:spacing w:line="400" w:lineRule="exact"/>
        <w:ind w:firstLine="420" w:firstLineChars="200"/>
        <w:rPr>
          <w:rFonts w:ascii="宋体" w:hAnsi="宋体" w:cs="宋体"/>
        </w:rPr>
      </w:pPr>
      <w:r>
        <w:rPr>
          <w:rFonts w:hint="eastAsia" w:ascii="宋体" w:hAnsi="宋体" w:cs="宋体"/>
        </w:rPr>
        <w:t>......</w:t>
      </w:r>
    </w:p>
    <w:p w14:paraId="3DB8F1F7">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83C0310">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034AEF7">
      <w:pPr>
        <w:spacing w:line="400" w:lineRule="exact"/>
        <w:ind w:firstLine="420" w:firstLineChars="200"/>
        <w:rPr>
          <w:rFonts w:ascii="宋体" w:hAnsi="宋体" w:cs="宋体"/>
        </w:rPr>
      </w:pPr>
    </w:p>
    <w:p w14:paraId="2E51829B">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0FD8AE63">
      <w:pPr>
        <w:spacing w:line="400" w:lineRule="exact"/>
        <w:ind w:firstLine="420" w:firstLineChars="200"/>
        <w:rPr>
          <w:rFonts w:ascii="宋体" w:hAnsi="宋体" w:cs="宋体"/>
        </w:rPr>
      </w:pPr>
    </w:p>
    <w:p w14:paraId="3C7B74EA">
      <w:pPr>
        <w:spacing w:line="400" w:lineRule="exact"/>
        <w:jc w:val="left"/>
        <w:rPr>
          <w:rFonts w:ascii="宋体" w:hAnsi="宋体" w:cs="宋体"/>
          <w:szCs w:val="21"/>
        </w:rPr>
      </w:pPr>
      <w:r>
        <w:rPr>
          <w:rFonts w:hint="eastAsia" w:ascii="宋体" w:hAnsi="宋体" w:cs="宋体"/>
          <w:szCs w:val="21"/>
        </w:rPr>
        <w:t>供应商（盖章）：</w:t>
      </w:r>
    </w:p>
    <w:p w14:paraId="281CB285">
      <w:pPr>
        <w:spacing w:line="400" w:lineRule="exact"/>
        <w:jc w:val="left"/>
        <w:rPr>
          <w:rFonts w:ascii="宋体" w:hAnsi="宋体" w:cs="宋体"/>
          <w:szCs w:val="21"/>
        </w:rPr>
      </w:pPr>
      <w:r>
        <w:rPr>
          <w:rFonts w:hint="eastAsia" w:ascii="宋体" w:hAnsi="宋体" w:cs="宋体"/>
          <w:szCs w:val="21"/>
        </w:rPr>
        <w:t>日          期：</w:t>
      </w:r>
    </w:p>
    <w:p w14:paraId="03EA3311">
      <w:pPr>
        <w:rPr>
          <w:rFonts w:ascii="宋体" w:hAnsi="宋体" w:cs="宋体"/>
          <w:szCs w:val="21"/>
        </w:rPr>
      </w:pPr>
      <w:r>
        <w:rPr>
          <w:rFonts w:hint="eastAsia" w:ascii="宋体" w:hAnsi="宋体" w:cs="宋体"/>
          <w:szCs w:val="21"/>
        </w:rPr>
        <w:br w:type="page"/>
      </w:r>
    </w:p>
    <w:p w14:paraId="7F90D6F9">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中小企业声明函（适用于标项四十四）</w:t>
      </w:r>
    </w:p>
    <w:p w14:paraId="725B0D44">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33F3CE9F">
      <w:pPr>
        <w:spacing w:line="400" w:lineRule="exact"/>
        <w:ind w:firstLine="420" w:firstLineChars="200"/>
        <w:rPr>
          <w:rFonts w:ascii="宋体" w:hAnsi="宋体" w:cs="宋体"/>
        </w:rPr>
      </w:pPr>
      <w:r>
        <w:rPr>
          <w:rFonts w:hint="eastAsia" w:ascii="宋体" w:hAnsi="宋体" w:cs="宋体"/>
          <w:u w:val="single"/>
        </w:rPr>
        <w:t xml:space="preserve"> 北大法宝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0694A022">
      <w:pPr>
        <w:spacing w:line="400" w:lineRule="exact"/>
        <w:ind w:firstLine="420" w:firstLineChars="200"/>
        <w:rPr>
          <w:rFonts w:ascii="宋体" w:hAnsi="宋体" w:cs="宋体"/>
        </w:rPr>
      </w:pPr>
      <w:r>
        <w:rPr>
          <w:rFonts w:hint="eastAsia" w:ascii="宋体" w:hAnsi="宋体" w:cs="宋体"/>
        </w:rPr>
        <w:t>......</w:t>
      </w:r>
    </w:p>
    <w:p w14:paraId="690EF51B">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5D6E95D">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599503AC">
      <w:pPr>
        <w:spacing w:line="400" w:lineRule="exact"/>
        <w:ind w:firstLine="420" w:firstLineChars="200"/>
        <w:rPr>
          <w:rFonts w:ascii="宋体" w:hAnsi="宋体" w:cs="宋体"/>
        </w:rPr>
      </w:pPr>
    </w:p>
    <w:p w14:paraId="66EF3AEB">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0A2FE5E7">
      <w:pPr>
        <w:spacing w:line="400" w:lineRule="exact"/>
        <w:ind w:firstLine="420" w:firstLineChars="200"/>
        <w:rPr>
          <w:rFonts w:ascii="宋体" w:hAnsi="宋体" w:cs="宋体"/>
        </w:rPr>
      </w:pPr>
    </w:p>
    <w:p w14:paraId="40C5FB0F">
      <w:pPr>
        <w:spacing w:line="400" w:lineRule="exact"/>
        <w:jc w:val="left"/>
        <w:rPr>
          <w:rFonts w:ascii="宋体" w:hAnsi="宋体" w:cs="宋体"/>
          <w:szCs w:val="21"/>
        </w:rPr>
      </w:pPr>
      <w:r>
        <w:rPr>
          <w:rFonts w:hint="eastAsia" w:ascii="宋体" w:hAnsi="宋体" w:cs="宋体"/>
          <w:szCs w:val="21"/>
        </w:rPr>
        <w:t>供应商（盖章）：</w:t>
      </w:r>
    </w:p>
    <w:p w14:paraId="3D41E151">
      <w:pPr>
        <w:spacing w:line="400" w:lineRule="exact"/>
        <w:jc w:val="left"/>
        <w:rPr>
          <w:rFonts w:ascii="宋体" w:hAnsi="宋体" w:cs="宋体"/>
          <w:szCs w:val="21"/>
        </w:rPr>
      </w:pPr>
      <w:r>
        <w:rPr>
          <w:rFonts w:hint="eastAsia" w:ascii="宋体" w:hAnsi="宋体" w:cs="宋体"/>
          <w:szCs w:val="21"/>
        </w:rPr>
        <w:t>日          期：</w:t>
      </w:r>
    </w:p>
    <w:p w14:paraId="55ABDAE9">
      <w:pPr>
        <w:rPr>
          <w:rFonts w:ascii="宋体" w:hAnsi="宋体" w:cs="宋体"/>
          <w:szCs w:val="21"/>
        </w:rPr>
      </w:pPr>
      <w:r>
        <w:rPr>
          <w:rFonts w:hint="eastAsia" w:ascii="宋体" w:hAnsi="宋体" w:cs="宋体"/>
          <w:szCs w:val="21"/>
        </w:rPr>
        <w:br w:type="page"/>
      </w:r>
    </w:p>
    <w:p w14:paraId="0590909B">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中小企业声明函（适用于标项四十五）</w:t>
      </w:r>
    </w:p>
    <w:p w14:paraId="13ADCF29">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012324F3">
      <w:pPr>
        <w:spacing w:line="400" w:lineRule="exact"/>
        <w:ind w:firstLine="420" w:firstLineChars="200"/>
        <w:rPr>
          <w:rFonts w:ascii="宋体" w:hAnsi="宋体" w:cs="宋体"/>
        </w:rPr>
      </w:pPr>
      <w:r>
        <w:rPr>
          <w:rFonts w:hint="eastAsia" w:ascii="宋体" w:hAnsi="宋体" w:cs="宋体"/>
          <w:u w:val="single"/>
        </w:rPr>
        <w:t xml:space="preserve"> MathSciNet数学评论＋AMS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61F9C07">
      <w:pPr>
        <w:spacing w:line="400" w:lineRule="exact"/>
        <w:ind w:firstLine="420" w:firstLineChars="200"/>
        <w:rPr>
          <w:rFonts w:ascii="宋体" w:hAnsi="宋体" w:cs="宋体"/>
        </w:rPr>
      </w:pPr>
      <w:r>
        <w:rPr>
          <w:rFonts w:hint="eastAsia" w:ascii="宋体" w:hAnsi="宋体" w:cs="宋体"/>
        </w:rPr>
        <w:t>......</w:t>
      </w:r>
    </w:p>
    <w:p w14:paraId="6E457A5C">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401FE846">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307367B">
      <w:pPr>
        <w:spacing w:line="400" w:lineRule="exact"/>
        <w:ind w:firstLine="420" w:firstLineChars="200"/>
        <w:rPr>
          <w:rFonts w:ascii="宋体" w:hAnsi="宋体" w:cs="宋体"/>
        </w:rPr>
      </w:pPr>
    </w:p>
    <w:p w14:paraId="17DA2308">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640A5DE3">
      <w:pPr>
        <w:spacing w:line="400" w:lineRule="exact"/>
        <w:ind w:firstLine="420" w:firstLineChars="200"/>
        <w:rPr>
          <w:rFonts w:ascii="宋体" w:hAnsi="宋体" w:cs="宋体"/>
        </w:rPr>
      </w:pPr>
    </w:p>
    <w:p w14:paraId="0FA339E6">
      <w:pPr>
        <w:spacing w:line="400" w:lineRule="exact"/>
        <w:jc w:val="left"/>
        <w:rPr>
          <w:rFonts w:ascii="宋体" w:hAnsi="宋体" w:cs="宋体"/>
          <w:szCs w:val="21"/>
        </w:rPr>
      </w:pPr>
      <w:r>
        <w:rPr>
          <w:rFonts w:hint="eastAsia" w:ascii="宋体" w:hAnsi="宋体" w:cs="宋体"/>
          <w:szCs w:val="21"/>
        </w:rPr>
        <w:t>供应商（盖章）：</w:t>
      </w:r>
    </w:p>
    <w:p w14:paraId="4B0E033F">
      <w:pPr>
        <w:spacing w:line="400" w:lineRule="exact"/>
        <w:jc w:val="left"/>
        <w:rPr>
          <w:rFonts w:ascii="宋体" w:hAnsi="宋体" w:cs="宋体"/>
          <w:szCs w:val="21"/>
        </w:rPr>
      </w:pPr>
      <w:r>
        <w:rPr>
          <w:rFonts w:hint="eastAsia" w:ascii="宋体" w:hAnsi="宋体" w:cs="宋体"/>
          <w:szCs w:val="21"/>
        </w:rPr>
        <w:t>日          期：</w:t>
      </w:r>
    </w:p>
    <w:p w14:paraId="2CC2089E">
      <w:pPr>
        <w:rPr>
          <w:rFonts w:ascii="宋体" w:hAnsi="宋体" w:cs="宋体"/>
          <w:szCs w:val="21"/>
        </w:rPr>
      </w:pPr>
      <w:r>
        <w:rPr>
          <w:rFonts w:hint="eastAsia" w:ascii="宋体" w:hAnsi="宋体" w:cs="宋体"/>
          <w:szCs w:val="21"/>
        </w:rPr>
        <w:br w:type="page"/>
      </w:r>
    </w:p>
    <w:p w14:paraId="28AD9EF6">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中小企业声明函（适用于标项四十六）</w:t>
      </w:r>
    </w:p>
    <w:p w14:paraId="48DEE212">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2B2998E6">
      <w:pPr>
        <w:spacing w:line="400" w:lineRule="exact"/>
        <w:ind w:firstLine="420" w:firstLineChars="200"/>
        <w:rPr>
          <w:rFonts w:ascii="宋体" w:hAnsi="宋体" w:cs="宋体"/>
        </w:rPr>
      </w:pPr>
      <w:r>
        <w:rPr>
          <w:rFonts w:hint="eastAsia" w:ascii="宋体" w:hAnsi="宋体" w:cs="宋体"/>
          <w:u w:val="single"/>
        </w:rPr>
        <w:t xml:space="preserve"> John Benjamins（本杰明）期刊数据库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6D846031">
      <w:pPr>
        <w:spacing w:line="400" w:lineRule="exact"/>
        <w:ind w:firstLine="420" w:firstLineChars="200"/>
        <w:rPr>
          <w:rFonts w:ascii="宋体" w:hAnsi="宋体" w:cs="宋体"/>
        </w:rPr>
      </w:pPr>
      <w:r>
        <w:rPr>
          <w:rFonts w:hint="eastAsia" w:ascii="宋体" w:hAnsi="宋体" w:cs="宋体"/>
        </w:rPr>
        <w:t>......</w:t>
      </w:r>
    </w:p>
    <w:p w14:paraId="2AA78B2D">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7E183FCF">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444E0B4D">
      <w:pPr>
        <w:spacing w:line="400" w:lineRule="exact"/>
        <w:ind w:firstLine="420" w:firstLineChars="200"/>
        <w:rPr>
          <w:rFonts w:ascii="宋体" w:hAnsi="宋体" w:cs="宋体"/>
        </w:rPr>
      </w:pPr>
    </w:p>
    <w:p w14:paraId="3038025D">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7014E34C">
      <w:pPr>
        <w:spacing w:line="400" w:lineRule="exact"/>
        <w:ind w:firstLine="420" w:firstLineChars="200"/>
        <w:rPr>
          <w:rFonts w:ascii="宋体" w:hAnsi="宋体" w:cs="宋体"/>
        </w:rPr>
      </w:pPr>
    </w:p>
    <w:p w14:paraId="25FBCCDC">
      <w:pPr>
        <w:spacing w:line="400" w:lineRule="exact"/>
        <w:jc w:val="left"/>
        <w:rPr>
          <w:rFonts w:ascii="宋体" w:hAnsi="宋体" w:cs="宋体"/>
          <w:szCs w:val="21"/>
        </w:rPr>
      </w:pPr>
      <w:r>
        <w:rPr>
          <w:rFonts w:hint="eastAsia" w:ascii="宋体" w:hAnsi="宋体" w:cs="宋体"/>
          <w:szCs w:val="21"/>
        </w:rPr>
        <w:t>供应商（盖章）：</w:t>
      </w:r>
    </w:p>
    <w:p w14:paraId="282B2F41">
      <w:pPr>
        <w:spacing w:line="400" w:lineRule="exact"/>
        <w:jc w:val="left"/>
        <w:rPr>
          <w:rFonts w:ascii="宋体" w:hAnsi="宋体" w:cs="宋体"/>
          <w:szCs w:val="21"/>
        </w:rPr>
      </w:pPr>
      <w:r>
        <w:rPr>
          <w:rFonts w:hint="eastAsia" w:ascii="宋体" w:hAnsi="宋体" w:cs="宋体"/>
          <w:szCs w:val="21"/>
        </w:rPr>
        <w:t>日          期：</w:t>
      </w:r>
    </w:p>
    <w:p w14:paraId="505C74E4">
      <w:pPr>
        <w:rPr>
          <w:rFonts w:ascii="宋体" w:hAnsi="宋体" w:cs="宋体"/>
          <w:szCs w:val="21"/>
        </w:rPr>
      </w:pPr>
      <w:r>
        <w:rPr>
          <w:rFonts w:hint="eastAsia" w:ascii="宋体" w:hAnsi="宋体" w:cs="宋体"/>
          <w:szCs w:val="21"/>
        </w:rPr>
        <w:br w:type="page"/>
      </w:r>
    </w:p>
    <w:p w14:paraId="6EE5532D">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中小企业声明函（适用于标项四十七）</w:t>
      </w:r>
    </w:p>
    <w:p w14:paraId="29C680FB">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06368BD5">
      <w:pPr>
        <w:spacing w:line="400" w:lineRule="exact"/>
        <w:ind w:firstLine="420" w:firstLineChars="200"/>
        <w:rPr>
          <w:rFonts w:ascii="宋体" w:hAnsi="宋体" w:cs="宋体"/>
        </w:rPr>
      </w:pPr>
      <w:r>
        <w:rPr>
          <w:rFonts w:hint="eastAsia" w:ascii="宋体" w:hAnsi="宋体" w:cs="宋体"/>
          <w:u w:val="single"/>
        </w:rPr>
        <w:t xml:space="preserve"> Heinonline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3F5BBCA8">
      <w:pPr>
        <w:spacing w:line="400" w:lineRule="exact"/>
        <w:ind w:firstLine="420" w:firstLineChars="200"/>
        <w:rPr>
          <w:rFonts w:ascii="宋体" w:hAnsi="宋体" w:cs="宋体"/>
        </w:rPr>
      </w:pPr>
      <w:r>
        <w:rPr>
          <w:rFonts w:hint="eastAsia" w:ascii="宋体" w:hAnsi="宋体" w:cs="宋体"/>
        </w:rPr>
        <w:t>......</w:t>
      </w:r>
    </w:p>
    <w:p w14:paraId="6776969E">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3FD55DD8">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7F6A7A83">
      <w:pPr>
        <w:spacing w:line="400" w:lineRule="exact"/>
        <w:ind w:firstLine="420" w:firstLineChars="200"/>
        <w:rPr>
          <w:rFonts w:ascii="宋体" w:hAnsi="宋体" w:cs="宋体"/>
        </w:rPr>
      </w:pPr>
    </w:p>
    <w:p w14:paraId="46AC1D13">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71C02EC7">
      <w:pPr>
        <w:spacing w:line="400" w:lineRule="exact"/>
        <w:ind w:firstLine="420" w:firstLineChars="200"/>
        <w:rPr>
          <w:rFonts w:ascii="宋体" w:hAnsi="宋体" w:cs="宋体"/>
        </w:rPr>
      </w:pPr>
    </w:p>
    <w:p w14:paraId="3CDF878D">
      <w:pPr>
        <w:spacing w:line="400" w:lineRule="exact"/>
        <w:jc w:val="left"/>
        <w:rPr>
          <w:rFonts w:ascii="宋体" w:hAnsi="宋体" w:cs="宋体"/>
          <w:szCs w:val="21"/>
        </w:rPr>
      </w:pPr>
      <w:r>
        <w:rPr>
          <w:rFonts w:hint="eastAsia" w:ascii="宋体" w:hAnsi="宋体" w:cs="宋体"/>
          <w:szCs w:val="21"/>
        </w:rPr>
        <w:t>供应商（盖章）：</w:t>
      </w:r>
    </w:p>
    <w:p w14:paraId="3C86BF60">
      <w:pPr>
        <w:spacing w:line="400" w:lineRule="exact"/>
        <w:jc w:val="left"/>
        <w:rPr>
          <w:rFonts w:ascii="宋体" w:hAnsi="宋体" w:cs="宋体"/>
          <w:szCs w:val="21"/>
        </w:rPr>
      </w:pPr>
      <w:r>
        <w:rPr>
          <w:rFonts w:hint="eastAsia" w:ascii="宋体" w:hAnsi="宋体" w:cs="宋体"/>
          <w:szCs w:val="21"/>
        </w:rPr>
        <w:t>日          期：</w:t>
      </w:r>
    </w:p>
    <w:p w14:paraId="58E6655A">
      <w:pPr>
        <w:rPr>
          <w:rFonts w:ascii="宋体" w:hAnsi="宋体" w:cs="宋体"/>
          <w:szCs w:val="21"/>
        </w:rPr>
      </w:pPr>
      <w:r>
        <w:rPr>
          <w:rFonts w:hint="eastAsia" w:ascii="宋体" w:hAnsi="宋体" w:cs="宋体"/>
          <w:szCs w:val="21"/>
        </w:rPr>
        <w:br w:type="page"/>
      </w:r>
    </w:p>
    <w:p w14:paraId="12501C8B">
      <w:pPr>
        <w:pStyle w:val="26"/>
        <w:snapToGrid w:val="0"/>
        <w:spacing w:before="0" w:beforeAutospacing="0" w:after="0" w:afterAutospacing="0" w:line="400" w:lineRule="exact"/>
        <w:jc w:val="center"/>
        <w:rPr>
          <w:rFonts w:hAnsi="宋体" w:cs="宋体"/>
          <w:b/>
        </w:rPr>
      </w:pPr>
      <w:r>
        <w:rPr>
          <w:rFonts w:hint="eastAsia" w:hAnsi="宋体" w:cs="宋体"/>
          <w:b/>
          <w:kern w:val="2"/>
          <w:sz w:val="21"/>
          <w:szCs w:val="21"/>
        </w:rPr>
        <w:t>中小企业声明函（适用于标项四十八）</w:t>
      </w:r>
    </w:p>
    <w:p w14:paraId="69A78F45">
      <w:pPr>
        <w:spacing w:line="400" w:lineRule="exact"/>
        <w:ind w:firstLine="42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 xml:space="preserve">              </w:t>
      </w:r>
      <w:r>
        <w:rPr>
          <w:rFonts w:hint="eastAsia" w:ascii="宋体" w:hAnsi="宋体" w:cs="宋体"/>
        </w:rPr>
        <w:t>（单位名称）的</w:t>
      </w:r>
      <w:r>
        <w:rPr>
          <w:rFonts w:hint="eastAsia" w:ascii="宋体" w:hAnsi="宋体" w:cs="宋体"/>
          <w:u w:val="single"/>
        </w:rPr>
        <w:t xml:space="preserve">            </w:t>
      </w:r>
      <w:r>
        <w:rPr>
          <w:rFonts w:hint="eastAsia" w:ascii="宋体" w:hAnsi="宋体" w:cs="宋体"/>
        </w:rPr>
        <w:t>（项目名称）采购活动，服务全部由符合政策要求的中小企业承接。相关企业的具体情况如下：</w:t>
      </w:r>
    </w:p>
    <w:p w14:paraId="05AD9979">
      <w:pPr>
        <w:spacing w:line="400" w:lineRule="exact"/>
        <w:ind w:firstLine="420" w:firstLineChars="200"/>
        <w:rPr>
          <w:rFonts w:ascii="宋体" w:hAnsi="宋体" w:cs="宋体"/>
        </w:rPr>
      </w:pPr>
      <w:r>
        <w:rPr>
          <w:rFonts w:hint="eastAsia" w:ascii="宋体" w:hAnsi="宋体" w:cs="宋体"/>
          <w:u w:val="single"/>
        </w:rPr>
        <w:t xml:space="preserve"> Cairn法语数据库 </w:t>
      </w:r>
      <w:r>
        <w:rPr>
          <w:rFonts w:hint="eastAsia" w:ascii="宋体" w:hAnsi="宋体" w:cs="宋体"/>
        </w:rPr>
        <w:t>（标的名称），属于</w:t>
      </w:r>
      <w:r>
        <w:rPr>
          <w:rFonts w:hint="eastAsia" w:ascii="宋体" w:hAnsi="宋体" w:cs="宋体"/>
          <w:u w:val="single"/>
        </w:rPr>
        <w:t xml:space="preserve"> 软件和信息技术服务业 </w:t>
      </w:r>
      <w:r>
        <w:rPr>
          <w:rFonts w:hint="eastAsia" w:ascii="宋体" w:hAnsi="宋体" w:cs="宋体"/>
        </w:rPr>
        <w:t>；承建（承接）企业为</w:t>
      </w:r>
      <w:r>
        <w:rPr>
          <w:rFonts w:hint="eastAsia" w:ascii="宋体" w:hAnsi="宋体" w:cs="宋体"/>
          <w:u w:val="single"/>
        </w:rPr>
        <w:t xml:space="preserve">            </w:t>
      </w:r>
      <w:r>
        <w:rPr>
          <w:rFonts w:hint="eastAsia" w:ascii="宋体" w:hAnsi="宋体" w:cs="宋体"/>
        </w:rPr>
        <w:t>（企业名称），从业人员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u w:val="single"/>
        </w:rPr>
        <w:t xml:space="preserve">        </w:t>
      </w:r>
      <w:r>
        <w:rPr>
          <w:rFonts w:hint="eastAsia" w:ascii="宋体" w:hAnsi="宋体" w:cs="宋体"/>
        </w:rPr>
        <w:t xml:space="preserve">企业（中型企业、小型企业、微型企业）。 </w:t>
      </w:r>
    </w:p>
    <w:p w14:paraId="79B73639">
      <w:pPr>
        <w:spacing w:line="400" w:lineRule="exact"/>
        <w:ind w:firstLine="420" w:firstLineChars="200"/>
        <w:rPr>
          <w:rFonts w:ascii="宋体" w:hAnsi="宋体" w:cs="宋体"/>
        </w:rPr>
      </w:pPr>
      <w:r>
        <w:rPr>
          <w:rFonts w:hint="eastAsia" w:ascii="宋体" w:hAnsi="宋体" w:cs="宋体"/>
        </w:rPr>
        <w:t>......</w:t>
      </w:r>
    </w:p>
    <w:p w14:paraId="4CA8A397">
      <w:pPr>
        <w:spacing w:line="400" w:lineRule="exact"/>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42F3CAF">
      <w:pPr>
        <w:spacing w:line="400" w:lineRule="exact"/>
        <w:ind w:firstLine="420" w:firstLineChars="200"/>
        <w:rPr>
          <w:rFonts w:ascii="宋体" w:hAnsi="宋体" w:cs="宋体"/>
        </w:rPr>
      </w:pPr>
      <w:r>
        <w:rPr>
          <w:rFonts w:hint="eastAsia" w:ascii="宋体" w:hAnsi="宋体" w:cs="宋体"/>
        </w:rPr>
        <w:t>本企业对上述声明内容的真实性负责。如有虚假，将依法承担相应责任。</w:t>
      </w:r>
    </w:p>
    <w:p w14:paraId="282C2283">
      <w:pPr>
        <w:spacing w:line="400" w:lineRule="exact"/>
        <w:ind w:firstLine="420" w:firstLineChars="200"/>
        <w:rPr>
          <w:rFonts w:ascii="宋体" w:hAnsi="宋体" w:cs="宋体"/>
        </w:rPr>
      </w:pPr>
    </w:p>
    <w:p w14:paraId="54D991B6">
      <w:pPr>
        <w:spacing w:line="400" w:lineRule="exact"/>
        <w:rPr>
          <w:rFonts w:ascii="宋体" w:hAnsi="宋体" w:cs="宋体"/>
        </w:rPr>
      </w:pPr>
      <w:r>
        <w:rPr>
          <w:rFonts w:hint="eastAsia" w:ascii="宋体" w:hAnsi="宋体" w:cs="宋体"/>
        </w:rPr>
        <w:t>注：从业人员、营业收入、资产总额填报上一年度数据，无上一年度数据的新成立企业可不填报。</w:t>
      </w:r>
    </w:p>
    <w:p w14:paraId="4DB98557">
      <w:pPr>
        <w:spacing w:line="400" w:lineRule="exact"/>
        <w:ind w:firstLine="420" w:firstLineChars="200"/>
        <w:rPr>
          <w:rFonts w:ascii="宋体" w:hAnsi="宋体" w:cs="宋体"/>
        </w:rPr>
      </w:pPr>
    </w:p>
    <w:p w14:paraId="3CDE5468">
      <w:pPr>
        <w:spacing w:line="400" w:lineRule="exact"/>
        <w:jc w:val="left"/>
        <w:rPr>
          <w:rFonts w:ascii="宋体" w:hAnsi="宋体" w:cs="宋体"/>
          <w:szCs w:val="21"/>
        </w:rPr>
      </w:pPr>
      <w:r>
        <w:rPr>
          <w:rFonts w:hint="eastAsia" w:ascii="宋体" w:hAnsi="宋体" w:cs="宋体"/>
          <w:szCs w:val="21"/>
        </w:rPr>
        <w:t>供应商（盖章）：</w:t>
      </w:r>
    </w:p>
    <w:p w14:paraId="7040A4EB">
      <w:pPr>
        <w:spacing w:line="400" w:lineRule="exact"/>
        <w:jc w:val="left"/>
        <w:rPr>
          <w:rFonts w:ascii="宋体" w:hAnsi="宋体" w:cs="宋体"/>
          <w:szCs w:val="21"/>
        </w:rPr>
      </w:pPr>
      <w:r>
        <w:rPr>
          <w:rFonts w:hint="eastAsia" w:ascii="宋体" w:hAnsi="宋体" w:cs="宋体"/>
          <w:szCs w:val="21"/>
        </w:rPr>
        <w:t>日          期：</w:t>
      </w:r>
      <w:r>
        <w:rPr>
          <w:rFonts w:hint="eastAsia" w:ascii="宋体" w:hAnsi="宋体" w:cs="宋体"/>
          <w:szCs w:val="21"/>
        </w:rPr>
        <w:br w:type="page"/>
      </w:r>
    </w:p>
    <w:p w14:paraId="5B851A71">
      <w:pPr>
        <w:spacing w:line="400" w:lineRule="exact"/>
        <w:jc w:val="center"/>
        <w:rPr>
          <w:rFonts w:ascii="宋体" w:hAnsi="宋体" w:cs="宋体"/>
          <w:b/>
          <w:szCs w:val="21"/>
        </w:rPr>
      </w:pPr>
      <w:r>
        <w:rPr>
          <w:rFonts w:hint="eastAsia" w:ascii="宋体" w:hAnsi="宋体" w:cs="宋体"/>
          <w:b/>
          <w:szCs w:val="21"/>
        </w:rPr>
        <w:t>C4.残疾人福利性单位声明函（如有，请提供）</w:t>
      </w:r>
    </w:p>
    <w:p w14:paraId="6873338D">
      <w:pPr>
        <w:spacing w:line="400"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B3B4F4">
      <w:pPr>
        <w:spacing w:line="40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0A14865E">
      <w:pPr>
        <w:spacing w:line="400" w:lineRule="exact"/>
        <w:ind w:firstLine="420" w:firstLineChars="200"/>
        <w:rPr>
          <w:rFonts w:ascii="宋体" w:hAnsi="宋体" w:cs="宋体"/>
          <w:szCs w:val="21"/>
        </w:rPr>
      </w:pPr>
    </w:p>
    <w:p w14:paraId="2925DBA0">
      <w:pPr>
        <w:spacing w:line="400" w:lineRule="exact"/>
        <w:jc w:val="left"/>
        <w:rPr>
          <w:rFonts w:ascii="宋体" w:hAnsi="宋体" w:cs="宋体"/>
          <w:szCs w:val="21"/>
        </w:rPr>
      </w:pPr>
      <w:r>
        <w:rPr>
          <w:rFonts w:hint="eastAsia" w:ascii="宋体" w:hAnsi="宋体" w:cs="宋体"/>
          <w:szCs w:val="21"/>
        </w:rPr>
        <w:t xml:space="preserve">    供应商（盖章）：</w:t>
      </w:r>
    </w:p>
    <w:p w14:paraId="22AB6F73">
      <w:pPr>
        <w:tabs>
          <w:tab w:val="left" w:pos="4860"/>
        </w:tabs>
        <w:spacing w:line="400" w:lineRule="exact"/>
        <w:ind w:firstLine="420" w:firstLineChars="200"/>
        <w:jc w:val="left"/>
        <w:rPr>
          <w:rFonts w:ascii="宋体" w:hAnsi="宋体" w:cs="宋体"/>
          <w:szCs w:val="21"/>
        </w:rPr>
      </w:pPr>
      <w:r>
        <w:rPr>
          <w:rFonts w:hint="eastAsia" w:ascii="宋体" w:hAnsi="宋体" w:cs="宋体"/>
          <w:szCs w:val="21"/>
        </w:rPr>
        <w:t>日          期：</w:t>
      </w:r>
    </w:p>
    <w:p w14:paraId="02331E0D">
      <w:pPr>
        <w:spacing w:line="400" w:lineRule="exact"/>
        <w:ind w:firstLine="422" w:firstLineChars="200"/>
        <w:rPr>
          <w:rFonts w:ascii="宋体" w:hAnsi="宋体" w:cs="宋体"/>
          <w:b/>
          <w:szCs w:val="21"/>
        </w:rPr>
      </w:pPr>
    </w:p>
    <w:p w14:paraId="4AC124AC">
      <w:pPr>
        <w:spacing w:line="400" w:lineRule="exact"/>
        <w:ind w:firstLine="420" w:firstLineChars="200"/>
        <w:rPr>
          <w:rFonts w:ascii="宋体" w:hAnsi="宋体" w:cs="宋体"/>
          <w:szCs w:val="21"/>
        </w:rPr>
      </w:pPr>
      <w:r>
        <w:rPr>
          <w:rFonts w:hint="eastAsia" w:ascii="宋体" w:hAnsi="宋体" w:cs="宋体"/>
          <w:szCs w:val="21"/>
        </w:rPr>
        <w:t>注：</w:t>
      </w:r>
    </w:p>
    <w:p w14:paraId="379F11A0">
      <w:pPr>
        <w:spacing w:line="400" w:lineRule="exact"/>
        <w:ind w:firstLine="420" w:firstLineChars="200"/>
        <w:rPr>
          <w:rFonts w:ascii="宋体" w:hAnsi="宋体" w:cs="宋体"/>
          <w:szCs w:val="21"/>
        </w:rPr>
      </w:pPr>
      <w:r>
        <w:rPr>
          <w:rFonts w:hint="eastAsia" w:ascii="宋体" w:hAnsi="宋体" w:cs="宋体"/>
          <w:szCs w:val="21"/>
        </w:rPr>
        <w:t>享受政府采购支持政策的残疾人福利性单位应当同时满足以下条件：</w:t>
      </w:r>
    </w:p>
    <w:p w14:paraId="554580AD">
      <w:pPr>
        <w:spacing w:line="400" w:lineRule="exact"/>
        <w:ind w:firstLine="420" w:firstLineChars="200"/>
        <w:rPr>
          <w:rFonts w:ascii="宋体" w:hAnsi="宋体" w:cs="宋体"/>
          <w:szCs w:val="21"/>
        </w:rPr>
      </w:pPr>
      <w:r>
        <w:rPr>
          <w:rFonts w:hint="eastAsia" w:ascii="宋体" w:hAnsi="宋体" w:cs="宋体"/>
          <w:szCs w:val="21"/>
        </w:rPr>
        <w:t>（一）安置的残疾人占本单位在职职工人数的比例不低于25%（含25%），并且安置的残疾人人数不少于10人（含10人）；</w:t>
      </w:r>
    </w:p>
    <w:p w14:paraId="623F384B">
      <w:pPr>
        <w:spacing w:line="400" w:lineRule="exact"/>
        <w:ind w:firstLine="420" w:firstLineChars="200"/>
        <w:rPr>
          <w:rFonts w:ascii="宋体" w:hAnsi="宋体" w:cs="宋体"/>
          <w:szCs w:val="21"/>
        </w:rPr>
      </w:pPr>
      <w:r>
        <w:rPr>
          <w:rFonts w:hint="eastAsia" w:ascii="宋体" w:hAnsi="宋体" w:cs="宋体"/>
          <w:szCs w:val="21"/>
        </w:rPr>
        <w:t>（二）依法与安置的每位残疾人签订了一年以上（含一年）的劳动合同或服务协议；</w:t>
      </w:r>
    </w:p>
    <w:p w14:paraId="6C0B5F0E">
      <w:pPr>
        <w:spacing w:line="400" w:lineRule="exact"/>
        <w:ind w:firstLine="420" w:firstLineChars="200"/>
        <w:rPr>
          <w:rFonts w:ascii="宋体" w:hAnsi="宋体" w:cs="宋体"/>
          <w:szCs w:val="21"/>
        </w:rPr>
      </w:pPr>
      <w:r>
        <w:rPr>
          <w:rFonts w:hint="eastAsia" w:ascii="宋体" w:hAnsi="宋体" w:cs="宋体"/>
          <w:szCs w:val="21"/>
        </w:rPr>
        <w:t>（三）为安置的每位残疾人按月足额缴纳了基本养老保险、基本医疗保险、失业保险、工伤保险和生育保险等社会保险费；</w:t>
      </w:r>
    </w:p>
    <w:p w14:paraId="35CF8C40">
      <w:pPr>
        <w:spacing w:line="400" w:lineRule="exact"/>
        <w:ind w:firstLine="420" w:firstLineChars="200"/>
        <w:rPr>
          <w:rFonts w:ascii="宋体" w:hAnsi="宋体" w:cs="宋体"/>
          <w:szCs w:val="21"/>
        </w:rPr>
      </w:pPr>
      <w:r>
        <w:rPr>
          <w:rFonts w:hint="eastAsia" w:ascii="宋体" w:hAnsi="宋体" w:cs="宋体"/>
          <w:szCs w:val="21"/>
        </w:rPr>
        <w:t>（四）通过银行等金融机构向安置的每位残疾人，按月支付了不低于单位所在区县适用的经省级人民政府批准的月最低工资标准的工资；</w:t>
      </w:r>
    </w:p>
    <w:p w14:paraId="6BC9C03B">
      <w:pPr>
        <w:spacing w:line="400" w:lineRule="exact"/>
        <w:ind w:firstLine="420" w:firstLineChars="200"/>
        <w:rPr>
          <w:rFonts w:ascii="宋体" w:hAnsi="宋体" w:cs="宋体"/>
          <w:szCs w:val="21"/>
        </w:rPr>
      </w:pPr>
      <w:r>
        <w:rPr>
          <w:rFonts w:hint="eastAsia" w:ascii="宋体" w:hAnsi="宋体" w:cs="宋体"/>
          <w:szCs w:val="21"/>
        </w:rPr>
        <w:t>（五）提供本单位制造的货物、承担的工程或者服务（以下简称产品），或者提供其他残疾人福利性单位制造的货物（不包括使用非残疾人福利性单位注册商标的货物）。</w:t>
      </w:r>
    </w:p>
    <w:p w14:paraId="399FF3D6">
      <w:pPr>
        <w:spacing w:line="400" w:lineRule="exact"/>
        <w:ind w:firstLine="420" w:firstLineChars="200"/>
        <w:rPr>
          <w:rFonts w:ascii="宋体" w:hAnsi="宋体" w:cs="宋体"/>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BBB0D19">
      <w:pPr>
        <w:pStyle w:val="264"/>
        <w:spacing w:line="400" w:lineRule="exact"/>
        <w:rPr>
          <w:rFonts w:ascii="宋体" w:hAnsi="宋体" w:cs="宋体"/>
        </w:rPr>
      </w:pPr>
    </w:p>
    <w:p w14:paraId="05C0113A">
      <w:pPr>
        <w:spacing w:line="400" w:lineRule="exact"/>
        <w:jc w:val="center"/>
        <w:rPr>
          <w:rFonts w:ascii="宋体" w:hAnsi="宋体" w:cs="宋体"/>
          <w:b/>
          <w:szCs w:val="21"/>
        </w:rPr>
      </w:pPr>
      <w:r>
        <w:rPr>
          <w:rStyle w:val="117"/>
          <w:rFonts w:hint="eastAsia" w:ascii="宋体" w:hAnsi="宋体" w:cs="宋体"/>
          <w:szCs w:val="21"/>
        </w:rPr>
        <w:br w:type="page"/>
      </w:r>
      <w:bookmarkStart w:id="193" w:name="_Toc21541033"/>
      <w:bookmarkStart w:id="194" w:name="_Toc26806"/>
      <w:bookmarkStart w:id="195" w:name="_Toc44162163"/>
      <w:r>
        <w:rPr>
          <w:rFonts w:hint="eastAsia" w:ascii="宋体" w:hAnsi="宋体" w:cs="宋体"/>
          <w:b/>
          <w:szCs w:val="21"/>
        </w:rPr>
        <w:t>C5</w:t>
      </w:r>
      <w:bookmarkEnd w:id="193"/>
      <w:bookmarkEnd w:id="194"/>
      <w:bookmarkEnd w:id="195"/>
      <w:r>
        <w:rPr>
          <w:rFonts w:hint="eastAsia" w:ascii="宋体" w:hAnsi="宋体" w:cs="宋体"/>
          <w:b/>
          <w:szCs w:val="21"/>
        </w:rPr>
        <w:t>.监狱企业证明文件（如有，请提供）</w:t>
      </w:r>
      <w:r>
        <w:rPr>
          <w:rFonts w:hint="eastAsia" w:ascii="宋体" w:hAnsi="宋体" w:cs="宋体"/>
          <w:b/>
          <w:szCs w:val="21"/>
        </w:rPr>
        <w:br w:type="page"/>
      </w:r>
    </w:p>
    <w:p w14:paraId="2631E626">
      <w:pPr>
        <w:spacing w:line="400" w:lineRule="exact"/>
        <w:jc w:val="center"/>
        <w:rPr>
          <w:rFonts w:ascii="宋体" w:hAnsi="宋体" w:cs="宋体"/>
        </w:rPr>
      </w:pPr>
      <w:r>
        <w:rPr>
          <w:rFonts w:hint="eastAsia" w:ascii="宋体" w:hAnsi="宋体" w:cs="宋体"/>
          <w:b/>
          <w:szCs w:val="21"/>
        </w:rPr>
        <w:t>C6.招标文件要求提供的和供应商认为需要的其他资料（如有，请提供）</w:t>
      </w:r>
    </w:p>
    <w:p w14:paraId="05B44ADD">
      <w:pPr>
        <w:pStyle w:val="28"/>
        <w:spacing w:line="360" w:lineRule="auto"/>
        <w:jc w:val="left"/>
        <w:rPr>
          <w:rFonts w:hAnsi="宋体" w:cs="宋体"/>
          <w:sz w:val="36"/>
          <w:szCs w:val="36"/>
        </w:rPr>
        <w:sectPr>
          <w:headerReference r:id="rId9" w:type="default"/>
          <w:footerReference r:id="rId10" w:type="default"/>
          <w:pgSz w:w="11905" w:h="16838"/>
          <w:pgMar w:top="1474" w:right="1474" w:bottom="1474" w:left="1474" w:header="907" w:footer="850" w:gutter="0"/>
          <w:pgBorders>
            <w:top w:val="none" w:sz="0" w:space="0"/>
            <w:left w:val="none" w:sz="0" w:space="0"/>
            <w:bottom w:val="none" w:sz="0" w:space="0"/>
            <w:right w:val="none" w:sz="0" w:space="0"/>
          </w:pgBorders>
          <w:cols w:space="0" w:num="1"/>
          <w:docGrid w:type="lines" w:linePitch="289" w:charSpace="0"/>
        </w:sectPr>
      </w:pPr>
    </w:p>
    <w:tbl>
      <w:tblPr>
        <w:tblStyle w:val="52"/>
        <w:tblW w:w="14720" w:type="dxa"/>
        <w:jc w:val="center"/>
        <w:tblLayout w:type="fixed"/>
        <w:tblCellMar>
          <w:top w:w="0" w:type="dxa"/>
          <w:left w:w="108" w:type="dxa"/>
          <w:bottom w:w="0" w:type="dxa"/>
          <w:right w:w="108" w:type="dxa"/>
        </w:tblCellMar>
      </w:tblPr>
      <w:tblGrid>
        <w:gridCol w:w="1954"/>
        <w:gridCol w:w="1475"/>
        <w:gridCol w:w="1736"/>
        <w:gridCol w:w="1639"/>
        <w:gridCol w:w="1221"/>
        <w:gridCol w:w="1458"/>
        <w:gridCol w:w="1501"/>
        <w:gridCol w:w="1265"/>
        <w:gridCol w:w="1256"/>
        <w:gridCol w:w="1205"/>
        <w:gridCol w:w="10"/>
      </w:tblGrid>
      <w:tr w14:paraId="72262F8E">
        <w:tblPrEx>
          <w:tblCellMar>
            <w:top w:w="0" w:type="dxa"/>
            <w:left w:w="108" w:type="dxa"/>
            <w:bottom w:w="0" w:type="dxa"/>
            <w:right w:w="108" w:type="dxa"/>
          </w:tblCellMar>
        </w:tblPrEx>
        <w:trPr>
          <w:trHeight w:val="275" w:hRule="atLeast"/>
          <w:jc w:val="center"/>
        </w:trPr>
        <w:tc>
          <w:tcPr>
            <w:tcW w:w="14720" w:type="dxa"/>
            <w:gridSpan w:val="11"/>
            <w:tcBorders>
              <w:top w:val="nil"/>
              <w:left w:val="nil"/>
              <w:bottom w:val="nil"/>
              <w:right w:val="nil"/>
            </w:tcBorders>
            <w:vAlign w:val="bottom"/>
          </w:tcPr>
          <w:p w14:paraId="50A18592">
            <w:pPr>
              <w:widowControl/>
              <w:jc w:val="center"/>
              <w:rPr>
                <w:rFonts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12B1A01D">
        <w:tblPrEx>
          <w:tblCellMar>
            <w:top w:w="0" w:type="dxa"/>
            <w:left w:w="108" w:type="dxa"/>
            <w:bottom w:w="0" w:type="dxa"/>
            <w:right w:w="108" w:type="dxa"/>
          </w:tblCellMar>
        </w:tblPrEx>
        <w:trPr>
          <w:gridAfter w:val="1"/>
          <w:wAfter w:w="10" w:type="dxa"/>
          <w:trHeight w:val="345" w:hRule="atLeast"/>
          <w:jc w:val="center"/>
        </w:trPr>
        <w:tc>
          <w:tcPr>
            <w:tcW w:w="1954" w:type="dxa"/>
            <w:vMerge w:val="restart"/>
            <w:tcBorders>
              <w:top w:val="single" w:color="auto" w:sz="8" w:space="0"/>
              <w:left w:val="single" w:color="auto" w:sz="8" w:space="0"/>
              <w:bottom w:val="single" w:color="000000" w:sz="4" w:space="0"/>
              <w:right w:val="single" w:color="auto" w:sz="8" w:space="0"/>
            </w:tcBorders>
            <w:vAlign w:val="center"/>
          </w:tcPr>
          <w:p w14:paraId="7C4192E2">
            <w:pPr>
              <w:widowControl/>
              <w:jc w:val="center"/>
              <w:rPr>
                <w:rFonts w:ascii="宋体" w:hAnsi="宋体" w:cs="宋体"/>
                <w:b/>
                <w:bCs/>
                <w:kern w:val="0"/>
                <w:sz w:val="24"/>
              </w:rPr>
            </w:pPr>
            <w:r>
              <w:rPr>
                <w:rFonts w:hint="eastAsia" w:ascii="宋体" w:hAnsi="宋体" w:cs="宋体"/>
                <w:b/>
                <w:bCs/>
                <w:kern w:val="0"/>
                <w:sz w:val="24"/>
              </w:rPr>
              <w:t>行业</w:t>
            </w:r>
          </w:p>
        </w:tc>
        <w:tc>
          <w:tcPr>
            <w:tcW w:w="4850" w:type="dxa"/>
            <w:gridSpan w:val="3"/>
            <w:tcBorders>
              <w:top w:val="single" w:color="auto" w:sz="8" w:space="0"/>
              <w:left w:val="nil"/>
              <w:bottom w:val="single" w:color="auto" w:sz="4" w:space="0"/>
              <w:right w:val="single" w:color="000000" w:sz="8" w:space="0"/>
            </w:tcBorders>
            <w:vAlign w:val="bottom"/>
          </w:tcPr>
          <w:p w14:paraId="52D6E30B">
            <w:pPr>
              <w:widowControl/>
              <w:jc w:val="center"/>
              <w:rPr>
                <w:rFonts w:ascii="宋体" w:hAnsi="宋体" w:cs="宋体"/>
                <w:b/>
                <w:bCs/>
                <w:kern w:val="0"/>
                <w:sz w:val="24"/>
              </w:rPr>
            </w:pPr>
            <w:r>
              <w:rPr>
                <w:rFonts w:hint="eastAsia" w:ascii="宋体" w:hAnsi="宋体" w:cs="宋体"/>
                <w:b/>
                <w:bCs/>
                <w:kern w:val="0"/>
                <w:sz w:val="24"/>
              </w:rPr>
              <w:t>中型企业</w:t>
            </w:r>
          </w:p>
        </w:tc>
        <w:tc>
          <w:tcPr>
            <w:tcW w:w="4180" w:type="dxa"/>
            <w:gridSpan w:val="3"/>
            <w:tcBorders>
              <w:top w:val="single" w:color="auto" w:sz="8" w:space="0"/>
              <w:left w:val="nil"/>
              <w:bottom w:val="single" w:color="auto" w:sz="4" w:space="0"/>
              <w:right w:val="single" w:color="000000" w:sz="8" w:space="0"/>
            </w:tcBorders>
            <w:vAlign w:val="bottom"/>
          </w:tcPr>
          <w:p w14:paraId="7977DB22">
            <w:pPr>
              <w:widowControl/>
              <w:jc w:val="center"/>
              <w:rPr>
                <w:rFonts w:ascii="宋体" w:hAnsi="宋体" w:cs="宋体"/>
                <w:b/>
                <w:bCs/>
                <w:kern w:val="0"/>
                <w:sz w:val="24"/>
              </w:rPr>
            </w:pPr>
            <w:r>
              <w:rPr>
                <w:rFonts w:hint="eastAsia" w:ascii="宋体" w:hAnsi="宋体" w:cs="宋体"/>
                <w:b/>
                <w:bCs/>
                <w:kern w:val="0"/>
                <w:sz w:val="24"/>
              </w:rPr>
              <w:t>小型企业</w:t>
            </w:r>
          </w:p>
        </w:tc>
        <w:tc>
          <w:tcPr>
            <w:tcW w:w="3726" w:type="dxa"/>
            <w:gridSpan w:val="3"/>
            <w:tcBorders>
              <w:top w:val="single" w:color="auto" w:sz="8" w:space="0"/>
              <w:left w:val="nil"/>
              <w:bottom w:val="single" w:color="auto" w:sz="4" w:space="0"/>
              <w:right w:val="single" w:color="000000" w:sz="8" w:space="0"/>
            </w:tcBorders>
            <w:vAlign w:val="bottom"/>
          </w:tcPr>
          <w:p w14:paraId="0EE48F7C">
            <w:pPr>
              <w:widowControl/>
              <w:jc w:val="center"/>
              <w:rPr>
                <w:rFonts w:ascii="宋体" w:hAnsi="宋体" w:cs="宋体"/>
                <w:b/>
                <w:bCs/>
                <w:kern w:val="0"/>
                <w:sz w:val="24"/>
              </w:rPr>
            </w:pPr>
            <w:r>
              <w:rPr>
                <w:rFonts w:hint="eastAsia" w:ascii="宋体" w:hAnsi="宋体" w:cs="宋体"/>
                <w:b/>
                <w:bCs/>
                <w:kern w:val="0"/>
                <w:sz w:val="24"/>
              </w:rPr>
              <w:t>微型企业</w:t>
            </w:r>
          </w:p>
        </w:tc>
      </w:tr>
      <w:tr w14:paraId="5D9FF645">
        <w:tblPrEx>
          <w:tblCellMar>
            <w:top w:w="0" w:type="dxa"/>
            <w:left w:w="108" w:type="dxa"/>
            <w:bottom w:w="0" w:type="dxa"/>
            <w:right w:w="108" w:type="dxa"/>
          </w:tblCellMar>
        </w:tblPrEx>
        <w:trPr>
          <w:gridAfter w:val="1"/>
          <w:wAfter w:w="10" w:type="dxa"/>
          <w:trHeight w:val="561" w:hRule="atLeast"/>
          <w:jc w:val="center"/>
        </w:trPr>
        <w:tc>
          <w:tcPr>
            <w:tcW w:w="1954" w:type="dxa"/>
            <w:vMerge w:val="continue"/>
            <w:tcBorders>
              <w:top w:val="single" w:color="auto" w:sz="8" w:space="0"/>
              <w:left w:val="single" w:color="auto" w:sz="8" w:space="0"/>
              <w:bottom w:val="single" w:color="000000" w:sz="4" w:space="0"/>
              <w:right w:val="single" w:color="auto" w:sz="8" w:space="0"/>
            </w:tcBorders>
            <w:vAlign w:val="center"/>
          </w:tcPr>
          <w:p w14:paraId="697880F6">
            <w:pPr>
              <w:widowControl/>
              <w:jc w:val="left"/>
              <w:rPr>
                <w:rFonts w:ascii="宋体" w:hAnsi="宋体" w:cs="宋体"/>
                <w:b/>
                <w:bCs/>
                <w:kern w:val="0"/>
                <w:sz w:val="24"/>
              </w:rPr>
            </w:pPr>
          </w:p>
        </w:tc>
        <w:tc>
          <w:tcPr>
            <w:tcW w:w="1475" w:type="dxa"/>
            <w:tcBorders>
              <w:top w:val="nil"/>
              <w:left w:val="nil"/>
              <w:bottom w:val="single" w:color="auto" w:sz="4" w:space="0"/>
              <w:right w:val="single" w:color="auto" w:sz="4" w:space="0"/>
            </w:tcBorders>
            <w:vAlign w:val="bottom"/>
          </w:tcPr>
          <w:p w14:paraId="41AC0CCF">
            <w:pPr>
              <w:widowControl/>
              <w:jc w:val="center"/>
              <w:rPr>
                <w:rFonts w:ascii="宋体" w:hAnsi="宋体" w:cs="宋体"/>
                <w:kern w:val="0"/>
                <w:sz w:val="20"/>
              </w:rPr>
            </w:pPr>
            <w:r>
              <w:rPr>
                <w:rFonts w:hint="eastAsia" w:ascii="宋体" w:hAnsi="宋体" w:cs="宋体"/>
                <w:kern w:val="0"/>
                <w:sz w:val="20"/>
              </w:rPr>
              <w:t>从业人员X（人）</w:t>
            </w:r>
          </w:p>
        </w:tc>
        <w:tc>
          <w:tcPr>
            <w:tcW w:w="1736" w:type="dxa"/>
            <w:tcBorders>
              <w:top w:val="nil"/>
              <w:left w:val="nil"/>
              <w:bottom w:val="single" w:color="auto" w:sz="4" w:space="0"/>
              <w:right w:val="single" w:color="auto" w:sz="4" w:space="0"/>
            </w:tcBorders>
            <w:vAlign w:val="bottom"/>
          </w:tcPr>
          <w:p w14:paraId="2F53E325">
            <w:pPr>
              <w:widowControl/>
              <w:jc w:val="center"/>
              <w:rPr>
                <w:rFonts w:ascii="宋体" w:hAnsi="宋体" w:cs="宋体"/>
                <w:kern w:val="0"/>
                <w:sz w:val="20"/>
              </w:rPr>
            </w:pPr>
            <w:r>
              <w:rPr>
                <w:rFonts w:hint="eastAsia" w:ascii="宋体" w:hAnsi="宋体" w:cs="宋体"/>
                <w:kern w:val="0"/>
                <w:sz w:val="20"/>
              </w:rPr>
              <w:t>营业收入Y</w:t>
            </w:r>
          </w:p>
          <w:p w14:paraId="76F43598">
            <w:pPr>
              <w:widowControl/>
              <w:jc w:val="center"/>
              <w:rPr>
                <w:rFonts w:ascii="宋体" w:hAnsi="宋体" w:cs="宋体"/>
                <w:kern w:val="0"/>
                <w:sz w:val="20"/>
              </w:rPr>
            </w:pPr>
            <w:r>
              <w:rPr>
                <w:rFonts w:hint="eastAsia" w:ascii="宋体" w:hAnsi="宋体" w:cs="宋体"/>
                <w:kern w:val="0"/>
                <w:sz w:val="20"/>
              </w:rPr>
              <w:t>（万元）</w:t>
            </w:r>
          </w:p>
        </w:tc>
        <w:tc>
          <w:tcPr>
            <w:tcW w:w="1639" w:type="dxa"/>
            <w:tcBorders>
              <w:top w:val="nil"/>
              <w:left w:val="nil"/>
              <w:bottom w:val="single" w:color="auto" w:sz="4" w:space="0"/>
              <w:right w:val="single" w:color="auto" w:sz="8" w:space="0"/>
            </w:tcBorders>
            <w:vAlign w:val="bottom"/>
          </w:tcPr>
          <w:p w14:paraId="3C12517F">
            <w:pPr>
              <w:widowControl/>
              <w:jc w:val="center"/>
              <w:rPr>
                <w:rFonts w:ascii="宋体" w:hAnsi="宋体" w:cs="宋体"/>
                <w:kern w:val="0"/>
                <w:sz w:val="20"/>
              </w:rPr>
            </w:pPr>
            <w:r>
              <w:rPr>
                <w:rFonts w:hint="eastAsia" w:ascii="宋体" w:hAnsi="宋体" w:cs="宋体"/>
                <w:kern w:val="0"/>
                <w:sz w:val="20"/>
              </w:rPr>
              <w:t>资产总额Z</w:t>
            </w:r>
          </w:p>
          <w:p w14:paraId="138FFF73">
            <w:pPr>
              <w:widowControl/>
              <w:jc w:val="center"/>
              <w:rPr>
                <w:rFonts w:ascii="宋体" w:hAnsi="宋体" w:cs="宋体"/>
                <w:kern w:val="0"/>
                <w:sz w:val="20"/>
              </w:rPr>
            </w:pPr>
            <w:r>
              <w:rPr>
                <w:rFonts w:hint="eastAsia" w:ascii="宋体" w:hAnsi="宋体" w:cs="宋体"/>
                <w:kern w:val="0"/>
                <w:sz w:val="20"/>
              </w:rPr>
              <w:t>（万元）</w:t>
            </w:r>
          </w:p>
        </w:tc>
        <w:tc>
          <w:tcPr>
            <w:tcW w:w="1221" w:type="dxa"/>
            <w:tcBorders>
              <w:top w:val="nil"/>
              <w:left w:val="nil"/>
              <w:bottom w:val="single" w:color="auto" w:sz="4" w:space="0"/>
              <w:right w:val="single" w:color="auto" w:sz="4" w:space="0"/>
            </w:tcBorders>
            <w:vAlign w:val="bottom"/>
          </w:tcPr>
          <w:p w14:paraId="52A5E845">
            <w:pPr>
              <w:widowControl/>
              <w:jc w:val="center"/>
              <w:rPr>
                <w:rFonts w:ascii="宋体" w:hAnsi="宋体" w:cs="宋体"/>
                <w:kern w:val="0"/>
                <w:sz w:val="20"/>
              </w:rPr>
            </w:pPr>
            <w:r>
              <w:rPr>
                <w:rFonts w:hint="eastAsia" w:ascii="宋体" w:hAnsi="宋体" w:cs="宋体"/>
                <w:kern w:val="0"/>
                <w:sz w:val="20"/>
              </w:rPr>
              <w:t>从业人员X（人）</w:t>
            </w:r>
          </w:p>
        </w:tc>
        <w:tc>
          <w:tcPr>
            <w:tcW w:w="1458" w:type="dxa"/>
            <w:tcBorders>
              <w:top w:val="nil"/>
              <w:left w:val="nil"/>
              <w:bottom w:val="single" w:color="auto" w:sz="4" w:space="0"/>
              <w:right w:val="single" w:color="auto" w:sz="4" w:space="0"/>
            </w:tcBorders>
            <w:vAlign w:val="bottom"/>
          </w:tcPr>
          <w:p w14:paraId="6FCF7E1B">
            <w:pPr>
              <w:widowControl/>
              <w:jc w:val="center"/>
              <w:rPr>
                <w:rFonts w:ascii="宋体" w:hAnsi="宋体" w:cs="宋体"/>
                <w:kern w:val="0"/>
                <w:sz w:val="20"/>
              </w:rPr>
            </w:pPr>
            <w:r>
              <w:rPr>
                <w:rFonts w:hint="eastAsia" w:ascii="宋体" w:hAnsi="宋体" w:cs="宋体"/>
                <w:kern w:val="0"/>
                <w:sz w:val="20"/>
              </w:rPr>
              <w:t>营业收入Y</w:t>
            </w:r>
          </w:p>
          <w:p w14:paraId="5A938F7F">
            <w:pPr>
              <w:widowControl/>
              <w:jc w:val="center"/>
              <w:rPr>
                <w:rFonts w:ascii="宋体" w:hAnsi="宋体" w:cs="宋体"/>
                <w:kern w:val="0"/>
                <w:sz w:val="20"/>
              </w:rPr>
            </w:pPr>
            <w:r>
              <w:rPr>
                <w:rFonts w:hint="eastAsia" w:ascii="宋体" w:hAnsi="宋体" w:cs="宋体"/>
                <w:kern w:val="0"/>
                <w:sz w:val="20"/>
              </w:rPr>
              <w:t>（万元）</w:t>
            </w:r>
          </w:p>
        </w:tc>
        <w:tc>
          <w:tcPr>
            <w:tcW w:w="1501" w:type="dxa"/>
            <w:tcBorders>
              <w:top w:val="nil"/>
              <w:left w:val="nil"/>
              <w:bottom w:val="single" w:color="auto" w:sz="4" w:space="0"/>
              <w:right w:val="single" w:color="auto" w:sz="8" w:space="0"/>
            </w:tcBorders>
            <w:vAlign w:val="bottom"/>
          </w:tcPr>
          <w:p w14:paraId="02F6D2F1">
            <w:pPr>
              <w:widowControl/>
              <w:jc w:val="center"/>
              <w:rPr>
                <w:rFonts w:ascii="宋体" w:hAnsi="宋体" w:cs="宋体"/>
                <w:kern w:val="0"/>
                <w:sz w:val="20"/>
              </w:rPr>
            </w:pPr>
            <w:r>
              <w:rPr>
                <w:rFonts w:hint="eastAsia" w:ascii="宋体" w:hAnsi="宋体" w:cs="宋体"/>
                <w:kern w:val="0"/>
                <w:sz w:val="20"/>
              </w:rPr>
              <w:t>资产总额Z</w:t>
            </w:r>
          </w:p>
          <w:p w14:paraId="6993ACB0">
            <w:pPr>
              <w:widowControl/>
              <w:jc w:val="center"/>
              <w:rPr>
                <w:rFonts w:ascii="宋体" w:hAnsi="宋体" w:cs="宋体"/>
                <w:kern w:val="0"/>
                <w:sz w:val="20"/>
              </w:rPr>
            </w:pPr>
            <w:r>
              <w:rPr>
                <w:rFonts w:hint="eastAsia" w:ascii="宋体" w:hAnsi="宋体" w:cs="宋体"/>
                <w:kern w:val="0"/>
                <w:sz w:val="20"/>
              </w:rPr>
              <w:t>（万元）</w:t>
            </w:r>
          </w:p>
        </w:tc>
        <w:tc>
          <w:tcPr>
            <w:tcW w:w="1265" w:type="dxa"/>
            <w:tcBorders>
              <w:top w:val="nil"/>
              <w:left w:val="nil"/>
              <w:bottom w:val="single" w:color="auto" w:sz="4" w:space="0"/>
              <w:right w:val="single" w:color="auto" w:sz="4" w:space="0"/>
            </w:tcBorders>
            <w:vAlign w:val="bottom"/>
          </w:tcPr>
          <w:p w14:paraId="75865E68">
            <w:pPr>
              <w:widowControl/>
              <w:jc w:val="center"/>
              <w:rPr>
                <w:rFonts w:ascii="宋体" w:hAnsi="宋体" w:cs="宋体"/>
                <w:kern w:val="0"/>
                <w:sz w:val="20"/>
              </w:rPr>
            </w:pPr>
            <w:r>
              <w:rPr>
                <w:rFonts w:hint="eastAsia" w:ascii="宋体" w:hAnsi="宋体" w:cs="宋体"/>
                <w:kern w:val="0"/>
                <w:sz w:val="20"/>
              </w:rPr>
              <w:t>从业人员X（人）</w:t>
            </w:r>
          </w:p>
        </w:tc>
        <w:tc>
          <w:tcPr>
            <w:tcW w:w="1256" w:type="dxa"/>
            <w:tcBorders>
              <w:top w:val="nil"/>
              <w:left w:val="nil"/>
              <w:bottom w:val="single" w:color="auto" w:sz="4" w:space="0"/>
              <w:right w:val="single" w:color="auto" w:sz="4" w:space="0"/>
            </w:tcBorders>
            <w:vAlign w:val="bottom"/>
          </w:tcPr>
          <w:p w14:paraId="578A8337">
            <w:pPr>
              <w:widowControl/>
              <w:jc w:val="center"/>
              <w:rPr>
                <w:rFonts w:ascii="宋体" w:hAnsi="宋体" w:cs="宋体"/>
                <w:kern w:val="0"/>
                <w:sz w:val="20"/>
              </w:rPr>
            </w:pPr>
            <w:r>
              <w:rPr>
                <w:rFonts w:hint="eastAsia" w:ascii="宋体" w:hAnsi="宋体" w:cs="宋体"/>
                <w:kern w:val="0"/>
                <w:sz w:val="20"/>
              </w:rPr>
              <w:t>营业收入Y（万元）</w:t>
            </w:r>
          </w:p>
        </w:tc>
        <w:tc>
          <w:tcPr>
            <w:tcW w:w="1205" w:type="dxa"/>
            <w:tcBorders>
              <w:top w:val="nil"/>
              <w:left w:val="nil"/>
              <w:bottom w:val="single" w:color="auto" w:sz="4" w:space="0"/>
              <w:right w:val="single" w:color="auto" w:sz="8" w:space="0"/>
            </w:tcBorders>
            <w:vAlign w:val="bottom"/>
          </w:tcPr>
          <w:p w14:paraId="098EFC85">
            <w:pPr>
              <w:widowControl/>
              <w:jc w:val="center"/>
              <w:rPr>
                <w:rFonts w:ascii="宋体" w:hAnsi="宋体" w:cs="宋体"/>
                <w:kern w:val="0"/>
                <w:sz w:val="20"/>
              </w:rPr>
            </w:pPr>
            <w:r>
              <w:rPr>
                <w:rFonts w:hint="eastAsia" w:ascii="宋体" w:hAnsi="宋体" w:cs="宋体"/>
                <w:kern w:val="0"/>
                <w:sz w:val="20"/>
              </w:rPr>
              <w:t>资产总额Z（万元）</w:t>
            </w:r>
          </w:p>
        </w:tc>
      </w:tr>
      <w:tr w14:paraId="5F20FEEE">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45F3E220">
            <w:pPr>
              <w:widowControl/>
              <w:rPr>
                <w:rFonts w:ascii="宋体" w:hAnsi="宋体" w:cs="宋体"/>
                <w:kern w:val="0"/>
                <w:sz w:val="20"/>
              </w:rPr>
            </w:pPr>
            <w:r>
              <w:rPr>
                <w:rFonts w:hint="eastAsia" w:ascii="宋体" w:hAnsi="宋体" w:cs="宋体"/>
                <w:kern w:val="0"/>
                <w:sz w:val="20"/>
              </w:rPr>
              <w:t>1.农林牧渔业</w:t>
            </w:r>
          </w:p>
        </w:tc>
        <w:tc>
          <w:tcPr>
            <w:tcW w:w="1475" w:type="dxa"/>
            <w:tcBorders>
              <w:top w:val="nil"/>
              <w:left w:val="nil"/>
              <w:bottom w:val="single" w:color="auto" w:sz="4" w:space="0"/>
              <w:right w:val="single" w:color="auto" w:sz="4" w:space="0"/>
            </w:tcBorders>
            <w:vAlign w:val="center"/>
          </w:tcPr>
          <w:p w14:paraId="0A09ED52">
            <w:pPr>
              <w:widowControl/>
              <w:rPr>
                <w:rFonts w:ascii="宋体" w:hAnsi="宋体" w:cs="宋体"/>
                <w:kern w:val="0"/>
                <w:sz w:val="20"/>
              </w:rPr>
            </w:pPr>
            <w:r>
              <w:rPr>
                <w:rFonts w:hint="eastAsia" w:ascii="宋体" w:hAnsi="宋体" w:cs="宋体"/>
                <w:kern w:val="0"/>
                <w:sz w:val="20"/>
              </w:rPr>
              <w:t>　</w:t>
            </w:r>
          </w:p>
        </w:tc>
        <w:tc>
          <w:tcPr>
            <w:tcW w:w="1736" w:type="dxa"/>
            <w:tcBorders>
              <w:top w:val="nil"/>
              <w:left w:val="nil"/>
              <w:bottom w:val="single" w:color="auto" w:sz="4" w:space="0"/>
              <w:right w:val="single" w:color="auto" w:sz="4" w:space="0"/>
            </w:tcBorders>
            <w:vAlign w:val="center"/>
          </w:tcPr>
          <w:p w14:paraId="10168E93">
            <w:pPr>
              <w:widowControl/>
              <w:rPr>
                <w:rFonts w:ascii="宋体" w:hAnsi="宋体" w:cs="宋体"/>
                <w:kern w:val="0"/>
                <w:sz w:val="20"/>
              </w:rPr>
            </w:pPr>
            <w:r>
              <w:rPr>
                <w:rFonts w:hint="eastAsia" w:ascii="宋体" w:hAnsi="宋体" w:cs="宋体"/>
                <w:kern w:val="0"/>
                <w:sz w:val="20"/>
              </w:rPr>
              <w:t>500≤Y＜20000</w:t>
            </w:r>
          </w:p>
        </w:tc>
        <w:tc>
          <w:tcPr>
            <w:tcW w:w="1639" w:type="dxa"/>
            <w:tcBorders>
              <w:top w:val="nil"/>
              <w:left w:val="nil"/>
              <w:bottom w:val="single" w:color="auto" w:sz="4" w:space="0"/>
              <w:right w:val="single" w:color="auto" w:sz="8" w:space="0"/>
            </w:tcBorders>
            <w:vAlign w:val="center"/>
          </w:tcPr>
          <w:p w14:paraId="01CB72FB">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6DCB0EB2">
            <w:pPr>
              <w:widowControl/>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center"/>
          </w:tcPr>
          <w:p w14:paraId="7E3611A7">
            <w:pPr>
              <w:widowControl/>
              <w:rPr>
                <w:rFonts w:ascii="宋体" w:hAnsi="宋体" w:cs="宋体"/>
                <w:kern w:val="0"/>
                <w:sz w:val="20"/>
              </w:rPr>
            </w:pPr>
            <w:r>
              <w:rPr>
                <w:rFonts w:hint="eastAsia" w:ascii="宋体" w:hAnsi="宋体" w:cs="宋体"/>
                <w:kern w:val="0"/>
                <w:sz w:val="20"/>
              </w:rPr>
              <w:t>50≤Y＜500</w:t>
            </w:r>
          </w:p>
        </w:tc>
        <w:tc>
          <w:tcPr>
            <w:tcW w:w="1501" w:type="dxa"/>
            <w:tcBorders>
              <w:top w:val="nil"/>
              <w:left w:val="nil"/>
              <w:bottom w:val="single" w:color="auto" w:sz="4" w:space="0"/>
              <w:right w:val="single" w:color="auto" w:sz="8" w:space="0"/>
            </w:tcBorders>
            <w:vAlign w:val="center"/>
          </w:tcPr>
          <w:p w14:paraId="5A3FC9AF">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7B3D49BB">
            <w:pPr>
              <w:widowControl/>
              <w:rPr>
                <w:rFonts w:ascii="宋体" w:hAnsi="宋体" w:cs="宋体"/>
                <w:kern w:val="0"/>
                <w:sz w:val="20"/>
              </w:rPr>
            </w:pPr>
            <w:r>
              <w:rPr>
                <w:rFonts w:hint="eastAsia" w:ascii="宋体" w:hAnsi="宋体" w:cs="宋体"/>
                <w:kern w:val="0"/>
                <w:sz w:val="20"/>
              </w:rPr>
              <w:t>　</w:t>
            </w:r>
          </w:p>
        </w:tc>
        <w:tc>
          <w:tcPr>
            <w:tcW w:w="1256" w:type="dxa"/>
            <w:tcBorders>
              <w:top w:val="nil"/>
              <w:left w:val="nil"/>
              <w:bottom w:val="single" w:color="auto" w:sz="4" w:space="0"/>
              <w:right w:val="single" w:color="auto" w:sz="4" w:space="0"/>
            </w:tcBorders>
            <w:vAlign w:val="center"/>
          </w:tcPr>
          <w:p w14:paraId="2ABDE4C2">
            <w:pPr>
              <w:widowControl/>
              <w:rPr>
                <w:rFonts w:ascii="宋体" w:hAnsi="宋体" w:cs="宋体"/>
                <w:kern w:val="0"/>
                <w:sz w:val="20"/>
              </w:rPr>
            </w:pPr>
            <w:r>
              <w:rPr>
                <w:rFonts w:hint="eastAsia" w:ascii="宋体" w:hAnsi="宋体" w:cs="宋体"/>
                <w:kern w:val="0"/>
                <w:sz w:val="20"/>
              </w:rPr>
              <w:t>Y＜50</w:t>
            </w:r>
          </w:p>
        </w:tc>
        <w:tc>
          <w:tcPr>
            <w:tcW w:w="1205" w:type="dxa"/>
            <w:tcBorders>
              <w:top w:val="nil"/>
              <w:left w:val="nil"/>
              <w:bottom w:val="single" w:color="auto" w:sz="4" w:space="0"/>
              <w:right w:val="single" w:color="auto" w:sz="8" w:space="0"/>
            </w:tcBorders>
            <w:vAlign w:val="center"/>
          </w:tcPr>
          <w:p w14:paraId="530E581A">
            <w:pPr>
              <w:widowControl/>
              <w:rPr>
                <w:rFonts w:ascii="宋体" w:hAnsi="宋体" w:cs="宋体"/>
                <w:kern w:val="0"/>
                <w:sz w:val="20"/>
              </w:rPr>
            </w:pPr>
            <w:r>
              <w:rPr>
                <w:rFonts w:hint="eastAsia" w:ascii="宋体" w:hAnsi="宋体" w:cs="宋体"/>
                <w:kern w:val="0"/>
                <w:sz w:val="20"/>
              </w:rPr>
              <w:t>　</w:t>
            </w:r>
          </w:p>
        </w:tc>
      </w:tr>
      <w:tr w14:paraId="2744DEA0">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3562A79">
            <w:pPr>
              <w:widowControl/>
              <w:rPr>
                <w:rFonts w:ascii="宋体" w:hAnsi="宋体" w:cs="宋体"/>
                <w:kern w:val="0"/>
                <w:sz w:val="20"/>
              </w:rPr>
            </w:pPr>
            <w:r>
              <w:rPr>
                <w:rFonts w:hint="eastAsia" w:ascii="宋体" w:hAnsi="宋体" w:cs="宋体"/>
                <w:kern w:val="0"/>
                <w:sz w:val="20"/>
              </w:rPr>
              <w:t>2.工业</w:t>
            </w:r>
          </w:p>
        </w:tc>
        <w:tc>
          <w:tcPr>
            <w:tcW w:w="1475" w:type="dxa"/>
            <w:tcBorders>
              <w:top w:val="nil"/>
              <w:left w:val="nil"/>
              <w:bottom w:val="single" w:color="auto" w:sz="4" w:space="0"/>
              <w:right w:val="single" w:color="auto" w:sz="4" w:space="0"/>
            </w:tcBorders>
            <w:vAlign w:val="center"/>
          </w:tcPr>
          <w:p w14:paraId="7E07067A">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14:paraId="5AA33082">
            <w:pPr>
              <w:widowControl/>
              <w:rPr>
                <w:rFonts w:ascii="宋体" w:hAnsi="宋体" w:cs="宋体"/>
                <w:kern w:val="0"/>
                <w:sz w:val="20"/>
              </w:rPr>
            </w:pPr>
            <w:r>
              <w:rPr>
                <w:rFonts w:hint="eastAsia" w:ascii="宋体" w:hAnsi="宋体" w:cs="宋体"/>
                <w:kern w:val="0"/>
                <w:sz w:val="20"/>
              </w:rPr>
              <w:t>2000≤Y＜40000</w:t>
            </w:r>
          </w:p>
        </w:tc>
        <w:tc>
          <w:tcPr>
            <w:tcW w:w="1639" w:type="dxa"/>
            <w:tcBorders>
              <w:top w:val="nil"/>
              <w:left w:val="nil"/>
              <w:bottom w:val="single" w:color="auto" w:sz="4" w:space="0"/>
              <w:right w:val="single" w:color="auto" w:sz="8" w:space="0"/>
            </w:tcBorders>
            <w:vAlign w:val="center"/>
          </w:tcPr>
          <w:p w14:paraId="22CB4DD0">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22BF134C">
            <w:pPr>
              <w:widowControl/>
              <w:rPr>
                <w:rFonts w:ascii="宋体" w:hAnsi="宋体" w:cs="宋体"/>
                <w:kern w:val="0"/>
                <w:sz w:val="20"/>
              </w:rPr>
            </w:pPr>
            <w:r>
              <w:rPr>
                <w:rFonts w:hint="eastAsia" w:ascii="宋体" w:hAnsi="宋体" w:cs="宋体"/>
                <w:kern w:val="0"/>
                <w:sz w:val="20"/>
              </w:rPr>
              <w:t>20≤X＜300</w:t>
            </w:r>
          </w:p>
        </w:tc>
        <w:tc>
          <w:tcPr>
            <w:tcW w:w="1458" w:type="dxa"/>
            <w:tcBorders>
              <w:top w:val="nil"/>
              <w:left w:val="nil"/>
              <w:bottom w:val="single" w:color="auto" w:sz="4" w:space="0"/>
              <w:right w:val="single" w:color="auto" w:sz="4" w:space="0"/>
            </w:tcBorders>
            <w:vAlign w:val="center"/>
          </w:tcPr>
          <w:p w14:paraId="7930D483">
            <w:pPr>
              <w:widowControl/>
              <w:rPr>
                <w:rFonts w:ascii="宋体" w:hAnsi="宋体" w:cs="宋体"/>
                <w:kern w:val="0"/>
                <w:sz w:val="20"/>
              </w:rPr>
            </w:pPr>
            <w:r>
              <w:rPr>
                <w:rFonts w:hint="eastAsia" w:ascii="宋体" w:hAnsi="宋体" w:cs="宋体"/>
                <w:kern w:val="0"/>
                <w:sz w:val="20"/>
              </w:rPr>
              <w:t>300≤Y＜2000</w:t>
            </w:r>
          </w:p>
        </w:tc>
        <w:tc>
          <w:tcPr>
            <w:tcW w:w="1501" w:type="dxa"/>
            <w:tcBorders>
              <w:top w:val="nil"/>
              <w:left w:val="nil"/>
              <w:bottom w:val="single" w:color="auto" w:sz="4" w:space="0"/>
              <w:right w:val="single" w:color="auto" w:sz="8" w:space="0"/>
            </w:tcBorders>
            <w:vAlign w:val="center"/>
          </w:tcPr>
          <w:p w14:paraId="1C1982A8">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6CAA2543">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14:paraId="0F8F3586">
            <w:pPr>
              <w:widowControl/>
              <w:rPr>
                <w:rFonts w:ascii="宋体" w:hAnsi="宋体" w:cs="宋体"/>
                <w:kern w:val="0"/>
                <w:sz w:val="20"/>
              </w:rPr>
            </w:pPr>
            <w:r>
              <w:rPr>
                <w:rFonts w:hint="eastAsia" w:ascii="宋体" w:hAnsi="宋体" w:cs="宋体"/>
                <w:kern w:val="0"/>
                <w:sz w:val="20"/>
              </w:rPr>
              <w:t>Y＜300</w:t>
            </w:r>
          </w:p>
        </w:tc>
        <w:tc>
          <w:tcPr>
            <w:tcW w:w="1205" w:type="dxa"/>
            <w:tcBorders>
              <w:top w:val="nil"/>
              <w:left w:val="nil"/>
              <w:bottom w:val="single" w:color="auto" w:sz="4" w:space="0"/>
              <w:right w:val="single" w:color="auto" w:sz="8" w:space="0"/>
            </w:tcBorders>
            <w:vAlign w:val="center"/>
          </w:tcPr>
          <w:p w14:paraId="4D5CA4FF">
            <w:pPr>
              <w:widowControl/>
              <w:rPr>
                <w:rFonts w:ascii="宋体" w:hAnsi="宋体" w:cs="宋体"/>
                <w:kern w:val="0"/>
                <w:sz w:val="20"/>
              </w:rPr>
            </w:pPr>
            <w:r>
              <w:rPr>
                <w:rFonts w:hint="eastAsia" w:ascii="宋体" w:hAnsi="宋体" w:cs="宋体"/>
                <w:kern w:val="0"/>
                <w:sz w:val="20"/>
              </w:rPr>
              <w:t>　</w:t>
            </w:r>
          </w:p>
        </w:tc>
      </w:tr>
      <w:tr w14:paraId="224F6AA2">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5013FD12">
            <w:pPr>
              <w:widowControl/>
              <w:rPr>
                <w:rFonts w:ascii="宋体" w:hAnsi="宋体" w:cs="宋体"/>
                <w:kern w:val="0"/>
                <w:sz w:val="20"/>
              </w:rPr>
            </w:pPr>
            <w:r>
              <w:rPr>
                <w:rFonts w:hint="eastAsia" w:ascii="宋体" w:hAnsi="宋体" w:cs="宋体"/>
                <w:kern w:val="0"/>
                <w:sz w:val="20"/>
              </w:rPr>
              <w:t>3.建筑业</w:t>
            </w:r>
          </w:p>
        </w:tc>
        <w:tc>
          <w:tcPr>
            <w:tcW w:w="1475" w:type="dxa"/>
            <w:tcBorders>
              <w:top w:val="nil"/>
              <w:left w:val="nil"/>
              <w:bottom w:val="single" w:color="auto" w:sz="4" w:space="0"/>
              <w:right w:val="single" w:color="auto" w:sz="4" w:space="0"/>
            </w:tcBorders>
            <w:vAlign w:val="center"/>
          </w:tcPr>
          <w:p w14:paraId="2790EE42">
            <w:pPr>
              <w:widowControl/>
              <w:rPr>
                <w:rFonts w:ascii="宋体" w:hAnsi="宋体" w:cs="宋体"/>
                <w:kern w:val="0"/>
                <w:sz w:val="20"/>
              </w:rPr>
            </w:pPr>
            <w:r>
              <w:rPr>
                <w:rFonts w:hint="eastAsia" w:ascii="宋体" w:hAnsi="宋体" w:cs="宋体"/>
                <w:kern w:val="0"/>
                <w:sz w:val="20"/>
              </w:rPr>
              <w:t>　</w:t>
            </w:r>
          </w:p>
        </w:tc>
        <w:tc>
          <w:tcPr>
            <w:tcW w:w="1736" w:type="dxa"/>
            <w:tcBorders>
              <w:top w:val="nil"/>
              <w:left w:val="nil"/>
              <w:bottom w:val="single" w:color="auto" w:sz="4" w:space="0"/>
              <w:right w:val="single" w:color="auto" w:sz="4" w:space="0"/>
            </w:tcBorders>
            <w:vAlign w:val="center"/>
          </w:tcPr>
          <w:p w14:paraId="0684419C">
            <w:pPr>
              <w:widowControl/>
              <w:rPr>
                <w:rFonts w:ascii="宋体" w:hAnsi="宋体" w:cs="宋体"/>
                <w:kern w:val="0"/>
                <w:sz w:val="20"/>
              </w:rPr>
            </w:pPr>
            <w:r>
              <w:rPr>
                <w:rFonts w:hint="eastAsia" w:ascii="宋体" w:hAnsi="宋体" w:cs="宋体"/>
                <w:kern w:val="0"/>
                <w:sz w:val="20"/>
              </w:rPr>
              <w:t>6000≤Y＜80000</w:t>
            </w:r>
          </w:p>
        </w:tc>
        <w:tc>
          <w:tcPr>
            <w:tcW w:w="1639" w:type="dxa"/>
            <w:tcBorders>
              <w:top w:val="nil"/>
              <w:left w:val="nil"/>
              <w:bottom w:val="single" w:color="auto" w:sz="4" w:space="0"/>
              <w:right w:val="single" w:color="auto" w:sz="8" w:space="0"/>
            </w:tcBorders>
            <w:vAlign w:val="center"/>
          </w:tcPr>
          <w:p w14:paraId="52D7FAAF">
            <w:pPr>
              <w:widowControl/>
              <w:rPr>
                <w:rFonts w:ascii="宋体" w:hAnsi="宋体" w:cs="宋体"/>
                <w:kern w:val="0"/>
                <w:sz w:val="20"/>
              </w:rPr>
            </w:pPr>
            <w:r>
              <w:rPr>
                <w:rFonts w:hint="eastAsia" w:ascii="宋体" w:hAnsi="宋体" w:cs="宋体"/>
                <w:kern w:val="0"/>
                <w:sz w:val="20"/>
              </w:rPr>
              <w:t>5000≤Z＜80000</w:t>
            </w:r>
          </w:p>
        </w:tc>
        <w:tc>
          <w:tcPr>
            <w:tcW w:w="1221" w:type="dxa"/>
            <w:tcBorders>
              <w:top w:val="nil"/>
              <w:left w:val="nil"/>
              <w:bottom w:val="single" w:color="auto" w:sz="4" w:space="0"/>
              <w:right w:val="single" w:color="auto" w:sz="4" w:space="0"/>
            </w:tcBorders>
            <w:vAlign w:val="center"/>
          </w:tcPr>
          <w:p w14:paraId="49674272">
            <w:pPr>
              <w:widowControl/>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center"/>
          </w:tcPr>
          <w:p w14:paraId="21A81C33">
            <w:pPr>
              <w:widowControl/>
              <w:rPr>
                <w:rFonts w:ascii="宋体" w:hAnsi="宋体" w:cs="宋体"/>
                <w:kern w:val="0"/>
                <w:sz w:val="20"/>
              </w:rPr>
            </w:pPr>
            <w:r>
              <w:rPr>
                <w:rFonts w:hint="eastAsia" w:ascii="宋体" w:hAnsi="宋体" w:cs="宋体"/>
                <w:kern w:val="0"/>
                <w:sz w:val="20"/>
              </w:rPr>
              <w:t>300≤Y＜6000</w:t>
            </w:r>
          </w:p>
        </w:tc>
        <w:tc>
          <w:tcPr>
            <w:tcW w:w="1501" w:type="dxa"/>
            <w:tcBorders>
              <w:top w:val="nil"/>
              <w:left w:val="nil"/>
              <w:bottom w:val="single" w:color="auto" w:sz="4" w:space="0"/>
              <w:right w:val="single" w:color="auto" w:sz="8" w:space="0"/>
            </w:tcBorders>
            <w:vAlign w:val="center"/>
          </w:tcPr>
          <w:p w14:paraId="3FE00493">
            <w:pPr>
              <w:widowControl/>
              <w:rPr>
                <w:rFonts w:ascii="宋体" w:hAnsi="宋体" w:cs="宋体"/>
                <w:kern w:val="0"/>
                <w:sz w:val="20"/>
              </w:rPr>
            </w:pPr>
            <w:r>
              <w:rPr>
                <w:rFonts w:hint="eastAsia" w:ascii="宋体" w:hAnsi="宋体" w:cs="宋体"/>
                <w:kern w:val="0"/>
                <w:sz w:val="20"/>
              </w:rPr>
              <w:t>300≤Z＜5000</w:t>
            </w:r>
          </w:p>
        </w:tc>
        <w:tc>
          <w:tcPr>
            <w:tcW w:w="1265" w:type="dxa"/>
            <w:tcBorders>
              <w:top w:val="nil"/>
              <w:left w:val="nil"/>
              <w:bottom w:val="single" w:color="auto" w:sz="4" w:space="0"/>
              <w:right w:val="single" w:color="auto" w:sz="4" w:space="0"/>
            </w:tcBorders>
            <w:vAlign w:val="center"/>
          </w:tcPr>
          <w:p w14:paraId="5B772559">
            <w:pPr>
              <w:widowControl/>
              <w:rPr>
                <w:rFonts w:ascii="宋体" w:hAnsi="宋体" w:cs="宋体"/>
                <w:kern w:val="0"/>
                <w:sz w:val="20"/>
              </w:rPr>
            </w:pPr>
            <w:r>
              <w:rPr>
                <w:rFonts w:hint="eastAsia" w:ascii="宋体" w:hAnsi="宋体" w:cs="宋体"/>
                <w:kern w:val="0"/>
                <w:sz w:val="20"/>
              </w:rPr>
              <w:t>　</w:t>
            </w:r>
          </w:p>
        </w:tc>
        <w:tc>
          <w:tcPr>
            <w:tcW w:w="1256" w:type="dxa"/>
            <w:tcBorders>
              <w:top w:val="nil"/>
              <w:left w:val="nil"/>
              <w:bottom w:val="single" w:color="auto" w:sz="4" w:space="0"/>
              <w:right w:val="single" w:color="auto" w:sz="4" w:space="0"/>
            </w:tcBorders>
            <w:vAlign w:val="center"/>
          </w:tcPr>
          <w:p w14:paraId="750F2F90">
            <w:pPr>
              <w:widowControl/>
              <w:rPr>
                <w:rFonts w:ascii="宋体" w:hAnsi="宋体" w:cs="宋体"/>
                <w:kern w:val="0"/>
                <w:sz w:val="20"/>
              </w:rPr>
            </w:pPr>
            <w:r>
              <w:rPr>
                <w:rFonts w:hint="eastAsia" w:ascii="宋体" w:hAnsi="宋体" w:cs="宋体"/>
                <w:kern w:val="0"/>
                <w:sz w:val="20"/>
              </w:rPr>
              <w:t>Y＜300</w:t>
            </w:r>
          </w:p>
        </w:tc>
        <w:tc>
          <w:tcPr>
            <w:tcW w:w="1205" w:type="dxa"/>
            <w:tcBorders>
              <w:top w:val="nil"/>
              <w:left w:val="nil"/>
              <w:bottom w:val="single" w:color="auto" w:sz="4" w:space="0"/>
              <w:right w:val="single" w:color="auto" w:sz="8" w:space="0"/>
            </w:tcBorders>
            <w:vAlign w:val="center"/>
          </w:tcPr>
          <w:p w14:paraId="22FED521">
            <w:pPr>
              <w:widowControl/>
              <w:rPr>
                <w:rFonts w:ascii="宋体" w:hAnsi="宋体" w:cs="宋体"/>
                <w:kern w:val="0"/>
                <w:sz w:val="20"/>
              </w:rPr>
            </w:pPr>
            <w:r>
              <w:rPr>
                <w:rFonts w:hint="eastAsia" w:ascii="宋体" w:hAnsi="宋体" w:cs="宋体"/>
                <w:kern w:val="0"/>
                <w:sz w:val="20"/>
              </w:rPr>
              <w:t>Z＜300</w:t>
            </w:r>
          </w:p>
        </w:tc>
      </w:tr>
      <w:tr w14:paraId="3953B022">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1A4A4ED8">
            <w:pPr>
              <w:widowControl/>
              <w:rPr>
                <w:rFonts w:ascii="宋体" w:hAnsi="宋体" w:cs="宋体"/>
                <w:kern w:val="0"/>
                <w:sz w:val="20"/>
              </w:rPr>
            </w:pPr>
            <w:r>
              <w:rPr>
                <w:rFonts w:hint="eastAsia" w:ascii="宋体" w:hAnsi="宋体" w:cs="宋体"/>
                <w:kern w:val="0"/>
                <w:sz w:val="20"/>
              </w:rPr>
              <w:t>4.批发业</w:t>
            </w:r>
          </w:p>
        </w:tc>
        <w:tc>
          <w:tcPr>
            <w:tcW w:w="1475" w:type="dxa"/>
            <w:tcBorders>
              <w:top w:val="nil"/>
              <w:left w:val="nil"/>
              <w:bottom w:val="single" w:color="auto" w:sz="4" w:space="0"/>
              <w:right w:val="single" w:color="auto" w:sz="4" w:space="0"/>
            </w:tcBorders>
            <w:vAlign w:val="center"/>
          </w:tcPr>
          <w:p w14:paraId="43DB1A2E">
            <w:pPr>
              <w:widowControl/>
              <w:rPr>
                <w:rFonts w:ascii="宋体" w:hAnsi="宋体" w:cs="宋体"/>
                <w:kern w:val="0"/>
                <w:sz w:val="20"/>
              </w:rPr>
            </w:pPr>
            <w:r>
              <w:rPr>
                <w:rFonts w:hint="eastAsia" w:ascii="宋体" w:hAnsi="宋体" w:cs="宋体"/>
                <w:kern w:val="0"/>
                <w:sz w:val="20"/>
              </w:rPr>
              <w:t>20≤X＜200</w:t>
            </w:r>
          </w:p>
        </w:tc>
        <w:tc>
          <w:tcPr>
            <w:tcW w:w="1736" w:type="dxa"/>
            <w:tcBorders>
              <w:top w:val="nil"/>
              <w:left w:val="nil"/>
              <w:bottom w:val="single" w:color="auto" w:sz="4" w:space="0"/>
              <w:right w:val="single" w:color="auto" w:sz="4" w:space="0"/>
            </w:tcBorders>
            <w:vAlign w:val="center"/>
          </w:tcPr>
          <w:p w14:paraId="70E6BF6A">
            <w:pPr>
              <w:widowControl/>
              <w:rPr>
                <w:rFonts w:ascii="宋体" w:hAnsi="宋体" w:cs="宋体"/>
                <w:kern w:val="0"/>
                <w:sz w:val="20"/>
              </w:rPr>
            </w:pPr>
            <w:r>
              <w:rPr>
                <w:rFonts w:hint="eastAsia" w:ascii="宋体" w:hAnsi="宋体" w:cs="宋体"/>
                <w:kern w:val="0"/>
                <w:sz w:val="20"/>
              </w:rPr>
              <w:t>5000≤Y＜40000</w:t>
            </w:r>
          </w:p>
        </w:tc>
        <w:tc>
          <w:tcPr>
            <w:tcW w:w="1639" w:type="dxa"/>
            <w:tcBorders>
              <w:top w:val="nil"/>
              <w:left w:val="nil"/>
              <w:bottom w:val="single" w:color="auto" w:sz="4" w:space="0"/>
              <w:right w:val="single" w:color="auto" w:sz="8" w:space="0"/>
            </w:tcBorders>
            <w:vAlign w:val="center"/>
          </w:tcPr>
          <w:p w14:paraId="5AFA8C8D">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6A58EA52">
            <w:pPr>
              <w:widowControl/>
              <w:rPr>
                <w:rFonts w:ascii="宋体" w:hAnsi="宋体" w:cs="宋体"/>
                <w:kern w:val="0"/>
                <w:sz w:val="20"/>
              </w:rPr>
            </w:pPr>
            <w:r>
              <w:rPr>
                <w:rFonts w:hint="eastAsia" w:ascii="宋体" w:hAnsi="宋体" w:cs="宋体"/>
                <w:kern w:val="0"/>
                <w:sz w:val="20"/>
              </w:rPr>
              <w:t>5≤X＜20</w:t>
            </w:r>
          </w:p>
        </w:tc>
        <w:tc>
          <w:tcPr>
            <w:tcW w:w="1458" w:type="dxa"/>
            <w:tcBorders>
              <w:top w:val="nil"/>
              <w:left w:val="nil"/>
              <w:bottom w:val="single" w:color="auto" w:sz="4" w:space="0"/>
              <w:right w:val="single" w:color="auto" w:sz="4" w:space="0"/>
            </w:tcBorders>
            <w:vAlign w:val="center"/>
          </w:tcPr>
          <w:p w14:paraId="48C32DB3">
            <w:pPr>
              <w:widowControl/>
              <w:rPr>
                <w:rFonts w:ascii="宋体" w:hAnsi="宋体" w:cs="宋体"/>
                <w:kern w:val="0"/>
                <w:sz w:val="20"/>
              </w:rPr>
            </w:pPr>
            <w:r>
              <w:rPr>
                <w:rFonts w:hint="eastAsia" w:ascii="宋体" w:hAnsi="宋体" w:cs="宋体"/>
                <w:kern w:val="0"/>
                <w:sz w:val="20"/>
              </w:rPr>
              <w:t>1000≤Y＜5000</w:t>
            </w:r>
          </w:p>
        </w:tc>
        <w:tc>
          <w:tcPr>
            <w:tcW w:w="1501" w:type="dxa"/>
            <w:tcBorders>
              <w:top w:val="nil"/>
              <w:left w:val="nil"/>
              <w:bottom w:val="single" w:color="auto" w:sz="4" w:space="0"/>
              <w:right w:val="single" w:color="auto" w:sz="8" w:space="0"/>
            </w:tcBorders>
            <w:vAlign w:val="center"/>
          </w:tcPr>
          <w:p w14:paraId="05B28106">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1C24127D">
            <w:pPr>
              <w:widowControl/>
              <w:rPr>
                <w:rFonts w:ascii="宋体" w:hAnsi="宋体" w:cs="宋体"/>
                <w:kern w:val="0"/>
                <w:sz w:val="20"/>
              </w:rPr>
            </w:pPr>
            <w:r>
              <w:rPr>
                <w:rFonts w:hint="eastAsia" w:ascii="宋体" w:hAnsi="宋体" w:cs="宋体"/>
                <w:kern w:val="0"/>
                <w:sz w:val="20"/>
              </w:rPr>
              <w:t>X＜5</w:t>
            </w:r>
          </w:p>
        </w:tc>
        <w:tc>
          <w:tcPr>
            <w:tcW w:w="1256" w:type="dxa"/>
            <w:tcBorders>
              <w:top w:val="nil"/>
              <w:left w:val="nil"/>
              <w:bottom w:val="single" w:color="auto" w:sz="4" w:space="0"/>
              <w:right w:val="single" w:color="auto" w:sz="4" w:space="0"/>
            </w:tcBorders>
            <w:vAlign w:val="center"/>
          </w:tcPr>
          <w:p w14:paraId="2008732D">
            <w:pPr>
              <w:widowControl/>
              <w:rPr>
                <w:rFonts w:ascii="宋体" w:hAnsi="宋体" w:cs="宋体"/>
                <w:kern w:val="0"/>
                <w:sz w:val="20"/>
              </w:rPr>
            </w:pPr>
            <w:r>
              <w:rPr>
                <w:rFonts w:hint="eastAsia" w:ascii="宋体" w:hAnsi="宋体" w:cs="宋体"/>
                <w:kern w:val="0"/>
                <w:sz w:val="20"/>
              </w:rPr>
              <w:t>Y＜1000</w:t>
            </w:r>
          </w:p>
        </w:tc>
        <w:tc>
          <w:tcPr>
            <w:tcW w:w="1205" w:type="dxa"/>
            <w:tcBorders>
              <w:top w:val="nil"/>
              <w:left w:val="nil"/>
              <w:bottom w:val="single" w:color="auto" w:sz="4" w:space="0"/>
              <w:right w:val="single" w:color="auto" w:sz="8" w:space="0"/>
            </w:tcBorders>
            <w:vAlign w:val="center"/>
          </w:tcPr>
          <w:p w14:paraId="20152359">
            <w:pPr>
              <w:widowControl/>
              <w:rPr>
                <w:rFonts w:ascii="宋体" w:hAnsi="宋体" w:cs="宋体"/>
                <w:kern w:val="0"/>
                <w:sz w:val="20"/>
              </w:rPr>
            </w:pPr>
            <w:r>
              <w:rPr>
                <w:rFonts w:hint="eastAsia" w:ascii="宋体" w:hAnsi="宋体" w:cs="宋体"/>
                <w:kern w:val="0"/>
                <w:sz w:val="20"/>
              </w:rPr>
              <w:t>　</w:t>
            </w:r>
          </w:p>
        </w:tc>
      </w:tr>
      <w:tr w14:paraId="4731FF5B">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297C4E17">
            <w:pPr>
              <w:widowControl/>
              <w:rPr>
                <w:rFonts w:ascii="宋体" w:hAnsi="宋体" w:cs="宋体"/>
                <w:kern w:val="0"/>
                <w:sz w:val="20"/>
              </w:rPr>
            </w:pPr>
            <w:r>
              <w:rPr>
                <w:rFonts w:hint="eastAsia" w:ascii="宋体" w:hAnsi="宋体" w:cs="宋体"/>
                <w:kern w:val="0"/>
                <w:sz w:val="20"/>
              </w:rPr>
              <w:t>5.零售业</w:t>
            </w:r>
          </w:p>
        </w:tc>
        <w:tc>
          <w:tcPr>
            <w:tcW w:w="1475" w:type="dxa"/>
            <w:tcBorders>
              <w:top w:val="nil"/>
              <w:left w:val="nil"/>
              <w:bottom w:val="single" w:color="auto" w:sz="4" w:space="0"/>
              <w:right w:val="single" w:color="auto" w:sz="4" w:space="0"/>
            </w:tcBorders>
            <w:vAlign w:val="center"/>
          </w:tcPr>
          <w:p w14:paraId="43565150">
            <w:pPr>
              <w:widowControl/>
              <w:rPr>
                <w:rFonts w:ascii="宋体" w:hAnsi="宋体" w:cs="宋体"/>
                <w:kern w:val="0"/>
                <w:sz w:val="20"/>
              </w:rPr>
            </w:pPr>
            <w:r>
              <w:rPr>
                <w:rFonts w:hint="eastAsia" w:ascii="宋体" w:hAnsi="宋体" w:cs="宋体"/>
                <w:kern w:val="0"/>
                <w:sz w:val="20"/>
              </w:rPr>
              <w:t>50≤X＜300</w:t>
            </w:r>
          </w:p>
        </w:tc>
        <w:tc>
          <w:tcPr>
            <w:tcW w:w="1736" w:type="dxa"/>
            <w:tcBorders>
              <w:top w:val="nil"/>
              <w:left w:val="nil"/>
              <w:bottom w:val="single" w:color="auto" w:sz="4" w:space="0"/>
              <w:right w:val="single" w:color="auto" w:sz="4" w:space="0"/>
            </w:tcBorders>
            <w:vAlign w:val="center"/>
          </w:tcPr>
          <w:p w14:paraId="15EC7C1A">
            <w:pPr>
              <w:widowControl/>
              <w:rPr>
                <w:rFonts w:ascii="宋体" w:hAnsi="宋体" w:cs="宋体"/>
                <w:kern w:val="0"/>
                <w:sz w:val="20"/>
              </w:rPr>
            </w:pPr>
            <w:r>
              <w:rPr>
                <w:rFonts w:hint="eastAsia" w:ascii="宋体" w:hAnsi="宋体" w:cs="宋体"/>
                <w:kern w:val="0"/>
                <w:sz w:val="20"/>
              </w:rPr>
              <w:t>500≤Y＜20000</w:t>
            </w:r>
          </w:p>
        </w:tc>
        <w:tc>
          <w:tcPr>
            <w:tcW w:w="1639" w:type="dxa"/>
            <w:tcBorders>
              <w:top w:val="nil"/>
              <w:left w:val="nil"/>
              <w:bottom w:val="single" w:color="auto" w:sz="4" w:space="0"/>
              <w:right w:val="single" w:color="auto" w:sz="8" w:space="0"/>
            </w:tcBorders>
            <w:vAlign w:val="center"/>
          </w:tcPr>
          <w:p w14:paraId="3A92BD99">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29485AE5">
            <w:pPr>
              <w:widowControl/>
              <w:rPr>
                <w:rFonts w:ascii="宋体" w:hAnsi="宋体" w:cs="宋体"/>
                <w:kern w:val="0"/>
                <w:sz w:val="20"/>
              </w:rPr>
            </w:pPr>
            <w:r>
              <w:rPr>
                <w:rFonts w:hint="eastAsia" w:ascii="宋体" w:hAnsi="宋体" w:cs="宋体"/>
                <w:kern w:val="0"/>
                <w:sz w:val="20"/>
              </w:rPr>
              <w:t>10≤X＜50</w:t>
            </w:r>
          </w:p>
        </w:tc>
        <w:tc>
          <w:tcPr>
            <w:tcW w:w="1458" w:type="dxa"/>
            <w:tcBorders>
              <w:top w:val="nil"/>
              <w:left w:val="nil"/>
              <w:bottom w:val="single" w:color="auto" w:sz="4" w:space="0"/>
              <w:right w:val="single" w:color="auto" w:sz="4" w:space="0"/>
            </w:tcBorders>
            <w:vAlign w:val="center"/>
          </w:tcPr>
          <w:p w14:paraId="566562A6">
            <w:pPr>
              <w:widowControl/>
              <w:rPr>
                <w:rFonts w:ascii="宋体" w:hAnsi="宋体" w:cs="宋体"/>
                <w:kern w:val="0"/>
                <w:sz w:val="20"/>
              </w:rPr>
            </w:pPr>
            <w:r>
              <w:rPr>
                <w:rFonts w:hint="eastAsia" w:ascii="宋体" w:hAnsi="宋体" w:cs="宋体"/>
                <w:kern w:val="0"/>
                <w:sz w:val="20"/>
              </w:rPr>
              <w:t>100≤Y＜500</w:t>
            </w:r>
          </w:p>
        </w:tc>
        <w:tc>
          <w:tcPr>
            <w:tcW w:w="1501" w:type="dxa"/>
            <w:tcBorders>
              <w:top w:val="nil"/>
              <w:left w:val="nil"/>
              <w:bottom w:val="single" w:color="auto" w:sz="4" w:space="0"/>
              <w:right w:val="single" w:color="auto" w:sz="8" w:space="0"/>
            </w:tcBorders>
            <w:vAlign w:val="center"/>
          </w:tcPr>
          <w:p w14:paraId="6B0DD423">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664C9651">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4C4ACF68">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36302048">
            <w:pPr>
              <w:widowControl/>
              <w:rPr>
                <w:rFonts w:ascii="宋体" w:hAnsi="宋体" w:cs="宋体"/>
                <w:kern w:val="0"/>
                <w:sz w:val="20"/>
              </w:rPr>
            </w:pPr>
            <w:r>
              <w:rPr>
                <w:rFonts w:hint="eastAsia" w:ascii="宋体" w:hAnsi="宋体" w:cs="宋体"/>
                <w:kern w:val="0"/>
                <w:sz w:val="20"/>
              </w:rPr>
              <w:t>　</w:t>
            </w:r>
          </w:p>
        </w:tc>
      </w:tr>
      <w:tr w14:paraId="3345DEB3">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0D4F3809">
            <w:pPr>
              <w:widowControl/>
              <w:rPr>
                <w:rFonts w:ascii="宋体" w:hAnsi="宋体" w:cs="宋体"/>
                <w:kern w:val="0"/>
                <w:sz w:val="20"/>
              </w:rPr>
            </w:pPr>
            <w:r>
              <w:rPr>
                <w:rFonts w:hint="eastAsia" w:ascii="宋体" w:hAnsi="宋体" w:cs="宋体"/>
                <w:kern w:val="0"/>
                <w:sz w:val="20"/>
              </w:rPr>
              <w:t>6.交通运输业</w:t>
            </w:r>
          </w:p>
        </w:tc>
        <w:tc>
          <w:tcPr>
            <w:tcW w:w="1475" w:type="dxa"/>
            <w:tcBorders>
              <w:top w:val="nil"/>
              <w:left w:val="nil"/>
              <w:bottom w:val="single" w:color="auto" w:sz="4" w:space="0"/>
              <w:right w:val="single" w:color="auto" w:sz="4" w:space="0"/>
            </w:tcBorders>
            <w:vAlign w:val="center"/>
          </w:tcPr>
          <w:p w14:paraId="4AF12D2E">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14:paraId="235B8C5D">
            <w:pPr>
              <w:widowControl/>
              <w:rPr>
                <w:rFonts w:ascii="宋体" w:hAnsi="宋体" w:cs="宋体"/>
                <w:kern w:val="0"/>
                <w:sz w:val="20"/>
              </w:rPr>
            </w:pPr>
            <w:r>
              <w:rPr>
                <w:rFonts w:hint="eastAsia" w:ascii="宋体" w:hAnsi="宋体" w:cs="宋体"/>
                <w:kern w:val="0"/>
                <w:sz w:val="20"/>
              </w:rPr>
              <w:t>3000≤Y＜30000</w:t>
            </w:r>
          </w:p>
        </w:tc>
        <w:tc>
          <w:tcPr>
            <w:tcW w:w="1639" w:type="dxa"/>
            <w:tcBorders>
              <w:top w:val="nil"/>
              <w:left w:val="nil"/>
              <w:bottom w:val="single" w:color="auto" w:sz="4" w:space="0"/>
              <w:right w:val="single" w:color="auto" w:sz="8" w:space="0"/>
            </w:tcBorders>
            <w:vAlign w:val="center"/>
          </w:tcPr>
          <w:p w14:paraId="4912D5FC">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0F3CDB36">
            <w:pPr>
              <w:widowControl/>
              <w:rPr>
                <w:rFonts w:ascii="宋体" w:hAnsi="宋体" w:cs="宋体"/>
                <w:kern w:val="0"/>
                <w:sz w:val="20"/>
              </w:rPr>
            </w:pPr>
            <w:r>
              <w:rPr>
                <w:rFonts w:hint="eastAsia" w:ascii="宋体" w:hAnsi="宋体" w:cs="宋体"/>
                <w:kern w:val="0"/>
                <w:sz w:val="20"/>
              </w:rPr>
              <w:t>20≤X＜300</w:t>
            </w:r>
          </w:p>
        </w:tc>
        <w:tc>
          <w:tcPr>
            <w:tcW w:w="1458" w:type="dxa"/>
            <w:tcBorders>
              <w:top w:val="nil"/>
              <w:left w:val="nil"/>
              <w:bottom w:val="single" w:color="auto" w:sz="4" w:space="0"/>
              <w:right w:val="single" w:color="auto" w:sz="4" w:space="0"/>
            </w:tcBorders>
            <w:vAlign w:val="center"/>
          </w:tcPr>
          <w:p w14:paraId="3D2BE118">
            <w:pPr>
              <w:widowControl/>
              <w:rPr>
                <w:rFonts w:ascii="宋体" w:hAnsi="宋体" w:cs="宋体"/>
                <w:kern w:val="0"/>
                <w:sz w:val="20"/>
              </w:rPr>
            </w:pPr>
            <w:r>
              <w:rPr>
                <w:rFonts w:hint="eastAsia" w:ascii="宋体" w:hAnsi="宋体" w:cs="宋体"/>
                <w:kern w:val="0"/>
                <w:sz w:val="20"/>
              </w:rPr>
              <w:t>200≤Y＜3000</w:t>
            </w:r>
          </w:p>
        </w:tc>
        <w:tc>
          <w:tcPr>
            <w:tcW w:w="1501" w:type="dxa"/>
            <w:tcBorders>
              <w:top w:val="nil"/>
              <w:left w:val="nil"/>
              <w:bottom w:val="single" w:color="auto" w:sz="4" w:space="0"/>
              <w:right w:val="single" w:color="auto" w:sz="8" w:space="0"/>
            </w:tcBorders>
            <w:vAlign w:val="center"/>
          </w:tcPr>
          <w:p w14:paraId="6AF56320">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1E768388">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14:paraId="1F3C37C1">
            <w:pPr>
              <w:widowControl/>
              <w:rPr>
                <w:rFonts w:ascii="宋体" w:hAnsi="宋体" w:cs="宋体"/>
                <w:kern w:val="0"/>
                <w:sz w:val="20"/>
              </w:rPr>
            </w:pPr>
            <w:r>
              <w:rPr>
                <w:rFonts w:hint="eastAsia" w:ascii="宋体" w:hAnsi="宋体" w:cs="宋体"/>
                <w:kern w:val="0"/>
                <w:sz w:val="20"/>
              </w:rPr>
              <w:t>V＜200</w:t>
            </w:r>
          </w:p>
        </w:tc>
        <w:tc>
          <w:tcPr>
            <w:tcW w:w="1205" w:type="dxa"/>
            <w:tcBorders>
              <w:top w:val="nil"/>
              <w:left w:val="nil"/>
              <w:bottom w:val="single" w:color="auto" w:sz="4" w:space="0"/>
              <w:right w:val="single" w:color="auto" w:sz="8" w:space="0"/>
            </w:tcBorders>
            <w:vAlign w:val="center"/>
          </w:tcPr>
          <w:p w14:paraId="4B53E1E8">
            <w:pPr>
              <w:widowControl/>
              <w:rPr>
                <w:rFonts w:ascii="宋体" w:hAnsi="宋体" w:cs="宋体"/>
                <w:kern w:val="0"/>
                <w:sz w:val="20"/>
              </w:rPr>
            </w:pPr>
            <w:r>
              <w:rPr>
                <w:rFonts w:hint="eastAsia" w:ascii="宋体" w:hAnsi="宋体" w:cs="宋体"/>
                <w:kern w:val="0"/>
                <w:sz w:val="20"/>
              </w:rPr>
              <w:t>　</w:t>
            </w:r>
          </w:p>
        </w:tc>
      </w:tr>
      <w:tr w14:paraId="78EAFDA9">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52041272">
            <w:pPr>
              <w:widowControl/>
              <w:rPr>
                <w:rFonts w:ascii="宋体" w:hAnsi="宋体" w:cs="宋体"/>
                <w:kern w:val="0"/>
                <w:sz w:val="20"/>
              </w:rPr>
            </w:pPr>
            <w:r>
              <w:rPr>
                <w:rFonts w:hint="eastAsia" w:ascii="宋体" w:hAnsi="宋体" w:cs="宋体"/>
                <w:kern w:val="0"/>
                <w:sz w:val="20"/>
              </w:rPr>
              <w:t>7.仓储业</w:t>
            </w:r>
          </w:p>
        </w:tc>
        <w:tc>
          <w:tcPr>
            <w:tcW w:w="1475" w:type="dxa"/>
            <w:tcBorders>
              <w:top w:val="nil"/>
              <w:left w:val="nil"/>
              <w:bottom w:val="single" w:color="auto" w:sz="4" w:space="0"/>
              <w:right w:val="single" w:color="auto" w:sz="4" w:space="0"/>
            </w:tcBorders>
            <w:vAlign w:val="center"/>
          </w:tcPr>
          <w:p w14:paraId="78234094">
            <w:pPr>
              <w:widowControl/>
              <w:rPr>
                <w:rFonts w:ascii="宋体" w:hAnsi="宋体" w:cs="宋体"/>
                <w:kern w:val="0"/>
                <w:sz w:val="20"/>
              </w:rPr>
            </w:pPr>
            <w:r>
              <w:rPr>
                <w:rFonts w:hint="eastAsia" w:ascii="宋体" w:hAnsi="宋体" w:cs="宋体"/>
                <w:kern w:val="0"/>
                <w:sz w:val="20"/>
              </w:rPr>
              <w:t>100≤X＜200</w:t>
            </w:r>
          </w:p>
        </w:tc>
        <w:tc>
          <w:tcPr>
            <w:tcW w:w="1736" w:type="dxa"/>
            <w:tcBorders>
              <w:top w:val="nil"/>
              <w:left w:val="nil"/>
              <w:bottom w:val="single" w:color="auto" w:sz="4" w:space="0"/>
              <w:right w:val="single" w:color="auto" w:sz="4" w:space="0"/>
            </w:tcBorders>
            <w:vAlign w:val="center"/>
          </w:tcPr>
          <w:p w14:paraId="1679E7A2">
            <w:pPr>
              <w:widowControl/>
              <w:rPr>
                <w:rFonts w:ascii="宋体" w:hAnsi="宋体" w:cs="宋体"/>
                <w:kern w:val="0"/>
                <w:sz w:val="20"/>
              </w:rPr>
            </w:pPr>
            <w:r>
              <w:rPr>
                <w:rFonts w:hint="eastAsia" w:ascii="宋体" w:hAnsi="宋体" w:cs="宋体"/>
                <w:kern w:val="0"/>
                <w:sz w:val="20"/>
              </w:rPr>
              <w:t>1000≤Y＜30000</w:t>
            </w:r>
          </w:p>
        </w:tc>
        <w:tc>
          <w:tcPr>
            <w:tcW w:w="1639" w:type="dxa"/>
            <w:tcBorders>
              <w:top w:val="nil"/>
              <w:left w:val="nil"/>
              <w:bottom w:val="single" w:color="auto" w:sz="4" w:space="0"/>
              <w:right w:val="single" w:color="auto" w:sz="8" w:space="0"/>
            </w:tcBorders>
            <w:vAlign w:val="center"/>
          </w:tcPr>
          <w:p w14:paraId="16851D76">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4510391C">
            <w:pPr>
              <w:widowControl/>
              <w:rPr>
                <w:rFonts w:ascii="宋体" w:hAnsi="宋体" w:cs="宋体"/>
                <w:kern w:val="0"/>
                <w:sz w:val="20"/>
              </w:rPr>
            </w:pPr>
            <w:r>
              <w:rPr>
                <w:rFonts w:hint="eastAsia" w:ascii="宋体" w:hAnsi="宋体" w:cs="宋体"/>
                <w:kern w:val="0"/>
                <w:sz w:val="20"/>
              </w:rPr>
              <w:t>20≤X＜100</w:t>
            </w:r>
          </w:p>
        </w:tc>
        <w:tc>
          <w:tcPr>
            <w:tcW w:w="1458" w:type="dxa"/>
            <w:tcBorders>
              <w:top w:val="nil"/>
              <w:left w:val="nil"/>
              <w:bottom w:val="single" w:color="auto" w:sz="4" w:space="0"/>
              <w:right w:val="single" w:color="auto" w:sz="4" w:space="0"/>
            </w:tcBorders>
            <w:vAlign w:val="center"/>
          </w:tcPr>
          <w:p w14:paraId="4A8B931D">
            <w:pPr>
              <w:widowControl/>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vAlign w:val="center"/>
          </w:tcPr>
          <w:p w14:paraId="7A29AEF1">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659E8DA4">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14:paraId="0770BF1D">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256CB822">
            <w:pPr>
              <w:widowControl/>
              <w:rPr>
                <w:rFonts w:ascii="宋体" w:hAnsi="宋体" w:cs="宋体"/>
                <w:kern w:val="0"/>
                <w:sz w:val="20"/>
              </w:rPr>
            </w:pPr>
            <w:r>
              <w:rPr>
                <w:rFonts w:hint="eastAsia" w:ascii="宋体" w:hAnsi="宋体" w:cs="宋体"/>
                <w:kern w:val="0"/>
                <w:sz w:val="20"/>
              </w:rPr>
              <w:t>　</w:t>
            </w:r>
          </w:p>
        </w:tc>
      </w:tr>
      <w:tr w14:paraId="6B342769">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55C04DC3">
            <w:pPr>
              <w:widowControl/>
              <w:rPr>
                <w:rFonts w:ascii="宋体" w:hAnsi="宋体" w:cs="宋体"/>
                <w:kern w:val="0"/>
                <w:sz w:val="20"/>
              </w:rPr>
            </w:pPr>
            <w:r>
              <w:rPr>
                <w:rFonts w:hint="eastAsia" w:ascii="宋体" w:hAnsi="宋体" w:cs="宋体"/>
                <w:kern w:val="0"/>
                <w:sz w:val="20"/>
              </w:rPr>
              <w:t>8.邮政业</w:t>
            </w:r>
          </w:p>
        </w:tc>
        <w:tc>
          <w:tcPr>
            <w:tcW w:w="1475" w:type="dxa"/>
            <w:tcBorders>
              <w:top w:val="nil"/>
              <w:left w:val="nil"/>
              <w:bottom w:val="single" w:color="auto" w:sz="4" w:space="0"/>
              <w:right w:val="single" w:color="auto" w:sz="4" w:space="0"/>
            </w:tcBorders>
            <w:vAlign w:val="center"/>
          </w:tcPr>
          <w:p w14:paraId="38D82398">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14:paraId="31F26536">
            <w:pPr>
              <w:widowControl/>
              <w:rPr>
                <w:rFonts w:ascii="宋体" w:hAnsi="宋体" w:cs="宋体"/>
                <w:kern w:val="0"/>
                <w:sz w:val="20"/>
              </w:rPr>
            </w:pPr>
            <w:r>
              <w:rPr>
                <w:rFonts w:hint="eastAsia" w:ascii="宋体" w:hAnsi="宋体" w:cs="宋体"/>
                <w:kern w:val="0"/>
                <w:sz w:val="20"/>
              </w:rPr>
              <w:t>2000≤Y＜30000</w:t>
            </w:r>
          </w:p>
        </w:tc>
        <w:tc>
          <w:tcPr>
            <w:tcW w:w="1639" w:type="dxa"/>
            <w:tcBorders>
              <w:top w:val="nil"/>
              <w:left w:val="nil"/>
              <w:bottom w:val="single" w:color="auto" w:sz="4" w:space="0"/>
              <w:right w:val="single" w:color="auto" w:sz="8" w:space="0"/>
            </w:tcBorders>
            <w:vAlign w:val="center"/>
          </w:tcPr>
          <w:p w14:paraId="3E4FF150">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0122E699">
            <w:pPr>
              <w:widowControl/>
              <w:rPr>
                <w:rFonts w:ascii="宋体" w:hAnsi="宋体" w:cs="宋体"/>
                <w:kern w:val="0"/>
                <w:sz w:val="20"/>
              </w:rPr>
            </w:pPr>
            <w:r>
              <w:rPr>
                <w:rFonts w:hint="eastAsia" w:ascii="宋体" w:hAnsi="宋体" w:cs="宋体"/>
                <w:kern w:val="0"/>
                <w:sz w:val="20"/>
              </w:rPr>
              <w:t>20≤X＜300</w:t>
            </w:r>
          </w:p>
        </w:tc>
        <w:tc>
          <w:tcPr>
            <w:tcW w:w="1458" w:type="dxa"/>
            <w:tcBorders>
              <w:top w:val="nil"/>
              <w:left w:val="nil"/>
              <w:bottom w:val="single" w:color="auto" w:sz="4" w:space="0"/>
              <w:right w:val="single" w:color="auto" w:sz="4" w:space="0"/>
            </w:tcBorders>
            <w:vAlign w:val="center"/>
          </w:tcPr>
          <w:p w14:paraId="3F12C952">
            <w:pPr>
              <w:widowControl/>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vAlign w:val="center"/>
          </w:tcPr>
          <w:p w14:paraId="12A67B55">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124AEFA8">
            <w:pPr>
              <w:widowControl/>
              <w:rPr>
                <w:rFonts w:ascii="宋体" w:hAnsi="宋体" w:cs="宋体"/>
                <w:kern w:val="0"/>
                <w:sz w:val="20"/>
              </w:rPr>
            </w:pPr>
            <w:r>
              <w:rPr>
                <w:rFonts w:hint="eastAsia" w:ascii="宋体" w:hAnsi="宋体" w:cs="宋体"/>
                <w:kern w:val="0"/>
                <w:sz w:val="20"/>
              </w:rPr>
              <w:t>X＜20</w:t>
            </w:r>
          </w:p>
        </w:tc>
        <w:tc>
          <w:tcPr>
            <w:tcW w:w="1256" w:type="dxa"/>
            <w:tcBorders>
              <w:top w:val="nil"/>
              <w:left w:val="nil"/>
              <w:bottom w:val="single" w:color="auto" w:sz="4" w:space="0"/>
              <w:right w:val="single" w:color="auto" w:sz="4" w:space="0"/>
            </w:tcBorders>
            <w:vAlign w:val="center"/>
          </w:tcPr>
          <w:p w14:paraId="21B4F8EF">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50CCA038">
            <w:pPr>
              <w:widowControl/>
              <w:rPr>
                <w:rFonts w:ascii="宋体" w:hAnsi="宋体" w:cs="宋体"/>
                <w:kern w:val="0"/>
                <w:sz w:val="20"/>
              </w:rPr>
            </w:pPr>
            <w:r>
              <w:rPr>
                <w:rFonts w:hint="eastAsia" w:ascii="宋体" w:hAnsi="宋体" w:cs="宋体"/>
                <w:kern w:val="0"/>
                <w:sz w:val="20"/>
              </w:rPr>
              <w:t>　</w:t>
            </w:r>
          </w:p>
        </w:tc>
      </w:tr>
      <w:tr w14:paraId="4909F0E2">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71F2C38">
            <w:pPr>
              <w:widowControl/>
              <w:rPr>
                <w:rFonts w:ascii="宋体" w:hAnsi="宋体" w:cs="宋体"/>
                <w:kern w:val="0"/>
                <w:sz w:val="20"/>
              </w:rPr>
            </w:pPr>
            <w:r>
              <w:rPr>
                <w:rFonts w:hint="eastAsia" w:ascii="宋体" w:hAnsi="宋体" w:cs="宋体"/>
                <w:kern w:val="0"/>
                <w:sz w:val="20"/>
              </w:rPr>
              <w:t>9.住宿业</w:t>
            </w:r>
          </w:p>
        </w:tc>
        <w:tc>
          <w:tcPr>
            <w:tcW w:w="1475" w:type="dxa"/>
            <w:tcBorders>
              <w:top w:val="nil"/>
              <w:left w:val="nil"/>
              <w:bottom w:val="single" w:color="auto" w:sz="4" w:space="0"/>
              <w:right w:val="single" w:color="auto" w:sz="4" w:space="0"/>
            </w:tcBorders>
            <w:vAlign w:val="center"/>
          </w:tcPr>
          <w:p w14:paraId="31841221">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14:paraId="5AC4C6BB">
            <w:pPr>
              <w:widowControl/>
              <w:rPr>
                <w:rFonts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vAlign w:val="center"/>
          </w:tcPr>
          <w:p w14:paraId="6DAB0D5E">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625E04EE">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121895DF">
            <w:pPr>
              <w:widowControl/>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vAlign w:val="center"/>
          </w:tcPr>
          <w:p w14:paraId="3CD31CF3">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09D966F0">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7819CD35">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10E62469">
            <w:pPr>
              <w:widowControl/>
              <w:rPr>
                <w:rFonts w:ascii="宋体" w:hAnsi="宋体" w:cs="宋体"/>
                <w:kern w:val="0"/>
                <w:sz w:val="20"/>
              </w:rPr>
            </w:pPr>
            <w:r>
              <w:rPr>
                <w:rFonts w:hint="eastAsia" w:ascii="宋体" w:hAnsi="宋体" w:cs="宋体"/>
                <w:kern w:val="0"/>
                <w:sz w:val="20"/>
              </w:rPr>
              <w:t>　</w:t>
            </w:r>
          </w:p>
        </w:tc>
      </w:tr>
      <w:tr w14:paraId="198E1C93">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152F1B42">
            <w:pPr>
              <w:widowControl/>
              <w:rPr>
                <w:rFonts w:ascii="宋体" w:hAnsi="宋体" w:cs="宋体"/>
                <w:kern w:val="0"/>
                <w:sz w:val="20"/>
              </w:rPr>
            </w:pPr>
            <w:r>
              <w:rPr>
                <w:rFonts w:hint="eastAsia" w:ascii="宋体" w:hAnsi="宋体" w:cs="宋体"/>
                <w:kern w:val="0"/>
                <w:sz w:val="20"/>
              </w:rPr>
              <w:t>10.餐饮业</w:t>
            </w:r>
          </w:p>
        </w:tc>
        <w:tc>
          <w:tcPr>
            <w:tcW w:w="1475" w:type="dxa"/>
            <w:tcBorders>
              <w:top w:val="nil"/>
              <w:left w:val="nil"/>
              <w:bottom w:val="single" w:color="auto" w:sz="4" w:space="0"/>
              <w:right w:val="single" w:color="auto" w:sz="4" w:space="0"/>
            </w:tcBorders>
            <w:vAlign w:val="center"/>
          </w:tcPr>
          <w:p w14:paraId="64F258AD">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14:paraId="63915582">
            <w:pPr>
              <w:widowControl/>
              <w:rPr>
                <w:rFonts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vAlign w:val="center"/>
          </w:tcPr>
          <w:p w14:paraId="0B3BDA67">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6F180E6E">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17E510A9">
            <w:pPr>
              <w:widowControl/>
              <w:rPr>
                <w:rFonts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vAlign w:val="center"/>
          </w:tcPr>
          <w:p w14:paraId="58167364">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0A070BCE">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1CA0A991">
            <w:pPr>
              <w:widowControl/>
              <w:rPr>
                <w:rFonts w:ascii="宋体" w:hAnsi="宋体" w:cs="宋体"/>
                <w:kern w:val="0"/>
                <w:sz w:val="20"/>
              </w:rPr>
            </w:pPr>
            <w:r>
              <w:rPr>
                <w:rFonts w:hint="eastAsia" w:ascii="宋体" w:hAnsi="宋体" w:cs="宋体"/>
                <w:kern w:val="0"/>
                <w:sz w:val="20"/>
              </w:rPr>
              <w:t>V＜100</w:t>
            </w:r>
          </w:p>
        </w:tc>
        <w:tc>
          <w:tcPr>
            <w:tcW w:w="1205" w:type="dxa"/>
            <w:tcBorders>
              <w:top w:val="nil"/>
              <w:left w:val="nil"/>
              <w:bottom w:val="single" w:color="auto" w:sz="4" w:space="0"/>
              <w:right w:val="single" w:color="auto" w:sz="8" w:space="0"/>
            </w:tcBorders>
            <w:vAlign w:val="center"/>
          </w:tcPr>
          <w:p w14:paraId="2E72ABEF">
            <w:pPr>
              <w:widowControl/>
              <w:rPr>
                <w:rFonts w:ascii="宋体" w:hAnsi="宋体" w:cs="宋体"/>
                <w:kern w:val="0"/>
                <w:sz w:val="20"/>
              </w:rPr>
            </w:pPr>
            <w:r>
              <w:rPr>
                <w:rFonts w:hint="eastAsia" w:ascii="宋体" w:hAnsi="宋体" w:cs="宋体"/>
                <w:kern w:val="0"/>
                <w:sz w:val="20"/>
              </w:rPr>
              <w:t>　</w:t>
            </w:r>
          </w:p>
        </w:tc>
      </w:tr>
      <w:tr w14:paraId="2377B3B9">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4" w:space="0"/>
              <w:right w:val="single" w:color="auto" w:sz="8" w:space="0"/>
            </w:tcBorders>
            <w:vAlign w:val="center"/>
          </w:tcPr>
          <w:p w14:paraId="43B2C7CB">
            <w:pPr>
              <w:widowControl/>
              <w:rPr>
                <w:rFonts w:ascii="宋体" w:hAnsi="宋体" w:cs="宋体"/>
                <w:kern w:val="0"/>
                <w:sz w:val="20"/>
              </w:rPr>
            </w:pPr>
            <w:r>
              <w:rPr>
                <w:rFonts w:hint="eastAsia" w:ascii="宋体" w:hAnsi="宋体" w:cs="宋体"/>
                <w:kern w:val="0"/>
                <w:sz w:val="20"/>
              </w:rPr>
              <w:t>11.信息传输业</w:t>
            </w:r>
          </w:p>
        </w:tc>
        <w:tc>
          <w:tcPr>
            <w:tcW w:w="1475" w:type="dxa"/>
            <w:tcBorders>
              <w:top w:val="nil"/>
              <w:left w:val="nil"/>
              <w:bottom w:val="single" w:color="auto" w:sz="4" w:space="0"/>
              <w:right w:val="single" w:color="auto" w:sz="4" w:space="0"/>
            </w:tcBorders>
            <w:vAlign w:val="center"/>
          </w:tcPr>
          <w:p w14:paraId="4FD911B9">
            <w:pPr>
              <w:widowControl/>
              <w:rPr>
                <w:rFonts w:ascii="宋体" w:hAnsi="宋体" w:cs="宋体"/>
                <w:kern w:val="0"/>
                <w:sz w:val="20"/>
              </w:rPr>
            </w:pPr>
            <w:r>
              <w:rPr>
                <w:rFonts w:hint="eastAsia" w:ascii="宋体" w:hAnsi="宋体" w:cs="宋体"/>
                <w:kern w:val="0"/>
                <w:sz w:val="20"/>
              </w:rPr>
              <w:t>100≤X＜2000</w:t>
            </w:r>
          </w:p>
        </w:tc>
        <w:tc>
          <w:tcPr>
            <w:tcW w:w="1736" w:type="dxa"/>
            <w:tcBorders>
              <w:top w:val="nil"/>
              <w:left w:val="nil"/>
              <w:bottom w:val="single" w:color="auto" w:sz="4" w:space="0"/>
              <w:right w:val="single" w:color="auto" w:sz="4" w:space="0"/>
            </w:tcBorders>
            <w:vAlign w:val="center"/>
          </w:tcPr>
          <w:p w14:paraId="0572FE6C">
            <w:pPr>
              <w:widowControl/>
              <w:rPr>
                <w:rFonts w:ascii="宋体" w:hAnsi="宋体" w:cs="宋体"/>
                <w:kern w:val="0"/>
                <w:sz w:val="20"/>
              </w:rPr>
            </w:pPr>
            <w:r>
              <w:rPr>
                <w:rFonts w:hint="eastAsia" w:ascii="宋体" w:hAnsi="宋体" w:cs="宋体"/>
                <w:kern w:val="0"/>
                <w:sz w:val="20"/>
              </w:rPr>
              <w:t>1000≤Y＜100000</w:t>
            </w:r>
          </w:p>
        </w:tc>
        <w:tc>
          <w:tcPr>
            <w:tcW w:w="1639" w:type="dxa"/>
            <w:tcBorders>
              <w:top w:val="nil"/>
              <w:left w:val="nil"/>
              <w:bottom w:val="single" w:color="auto" w:sz="4" w:space="0"/>
              <w:right w:val="single" w:color="auto" w:sz="8" w:space="0"/>
            </w:tcBorders>
            <w:vAlign w:val="center"/>
          </w:tcPr>
          <w:p w14:paraId="4BB6758A">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22F98424">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242FB63C">
            <w:pPr>
              <w:widowControl/>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vAlign w:val="center"/>
          </w:tcPr>
          <w:p w14:paraId="301BEF27">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5E0569E1">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2AA8F2EA">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0B39379F">
            <w:pPr>
              <w:widowControl/>
              <w:rPr>
                <w:rFonts w:ascii="宋体" w:hAnsi="宋体" w:cs="宋体"/>
                <w:kern w:val="0"/>
                <w:sz w:val="20"/>
              </w:rPr>
            </w:pPr>
            <w:r>
              <w:rPr>
                <w:rFonts w:hint="eastAsia" w:ascii="宋体" w:hAnsi="宋体" w:cs="宋体"/>
                <w:kern w:val="0"/>
                <w:sz w:val="20"/>
              </w:rPr>
              <w:t>　</w:t>
            </w:r>
          </w:p>
        </w:tc>
      </w:tr>
      <w:tr w14:paraId="4B3C1363">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27B7300D">
            <w:pPr>
              <w:widowControl/>
              <w:rPr>
                <w:rFonts w:ascii="宋体" w:hAnsi="宋体" w:cs="宋体"/>
                <w:kern w:val="0"/>
                <w:sz w:val="20"/>
              </w:rPr>
            </w:pPr>
            <w:r>
              <w:rPr>
                <w:rFonts w:hint="eastAsia" w:ascii="宋体" w:hAnsi="宋体" w:cs="宋体"/>
                <w:kern w:val="0"/>
                <w:sz w:val="20"/>
              </w:rPr>
              <w:t>12.软件和信息技术服务业</w:t>
            </w:r>
          </w:p>
        </w:tc>
        <w:tc>
          <w:tcPr>
            <w:tcW w:w="1475" w:type="dxa"/>
            <w:tcBorders>
              <w:top w:val="nil"/>
              <w:left w:val="nil"/>
              <w:bottom w:val="single" w:color="auto" w:sz="4" w:space="0"/>
              <w:right w:val="single" w:color="auto" w:sz="4" w:space="0"/>
            </w:tcBorders>
            <w:vAlign w:val="center"/>
          </w:tcPr>
          <w:p w14:paraId="1C68FB54">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14:paraId="5F513C29">
            <w:pPr>
              <w:widowControl/>
              <w:rPr>
                <w:rFonts w:ascii="宋体" w:hAnsi="宋体" w:cs="宋体"/>
                <w:kern w:val="0"/>
                <w:sz w:val="20"/>
              </w:rPr>
            </w:pPr>
            <w:r>
              <w:rPr>
                <w:rFonts w:hint="eastAsia" w:ascii="宋体" w:hAnsi="宋体" w:cs="宋体"/>
                <w:kern w:val="0"/>
                <w:sz w:val="20"/>
              </w:rPr>
              <w:t>1000≤Y＜10000</w:t>
            </w:r>
          </w:p>
        </w:tc>
        <w:tc>
          <w:tcPr>
            <w:tcW w:w="1639" w:type="dxa"/>
            <w:tcBorders>
              <w:top w:val="nil"/>
              <w:left w:val="nil"/>
              <w:bottom w:val="single" w:color="auto" w:sz="4" w:space="0"/>
              <w:right w:val="single" w:color="auto" w:sz="8" w:space="0"/>
            </w:tcBorders>
            <w:vAlign w:val="center"/>
          </w:tcPr>
          <w:p w14:paraId="3CB44783">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2F15F261">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1DF5A86F">
            <w:pPr>
              <w:widowControl/>
              <w:rPr>
                <w:rFonts w:ascii="宋体" w:hAnsi="宋体" w:cs="宋体"/>
                <w:kern w:val="0"/>
                <w:sz w:val="20"/>
              </w:rPr>
            </w:pPr>
            <w:r>
              <w:rPr>
                <w:rFonts w:hint="eastAsia" w:ascii="宋体" w:hAnsi="宋体" w:cs="宋体"/>
                <w:kern w:val="0"/>
                <w:sz w:val="20"/>
              </w:rPr>
              <w:t>50≤Y＜1000</w:t>
            </w:r>
          </w:p>
        </w:tc>
        <w:tc>
          <w:tcPr>
            <w:tcW w:w="1501" w:type="dxa"/>
            <w:tcBorders>
              <w:top w:val="nil"/>
              <w:left w:val="nil"/>
              <w:bottom w:val="single" w:color="auto" w:sz="4" w:space="0"/>
              <w:right w:val="single" w:color="auto" w:sz="8" w:space="0"/>
            </w:tcBorders>
            <w:vAlign w:val="center"/>
          </w:tcPr>
          <w:p w14:paraId="019E4B0C">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31BB1D30">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6EF0A4DF">
            <w:pPr>
              <w:widowControl/>
              <w:rPr>
                <w:rFonts w:ascii="宋体" w:hAnsi="宋体" w:cs="宋体"/>
                <w:kern w:val="0"/>
                <w:sz w:val="20"/>
              </w:rPr>
            </w:pPr>
            <w:r>
              <w:rPr>
                <w:rFonts w:hint="eastAsia" w:ascii="宋体" w:hAnsi="宋体" w:cs="宋体"/>
                <w:kern w:val="0"/>
                <w:sz w:val="20"/>
              </w:rPr>
              <w:t>Y＜50</w:t>
            </w:r>
          </w:p>
        </w:tc>
        <w:tc>
          <w:tcPr>
            <w:tcW w:w="1205" w:type="dxa"/>
            <w:tcBorders>
              <w:top w:val="nil"/>
              <w:left w:val="nil"/>
              <w:bottom w:val="single" w:color="auto" w:sz="4" w:space="0"/>
              <w:right w:val="single" w:color="auto" w:sz="8" w:space="0"/>
            </w:tcBorders>
            <w:vAlign w:val="center"/>
          </w:tcPr>
          <w:p w14:paraId="01F318B7">
            <w:pPr>
              <w:widowControl/>
              <w:rPr>
                <w:rFonts w:ascii="宋体" w:hAnsi="宋体" w:cs="宋体"/>
                <w:kern w:val="0"/>
                <w:sz w:val="20"/>
              </w:rPr>
            </w:pPr>
            <w:r>
              <w:rPr>
                <w:rFonts w:hint="eastAsia" w:ascii="宋体" w:hAnsi="宋体" w:cs="宋体"/>
                <w:kern w:val="0"/>
                <w:sz w:val="20"/>
              </w:rPr>
              <w:t>　</w:t>
            </w:r>
          </w:p>
        </w:tc>
      </w:tr>
      <w:tr w14:paraId="41FD90DD">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36D3B6FC">
            <w:pPr>
              <w:widowControl/>
              <w:rPr>
                <w:rFonts w:ascii="宋体" w:hAnsi="宋体" w:cs="宋体"/>
                <w:kern w:val="0"/>
                <w:sz w:val="20"/>
              </w:rPr>
            </w:pPr>
            <w:r>
              <w:rPr>
                <w:rFonts w:hint="eastAsia" w:ascii="宋体" w:hAnsi="宋体" w:cs="宋体"/>
                <w:kern w:val="0"/>
                <w:sz w:val="20"/>
              </w:rPr>
              <w:t>13.房地产开发经营</w:t>
            </w:r>
          </w:p>
        </w:tc>
        <w:tc>
          <w:tcPr>
            <w:tcW w:w="1475" w:type="dxa"/>
            <w:tcBorders>
              <w:top w:val="nil"/>
              <w:left w:val="nil"/>
              <w:bottom w:val="single" w:color="auto" w:sz="4" w:space="0"/>
              <w:right w:val="single" w:color="auto" w:sz="4" w:space="0"/>
            </w:tcBorders>
            <w:vAlign w:val="center"/>
          </w:tcPr>
          <w:p w14:paraId="6F115679">
            <w:pPr>
              <w:widowControl/>
              <w:rPr>
                <w:rFonts w:ascii="宋体" w:hAnsi="宋体" w:cs="宋体"/>
                <w:kern w:val="0"/>
                <w:sz w:val="20"/>
              </w:rPr>
            </w:pPr>
            <w:r>
              <w:rPr>
                <w:rFonts w:hint="eastAsia" w:ascii="宋体" w:hAnsi="宋体" w:cs="宋体"/>
                <w:kern w:val="0"/>
                <w:sz w:val="20"/>
              </w:rPr>
              <w:t>　</w:t>
            </w:r>
          </w:p>
        </w:tc>
        <w:tc>
          <w:tcPr>
            <w:tcW w:w="1736" w:type="dxa"/>
            <w:tcBorders>
              <w:top w:val="nil"/>
              <w:left w:val="nil"/>
              <w:bottom w:val="single" w:color="auto" w:sz="4" w:space="0"/>
              <w:right w:val="single" w:color="auto" w:sz="4" w:space="0"/>
            </w:tcBorders>
            <w:vAlign w:val="center"/>
          </w:tcPr>
          <w:p w14:paraId="7ABD3CDF">
            <w:pPr>
              <w:widowControl/>
              <w:rPr>
                <w:rFonts w:ascii="宋体" w:hAnsi="宋体" w:cs="宋体"/>
                <w:kern w:val="0"/>
                <w:sz w:val="20"/>
              </w:rPr>
            </w:pPr>
            <w:r>
              <w:rPr>
                <w:rFonts w:hint="eastAsia" w:ascii="宋体" w:hAnsi="宋体" w:cs="宋体"/>
                <w:kern w:val="0"/>
                <w:sz w:val="20"/>
              </w:rPr>
              <w:t>1000≤Y＜200000</w:t>
            </w:r>
          </w:p>
        </w:tc>
        <w:tc>
          <w:tcPr>
            <w:tcW w:w="1639" w:type="dxa"/>
            <w:tcBorders>
              <w:top w:val="nil"/>
              <w:left w:val="nil"/>
              <w:bottom w:val="single" w:color="auto" w:sz="4" w:space="0"/>
              <w:right w:val="single" w:color="auto" w:sz="8" w:space="0"/>
            </w:tcBorders>
            <w:vAlign w:val="center"/>
          </w:tcPr>
          <w:p w14:paraId="73455E9B">
            <w:pPr>
              <w:widowControl/>
              <w:rPr>
                <w:rFonts w:ascii="宋体" w:hAnsi="宋体" w:cs="宋体"/>
                <w:kern w:val="0"/>
                <w:sz w:val="20"/>
              </w:rPr>
            </w:pPr>
            <w:r>
              <w:rPr>
                <w:rFonts w:hint="eastAsia" w:ascii="宋体" w:hAnsi="宋体" w:cs="宋体"/>
                <w:kern w:val="0"/>
                <w:sz w:val="20"/>
              </w:rPr>
              <w:t>5000≤Z＜10000</w:t>
            </w:r>
          </w:p>
        </w:tc>
        <w:tc>
          <w:tcPr>
            <w:tcW w:w="1221" w:type="dxa"/>
            <w:tcBorders>
              <w:top w:val="nil"/>
              <w:left w:val="nil"/>
              <w:bottom w:val="single" w:color="auto" w:sz="4" w:space="0"/>
              <w:right w:val="single" w:color="auto" w:sz="4" w:space="0"/>
            </w:tcBorders>
            <w:vAlign w:val="center"/>
          </w:tcPr>
          <w:p w14:paraId="53304560">
            <w:pPr>
              <w:widowControl/>
              <w:rPr>
                <w:rFonts w:ascii="宋体" w:hAnsi="宋体" w:cs="宋体"/>
                <w:kern w:val="0"/>
                <w:sz w:val="20"/>
              </w:rPr>
            </w:pPr>
            <w:r>
              <w:rPr>
                <w:rFonts w:hint="eastAsia" w:ascii="宋体" w:hAnsi="宋体" w:cs="宋体"/>
                <w:kern w:val="0"/>
                <w:sz w:val="20"/>
              </w:rPr>
              <w:t>　</w:t>
            </w:r>
          </w:p>
        </w:tc>
        <w:tc>
          <w:tcPr>
            <w:tcW w:w="1458" w:type="dxa"/>
            <w:tcBorders>
              <w:top w:val="nil"/>
              <w:left w:val="nil"/>
              <w:bottom w:val="single" w:color="auto" w:sz="4" w:space="0"/>
              <w:right w:val="single" w:color="auto" w:sz="4" w:space="0"/>
            </w:tcBorders>
            <w:vAlign w:val="center"/>
          </w:tcPr>
          <w:p w14:paraId="55192BB8">
            <w:pPr>
              <w:widowControl/>
              <w:rPr>
                <w:rFonts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vAlign w:val="center"/>
          </w:tcPr>
          <w:p w14:paraId="0F5A690E">
            <w:pPr>
              <w:widowControl/>
              <w:rPr>
                <w:rFonts w:ascii="宋体" w:hAnsi="宋体" w:cs="宋体"/>
                <w:kern w:val="0"/>
                <w:sz w:val="20"/>
              </w:rPr>
            </w:pPr>
            <w:r>
              <w:rPr>
                <w:rFonts w:hint="eastAsia" w:ascii="宋体" w:hAnsi="宋体" w:cs="宋体"/>
                <w:kern w:val="0"/>
                <w:sz w:val="20"/>
              </w:rPr>
              <w:t>2000≤Z＜5000</w:t>
            </w:r>
          </w:p>
        </w:tc>
        <w:tc>
          <w:tcPr>
            <w:tcW w:w="1265" w:type="dxa"/>
            <w:tcBorders>
              <w:top w:val="nil"/>
              <w:left w:val="nil"/>
              <w:bottom w:val="single" w:color="auto" w:sz="4" w:space="0"/>
              <w:right w:val="single" w:color="auto" w:sz="4" w:space="0"/>
            </w:tcBorders>
            <w:vAlign w:val="center"/>
          </w:tcPr>
          <w:p w14:paraId="385B79EE">
            <w:pPr>
              <w:widowControl/>
              <w:rPr>
                <w:rFonts w:ascii="宋体" w:hAnsi="宋体" w:cs="宋体"/>
                <w:kern w:val="0"/>
                <w:sz w:val="20"/>
              </w:rPr>
            </w:pPr>
            <w:r>
              <w:rPr>
                <w:rFonts w:hint="eastAsia" w:ascii="宋体" w:hAnsi="宋体" w:cs="宋体"/>
                <w:kern w:val="0"/>
                <w:sz w:val="20"/>
              </w:rPr>
              <w:t>　</w:t>
            </w:r>
          </w:p>
        </w:tc>
        <w:tc>
          <w:tcPr>
            <w:tcW w:w="1256" w:type="dxa"/>
            <w:tcBorders>
              <w:top w:val="nil"/>
              <w:left w:val="nil"/>
              <w:bottom w:val="single" w:color="auto" w:sz="4" w:space="0"/>
              <w:right w:val="single" w:color="auto" w:sz="4" w:space="0"/>
            </w:tcBorders>
            <w:vAlign w:val="center"/>
          </w:tcPr>
          <w:p w14:paraId="482F932B">
            <w:pPr>
              <w:widowControl/>
              <w:rPr>
                <w:rFonts w:ascii="宋体" w:hAnsi="宋体" w:cs="宋体"/>
                <w:kern w:val="0"/>
                <w:sz w:val="20"/>
              </w:rPr>
            </w:pPr>
            <w:r>
              <w:rPr>
                <w:rFonts w:hint="eastAsia" w:ascii="宋体" w:hAnsi="宋体" w:cs="宋体"/>
                <w:kern w:val="0"/>
                <w:sz w:val="20"/>
              </w:rPr>
              <w:t>Y＜100</w:t>
            </w:r>
          </w:p>
        </w:tc>
        <w:tc>
          <w:tcPr>
            <w:tcW w:w="1205" w:type="dxa"/>
            <w:tcBorders>
              <w:top w:val="nil"/>
              <w:left w:val="nil"/>
              <w:bottom w:val="single" w:color="auto" w:sz="4" w:space="0"/>
              <w:right w:val="single" w:color="auto" w:sz="8" w:space="0"/>
            </w:tcBorders>
            <w:vAlign w:val="center"/>
          </w:tcPr>
          <w:p w14:paraId="1C7FFA3B">
            <w:pPr>
              <w:widowControl/>
              <w:rPr>
                <w:rFonts w:ascii="宋体" w:hAnsi="宋体" w:cs="宋体"/>
                <w:kern w:val="0"/>
                <w:sz w:val="20"/>
              </w:rPr>
            </w:pPr>
            <w:r>
              <w:rPr>
                <w:rFonts w:hint="eastAsia" w:ascii="宋体" w:hAnsi="宋体" w:cs="宋体"/>
                <w:kern w:val="0"/>
                <w:sz w:val="20"/>
              </w:rPr>
              <w:t>Z＜2000</w:t>
            </w:r>
          </w:p>
        </w:tc>
      </w:tr>
      <w:tr w14:paraId="055BF6E2">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3133094A">
            <w:pPr>
              <w:widowControl/>
              <w:rPr>
                <w:rFonts w:ascii="宋体" w:hAnsi="宋体" w:cs="宋体"/>
                <w:kern w:val="0"/>
                <w:sz w:val="20"/>
              </w:rPr>
            </w:pPr>
            <w:r>
              <w:rPr>
                <w:rFonts w:hint="eastAsia" w:ascii="宋体" w:hAnsi="宋体" w:cs="宋体"/>
                <w:kern w:val="0"/>
                <w:sz w:val="20"/>
              </w:rPr>
              <w:t>14.物业管理</w:t>
            </w:r>
          </w:p>
        </w:tc>
        <w:tc>
          <w:tcPr>
            <w:tcW w:w="1475" w:type="dxa"/>
            <w:tcBorders>
              <w:top w:val="nil"/>
              <w:left w:val="nil"/>
              <w:bottom w:val="single" w:color="auto" w:sz="4" w:space="0"/>
              <w:right w:val="single" w:color="auto" w:sz="4" w:space="0"/>
            </w:tcBorders>
            <w:vAlign w:val="center"/>
          </w:tcPr>
          <w:p w14:paraId="0E49629E">
            <w:pPr>
              <w:widowControl/>
              <w:rPr>
                <w:rFonts w:ascii="宋体" w:hAnsi="宋体" w:cs="宋体"/>
                <w:kern w:val="0"/>
                <w:sz w:val="20"/>
              </w:rPr>
            </w:pPr>
            <w:r>
              <w:rPr>
                <w:rFonts w:hint="eastAsia" w:ascii="宋体" w:hAnsi="宋体" w:cs="宋体"/>
                <w:kern w:val="0"/>
                <w:sz w:val="20"/>
              </w:rPr>
              <w:t>300≤X＜1000</w:t>
            </w:r>
          </w:p>
        </w:tc>
        <w:tc>
          <w:tcPr>
            <w:tcW w:w="1736" w:type="dxa"/>
            <w:tcBorders>
              <w:top w:val="nil"/>
              <w:left w:val="nil"/>
              <w:bottom w:val="single" w:color="auto" w:sz="4" w:space="0"/>
              <w:right w:val="single" w:color="auto" w:sz="4" w:space="0"/>
            </w:tcBorders>
            <w:vAlign w:val="center"/>
          </w:tcPr>
          <w:p w14:paraId="7B573733">
            <w:pPr>
              <w:widowControl/>
              <w:rPr>
                <w:rFonts w:ascii="宋体" w:hAnsi="宋体" w:cs="宋体"/>
                <w:kern w:val="0"/>
                <w:sz w:val="20"/>
              </w:rPr>
            </w:pPr>
            <w:r>
              <w:rPr>
                <w:rFonts w:hint="eastAsia" w:ascii="宋体" w:hAnsi="宋体" w:cs="宋体"/>
                <w:kern w:val="0"/>
                <w:sz w:val="20"/>
              </w:rPr>
              <w:t>1000≤Y＜5000</w:t>
            </w:r>
          </w:p>
        </w:tc>
        <w:tc>
          <w:tcPr>
            <w:tcW w:w="1639" w:type="dxa"/>
            <w:tcBorders>
              <w:top w:val="nil"/>
              <w:left w:val="nil"/>
              <w:bottom w:val="single" w:color="auto" w:sz="4" w:space="0"/>
              <w:right w:val="single" w:color="auto" w:sz="8" w:space="0"/>
            </w:tcBorders>
            <w:vAlign w:val="center"/>
          </w:tcPr>
          <w:p w14:paraId="405939E2">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4" w:space="0"/>
              <w:right w:val="single" w:color="auto" w:sz="4" w:space="0"/>
            </w:tcBorders>
            <w:vAlign w:val="center"/>
          </w:tcPr>
          <w:p w14:paraId="743C927B">
            <w:pPr>
              <w:widowControl/>
              <w:rPr>
                <w:rFonts w:ascii="宋体" w:hAnsi="宋体" w:cs="宋体"/>
                <w:kern w:val="0"/>
                <w:sz w:val="20"/>
              </w:rPr>
            </w:pPr>
            <w:r>
              <w:rPr>
                <w:rFonts w:hint="eastAsia" w:ascii="宋体" w:hAnsi="宋体" w:cs="宋体"/>
                <w:kern w:val="0"/>
                <w:sz w:val="20"/>
              </w:rPr>
              <w:t>100≤X＜300</w:t>
            </w:r>
          </w:p>
        </w:tc>
        <w:tc>
          <w:tcPr>
            <w:tcW w:w="1458" w:type="dxa"/>
            <w:tcBorders>
              <w:top w:val="nil"/>
              <w:left w:val="nil"/>
              <w:bottom w:val="single" w:color="auto" w:sz="4" w:space="0"/>
              <w:right w:val="single" w:color="auto" w:sz="4" w:space="0"/>
            </w:tcBorders>
            <w:vAlign w:val="center"/>
          </w:tcPr>
          <w:p w14:paraId="00BC65B4">
            <w:pPr>
              <w:widowControl/>
              <w:rPr>
                <w:rFonts w:ascii="宋体" w:hAnsi="宋体" w:cs="宋体"/>
                <w:kern w:val="0"/>
                <w:sz w:val="20"/>
              </w:rPr>
            </w:pPr>
            <w:r>
              <w:rPr>
                <w:rFonts w:hint="eastAsia" w:ascii="宋体" w:hAnsi="宋体" w:cs="宋体"/>
                <w:kern w:val="0"/>
                <w:sz w:val="20"/>
              </w:rPr>
              <w:t>500≤Y＜1000</w:t>
            </w:r>
          </w:p>
        </w:tc>
        <w:tc>
          <w:tcPr>
            <w:tcW w:w="1501" w:type="dxa"/>
            <w:tcBorders>
              <w:top w:val="nil"/>
              <w:left w:val="nil"/>
              <w:bottom w:val="single" w:color="auto" w:sz="4" w:space="0"/>
              <w:right w:val="single" w:color="auto" w:sz="8" w:space="0"/>
            </w:tcBorders>
            <w:vAlign w:val="center"/>
          </w:tcPr>
          <w:p w14:paraId="067F40C5">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4" w:space="0"/>
              <w:right w:val="single" w:color="auto" w:sz="4" w:space="0"/>
            </w:tcBorders>
            <w:vAlign w:val="center"/>
          </w:tcPr>
          <w:p w14:paraId="4A6D3CD8">
            <w:pPr>
              <w:widowControl/>
              <w:rPr>
                <w:rFonts w:ascii="宋体" w:hAnsi="宋体" w:cs="宋体"/>
                <w:kern w:val="0"/>
                <w:sz w:val="20"/>
              </w:rPr>
            </w:pPr>
            <w:r>
              <w:rPr>
                <w:rFonts w:hint="eastAsia" w:ascii="宋体" w:hAnsi="宋体" w:cs="宋体"/>
                <w:kern w:val="0"/>
                <w:sz w:val="20"/>
              </w:rPr>
              <w:t>X＜100</w:t>
            </w:r>
          </w:p>
        </w:tc>
        <w:tc>
          <w:tcPr>
            <w:tcW w:w="1256" w:type="dxa"/>
            <w:tcBorders>
              <w:top w:val="nil"/>
              <w:left w:val="nil"/>
              <w:bottom w:val="single" w:color="auto" w:sz="4" w:space="0"/>
              <w:right w:val="single" w:color="auto" w:sz="4" w:space="0"/>
            </w:tcBorders>
            <w:vAlign w:val="center"/>
          </w:tcPr>
          <w:p w14:paraId="1D7FF215">
            <w:pPr>
              <w:widowControl/>
              <w:rPr>
                <w:rFonts w:ascii="宋体" w:hAnsi="宋体" w:cs="宋体"/>
                <w:kern w:val="0"/>
                <w:sz w:val="20"/>
              </w:rPr>
            </w:pPr>
            <w:r>
              <w:rPr>
                <w:rFonts w:hint="eastAsia" w:ascii="宋体" w:hAnsi="宋体" w:cs="宋体"/>
                <w:kern w:val="0"/>
                <w:sz w:val="20"/>
              </w:rPr>
              <w:t>Y＜500</w:t>
            </w:r>
          </w:p>
        </w:tc>
        <w:tc>
          <w:tcPr>
            <w:tcW w:w="1205" w:type="dxa"/>
            <w:tcBorders>
              <w:top w:val="nil"/>
              <w:left w:val="nil"/>
              <w:bottom w:val="single" w:color="auto" w:sz="4" w:space="0"/>
              <w:right w:val="single" w:color="auto" w:sz="8" w:space="0"/>
            </w:tcBorders>
            <w:vAlign w:val="center"/>
          </w:tcPr>
          <w:p w14:paraId="7FF19627">
            <w:pPr>
              <w:widowControl/>
              <w:rPr>
                <w:rFonts w:ascii="宋体" w:hAnsi="宋体" w:cs="宋体"/>
                <w:kern w:val="0"/>
                <w:sz w:val="20"/>
              </w:rPr>
            </w:pPr>
            <w:r>
              <w:rPr>
                <w:rFonts w:hint="eastAsia" w:ascii="宋体" w:hAnsi="宋体" w:cs="宋体"/>
                <w:kern w:val="0"/>
                <w:sz w:val="20"/>
              </w:rPr>
              <w:t>　</w:t>
            </w:r>
          </w:p>
        </w:tc>
      </w:tr>
      <w:tr w14:paraId="5CC1B4A5">
        <w:tblPrEx>
          <w:tblCellMar>
            <w:top w:w="0" w:type="dxa"/>
            <w:left w:w="108" w:type="dxa"/>
            <w:bottom w:w="0" w:type="dxa"/>
            <w:right w:w="108" w:type="dxa"/>
          </w:tblCellMar>
        </w:tblPrEx>
        <w:trPr>
          <w:gridAfter w:val="1"/>
          <w:wAfter w:w="10" w:type="dxa"/>
          <w:trHeight w:val="550" w:hRule="atLeast"/>
          <w:jc w:val="center"/>
        </w:trPr>
        <w:tc>
          <w:tcPr>
            <w:tcW w:w="1954" w:type="dxa"/>
            <w:tcBorders>
              <w:top w:val="nil"/>
              <w:left w:val="single" w:color="auto" w:sz="8" w:space="0"/>
              <w:bottom w:val="single" w:color="auto" w:sz="4" w:space="0"/>
              <w:right w:val="single" w:color="auto" w:sz="8" w:space="0"/>
            </w:tcBorders>
            <w:vAlign w:val="center"/>
          </w:tcPr>
          <w:p w14:paraId="1A326201">
            <w:pPr>
              <w:widowControl/>
              <w:rPr>
                <w:rFonts w:ascii="宋体" w:hAnsi="宋体" w:cs="宋体"/>
                <w:kern w:val="0"/>
                <w:sz w:val="20"/>
              </w:rPr>
            </w:pPr>
            <w:r>
              <w:rPr>
                <w:rFonts w:hint="eastAsia" w:ascii="宋体" w:hAnsi="宋体" w:cs="宋体"/>
                <w:kern w:val="0"/>
                <w:sz w:val="20"/>
              </w:rPr>
              <w:t>15.租赁和商务服务业</w:t>
            </w:r>
          </w:p>
        </w:tc>
        <w:tc>
          <w:tcPr>
            <w:tcW w:w="1475" w:type="dxa"/>
            <w:tcBorders>
              <w:top w:val="nil"/>
              <w:left w:val="nil"/>
              <w:bottom w:val="single" w:color="auto" w:sz="4" w:space="0"/>
              <w:right w:val="single" w:color="auto" w:sz="4" w:space="0"/>
            </w:tcBorders>
            <w:vAlign w:val="center"/>
          </w:tcPr>
          <w:p w14:paraId="401789EC">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4" w:space="0"/>
              <w:right w:val="single" w:color="auto" w:sz="4" w:space="0"/>
            </w:tcBorders>
            <w:vAlign w:val="center"/>
          </w:tcPr>
          <w:p w14:paraId="20533642">
            <w:pPr>
              <w:widowControl/>
              <w:rPr>
                <w:rFonts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4" w:space="0"/>
              <w:right w:val="single" w:color="auto" w:sz="8" w:space="0"/>
            </w:tcBorders>
            <w:vAlign w:val="center"/>
          </w:tcPr>
          <w:p w14:paraId="2032D632">
            <w:pPr>
              <w:widowControl/>
              <w:rPr>
                <w:rFonts w:ascii="宋体" w:hAnsi="宋体" w:cs="宋体"/>
                <w:kern w:val="0"/>
                <w:sz w:val="20"/>
              </w:rPr>
            </w:pPr>
            <w:r>
              <w:rPr>
                <w:rFonts w:hint="eastAsia" w:ascii="宋体" w:hAnsi="宋体" w:cs="宋体"/>
                <w:kern w:val="0"/>
                <w:sz w:val="20"/>
              </w:rPr>
              <w:t>8000≤Z＜120000</w:t>
            </w:r>
          </w:p>
        </w:tc>
        <w:tc>
          <w:tcPr>
            <w:tcW w:w="1221" w:type="dxa"/>
            <w:tcBorders>
              <w:top w:val="nil"/>
              <w:left w:val="nil"/>
              <w:bottom w:val="single" w:color="auto" w:sz="4" w:space="0"/>
              <w:right w:val="single" w:color="auto" w:sz="4" w:space="0"/>
            </w:tcBorders>
            <w:vAlign w:val="center"/>
          </w:tcPr>
          <w:p w14:paraId="154E7383">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4" w:space="0"/>
              <w:right w:val="single" w:color="auto" w:sz="4" w:space="0"/>
            </w:tcBorders>
            <w:vAlign w:val="center"/>
          </w:tcPr>
          <w:p w14:paraId="133A1A05">
            <w:pPr>
              <w:widowControl/>
              <w:rPr>
                <w:rFonts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4" w:space="0"/>
              <w:right w:val="single" w:color="auto" w:sz="8" w:space="0"/>
            </w:tcBorders>
            <w:vAlign w:val="center"/>
          </w:tcPr>
          <w:p w14:paraId="27F3C566">
            <w:pPr>
              <w:widowControl/>
              <w:rPr>
                <w:rFonts w:ascii="宋体" w:hAnsi="宋体" w:cs="宋体"/>
                <w:kern w:val="0"/>
                <w:sz w:val="20"/>
              </w:rPr>
            </w:pPr>
            <w:r>
              <w:rPr>
                <w:rFonts w:hint="eastAsia" w:ascii="宋体" w:hAnsi="宋体" w:cs="宋体"/>
                <w:kern w:val="0"/>
                <w:sz w:val="20"/>
              </w:rPr>
              <w:t>100≤Z＜8000</w:t>
            </w:r>
          </w:p>
        </w:tc>
        <w:tc>
          <w:tcPr>
            <w:tcW w:w="1265" w:type="dxa"/>
            <w:tcBorders>
              <w:top w:val="nil"/>
              <w:left w:val="nil"/>
              <w:bottom w:val="single" w:color="auto" w:sz="4" w:space="0"/>
              <w:right w:val="single" w:color="auto" w:sz="4" w:space="0"/>
            </w:tcBorders>
            <w:vAlign w:val="center"/>
          </w:tcPr>
          <w:p w14:paraId="7DBBFD91">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4" w:space="0"/>
              <w:right w:val="single" w:color="auto" w:sz="4" w:space="0"/>
            </w:tcBorders>
            <w:vAlign w:val="center"/>
          </w:tcPr>
          <w:p w14:paraId="098315A8">
            <w:pPr>
              <w:widowControl/>
              <w:rPr>
                <w:rFonts w:ascii="宋体" w:hAnsi="宋体" w:cs="宋体"/>
                <w:kern w:val="0"/>
                <w:sz w:val="20"/>
              </w:rPr>
            </w:pPr>
            <w:r>
              <w:rPr>
                <w:rFonts w:hint="eastAsia" w:ascii="宋体" w:hAnsi="宋体" w:cs="宋体"/>
                <w:kern w:val="0"/>
                <w:sz w:val="20"/>
              </w:rPr>
              <w:t>　</w:t>
            </w:r>
          </w:p>
        </w:tc>
        <w:tc>
          <w:tcPr>
            <w:tcW w:w="1205" w:type="dxa"/>
            <w:tcBorders>
              <w:top w:val="nil"/>
              <w:left w:val="nil"/>
              <w:bottom w:val="single" w:color="auto" w:sz="4" w:space="0"/>
              <w:right w:val="single" w:color="auto" w:sz="8" w:space="0"/>
            </w:tcBorders>
            <w:vAlign w:val="center"/>
          </w:tcPr>
          <w:p w14:paraId="11DF30FC">
            <w:pPr>
              <w:widowControl/>
              <w:rPr>
                <w:rFonts w:ascii="宋体" w:hAnsi="宋体" w:cs="宋体"/>
                <w:kern w:val="0"/>
                <w:sz w:val="20"/>
              </w:rPr>
            </w:pPr>
            <w:r>
              <w:rPr>
                <w:rFonts w:hint="eastAsia" w:ascii="宋体" w:hAnsi="宋体" w:cs="宋体"/>
                <w:kern w:val="0"/>
                <w:sz w:val="20"/>
              </w:rPr>
              <w:t>Z＜100</w:t>
            </w:r>
          </w:p>
        </w:tc>
      </w:tr>
      <w:tr w14:paraId="711BCF30">
        <w:tblPrEx>
          <w:tblCellMar>
            <w:top w:w="0" w:type="dxa"/>
            <w:left w:w="108" w:type="dxa"/>
            <w:bottom w:w="0" w:type="dxa"/>
            <w:right w:w="108" w:type="dxa"/>
          </w:tblCellMar>
        </w:tblPrEx>
        <w:trPr>
          <w:gridAfter w:val="1"/>
          <w:wAfter w:w="10" w:type="dxa"/>
          <w:trHeight w:val="280" w:hRule="atLeast"/>
          <w:jc w:val="center"/>
        </w:trPr>
        <w:tc>
          <w:tcPr>
            <w:tcW w:w="1954" w:type="dxa"/>
            <w:tcBorders>
              <w:top w:val="nil"/>
              <w:left w:val="single" w:color="auto" w:sz="8" w:space="0"/>
              <w:bottom w:val="single" w:color="auto" w:sz="8" w:space="0"/>
              <w:right w:val="single" w:color="auto" w:sz="8" w:space="0"/>
            </w:tcBorders>
            <w:vAlign w:val="center"/>
          </w:tcPr>
          <w:p w14:paraId="4EE38844">
            <w:pPr>
              <w:widowControl/>
              <w:rPr>
                <w:rFonts w:ascii="宋体" w:hAnsi="宋体" w:cs="宋体"/>
                <w:kern w:val="0"/>
                <w:sz w:val="20"/>
              </w:rPr>
            </w:pPr>
            <w:r>
              <w:rPr>
                <w:rFonts w:hint="eastAsia" w:ascii="宋体" w:hAnsi="宋体" w:cs="宋体"/>
                <w:kern w:val="0"/>
                <w:sz w:val="20"/>
              </w:rPr>
              <w:t>16.其他未列明行业</w:t>
            </w:r>
          </w:p>
        </w:tc>
        <w:tc>
          <w:tcPr>
            <w:tcW w:w="1475" w:type="dxa"/>
            <w:tcBorders>
              <w:top w:val="nil"/>
              <w:left w:val="nil"/>
              <w:bottom w:val="single" w:color="auto" w:sz="8" w:space="0"/>
              <w:right w:val="single" w:color="auto" w:sz="4" w:space="0"/>
            </w:tcBorders>
            <w:vAlign w:val="center"/>
          </w:tcPr>
          <w:p w14:paraId="6ED07F15">
            <w:pPr>
              <w:widowControl/>
              <w:rPr>
                <w:rFonts w:ascii="宋体" w:hAnsi="宋体" w:cs="宋体"/>
                <w:kern w:val="0"/>
                <w:sz w:val="20"/>
              </w:rPr>
            </w:pPr>
            <w:r>
              <w:rPr>
                <w:rFonts w:hint="eastAsia" w:ascii="宋体" w:hAnsi="宋体" w:cs="宋体"/>
                <w:kern w:val="0"/>
                <w:sz w:val="20"/>
              </w:rPr>
              <w:t>100≤X＜300</w:t>
            </w:r>
          </w:p>
        </w:tc>
        <w:tc>
          <w:tcPr>
            <w:tcW w:w="1736" w:type="dxa"/>
            <w:tcBorders>
              <w:top w:val="nil"/>
              <w:left w:val="nil"/>
              <w:bottom w:val="single" w:color="auto" w:sz="8" w:space="0"/>
              <w:right w:val="single" w:color="auto" w:sz="4" w:space="0"/>
            </w:tcBorders>
            <w:vAlign w:val="center"/>
          </w:tcPr>
          <w:p w14:paraId="5B99E037">
            <w:pPr>
              <w:widowControl/>
              <w:rPr>
                <w:rFonts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8" w:space="0"/>
              <w:right w:val="single" w:color="auto" w:sz="8" w:space="0"/>
            </w:tcBorders>
            <w:vAlign w:val="center"/>
          </w:tcPr>
          <w:p w14:paraId="7E29EE6D">
            <w:pPr>
              <w:widowControl/>
              <w:rPr>
                <w:rFonts w:ascii="宋体" w:hAnsi="宋体" w:cs="宋体"/>
                <w:kern w:val="0"/>
                <w:sz w:val="20"/>
              </w:rPr>
            </w:pPr>
            <w:r>
              <w:rPr>
                <w:rFonts w:hint="eastAsia" w:ascii="宋体" w:hAnsi="宋体" w:cs="宋体"/>
                <w:kern w:val="0"/>
                <w:sz w:val="20"/>
              </w:rPr>
              <w:t>　</w:t>
            </w:r>
          </w:p>
        </w:tc>
        <w:tc>
          <w:tcPr>
            <w:tcW w:w="1221" w:type="dxa"/>
            <w:tcBorders>
              <w:top w:val="nil"/>
              <w:left w:val="nil"/>
              <w:bottom w:val="single" w:color="auto" w:sz="8" w:space="0"/>
              <w:right w:val="single" w:color="auto" w:sz="4" w:space="0"/>
            </w:tcBorders>
            <w:vAlign w:val="center"/>
          </w:tcPr>
          <w:p w14:paraId="0B3A0EB4">
            <w:pPr>
              <w:widowControl/>
              <w:rPr>
                <w:rFonts w:ascii="宋体" w:hAnsi="宋体" w:cs="宋体"/>
                <w:kern w:val="0"/>
                <w:sz w:val="20"/>
              </w:rPr>
            </w:pPr>
            <w:r>
              <w:rPr>
                <w:rFonts w:hint="eastAsia" w:ascii="宋体" w:hAnsi="宋体" w:cs="宋体"/>
                <w:kern w:val="0"/>
                <w:sz w:val="20"/>
              </w:rPr>
              <w:t>10≤X＜100</w:t>
            </w:r>
          </w:p>
        </w:tc>
        <w:tc>
          <w:tcPr>
            <w:tcW w:w="1458" w:type="dxa"/>
            <w:tcBorders>
              <w:top w:val="nil"/>
              <w:left w:val="nil"/>
              <w:bottom w:val="single" w:color="auto" w:sz="8" w:space="0"/>
              <w:right w:val="single" w:color="auto" w:sz="4" w:space="0"/>
            </w:tcBorders>
            <w:vAlign w:val="center"/>
          </w:tcPr>
          <w:p w14:paraId="2BCB2360">
            <w:pPr>
              <w:widowControl/>
              <w:rPr>
                <w:rFonts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8" w:space="0"/>
              <w:right w:val="single" w:color="auto" w:sz="8" w:space="0"/>
            </w:tcBorders>
            <w:vAlign w:val="center"/>
          </w:tcPr>
          <w:p w14:paraId="56A57C8C">
            <w:pPr>
              <w:widowControl/>
              <w:rPr>
                <w:rFonts w:ascii="宋体" w:hAnsi="宋体" w:cs="宋体"/>
                <w:kern w:val="0"/>
                <w:sz w:val="20"/>
              </w:rPr>
            </w:pPr>
            <w:r>
              <w:rPr>
                <w:rFonts w:hint="eastAsia" w:ascii="宋体" w:hAnsi="宋体" w:cs="宋体"/>
                <w:kern w:val="0"/>
                <w:sz w:val="20"/>
              </w:rPr>
              <w:t>　</w:t>
            </w:r>
          </w:p>
        </w:tc>
        <w:tc>
          <w:tcPr>
            <w:tcW w:w="1265" w:type="dxa"/>
            <w:tcBorders>
              <w:top w:val="nil"/>
              <w:left w:val="nil"/>
              <w:bottom w:val="single" w:color="auto" w:sz="8" w:space="0"/>
              <w:right w:val="single" w:color="auto" w:sz="4" w:space="0"/>
            </w:tcBorders>
            <w:vAlign w:val="center"/>
          </w:tcPr>
          <w:p w14:paraId="251AFF6D">
            <w:pPr>
              <w:widowControl/>
              <w:rPr>
                <w:rFonts w:ascii="宋体" w:hAnsi="宋体" w:cs="宋体"/>
                <w:kern w:val="0"/>
                <w:sz w:val="20"/>
              </w:rPr>
            </w:pPr>
            <w:r>
              <w:rPr>
                <w:rFonts w:hint="eastAsia" w:ascii="宋体" w:hAnsi="宋体" w:cs="宋体"/>
                <w:kern w:val="0"/>
                <w:sz w:val="20"/>
              </w:rPr>
              <w:t>X＜10</w:t>
            </w:r>
          </w:p>
        </w:tc>
        <w:tc>
          <w:tcPr>
            <w:tcW w:w="1256" w:type="dxa"/>
            <w:tcBorders>
              <w:top w:val="nil"/>
              <w:left w:val="nil"/>
              <w:bottom w:val="single" w:color="auto" w:sz="8" w:space="0"/>
              <w:right w:val="single" w:color="auto" w:sz="4" w:space="0"/>
            </w:tcBorders>
            <w:vAlign w:val="center"/>
          </w:tcPr>
          <w:p w14:paraId="0386F5C3">
            <w:pPr>
              <w:widowControl/>
              <w:rPr>
                <w:rFonts w:ascii="宋体" w:hAnsi="宋体" w:cs="宋体"/>
                <w:kern w:val="0"/>
                <w:sz w:val="20"/>
              </w:rPr>
            </w:pPr>
            <w:r>
              <w:rPr>
                <w:rFonts w:hint="eastAsia" w:ascii="宋体" w:hAnsi="宋体" w:cs="宋体"/>
                <w:kern w:val="0"/>
                <w:sz w:val="20"/>
              </w:rPr>
              <w:t>　</w:t>
            </w:r>
          </w:p>
        </w:tc>
        <w:tc>
          <w:tcPr>
            <w:tcW w:w="1205" w:type="dxa"/>
            <w:tcBorders>
              <w:top w:val="nil"/>
              <w:left w:val="nil"/>
              <w:bottom w:val="single" w:color="auto" w:sz="8" w:space="0"/>
              <w:right w:val="single" w:color="auto" w:sz="8" w:space="0"/>
            </w:tcBorders>
            <w:vAlign w:val="center"/>
          </w:tcPr>
          <w:p w14:paraId="2015521B">
            <w:pPr>
              <w:widowControl/>
              <w:rPr>
                <w:rFonts w:ascii="宋体" w:hAnsi="宋体" w:cs="宋体"/>
                <w:kern w:val="0"/>
                <w:sz w:val="20"/>
              </w:rPr>
            </w:pPr>
            <w:r>
              <w:rPr>
                <w:rFonts w:hint="eastAsia" w:ascii="宋体" w:hAnsi="宋体" w:cs="宋体"/>
                <w:kern w:val="0"/>
                <w:sz w:val="20"/>
              </w:rPr>
              <w:t>　</w:t>
            </w:r>
          </w:p>
        </w:tc>
      </w:tr>
      <w:tr w14:paraId="1EC72B6A">
        <w:tblPrEx>
          <w:tblCellMar>
            <w:top w:w="0" w:type="dxa"/>
            <w:left w:w="108" w:type="dxa"/>
            <w:bottom w:w="0" w:type="dxa"/>
            <w:right w:w="108" w:type="dxa"/>
          </w:tblCellMar>
        </w:tblPrEx>
        <w:trPr>
          <w:trHeight w:val="832" w:hRule="atLeast"/>
          <w:jc w:val="center"/>
        </w:trPr>
        <w:tc>
          <w:tcPr>
            <w:tcW w:w="14720" w:type="dxa"/>
            <w:gridSpan w:val="11"/>
            <w:tcBorders>
              <w:top w:val="nil"/>
              <w:left w:val="nil"/>
              <w:bottom w:val="nil"/>
              <w:right w:val="nil"/>
            </w:tcBorders>
            <w:vAlign w:val="bottom"/>
          </w:tcPr>
          <w:p w14:paraId="10549D96">
            <w:pPr>
              <w:widowControl/>
              <w:jc w:val="left"/>
              <w:rPr>
                <w:rFonts w:ascii="宋体" w:hAnsi="宋体" w:cs="宋体"/>
                <w:kern w:val="0"/>
                <w:sz w:val="20"/>
              </w:rPr>
            </w:pPr>
            <w:r>
              <w:rPr>
                <w:rFonts w:hint="eastAsia" w:ascii="宋体" w:hAnsi="宋体" w:cs="宋体"/>
                <w:kern w:val="0"/>
                <w:sz w:val="20"/>
              </w:rPr>
              <w:t>说明　1.企业类型的划分以统计部门的统计数据为依据。</w:t>
            </w:r>
          </w:p>
          <w:p w14:paraId="472C2C8F">
            <w:pPr>
              <w:widowControl/>
              <w:ind w:firstLine="600" w:firstLineChars="300"/>
              <w:jc w:val="left"/>
              <w:rPr>
                <w:rFonts w:ascii="宋体" w:hAnsi="宋体" w:cs="宋体"/>
                <w:kern w:val="0"/>
                <w:sz w:val="20"/>
              </w:rPr>
            </w:pPr>
            <w:r>
              <w:rPr>
                <w:rFonts w:hint="eastAsia" w:ascii="宋体" w:hAnsi="宋体" w:cs="宋体"/>
                <w:kern w:val="0"/>
                <w:sz w:val="20"/>
              </w:rPr>
              <w:t>2.个体工商户和本规定以外的行业，参照本规定进行划型。</w:t>
            </w:r>
          </w:p>
          <w:p w14:paraId="58A96D6A">
            <w:pPr>
              <w:widowControl/>
              <w:ind w:firstLine="600" w:firstLineChars="300"/>
              <w:jc w:val="left"/>
              <w:rPr>
                <w:rFonts w:ascii="宋体" w:hAnsi="宋体" w:cs="宋体"/>
                <w:kern w:val="0"/>
                <w:sz w:val="20"/>
              </w:rPr>
            </w:pPr>
            <w:r>
              <w:rPr>
                <w:rFonts w:hint="eastAsia" w:ascii="宋体" w:hAnsi="宋体" w:cs="宋体"/>
                <w:kern w:val="0"/>
                <w:sz w:val="20"/>
              </w:rPr>
              <w:t>3.本规定的中型企业标准上限即为大型企业标准的下限。</w:t>
            </w:r>
          </w:p>
        </w:tc>
      </w:tr>
    </w:tbl>
    <w:p w14:paraId="3CC2E939">
      <w:pPr>
        <w:pStyle w:val="28"/>
        <w:tabs>
          <w:tab w:val="left" w:pos="3450"/>
        </w:tabs>
        <w:spacing w:line="20" w:lineRule="exact"/>
        <w:jc w:val="left"/>
        <w:rPr>
          <w:rFonts w:hAnsi="宋体" w:cs="宋体"/>
          <w:sz w:val="36"/>
          <w:szCs w:val="36"/>
        </w:rPr>
      </w:pPr>
    </w:p>
    <w:sectPr>
      <w:pgSz w:w="16838" w:h="11905" w:orient="landscape"/>
      <w:pgMar w:top="1474" w:right="1474" w:bottom="1197" w:left="1474" w:header="907" w:footer="850" w:gutter="0"/>
      <w:pgBorders>
        <w:top w:val="none" w:sz="0" w:space="0"/>
        <w:left w:val="none" w:sz="0" w:space="0"/>
        <w:bottom w:val="none" w:sz="0" w:space="0"/>
        <w:right w:val="none" w:sz="0" w:space="0"/>
      </w:pgBorders>
      <w:cols w:space="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Univers">
    <w:panose1 w:val="020B060302020203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PingFang SC">
    <w:altName w:val="宋体"/>
    <w:panose1 w:val="000000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D0B3">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F7D3F">
    <w:pPr>
      <w:pStyle w:val="31"/>
      <w:framePr w:wrap="around" w:vAnchor="text" w:hAnchor="margin" w:xAlign="center" w:y="1"/>
      <w:rPr>
        <w:rStyle w:val="56"/>
      </w:rPr>
    </w:pPr>
    <w:r>
      <w:fldChar w:fldCharType="begin"/>
    </w:r>
    <w:r>
      <w:rPr>
        <w:rStyle w:val="56"/>
      </w:rPr>
      <w:instrText xml:space="preserve">PAGE  </w:instrText>
    </w:r>
    <w:r>
      <w:fldChar w:fldCharType="separate"/>
    </w:r>
    <w:r>
      <w:rPr>
        <w:vanish/>
      </w:rPr>
      <w:t xml:space="preserve"> </w:t>
    </w:r>
    <w:r>
      <w:fldChar w:fldCharType="end"/>
    </w:r>
  </w:p>
  <w:p w14:paraId="02608382">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55A8">
    <w:pPr>
      <w:pStyle w:val="31"/>
      <w:framePr w:wrap="around" w:vAnchor="text" w:hAnchor="margin" w:xAlign="center" w:y="1"/>
      <w:rPr>
        <w:rStyle w:val="56"/>
      </w:rPr>
    </w:pPr>
    <w:r>
      <w:fldChar w:fldCharType="begin"/>
    </w:r>
    <w:r>
      <w:rPr>
        <w:rStyle w:val="56"/>
      </w:rPr>
      <w:instrText xml:space="preserve">PAGE  </w:instrText>
    </w:r>
    <w:r>
      <w:fldChar w:fldCharType="separate"/>
    </w:r>
    <w:r>
      <w:rPr>
        <w:rStyle w:val="56"/>
      </w:rPr>
      <w:t>5</w:t>
    </w:r>
    <w:r>
      <w:fldChar w:fldCharType="end"/>
    </w:r>
  </w:p>
  <w:p w14:paraId="6B7C5E03">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7C4A">
    <w:pPr>
      <w:pStyle w:val="31"/>
      <w:framePr w:wrap="around" w:vAnchor="text" w:hAnchor="margin" w:xAlign="center" w:y="-27"/>
      <w:jc w:val="center"/>
      <w:rPr>
        <w:rStyle w:val="56"/>
      </w:rPr>
    </w:pPr>
    <w:r>
      <w:fldChar w:fldCharType="begin"/>
    </w:r>
    <w:r>
      <w:rPr>
        <w:rStyle w:val="56"/>
      </w:rPr>
      <w:instrText xml:space="preserve">PAGE  </w:instrText>
    </w:r>
    <w:r>
      <w:fldChar w:fldCharType="separate"/>
    </w:r>
    <w:r>
      <w:rPr>
        <w:rStyle w:val="56"/>
      </w:rPr>
      <w:t>91</w:t>
    </w:r>
    <w:r>
      <w:fldChar w:fldCharType="end"/>
    </w:r>
  </w:p>
  <w:p w14:paraId="6F8D4045">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ECAEE">
    <w:pPr>
      <w:pStyle w:val="33"/>
      <w:pBdr>
        <w:bottom w:val="single" w:color="auto" w:sz="4" w:space="0"/>
      </w:pBdr>
      <w:jc w:val="both"/>
    </w:pPr>
    <w:r>
      <w:rPr>
        <w:rFonts w:hint="eastAsia" w:cs="宋体"/>
        <w:b/>
        <w:sz w:val="28"/>
        <w:szCs w:val="28"/>
      </w:rPr>
      <w:drawing>
        <wp:inline distT="0" distB="0" distL="114300" distR="114300">
          <wp:extent cx="1060450" cy="299720"/>
          <wp:effectExtent l="0" t="0" r="6350" b="5080"/>
          <wp:docPr id="3"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B53A">
    <w:pPr>
      <w:pStyle w:val="33"/>
      <w:pBdr>
        <w:bottom w:val="single" w:color="auto" w:sz="4" w:space="0"/>
      </w:pBdr>
      <w:jc w:val="both"/>
    </w:pPr>
    <w:r>
      <w:rPr>
        <w:rFonts w:hint="eastAsia" w:cs="宋体"/>
        <w:b/>
        <w:sz w:val="28"/>
        <w:szCs w:val="28"/>
      </w:rPr>
      <w:drawing>
        <wp:inline distT="0" distB="0" distL="114300" distR="114300">
          <wp:extent cx="1060450" cy="299720"/>
          <wp:effectExtent l="0" t="0" r="6350" b="5080"/>
          <wp:docPr id="5"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86B55">
    <w:pPr>
      <w:pStyle w:val="33"/>
      <w:pBdr>
        <w:bottom w:val="single" w:color="auto" w:sz="4" w:space="0"/>
      </w:pBdr>
      <w:jc w:val="both"/>
    </w:pPr>
    <w:r>
      <w:rPr>
        <w:rFonts w:hint="eastAsia" w:cs="宋体"/>
        <w:b/>
        <w:sz w:val="28"/>
        <w:szCs w:val="28"/>
      </w:rPr>
      <w:drawing>
        <wp:inline distT="0" distB="0" distL="114300" distR="114300">
          <wp:extent cx="1060450" cy="299720"/>
          <wp:effectExtent l="0" t="0" r="6350" b="5080"/>
          <wp:docPr id="8"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4626F">
    <w:pPr>
      <w:pStyle w:val="33"/>
      <w:pBdr>
        <w:bottom w:val="single" w:color="auto" w:sz="4" w:space="0"/>
      </w:pBdr>
      <w:jc w:val="both"/>
    </w:pPr>
    <w:r>
      <w:rPr>
        <w:rFonts w:hint="eastAsia" w:cs="宋体"/>
        <w:b/>
        <w:sz w:val="28"/>
        <w:szCs w:val="28"/>
      </w:rPr>
      <w:drawing>
        <wp:inline distT="0" distB="0" distL="114300" distR="114300">
          <wp:extent cx="1060450" cy="299720"/>
          <wp:effectExtent l="0" t="0" r="6350" b="5080"/>
          <wp:docPr id="7"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版本一15MM"/>
                  <pic:cNvPicPr>
                    <a:picLocks noChangeAspect="1"/>
                  </pic:cNvPicPr>
                </pic:nvPicPr>
                <pic:blipFill>
                  <a:blip r:embed="rId1"/>
                  <a:stretch>
                    <a:fillRect/>
                  </a:stretch>
                </pic:blipFill>
                <pic:spPr>
                  <a:xfrm>
                    <a:off x="0" y="0"/>
                    <a:ext cx="1060450" cy="299720"/>
                  </a:xfrm>
                  <a:prstGeom prst="rect">
                    <a:avLst/>
                  </a:prstGeom>
                  <a:noFill/>
                  <a:ln>
                    <a:noFill/>
                  </a:ln>
                </pic:spPr>
              </pic:pic>
            </a:graphicData>
          </a:graphic>
        </wp:inline>
      </w:drawing>
    </w:r>
    <w:r>
      <w:rPr>
        <w:rFonts w:hint="eastAsia" w:cs="宋体"/>
        <w:b/>
        <w:sz w:val="28"/>
        <w:szCs w:val="2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74C8F"/>
    <w:multiLevelType w:val="singleLevel"/>
    <w:tmpl w:val="57A74C8F"/>
    <w:lvl w:ilvl="0" w:tentative="0">
      <w:start w:val="1"/>
      <w:numFmt w:val="chineseCounting"/>
      <w:pStyle w:val="203"/>
      <w:suff w:val="nothing"/>
      <w:lvlText w:val="%1、"/>
      <w:lvlJc w:val="left"/>
      <w:pPr>
        <w:tabs>
          <w:tab w:val="left" w:pos="0"/>
        </w:tabs>
        <w:ind w:left="0" w:firstLine="0"/>
      </w:pPr>
      <w:rPr>
        <w:rFonts w:hint="eastAsia" w:cs="Times New Roman"/>
      </w:rPr>
    </w:lvl>
  </w:abstractNum>
  <w:abstractNum w:abstractNumId="1">
    <w:nsid w:val="740A61AC"/>
    <w:multiLevelType w:val="multilevel"/>
    <w:tmpl w:val="740A61AC"/>
    <w:lvl w:ilvl="0" w:tentative="0">
      <w:start w:val="1"/>
      <w:numFmt w:val="decimalZero"/>
      <w:pStyle w:val="200"/>
      <w:lvlText w:val="【第%1条】"/>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10"/>
  <w:drawingGridVerticalSpacing w:val="14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jkwNTkzYmE1YjNmMzk0NDkwOGNlODFlMWRmMGMifQ=="/>
  </w:docVars>
  <w:rsids>
    <w:rsidRoot w:val="00D719E6"/>
    <w:rsid w:val="00002915"/>
    <w:rsid w:val="00006ACD"/>
    <w:rsid w:val="00007CA2"/>
    <w:rsid w:val="00012DFF"/>
    <w:rsid w:val="00031597"/>
    <w:rsid w:val="00041187"/>
    <w:rsid w:val="00045955"/>
    <w:rsid w:val="00045D27"/>
    <w:rsid w:val="00050130"/>
    <w:rsid w:val="00050224"/>
    <w:rsid w:val="00053DE2"/>
    <w:rsid w:val="00057DCB"/>
    <w:rsid w:val="000608D9"/>
    <w:rsid w:val="00061B1B"/>
    <w:rsid w:val="00066FE0"/>
    <w:rsid w:val="00067550"/>
    <w:rsid w:val="0007014E"/>
    <w:rsid w:val="00074072"/>
    <w:rsid w:val="00077396"/>
    <w:rsid w:val="00077D6D"/>
    <w:rsid w:val="00077FE7"/>
    <w:rsid w:val="00090FCE"/>
    <w:rsid w:val="000A0674"/>
    <w:rsid w:val="000A69C1"/>
    <w:rsid w:val="000A7571"/>
    <w:rsid w:val="000B2FA6"/>
    <w:rsid w:val="000B5713"/>
    <w:rsid w:val="000C3222"/>
    <w:rsid w:val="000C4FCF"/>
    <w:rsid w:val="000C7437"/>
    <w:rsid w:val="000D6127"/>
    <w:rsid w:val="000E41BB"/>
    <w:rsid w:val="000E6723"/>
    <w:rsid w:val="0010334D"/>
    <w:rsid w:val="001055FB"/>
    <w:rsid w:val="00105E58"/>
    <w:rsid w:val="00106A10"/>
    <w:rsid w:val="0011197E"/>
    <w:rsid w:val="00122092"/>
    <w:rsid w:val="00122D89"/>
    <w:rsid w:val="001239E7"/>
    <w:rsid w:val="0012711F"/>
    <w:rsid w:val="00137A0D"/>
    <w:rsid w:val="001465F3"/>
    <w:rsid w:val="00150B2A"/>
    <w:rsid w:val="00152C87"/>
    <w:rsid w:val="00153769"/>
    <w:rsid w:val="00154438"/>
    <w:rsid w:val="00154923"/>
    <w:rsid w:val="00163CA2"/>
    <w:rsid w:val="001647EC"/>
    <w:rsid w:val="0016520A"/>
    <w:rsid w:val="00166796"/>
    <w:rsid w:val="001673C4"/>
    <w:rsid w:val="00186587"/>
    <w:rsid w:val="001901BF"/>
    <w:rsid w:val="00191244"/>
    <w:rsid w:val="00193ABA"/>
    <w:rsid w:val="00194FEA"/>
    <w:rsid w:val="00196574"/>
    <w:rsid w:val="00197604"/>
    <w:rsid w:val="001A0516"/>
    <w:rsid w:val="001A21D1"/>
    <w:rsid w:val="001B18BF"/>
    <w:rsid w:val="001C1071"/>
    <w:rsid w:val="001C467B"/>
    <w:rsid w:val="001C4862"/>
    <w:rsid w:val="001C63D3"/>
    <w:rsid w:val="001C6EA2"/>
    <w:rsid w:val="001C7A19"/>
    <w:rsid w:val="001C7BB8"/>
    <w:rsid w:val="001D03C6"/>
    <w:rsid w:val="001D0883"/>
    <w:rsid w:val="001D0E3D"/>
    <w:rsid w:val="001D160F"/>
    <w:rsid w:val="001D1799"/>
    <w:rsid w:val="001E2032"/>
    <w:rsid w:val="001E381F"/>
    <w:rsid w:val="001E433B"/>
    <w:rsid w:val="001E47A6"/>
    <w:rsid w:val="001E560B"/>
    <w:rsid w:val="001E60CF"/>
    <w:rsid w:val="001F3A94"/>
    <w:rsid w:val="001F441F"/>
    <w:rsid w:val="001F5ECF"/>
    <w:rsid w:val="00205824"/>
    <w:rsid w:val="00212513"/>
    <w:rsid w:val="00212C0B"/>
    <w:rsid w:val="002220F8"/>
    <w:rsid w:val="002223A0"/>
    <w:rsid w:val="002267AA"/>
    <w:rsid w:val="00230C3A"/>
    <w:rsid w:val="00233AED"/>
    <w:rsid w:val="00241995"/>
    <w:rsid w:val="00242293"/>
    <w:rsid w:val="00243EA5"/>
    <w:rsid w:val="00246128"/>
    <w:rsid w:val="00250831"/>
    <w:rsid w:val="0025509C"/>
    <w:rsid w:val="00260BC0"/>
    <w:rsid w:val="00261134"/>
    <w:rsid w:val="002612D9"/>
    <w:rsid w:val="00266980"/>
    <w:rsid w:val="00267BAC"/>
    <w:rsid w:val="00272740"/>
    <w:rsid w:val="00273A41"/>
    <w:rsid w:val="00273D82"/>
    <w:rsid w:val="002743E6"/>
    <w:rsid w:val="00287589"/>
    <w:rsid w:val="00291CF7"/>
    <w:rsid w:val="00293EB8"/>
    <w:rsid w:val="00293FD0"/>
    <w:rsid w:val="002A0831"/>
    <w:rsid w:val="002A208B"/>
    <w:rsid w:val="002A49C9"/>
    <w:rsid w:val="002A4B11"/>
    <w:rsid w:val="002A521B"/>
    <w:rsid w:val="002B2CB5"/>
    <w:rsid w:val="002B3E59"/>
    <w:rsid w:val="002B6FBD"/>
    <w:rsid w:val="002B74A2"/>
    <w:rsid w:val="002C0541"/>
    <w:rsid w:val="002C7EA4"/>
    <w:rsid w:val="002E5815"/>
    <w:rsid w:val="002E604F"/>
    <w:rsid w:val="002F13E0"/>
    <w:rsid w:val="002F6358"/>
    <w:rsid w:val="00300554"/>
    <w:rsid w:val="003057E3"/>
    <w:rsid w:val="00305879"/>
    <w:rsid w:val="00306664"/>
    <w:rsid w:val="00307061"/>
    <w:rsid w:val="00311F9C"/>
    <w:rsid w:val="00316D25"/>
    <w:rsid w:val="00335B18"/>
    <w:rsid w:val="00335FB8"/>
    <w:rsid w:val="00341336"/>
    <w:rsid w:val="00346A99"/>
    <w:rsid w:val="0035329F"/>
    <w:rsid w:val="003551AA"/>
    <w:rsid w:val="00356711"/>
    <w:rsid w:val="00356CB4"/>
    <w:rsid w:val="003643FC"/>
    <w:rsid w:val="00374EA0"/>
    <w:rsid w:val="0038207F"/>
    <w:rsid w:val="00387B82"/>
    <w:rsid w:val="00391E6D"/>
    <w:rsid w:val="00395E54"/>
    <w:rsid w:val="00397715"/>
    <w:rsid w:val="003A002D"/>
    <w:rsid w:val="003A5AB8"/>
    <w:rsid w:val="003A7CFD"/>
    <w:rsid w:val="003B0995"/>
    <w:rsid w:val="003C4EE8"/>
    <w:rsid w:val="003D27C0"/>
    <w:rsid w:val="003D401D"/>
    <w:rsid w:val="003D6C60"/>
    <w:rsid w:val="003E3EE1"/>
    <w:rsid w:val="003F14D6"/>
    <w:rsid w:val="003F20B3"/>
    <w:rsid w:val="003F6E4E"/>
    <w:rsid w:val="004022A0"/>
    <w:rsid w:val="00412574"/>
    <w:rsid w:val="00414845"/>
    <w:rsid w:val="00425D45"/>
    <w:rsid w:val="004278E6"/>
    <w:rsid w:val="00434BE0"/>
    <w:rsid w:val="00441919"/>
    <w:rsid w:val="00454D3D"/>
    <w:rsid w:val="00454D52"/>
    <w:rsid w:val="004557BB"/>
    <w:rsid w:val="00455D3A"/>
    <w:rsid w:val="004562C7"/>
    <w:rsid w:val="00466D8C"/>
    <w:rsid w:val="00470E58"/>
    <w:rsid w:val="00482256"/>
    <w:rsid w:val="00495264"/>
    <w:rsid w:val="004A2C02"/>
    <w:rsid w:val="004B2A54"/>
    <w:rsid w:val="004B57CF"/>
    <w:rsid w:val="004B6A71"/>
    <w:rsid w:val="004C56EE"/>
    <w:rsid w:val="004D2D1F"/>
    <w:rsid w:val="004D6E7D"/>
    <w:rsid w:val="004D7775"/>
    <w:rsid w:val="004E08AF"/>
    <w:rsid w:val="004F4146"/>
    <w:rsid w:val="004F7823"/>
    <w:rsid w:val="004F7F7E"/>
    <w:rsid w:val="00500138"/>
    <w:rsid w:val="0050345D"/>
    <w:rsid w:val="0051065F"/>
    <w:rsid w:val="00511A29"/>
    <w:rsid w:val="00512014"/>
    <w:rsid w:val="0052024F"/>
    <w:rsid w:val="00523EB0"/>
    <w:rsid w:val="005311B0"/>
    <w:rsid w:val="00541977"/>
    <w:rsid w:val="005424B1"/>
    <w:rsid w:val="0054415B"/>
    <w:rsid w:val="005450AC"/>
    <w:rsid w:val="005452B2"/>
    <w:rsid w:val="005475DF"/>
    <w:rsid w:val="005524EA"/>
    <w:rsid w:val="005552A0"/>
    <w:rsid w:val="005577C6"/>
    <w:rsid w:val="0056281B"/>
    <w:rsid w:val="00563F8F"/>
    <w:rsid w:val="0056483F"/>
    <w:rsid w:val="005674F7"/>
    <w:rsid w:val="0057305B"/>
    <w:rsid w:val="00580206"/>
    <w:rsid w:val="005816D1"/>
    <w:rsid w:val="0058607F"/>
    <w:rsid w:val="00587584"/>
    <w:rsid w:val="00587FCA"/>
    <w:rsid w:val="00594357"/>
    <w:rsid w:val="00594ED5"/>
    <w:rsid w:val="0059540B"/>
    <w:rsid w:val="005A3484"/>
    <w:rsid w:val="005A5FCD"/>
    <w:rsid w:val="005B0F75"/>
    <w:rsid w:val="005B2FA5"/>
    <w:rsid w:val="005B3A33"/>
    <w:rsid w:val="005B414A"/>
    <w:rsid w:val="005C1974"/>
    <w:rsid w:val="005C7DA9"/>
    <w:rsid w:val="005D08C9"/>
    <w:rsid w:val="005D1EBB"/>
    <w:rsid w:val="005D5361"/>
    <w:rsid w:val="005D563A"/>
    <w:rsid w:val="005D5EC3"/>
    <w:rsid w:val="005D60C2"/>
    <w:rsid w:val="005D7E12"/>
    <w:rsid w:val="005E06B3"/>
    <w:rsid w:val="005E0E1F"/>
    <w:rsid w:val="005E6549"/>
    <w:rsid w:val="005E75C5"/>
    <w:rsid w:val="005F220E"/>
    <w:rsid w:val="005F3A10"/>
    <w:rsid w:val="005F3DFD"/>
    <w:rsid w:val="005F46CC"/>
    <w:rsid w:val="005F4E58"/>
    <w:rsid w:val="005F5325"/>
    <w:rsid w:val="005F7E0E"/>
    <w:rsid w:val="00601E80"/>
    <w:rsid w:val="0060217E"/>
    <w:rsid w:val="00602FD8"/>
    <w:rsid w:val="006069DC"/>
    <w:rsid w:val="0061323F"/>
    <w:rsid w:val="006222AE"/>
    <w:rsid w:val="00622D45"/>
    <w:rsid w:val="00624D7E"/>
    <w:rsid w:val="00625B70"/>
    <w:rsid w:val="00626A30"/>
    <w:rsid w:val="00626F6E"/>
    <w:rsid w:val="006426C8"/>
    <w:rsid w:val="00644294"/>
    <w:rsid w:val="00652CDF"/>
    <w:rsid w:val="006549B0"/>
    <w:rsid w:val="006549E8"/>
    <w:rsid w:val="00655D6E"/>
    <w:rsid w:val="00667CA2"/>
    <w:rsid w:val="0067002A"/>
    <w:rsid w:val="00673D0C"/>
    <w:rsid w:val="00675701"/>
    <w:rsid w:val="006802B4"/>
    <w:rsid w:val="006811C7"/>
    <w:rsid w:val="006813EC"/>
    <w:rsid w:val="006875CE"/>
    <w:rsid w:val="00690E22"/>
    <w:rsid w:val="006A0B17"/>
    <w:rsid w:val="006A22A2"/>
    <w:rsid w:val="006A573F"/>
    <w:rsid w:val="006C071F"/>
    <w:rsid w:val="006D22C6"/>
    <w:rsid w:val="006D3083"/>
    <w:rsid w:val="006D435C"/>
    <w:rsid w:val="006D633F"/>
    <w:rsid w:val="006F2BEE"/>
    <w:rsid w:val="006F2FD4"/>
    <w:rsid w:val="00702C85"/>
    <w:rsid w:val="007046B3"/>
    <w:rsid w:val="00715CD8"/>
    <w:rsid w:val="00721EEB"/>
    <w:rsid w:val="00722F85"/>
    <w:rsid w:val="007247C1"/>
    <w:rsid w:val="007260CC"/>
    <w:rsid w:val="00730294"/>
    <w:rsid w:val="007363F7"/>
    <w:rsid w:val="007405FA"/>
    <w:rsid w:val="00742272"/>
    <w:rsid w:val="00746743"/>
    <w:rsid w:val="00746DB6"/>
    <w:rsid w:val="00750202"/>
    <w:rsid w:val="00753150"/>
    <w:rsid w:val="00754794"/>
    <w:rsid w:val="00760FF8"/>
    <w:rsid w:val="00762C5B"/>
    <w:rsid w:val="0076361C"/>
    <w:rsid w:val="0076399A"/>
    <w:rsid w:val="00772749"/>
    <w:rsid w:val="00785E81"/>
    <w:rsid w:val="00787007"/>
    <w:rsid w:val="007920DF"/>
    <w:rsid w:val="00793FB6"/>
    <w:rsid w:val="007A09BC"/>
    <w:rsid w:val="007B3F9B"/>
    <w:rsid w:val="007B6EA5"/>
    <w:rsid w:val="007C07FC"/>
    <w:rsid w:val="007C2D5A"/>
    <w:rsid w:val="007C2F7C"/>
    <w:rsid w:val="007C345E"/>
    <w:rsid w:val="007C4DD9"/>
    <w:rsid w:val="007E5D2E"/>
    <w:rsid w:val="007E6298"/>
    <w:rsid w:val="007E765D"/>
    <w:rsid w:val="007F56ED"/>
    <w:rsid w:val="007F6793"/>
    <w:rsid w:val="008045FB"/>
    <w:rsid w:val="00813DC2"/>
    <w:rsid w:val="0082170A"/>
    <w:rsid w:val="00822A75"/>
    <w:rsid w:val="00827B94"/>
    <w:rsid w:val="00831450"/>
    <w:rsid w:val="00833536"/>
    <w:rsid w:val="00833E78"/>
    <w:rsid w:val="00837F7E"/>
    <w:rsid w:val="008436A7"/>
    <w:rsid w:val="00846B28"/>
    <w:rsid w:val="00851468"/>
    <w:rsid w:val="008628A4"/>
    <w:rsid w:val="008639EC"/>
    <w:rsid w:val="00864EEA"/>
    <w:rsid w:val="008651D7"/>
    <w:rsid w:val="00866258"/>
    <w:rsid w:val="00866FAD"/>
    <w:rsid w:val="0087601B"/>
    <w:rsid w:val="00894A6F"/>
    <w:rsid w:val="008B27D3"/>
    <w:rsid w:val="008C07BC"/>
    <w:rsid w:val="008C0F26"/>
    <w:rsid w:val="008D1FDE"/>
    <w:rsid w:val="008E266B"/>
    <w:rsid w:val="008E73FB"/>
    <w:rsid w:val="008F2B30"/>
    <w:rsid w:val="008F3064"/>
    <w:rsid w:val="008F325C"/>
    <w:rsid w:val="008F60BC"/>
    <w:rsid w:val="009045CC"/>
    <w:rsid w:val="00904CAE"/>
    <w:rsid w:val="00917848"/>
    <w:rsid w:val="009306B1"/>
    <w:rsid w:val="009319FE"/>
    <w:rsid w:val="00935922"/>
    <w:rsid w:val="009421C2"/>
    <w:rsid w:val="00942F73"/>
    <w:rsid w:val="00947ABC"/>
    <w:rsid w:val="009520CE"/>
    <w:rsid w:val="009570FD"/>
    <w:rsid w:val="009615AD"/>
    <w:rsid w:val="00967443"/>
    <w:rsid w:val="009679AF"/>
    <w:rsid w:val="009760D3"/>
    <w:rsid w:val="00984D25"/>
    <w:rsid w:val="0099049F"/>
    <w:rsid w:val="00990743"/>
    <w:rsid w:val="00996D0D"/>
    <w:rsid w:val="009A1E37"/>
    <w:rsid w:val="009A403C"/>
    <w:rsid w:val="009B1EAD"/>
    <w:rsid w:val="009B4B3C"/>
    <w:rsid w:val="009C63F4"/>
    <w:rsid w:val="009C761D"/>
    <w:rsid w:val="009D7823"/>
    <w:rsid w:val="009E308F"/>
    <w:rsid w:val="009E471A"/>
    <w:rsid w:val="009E50AD"/>
    <w:rsid w:val="009F4C02"/>
    <w:rsid w:val="009F63D4"/>
    <w:rsid w:val="009F7249"/>
    <w:rsid w:val="00A06BCC"/>
    <w:rsid w:val="00A10748"/>
    <w:rsid w:val="00A17427"/>
    <w:rsid w:val="00A227D0"/>
    <w:rsid w:val="00A30197"/>
    <w:rsid w:val="00A3282D"/>
    <w:rsid w:val="00A34EC2"/>
    <w:rsid w:val="00A35C38"/>
    <w:rsid w:val="00A44C23"/>
    <w:rsid w:val="00A475B3"/>
    <w:rsid w:val="00A50DCF"/>
    <w:rsid w:val="00A52066"/>
    <w:rsid w:val="00A60EB0"/>
    <w:rsid w:val="00A72CE7"/>
    <w:rsid w:val="00A826CF"/>
    <w:rsid w:val="00A86807"/>
    <w:rsid w:val="00A87ED1"/>
    <w:rsid w:val="00A90183"/>
    <w:rsid w:val="00AA15CF"/>
    <w:rsid w:val="00AB10BD"/>
    <w:rsid w:val="00AB400A"/>
    <w:rsid w:val="00AB748C"/>
    <w:rsid w:val="00AC57BE"/>
    <w:rsid w:val="00AD08FE"/>
    <w:rsid w:val="00AD6C8A"/>
    <w:rsid w:val="00AD6CD0"/>
    <w:rsid w:val="00AE380C"/>
    <w:rsid w:val="00AE3987"/>
    <w:rsid w:val="00AF55E9"/>
    <w:rsid w:val="00AF7031"/>
    <w:rsid w:val="00B07E6E"/>
    <w:rsid w:val="00B13074"/>
    <w:rsid w:val="00B20AAC"/>
    <w:rsid w:val="00B22A1B"/>
    <w:rsid w:val="00B3162A"/>
    <w:rsid w:val="00B36D8B"/>
    <w:rsid w:val="00B42B60"/>
    <w:rsid w:val="00B44B84"/>
    <w:rsid w:val="00B4762A"/>
    <w:rsid w:val="00B47C2F"/>
    <w:rsid w:val="00B510E9"/>
    <w:rsid w:val="00B54A6A"/>
    <w:rsid w:val="00B573A7"/>
    <w:rsid w:val="00B6058D"/>
    <w:rsid w:val="00B748C7"/>
    <w:rsid w:val="00B77E57"/>
    <w:rsid w:val="00B84DCF"/>
    <w:rsid w:val="00B86CCF"/>
    <w:rsid w:val="00B90055"/>
    <w:rsid w:val="00B91EBC"/>
    <w:rsid w:val="00B96C09"/>
    <w:rsid w:val="00B971CD"/>
    <w:rsid w:val="00BA16D9"/>
    <w:rsid w:val="00BA2A7C"/>
    <w:rsid w:val="00BB07D7"/>
    <w:rsid w:val="00BC37CE"/>
    <w:rsid w:val="00BC465A"/>
    <w:rsid w:val="00BD02D0"/>
    <w:rsid w:val="00BD12A0"/>
    <w:rsid w:val="00BD2A74"/>
    <w:rsid w:val="00BD3565"/>
    <w:rsid w:val="00BE66F8"/>
    <w:rsid w:val="00BE7D9F"/>
    <w:rsid w:val="00BF73AF"/>
    <w:rsid w:val="00BF76BE"/>
    <w:rsid w:val="00C05DBF"/>
    <w:rsid w:val="00C0623C"/>
    <w:rsid w:val="00C063BF"/>
    <w:rsid w:val="00C14063"/>
    <w:rsid w:val="00C17950"/>
    <w:rsid w:val="00C22D95"/>
    <w:rsid w:val="00C24FC2"/>
    <w:rsid w:val="00C2533B"/>
    <w:rsid w:val="00C36823"/>
    <w:rsid w:val="00C372ED"/>
    <w:rsid w:val="00C42863"/>
    <w:rsid w:val="00C433E2"/>
    <w:rsid w:val="00C47578"/>
    <w:rsid w:val="00C56670"/>
    <w:rsid w:val="00C635B6"/>
    <w:rsid w:val="00C73A91"/>
    <w:rsid w:val="00C765D9"/>
    <w:rsid w:val="00C824D7"/>
    <w:rsid w:val="00C86520"/>
    <w:rsid w:val="00C95A26"/>
    <w:rsid w:val="00C96ABB"/>
    <w:rsid w:val="00C97455"/>
    <w:rsid w:val="00C97C19"/>
    <w:rsid w:val="00CA2289"/>
    <w:rsid w:val="00CB6395"/>
    <w:rsid w:val="00CB768C"/>
    <w:rsid w:val="00CC1A2E"/>
    <w:rsid w:val="00CC5C7F"/>
    <w:rsid w:val="00CC64C2"/>
    <w:rsid w:val="00CC6B71"/>
    <w:rsid w:val="00CD5706"/>
    <w:rsid w:val="00CE38D8"/>
    <w:rsid w:val="00CE4F62"/>
    <w:rsid w:val="00CE5A5E"/>
    <w:rsid w:val="00D005D0"/>
    <w:rsid w:val="00D01E0C"/>
    <w:rsid w:val="00D04F8A"/>
    <w:rsid w:val="00D054A1"/>
    <w:rsid w:val="00D13AFF"/>
    <w:rsid w:val="00D200B8"/>
    <w:rsid w:val="00D22A0E"/>
    <w:rsid w:val="00D22EA3"/>
    <w:rsid w:val="00D2616C"/>
    <w:rsid w:val="00D344C0"/>
    <w:rsid w:val="00D34EF8"/>
    <w:rsid w:val="00D35CFE"/>
    <w:rsid w:val="00D37B50"/>
    <w:rsid w:val="00D400DB"/>
    <w:rsid w:val="00D44770"/>
    <w:rsid w:val="00D47292"/>
    <w:rsid w:val="00D52065"/>
    <w:rsid w:val="00D565E2"/>
    <w:rsid w:val="00D60D37"/>
    <w:rsid w:val="00D61E89"/>
    <w:rsid w:val="00D6400E"/>
    <w:rsid w:val="00D719E6"/>
    <w:rsid w:val="00D722E4"/>
    <w:rsid w:val="00D748E5"/>
    <w:rsid w:val="00D755F3"/>
    <w:rsid w:val="00D76F66"/>
    <w:rsid w:val="00D8031C"/>
    <w:rsid w:val="00D82777"/>
    <w:rsid w:val="00D83B08"/>
    <w:rsid w:val="00D84F7E"/>
    <w:rsid w:val="00D869EB"/>
    <w:rsid w:val="00D92264"/>
    <w:rsid w:val="00D93782"/>
    <w:rsid w:val="00DA0CC9"/>
    <w:rsid w:val="00DA4520"/>
    <w:rsid w:val="00DA4958"/>
    <w:rsid w:val="00DB3A7E"/>
    <w:rsid w:val="00DB5AA5"/>
    <w:rsid w:val="00DC67AA"/>
    <w:rsid w:val="00DC7616"/>
    <w:rsid w:val="00DD029C"/>
    <w:rsid w:val="00DD2E1E"/>
    <w:rsid w:val="00DD41F4"/>
    <w:rsid w:val="00DD70A0"/>
    <w:rsid w:val="00DE11AA"/>
    <w:rsid w:val="00DE3DBB"/>
    <w:rsid w:val="00DE44C1"/>
    <w:rsid w:val="00DE7B96"/>
    <w:rsid w:val="00DF4A23"/>
    <w:rsid w:val="00E1087E"/>
    <w:rsid w:val="00E16FE4"/>
    <w:rsid w:val="00E20300"/>
    <w:rsid w:val="00E2353E"/>
    <w:rsid w:val="00E24CA4"/>
    <w:rsid w:val="00E261F9"/>
    <w:rsid w:val="00E26636"/>
    <w:rsid w:val="00E32AD2"/>
    <w:rsid w:val="00E441B9"/>
    <w:rsid w:val="00E45D5B"/>
    <w:rsid w:val="00E4726D"/>
    <w:rsid w:val="00E50057"/>
    <w:rsid w:val="00E505D6"/>
    <w:rsid w:val="00E6017C"/>
    <w:rsid w:val="00E6166B"/>
    <w:rsid w:val="00E6244F"/>
    <w:rsid w:val="00E666FA"/>
    <w:rsid w:val="00E71E23"/>
    <w:rsid w:val="00E77DC8"/>
    <w:rsid w:val="00E90C71"/>
    <w:rsid w:val="00E9209B"/>
    <w:rsid w:val="00E93054"/>
    <w:rsid w:val="00E9397C"/>
    <w:rsid w:val="00EA29BB"/>
    <w:rsid w:val="00EA4C75"/>
    <w:rsid w:val="00EC781C"/>
    <w:rsid w:val="00ED3BF2"/>
    <w:rsid w:val="00ED619A"/>
    <w:rsid w:val="00ED64C0"/>
    <w:rsid w:val="00ED7E16"/>
    <w:rsid w:val="00EE02FA"/>
    <w:rsid w:val="00EE39F5"/>
    <w:rsid w:val="00EF21BC"/>
    <w:rsid w:val="00EF42CB"/>
    <w:rsid w:val="00F009A2"/>
    <w:rsid w:val="00F0347F"/>
    <w:rsid w:val="00F07B4A"/>
    <w:rsid w:val="00F17AB2"/>
    <w:rsid w:val="00F24878"/>
    <w:rsid w:val="00F248DA"/>
    <w:rsid w:val="00F2503C"/>
    <w:rsid w:val="00F256FE"/>
    <w:rsid w:val="00F318EA"/>
    <w:rsid w:val="00F328D3"/>
    <w:rsid w:val="00F35455"/>
    <w:rsid w:val="00F45377"/>
    <w:rsid w:val="00F45791"/>
    <w:rsid w:val="00F458E0"/>
    <w:rsid w:val="00F468A3"/>
    <w:rsid w:val="00F4763E"/>
    <w:rsid w:val="00F55ED3"/>
    <w:rsid w:val="00F56D30"/>
    <w:rsid w:val="00F6363C"/>
    <w:rsid w:val="00F7186E"/>
    <w:rsid w:val="00F71F31"/>
    <w:rsid w:val="00F9195E"/>
    <w:rsid w:val="00F9541B"/>
    <w:rsid w:val="00F95734"/>
    <w:rsid w:val="00FA1FE0"/>
    <w:rsid w:val="00FA6F0B"/>
    <w:rsid w:val="00FA7378"/>
    <w:rsid w:val="00FB6271"/>
    <w:rsid w:val="00FE1478"/>
    <w:rsid w:val="00FF33E3"/>
    <w:rsid w:val="00FF5AD2"/>
    <w:rsid w:val="01423520"/>
    <w:rsid w:val="01555546"/>
    <w:rsid w:val="0199263B"/>
    <w:rsid w:val="01AD5116"/>
    <w:rsid w:val="01BD4B8F"/>
    <w:rsid w:val="02070CCA"/>
    <w:rsid w:val="02214874"/>
    <w:rsid w:val="023642D0"/>
    <w:rsid w:val="023F3283"/>
    <w:rsid w:val="024644F3"/>
    <w:rsid w:val="025739FF"/>
    <w:rsid w:val="02621DB3"/>
    <w:rsid w:val="027B5EE0"/>
    <w:rsid w:val="0282260D"/>
    <w:rsid w:val="02B50726"/>
    <w:rsid w:val="02E73944"/>
    <w:rsid w:val="03072EA4"/>
    <w:rsid w:val="032C5808"/>
    <w:rsid w:val="033930D8"/>
    <w:rsid w:val="03440097"/>
    <w:rsid w:val="03773C2D"/>
    <w:rsid w:val="038B0831"/>
    <w:rsid w:val="039C33DE"/>
    <w:rsid w:val="03B5196C"/>
    <w:rsid w:val="03BD578F"/>
    <w:rsid w:val="03F815F1"/>
    <w:rsid w:val="0410030A"/>
    <w:rsid w:val="04142EB6"/>
    <w:rsid w:val="042E253E"/>
    <w:rsid w:val="04387EA8"/>
    <w:rsid w:val="04536E7A"/>
    <w:rsid w:val="045B2258"/>
    <w:rsid w:val="047918CE"/>
    <w:rsid w:val="04CC414D"/>
    <w:rsid w:val="04F54EB9"/>
    <w:rsid w:val="05207B86"/>
    <w:rsid w:val="052B23E6"/>
    <w:rsid w:val="053B04D5"/>
    <w:rsid w:val="053E604E"/>
    <w:rsid w:val="05442454"/>
    <w:rsid w:val="0554132D"/>
    <w:rsid w:val="05711AC4"/>
    <w:rsid w:val="057B074E"/>
    <w:rsid w:val="057C54D3"/>
    <w:rsid w:val="05836767"/>
    <w:rsid w:val="058645FB"/>
    <w:rsid w:val="058E0695"/>
    <w:rsid w:val="05A21435"/>
    <w:rsid w:val="05D21624"/>
    <w:rsid w:val="05D2339D"/>
    <w:rsid w:val="05DA0E98"/>
    <w:rsid w:val="06033F82"/>
    <w:rsid w:val="06055520"/>
    <w:rsid w:val="06080079"/>
    <w:rsid w:val="06377CD2"/>
    <w:rsid w:val="06390D6C"/>
    <w:rsid w:val="063930B5"/>
    <w:rsid w:val="06524B17"/>
    <w:rsid w:val="065E5339"/>
    <w:rsid w:val="06A86E3B"/>
    <w:rsid w:val="06B2717D"/>
    <w:rsid w:val="06DF2215"/>
    <w:rsid w:val="070A3A31"/>
    <w:rsid w:val="071316CD"/>
    <w:rsid w:val="074B78AB"/>
    <w:rsid w:val="075524D7"/>
    <w:rsid w:val="077B668D"/>
    <w:rsid w:val="077C68D3"/>
    <w:rsid w:val="07B67FEE"/>
    <w:rsid w:val="07C3421A"/>
    <w:rsid w:val="07CA002B"/>
    <w:rsid w:val="07DA5D7D"/>
    <w:rsid w:val="07DC3370"/>
    <w:rsid w:val="081B727D"/>
    <w:rsid w:val="08283948"/>
    <w:rsid w:val="08294C50"/>
    <w:rsid w:val="085668B9"/>
    <w:rsid w:val="089C2D9F"/>
    <w:rsid w:val="08C72F61"/>
    <w:rsid w:val="08CC4A1B"/>
    <w:rsid w:val="08E52B9D"/>
    <w:rsid w:val="090C37C7"/>
    <w:rsid w:val="090E27CB"/>
    <w:rsid w:val="094366EC"/>
    <w:rsid w:val="095C1D77"/>
    <w:rsid w:val="0978425B"/>
    <w:rsid w:val="098041B2"/>
    <w:rsid w:val="098D4117"/>
    <w:rsid w:val="09936D78"/>
    <w:rsid w:val="09EB2C7F"/>
    <w:rsid w:val="09EE1E7C"/>
    <w:rsid w:val="09F718C2"/>
    <w:rsid w:val="0A455A91"/>
    <w:rsid w:val="0A4C4192"/>
    <w:rsid w:val="0A614627"/>
    <w:rsid w:val="0A630AA8"/>
    <w:rsid w:val="0A8628A4"/>
    <w:rsid w:val="0AC05ED5"/>
    <w:rsid w:val="0AC17875"/>
    <w:rsid w:val="0B7A71C5"/>
    <w:rsid w:val="0B896DE0"/>
    <w:rsid w:val="0BD36BA1"/>
    <w:rsid w:val="0BE61D6A"/>
    <w:rsid w:val="0BE92617"/>
    <w:rsid w:val="0C004348"/>
    <w:rsid w:val="0C176489"/>
    <w:rsid w:val="0C2B1BDF"/>
    <w:rsid w:val="0C9A6418"/>
    <w:rsid w:val="0CA82015"/>
    <w:rsid w:val="0CE95576"/>
    <w:rsid w:val="0D295CEC"/>
    <w:rsid w:val="0D3C65AD"/>
    <w:rsid w:val="0D3D1A44"/>
    <w:rsid w:val="0D6671EC"/>
    <w:rsid w:val="0D810E0E"/>
    <w:rsid w:val="0D861A83"/>
    <w:rsid w:val="0D991370"/>
    <w:rsid w:val="0D9A660E"/>
    <w:rsid w:val="0DB02779"/>
    <w:rsid w:val="0DC24696"/>
    <w:rsid w:val="0E0A0318"/>
    <w:rsid w:val="0E107158"/>
    <w:rsid w:val="0E3022C5"/>
    <w:rsid w:val="0E4A0E66"/>
    <w:rsid w:val="0E883E64"/>
    <w:rsid w:val="0EB27D01"/>
    <w:rsid w:val="0EB708E3"/>
    <w:rsid w:val="0EEC2730"/>
    <w:rsid w:val="0F4D1A20"/>
    <w:rsid w:val="0F747F80"/>
    <w:rsid w:val="0F750318"/>
    <w:rsid w:val="0F9F06F5"/>
    <w:rsid w:val="0FA15578"/>
    <w:rsid w:val="0FD11985"/>
    <w:rsid w:val="0FD3390C"/>
    <w:rsid w:val="0FE807EA"/>
    <w:rsid w:val="100474BF"/>
    <w:rsid w:val="1029351F"/>
    <w:rsid w:val="10401F77"/>
    <w:rsid w:val="10836C5C"/>
    <w:rsid w:val="10A1053B"/>
    <w:rsid w:val="10C00FFE"/>
    <w:rsid w:val="10C91E90"/>
    <w:rsid w:val="11005F19"/>
    <w:rsid w:val="110D4E9E"/>
    <w:rsid w:val="112C2305"/>
    <w:rsid w:val="1135249F"/>
    <w:rsid w:val="11410977"/>
    <w:rsid w:val="11432D0E"/>
    <w:rsid w:val="11A26319"/>
    <w:rsid w:val="11B85B3D"/>
    <w:rsid w:val="11C75D80"/>
    <w:rsid w:val="11D34725"/>
    <w:rsid w:val="11E37A2B"/>
    <w:rsid w:val="11E9219A"/>
    <w:rsid w:val="12072620"/>
    <w:rsid w:val="12163E25"/>
    <w:rsid w:val="121F796A"/>
    <w:rsid w:val="123B6893"/>
    <w:rsid w:val="12975449"/>
    <w:rsid w:val="12EF5E79"/>
    <w:rsid w:val="131D034D"/>
    <w:rsid w:val="131E5EEC"/>
    <w:rsid w:val="132842FE"/>
    <w:rsid w:val="13366A55"/>
    <w:rsid w:val="133D6F87"/>
    <w:rsid w:val="13463279"/>
    <w:rsid w:val="139A488C"/>
    <w:rsid w:val="13DF4FF2"/>
    <w:rsid w:val="13EF65CC"/>
    <w:rsid w:val="13F57F6C"/>
    <w:rsid w:val="14086A03"/>
    <w:rsid w:val="140E6E4A"/>
    <w:rsid w:val="141A549B"/>
    <w:rsid w:val="145533A6"/>
    <w:rsid w:val="1480592F"/>
    <w:rsid w:val="149E5C9D"/>
    <w:rsid w:val="14BE790E"/>
    <w:rsid w:val="14D55810"/>
    <w:rsid w:val="14E23CD3"/>
    <w:rsid w:val="14F41582"/>
    <w:rsid w:val="151B6A54"/>
    <w:rsid w:val="15461D49"/>
    <w:rsid w:val="15612B32"/>
    <w:rsid w:val="15AC59B8"/>
    <w:rsid w:val="15B2418A"/>
    <w:rsid w:val="15BF5ABC"/>
    <w:rsid w:val="15CC7E13"/>
    <w:rsid w:val="15FA299B"/>
    <w:rsid w:val="16161084"/>
    <w:rsid w:val="161B2C37"/>
    <w:rsid w:val="1660066C"/>
    <w:rsid w:val="166C09FE"/>
    <w:rsid w:val="16816DC1"/>
    <w:rsid w:val="16D0150A"/>
    <w:rsid w:val="170B19CF"/>
    <w:rsid w:val="17141A67"/>
    <w:rsid w:val="177A622E"/>
    <w:rsid w:val="177F60AE"/>
    <w:rsid w:val="17AD1749"/>
    <w:rsid w:val="17B31280"/>
    <w:rsid w:val="17DA6EDC"/>
    <w:rsid w:val="183D43AE"/>
    <w:rsid w:val="185C3E28"/>
    <w:rsid w:val="186676C0"/>
    <w:rsid w:val="187D53EA"/>
    <w:rsid w:val="188942CF"/>
    <w:rsid w:val="189F2F32"/>
    <w:rsid w:val="18A230A3"/>
    <w:rsid w:val="18CF6AB8"/>
    <w:rsid w:val="18D05AF0"/>
    <w:rsid w:val="18DA6CE0"/>
    <w:rsid w:val="18ED431E"/>
    <w:rsid w:val="19426B2A"/>
    <w:rsid w:val="195D4176"/>
    <w:rsid w:val="19636CD6"/>
    <w:rsid w:val="198820DE"/>
    <w:rsid w:val="19BF0467"/>
    <w:rsid w:val="19E33778"/>
    <w:rsid w:val="19E61F2D"/>
    <w:rsid w:val="19E6529B"/>
    <w:rsid w:val="19EE4B1D"/>
    <w:rsid w:val="1A0B6EA0"/>
    <w:rsid w:val="1A1408A6"/>
    <w:rsid w:val="1A1F0E4F"/>
    <w:rsid w:val="1A556088"/>
    <w:rsid w:val="1A9E613A"/>
    <w:rsid w:val="1ACF18FF"/>
    <w:rsid w:val="1AEE0821"/>
    <w:rsid w:val="1AF35E37"/>
    <w:rsid w:val="1B397052"/>
    <w:rsid w:val="1B516A8E"/>
    <w:rsid w:val="1B5E5BC2"/>
    <w:rsid w:val="1B910D31"/>
    <w:rsid w:val="1B982519"/>
    <w:rsid w:val="1BA55384"/>
    <w:rsid w:val="1BC0247D"/>
    <w:rsid w:val="1BEF3A83"/>
    <w:rsid w:val="1BEF3C87"/>
    <w:rsid w:val="1C092580"/>
    <w:rsid w:val="1C092933"/>
    <w:rsid w:val="1C197807"/>
    <w:rsid w:val="1C1B1C68"/>
    <w:rsid w:val="1C1D0679"/>
    <w:rsid w:val="1C2420E9"/>
    <w:rsid w:val="1C314E69"/>
    <w:rsid w:val="1C366F3C"/>
    <w:rsid w:val="1C3A3DE5"/>
    <w:rsid w:val="1C3D71C5"/>
    <w:rsid w:val="1C696EB3"/>
    <w:rsid w:val="1C72589E"/>
    <w:rsid w:val="1C7E0BD3"/>
    <w:rsid w:val="1C8C3EDE"/>
    <w:rsid w:val="1CAB5CA6"/>
    <w:rsid w:val="1CD001DE"/>
    <w:rsid w:val="1CDB295E"/>
    <w:rsid w:val="1CDF70FE"/>
    <w:rsid w:val="1CE2194A"/>
    <w:rsid w:val="1CF80B3B"/>
    <w:rsid w:val="1D32474D"/>
    <w:rsid w:val="1D41732E"/>
    <w:rsid w:val="1D67261B"/>
    <w:rsid w:val="1E20131E"/>
    <w:rsid w:val="1E3B5B2B"/>
    <w:rsid w:val="1E3F3B3A"/>
    <w:rsid w:val="1E433BE7"/>
    <w:rsid w:val="1E4621B3"/>
    <w:rsid w:val="1E4F703F"/>
    <w:rsid w:val="1E540B6E"/>
    <w:rsid w:val="1E597827"/>
    <w:rsid w:val="1E6E4D58"/>
    <w:rsid w:val="1E74705B"/>
    <w:rsid w:val="1E9B5744"/>
    <w:rsid w:val="1ECF44C6"/>
    <w:rsid w:val="1ED27EF1"/>
    <w:rsid w:val="1EE85786"/>
    <w:rsid w:val="1F02489B"/>
    <w:rsid w:val="1F63358C"/>
    <w:rsid w:val="1F7C4A72"/>
    <w:rsid w:val="1F863C7E"/>
    <w:rsid w:val="1FCB1FE9"/>
    <w:rsid w:val="1FD47FE6"/>
    <w:rsid w:val="20002179"/>
    <w:rsid w:val="200D4EB0"/>
    <w:rsid w:val="202B2BDC"/>
    <w:rsid w:val="203B0065"/>
    <w:rsid w:val="203F1966"/>
    <w:rsid w:val="20452C91"/>
    <w:rsid w:val="205B4263"/>
    <w:rsid w:val="208C42DD"/>
    <w:rsid w:val="2091237A"/>
    <w:rsid w:val="209E6CC6"/>
    <w:rsid w:val="20A747F2"/>
    <w:rsid w:val="20B05E5E"/>
    <w:rsid w:val="20BC45CE"/>
    <w:rsid w:val="20C56C03"/>
    <w:rsid w:val="20EA3839"/>
    <w:rsid w:val="216E446A"/>
    <w:rsid w:val="217557F8"/>
    <w:rsid w:val="218E14D8"/>
    <w:rsid w:val="21CA13BF"/>
    <w:rsid w:val="21CB4C2F"/>
    <w:rsid w:val="21E21C06"/>
    <w:rsid w:val="21EE07BA"/>
    <w:rsid w:val="21FA4499"/>
    <w:rsid w:val="223C1E72"/>
    <w:rsid w:val="227B54F5"/>
    <w:rsid w:val="22BB20A6"/>
    <w:rsid w:val="22C95DFC"/>
    <w:rsid w:val="22CC55F5"/>
    <w:rsid w:val="22D20384"/>
    <w:rsid w:val="22F60955"/>
    <w:rsid w:val="233174FD"/>
    <w:rsid w:val="234E00AF"/>
    <w:rsid w:val="235D4796"/>
    <w:rsid w:val="23612762"/>
    <w:rsid w:val="236E5CCE"/>
    <w:rsid w:val="2378337E"/>
    <w:rsid w:val="23894582"/>
    <w:rsid w:val="238A6F7F"/>
    <w:rsid w:val="23A14683"/>
    <w:rsid w:val="23AD7D5E"/>
    <w:rsid w:val="23B86B43"/>
    <w:rsid w:val="23B93C08"/>
    <w:rsid w:val="23BC1FB4"/>
    <w:rsid w:val="23C81C42"/>
    <w:rsid w:val="23CF042C"/>
    <w:rsid w:val="23D25AD3"/>
    <w:rsid w:val="24181233"/>
    <w:rsid w:val="241F0FA0"/>
    <w:rsid w:val="241F5C16"/>
    <w:rsid w:val="24355492"/>
    <w:rsid w:val="245F1650"/>
    <w:rsid w:val="246102B6"/>
    <w:rsid w:val="2473547F"/>
    <w:rsid w:val="2481526D"/>
    <w:rsid w:val="24A012E5"/>
    <w:rsid w:val="24D30BB9"/>
    <w:rsid w:val="24D60223"/>
    <w:rsid w:val="252D6869"/>
    <w:rsid w:val="25396B3D"/>
    <w:rsid w:val="257F6C45"/>
    <w:rsid w:val="25C1725E"/>
    <w:rsid w:val="25F34F3E"/>
    <w:rsid w:val="25FB0C98"/>
    <w:rsid w:val="262923F6"/>
    <w:rsid w:val="263B5621"/>
    <w:rsid w:val="265921A7"/>
    <w:rsid w:val="267A6BDE"/>
    <w:rsid w:val="26881050"/>
    <w:rsid w:val="26A75E89"/>
    <w:rsid w:val="26F70A5D"/>
    <w:rsid w:val="2757414F"/>
    <w:rsid w:val="27840B15"/>
    <w:rsid w:val="278D12FE"/>
    <w:rsid w:val="27962024"/>
    <w:rsid w:val="27967F91"/>
    <w:rsid w:val="27A44031"/>
    <w:rsid w:val="27E71DB6"/>
    <w:rsid w:val="27E92A9C"/>
    <w:rsid w:val="27EC7E96"/>
    <w:rsid w:val="280648C0"/>
    <w:rsid w:val="284F4B62"/>
    <w:rsid w:val="288F4EAE"/>
    <w:rsid w:val="289A2D8A"/>
    <w:rsid w:val="289C4EB0"/>
    <w:rsid w:val="28DA1CCE"/>
    <w:rsid w:val="28F25888"/>
    <w:rsid w:val="290A5BF0"/>
    <w:rsid w:val="29161B72"/>
    <w:rsid w:val="29BA3665"/>
    <w:rsid w:val="2A210B79"/>
    <w:rsid w:val="2A5F1B5A"/>
    <w:rsid w:val="2A677CA8"/>
    <w:rsid w:val="2A7572F6"/>
    <w:rsid w:val="2A7A1FBE"/>
    <w:rsid w:val="2A90047E"/>
    <w:rsid w:val="2AB64BB5"/>
    <w:rsid w:val="2ADE61BC"/>
    <w:rsid w:val="2AE0136C"/>
    <w:rsid w:val="2AF42520"/>
    <w:rsid w:val="2AF71297"/>
    <w:rsid w:val="2B392522"/>
    <w:rsid w:val="2B776CA9"/>
    <w:rsid w:val="2B894447"/>
    <w:rsid w:val="2B8D22CE"/>
    <w:rsid w:val="2C153E60"/>
    <w:rsid w:val="2C2E4F21"/>
    <w:rsid w:val="2C3255D8"/>
    <w:rsid w:val="2C336696"/>
    <w:rsid w:val="2C3E1AF5"/>
    <w:rsid w:val="2C484235"/>
    <w:rsid w:val="2C4E4363"/>
    <w:rsid w:val="2C732934"/>
    <w:rsid w:val="2C7548FE"/>
    <w:rsid w:val="2C9B69BB"/>
    <w:rsid w:val="2CA37B48"/>
    <w:rsid w:val="2CA761EC"/>
    <w:rsid w:val="2CBF36E8"/>
    <w:rsid w:val="2CDB1A39"/>
    <w:rsid w:val="2CF84537"/>
    <w:rsid w:val="2D4927FA"/>
    <w:rsid w:val="2D662499"/>
    <w:rsid w:val="2D6A01DB"/>
    <w:rsid w:val="2DA3696B"/>
    <w:rsid w:val="2DAB7EBB"/>
    <w:rsid w:val="2E0F48DF"/>
    <w:rsid w:val="2E3E5269"/>
    <w:rsid w:val="2E533277"/>
    <w:rsid w:val="2E743721"/>
    <w:rsid w:val="2EC46B8D"/>
    <w:rsid w:val="2EC85707"/>
    <w:rsid w:val="2EEB70FA"/>
    <w:rsid w:val="2F0F103A"/>
    <w:rsid w:val="2F1929B3"/>
    <w:rsid w:val="2F2148C9"/>
    <w:rsid w:val="2F3945C8"/>
    <w:rsid w:val="2F462582"/>
    <w:rsid w:val="2F4C0E27"/>
    <w:rsid w:val="2F582B22"/>
    <w:rsid w:val="2F9F7B5B"/>
    <w:rsid w:val="2FA14099"/>
    <w:rsid w:val="2FA23C5C"/>
    <w:rsid w:val="2FAA688C"/>
    <w:rsid w:val="2FC021F3"/>
    <w:rsid w:val="2FEA73B1"/>
    <w:rsid w:val="300334C4"/>
    <w:rsid w:val="300E3AD6"/>
    <w:rsid w:val="302E1F9B"/>
    <w:rsid w:val="30515682"/>
    <w:rsid w:val="305524CA"/>
    <w:rsid w:val="306233EC"/>
    <w:rsid w:val="307F65FB"/>
    <w:rsid w:val="3097733C"/>
    <w:rsid w:val="309D4424"/>
    <w:rsid w:val="30B42CB5"/>
    <w:rsid w:val="310A6BD6"/>
    <w:rsid w:val="31126BC0"/>
    <w:rsid w:val="311B7998"/>
    <w:rsid w:val="31220D82"/>
    <w:rsid w:val="3179279B"/>
    <w:rsid w:val="31815AF3"/>
    <w:rsid w:val="318A1738"/>
    <w:rsid w:val="31F16FF1"/>
    <w:rsid w:val="31F44517"/>
    <w:rsid w:val="3205125D"/>
    <w:rsid w:val="32081D71"/>
    <w:rsid w:val="32096054"/>
    <w:rsid w:val="32145040"/>
    <w:rsid w:val="3214691B"/>
    <w:rsid w:val="3265133D"/>
    <w:rsid w:val="32751534"/>
    <w:rsid w:val="32925AEB"/>
    <w:rsid w:val="32B37F2E"/>
    <w:rsid w:val="32B74983"/>
    <w:rsid w:val="32E67403"/>
    <w:rsid w:val="32F440A4"/>
    <w:rsid w:val="32F94C12"/>
    <w:rsid w:val="33291F9F"/>
    <w:rsid w:val="33365B6C"/>
    <w:rsid w:val="333D16C1"/>
    <w:rsid w:val="33450B09"/>
    <w:rsid w:val="33863C3A"/>
    <w:rsid w:val="338C3617"/>
    <w:rsid w:val="33B74629"/>
    <w:rsid w:val="33D41609"/>
    <w:rsid w:val="33E543FC"/>
    <w:rsid w:val="34666E4F"/>
    <w:rsid w:val="347926F3"/>
    <w:rsid w:val="34792CF7"/>
    <w:rsid w:val="348902A8"/>
    <w:rsid w:val="34B93D1A"/>
    <w:rsid w:val="34D036D4"/>
    <w:rsid w:val="34E72CA7"/>
    <w:rsid w:val="34F63C57"/>
    <w:rsid w:val="351C000D"/>
    <w:rsid w:val="35215933"/>
    <w:rsid w:val="35226463"/>
    <w:rsid w:val="35275692"/>
    <w:rsid w:val="352C5D76"/>
    <w:rsid w:val="353D61D5"/>
    <w:rsid w:val="35434DED"/>
    <w:rsid w:val="358A4142"/>
    <w:rsid w:val="359A7184"/>
    <w:rsid w:val="35B209CA"/>
    <w:rsid w:val="35DF103A"/>
    <w:rsid w:val="35F85DB6"/>
    <w:rsid w:val="36010FB1"/>
    <w:rsid w:val="360D5BA8"/>
    <w:rsid w:val="360E0BF2"/>
    <w:rsid w:val="36107D81"/>
    <w:rsid w:val="363E0457"/>
    <w:rsid w:val="36533F02"/>
    <w:rsid w:val="365B4731"/>
    <w:rsid w:val="36AD0EA9"/>
    <w:rsid w:val="36C80F8C"/>
    <w:rsid w:val="36D21F7B"/>
    <w:rsid w:val="36E7686C"/>
    <w:rsid w:val="36FD2792"/>
    <w:rsid w:val="37037C53"/>
    <w:rsid w:val="37491AC0"/>
    <w:rsid w:val="375D2A3D"/>
    <w:rsid w:val="377D5A8F"/>
    <w:rsid w:val="377E2588"/>
    <w:rsid w:val="378E4AC6"/>
    <w:rsid w:val="379D4641"/>
    <w:rsid w:val="37A367C3"/>
    <w:rsid w:val="37CB2D9B"/>
    <w:rsid w:val="37E34481"/>
    <w:rsid w:val="37F67133"/>
    <w:rsid w:val="37F77868"/>
    <w:rsid w:val="37FD1CC7"/>
    <w:rsid w:val="37FF2F0E"/>
    <w:rsid w:val="380C53CF"/>
    <w:rsid w:val="382A461B"/>
    <w:rsid w:val="382F0057"/>
    <w:rsid w:val="385201EA"/>
    <w:rsid w:val="38774062"/>
    <w:rsid w:val="388101F7"/>
    <w:rsid w:val="389C49A8"/>
    <w:rsid w:val="38A003CD"/>
    <w:rsid w:val="38A067A3"/>
    <w:rsid w:val="38AE2074"/>
    <w:rsid w:val="38B71DFB"/>
    <w:rsid w:val="38BB18EB"/>
    <w:rsid w:val="38BB7B3D"/>
    <w:rsid w:val="38C8225A"/>
    <w:rsid w:val="38D10A83"/>
    <w:rsid w:val="38D45600"/>
    <w:rsid w:val="38E250CA"/>
    <w:rsid w:val="38E366CF"/>
    <w:rsid w:val="38FD1350"/>
    <w:rsid w:val="391464AF"/>
    <w:rsid w:val="395631F9"/>
    <w:rsid w:val="39632693"/>
    <w:rsid w:val="396B4DB7"/>
    <w:rsid w:val="3996059E"/>
    <w:rsid w:val="399A6B8B"/>
    <w:rsid w:val="39A04403"/>
    <w:rsid w:val="39A46D4F"/>
    <w:rsid w:val="39C67A31"/>
    <w:rsid w:val="39CD451A"/>
    <w:rsid w:val="39D1032B"/>
    <w:rsid w:val="39D25C56"/>
    <w:rsid w:val="3A236C84"/>
    <w:rsid w:val="3A374606"/>
    <w:rsid w:val="3A3B346A"/>
    <w:rsid w:val="3A86202B"/>
    <w:rsid w:val="3A994024"/>
    <w:rsid w:val="3A9F10C3"/>
    <w:rsid w:val="3AE570F3"/>
    <w:rsid w:val="3AF52BB4"/>
    <w:rsid w:val="3AFB63A9"/>
    <w:rsid w:val="3B392333"/>
    <w:rsid w:val="3B3957AE"/>
    <w:rsid w:val="3B7466E5"/>
    <w:rsid w:val="3B7A446C"/>
    <w:rsid w:val="3B871415"/>
    <w:rsid w:val="3BDD2CBF"/>
    <w:rsid w:val="3BEA76DC"/>
    <w:rsid w:val="3BF036CD"/>
    <w:rsid w:val="3C040834"/>
    <w:rsid w:val="3C041324"/>
    <w:rsid w:val="3C1C08F2"/>
    <w:rsid w:val="3C3519B4"/>
    <w:rsid w:val="3C44036E"/>
    <w:rsid w:val="3CE82714"/>
    <w:rsid w:val="3CFF3DEB"/>
    <w:rsid w:val="3D301D98"/>
    <w:rsid w:val="3D386C9D"/>
    <w:rsid w:val="3D3E07CC"/>
    <w:rsid w:val="3D767DAB"/>
    <w:rsid w:val="3D7FDA75"/>
    <w:rsid w:val="3DAA4C34"/>
    <w:rsid w:val="3DFE00AC"/>
    <w:rsid w:val="3E160964"/>
    <w:rsid w:val="3E203BE4"/>
    <w:rsid w:val="3E20403F"/>
    <w:rsid w:val="3E486906"/>
    <w:rsid w:val="3E675CBA"/>
    <w:rsid w:val="3EAD76FB"/>
    <w:rsid w:val="3EBF7C5B"/>
    <w:rsid w:val="3EC05EAD"/>
    <w:rsid w:val="3ECA5C3E"/>
    <w:rsid w:val="3EEF0540"/>
    <w:rsid w:val="3EFC4A0B"/>
    <w:rsid w:val="3F0C1A6F"/>
    <w:rsid w:val="3F132F86"/>
    <w:rsid w:val="3F1D55B1"/>
    <w:rsid w:val="3F37544B"/>
    <w:rsid w:val="3F5D64C9"/>
    <w:rsid w:val="3F5F06C6"/>
    <w:rsid w:val="3FAF5B44"/>
    <w:rsid w:val="3FB320A5"/>
    <w:rsid w:val="3FB44FF5"/>
    <w:rsid w:val="3FB5361E"/>
    <w:rsid w:val="3FC203C9"/>
    <w:rsid w:val="3FC5710B"/>
    <w:rsid w:val="3FCF51AC"/>
    <w:rsid w:val="3FDB426C"/>
    <w:rsid w:val="3FE05A88"/>
    <w:rsid w:val="3FF7A1E6"/>
    <w:rsid w:val="40220C31"/>
    <w:rsid w:val="40263997"/>
    <w:rsid w:val="40386E4A"/>
    <w:rsid w:val="404C2B2D"/>
    <w:rsid w:val="406D6C25"/>
    <w:rsid w:val="40A67324"/>
    <w:rsid w:val="40D479EE"/>
    <w:rsid w:val="40F224E4"/>
    <w:rsid w:val="40F53820"/>
    <w:rsid w:val="410909E3"/>
    <w:rsid w:val="415428DD"/>
    <w:rsid w:val="415C6874"/>
    <w:rsid w:val="41882BEC"/>
    <w:rsid w:val="418A6D90"/>
    <w:rsid w:val="419B7E97"/>
    <w:rsid w:val="41C77552"/>
    <w:rsid w:val="41E81277"/>
    <w:rsid w:val="41EC6FB9"/>
    <w:rsid w:val="41F06472"/>
    <w:rsid w:val="42037F1B"/>
    <w:rsid w:val="42107A0D"/>
    <w:rsid w:val="421A58D4"/>
    <w:rsid w:val="422759B4"/>
    <w:rsid w:val="42311E19"/>
    <w:rsid w:val="42384402"/>
    <w:rsid w:val="423B0F70"/>
    <w:rsid w:val="4259700D"/>
    <w:rsid w:val="42686225"/>
    <w:rsid w:val="42A072C4"/>
    <w:rsid w:val="42A930FC"/>
    <w:rsid w:val="42D47E2D"/>
    <w:rsid w:val="42D74F89"/>
    <w:rsid w:val="43090197"/>
    <w:rsid w:val="432D3126"/>
    <w:rsid w:val="433C6747"/>
    <w:rsid w:val="436B61B9"/>
    <w:rsid w:val="43791C83"/>
    <w:rsid w:val="43A121E4"/>
    <w:rsid w:val="43DE480E"/>
    <w:rsid w:val="43E91CB4"/>
    <w:rsid w:val="440F0E4F"/>
    <w:rsid w:val="44177C0D"/>
    <w:rsid w:val="442567B2"/>
    <w:rsid w:val="4428290A"/>
    <w:rsid w:val="44285453"/>
    <w:rsid w:val="44316F05"/>
    <w:rsid w:val="443F7874"/>
    <w:rsid w:val="444A2912"/>
    <w:rsid w:val="4451255A"/>
    <w:rsid w:val="4469554B"/>
    <w:rsid w:val="44751290"/>
    <w:rsid w:val="44957494"/>
    <w:rsid w:val="449E701D"/>
    <w:rsid w:val="44B3213C"/>
    <w:rsid w:val="44B55D88"/>
    <w:rsid w:val="44D07D65"/>
    <w:rsid w:val="44DC4F27"/>
    <w:rsid w:val="45032D31"/>
    <w:rsid w:val="4542028B"/>
    <w:rsid w:val="454E66C8"/>
    <w:rsid w:val="455448C0"/>
    <w:rsid w:val="45610118"/>
    <w:rsid w:val="45AF27D7"/>
    <w:rsid w:val="45D33F82"/>
    <w:rsid w:val="45EC4DFF"/>
    <w:rsid w:val="46066BDA"/>
    <w:rsid w:val="46102F1B"/>
    <w:rsid w:val="464F7F0F"/>
    <w:rsid w:val="46606D5A"/>
    <w:rsid w:val="466214CE"/>
    <w:rsid w:val="466A402D"/>
    <w:rsid w:val="46752F28"/>
    <w:rsid w:val="46964005"/>
    <w:rsid w:val="46A16E2A"/>
    <w:rsid w:val="46B3187C"/>
    <w:rsid w:val="46C44060"/>
    <w:rsid w:val="46D71FE6"/>
    <w:rsid w:val="46E27901"/>
    <w:rsid w:val="47134FE8"/>
    <w:rsid w:val="472C0ECD"/>
    <w:rsid w:val="47366A37"/>
    <w:rsid w:val="47633879"/>
    <w:rsid w:val="47781938"/>
    <w:rsid w:val="47A923AE"/>
    <w:rsid w:val="47AF3100"/>
    <w:rsid w:val="47B045E5"/>
    <w:rsid w:val="47DF3826"/>
    <w:rsid w:val="480542FE"/>
    <w:rsid w:val="480A324D"/>
    <w:rsid w:val="480C3F11"/>
    <w:rsid w:val="481904C5"/>
    <w:rsid w:val="483D056E"/>
    <w:rsid w:val="48523348"/>
    <w:rsid w:val="486C5D5B"/>
    <w:rsid w:val="488C6E91"/>
    <w:rsid w:val="48A00B29"/>
    <w:rsid w:val="48B3438D"/>
    <w:rsid w:val="48C07825"/>
    <w:rsid w:val="49125031"/>
    <w:rsid w:val="4929734E"/>
    <w:rsid w:val="49340896"/>
    <w:rsid w:val="496D6C31"/>
    <w:rsid w:val="498F4DFA"/>
    <w:rsid w:val="49D754DD"/>
    <w:rsid w:val="49DA3B9B"/>
    <w:rsid w:val="49F84678"/>
    <w:rsid w:val="4A0A14D2"/>
    <w:rsid w:val="4A201EF6"/>
    <w:rsid w:val="4A342237"/>
    <w:rsid w:val="4A466ABF"/>
    <w:rsid w:val="4A484FA8"/>
    <w:rsid w:val="4A496362"/>
    <w:rsid w:val="4A4C3F02"/>
    <w:rsid w:val="4A54394D"/>
    <w:rsid w:val="4A621DB5"/>
    <w:rsid w:val="4AAD41BC"/>
    <w:rsid w:val="4AC9763E"/>
    <w:rsid w:val="4ADB1B7B"/>
    <w:rsid w:val="4B2547F5"/>
    <w:rsid w:val="4B614A4F"/>
    <w:rsid w:val="4B630B06"/>
    <w:rsid w:val="4B897627"/>
    <w:rsid w:val="4BA05C1A"/>
    <w:rsid w:val="4BAB3A41"/>
    <w:rsid w:val="4BAD1B2E"/>
    <w:rsid w:val="4BAD7FA4"/>
    <w:rsid w:val="4BC22FCA"/>
    <w:rsid w:val="4BD51861"/>
    <w:rsid w:val="4C5C2280"/>
    <w:rsid w:val="4CCA439B"/>
    <w:rsid w:val="4CFE5DF2"/>
    <w:rsid w:val="4D062124"/>
    <w:rsid w:val="4D1C12A2"/>
    <w:rsid w:val="4D351722"/>
    <w:rsid w:val="4D3D3284"/>
    <w:rsid w:val="4D5708D1"/>
    <w:rsid w:val="4D6501A9"/>
    <w:rsid w:val="4DC411B8"/>
    <w:rsid w:val="4DD032EA"/>
    <w:rsid w:val="4DED0341"/>
    <w:rsid w:val="4E21448E"/>
    <w:rsid w:val="4E2D4CA9"/>
    <w:rsid w:val="4E64037B"/>
    <w:rsid w:val="4EAC3D58"/>
    <w:rsid w:val="4ED80FF1"/>
    <w:rsid w:val="4EE2777A"/>
    <w:rsid w:val="4EE52B42"/>
    <w:rsid w:val="4EE542ED"/>
    <w:rsid w:val="4F193B4E"/>
    <w:rsid w:val="4F1941B8"/>
    <w:rsid w:val="4F564114"/>
    <w:rsid w:val="4F680366"/>
    <w:rsid w:val="4F831D37"/>
    <w:rsid w:val="50053792"/>
    <w:rsid w:val="50106568"/>
    <w:rsid w:val="50276786"/>
    <w:rsid w:val="50285660"/>
    <w:rsid w:val="5096595A"/>
    <w:rsid w:val="50C47282"/>
    <w:rsid w:val="50C51101"/>
    <w:rsid w:val="50D1167E"/>
    <w:rsid w:val="51176DB1"/>
    <w:rsid w:val="5140765E"/>
    <w:rsid w:val="514D3667"/>
    <w:rsid w:val="51524BF1"/>
    <w:rsid w:val="51624BA2"/>
    <w:rsid w:val="51A95109"/>
    <w:rsid w:val="51CA7425"/>
    <w:rsid w:val="51D82CD4"/>
    <w:rsid w:val="51DF6C6B"/>
    <w:rsid w:val="51E63A25"/>
    <w:rsid w:val="520351A6"/>
    <w:rsid w:val="520F39C4"/>
    <w:rsid w:val="521E773D"/>
    <w:rsid w:val="523C1BE3"/>
    <w:rsid w:val="524F52D6"/>
    <w:rsid w:val="52C33D66"/>
    <w:rsid w:val="52C55120"/>
    <w:rsid w:val="52D71FC3"/>
    <w:rsid w:val="52E96B8E"/>
    <w:rsid w:val="530F4D71"/>
    <w:rsid w:val="53160BE1"/>
    <w:rsid w:val="53167F3F"/>
    <w:rsid w:val="53236A4A"/>
    <w:rsid w:val="53421FA8"/>
    <w:rsid w:val="5344140E"/>
    <w:rsid w:val="5385401A"/>
    <w:rsid w:val="53D32D64"/>
    <w:rsid w:val="53D87392"/>
    <w:rsid w:val="53D9424C"/>
    <w:rsid w:val="54171207"/>
    <w:rsid w:val="54295E4B"/>
    <w:rsid w:val="54501629"/>
    <w:rsid w:val="54520EFE"/>
    <w:rsid w:val="5469784E"/>
    <w:rsid w:val="547020EE"/>
    <w:rsid w:val="54755E20"/>
    <w:rsid w:val="54E227E7"/>
    <w:rsid w:val="54F32F7F"/>
    <w:rsid w:val="550C02DF"/>
    <w:rsid w:val="55171D5C"/>
    <w:rsid w:val="551E5AF2"/>
    <w:rsid w:val="55237F6A"/>
    <w:rsid w:val="552E6223"/>
    <w:rsid w:val="553A3451"/>
    <w:rsid w:val="554D1730"/>
    <w:rsid w:val="556A5134"/>
    <w:rsid w:val="5583158B"/>
    <w:rsid w:val="558C6691"/>
    <w:rsid w:val="55976B13"/>
    <w:rsid w:val="55CA5A69"/>
    <w:rsid w:val="55D1242A"/>
    <w:rsid w:val="55EB6C18"/>
    <w:rsid w:val="55EC35D4"/>
    <w:rsid w:val="56082ED1"/>
    <w:rsid w:val="56096CFE"/>
    <w:rsid w:val="56144ADC"/>
    <w:rsid w:val="561C5C67"/>
    <w:rsid w:val="56270168"/>
    <w:rsid w:val="56590B9E"/>
    <w:rsid w:val="565A44C9"/>
    <w:rsid w:val="566C2663"/>
    <w:rsid w:val="5679256C"/>
    <w:rsid w:val="56807F55"/>
    <w:rsid w:val="56B23341"/>
    <w:rsid w:val="56BE0ACC"/>
    <w:rsid w:val="56CD5F45"/>
    <w:rsid w:val="56DF7F10"/>
    <w:rsid w:val="57056725"/>
    <w:rsid w:val="570D7EE4"/>
    <w:rsid w:val="570F2EE9"/>
    <w:rsid w:val="571D466C"/>
    <w:rsid w:val="57365F72"/>
    <w:rsid w:val="576C48D1"/>
    <w:rsid w:val="57726A34"/>
    <w:rsid w:val="57787556"/>
    <w:rsid w:val="577D2735"/>
    <w:rsid w:val="57870825"/>
    <w:rsid w:val="57E52089"/>
    <w:rsid w:val="57EF1159"/>
    <w:rsid w:val="57FE314A"/>
    <w:rsid w:val="58013909"/>
    <w:rsid w:val="58092910"/>
    <w:rsid w:val="582F4AFC"/>
    <w:rsid w:val="58406ED3"/>
    <w:rsid w:val="58686A98"/>
    <w:rsid w:val="58701559"/>
    <w:rsid w:val="58C91B01"/>
    <w:rsid w:val="58CE7418"/>
    <w:rsid w:val="58DF76E5"/>
    <w:rsid w:val="58E82747"/>
    <w:rsid w:val="58F44C79"/>
    <w:rsid w:val="590C3B00"/>
    <w:rsid w:val="590C7788"/>
    <w:rsid w:val="593C2F1E"/>
    <w:rsid w:val="59554017"/>
    <w:rsid w:val="59623355"/>
    <w:rsid w:val="596862D6"/>
    <w:rsid w:val="59853DA7"/>
    <w:rsid w:val="59A724BA"/>
    <w:rsid w:val="59B22D4C"/>
    <w:rsid w:val="59C43109"/>
    <w:rsid w:val="59C77C98"/>
    <w:rsid w:val="59EE4772"/>
    <w:rsid w:val="59F8579D"/>
    <w:rsid w:val="5A165F52"/>
    <w:rsid w:val="5A2E4827"/>
    <w:rsid w:val="5A44158F"/>
    <w:rsid w:val="5A552315"/>
    <w:rsid w:val="5AA601F5"/>
    <w:rsid w:val="5AAC05A7"/>
    <w:rsid w:val="5AE96DAB"/>
    <w:rsid w:val="5AF866DE"/>
    <w:rsid w:val="5B5B738F"/>
    <w:rsid w:val="5B794C2A"/>
    <w:rsid w:val="5B96718F"/>
    <w:rsid w:val="5BA553D8"/>
    <w:rsid w:val="5BC026BB"/>
    <w:rsid w:val="5BC1111A"/>
    <w:rsid w:val="5BCD355F"/>
    <w:rsid w:val="5BFA1F91"/>
    <w:rsid w:val="5C0B14B0"/>
    <w:rsid w:val="5C5144CF"/>
    <w:rsid w:val="5C6106A0"/>
    <w:rsid w:val="5CAB53FA"/>
    <w:rsid w:val="5CBD4A27"/>
    <w:rsid w:val="5CC25873"/>
    <w:rsid w:val="5CE2303B"/>
    <w:rsid w:val="5CE6552E"/>
    <w:rsid w:val="5D4756BB"/>
    <w:rsid w:val="5D847EF4"/>
    <w:rsid w:val="5D867E6A"/>
    <w:rsid w:val="5D99194B"/>
    <w:rsid w:val="5D9A50C1"/>
    <w:rsid w:val="5DA04B8E"/>
    <w:rsid w:val="5DB1622D"/>
    <w:rsid w:val="5DC87A75"/>
    <w:rsid w:val="5DCD5EB5"/>
    <w:rsid w:val="5E273046"/>
    <w:rsid w:val="5E4F668D"/>
    <w:rsid w:val="5E5B30A5"/>
    <w:rsid w:val="5E717985"/>
    <w:rsid w:val="5E7E688E"/>
    <w:rsid w:val="5E7F3669"/>
    <w:rsid w:val="5E9C496B"/>
    <w:rsid w:val="5EACB968"/>
    <w:rsid w:val="5ED13B87"/>
    <w:rsid w:val="5EF534F9"/>
    <w:rsid w:val="5F0F532E"/>
    <w:rsid w:val="5F5A4218"/>
    <w:rsid w:val="5F767D18"/>
    <w:rsid w:val="5F7F5CB9"/>
    <w:rsid w:val="5FA5605A"/>
    <w:rsid w:val="5FAD29D7"/>
    <w:rsid w:val="5FC23CC5"/>
    <w:rsid w:val="5FCF78A6"/>
    <w:rsid w:val="5FD27396"/>
    <w:rsid w:val="5FE436F2"/>
    <w:rsid w:val="60057CBB"/>
    <w:rsid w:val="600E37D3"/>
    <w:rsid w:val="6016461F"/>
    <w:rsid w:val="60233E26"/>
    <w:rsid w:val="602C4CF9"/>
    <w:rsid w:val="605F76B6"/>
    <w:rsid w:val="608C0D72"/>
    <w:rsid w:val="609A4E95"/>
    <w:rsid w:val="60A54AAB"/>
    <w:rsid w:val="60E76E71"/>
    <w:rsid w:val="60EC6236"/>
    <w:rsid w:val="61142591"/>
    <w:rsid w:val="61252DAF"/>
    <w:rsid w:val="614308B7"/>
    <w:rsid w:val="617F39BA"/>
    <w:rsid w:val="61AA3023"/>
    <w:rsid w:val="61AD3C17"/>
    <w:rsid w:val="61B73CAC"/>
    <w:rsid w:val="61B76844"/>
    <w:rsid w:val="61C45DDE"/>
    <w:rsid w:val="61F66696"/>
    <w:rsid w:val="620B60B7"/>
    <w:rsid w:val="620E6601"/>
    <w:rsid w:val="62245432"/>
    <w:rsid w:val="62312A9A"/>
    <w:rsid w:val="6281462A"/>
    <w:rsid w:val="62945E4C"/>
    <w:rsid w:val="629F6754"/>
    <w:rsid w:val="62C07D63"/>
    <w:rsid w:val="62FE19F3"/>
    <w:rsid w:val="63242340"/>
    <w:rsid w:val="633E5AF0"/>
    <w:rsid w:val="635A496D"/>
    <w:rsid w:val="635F53E5"/>
    <w:rsid w:val="63817262"/>
    <w:rsid w:val="63995F31"/>
    <w:rsid w:val="63A97937"/>
    <w:rsid w:val="63B17437"/>
    <w:rsid w:val="63D85A09"/>
    <w:rsid w:val="63DF50FF"/>
    <w:rsid w:val="64095351"/>
    <w:rsid w:val="64103BEB"/>
    <w:rsid w:val="644509D1"/>
    <w:rsid w:val="644D6126"/>
    <w:rsid w:val="6457430E"/>
    <w:rsid w:val="6477675E"/>
    <w:rsid w:val="649E4C19"/>
    <w:rsid w:val="64C76E02"/>
    <w:rsid w:val="64CE5B60"/>
    <w:rsid w:val="64DE3499"/>
    <w:rsid w:val="64E45FA4"/>
    <w:rsid w:val="64ED4A5D"/>
    <w:rsid w:val="654857CD"/>
    <w:rsid w:val="65534AD5"/>
    <w:rsid w:val="657452D8"/>
    <w:rsid w:val="658748E7"/>
    <w:rsid w:val="65A70C3C"/>
    <w:rsid w:val="65AA7CF9"/>
    <w:rsid w:val="65B12E03"/>
    <w:rsid w:val="65B31A18"/>
    <w:rsid w:val="65E576C9"/>
    <w:rsid w:val="65FF3790"/>
    <w:rsid w:val="66086E1B"/>
    <w:rsid w:val="665A4684"/>
    <w:rsid w:val="665E1732"/>
    <w:rsid w:val="667064CE"/>
    <w:rsid w:val="66754A7F"/>
    <w:rsid w:val="66814C28"/>
    <w:rsid w:val="66A10D17"/>
    <w:rsid w:val="66A80E51"/>
    <w:rsid w:val="66B37AD5"/>
    <w:rsid w:val="66C67529"/>
    <w:rsid w:val="66E9560E"/>
    <w:rsid w:val="66F45D70"/>
    <w:rsid w:val="673743FF"/>
    <w:rsid w:val="67537293"/>
    <w:rsid w:val="67545D9F"/>
    <w:rsid w:val="675716E2"/>
    <w:rsid w:val="67686581"/>
    <w:rsid w:val="676B07FC"/>
    <w:rsid w:val="676F2DCB"/>
    <w:rsid w:val="67950F68"/>
    <w:rsid w:val="67994DD9"/>
    <w:rsid w:val="67B21283"/>
    <w:rsid w:val="67BE5D14"/>
    <w:rsid w:val="67C020E9"/>
    <w:rsid w:val="67C92A9B"/>
    <w:rsid w:val="67CB2AF6"/>
    <w:rsid w:val="67EF6DBA"/>
    <w:rsid w:val="67F23C6D"/>
    <w:rsid w:val="6813679E"/>
    <w:rsid w:val="681F1C7A"/>
    <w:rsid w:val="685B57E4"/>
    <w:rsid w:val="68784853"/>
    <w:rsid w:val="68910BA7"/>
    <w:rsid w:val="68921DB9"/>
    <w:rsid w:val="68B8107B"/>
    <w:rsid w:val="68B879DB"/>
    <w:rsid w:val="691E53FA"/>
    <w:rsid w:val="693A0E53"/>
    <w:rsid w:val="69BE231D"/>
    <w:rsid w:val="69C40A70"/>
    <w:rsid w:val="69DF2CCF"/>
    <w:rsid w:val="69E9754E"/>
    <w:rsid w:val="6A357BD5"/>
    <w:rsid w:val="6A6C4E94"/>
    <w:rsid w:val="6ACB00DF"/>
    <w:rsid w:val="6AD30E33"/>
    <w:rsid w:val="6AEA55A7"/>
    <w:rsid w:val="6AFD486C"/>
    <w:rsid w:val="6AFE7291"/>
    <w:rsid w:val="6B040620"/>
    <w:rsid w:val="6B253075"/>
    <w:rsid w:val="6B3453A9"/>
    <w:rsid w:val="6B3713F3"/>
    <w:rsid w:val="6B4D2010"/>
    <w:rsid w:val="6B5C26AB"/>
    <w:rsid w:val="6B64215F"/>
    <w:rsid w:val="6B7216AE"/>
    <w:rsid w:val="6B945E48"/>
    <w:rsid w:val="6BA73DCD"/>
    <w:rsid w:val="6BD7966D"/>
    <w:rsid w:val="6BD91256"/>
    <w:rsid w:val="6BDA5F51"/>
    <w:rsid w:val="6BFFA8C0"/>
    <w:rsid w:val="6C1B35E3"/>
    <w:rsid w:val="6C21592D"/>
    <w:rsid w:val="6C57447E"/>
    <w:rsid w:val="6C931E58"/>
    <w:rsid w:val="6C97693C"/>
    <w:rsid w:val="6CBC291E"/>
    <w:rsid w:val="6CC53E5A"/>
    <w:rsid w:val="6CC60283"/>
    <w:rsid w:val="6D1121DA"/>
    <w:rsid w:val="6D140FEE"/>
    <w:rsid w:val="6D5B51DA"/>
    <w:rsid w:val="6D603D34"/>
    <w:rsid w:val="6D6E2B20"/>
    <w:rsid w:val="6D727B70"/>
    <w:rsid w:val="6D7C6B93"/>
    <w:rsid w:val="6D8826EE"/>
    <w:rsid w:val="6D896A57"/>
    <w:rsid w:val="6D8F43D6"/>
    <w:rsid w:val="6DAD31F1"/>
    <w:rsid w:val="6DAD4536"/>
    <w:rsid w:val="6DF73320"/>
    <w:rsid w:val="6E001573"/>
    <w:rsid w:val="6E0B0250"/>
    <w:rsid w:val="6E100EAB"/>
    <w:rsid w:val="6E172C32"/>
    <w:rsid w:val="6E1B264D"/>
    <w:rsid w:val="6E314FE0"/>
    <w:rsid w:val="6E6913B9"/>
    <w:rsid w:val="6E6C313E"/>
    <w:rsid w:val="6E753D0F"/>
    <w:rsid w:val="6E880D45"/>
    <w:rsid w:val="6EB21FF6"/>
    <w:rsid w:val="6EDB1EAC"/>
    <w:rsid w:val="6EF020DD"/>
    <w:rsid w:val="6F015CB7"/>
    <w:rsid w:val="6F17556A"/>
    <w:rsid w:val="6F1D19B3"/>
    <w:rsid w:val="6F2B7F4F"/>
    <w:rsid w:val="6F5558EE"/>
    <w:rsid w:val="6F710989"/>
    <w:rsid w:val="6F977CB5"/>
    <w:rsid w:val="6FB8233D"/>
    <w:rsid w:val="6FEA5CD0"/>
    <w:rsid w:val="6FFD25B3"/>
    <w:rsid w:val="6FFD4DB1"/>
    <w:rsid w:val="701E5E0F"/>
    <w:rsid w:val="701F58F4"/>
    <w:rsid w:val="70414797"/>
    <w:rsid w:val="70473489"/>
    <w:rsid w:val="70721C77"/>
    <w:rsid w:val="707270B8"/>
    <w:rsid w:val="707A362B"/>
    <w:rsid w:val="7086127D"/>
    <w:rsid w:val="708D5457"/>
    <w:rsid w:val="70CD6084"/>
    <w:rsid w:val="70E01D12"/>
    <w:rsid w:val="70E60EF4"/>
    <w:rsid w:val="70E83B9C"/>
    <w:rsid w:val="70EF1161"/>
    <w:rsid w:val="710F77C0"/>
    <w:rsid w:val="71175823"/>
    <w:rsid w:val="712A5353"/>
    <w:rsid w:val="71347E93"/>
    <w:rsid w:val="714F5A97"/>
    <w:rsid w:val="715E7D95"/>
    <w:rsid w:val="71663DE2"/>
    <w:rsid w:val="71774C26"/>
    <w:rsid w:val="71826F70"/>
    <w:rsid w:val="71AD37BF"/>
    <w:rsid w:val="72052CDD"/>
    <w:rsid w:val="721C212D"/>
    <w:rsid w:val="72241D01"/>
    <w:rsid w:val="72842E5E"/>
    <w:rsid w:val="72A20473"/>
    <w:rsid w:val="72B64306"/>
    <w:rsid w:val="72CE044A"/>
    <w:rsid w:val="72DB0C33"/>
    <w:rsid w:val="72FA2A34"/>
    <w:rsid w:val="73065CEA"/>
    <w:rsid w:val="73091120"/>
    <w:rsid w:val="731B7466"/>
    <w:rsid w:val="731F693F"/>
    <w:rsid w:val="73532145"/>
    <w:rsid w:val="735707A4"/>
    <w:rsid w:val="736D76AA"/>
    <w:rsid w:val="73B73D4C"/>
    <w:rsid w:val="73BA1ED9"/>
    <w:rsid w:val="73D46149"/>
    <w:rsid w:val="73D8739B"/>
    <w:rsid w:val="74000C7D"/>
    <w:rsid w:val="740A7E52"/>
    <w:rsid w:val="741379EF"/>
    <w:rsid w:val="741D60E7"/>
    <w:rsid w:val="74212243"/>
    <w:rsid w:val="74576634"/>
    <w:rsid w:val="746A1CD3"/>
    <w:rsid w:val="74741385"/>
    <w:rsid w:val="748E4791"/>
    <w:rsid w:val="749E3893"/>
    <w:rsid w:val="749F7FA3"/>
    <w:rsid w:val="74A536E0"/>
    <w:rsid w:val="74AA0465"/>
    <w:rsid w:val="74AD4A43"/>
    <w:rsid w:val="74F87447"/>
    <w:rsid w:val="75016A59"/>
    <w:rsid w:val="75447961"/>
    <w:rsid w:val="761E3F52"/>
    <w:rsid w:val="7657350F"/>
    <w:rsid w:val="7669126E"/>
    <w:rsid w:val="76793892"/>
    <w:rsid w:val="768321D3"/>
    <w:rsid w:val="76B548DE"/>
    <w:rsid w:val="76BC7B8C"/>
    <w:rsid w:val="76CE76BE"/>
    <w:rsid w:val="76F668E8"/>
    <w:rsid w:val="77534E09"/>
    <w:rsid w:val="777211CE"/>
    <w:rsid w:val="778D115F"/>
    <w:rsid w:val="779D1A5F"/>
    <w:rsid w:val="779F471C"/>
    <w:rsid w:val="77A62F27"/>
    <w:rsid w:val="77B44EE0"/>
    <w:rsid w:val="77DC6BAC"/>
    <w:rsid w:val="781140FE"/>
    <w:rsid w:val="781B6E93"/>
    <w:rsid w:val="78713799"/>
    <w:rsid w:val="78850FF2"/>
    <w:rsid w:val="789E5DDE"/>
    <w:rsid w:val="78AB5695"/>
    <w:rsid w:val="78DA706B"/>
    <w:rsid w:val="78DB6E64"/>
    <w:rsid w:val="7921166B"/>
    <w:rsid w:val="7935592A"/>
    <w:rsid w:val="79541DE4"/>
    <w:rsid w:val="795A7FE6"/>
    <w:rsid w:val="795D1F6F"/>
    <w:rsid w:val="79936748"/>
    <w:rsid w:val="79F6225F"/>
    <w:rsid w:val="7A161E3D"/>
    <w:rsid w:val="7A243BBC"/>
    <w:rsid w:val="7A3472DD"/>
    <w:rsid w:val="7A5522A6"/>
    <w:rsid w:val="7A5C7F62"/>
    <w:rsid w:val="7A63380E"/>
    <w:rsid w:val="7A6510DB"/>
    <w:rsid w:val="7A6B656D"/>
    <w:rsid w:val="7A7E3F4B"/>
    <w:rsid w:val="7A92282C"/>
    <w:rsid w:val="7AAA0F21"/>
    <w:rsid w:val="7AC308C3"/>
    <w:rsid w:val="7ADB139D"/>
    <w:rsid w:val="7AE83ABA"/>
    <w:rsid w:val="7AF965F6"/>
    <w:rsid w:val="7B041922"/>
    <w:rsid w:val="7B2965AD"/>
    <w:rsid w:val="7B3453D5"/>
    <w:rsid w:val="7B3957EC"/>
    <w:rsid w:val="7B5D0EC0"/>
    <w:rsid w:val="7B7449B2"/>
    <w:rsid w:val="7B7E4F59"/>
    <w:rsid w:val="7BA30C5B"/>
    <w:rsid w:val="7BAF6D25"/>
    <w:rsid w:val="7BB255E7"/>
    <w:rsid w:val="7BC40083"/>
    <w:rsid w:val="7BF5F1C6"/>
    <w:rsid w:val="7BFF0419"/>
    <w:rsid w:val="7C122B9D"/>
    <w:rsid w:val="7C4C4CBE"/>
    <w:rsid w:val="7C6505C5"/>
    <w:rsid w:val="7C773348"/>
    <w:rsid w:val="7CA9143D"/>
    <w:rsid w:val="7CC25607"/>
    <w:rsid w:val="7CFF9187"/>
    <w:rsid w:val="7D0E13CF"/>
    <w:rsid w:val="7D33114F"/>
    <w:rsid w:val="7D3B041C"/>
    <w:rsid w:val="7D3B4375"/>
    <w:rsid w:val="7D48357A"/>
    <w:rsid w:val="7D8D0318"/>
    <w:rsid w:val="7DA559E5"/>
    <w:rsid w:val="7DB53307"/>
    <w:rsid w:val="7DC750EA"/>
    <w:rsid w:val="7DFF33AE"/>
    <w:rsid w:val="7E1C4247"/>
    <w:rsid w:val="7E653AE9"/>
    <w:rsid w:val="7E8B08D9"/>
    <w:rsid w:val="7E8C5B9B"/>
    <w:rsid w:val="7E9755DB"/>
    <w:rsid w:val="7EB10D93"/>
    <w:rsid w:val="7EB56006"/>
    <w:rsid w:val="7EB73ECF"/>
    <w:rsid w:val="7EB73F4C"/>
    <w:rsid w:val="7EBA60B3"/>
    <w:rsid w:val="7EE0116B"/>
    <w:rsid w:val="7EE10DD5"/>
    <w:rsid w:val="7F0B18C3"/>
    <w:rsid w:val="7F147214"/>
    <w:rsid w:val="7F1629A4"/>
    <w:rsid w:val="7F242BC9"/>
    <w:rsid w:val="7F415A6F"/>
    <w:rsid w:val="7F4229AA"/>
    <w:rsid w:val="7F779ABE"/>
    <w:rsid w:val="7F7B0D32"/>
    <w:rsid w:val="7F7C6566"/>
    <w:rsid w:val="7F846984"/>
    <w:rsid w:val="7F8D69DE"/>
    <w:rsid w:val="7FEE2420"/>
    <w:rsid w:val="A5F39060"/>
    <w:rsid w:val="BC7A4892"/>
    <w:rsid w:val="BEFFC5F2"/>
    <w:rsid w:val="BFEF567F"/>
    <w:rsid w:val="D7EEC325"/>
    <w:rsid w:val="EDFB9A7E"/>
    <w:rsid w:val="F5970B53"/>
    <w:rsid w:val="FA3FA65C"/>
    <w:rsid w:val="FA75FD02"/>
    <w:rsid w:val="FDAEA3C8"/>
    <w:rsid w:val="FE9D5B5F"/>
    <w:rsid w:val="FF3916FF"/>
    <w:rsid w:val="FFEEDB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380" w:lineRule="exact"/>
      <w:jc w:val="center"/>
      <w:outlineLvl w:val="0"/>
    </w:pPr>
    <w:rPr>
      <w:rFonts w:ascii="宋体"/>
      <w:b/>
      <w:kern w:val="44"/>
      <w:sz w:val="44"/>
      <w:szCs w:val="44"/>
    </w:rPr>
  </w:style>
  <w:style w:type="paragraph" w:styleId="4">
    <w:name w:val="heading 2"/>
    <w:basedOn w:val="1"/>
    <w:next w:val="1"/>
    <w:qFormat/>
    <w:uiPriority w:val="0"/>
    <w:pPr>
      <w:keepNext/>
      <w:keepLines/>
      <w:tabs>
        <w:tab w:val="left" w:pos="578"/>
      </w:tabs>
      <w:spacing w:before="50" w:beforeLines="50" w:after="50" w:afterLines="50" w:line="360" w:lineRule="auto"/>
      <w:ind w:left="578" w:hanging="578"/>
      <w:outlineLvl w:val="1"/>
    </w:pPr>
    <w:rPr>
      <w:rFonts w:ascii="Cambria" w:hAnsi="Cambria"/>
      <w:szCs w:val="21"/>
    </w:rPr>
  </w:style>
  <w:style w:type="paragraph" w:styleId="5">
    <w:name w:val="heading 3"/>
    <w:basedOn w:val="1"/>
    <w:next w:val="1"/>
    <w:qFormat/>
    <w:uiPriority w:val="0"/>
    <w:pPr>
      <w:keepNext/>
      <w:keepLines/>
      <w:tabs>
        <w:tab w:val="left" w:pos="1620"/>
      </w:tabs>
      <w:spacing w:before="50" w:beforeLines="50" w:after="50" w:afterLines="50" w:line="360" w:lineRule="auto"/>
      <w:ind w:left="1620" w:hanging="720"/>
      <w:outlineLvl w:val="2"/>
    </w:pPr>
    <w:rPr>
      <w:rFonts w:ascii="宋体"/>
      <w:b/>
      <w:sz w:val="32"/>
      <w:szCs w:val="32"/>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qFormat/>
    <w:uiPriority w:val="0"/>
    <w:pPr>
      <w:keepNext/>
      <w:keepLines/>
      <w:spacing w:before="240" w:after="64" w:line="319" w:lineRule="auto"/>
      <w:outlineLvl w:val="5"/>
    </w:pPr>
    <w:rPr>
      <w:rFonts w:ascii="Cambria" w:hAnsi="Cambria"/>
      <w:b/>
      <w:sz w:val="24"/>
    </w:rPr>
  </w:style>
  <w:style w:type="paragraph" w:styleId="9">
    <w:name w:val="heading 7"/>
    <w:basedOn w:val="1"/>
    <w:next w:val="1"/>
    <w:qFormat/>
    <w:uiPriority w:val="0"/>
    <w:pPr>
      <w:keepNext/>
      <w:keepLines/>
      <w:tabs>
        <w:tab w:val="left" w:pos="1296"/>
      </w:tabs>
      <w:spacing w:before="240" w:after="64" w:line="316" w:lineRule="auto"/>
      <w:ind w:left="2940" w:hanging="420"/>
      <w:outlineLvl w:val="6"/>
    </w:pPr>
    <w:rPr>
      <w:b/>
      <w:sz w:val="24"/>
    </w:rPr>
  </w:style>
  <w:style w:type="paragraph" w:styleId="10">
    <w:name w:val="heading 8"/>
    <w:basedOn w:val="1"/>
    <w:next w:val="1"/>
    <w:qFormat/>
    <w:uiPriority w:val="0"/>
    <w:pPr>
      <w:keepNext/>
      <w:keepLines/>
      <w:tabs>
        <w:tab w:val="left" w:pos="1440"/>
      </w:tabs>
      <w:spacing w:before="240" w:after="64" w:line="316" w:lineRule="auto"/>
      <w:ind w:left="3360" w:hanging="42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6" w:lineRule="auto"/>
      <w:ind w:left="3780" w:hanging="420"/>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宋体"/>
      <w:spacing w:val="14"/>
      <w:kern w:val="24"/>
      <w:sz w:val="24"/>
      <w:szCs w:val="24"/>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pPr>
      <w:spacing w:before="152" w:after="160"/>
    </w:pPr>
    <w:rPr>
      <w:rFonts w:ascii="Arial" w:hAnsi="Arial" w:eastAsia="黑体" w:cs="Arial"/>
      <w:sz w:val="20"/>
    </w:rPr>
  </w:style>
  <w:style w:type="paragraph" w:styleId="14">
    <w:name w:val="Document Map"/>
    <w:basedOn w:val="1"/>
    <w:qFormat/>
    <w:uiPriority w:val="0"/>
    <w:pPr>
      <w:shd w:val="clear" w:color="auto" w:fill="000080"/>
    </w:pPr>
  </w:style>
  <w:style w:type="paragraph" w:styleId="15">
    <w:name w:val="toa heading"/>
    <w:basedOn w:val="1"/>
    <w:next w:val="1"/>
    <w:qFormat/>
    <w:uiPriority w:val="0"/>
    <w:pPr>
      <w:spacing w:before="120"/>
    </w:pPr>
    <w:rPr>
      <w:rFonts w:ascii="Arial" w:hAnsi="Arial"/>
      <w:b/>
      <w:bCs/>
      <w:szCs w:val="24"/>
    </w:rPr>
  </w:style>
  <w:style w:type="paragraph" w:styleId="16">
    <w:name w:val="annotation text"/>
    <w:basedOn w:val="1"/>
    <w:qFormat/>
    <w:uiPriority w:val="0"/>
    <w:pPr>
      <w:jc w:val="left"/>
    </w:pPr>
    <w:rPr>
      <w:rFonts w:ascii="宋体"/>
      <w:szCs w:val="21"/>
    </w:rPr>
  </w:style>
  <w:style w:type="paragraph" w:styleId="17">
    <w:name w:val="Body Text 3"/>
    <w:basedOn w:val="1"/>
    <w:qFormat/>
    <w:uiPriority w:val="0"/>
    <w:pPr>
      <w:spacing w:after="120" w:line="360" w:lineRule="auto"/>
    </w:pPr>
    <w:rPr>
      <w:kern w:val="0"/>
      <w:sz w:val="16"/>
    </w:rPr>
  </w:style>
  <w:style w:type="paragraph" w:styleId="18">
    <w:name w:val="Body Text"/>
    <w:basedOn w:val="1"/>
    <w:qFormat/>
    <w:uiPriority w:val="0"/>
    <w:rPr>
      <w:rFonts w:ascii="宋体"/>
      <w:kern w:val="0"/>
      <w:sz w:val="20"/>
    </w:rPr>
  </w:style>
  <w:style w:type="paragraph" w:styleId="19">
    <w:name w:val="Body Text Indent"/>
    <w:basedOn w:val="1"/>
    <w:link w:val="65"/>
    <w:qFormat/>
    <w:uiPriority w:val="0"/>
    <w:pPr>
      <w:spacing w:line="380" w:lineRule="exact"/>
      <w:ind w:firstLine="480"/>
    </w:pPr>
    <w:rPr>
      <w:rFonts w:eastAsia="方正书宋简体"/>
      <w:sz w:val="24"/>
    </w:rPr>
  </w:style>
  <w:style w:type="paragraph" w:styleId="20">
    <w:name w:val="List Number 3"/>
    <w:basedOn w:val="1"/>
    <w:qFormat/>
    <w:uiPriority w:val="0"/>
    <w:pPr>
      <w:widowControl/>
      <w:tabs>
        <w:tab w:val="left" w:pos="482"/>
      </w:tabs>
      <w:spacing w:after="50" w:afterLines="50"/>
      <w:ind w:left="482" w:hanging="340"/>
      <w:jc w:val="left"/>
    </w:pPr>
    <w:rPr>
      <w:kern w:val="0"/>
      <w:sz w:val="24"/>
    </w:rPr>
  </w:style>
  <w:style w:type="paragraph" w:styleId="21">
    <w:name w:val="List 2"/>
    <w:basedOn w:val="1"/>
    <w:qFormat/>
    <w:uiPriority w:val="0"/>
    <w:pPr>
      <w:ind w:left="400" w:leftChars="200" w:hanging="200" w:hangingChars="200"/>
    </w:pPr>
    <w:rPr>
      <w:sz w:val="28"/>
      <w:szCs w:val="24"/>
    </w:rPr>
  </w:style>
  <w:style w:type="paragraph" w:styleId="22">
    <w:name w:val="Block Text"/>
    <w:basedOn w:val="1"/>
    <w:qFormat/>
    <w:uiPriority w:val="0"/>
    <w:pPr>
      <w:spacing w:after="120"/>
      <w:ind w:left="700" w:leftChars="700" w:right="700" w:rightChars="700"/>
    </w:pPr>
  </w:style>
  <w:style w:type="paragraph" w:styleId="23">
    <w:name w:val="index 4"/>
    <w:basedOn w:val="1"/>
    <w:next w:val="1"/>
    <w:unhideWhenUsed/>
    <w:qFormat/>
    <w:uiPriority w:val="99"/>
    <w:pPr>
      <w:ind w:left="600" w:leftChars="600"/>
    </w:pPr>
    <w:rPr>
      <w:sz w:val="32"/>
      <w:szCs w:val="24"/>
    </w:r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0"/>
    <w:pPr>
      <w:ind w:left="420"/>
      <w:jc w:val="left"/>
    </w:pPr>
    <w:rPr>
      <w:i/>
      <w:iCs/>
      <w:sz w:val="20"/>
    </w:rPr>
  </w:style>
  <w:style w:type="paragraph" w:styleId="26">
    <w:name w:val="Plain Text"/>
    <w:basedOn w:val="1"/>
    <w:next w:val="18"/>
    <w:qFormat/>
    <w:uiPriority w:val="0"/>
    <w:pPr>
      <w:widowControl/>
      <w:spacing w:before="100" w:beforeAutospacing="1" w:after="100" w:afterAutospacing="1"/>
      <w:jc w:val="left"/>
    </w:pPr>
    <w:rPr>
      <w:rFonts w:ascii="宋体"/>
      <w:kern w:val="0"/>
      <w:sz w:val="20"/>
    </w:rPr>
  </w:style>
  <w:style w:type="paragraph" w:styleId="27">
    <w:name w:val="toc 8"/>
    <w:basedOn w:val="1"/>
    <w:next w:val="1"/>
    <w:qFormat/>
    <w:uiPriority w:val="0"/>
    <w:pPr>
      <w:ind w:left="1470"/>
      <w:jc w:val="left"/>
    </w:pPr>
    <w:rPr>
      <w:sz w:val="18"/>
      <w:szCs w:val="18"/>
    </w:rPr>
  </w:style>
  <w:style w:type="paragraph" w:styleId="28">
    <w:name w:val="Date"/>
    <w:basedOn w:val="1"/>
    <w:next w:val="1"/>
    <w:qFormat/>
    <w:uiPriority w:val="0"/>
    <w:pPr>
      <w:adjustRightInd w:val="0"/>
      <w:spacing w:line="312" w:lineRule="atLeast"/>
      <w:jc w:val="right"/>
      <w:textAlignment w:val="baseline"/>
    </w:pPr>
    <w:rPr>
      <w:rFonts w:ascii="宋体"/>
      <w:kern w:val="0"/>
      <w:sz w:val="24"/>
    </w:rPr>
  </w:style>
  <w:style w:type="paragraph" w:styleId="29">
    <w:name w:val="Body Text Indent 2"/>
    <w:basedOn w:val="1"/>
    <w:qFormat/>
    <w:uiPriority w:val="0"/>
    <w:pPr>
      <w:spacing w:line="380" w:lineRule="exact"/>
      <w:ind w:left="840" w:hanging="45"/>
    </w:pPr>
    <w:rPr>
      <w:rFonts w:ascii="宋体"/>
      <w:sz w:val="24"/>
    </w:rPr>
  </w:style>
  <w:style w:type="paragraph" w:styleId="30">
    <w:name w:val="Balloon Text"/>
    <w:basedOn w:val="1"/>
    <w:qFormat/>
    <w:uiPriority w:val="0"/>
    <w:rPr>
      <w:rFonts w:ascii="宋体"/>
      <w:sz w:val="18"/>
      <w:szCs w:val="18"/>
    </w:rPr>
  </w:style>
  <w:style w:type="paragraph" w:styleId="31">
    <w:name w:val="footer"/>
    <w:basedOn w:val="1"/>
    <w:qFormat/>
    <w:uiPriority w:val="0"/>
    <w:pPr>
      <w:tabs>
        <w:tab w:val="center" w:pos="4153"/>
        <w:tab w:val="right" w:pos="8306"/>
      </w:tabs>
      <w:snapToGrid w:val="0"/>
      <w:jc w:val="left"/>
    </w:pPr>
    <w:rPr>
      <w:rFonts w:ascii="宋体"/>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snapToGrid w:val="0"/>
      <w:jc w:val="center"/>
    </w:pPr>
    <w:rPr>
      <w:rFonts w:ascii="宋体"/>
      <w:sz w:val="18"/>
      <w:szCs w:val="18"/>
    </w:rPr>
  </w:style>
  <w:style w:type="paragraph" w:styleId="34">
    <w:name w:val="toc 1"/>
    <w:basedOn w:val="1"/>
    <w:next w:val="1"/>
    <w:qFormat/>
    <w:uiPriority w:val="39"/>
    <w:pPr>
      <w:tabs>
        <w:tab w:val="right" w:leader="dot" w:pos="8721"/>
      </w:tabs>
      <w:spacing w:line="480" w:lineRule="auto"/>
    </w:pPr>
    <w:rPr>
      <w:rFonts w:ascii="宋体"/>
      <w:color w:val="000000"/>
      <w:sz w:val="32"/>
      <w:szCs w:val="32"/>
    </w:rPr>
  </w:style>
  <w:style w:type="paragraph" w:styleId="35">
    <w:name w:val="toc 4"/>
    <w:basedOn w:val="1"/>
    <w:next w:val="1"/>
    <w:qFormat/>
    <w:uiPriority w:val="0"/>
    <w:pPr>
      <w:ind w:left="630"/>
      <w:jc w:val="left"/>
    </w:pPr>
    <w:rPr>
      <w:sz w:val="18"/>
      <w:szCs w:val="18"/>
    </w:rPr>
  </w:style>
  <w:style w:type="paragraph" w:styleId="36">
    <w:name w:val="List Number 5"/>
    <w:basedOn w:val="1"/>
    <w:qFormat/>
    <w:uiPriority w:val="0"/>
    <w:pPr>
      <w:tabs>
        <w:tab w:val="left" w:pos="2608"/>
      </w:tabs>
      <w:spacing w:line="360" w:lineRule="auto"/>
      <w:ind w:left="840" w:hanging="360"/>
    </w:pPr>
    <w:rPr>
      <w:sz w:val="24"/>
      <w:szCs w:val="24"/>
    </w:rPr>
  </w:style>
  <w:style w:type="paragraph" w:styleId="37">
    <w:name w:val="List"/>
    <w:basedOn w:val="1"/>
    <w:qFormat/>
    <w:uiPriority w:val="0"/>
    <w:pPr>
      <w:ind w:left="200" w:hanging="200" w:hangingChars="200"/>
    </w:pPr>
    <w:rPr>
      <w:szCs w:val="22"/>
    </w:rPr>
  </w:style>
  <w:style w:type="paragraph" w:styleId="38">
    <w:name w:val="footnote text"/>
    <w:basedOn w:val="1"/>
    <w:qFormat/>
    <w:uiPriority w:val="99"/>
    <w:pPr>
      <w:snapToGrid w:val="0"/>
      <w:jc w:val="left"/>
    </w:pPr>
    <w:rPr>
      <w:rFonts w:ascii="Calibri" w:hAnsi="Calibri"/>
      <w:sz w:val="18"/>
      <w:szCs w:val="18"/>
    </w:rPr>
  </w:style>
  <w:style w:type="paragraph" w:styleId="39">
    <w:name w:val="toc 6"/>
    <w:basedOn w:val="1"/>
    <w:next w:val="1"/>
    <w:qFormat/>
    <w:uiPriority w:val="0"/>
    <w:pPr>
      <w:ind w:left="1050"/>
      <w:jc w:val="left"/>
    </w:pPr>
    <w:rPr>
      <w:sz w:val="18"/>
      <w:szCs w:val="18"/>
    </w:rPr>
  </w:style>
  <w:style w:type="paragraph" w:styleId="40">
    <w:name w:val="Body Text Indent 3"/>
    <w:basedOn w:val="1"/>
    <w:qFormat/>
    <w:uiPriority w:val="0"/>
    <w:pPr>
      <w:spacing w:line="380" w:lineRule="exact"/>
      <w:ind w:left="525"/>
    </w:pPr>
    <w:rPr>
      <w:rFonts w:ascii="宋体"/>
      <w:b/>
      <w:sz w:val="24"/>
      <w:szCs w:val="24"/>
    </w:rPr>
  </w:style>
  <w:style w:type="paragraph" w:styleId="41">
    <w:name w:val="table of figures"/>
    <w:basedOn w:val="1"/>
    <w:next w:val="1"/>
    <w:qFormat/>
    <w:uiPriority w:val="0"/>
    <w:pPr>
      <w:ind w:left="420" w:hanging="420"/>
      <w:jc w:val="left"/>
    </w:pPr>
    <w:rPr>
      <w:smallCaps/>
      <w:sz w:val="20"/>
    </w:rPr>
  </w:style>
  <w:style w:type="paragraph" w:styleId="42">
    <w:name w:val="toc 2"/>
    <w:basedOn w:val="1"/>
    <w:next w:val="1"/>
    <w:qFormat/>
    <w:uiPriority w:val="0"/>
    <w:pPr>
      <w:ind w:left="210"/>
      <w:jc w:val="left"/>
    </w:pPr>
    <w:rPr>
      <w:smallCaps/>
      <w:sz w:val="20"/>
    </w:rPr>
  </w:style>
  <w:style w:type="paragraph" w:styleId="43">
    <w:name w:val="toc 9"/>
    <w:basedOn w:val="1"/>
    <w:next w:val="1"/>
    <w:qFormat/>
    <w:uiPriority w:val="0"/>
    <w:pPr>
      <w:ind w:left="1680"/>
      <w:jc w:val="left"/>
    </w:pPr>
    <w:rPr>
      <w:sz w:val="18"/>
      <w:szCs w:val="18"/>
    </w:rPr>
  </w:style>
  <w:style w:type="paragraph" w:styleId="44">
    <w:name w:val="Body Text 2"/>
    <w:basedOn w:val="1"/>
    <w:qFormat/>
    <w:uiPriority w:val="0"/>
    <w:pPr>
      <w:spacing w:after="120" w:line="480" w:lineRule="auto"/>
    </w:pPr>
    <w:rPr>
      <w:kern w:val="0"/>
      <w:sz w:val="24"/>
    </w:rPr>
  </w:style>
  <w:style w:type="paragraph" w:styleId="45">
    <w:name w:val="HTML Preformatted"/>
    <w:basedOn w:val="1"/>
    <w:qFormat/>
    <w:uiPriority w:val="0"/>
    <w:rPr>
      <w:rFonts w:ascii="Courier New" w:hAnsi="Courier New"/>
      <w:sz w:val="20"/>
    </w:rPr>
  </w:style>
  <w:style w:type="paragraph" w:styleId="46">
    <w:name w:val="Normal (Web)"/>
    <w:basedOn w:val="1"/>
    <w:qFormat/>
    <w:uiPriority w:val="0"/>
    <w:pPr>
      <w:widowControl/>
      <w:spacing w:before="100" w:beforeAutospacing="1" w:after="100" w:afterAutospacing="1" w:line="300" w:lineRule="atLeast"/>
      <w:jc w:val="left"/>
    </w:pPr>
    <w:rPr>
      <w:rFonts w:ascii="宋体" w:cs="宋体"/>
      <w:kern w:val="0"/>
      <w:sz w:val="24"/>
      <w:szCs w:val="24"/>
    </w:rPr>
  </w:style>
  <w:style w:type="paragraph" w:styleId="47">
    <w:name w:val="index 1"/>
    <w:basedOn w:val="1"/>
    <w:next w:val="1"/>
    <w:qFormat/>
    <w:uiPriority w:val="0"/>
  </w:style>
  <w:style w:type="paragraph" w:styleId="48">
    <w:name w:val="Title"/>
    <w:basedOn w:val="1"/>
    <w:next w:val="1"/>
    <w:qFormat/>
    <w:uiPriority w:val="0"/>
    <w:pPr>
      <w:spacing w:before="240" w:after="60"/>
      <w:jc w:val="center"/>
      <w:outlineLvl w:val="0"/>
    </w:pPr>
    <w:rPr>
      <w:rFonts w:ascii="Cambria" w:hAnsi="Cambria"/>
      <w:b/>
      <w:bCs/>
      <w:kern w:val="0"/>
      <w:sz w:val="32"/>
      <w:szCs w:val="32"/>
    </w:rPr>
  </w:style>
  <w:style w:type="paragraph" w:styleId="49">
    <w:name w:val="annotation subject"/>
    <w:basedOn w:val="16"/>
    <w:next w:val="16"/>
    <w:qFormat/>
    <w:uiPriority w:val="0"/>
    <w:rPr>
      <w:b/>
    </w:rPr>
  </w:style>
  <w:style w:type="paragraph" w:styleId="50">
    <w:name w:val="Body Text First Indent"/>
    <w:basedOn w:val="18"/>
    <w:next w:val="1"/>
    <w:qFormat/>
    <w:uiPriority w:val="0"/>
    <w:pPr>
      <w:spacing w:after="120"/>
      <w:ind w:firstLine="100" w:firstLineChars="100"/>
    </w:pPr>
    <w:rPr>
      <w:i/>
      <w:kern w:val="2"/>
      <w:sz w:val="24"/>
    </w:rPr>
  </w:style>
  <w:style w:type="paragraph" w:styleId="51">
    <w:name w:val="Body Text First Indent 2"/>
    <w:basedOn w:val="19"/>
    <w:qFormat/>
    <w:uiPriority w:val="0"/>
    <w:pPr>
      <w:spacing w:line="360" w:lineRule="auto"/>
      <w:ind w:firstLine="0"/>
    </w:pPr>
    <w:rPr>
      <w:rFonts w:eastAsia="宋体"/>
      <w:kern w:val="0"/>
      <w:sz w:val="20"/>
      <w:lang w:val="zh-CN"/>
    </w:rPr>
  </w:style>
  <w:style w:type="table" w:styleId="53">
    <w:name w:val="Table Grid"/>
    <w:basedOn w:val="5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rPr>
  </w:style>
  <w:style w:type="character" w:styleId="56">
    <w:name w:val="page number"/>
    <w:basedOn w:val="54"/>
    <w:qFormat/>
    <w:uiPriority w:val="0"/>
    <w:rPr>
      <w:rFonts w:cs="Times New Roman"/>
      <w:lang w:bidi="ar-SA"/>
    </w:rPr>
  </w:style>
  <w:style w:type="character" w:styleId="57">
    <w:name w:val="FollowedHyperlink"/>
    <w:qFormat/>
    <w:uiPriority w:val="0"/>
    <w:rPr>
      <w:color w:val="800080"/>
      <w:u w:val="single"/>
    </w:rPr>
  </w:style>
  <w:style w:type="character" w:styleId="58">
    <w:name w:val="Emphasis"/>
    <w:qFormat/>
    <w:uiPriority w:val="0"/>
    <w:rPr>
      <w:i/>
    </w:rPr>
  </w:style>
  <w:style w:type="character" w:styleId="59">
    <w:name w:val="HTML Typewriter"/>
    <w:qFormat/>
    <w:uiPriority w:val="0"/>
    <w:rPr>
      <w:rFonts w:ascii="Courier New" w:hAnsi="Courier New"/>
      <w:sz w:val="20"/>
    </w:rPr>
  </w:style>
  <w:style w:type="character" w:styleId="60">
    <w:name w:val="Hyperlink"/>
    <w:basedOn w:val="54"/>
    <w:qFormat/>
    <w:uiPriority w:val="99"/>
    <w:rPr>
      <w:color w:val="0000FF"/>
      <w:u w:val="single"/>
    </w:rPr>
  </w:style>
  <w:style w:type="character" w:styleId="61">
    <w:name w:val="annotation reference"/>
    <w:qFormat/>
    <w:uiPriority w:val="0"/>
    <w:rPr>
      <w:sz w:val="21"/>
    </w:rPr>
  </w:style>
  <w:style w:type="character" w:styleId="62">
    <w:name w:val="HTML Cite"/>
    <w:qFormat/>
    <w:uiPriority w:val="0"/>
    <w:rPr>
      <w:rFonts w:ascii="仿宋_GB2312" w:eastAsia="仿宋_GB2312"/>
      <w:b/>
      <w:color w:val="008000"/>
      <w:sz w:val="32"/>
      <w:szCs w:val="32"/>
    </w:rPr>
  </w:style>
  <w:style w:type="paragraph" w:customStyle="1" w:styleId="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
    <w:name w:val="标题 2 Char"/>
    <w:qFormat/>
    <w:uiPriority w:val="0"/>
    <w:rPr>
      <w:rFonts w:ascii="Arial" w:hAnsi="Arial" w:eastAsia="黑体"/>
      <w:b/>
      <w:kern w:val="2"/>
      <w:sz w:val="32"/>
      <w:lang w:val="en-US" w:eastAsia="zh-CN"/>
    </w:rPr>
  </w:style>
  <w:style w:type="character" w:customStyle="1" w:styleId="65">
    <w:name w:val="正文文本缩进 Char"/>
    <w:link w:val="19"/>
    <w:qFormat/>
    <w:uiPriority w:val="0"/>
    <w:rPr>
      <w:rFonts w:ascii="Times New Roman" w:hAnsi="Times New Roman" w:eastAsia="方正书宋简体" w:cs="Times New Roman"/>
      <w:kern w:val="2"/>
      <w:sz w:val="24"/>
    </w:rPr>
  </w:style>
  <w:style w:type="character" w:customStyle="1" w:styleId="66">
    <w:name w:val="纯文本 字符"/>
    <w:qFormat/>
    <w:uiPriority w:val="0"/>
    <w:rPr>
      <w:rFonts w:ascii="宋体" w:eastAsia="宋体" w:cs="宋体"/>
      <w:lang w:val="en-US" w:eastAsia="zh-CN" w:bidi="ar-SA"/>
    </w:rPr>
  </w:style>
  <w:style w:type="character" w:customStyle="1" w:styleId="67">
    <w:name w:val="HTML 预设格式 字符"/>
    <w:qFormat/>
    <w:uiPriority w:val="0"/>
    <w:rPr>
      <w:rFonts w:ascii="Courier New" w:hAnsi="Courier New"/>
      <w:kern w:val="2"/>
    </w:rPr>
  </w:style>
  <w:style w:type="character" w:customStyle="1" w:styleId="68">
    <w:name w:val="hui3"/>
    <w:qFormat/>
    <w:uiPriority w:val="0"/>
    <w:rPr>
      <w:color w:val="333333"/>
    </w:rPr>
  </w:style>
  <w:style w:type="character" w:customStyle="1" w:styleId="69">
    <w:name w:val="文档结构图 Char2"/>
    <w:qFormat/>
    <w:uiPriority w:val="0"/>
    <w:rPr>
      <w:rFonts w:ascii="宋体" w:eastAsia="宋体" w:cs="Times New Roman"/>
      <w:sz w:val="18"/>
      <w:szCs w:val="18"/>
      <w:lang w:bidi="ar-SA"/>
    </w:rPr>
  </w:style>
  <w:style w:type="character" w:customStyle="1" w:styleId="70">
    <w:name w:val="font161"/>
    <w:qFormat/>
    <w:uiPriority w:val="0"/>
    <w:rPr>
      <w:rFonts w:ascii="宋体" w:eastAsia="宋体" w:cs="宋体"/>
      <w:color w:val="000000"/>
      <w:sz w:val="22"/>
      <w:szCs w:val="22"/>
      <w:u w:val="none"/>
      <w:lang w:bidi="ar-SA"/>
    </w:rPr>
  </w:style>
  <w:style w:type="character" w:customStyle="1" w:styleId="71">
    <w:name w:val="font141"/>
    <w:qFormat/>
    <w:uiPriority w:val="0"/>
    <w:rPr>
      <w:rFonts w:ascii="Times New Roman" w:hAnsi="Times New Roman" w:cs="Times New Roman"/>
      <w:b/>
      <w:bCs/>
      <w:color w:val="000000"/>
      <w:sz w:val="22"/>
      <w:szCs w:val="22"/>
      <w:u w:val="none"/>
      <w:lang w:bidi="ar-SA"/>
    </w:rPr>
  </w:style>
  <w:style w:type="character" w:customStyle="1" w:styleId="72">
    <w:name w:val="op-map-singlepoint-info-right"/>
    <w:qFormat/>
    <w:uiPriority w:val="0"/>
    <w:rPr>
      <w:rFonts w:ascii="仿宋_GB2312" w:eastAsia="仿宋_GB2312"/>
      <w:b/>
      <w:sz w:val="32"/>
      <w:szCs w:val="32"/>
    </w:rPr>
  </w:style>
  <w:style w:type="character" w:customStyle="1" w:styleId="73">
    <w:name w:val="font112"/>
    <w:qFormat/>
    <w:uiPriority w:val="0"/>
    <w:rPr>
      <w:rFonts w:ascii="宋体" w:eastAsia="宋体" w:cs="宋体"/>
      <w:color w:val="000000"/>
      <w:sz w:val="22"/>
      <w:szCs w:val="22"/>
      <w:u w:val="none"/>
      <w:lang w:bidi="ar-SA"/>
    </w:rPr>
  </w:style>
  <w:style w:type="character" w:customStyle="1" w:styleId="74">
    <w:name w:val="标题 1 Char"/>
    <w:qFormat/>
    <w:uiPriority w:val="0"/>
    <w:rPr>
      <w:rFonts w:ascii="宋体" w:eastAsia="宋体"/>
      <w:b/>
      <w:kern w:val="2"/>
      <w:sz w:val="28"/>
      <w:lang w:val="en-US" w:eastAsia="zh-CN"/>
    </w:rPr>
  </w:style>
  <w:style w:type="character" w:customStyle="1" w:styleId="75">
    <w:name w:val="日期 字符"/>
    <w:qFormat/>
    <w:uiPriority w:val="0"/>
    <w:rPr>
      <w:rFonts w:ascii="宋体" w:hAnsi="宋体" w:cs="Times New Roman"/>
      <w:sz w:val="24"/>
      <w:lang w:bidi="ar-SA"/>
    </w:rPr>
  </w:style>
  <w:style w:type="character" w:customStyle="1" w:styleId="76">
    <w:name w:val="标题 4 字符"/>
    <w:qFormat/>
    <w:uiPriority w:val="0"/>
    <w:rPr>
      <w:rFonts w:ascii="Arial" w:hAnsi="Arial" w:eastAsia="黑体"/>
      <w:b/>
      <w:kern w:val="2"/>
      <w:sz w:val="28"/>
      <w:lang w:val="en-US" w:eastAsia="zh-CN"/>
    </w:rPr>
  </w:style>
  <w:style w:type="character" w:customStyle="1" w:styleId="77">
    <w:name w:val="正文文本缩进 3 字符1"/>
    <w:qFormat/>
    <w:uiPriority w:val="0"/>
    <w:rPr>
      <w:kern w:val="2"/>
      <w:sz w:val="16"/>
      <w:szCs w:val="16"/>
    </w:rPr>
  </w:style>
  <w:style w:type="character" w:customStyle="1" w:styleId="78">
    <w:name w:val="正文文本 2 字符"/>
    <w:qFormat/>
    <w:uiPriority w:val="0"/>
    <w:rPr>
      <w:rFonts w:eastAsia="宋体"/>
      <w:sz w:val="24"/>
    </w:rPr>
  </w:style>
  <w:style w:type="character" w:customStyle="1" w:styleId="79">
    <w:name w:val="正文文本缩进 字符1"/>
    <w:qFormat/>
    <w:uiPriority w:val="0"/>
    <w:rPr>
      <w:rFonts w:eastAsia="方正书宋简体"/>
      <w:kern w:val="2"/>
      <w:sz w:val="24"/>
      <w:lang w:val="en-US" w:eastAsia="zh-CN"/>
    </w:rPr>
  </w:style>
  <w:style w:type="character" w:customStyle="1" w:styleId="80">
    <w:name w:val="zbggmain style9"/>
    <w:qFormat/>
    <w:uiPriority w:val="0"/>
  </w:style>
  <w:style w:type="character" w:customStyle="1" w:styleId="81">
    <w:name w:val="apple-converted-space"/>
    <w:qFormat/>
    <w:uiPriority w:val="0"/>
    <w:rPr>
      <w:rFonts w:cs="Times New Roman"/>
      <w:lang w:bidi="ar-SA"/>
    </w:rPr>
  </w:style>
  <w:style w:type="character" w:customStyle="1" w:styleId="82">
    <w:name w:val="标题 Char1"/>
    <w:qFormat/>
    <w:uiPriority w:val="0"/>
    <w:rPr>
      <w:rFonts w:ascii="Cambria" w:hAnsi="Cambria" w:eastAsia="仿宋_GB2312" w:cs="Times New Roman"/>
      <w:b/>
      <w:bCs/>
      <w:kern w:val="2"/>
      <w:sz w:val="32"/>
      <w:szCs w:val="32"/>
      <w:lang w:bidi="ar-SA"/>
    </w:rPr>
  </w:style>
  <w:style w:type="character" w:customStyle="1" w:styleId="83">
    <w:name w:val="font122"/>
    <w:qFormat/>
    <w:uiPriority w:val="0"/>
    <w:rPr>
      <w:rFonts w:ascii="宋体" w:eastAsia="宋体" w:cs="宋体"/>
      <w:b/>
      <w:bCs/>
      <w:color w:val="000000"/>
      <w:sz w:val="21"/>
      <w:szCs w:val="21"/>
      <w:u w:val="none"/>
      <w:lang w:bidi="ar-SA"/>
    </w:rPr>
  </w:style>
  <w:style w:type="character" w:customStyle="1" w:styleId="84">
    <w:name w:val="页眉 字符1"/>
    <w:qFormat/>
    <w:uiPriority w:val="0"/>
    <w:rPr>
      <w:kern w:val="2"/>
      <w:sz w:val="18"/>
      <w:szCs w:val="18"/>
    </w:rPr>
  </w:style>
  <w:style w:type="character" w:customStyle="1" w:styleId="85">
    <w:name w:val="正文文本首行缩进 字符"/>
    <w:qFormat/>
    <w:uiPriority w:val="0"/>
  </w:style>
  <w:style w:type="character" w:customStyle="1" w:styleId="86">
    <w:name w:val="font131"/>
    <w:basedOn w:val="54"/>
    <w:qFormat/>
    <w:uiPriority w:val="0"/>
    <w:rPr>
      <w:rFonts w:ascii="宋体" w:eastAsia="宋体"/>
      <w:color w:val="000000"/>
      <w:sz w:val="24"/>
      <w:szCs w:val="24"/>
      <w:u w:val="none"/>
    </w:rPr>
  </w:style>
  <w:style w:type="character" w:customStyle="1" w:styleId="87">
    <w:name w:val="正文文本缩进 3 字符"/>
    <w:qFormat/>
    <w:uiPriority w:val="0"/>
    <w:rPr>
      <w:rFonts w:ascii="宋体" w:eastAsia="宋体" w:cs="宋体"/>
      <w:b/>
      <w:kern w:val="2"/>
      <w:sz w:val="24"/>
      <w:szCs w:val="24"/>
      <w:lang w:val="en-US" w:eastAsia="zh-CN" w:bidi="ar-SA"/>
    </w:rPr>
  </w:style>
  <w:style w:type="character" w:customStyle="1" w:styleId="88">
    <w:name w:val="apple-style-span"/>
    <w:qFormat/>
    <w:uiPriority w:val="0"/>
    <w:rPr>
      <w:rFonts w:cs="Times New Roman"/>
      <w:lang w:bidi="ar-SA"/>
    </w:rPr>
  </w:style>
  <w:style w:type="character" w:customStyle="1" w:styleId="89">
    <w:name w:val="正文首行缩进 字符"/>
    <w:qFormat/>
    <w:uiPriority w:val="0"/>
    <w:rPr>
      <w:rFonts w:ascii="宋体" w:eastAsia="宋体" w:cs="宋体"/>
      <w:i/>
      <w:kern w:val="2"/>
      <w:sz w:val="24"/>
      <w:lang w:val="en-US" w:eastAsia="zh-CN" w:bidi="ar-SA"/>
    </w:rPr>
  </w:style>
  <w:style w:type="character" w:customStyle="1" w:styleId="90">
    <w:name w:val="批注框文本 字符1"/>
    <w:qFormat/>
    <w:uiPriority w:val="0"/>
    <w:rPr>
      <w:kern w:val="2"/>
      <w:sz w:val="18"/>
      <w:szCs w:val="18"/>
    </w:rPr>
  </w:style>
  <w:style w:type="character" w:customStyle="1" w:styleId="91">
    <w:name w:val="正文文本缩进 字符3"/>
    <w:qFormat/>
    <w:uiPriority w:val="0"/>
    <w:rPr>
      <w:rFonts w:eastAsia="方正书宋简体"/>
      <w:kern w:val="2"/>
      <w:sz w:val="24"/>
      <w:lang w:val="en-US" w:eastAsia="zh-CN"/>
    </w:rPr>
  </w:style>
  <w:style w:type="character" w:customStyle="1" w:styleId="92">
    <w:name w:val="纯文本 Char2"/>
    <w:qFormat/>
    <w:uiPriority w:val="0"/>
    <w:rPr>
      <w:rFonts w:ascii="宋体" w:eastAsia="宋体"/>
      <w:color w:val="000000"/>
      <w:sz w:val="24"/>
      <w:lang w:val="en-US" w:eastAsia="zh-CN"/>
    </w:rPr>
  </w:style>
  <w:style w:type="character" w:customStyle="1" w:styleId="93">
    <w:name w:val="正文文本缩进 3 Char2"/>
    <w:qFormat/>
    <w:uiPriority w:val="0"/>
    <w:rPr>
      <w:rFonts w:ascii="Times New Roman" w:hAnsi="Times New Roman" w:eastAsia="宋体" w:cs="Times New Roman"/>
      <w:sz w:val="16"/>
      <w:szCs w:val="16"/>
      <w:lang w:bidi="ar-SA"/>
    </w:rPr>
  </w:style>
  <w:style w:type="character" w:customStyle="1" w:styleId="94">
    <w:name w:val="纯文本 Char"/>
    <w:qFormat/>
    <w:uiPriority w:val="0"/>
    <w:rPr>
      <w:rFonts w:ascii="宋体" w:eastAsia="宋体"/>
      <w:color w:val="000000"/>
      <w:sz w:val="24"/>
      <w:lang w:val="en-US" w:eastAsia="zh-CN"/>
    </w:rPr>
  </w:style>
  <w:style w:type="character" w:customStyle="1" w:styleId="95">
    <w:name w:val="标题 2 字符"/>
    <w:qFormat/>
    <w:uiPriority w:val="0"/>
    <w:rPr>
      <w:rFonts w:ascii="Cambria" w:hAnsi="Cambria" w:eastAsia="宋体" w:cs="Cambria"/>
      <w:kern w:val="2"/>
      <w:sz w:val="21"/>
      <w:szCs w:val="21"/>
      <w:lang w:val="en-US" w:eastAsia="zh-CN" w:bidi="ar-SA"/>
    </w:rPr>
  </w:style>
  <w:style w:type="character" w:customStyle="1" w:styleId="96">
    <w:name w:val="font81"/>
    <w:qFormat/>
    <w:uiPriority w:val="0"/>
    <w:rPr>
      <w:rFonts w:ascii="宋体" w:eastAsia="宋体" w:cs="宋体"/>
      <w:color w:val="000000"/>
      <w:sz w:val="22"/>
      <w:szCs w:val="22"/>
      <w:u w:val="none"/>
      <w:lang w:bidi="ar-SA"/>
    </w:rPr>
  </w:style>
  <w:style w:type="character" w:customStyle="1" w:styleId="97">
    <w:name w:val="font31"/>
    <w:basedOn w:val="54"/>
    <w:qFormat/>
    <w:uiPriority w:val="0"/>
    <w:rPr>
      <w:rFonts w:ascii="宋体" w:eastAsia="宋体"/>
      <w:color w:val="000000"/>
      <w:sz w:val="24"/>
      <w:szCs w:val="24"/>
      <w:u w:val="none"/>
    </w:rPr>
  </w:style>
  <w:style w:type="character" w:customStyle="1" w:styleId="98">
    <w:name w:val="正文文本 字符"/>
    <w:qFormat/>
    <w:uiPriority w:val="0"/>
    <w:rPr>
      <w:rFonts w:ascii="宋体" w:eastAsia="宋体" w:cs="宋体"/>
      <w:lang w:val="en-US" w:eastAsia="zh-CN" w:bidi="ar-SA"/>
    </w:rPr>
  </w:style>
  <w:style w:type="character" w:customStyle="1" w:styleId="99">
    <w:name w:val="纯文本 字符2"/>
    <w:qFormat/>
    <w:uiPriority w:val="0"/>
    <w:rPr>
      <w:rFonts w:ascii="宋体" w:eastAsia="宋体" w:cs="宋体"/>
      <w:lang w:val="en-US" w:eastAsia="zh-CN" w:bidi="ar-SA"/>
    </w:rPr>
  </w:style>
  <w:style w:type="character" w:customStyle="1" w:styleId="100">
    <w:name w:val="正文缩进 Char"/>
    <w:qFormat/>
    <w:uiPriority w:val="0"/>
    <w:rPr>
      <w:rFonts w:eastAsia="宋体"/>
      <w:kern w:val="2"/>
      <w:sz w:val="24"/>
      <w:lang w:val="en-US" w:eastAsia="zh-CN"/>
    </w:rPr>
  </w:style>
  <w:style w:type="character" w:customStyle="1" w:styleId="101">
    <w:name w:val="正文文本缩进 3 Char"/>
    <w:qFormat/>
    <w:uiPriority w:val="0"/>
    <w:rPr>
      <w:rFonts w:ascii="宋体" w:eastAsia="宋体"/>
      <w:kern w:val="2"/>
      <w:sz w:val="24"/>
      <w:lang w:val="en-US" w:eastAsia="zh-CN"/>
    </w:rPr>
  </w:style>
  <w:style w:type="character" w:customStyle="1" w:styleId="102">
    <w:name w:val="页眉 字符"/>
    <w:qFormat/>
    <w:uiPriority w:val="0"/>
    <w:rPr>
      <w:rFonts w:ascii="宋体" w:eastAsia="宋体" w:cs="宋体"/>
      <w:kern w:val="2"/>
      <w:sz w:val="18"/>
      <w:szCs w:val="18"/>
      <w:lang w:val="en-US" w:eastAsia="zh-CN" w:bidi="ar-SA"/>
    </w:rPr>
  </w:style>
  <w:style w:type="character" w:customStyle="1" w:styleId="103">
    <w:name w:val="标题 9 字符"/>
    <w:qFormat/>
    <w:uiPriority w:val="0"/>
    <w:rPr>
      <w:rFonts w:ascii="Arial" w:hAnsi="Arial" w:eastAsia="黑体"/>
      <w:kern w:val="2"/>
      <w:sz w:val="21"/>
    </w:rPr>
  </w:style>
  <w:style w:type="character" w:customStyle="1" w:styleId="104">
    <w:name w:val="批注主题 字符1"/>
    <w:qFormat/>
    <w:uiPriority w:val="0"/>
    <w:rPr>
      <w:b/>
      <w:bCs/>
      <w:kern w:val="2"/>
      <w:sz w:val="21"/>
    </w:rPr>
  </w:style>
  <w:style w:type="character" w:customStyle="1" w:styleId="105">
    <w:name w:val="批注主题 Char"/>
    <w:qFormat/>
    <w:uiPriority w:val="0"/>
    <w:rPr>
      <w:rFonts w:cs="Times New Roman"/>
      <w:b/>
      <w:bCs/>
      <w:kern w:val="2"/>
      <w:sz w:val="21"/>
      <w:lang w:bidi="ar-SA"/>
    </w:rPr>
  </w:style>
  <w:style w:type="character" w:customStyle="1" w:styleId="106">
    <w:name w:val="c-icon16"/>
    <w:qFormat/>
    <w:uiPriority w:val="0"/>
  </w:style>
  <w:style w:type="character" w:customStyle="1" w:styleId="107">
    <w:name w:val="HTML 预设格式 Char1"/>
    <w:qFormat/>
    <w:uiPriority w:val="0"/>
    <w:rPr>
      <w:rFonts w:ascii="Courier New" w:hAnsi="Courier New" w:eastAsia="宋体" w:cs="Courier New"/>
      <w:sz w:val="20"/>
      <w:szCs w:val="20"/>
      <w:lang w:bidi="ar-SA"/>
    </w:rPr>
  </w:style>
  <w:style w:type="character" w:customStyle="1" w:styleId="108">
    <w:name w:val="批注框文本 字符"/>
    <w:qFormat/>
    <w:uiPriority w:val="0"/>
    <w:rPr>
      <w:rFonts w:ascii="宋体" w:eastAsia="宋体" w:cs="宋体"/>
      <w:kern w:val="2"/>
      <w:sz w:val="18"/>
      <w:szCs w:val="18"/>
      <w:lang w:val="en-US" w:eastAsia="zh-CN" w:bidi="ar-SA"/>
    </w:rPr>
  </w:style>
  <w:style w:type="character" w:customStyle="1" w:styleId="109">
    <w:name w:val="正文文本 3 Char1"/>
    <w:qFormat/>
    <w:uiPriority w:val="0"/>
    <w:rPr>
      <w:rFonts w:ascii="Times New Roman" w:hAnsi="Times New Roman" w:eastAsia="宋体" w:cs="Times New Roman"/>
      <w:sz w:val="16"/>
      <w:szCs w:val="16"/>
      <w:lang w:bidi="ar-SA"/>
    </w:rPr>
  </w:style>
  <w:style w:type="character" w:customStyle="1" w:styleId="110">
    <w:name w:val="正文文本 字符1"/>
    <w:qFormat/>
    <w:uiPriority w:val="0"/>
    <w:rPr>
      <w:kern w:val="2"/>
      <w:sz w:val="21"/>
    </w:rPr>
  </w:style>
  <w:style w:type="character" w:customStyle="1" w:styleId="111">
    <w:name w:val="批注主题 字符"/>
    <w:qFormat/>
    <w:uiPriority w:val="0"/>
    <w:rPr>
      <w:rFonts w:ascii="宋体" w:eastAsia="宋体" w:cs="宋体"/>
      <w:b/>
      <w:kern w:val="2"/>
      <w:sz w:val="21"/>
      <w:szCs w:val="21"/>
      <w:lang w:val="en-US" w:eastAsia="zh-CN" w:bidi="ar-SA"/>
    </w:rPr>
  </w:style>
  <w:style w:type="character" w:customStyle="1" w:styleId="112">
    <w:name w:val="正文文本缩进 字符"/>
    <w:qFormat/>
    <w:uiPriority w:val="0"/>
    <w:rPr>
      <w:rFonts w:ascii="Calibri" w:hAnsi="Calibri" w:cs="Calibri"/>
      <w:lang w:bidi="ar-SA"/>
    </w:rPr>
  </w:style>
  <w:style w:type="character" w:customStyle="1" w:styleId="113">
    <w:name w:val="font21"/>
    <w:basedOn w:val="54"/>
    <w:qFormat/>
    <w:uiPriority w:val="0"/>
    <w:rPr>
      <w:rFonts w:ascii="宋体" w:eastAsia="宋体" w:cs="宋体"/>
      <w:b/>
      <w:color w:val="000000"/>
      <w:sz w:val="22"/>
      <w:szCs w:val="22"/>
      <w:u w:val="none"/>
      <w:lang w:bidi="ar-SA"/>
    </w:rPr>
  </w:style>
  <w:style w:type="character" w:customStyle="1" w:styleId="114">
    <w:name w:val="正文文本 Char"/>
    <w:qFormat/>
    <w:uiPriority w:val="0"/>
    <w:rPr>
      <w:rFonts w:eastAsia="宋体"/>
      <w:i/>
      <w:kern w:val="2"/>
      <w:sz w:val="18"/>
      <w:lang w:val="en-US" w:eastAsia="zh-CN"/>
    </w:rPr>
  </w:style>
  <w:style w:type="character" w:customStyle="1" w:styleId="115">
    <w:name w:val="z-窗体底端 Char1"/>
    <w:qFormat/>
    <w:uiPriority w:val="0"/>
    <w:rPr>
      <w:rFonts w:ascii="Arial" w:hAnsi="Arial" w:cs="Arial"/>
      <w:vanish/>
      <w:kern w:val="2"/>
      <w:sz w:val="16"/>
      <w:szCs w:val="16"/>
      <w:lang w:bidi="ar-SA"/>
    </w:rPr>
  </w:style>
  <w:style w:type="character" w:customStyle="1" w:styleId="116">
    <w:name w:val="无"/>
    <w:qFormat/>
    <w:uiPriority w:val="0"/>
  </w:style>
  <w:style w:type="character" w:customStyle="1" w:styleId="117">
    <w:name w:val="标题 1 Char Char"/>
    <w:qFormat/>
    <w:uiPriority w:val="0"/>
    <w:rPr>
      <w:rFonts w:eastAsia="宋体"/>
      <w:b/>
      <w:spacing w:val="-2"/>
      <w:sz w:val="24"/>
      <w:lang w:val="en-US" w:eastAsia="zh-CN"/>
    </w:rPr>
  </w:style>
  <w:style w:type="character" w:customStyle="1" w:styleId="118">
    <w:name w:val="style171"/>
    <w:qFormat/>
    <w:uiPriority w:val="0"/>
    <w:rPr>
      <w:rFonts w:ascii="仿宋_GB2312" w:eastAsia="仿宋_GB2312"/>
      <w:b/>
      <w:bCs/>
      <w:color w:val="000000"/>
      <w:sz w:val="32"/>
      <w:szCs w:val="32"/>
    </w:rPr>
  </w:style>
  <w:style w:type="character" w:customStyle="1" w:styleId="119">
    <w:name w:val="style191"/>
    <w:qFormat/>
    <w:uiPriority w:val="0"/>
    <w:rPr>
      <w:rFonts w:ascii="仿宋_GB2312" w:eastAsia="仿宋_GB2312"/>
      <w:b/>
      <w:bCs/>
      <w:sz w:val="21"/>
      <w:szCs w:val="21"/>
    </w:rPr>
  </w:style>
  <w:style w:type="character" w:customStyle="1" w:styleId="120">
    <w:name w:val="HTML 预设格式 字符1"/>
    <w:qFormat/>
    <w:uiPriority w:val="0"/>
    <w:rPr>
      <w:rFonts w:ascii="Courier New" w:hAnsi="Courier New" w:cs="Courier New"/>
      <w:kern w:val="2"/>
      <w:lang w:bidi="ar-SA"/>
    </w:rPr>
  </w:style>
  <w:style w:type="character" w:customStyle="1" w:styleId="121">
    <w:name w:val="font151"/>
    <w:qFormat/>
    <w:uiPriority w:val="0"/>
    <w:rPr>
      <w:rFonts w:ascii="宋体" w:eastAsia="宋体" w:cs="宋体"/>
      <w:color w:val="000000"/>
      <w:sz w:val="21"/>
      <w:szCs w:val="21"/>
      <w:u w:val="none"/>
      <w:lang w:bidi="ar-SA"/>
    </w:rPr>
  </w:style>
  <w:style w:type="character" w:customStyle="1" w:styleId="122">
    <w:name w:val="批注文字 字符1"/>
    <w:qFormat/>
    <w:uiPriority w:val="0"/>
    <w:rPr>
      <w:kern w:val="2"/>
      <w:sz w:val="21"/>
    </w:rPr>
  </w:style>
  <w:style w:type="character" w:customStyle="1" w:styleId="123">
    <w:name w:val="标题 8 字符"/>
    <w:qFormat/>
    <w:uiPriority w:val="0"/>
    <w:rPr>
      <w:rFonts w:ascii="Arial" w:hAnsi="Arial" w:eastAsia="黑体"/>
      <w:kern w:val="2"/>
      <w:sz w:val="24"/>
    </w:rPr>
  </w:style>
  <w:style w:type="character" w:customStyle="1" w:styleId="124">
    <w:name w:val="标题 Char3"/>
    <w:qFormat/>
    <w:uiPriority w:val="0"/>
    <w:rPr>
      <w:rFonts w:ascii="Cambria" w:hAnsi="Cambria" w:cs="Times New Roman"/>
      <w:b/>
      <w:bCs/>
      <w:kern w:val="2"/>
      <w:sz w:val="32"/>
      <w:szCs w:val="32"/>
      <w:lang w:bidi="ar-SA"/>
    </w:rPr>
  </w:style>
  <w:style w:type="character" w:customStyle="1" w:styleId="125">
    <w:name w:val="font11"/>
    <w:qFormat/>
    <w:uiPriority w:val="0"/>
    <w:rPr>
      <w:rFonts w:ascii="Times New Roman" w:hAnsi="Times New Roman"/>
      <w:color w:val="000000"/>
      <w:sz w:val="24"/>
      <w:u w:val="none"/>
    </w:rPr>
  </w:style>
  <w:style w:type="character" w:customStyle="1" w:styleId="126">
    <w:name w:val="f11"/>
    <w:qFormat/>
    <w:uiPriority w:val="0"/>
    <w:rPr>
      <w:rFonts w:ascii="仿宋_GB2312" w:eastAsia="仿宋_GB2312"/>
      <w:b/>
      <w:sz w:val="24"/>
      <w:szCs w:val="24"/>
    </w:rPr>
  </w:style>
  <w:style w:type="character" w:customStyle="1" w:styleId="127">
    <w:name w:val="font12gray1"/>
    <w:qFormat/>
    <w:uiPriority w:val="0"/>
    <w:rPr>
      <w:rFonts w:ascii="仿宋_GB2312" w:eastAsia="仿宋_GB2312"/>
      <w:b/>
      <w:sz w:val="18"/>
      <w:szCs w:val="18"/>
    </w:rPr>
  </w:style>
  <w:style w:type="character" w:customStyle="1" w:styleId="128">
    <w:name w:val="z-窗体顶端 Char1"/>
    <w:qFormat/>
    <w:uiPriority w:val="0"/>
    <w:rPr>
      <w:rFonts w:ascii="Arial" w:hAnsi="Arial" w:cs="Arial"/>
      <w:vanish/>
      <w:kern w:val="2"/>
      <w:sz w:val="16"/>
      <w:szCs w:val="16"/>
      <w:lang w:bidi="ar-SA"/>
    </w:rPr>
  </w:style>
  <w:style w:type="character" w:customStyle="1" w:styleId="129">
    <w:name w:val="font91"/>
    <w:qFormat/>
    <w:uiPriority w:val="0"/>
    <w:rPr>
      <w:rFonts w:ascii="华文细黑" w:eastAsia="华文细黑"/>
      <w:color w:val="FF0000"/>
      <w:sz w:val="18"/>
      <w:szCs w:val="18"/>
      <w:u w:val="none"/>
    </w:rPr>
  </w:style>
  <w:style w:type="character" w:customStyle="1" w:styleId="130">
    <w:name w:val="正文文本 2 字符1"/>
    <w:qFormat/>
    <w:uiPriority w:val="0"/>
    <w:rPr>
      <w:kern w:val="2"/>
      <w:sz w:val="21"/>
    </w:rPr>
  </w:style>
  <w:style w:type="character" w:customStyle="1" w:styleId="131">
    <w:name w:val="标题 5 字符"/>
    <w:qFormat/>
    <w:uiPriority w:val="0"/>
    <w:rPr>
      <w:rFonts w:eastAsia="宋体"/>
      <w:b/>
      <w:kern w:val="2"/>
      <w:sz w:val="28"/>
      <w:lang w:val="en-US" w:eastAsia="zh-CN"/>
    </w:rPr>
  </w:style>
  <w:style w:type="character" w:customStyle="1" w:styleId="132">
    <w:name w:val="日期 字符1"/>
    <w:qFormat/>
    <w:uiPriority w:val="0"/>
    <w:rPr>
      <w:kern w:val="2"/>
      <w:sz w:val="21"/>
    </w:rPr>
  </w:style>
  <w:style w:type="character" w:customStyle="1" w:styleId="133">
    <w:name w:val="页脚 字符1"/>
    <w:qFormat/>
    <w:uiPriority w:val="0"/>
    <w:rPr>
      <w:kern w:val="2"/>
      <w:sz w:val="18"/>
      <w:szCs w:val="18"/>
    </w:rPr>
  </w:style>
  <w:style w:type="character" w:customStyle="1" w:styleId="134">
    <w:name w:val="font41"/>
    <w:qFormat/>
    <w:uiPriority w:val="0"/>
    <w:rPr>
      <w:rFonts w:ascii="font-weight : 400" w:hAnsi="font-weight : 400" w:eastAsia="font-weight : 400" w:cs="font-weight : 400"/>
      <w:b/>
      <w:color w:val="000000"/>
      <w:sz w:val="22"/>
      <w:szCs w:val="22"/>
      <w:u w:val="none"/>
      <w:lang w:bidi="ar-SA"/>
    </w:rPr>
  </w:style>
  <w:style w:type="character" w:customStyle="1" w:styleId="135">
    <w:name w:val="font61"/>
    <w:qFormat/>
    <w:uiPriority w:val="0"/>
    <w:rPr>
      <w:rFonts w:ascii="Times New Roman" w:hAnsi="Times New Roman"/>
      <w:color w:val="000000"/>
      <w:sz w:val="20"/>
      <w:u w:val="none"/>
    </w:rPr>
  </w:style>
  <w:style w:type="character" w:customStyle="1" w:styleId="136">
    <w:name w:val="正文文本缩进 Char1"/>
    <w:qFormat/>
    <w:uiPriority w:val="0"/>
    <w:rPr>
      <w:rFonts w:eastAsia="方正书宋简体"/>
      <w:kern w:val="2"/>
      <w:sz w:val="24"/>
      <w:lang w:val="en-US" w:eastAsia="zh-CN"/>
    </w:rPr>
  </w:style>
  <w:style w:type="character" w:customStyle="1" w:styleId="137">
    <w:name w:val="正文文本缩进 Char2"/>
    <w:qFormat/>
    <w:uiPriority w:val="0"/>
    <w:rPr>
      <w:rFonts w:ascii="Times New Roman" w:hAnsi="Times New Roman" w:eastAsia="宋体" w:cs="Times New Roman"/>
      <w:szCs w:val="24"/>
      <w:lang w:bidi="ar-SA"/>
    </w:rPr>
  </w:style>
  <w:style w:type="character" w:customStyle="1" w:styleId="138">
    <w:name w:val="正文缩进 字符"/>
    <w:qFormat/>
    <w:uiPriority w:val="0"/>
    <w:rPr>
      <w:rFonts w:ascii="宋体" w:eastAsia="宋体" w:cs="宋体"/>
      <w:spacing w:val="14"/>
      <w:kern w:val="24"/>
      <w:sz w:val="24"/>
      <w:szCs w:val="24"/>
      <w:lang w:val="en-US" w:eastAsia="zh-CN" w:bidi="ar-SA"/>
    </w:rPr>
  </w:style>
  <w:style w:type="character" w:customStyle="1" w:styleId="139">
    <w:name w:val="正文文本 3 字符1"/>
    <w:qFormat/>
    <w:uiPriority w:val="0"/>
    <w:rPr>
      <w:kern w:val="2"/>
      <w:sz w:val="16"/>
      <w:szCs w:val="16"/>
    </w:rPr>
  </w:style>
  <w:style w:type="character" w:customStyle="1" w:styleId="140">
    <w:name w:val="页眉 Char"/>
    <w:qFormat/>
    <w:uiPriority w:val="0"/>
    <w:rPr>
      <w:rFonts w:eastAsia="宋体"/>
      <w:kern w:val="2"/>
      <w:sz w:val="18"/>
      <w:lang w:val="en-US" w:eastAsia="zh-CN"/>
    </w:rPr>
  </w:style>
  <w:style w:type="character" w:customStyle="1" w:styleId="141">
    <w:name w:val="列出段落 字符"/>
    <w:qFormat/>
    <w:uiPriority w:val="0"/>
    <w:rPr>
      <w:rFonts w:eastAsia="宋体"/>
      <w:kern w:val="2"/>
      <w:sz w:val="24"/>
      <w:lang w:val="en-US" w:eastAsia="zh-CN"/>
    </w:rPr>
  </w:style>
  <w:style w:type="character" w:customStyle="1" w:styleId="142">
    <w:name w:val="标题 1 字符"/>
    <w:qFormat/>
    <w:uiPriority w:val="0"/>
    <w:rPr>
      <w:rFonts w:ascii="宋体" w:eastAsia="宋体" w:cs="宋体"/>
      <w:b/>
      <w:kern w:val="44"/>
      <w:sz w:val="44"/>
      <w:szCs w:val="44"/>
      <w:lang w:val="en-US" w:eastAsia="zh-CN" w:bidi="ar-SA"/>
    </w:rPr>
  </w:style>
  <w:style w:type="character" w:customStyle="1" w:styleId="143">
    <w:name w:val="页脚 字符"/>
    <w:qFormat/>
    <w:uiPriority w:val="0"/>
    <w:rPr>
      <w:rFonts w:ascii="宋体" w:eastAsia="宋体" w:cs="宋体"/>
      <w:kern w:val="2"/>
      <w:sz w:val="18"/>
      <w:szCs w:val="18"/>
      <w:lang w:val="en-US" w:eastAsia="zh-CN" w:bidi="ar-SA"/>
    </w:rPr>
  </w:style>
  <w:style w:type="character" w:customStyle="1" w:styleId="144">
    <w:name w:val="font71"/>
    <w:qFormat/>
    <w:uiPriority w:val="0"/>
    <w:rPr>
      <w:rFonts w:ascii="宋体" w:eastAsia="宋体" w:cs="宋体"/>
      <w:b/>
      <w:color w:val="0000FF"/>
      <w:sz w:val="22"/>
      <w:szCs w:val="22"/>
      <w:u w:val="none"/>
      <w:lang w:bidi="ar-SA"/>
    </w:rPr>
  </w:style>
  <w:style w:type="character" w:customStyle="1" w:styleId="145">
    <w:name w:val="font101"/>
    <w:qFormat/>
    <w:uiPriority w:val="0"/>
    <w:rPr>
      <w:rFonts w:ascii="Times New Roman" w:hAnsi="Times New Roman" w:cs="Times New Roman"/>
      <w:b/>
      <w:color w:val="000000"/>
      <w:sz w:val="22"/>
      <w:szCs w:val="22"/>
      <w:u w:val="none"/>
      <w:lang w:bidi="ar-SA"/>
    </w:rPr>
  </w:style>
  <w:style w:type="character" w:customStyle="1" w:styleId="146">
    <w:name w:val="正文文本缩进 2 字符"/>
    <w:qFormat/>
    <w:uiPriority w:val="0"/>
    <w:rPr>
      <w:rFonts w:ascii="宋体" w:eastAsia="宋体"/>
      <w:kern w:val="2"/>
      <w:sz w:val="24"/>
      <w:lang w:val="en-US" w:eastAsia="zh-CN"/>
    </w:rPr>
  </w:style>
  <w:style w:type="character" w:customStyle="1" w:styleId="147">
    <w:name w:val="日期 字符2"/>
    <w:qFormat/>
    <w:uiPriority w:val="0"/>
    <w:rPr>
      <w:rFonts w:ascii="宋体" w:hAnsi="宋体" w:cs="Times New Roman"/>
      <w:sz w:val="24"/>
      <w:lang w:bidi="ar-SA"/>
    </w:rPr>
  </w:style>
  <w:style w:type="character" w:customStyle="1" w:styleId="148">
    <w:name w:val="正文文本缩进 2 字符1"/>
    <w:qFormat/>
    <w:uiPriority w:val="0"/>
    <w:rPr>
      <w:kern w:val="2"/>
      <w:sz w:val="21"/>
    </w:rPr>
  </w:style>
  <w:style w:type="character" w:customStyle="1" w:styleId="149">
    <w:name w:val="文档结构图 字符"/>
    <w:qFormat/>
    <w:uiPriority w:val="0"/>
    <w:rPr>
      <w:rFonts w:eastAsia="宋体"/>
      <w:kern w:val="2"/>
      <w:sz w:val="21"/>
      <w:lang w:val="en-US" w:eastAsia="zh-CN"/>
    </w:rPr>
  </w:style>
  <w:style w:type="character" w:customStyle="1" w:styleId="150">
    <w:name w:val="正文文本 3 字符"/>
    <w:qFormat/>
    <w:uiPriority w:val="0"/>
    <w:rPr>
      <w:rFonts w:eastAsia="宋体"/>
      <w:sz w:val="16"/>
    </w:rPr>
  </w:style>
  <w:style w:type="character" w:customStyle="1" w:styleId="151">
    <w:name w:val="pubtime"/>
    <w:qFormat/>
    <w:uiPriority w:val="0"/>
    <w:rPr>
      <w:rFonts w:ascii="仿宋_GB2312" w:eastAsia="仿宋_GB2312"/>
      <w:color w:val="000000"/>
      <w:sz w:val="14"/>
      <w:szCs w:val="14"/>
    </w:rPr>
  </w:style>
  <w:style w:type="character" w:customStyle="1" w:styleId="152">
    <w:name w:val="op_dict3_lineone_result_tip"/>
    <w:qFormat/>
    <w:uiPriority w:val="0"/>
    <w:rPr>
      <w:color w:val="999999"/>
    </w:rPr>
  </w:style>
  <w:style w:type="character" w:customStyle="1" w:styleId="153">
    <w:name w:val="p12"/>
    <w:qFormat/>
    <w:uiPriority w:val="0"/>
  </w:style>
  <w:style w:type="character" w:customStyle="1" w:styleId="154">
    <w:name w:val="批注文字 字符"/>
    <w:qFormat/>
    <w:uiPriority w:val="0"/>
    <w:rPr>
      <w:rFonts w:ascii="宋体" w:eastAsia="宋体" w:cs="宋体"/>
      <w:kern w:val="2"/>
      <w:sz w:val="21"/>
      <w:szCs w:val="21"/>
      <w:lang w:val="en-US" w:eastAsia="zh-CN" w:bidi="ar-SA"/>
    </w:rPr>
  </w:style>
  <w:style w:type="character" w:customStyle="1" w:styleId="155">
    <w:name w:val="font111"/>
    <w:qFormat/>
    <w:uiPriority w:val="0"/>
    <w:rPr>
      <w:rFonts w:ascii="Times New Roman" w:hAnsi="Times New Roman" w:cs="Times New Roman"/>
      <w:color w:val="000000"/>
      <w:sz w:val="24"/>
      <w:szCs w:val="24"/>
      <w:u w:val="none"/>
      <w:lang w:bidi="ar-SA"/>
    </w:rPr>
  </w:style>
  <w:style w:type="character" w:customStyle="1" w:styleId="156">
    <w:name w:val="批注框文本 Char"/>
    <w:qFormat/>
    <w:uiPriority w:val="0"/>
    <w:rPr>
      <w:rFonts w:cs="Times New Roman"/>
      <w:kern w:val="2"/>
      <w:sz w:val="18"/>
      <w:szCs w:val="18"/>
      <w:lang w:bidi="ar-SA"/>
    </w:rPr>
  </w:style>
  <w:style w:type="character" w:customStyle="1" w:styleId="157">
    <w:name w:val="标题 3 Char"/>
    <w:qFormat/>
    <w:uiPriority w:val="9"/>
    <w:rPr>
      <w:rFonts w:ascii="Arial" w:hAnsi="Arial" w:eastAsia="黑体"/>
      <w:b/>
      <w:kern w:val="2"/>
      <w:sz w:val="32"/>
      <w:lang w:val="en-US" w:eastAsia="zh-CN"/>
    </w:rPr>
  </w:style>
  <w:style w:type="character" w:customStyle="1" w:styleId="158">
    <w:name w:val="bookmark-item"/>
    <w:qFormat/>
    <w:uiPriority w:val="0"/>
  </w:style>
  <w:style w:type="character" w:customStyle="1" w:styleId="159">
    <w:name w:val="文档结构图 Char1"/>
    <w:qFormat/>
    <w:uiPriority w:val="0"/>
    <w:rPr>
      <w:rFonts w:ascii="宋体" w:hAnsi="宋体" w:eastAsia="仿宋_GB2312"/>
      <w:b/>
      <w:kern w:val="2"/>
      <w:sz w:val="18"/>
      <w:szCs w:val="18"/>
    </w:rPr>
  </w:style>
  <w:style w:type="character" w:customStyle="1" w:styleId="160">
    <w:name w:val="正文文本 Char1"/>
    <w:qFormat/>
    <w:uiPriority w:val="0"/>
    <w:rPr>
      <w:rFonts w:ascii="Times New Roman" w:hAnsi="Times New Roman" w:eastAsia="宋体" w:cs="Times New Roman"/>
      <w:sz w:val="24"/>
      <w:szCs w:val="24"/>
      <w:lang w:bidi="ar-SA"/>
    </w:rPr>
  </w:style>
  <w:style w:type="character" w:customStyle="1" w:styleId="161">
    <w:name w:val="font51"/>
    <w:qFormat/>
    <w:uiPriority w:val="0"/>
    <w:rPr>
      <w:rFonts w:ascii="宋体" w:eastAsia="宋体"/>
      <w:color w:val="000000"/>
      <w:sz w:val="24"/>
      <w:szCs w:val="24"/>
      <w:u w:val="none"/>
    </w:rPr>
  </w:style>
  <w:style w:type="character" w:customStyle="1" w:styleId="162">
    <w:name w:val="批注文字 Char"/>
    <w:qFormat/>
    <w:uiPriority w:val="0"/>
    <w:rPr>
      <w:rFonts w:cs="Times New Roman"/>
      <w:kern w:val="2"/>
      <w:sz w:val="21"/>
      <w:lang w:bidi="ar-SA"/>
    </w:rPr>
  </w:style>
  <w:style w:type="character" w:customStyle="1" w:styleId="163">
    <w:name w:val="页脚 Char"/>
    <w:qFormat/>
    <w:uiPriority w:val="0"/>
    <w:rPr>
      <w:rFonts w:eastAsia="宋体"/>
      <w:kern w:val="2"/>
      <w:sz w:val="18"/>
      <w:lang w:val="en-US" w:eastAsia="zh-CN"/>
    </w:rPr>
  </w:style>
  <w:style w:type="character" w:customStyle="1" w:styleId="164">
    <w:name w:val="h6 Char"/>
    <w:qFormat/>
    <w:uiPriority w:val="0"/>
    <w:rPr>
      <w:rFonts w:ascii="Arial" w:hAnsi="Arial" w:eastAsia="宋体"/>
      <w:b/>
      <w:kern w:val="2"/>
      <w:sz w:val="24"/>
      <w:lang w:val="en-US" w:eastAsia="zh-CN"/>
    </w:rPr>
  </w:style>
  <w:style w:type="character" w:customStyle="1" w:styleId="165">
    <w:name w:val="纯文本 字符1"/>
    <w:qFormat/>
    <w:uiPriority w:val="0"/>
    <w:rPr>
      <w:rFonts w:ascii="等线" w:eastAsia="等线" w:cs="Courier New"/>
      <w:kern w:val="2"/>
      <w:sz w:val="21"/>
      <w:lang w:bidi="ar-SA"/>
    </w:rPr>
  </w:style>
  <w:style w:type="character" w:customStyle="1" w:styleId="166">
    <w:name w:val="h Char Char"/>
    <w:qFormat/>
    <w:uiPriority w:val="0"/>
    <w:rPr>
      <w:rFonts w:ascii="仿宋_GB2312" w:eastAsia="仿宋_GB2312"/>
      <w:b/>
      <w:kern w:val="2"/>
      <w:sz w:val="18"/>
      <w:szCs w:val="18"/>
    </w:rPr>
  </w:style>
  <w:style w:type="character" w:customStyle="1" w:styleId="167">
    <w:name w:val="标题 3 字符"/>
    <w:qFormat/>
    <w:uiPriority w:val="0"/>
    <w:rPr>
      <w:rFonts w:ascii="宋体" w:eastAsia="宋体" w:cs="宋体"/>
      <w:b/>
      <w:kern w:val="2"/>
      <w:sz w:val="32"/>
      <w:szCs w:val="32"/>
      <w:lang w:val="en-US" w:eastAsia="zh-CN" w:bidi="ar-SA"/>
    </w:rPr>
  </w:style>
  <w:style w:type="character" w:customStyle="1" w:styleId="168">
    <w:name w:val="正文文本缩进 字符2"/>
    <w:qFormat/>
    <w:uiPriority w:val="0"/>
    <w:rPr>
      <w:kern w:val="2"/>
      <w:sz w:val="21"/>
    </w:rPr>
  </w:style>
  <w:style w:type="character" w:customStyle="1" w:styleId="169">
    <w:name w:val="文档结构图 字符1"/>
    <w:qFormat/>
    <w:uiPriority w:val="0"/>
    <w:rPr>
      <w:rFonts w:ascii="Microsoft YaHei UI" w:hAnsi="Microsoft YaHei UI" w:eastAsia="Microsoft YaHei UI"/>
      <w:kern w:val="2"/>
      <w:sz w:val="18"/>
      <w:szCs w:val="18"/>
    </w:rPr>
  </w:style>
  <w:style w:type="character" w:customStyle="1" w:styleId="170">
    <w:name w:val="标题 7 字符"/>
    <w:qFormat/>
    <w:uiPriority w:val="0"/>
    <w:rPr>
      <w:b/>
      <w:kern w:val="2"/>
      <w:sz w:val="24"/>
    </w:rPr>
  </w:style>
  <w:style w:type="character" w:customStyle="1" w:styleId="171">
    <w:name w:val="font01"/>
    <w:basedOn w:val="54"/>
    <w:qFormat/>
    <w:uiPriority w:val="0"/>
    <w:rPr>
      <w:rFonts w:ascii="宋体" w:eastAsia="宋体"/>
      <w:color w:val="000000"/>
      <w:sz w:val="24"/>
      <w:u w:val="none"/>
    </w:rPr>
  </w:style>
  <w:style w:type="character" w:customStyle="1" w:styleId="172">
    <w:name w:val="标题 Char2"/>
    <w:qFormat/>
    <w:uiPriority w:val="0"/>
    <w:rPr>
      <w:rFonts w:ascii="Cambria" w:hAnsi="Cambria" w:eastAsia="宋体" w:cs="Times New Roman"/>
      <w:b/>
      <w:bCs/>
      <w:sz w:val="32"/>
      <w:szCs w:val="32"/>
      <w:lang w:bidi="ar-SA"/>
    </w:rPr>
  </w:style>
  <w:style w:type="character" w:customStyle="1" w:styleId="173">
    <w:name w:val="style2 bin1"/>
    <w:qFormat/>
    <w:uiPriority w:val="0"/>
    <w:rPr>
      <w:rFonts w:ascii="仿宋_GB2312" w:eastAsia="仿宋_GB2312"/>
      <w:b/>
      <w:sz w:val="32"/>
      <w:szCs w:val="32"/>
    </w:rPr>
  </w:style>
  <w:style w:type="character" w:customStyle="1" w:styleId="174">
    <w:name w:val="标题 6 字符"/>
    <w:qFormat/>
    <w:uiPriority w:val="0"/>
    <w:rPr>
      <w:rFonts w:ascii="Cambria" w:hAnsi="Cambria" w:eastAsia="宋体"/>
      <w:b/>
      <w:kern w:val="2"/>
      <w:sz w:val="24"/>
      <w:lang w:val="en-US" w:eastAsia="zh-CN"/>
    </w:rPr>
  </w:style>
  <w:style w:type="paragraph" w:customStyle="1" w:styleId="175">
    <w:name w:val="et3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76">
    <w:name w:val="et4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77">
    <w:name w:val="font8"/>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178">
    <w:name w:val="xl1097"/>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179">
    <w:name w:val="正文文本缩进1"/>
    <w:basedOn w:val="1"/>
    <w:qFormat/>
    <w:uiPriority w:val="0"/>
    <w:pPr>
      <w:spacing w:after="120"/>
      <w:ind w:left="420" w:leftChars="200"/>
    </w:pPr>
  </w:style>
  <w:style w:type="paragraph" w:customStyle="1" w:styleId="180">
    <w:name w:val="et35"/>
    <w:basedOn w:val="1"/>
    <w:qFormat/>
    <w:uiPriority w:val="0"/>
    <w:pPr>
      <w:widowControl/>
      <w:spacing w:before="100" w:beforeAutospacing="1" w:after="100" w:afterAutospacing="1"/>
      <w:jc w:val="left"/>
      <w:textAlignment w:val="bottom"/>
    </w:pPr>
    <w:rPr>
      <w:rFonts w:ascii="宋体" w:cs="宋体"/>
      <w:color w:val="000000"/>
      <w:kern w:val="0"/>
      <w:sz w:val="24"/>
      <w:szCs w:val="24"/>
    </w:rPr>
  </w:style>
  <w:style w:type="paragraph" w:customStyle="1" w:styleId="181">
    <w:name w:val="默认段落字体 Para Char Char Char Char Char Char Char Char Char Char"/>
    <w:basedOn w:val="1"/>
    <w:qFormat/>
    <w:uiPriority w:val="0"/>
    <w:rPr>
      <w:rFonts w:ascii="Tahoma" w:hAnsi="Tahoma"/>
      <w:sz w:val="24"/>
    </w:rPr>
  </w:style>
  <w:style w:type="paragraph" w:customStyle="1" w:styleId="182">
    <w:name w:val="工可正文"/>
    <w:basedOn w:val="1"/>
    <w:qFormat/>
    <w:uiPriority w:val="0"/>
    <w:pPr>
      <w:spacing w:line="360" w:lineRule="auto"/>
      <w:ind w:firstLine="200" w:firstLineChars="200"/>
    </w:pPr>
    <w:rPr>
      <w:rFonts w:ascii="宋体"/>
      <w:kern w:val="0"/>
      <w:sz w:val="28"/>
    </w:rPr>
  </w:style>
  <w:style w:type="paragraph" w:customStyle="1" w:styleId="183">
    <w:name w:val="首行缩进"/>
    <w:basedOn w:val="1"/>
    <w:qFormat/>
    <w:uiPriority w:val="0"/>
    <w:pPr>
      <w:spacing w:line="360" w:lineRule="auto"/>
      <w:ind w:firstLine="200" w:firstLineChars="200"/>
      <w:jc w:val="left"/>
    </w:pPr>
    <w:rPr>
      <w:rFonts w:ascii="宋体"/>
      <w:sz w:val="24"/>
    </w:rPr>
  </w:style>
  <w:style w:type="paragraph" w:customStyle="1" w:styleId="184">
    <w:name w:val="et53"/>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85">
    <w:name w:val="p0"/>
    <w:basedOn w:val="1"/>
    <w:qFormat/>
    <w:uiPriority w:val="0"/>
    <w:pPr>
      <w:widowControl/>
    </w:pPr>
    <w:rPr>
      <w:kern w:val="0"/>
      <w:szCs w:val="21"/>
    </w:rPr>
  </w:style>
  <w:style w:type="paragraph" w:customStyle="1" w:styleId="186">
    <w:name w:val="正文（缩进）"/>
    <w:basedOn w:val="1"/>
    <w:qFormat/>
    <w:uiPriority w:val="0"/>
    <w:pPr>
      <w:widowControl/>
      <w:spacing w:before="156" w:after="156"/>
      <w:ind w:firstLine="200" w:firstLineChars="200"/>
      <w:jc w:val="left"/>
    </w:pPr>
    <w:rPr>
      <w:rFonts w:ascii="Arial" w:hAnsi="Arial" w:eastAsia="Arial"/>
      <w:kern w:val="0"/>
      <w:sz w:val="24"/>
      <w:szCs w:val="24"/>
    </w:rPr>
  </w:style>
  <w:style w:type="paragraph" w:customStyle="1" w:styleId="187">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000000"/>
      <w:kern w:val="0"/>
      <w:sz w:val="20"/>
    </w:rPr>
  </w:style>
  <w:style w:type="paragraph" w:customStyle="1" w:styleId="188">
    <w:name w:val="xl1088"/>
    <w:basedOn w:val="1"/>
    <w:qFormat/>
    <w:uiPriority w:val="0"/>
    <w:pPr>
      <w:widowControl/>
      <w:spacing w:before="100" w:beforeAutospacing="1" w:after="100" w:afterAutospacing="1"/>
      <w:jc w:val="left"/>
    </w:pPr>
    <w:rPr>
      <w:rFonts w:ascii="宋体" w:cs="宋体"/>
      <w:kern w:val="0"/>
      <w:sz w:val="20"/>
    </w:rPr>
  </w:style>
  <w:style w:type="paragraph" w:customStyle="1" w:styleId="189">
    <w:name w:val="et28"/>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190">
    <w:name w:val="xl1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b/>
      <w:bCs/>
      <w:kern w:val="0"/>
      <w:sz w:val="20"/>
    </w:rPr>
  </w:style>
  <w:style w:type="paragraph" w:customStyle="1" w:styleId="191">
    <w:name w:val="et5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2">
    <w:name w:val="表格1"/>
    <w:basedOn w:val="1"/>
    <w:qFormat/>
    <w:uiPriority w:val="99"/>
    <w:rPr>
      <w:rFonts w:ascii="仿宋_GB2312"/>
      <w:sz w:val="24"/>
      <w:szCs w:val="24"/>
    </w:rPr>
  </w:style>
  <w:style w:type="paragraph" w:customStyle="1" w:styleId="193">
    <w:name w:val="样式 标题 2 + Times New Roman 四号 非加粗 段前: 5 磅 段后: 0 磅 行距: 固定值 20..."/>
    <w:basedOn w:val="4"/>
    <w:qFormat/>
    <w:uiPriority w:val="0"/>
    <w:pPr>
      <w:tabs>
        <w:tab w:val="clear" w:pos="578"/>
      </w:tabs>
      <w:spacing w:before="100" w:beforeLines="0" w:afterLines="0" w:line="400" w:lineRule="exact"/>
      <w:ind w:left="0" w:firstLine="0"/>
    </w:pPr>
    <w:rPr>
      <w:rFonts w:ascii="Times New Roman" w:hAnsi="Times New Roman" w:eastAsia="黑体" w:cs="宋体"/>
      <w:sz w:val="28"/>
      <w:szCs w:val="20"/>
    </w:rPr>
  </w:style>
  <w:style w:type="paragraph" w:customStyle="1" w:styleId="194">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195">
    <w:name w:val="et1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196">
    <w:name w:val="et3"/>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197">
    <w:name w:val="正文编码"/>
    <w:basedOn w:val="50"/>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198">
    <w:name w:val="样式1"/>
    <w:basedOn w:val="4"/>
    <w:qFormat/>
    <w:uiPriority w:val="0"/>
    <w:pPr>
      <w:tabs>
        <w:tab w:val="clear" w:pos="578"/>
      </w:tabs>
      <w:spacing w:beforeLines="0" w:afterLines="0"/>
      <w:ind w:left="0" w:firstLine="0"/>
    </w:pPr>
    <w:rPr>
      <w:rFonts w:ascii="黑体" w:eastAsia="黑体"/>
      <w:b/>
      <w:sz w:val="32"/>
      <w:szCs w:val="20"/>
    </w:rPr>
  </w:style>
  <w:style w:type="paragraph" w:customStyle="1" w:styleId="199">
    <w:name w:val="et3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0">
    <w:name w:val="【条文】"/>
    <w:basedOn w:val="201"/>
    <w:qFormat/>
    <w:uiPriority w:val="0"/>
    <w:pPr>
      <w:widowControl/>
      <w:numPr>
        <w:ilvl w:val="0"/>
        <w:numId w:val="1"/>
      </w:numPr>
      <w:spacing w:line="300" w:lineRule="auto"/>
      <w:ind w:firstLine="0" w:firstLineChars="0"/>
      <w:contextualSpacing/>
      <w:jc w:val="left"/>
    </w:pPr>
    <w:rPr>
      <w:kern w:val="0"/>
      <w:sz w:val="22"/>
    </w:rPr>
  </w:style>
  <w:style w:type="paragraph" w:styleId="201">
    <w:name w:val="List Paragraph"/>
    <w:basedOn w:val="1"/>
    <w:qFormat/>
    <w:uiPriority w:val="34"/>
    <w:pPr>
      <w:spacing w:line="360" w:lineRule="auto"/>
      <w:ind w:firstLine="200" w:firstLineChars="200"/>
    </w:pPr>
    <w:rPr>
      <w:sz w:val="24"/>
    </w:rPr>
  </w:style>
  <w:style w:type="paragraph" w:customStyle="1" w:styleId="202">
    <w:name w:val="font9"/>
    <w:basedOn w:val="1"/>
    <w:qFormat/>
    <w:uiPriority w:val="0"/>
    <w:pPr>
      <w:widowControl/>
      <w:spacing w:before="100" w:beforeAutospacing="1" w:after="100" w:afterAutospacing="1"/>
      <w:jc w:val="left"/>
    </w:pPr>
    <w:rPr>
      <w:rFonts w:ascii="宋体" w:cs="宋体"/>
      <w:color w:val="000000"/>
      <w:kern w:val="0"/>
      <w:sz w:val="20"/>
    </w:rPr>
  </w:style>
  <w:style w:type="paragraph" w:customStyle="1" w:styleId="203">
    <w:name w:val="Item List in Table"/>
    <w:basedOn w:val="1"/>
    <w:qFormat/>
    <w:uiPriority w:val="0"/>
    <w:pPr>
      <w:widowControl/>
      <w:numPr>
        <w:ilvl w:val="0"/>
        <w:numId w:val="2"/>
      </w:numPr>
      <w:tabs>
        <w:tab w:val="left" w:pos="284"/>
      </w:tabs>
      <w:topLinePunct/>
      <w:adjustRightInd w:val="0"/>
      <w:snapToGrid w:val="0"/>
      <w:spacing w:before="80" w:after="80" w:line="240" w:lineRule="atLeast"/>
      <w:jc w:val="left"/>
    </w:pPr>
    <w:rPr>
      <w:rFonts w:cs="Arial"/>
      <w:kern w:val="0"/>
      <w:szCs w:val="21"/>
    </w:rPr>
  </w:style>
  <w:style w:type="paragraph" w:customStyle="1" w:styleId="204">
    <w:name w:val="et1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05">
    <w:name w:val="style17"/>
    <w:basedOn w:val="1"/>
    <w:qFormat/>
    <w:uiPriority w:val="0"/>
    <w:pPr>
      <w:widowControl/>
      <w:spacing w:before="100" w:beforeAutospacing="1" w:after="100" w:afterAutospacing="1"/>
      <w:jc w:val="left"/>
    </w:pPr>
    <w:rPr>
      <w:rFonts w:ascii="宋体" w:cs="宋体"/>
      <w:b/>
      <w:bCs/>
      <w:color w:val="000000"/>
      <w:kern w:val="0"/>
      <w:sz w:val="24"/>
      <w:szCs w:val="22"/>
    </w:rPr>
  </w:style>
  <w:style w:type="paragraph" w:customStyle="1" w:styleId="206">
    <w:name w:val="Char2"/>
    <w:basedOn w:val="1"/>
    <w:qFormat/>
    <w:uiPriority w:val="0"/>
    <w:pPr>
      <w:tabs>
        <w:tab w:val="left" w:pos="1200"/>
      </w:tabs>
      <w:ind w:left="1200" w:hanging="720"/>
    </w:pPr>
    <w:rPr>
      <w:sz w:val="24"/>
      <w:szCs w:val="24"/>
    </w:rPr>
  </w:style>
  <w:style w:type="paragraph" w:customStyle="1" w:styleId="207">
    <w:name w:val="_Style 204"/>
    <w:basedOn w:val="1"/>
    <w:next w:val="1"/>
    <w:qFormat/>
    <w:uiPriority w:val="0"/>
    <w:pPr>
      <w:pBdr>
        <w:top w:val="single" w:color="auto" w:sz="6" w:space="1"/>
      </w:pBdr>
      <w:jc w:val="center"/>
    </w:pPr>
    <w:rPr>
      <w:rFonts w:ascii="Arial" w:hAnsi="Arial"/>
      <w:vanish/>
      <w:kern w:val="0"/>
      <w:sz w:val="16"/>
      <w:szCs w:val="24"/>
    </w:rPr>
  </w:style>
  <w:style w:type="paragraph" w:customStyle="1" w:styleId="208">
    <w:name w:val="0正文"/>
    <w:basedOn w:val="1"/>
    <w:qFormat/>
    <w:uiPriority w:val="0"/>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09">
    <w:name w:val="样式2"/>
    <w:basedOn w:val="5"/>
    <w:qFormat/>
    <w:uiPriority w:val="0"/>
    <w:pPr>
      <w:adjustRightInd w:val="0"/>
      <w:spacing w:beforeLines="0" w:afterLines="0"/>
      <w:ind w:left="0" w:firstLine="0"/>
      <w:textAlignment w:val="baseline"/>
    </w:pPr>
    <w:rPr>
      <w:rFonts w:ascii="黑体" w:eastAsia="黑体"/>
      <w:b w:val="0"/>
      <w:color w:val="FF0000"/>
      <w:szCs w:val="20"/>
    </w:rPr>
  </w:style>
  <w:style w:type="paragraph" w:customStyle="1" w:styleId="210">
    <w:name w:val="方案－正文"/>
    <w:basedOn w:val="1"/>
    <w:qFormat/>
    <w:uiPriority w:val="0"/>
    <w:pPr>
      <w:spacing w:line="360" w:lineRule="auto"/>
      <w:ind w:firstLine="200" w:firstLineChars="200"/>
    </w:pPr>
    <w:rPr>
      <w:rFonts w:ascii="仿宋_GB2312" w:hAnsi="仿宋_GB2312"/>
      <w:kern w:val="0"/>
      <w:sz w:val="24"/>
    </w:rPr>
  </w:style>
  <w:style w:type="paragraph" w:customStyle="1" w:styleId="211">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12">
    <w:name w:val="正文缩进1"/>
    <w:basedOn w:val="1"/>
    <w:next w:val="19"/>
    <w:qFormat/>
    <w:uiPriority w:val="99"/>
    <w:pPr>
      <w:autoSpaceDE w:val="0"/>
      <w:autoSpaceDN w:val="0"/>
      <w:adjustRightInd w:val="0"/>
      <w:snapToGrid w:val="0"/>
      <w:spacing w:after="120" w:line="360" w:lineRule="auto"/>
      <w:ind w:left="200" w:leftChars="200" w:firstLine="200" w:firstLineChars="200"/>
    </w:pPr>
    <w:rPr>
      <w:sz w:val="24"/>
      <w:szCs w:val="21"/>
    </w:rPr>
  </w:style>
  <w:style w:type="paragraph" w:customStyle="1" w:styleId="213">
    <w:name w:val="xl1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14">
    <w:name w:val="et7"/>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15">
    <w:name w:val="et1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16">
    <w:name w:val="xl111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cs="宋体"/>
      <w:b/>
      <w:bCs/>
      <w:kern w:val="0"/>
      <w:sz w:val="20"/>
    </w:rPr>
  </w:style>
  <w:style w:type="paragraph" w:customStyle="1" w:styleId="217">
    <w:name w:val="符号 2"/>
    <w:basedOn w:val="218"/>
    <w:qFormat/>
    <w:uiPriority w:val="0"/>
    <w:pPr>
      <w:tabs>
        <w:tab w:val="left" w:pos="900"/>
        <w:tab w:val="left" w:pos="1320"/>
      </w:tabs>
      <w:ind w:left="1320" w:hanging="420"/>
    </w:pPr>
  </w:style>
  <w:style w:type="paragraph" w:customStyle="1" w:styleId="218">
    <w:name w:val="符号 1"/>
    <w:basedOn w:val="19"/>
    <w:qFormat/>
    <w:uiPriority w:val="0"/>
    <w:pPr>
      <w:tabs>
        <w:tab w:val="left" w:pos="900"/>
      </w:tabs>
      <w:spacing w:line="360" w:lineRule="auto"/>
      <w:ind w:left="1200" w:hanging="720"/>
    </w:pPr>
    <w:rPr>
      <w:rFonts w:eastAsia="宋体"/>
      <w:kern w:val="28"/>
      <w:szCs w:val="24"/>
    </w:rPr>
  </w:style>
  <w:style w:type="paragraph" w:customStyle="1" w:styleId="219">
    <w:name w:val="et2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20">
    <w:name w:val="et56"/>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1">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22">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23">
    <w:name w:val="et5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224">
    <w:name w:val="Char Char2 Char Char"/>
    <w:basedOn w:val="1"/>
    <w:qFormat/>
    <w:uiPriority w:val="0"/>
    <w:rPr>
      <w:rFonts w:ascii="Tahoma" w:hAnsi="Tahoma"/>
      <w:sz w:val="24"/>
    </w:rPr>
  </w:style>
  <w:style w:type="paragraph" w:customStyle="1" w:styleId="225">
    <w:name w:val="正文首行缩进 21"/>
    <w:basedOn w:val="179"/>
    <w:qFormat/>
    <w:uiPriority w:val="0"/>
    <w:pPr>
      <w:ind w:firstLine="420"/>
    </w:pPr>
  </w:style>
  <w:style w:type="paragraph" w:customStyle="1" w:styleId="226">
    <w:name w:val="font13"/>
    <w:basedOn w:val="1"/>
    <w:qFormat/>
    <w:uiPriority w:val="0"/>
    <w:pPr>
      <w:widowControl/>
      <w:spacing w:before="100" w:beforeAutospacing="1" w:after="100" w:afterAutospacing="1"/>
      <w:jc w:val="left"/>
    </w:pPr>
    <w:rPr>
      <w:rFonts w:ascii="宋体" w:cs="宋体"/>
      <w:kern w:val="0"/>
      <w:sz w:val="18"/>
      <w:szCs w:val="18"/>
    </w:rPr>
  </w:style>
  <w:style w:type="paragraph" w:customStyle="1" w:styleId="227">
    <w:name w:val="xl110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cs="宋体"/>
      <w:b/>
      <w:bCs/>
      <w:kern w:val="0"/>
      <w:sz w:val="20"/>
    </w:rPr>
  </w:style>
  <w:style w:type="paragraph" w:customStyle="1" w:styleId="228">
    <w:name w:val="Char Char"/>
    <w:basedOn w:val="1"/>
    <w:qFormat/>
    <w:uiPriority w:val="0"/>
    <w:pPr>
      <w:spacing w:line="360" w:lineRule="auto"/>
    </w:pPr>
    <w:rPr>
      <w:rFonts w:ascii="Tahoma" w:hAnsi="Tahoma"/>
      <w:sz w:val="24"/>
    </w:rPr>
  </w:style>
  <w:style w:type="paragraph" w:customStyle="1" w:styleId="229">
    <w:name w:val="et4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0">
    <w:name w:val="Char Char Char"/>
    <w:basedOn w:val="1"/>
    <w:qFormat/>
    <w:uiPriority w:val="0"/>
    <w:pPr>
      <w:spacing w:before="120" w:after="120" w:line="360" w:lineRule="auto"/>
      <w:ind w:firstLine="200" w:firstLineChars="200"/>
    </w:pPr>
    <w:rPr>
      <w:rFonts w:ascii="Tahoma" w:hAnsi="Tahoma"/>
      <w:sz w:val="24"/>
    </w:rPr>
  </w:style>
  <w:style w:type="paragraph" w:customStyle="1" w:styleId="231">
    <w:name w:val="正文 居中"/>
    <w:basedOn w:val="1"/>
    <w:qFormat/>
    <w:uiPriority w:val="0"/>
    <w:pPr>
      <w:spacing w:line="360" w:lineRule="auto"/>
      <w:jc w:val="center"/>
    </w:pPr>
    <w:rPr>
      <w:rFonts w:cs="宋体"/>
      <w:sz w:val="24"/>
    </w:rPr>
  </w:style>
  <w:style w:type="paragraph" w:customStyle="1" w:styleId="232">
    <w:name w:val="Char Char1 Char Char Char Char"/>
    <w:basedOn w:val="1"/>
    <w:qFormat/>
    <w:uiPriority w:val="0"/>
    <w:rPr>
      <w:rFonts w:ascii="Tahoma" w:hAnsi="Tahoma"/>
      <w:sz w:val="24"/>
    </w:rPr>
  </w:style>
  <w:style w:type="paragraph" w:customStyle="1" w:styleId="233">
    <w:name w:val="无格式"/>
    <w:next w:val="1"/>
    <w:qFormat/>
    <w:uiPriority w:val="0"/>
    <w:pPr>
      <w:jc w:val="both"/>
    </w:pPr>
    <w:rPr>
      <w:rFonts w:ascii="Times New Roman" w:hAnsi="Times New Roman" w:eastAsia="宋体" w:cs="Times New Roman"/>
      <w:bCs/>
      <w:kern w:val="2"/>
      <w:sz w:val="24"/>
      <w:szCs w:val="24"/>
      <w:lang w:val="en-US" w:eastAsia="zh-CN" w:bidi="ar-SA"/>
    </w:rPr>
  </w:style>
  <w:style w:type="paragraph" w:customStyle="1" w:styleId="234">
    <w:name w:val="xl1128"/>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235">
    <w:name w:val="et5"/>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6">
    <w:name w:val="et5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37">
    <w:name w:val="et4"/>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38">
    <w:name w:val="style11"/>
    <w:basedOn w:val="1"/>
    <w:qFormat/>
    <w:uiPriority w:val="0"/>
    <w:pPr>
      <w:widowControl/>
      <w:spacing w:before="100" w:beforeAutospacing="1" w:after="100" w:afterAutospacing="1"/>
      <w:jc w:val="left"/>
    </w:pPr>
    <w:rPr>
      <w:rFonts w:ascii="宋体" w:cs="宋体"/>
      <w:kern w:val="0"/>
      <w:sz w:val="24"/>
      <w:szCs w:val="22"/>
    </w:rPr>
  </w:style>
  <w:style w:type="paragraph" w:customStyle="1" w:styleId="239">
    <w:name w:val="Char Char Char Char Char Char Char"/>
    <w:basedOn w:val="1"/>
    <w:qFormat/>
    <w:uiPriority w:val="0"/>
    <w:pPr>
      <w:widowControl/>
      <w:spacing w:after="160" w:line="240" w:lineRule="exact"/>
      <w:jc w:val="left"/>
    </w:pPr>
    <w:rPr>
      <w:rFonts w:ascii="Verdana" w:hAnsi="Verdana"/>
      <w:kern w:val="0"/>
      <w:szCs w:val="24"/>
    </w:rPr>
  </w:style>
  <w:style w:type="paragraph" w:customStyle="1" w:styleId="240">
    <w:name w:val="标题6"/>
    <w:basedOn w:val="1"/>
    <w:next w:val="3"/>
    <w:qFormat/>
    <w:uiPriority w:val="0"/>
    <w:pPr>
      <w:widowControl/>
      <w:snapToGrid w:val="0"/>
      <w:spacing w:before="50" w:after="50" w:line="520" w:lineRule="atLeast"/>
      <w:ind w:firstLine="200" w:firstLineChars="200"/>
    </w:pPr>
    <w:rPr>
      <w:rFonts w:ascii="Calibri" w:hAnsi="Calibri" w:cs="Arial"/>
      <w:b/>
      <w:sz w:val="24"/>
      <w:szCs w:val="24"/>
    </w:rPr>
  </w:style>
  <w:style w:type="paragraph" w:customStyle="1" w:styleId="241">
    <w:name w:val="Char23"/>
    <w:basedOn w:val="1"/>
    <w:qFormat/>
    <w:uiPriority w:val="0"/>
    <w:rPr>
      <w:rFonts w:ascii="仿宋_GB2312" w:eastAsia="仿宋_GB2312"/>
      <w:b/>
      <w:sz w:val="32"/>
      <w:szCs w:val="32"/>
    </w:rPr>
  </w:style>
  <w:style w:type="paragraph" w:customStyle="1" w:styleId="242">
    <w:name w:val="Char3"/>
    <w:basedOn w:val="1"/>
    <w:qFormat/>
    <w:uiPriority w:val="0"/>
    <w:rPr>
      <w:rFonts w:ascii="Tahoma" w:hAnsi="Tahoma"/>
      <w:sz w:val="24"/>
    </w:rPr>
  </w:style>
  <w:style w:type="paragraph" w:customStyle="1" w:styleId="243">
    <w:name w:val="xl1113"/>
    <w:basedOn w:val="1"/>
    <w:qFormat/>
    <w:uiPriority w:val="0"/>
    <w:pPr>
      <w:widowControl/>
      <w:spacing w:before="100" w:beforeAutospacing="1" w:after="100" w:afterAutospacing="1"/>
      <w:jc w:val="left"/>
    </w:pPr>
    <w:rPr>
      <w:rFonts w:ascii="宋体" w:cs="宋体"/>
      <w:color w:val="000000"/>
      <w:kern w:val="0"/>
      <w:szCs w:val="21"/>
    </w:rPr>
  </w:style>
  <w:style w:type="paragraph" w:customStyle="1" w:styleId="244">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kern w:val="0"/>
      <w:sz w:val="40"/>
      <w:szCs w:val="40"/>
    </w:rPr>
  </w:style>
  <w:style w:type="paragraph" w:customStyle="1" w:styleId="245">
    <w:name w:val="et1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46">
    <w:name w:val="Char1"/>
    <w:basedOn w:val="1"/>
    <w:qFormat/>
    <w:uiPriority w:val="0"/>
    <w:rPr>
      <w:rFonts w:ascii="仿宋_GB2312" w:eastAsia="仿宋_GB2312"/>
      <w:b/>
      <w:sz w:val="32"/>
      <w:szCs w:val="32"/>
    </w:rPr>
  </w:style>
  <w:style w:type="paragraph" w:customStyle="1" w:styleId="247">
    <w:name w:val="标题2正文 Char"/>
    <w:basedOn w:val="1"/>
    <w:qFormat/>
    <w:uiPriority w:val="0"/>
    <w:pPr>
      <w:spacing w:before="50" w:beforeLines="50" w:after="50" w:afterLines="50"/>
      <w:ind w:right="18" w:rightChars="18" w:firstLine="420"/>
    </w:pPr>
    <w:rPr>
      <w:kern w:val="0"/>
      <w:sz w:val="24"/>
    </w:rPr>
  </w:style>
  <w:style w:type="paragraph" w:customStyle="1" w:styleId="248">
    <w:name w:val="Char5"/>
    <w:basedOn w:val="1"/>
    <w:qFormat/>
    <w:uiPriority w:val="0"/>
    <w:rPr>
      <w:rFonts w:ascii="Tahoma" w:hAnsi="Tahoma"/>
      <w:sz w:val="24"/>
    </w:rPr>
  </w:style>
  <w:style w:type="paragraph" w:customStyle="1" w:styleId="249">
    <w:name w:val="font12"/>
    <w:basedOn w:val="1"/>
    <w:qFormat/>
    <w:uiPriority w:val="0"/>
    <w:pPr>
      <w:widowControl/>
      <w:spacing w:before="100" w:beforeAutospacing="1" w:after="100" w:afterAutospacing="1"/>
      <w:jc w:val="left"/>
    </w:pPr>
    <w:rPr>
      <w:rFonts w:ascii="宋体" w:cs="宋体"/>
      <w:kern w:val="0"/>
      <w:sz w:val="18"/>
      <w:szCs w:val="18"/>
    </w:rPr>
  </w:style>
  <w:style w:type="paragraph" w:customStyle="1" w:styleId="250">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251">
    <w:name w:val="et25"/>
    <w:basedOn w:val="1"/>
    <w:qFormat/>
    <w:uiPriority w:val="0"/>
    <w:pPr>
      <w:widowControl/>
      <w:spacing w:before="100" w:beforeAutospacing="1" w:after="100" w:afterAutospacing="1"/>
      <w:jc w:val="left"/>
      <w:textAlignment w:val="bottom"/>
    </w:pPr>
    <w:rPr>
      <w:color w:val="000000"/>
      <w:kern w:val="0"/>
      <w:sz w:val="22"/>
      <w:szCs w:val="22"/>
    </w:rPr>
  </w:style>
  <w:style w:type="paragraph" w:customStyle="1" w:styleId="252">
    <w:name w:val="itemlistintable"/>
    <w:basedOn w:val="1"/>
    <w:qFormat/>
    <w:uiPriority w:val="0"/>
    <w:pPr>
      <w:widowControl/>
      <w:spacing w:before="100" w:beforeAutospacing="1" w:after="100" w:afterAutospacing="1"/>
      <w:jc w:val="left"/>
    </w:pPr>
    <w:rPr>
      <w:rFonts w:ascii="宋体" w:cs="宋体"/>
      <w:kern w:val="0"/>
      <w:sz w:val="24"/>
      <w:szCs w:val="24"/>
    </w:rPr>
  </w:style>
  <w:style w:type="paragraph" w:customStyle="1" w:styleId="253">
    <w:name w:val="正文文本缩进 + 四号"/>
    <w:basedOn w:val="19"/>
    <w:qFormat/>
    <w:uiPriority w:val="0"/>
    <w:pPr>
      <w:spacing w:line="360" w:lineRule="auto"/>
      <w:ind w:firstLine="200" w:firstLineChars="200"/>
    </w:pPr>
    <w:rPr>
      <w:rFonts w:ascii="仿宋_GB2312" w:eastAsia="仿宋_GB2312"/>
      <w:color w:val="000000"/>
      <w:sz w:val="28"/>
      <w:szCs w:val="28"/>
    </w:rPr>
  </w:style>
  <w:style w:type="paragraph" w:customStyle="1" w:styleId="254">
    <w:name w:val="et1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55">
    <w:name w:val="文档正文"/>
    <w:basedOn w:val="1"/>
    <w:qFormat/>
    <w:uiPriority w:val="0"/>
    <w:pPr>
      <w:adjustRightInd w:val="0"/>
      <w:spacing w:line="480" w:lineRule="atLeast"/>
      <w:ind w:firstLine="200" w:firstLineChars="200"/>
      <w:textAlignment w:val="baseline"/>
    </w:pPr>
    <w:rPr>
      <w:rFonts w:ascii="长城仿宋" w:eastAsia="长城仿宋"/>
      <w:kern w:val="0"/>
      <w:sz w:val="28"/>
    </w:rPr>
  </w:style>
  <w:style w:type="paragraph" w:customStyle="1" w:styleId="256">
    <w:name w:val="Char11"/>
    <w:basedOn w:val="1"/>
    <w:qFormat/>
    <w:uiPriority w:val="0"/>
    <w:rPr>
      <w:szCs w:val="24"/>
    </w:rPr>
  </w:style>
  <w:style w:type="paragraph" w:customStyle="1" w:styleId="257">
    <w:name w:val="Default"/>
    <w:next w:val="1"/>
    <w:qFormat/>
    <w:uiPriority w:val="0"/>
    <w:pPr>
      <w:widowControl w:val="0"/>
      <w:autoSpaceDE w:val="0"/>
      <w:autoSpaceDN w:val="0"/>
      <w:adjustRightInd w:val="0"/>
      <w:ind w:left="425"/>
    </w:pPr>
    <w:rPr>
      <w:rFonts w:ascii="黑体" w:hAnsi="Times New Roman" w:eastAsia="黑体" w:cs="黑体"/>
      <w:color w:val="000000"/>
      <w:sz w:val="24"/>
      <w:szCs w:val="24"/>
      <w:lang w:val="en-US" w:eastAsia="zh-CN" w:bidi="ar-SA"/>
    </w:rPr>
  </w:style>
  <w:style w:type="paragraph" w:customStyle="1" w:styleId="258">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259">
    <w:name w:val="Normal 2"/>
    <w:basedOn w:val="1"/>
    <w:qFormat/>
    <w:uiPriority w:val="0"/>
    <w:pPr>
      <w:keepLines/>
      <w:widowControl/>
      <w:autoSpaceDE w:val="0"/>
      <w:autoSpaceDN w:val="0"/>
      <w:adjustRightInd w:val="0"/>
      <w:spacing w:before="240"/>
      <w:ind w:left="360" w:right="900"/>
      <w:jc w:val="left"/>
    </w:pPr>
    <w:rPr>
      <w:rFonts w:ascii="Arial" w:hAnsi="Arial"/>
      <w:kern w:val="0"/>
      <w:sz w:val="22"/>
    </w:rPr>
  </w:style>
  <w:style w:type="paragraph" w:customStyle="1" w:styleId="260">
    <w:name w:val="无间距"/>
    <w:qFormat/>
    <w:uiPriority w:val="0"/>
    <w:rPr>
      <w:rFonts w:ascii="Times New Roman" w:hAnsi="Times New Roman" w:eastAsia="宋体" w:cs="Times New Roman"/>
      <w:sz w:val="22"/>
      <w:lang w:val="en-US" w:eastAsia="zh-CN" w:bidi="ar-SA"/>
    </w:rPr>
  </w:style>
  <w:style w:type="paragraph" w:customStyle="1" w:styleId="261">
    <w:name w:val="et1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2">
    <w:name w:val="列出段落1"/>
    <w:basedOn w:val="1"/>
    <w:qFormat/>
    <w:uiPriority w:val="34"/>
    <w:pPr>
      <w:ind w:firstLine="200" w:firstLineChars="200"/>
    </w:pPr>
    <w:rPr>
      <w:rFonts w:ascii="Calibri" w:hAnsi="Calibri"/>
      <w:sz w:val="22"/>
    </w:rPr>
  </w:style>
  <w:style w:type="paragraph" w:customStyle="1" w:styleId="263">
    <w:name w:val="et5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5">
    <w:name w:val="et4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6">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267">
    <w:name w:val="font1"/>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268">
    <w:name w:val="et3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69">
    <w:name w:val="表格"/>
    <w:basedOn w:val="1"/>
    <w:qFormat/>
    <w:uiPriority w:val="0"/>
    <w:pPr>
      <w:spacing w:line="276" w:lineRule="auto"/>
      <w:jc w:val="center"/>
    </w:pPr>
    <w:rPr>
      <w:rFonts w:ascii="宋体"/>
      <w:szCs w:val="22"/>
    </w:rPr>
  </w:style>
  <w:style w:type="paragraph" w:customStyle="1" w:styleId="270">
    <w:name w:val="et5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1">
    <w:name w:val="Char Char Char Char Char Char2 Char Char Char Char2"/>
    <w:basedOn w:val="1"/>
    <w:qFormat/>
    <w:uiPriority w:val="0"/>
    <w:rPr>
      <w:szCs w:val="24"/>
    </w:rPr>
  </w:style>
  <w:style w:type="paragraph" w:customStyle="1" w:styleId="272">
    <w:name w:val="et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73">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4">
    <w:name w:val="Table Text"/>
    <w:basedOn w:val="1"/>
    <w:qFormat/>
    <w:uiPriority w:val="0"/>
    <w:pPr>
      <w:widowControl/>
      <w:jc w:val="left"/>
    </w:pPr>
    <w:rPr>
      <w:rFonts w:ascii="Arial" w:hAnsi="Arial"/>
      <w:kern w:val="0"/>
      <w:szCs w:val="21"/>
    </w:rPr>
  </w:style>
  <w:style w:type="paragraph" w:customStyle="1" w:styleId="275">
    <w:name w:val="TOC 标题1"/>
    <w:basedOn w:val="3"/>
    <w:next w:val="1"/>
    <w:qFormat/>
    <w:uiPriority w:val="0"/>
    <w:pPr>
      <w:keepLines/>
      <w:widowControl/>
      <w:spacing w:line="276" w:lineRule="auto"/>
      <w:jc w:val="left"/>
      <w:outlineLvl w:val="9"/>
    </w:pPr>
    <w:rPr>
      <w:rFonts w:ascii="Cambria" w:hAnsi="Cambria"/>
      <w:bCs/>
      <w:color w:val="365F91"/>
      <w:kern w:val="0"/>
      <w:sz w:val="28"/>
      <w:szCs w:val="28"/>
    </w:rPr>
  </w:style>
  <w:style w:type="paragraph" w:customStyle="1" w:styleId="27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77">
    <w:name w:val="样式 样式 首行缩进:  2.25 字符 + 首行缩进:  2.25 字符"/>
    <w:basedOn w:val="1"/>
    <w:qFormat/>
    <w:uiPriority w:val="0"/>
    <w:pPr>
      <w:spacing w:line="360" w:lineRule="auto"/>
      <w:ind w:firstLine="200" w:firstLineChars="200"/>
    </w:pPr>
    <w:rPr>
      <w:rFonts w:ascii="宋体"/>
      <w:b/>
      <w:kern w:val="0"/>
      <w:sz w:val="20"/>
      <w:szCs w:val="21"/>
    </w:rPr>
  </w:style>
  <w:style w:type="paragraph" w:customStyle="1" w:styleId="278">
    <w:name w:val="Char22"/>
    <w:basedOn w:val="1"/>
    <w:qFormat/>
    <w:uiPriority w:val="0"/>
    <w:rPr>
      <w:rFonts w:ascii="仿宋_GB2312" w:eastAsia="仿宋_GB2312"/>
      <w:b/>
      <w:sz w:val="32"/>
      <w:szCs w:val="32"/>
    </w:rPr>
  </w:style>
  <w:style w:type="paragraph" w:customStyle="1" w:styleId="279">
    <w:name w:val="Char13"/>
    <w:basedOn w:val="1"/>
    <w:qFormat/>
    <w:uiPriority w:val="0"/>
    <w:rPr>
      <w:szCs w:val="22"/>
    </w:rPr>
  </w:style>
  <w:style w:type="paragraph" w:customStyle="1" w:styleId="280">
    <w:name w:val="_Style 277"/>
    <w:basedOn w:val="3"/>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281">
    <w:name w:val="et4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2">
    <w:name w:val="font0"/>
    <w:basedOn w:val="1"/>
    <w:qFormat/>
    <w:uiPriority w:val="0"/>
    <w:pPr>
      <w:widowControl/>
      <w:spacing w:before="100" w:beforeAutospacing="1" w:after="100" w:afterAutospacing="1"/>
      <w:jc w:val="left"/>
    </w:pPr>
    <w:rPr>
      <w:rFonts w:ascii="华文细黑" w:eastAsia="华文细黑" w:cs="宋体"/>
      <w:color w:val="000000"/>
      <w:kern w:val="0"/>
      <w:sz w:val="18"/>
      <w:szCs w:val="18"/>
      <w:vertAlign w:val="superscript"/>
    </w:rPr>
  </w:style>
  <w:style w:type="paragraph" w:customStyle="1" w:styleId="283">
    <w:name w:val="xl1107"/>
    <w:basedOn w:val="1"/>
    <w:qFormat/>
    <w:uiPriority w:val="0"/>
    <w:pPr>
      <w:widowControl/>
      <w:spacing w:before="100" w:beforeAutospacing="1" w:after="100" w:afterAutospacing="1"/>
      <w:jc w:val="center"/>
    </w:pPr>
    <w:rPr>
      <w:rFonts w:ascii="宋体" w:cs="宋体"/>
      <w:kern w:val="0"/>
      <w:sz w:val="20"/>
    </w:rPr>
  </w:style>
  <w:style w:type="paragraph" w:customStyle="1" w:styleId="284">
    <w:name w:val="Char Char Char Char Char Char Char11"/>
    <w:basedOn w:val="1"/>
    <w:qFormat/>
    <w:uiPriority w:val="0"/>
    <w:pPr>
      <w:tabs>
        <w:tab w:val="left" w:pos="432"/>
      </w:tabs>
      <w:ind w:left="432" w:hanging="432"/>
    </w:pPr>
    <w:rPr>
      <w:rFonts w:ascii="Tahoma" w:hAnsi="Tahoma"/>
      <w:sz w:val="24"/>
    </w:rPr>
  </w:style>
  <w:style w:type="paragraph" w:customStyle="1" w:styleId="285">
    <w:name w:val="et2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86">
    <w:name w:val="标题3"/>
    <w:basedOn w:val="5"/>
    <w:qFormat/>
    <w:uiPriority w:val="0"/>
    <w:pPr>
      <w:tabs>
        <w:tab w:val="left" w:pos="113"/>
        <w:tab w:val="left" w:pos="840"/>
        <w:tab w:val="clear" w:pos="1620"/>
      </w:tabs>
      <w:spacing w:before="100" w:beforeLines="0" w:beforeAutospacing="1" w:afterLines="0" w:line="300" w:lineRule="auto"/>
      <w:ind w:left="1180" w:hanging="340"/>
    </w:pPr>
    <w:rPr>
      <w:rFonts w:ascii="Times New Roman"/>
      <w:b w:val="0"/>
      <w:bCs/>
      <w:spacing w:val="6"/>
      <w:kern w:val="44"/>
      <w:sz w:val="28"/>
      <w:szCs w:val="20"/>
      <w:lang w:val="ru-RU" w:eastAsia="ru-RU"/>
    </w:rPr>
  </w:style>
  <w:style w:type="paragraph" w:customStyle="1" w:styleId="287">
    <w:name w:val="样式4"/>
    <w:basedOn w:val="3"/>
    <w:qFormat/>
    <w:uiPriority w:val="0"/>
    <w:pPr>
      <w:keepLines/>
      <w:spacing w:line="360" w:lineRule="auto"/>
    </w:pPr>
    <w:rPr>
      <w:rFonts w:ascii="黑体" w:eastAsia="黑体"/>
      <w:b w:val="0"/>
      <w:szCs w:val="20"/>
    </w:rPr>
  </w:style>
  <w:style w:type="paragraph" w:customStyle="1" w:styleId="288">
    <w:name w:val="tabletextcharchar"/>
    <w:basedOn w:val="1"/>
    <w:qFormat/>
    <w:uiPriority w:val="0"/>
    <w:pPr>
      <w:widowControl/>
      <w:spacing w:before="100" w:beforeAutospacing="1" w:after="100" w:afterAutospacing="1"/>
      <w:jc w:val="left"/>
    </w:pPr>
    <w:rPr>
      <w:rFonts w:ascii="宋体" w:cs="宋体"/>
      <w:kern w:val="0"/>
      <w:sz w:val="24"/>
      <w:szCs w:val="24"/>
    </w:rPr>
  </w:style>
  <w:style w:type="paragraph" w:customStyle="1" w:styleId="289">
    <w:name w:val="哈哈正文"/>
    <w:basedOn w:val="1"/>
    <w:qFormat/>
    <w:uiPriority w:val="0"/>
    <w:pPr>
      <w:spacing w:line="360" w:lineRule="auto"/>
      <w:ind w:firstLine="200" w:firstLineChars="200"/>
    </w:pPr>
    <w:rPr>
      <w:rFonts w:ascii="宋体"/>
      <w:sz w:val="24"/>
    </w:rPr>
  </w:style>
  <w:style w:type="paragraph" w:customStyle="1" w:styleId="290">
    <w:name w:val="et3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91">
    <w:name w:val="et1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292">
    <w:name w:val="et8"/>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29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94">
    <w:name w:val="Char21"/>
    <w:basedOn w:val="1"/>
    <w:qFormat/>
    <w:uiPriority w:val="0"/>
    <w:rPr>
      <w:rFonts w:ascii="仿宋_GB2312" w:eastAsia="仿宋_GB2312"/>
      <w:b/>
      <w:sz w:val="32"/>
      <w:szCs w:val="32"/>
    </w:rPr>
  </w:style>
  <w:style w:type="paragraph" w:customStyle="1" w:styleId="295">
    <w:name w:val="xl1102"/>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296">
    <w:name w:val="样式 标题 3 + (中文) 黑体 小四 非加粗 段前: 7.8 磅 段后: 0 磅 行距: 固定值 20 磅"/>
    <w:basedOn w:val="5"/>
    <w:qFormat/>
    <w:uiPriority w:val="0"/>
    <w:pPr>
      <w:keepNext w:val="0"/>
      <w:keepLines w:val="0"/>
      <w:tabs>
        <w:tab w:val="clear" w:pos="1620"/>
      </w:tabs>
      <w:autoSpaceDE w:val="0"/>
      <w:autoSpaceDN w:val="0"/>
      <w:adjustRightInd w:val="0"/>
      <w:spacing w:before="260" w:beforeLines="0" w:after="260" w:afterLines="0" w:line="400" w:lineRule="exact"/>
      <w:ind w:left="0" w:firstLine="0"/>
      <w:jc w:val="left"/>
    </w:pPr>
    <w:rPr>
      <w:rFonts w:eastAsia="黑体" w:cs="宋体"/>
      <w:b w:val="0"/>
      <w:bCs/>
      <w:kern w:val="0"/>
      <w:sz w:val="24"/>
      <w:szCs w:val="20"/>
    </w:rPr>
  </w:style>
  <w:style w:type="paragraph" w:customStyle="1" w:styleId="297">
    <w:name w:val="xl1129"/>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cs="宋体"/>
      <w:b/>
      <w:bCs/>
      <w:kern w:val="0"/>
      <w:szCs w:val="21"/>
    </w:rPr>
  </w:style>
  <w:style w:type="paragraph" w:customStyle="1" w:styleId="298">
    <w:name w:val="2"/>
    <w:basedOn w:val="1"/>
    <w:next w:val="1"/>
    <w:qFormat/>
    <w:uiPriority w:val="0"/>
    <w:rPr>
      <w:rFonts w:ascii="Calibri" w:hAnsi="Calibri" w:eastAsia="仿宋_GB2312"/>
      <w:sz w:val="18"/>
    </w:rPr>
  </w:style>
  <w:style w:type="paragraph" w:customStyle="1" w:styleId="299">
    <w:name w:val="Char4"/>
    <w:basedOn w:val="1"/>
    <w:qFormat/>
    <w:uiPriority w:val="0"/>
    <w:rPr>
      <w:rFonts w:ascii="Tahoma" w:hAnsi="Tahoma"/>
      <w:sz w:val="24"/>
    </w:rPr>
  </w:style>
  <w:style w:type="paragraph" w:customStyle="1" w:styleId="300">
    <w:name w:val="Char Char Char1 Char"/>
    <w:basedOn w:val="1"/>
    <w:qFormat/>
    <w:uiPriority w:val="0"/>
    <w:pPr>
      <w:spacing w:line="360" w:lineRule="auto"/>
      <w:ind w:firstLine="200" w:firstLineChars="200"/>
    </w:pPr>
  </w:style>
  <w:style w:type="paragraph" w:customStyle="1" w:styleId="301">
    <w:name w:val="et4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2">
    <w:name w:val="Proposals body"/>
    <w:basedOn w:val="1"/>
    <w:next w:val="1"/>
    <w:qFormat/>
    <w:uiPriority w:val="0"/>
    <w:pPr>
      <w:widowControl/>
      <w:spacing w:line="360" w:lineRule="auto"/>
      <w:jc w:val="left"/>
    </w:pPr>
    <w:rPr>
      <w:rFonts w:ascii="宋体"/>
      <w:color w:val="000000"/>
      <w:kern w:val="0"/>
      <w:sz w:val="24"/>
    </w:rPr>
  </w:style>
  <w:style w:type="paragraph" w:customStyle="1" w:styleId="303">
    <w:name w:val="xl1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04">
    <w:name w:val="xl25"/>
    <w:basedOn w:val="1"/>
    <w:qFormat/>
    <w:uiPriority w:val="0"/>
    <w:pPr>
      <w:widowControl/>
      <w:spacing w:before="100" w:beforeAutospacing="1" w:after="100" w:afterAutospacing="1"/>
      <w:jc w:val="center"/>
      <w:textAlignment w:val="center"/>
    </w:pPr>
    <w:rPr>
      <w:rFonts w:ascii="宋体"/>
      <w:kern w:val="0"/>
      <w:sz w:val="20"/>
    </w:rPr>
  </w:style>
  <w:style w:type="paragraph" w:customStyle="1" w:styleId="305">
    <w:name w:val="xl1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306">
    <w:name w:val="et3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7">
    <w:name w:val="et2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08">
    <w:name w:val="xl1124"/>
    <w:basedOn w:val="1"/>
    <w:qFormat/>
    <w:uiPriority w:val="0"/>
    <w:pPr>
      <w:widowControl/>
      <w:spacing w:before="100" w:beforeAutospacing="1" w:after="100" w:afterAutospacing="1"/>
      <w:jc w:val="left"/>
    </w:pPr>
    <w:rPr>
      <w:rFonts w:ascii="宋体" w:cs="宋体"/>
      <w:kern w:val="0"/>
      <w:sz w:val="24"/>
      <w:szCs w:val="24"/>
    </w:rPr>
  </w:style>
  <w:style w:type="paragraph" w:customStyle="1" w:styleId="309">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310">
    <w:name w:val="列出段落11"/>
    <w:basedOn w:val="1"/>
    <w:qFormat/>
    <w:uiPriority w:val="0"/>
    <w:pPr>
      <w:ind w:firstLine="200" w:firstLineChars="200"/>
    </w:pPr>
    <w:rPr>
      <w:szCs w:val="24"/>
    </w:rPr>
  </w:style>
  <w:style w:type="paragraph" w:customStyle="1" w:styleId="311">
    <w:name w:val="xl1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12">
    <w:name w:val="xl108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cs="宋体"/>
      <w:b/>
      <w:bCs/>
      <w:kern w:val="0"/>
      <w:sz w:val="20"/>
    </w:rPr>
  </w:style>
  <w:style w:type="paragraph" w:customStyle="1" w:styleId="313">
    <w:name w:val="金保标题3"/>
    <w:basedOn w:val="5"/>
    <w:next w:val="1"/>
    <w:qFormat/>
    <w:uiPriority w:val="0"/>
    <w:pPr>
      <w:tabs>
        <w:tab w:val="left" w:pos="0"/>
        <w:tab w:val="clear" w:pos="1620"/>
      </w:tabs>
      <w:spacing w:beforeLines="0" w:afterLines="0" w:line="240" w:lineRule="auto"/>
      <w:ind w:left="0" w:firstLine="0"/>
      <w:jc w:val="left"/>
    </w:pPr>
    <w:rPr>
      <w:rFonts w:ascii="楷体" w:eastAsia="楷体"/>
      <w:kern w:val="0"/>
      <w:sz w:val="28"/>
      <w:szCs w:val="20"/>
    </w:rPr>
  </w:style>
  <w:style w:type="paragraph" w:customStyle="1" w:styleId="314">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315">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cs="宋体"/>
      <w:kern w:val="0"/>
      <w:sz w:val="20"/>
    </w:rPr>
  </w:style>
  <w:style w:type="paragraph" w:customStyle="1" w:styleId="316">
    <w:name w:val="et37"/>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17">
    <w:name w:val="Char Char Char Char Char Char2 Char Char Char Char"/>
    <w:basedOn w:val="1"/>
    <w:qFormat/>
    <w:uiPriority w:val="0"/>
    <w:rPr>
      <w:szCs w:val="24"/>
    </w:rPr>
  </w:style>
  <w:style w:type="paragraph" w:customStyle="1" w:styleId="318">
    <w:name w:val="xl1096"/>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cs="宋体"/>
      <w:b/>
      <w:bCs/>
      <w:kern w:val="0"/>
      <w:sz w:val="20"/>
    </w:rPr>
  </w:style>
  <w:style w:type="paragraph" w:customStyle="1" w:styleId="319">
    <w:name w:val="et1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20">
    <w:name w:val="et3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1">
    <w:name w:val="标准小四"/>
    <w:basedOn w:val="1"/>
    <w:qFormat/>
    <w:uiPriority w:val="0"/>
    <w:pPr>
      <w:spacing w:line="360" w:lineRule="auto"/>
      <w:ind w:firstLine="200" w:firstLineChars="200"/>
    </w:pPr>
    <w:rPr>
      <w:rFonts w:ascii="Arial" w:hAnsi="Arial"/>
      <w:sz w:val="24"/>
      <w:szCs w:val="21"/>
    </w:rPr>
  </w:style>
  <w:style w:type="paragraph" w:customStyle="1" w:styleId="322">
    <w:name w:val="Char12"/>
    <w:basedOn w:val="1"/>
    <w:qFormat/>
    <w:uiPriority w:val="0"/>
    <w:rPr>
      <w:szCs w:val="22"/>
    </w:rPr>
  </w:style>
  <w:style w:type="paragraph" w:customStyle="1" w:styleId="323">
    <w:name w:val="et9"/>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24">
    <w:name w:val="et2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5">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26">
    <w:name w:val="xl1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Cs w:val="21"/>
    </w:rPr>
  </w:style>
  <w:style w:type="paragraph" w:customStyle="1" w:styleId="327">
    <w:name w:val="et48"/>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28">
    <w:name w:val="xl111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329">
    <w:name w:val="标准正文"/>
    <w:basedOn w:val="1"/>
    <w:qFormat/>
    <w:uiPriority w:val="0"/>
    <w:pPr>
      <w:adjustRightInd w:val="0"/>
      <w:spacing w:line="360" w:lineRule="auto"/>
      <w:ind w:firstLine="200" w:firstLineChars="200"/>
    </w:pPr>
    <w:rPr>
      <w:kern w:val="0"/>
      <w:sz w:val="24"/>
    </w:rPr>
  </w:style>
  <w:style w:type="paragraph" w:customStyle="1" w:styleId="330">
    <w:name w:val="et4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31">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332">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eastAsia="黑体" w:cs="宋体"/>
      <w:b/>
      <w:bCs/>
      <w:kern w:val="0"/>
      <w:sz w:val="40"/>
      <w:szCs w:val="40"/>
    </w:rPr>
  </w:style>
  <w:style w:type="paragraph" w:customStyle="1" w:styleId="333">
    <w:name w:val="xl112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b/>
      <w:bCs/>
      <w:kern w:val="0"/>
      <w:sz w:val="24"/>
      <w:szCs w:val="24"/>
    </w:rPr>
  </w:style>
  <w:style w:type="paragraph" w:customStyle="1" w:styleId="334">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35">
    <w:name w:val="Char Char Char Char Char Char Char1"/>
    <w:basedOn w:val="1"/>
    <w:qFormat/>
    <w:uiPriority w:val="0"/>
    <w:rPr>
      <w:rFonts w:ascii="仿宋_GB2312" w:eastAsia="仿宋_GB2312"/>
      <w:b/>
      <w:sz w:val="32"/>
      <w:szCs w:val="32"/>
    </w:rPr>
  </w:style>
  <w:style w:type="paragraph" w:customStyle="1" w:styleId="336">
    <w:name w:val="et20"/>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37">
    <w:name w:val="样式3"/>
    <w:basedOn w:val="26"/>
    <w:next w:val="1"/>
    <w:qFormat/>
    <w:uiPriority w:val="0"/>
    <w:pPr>
      <w:tabs>
        <w:tab w:val="left" w:pos="709"/>
      </w:tabs>
      <w:spacing w:before="0" w:after="0"/>
      <w:ind w:left="709" w:hanging="709"/>
    </w:pPr>
    <w:rPr>
      <w:rFonts w:ascii="Tahoma" w:hAnsi="Tahoma"/>
      <w:sz w:val="28"/>
    </w:rPr>
  </w:style>
  <w:style w:type="paragraph" w:customStyle="1" w:styleId="338">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39">
    <w:name w:val="List Paragraph1"/>
    <w:basedOn w:val="1"/>
    <w:qFormat/>
    <w:uiPriority w:val="0"/>
    <w:pPr>
      <w:widowControl/>
      <w:spacing w:before="15" w:after="15" w:line="460" w:lineRule="exact"/>
      <w:ind w:firstLine="200" w:firstLineChars="200"/>
      <w:jc w:val="left"/>
    </w:pPr>
    <w:rPr>
      <w:rFonts w:ascii="Calibri" w:hAnsi="Calibri"/>
      <w:sz w:val="24"/>
      <w:szCs w:val="22"/>
    </w:rPr>
  </w:style>
  <w:style w:type="paragraph" w:customStyle="1" w:styleId="340">
    <w:name w:val="中等深浅网格 1 - 强调文字颜色 21"/>
    <w:basedOn w:val="1"/>
    <w:qFormat/>
    <w:uiPriority w:val="0"/>
    <w:pPr>
      <w:ind w:firstLine="200" w:firstLineChars="200"/>
    </w:pPr>
    <w:rPr>
      <w:rFonts w:ascii="Calibri" w:hAnsi="Calibri"/>
      <w:sz w:val="22"/>
    </w:rPr>
  </w:style>
  <w:style w:type="paragraph" w:customStyle="1" w:styleId="341">
    <w:name w:val="xl1125"/>
    <w:basedOn w:val="1"/>
    <w:qFormat/>
    <w:uiPriority w:val="0"/>
    <w:pPr>
      <w:widowControl/>
      <w:pBdr>
        <w:top w:val="single" w:color="auto" w:sz="4" w:space="0"/>
        <w:bottom w:val="single" w:color="auto" w:sz="4" w:space="0"/>
      </w:pBdr>
      <w:shd w:val="clear" w:color="000000" w:fill="DCE6F1"/>
      <w:spacing w:before="100" w:beforeAutospacing="1" w:after="100" w:afterAutospacing="1"/>
      <w:jc w:val="left"/>
    </w:pPr>
    <w:rPr>
      <w:rFonts w:ascii="宋体" w:cs="宋体"/>
      <w:b/>
      <w:bCs/>
      <w:kern w:val="0"/>
      <w:sz w:val="24"/>
      <w:szCs w:val="24"/>
    </w:rPr>
  </w:style>
  <w:style w:type="paragraph" w:customStyle="1" w:styleId="342">
    <w:name w:val="招标_表格2"/>
    <w:basedOn w:val="1"/>
    <w:next w:val="1"/>
    <w:qFormat/>
    <w:uiPriority w:val="0"/>
    <w:rPr>
      <w:rFonts w:ascii="宋体" w:hAnsi="宋体"/>
      <w:sz w:val="20"/>
    </w:rPr>
  </w:style>
  <w:style w:type="paragraph" w:customStyle="1" w:styleId="343">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44">
    <w:name w:val="Char"/>
    <w:basedOn w:val="1"/>
    <w:qFormat/>
    <w:uiPriority w:val="0"/>
    <w:pPr>
      <w:widowControl/>
      <w:spacing w:after="160" w:line="240" w:lineRule="exact"/>
      <w:ind w:left="-62" w:right="15" w:rightChars="15"/>
      <w:jc w:val="left"/>
    </w:pPr>
    <w:rPr>
      <w:rFonts w:ascii="Arial" w:hAnsi="Arial"/>
      <w:kern w:val="0"/>
      <w:sz w:val="20"/>
    </w:rPr>
  </w:style>
  <w:style w:type="paragraph" w:customStyle="1" w:styleId="345">
    <w:name w:val="et5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46">
    <w:name w:val="样式5"/>
    <w:basedOn w:val="1"/>
    <w:qFormat/>
    <w:uiPriority w:val="0"/>
    <w:pPr>
      <w:keepNext/>
      <w:keepLines/>
      <w:spacing w:before="280" w:after="290" w:line="376" w:lineRule="auto"/>
      <w:ind w:left="100" w:leftChars="100" w:right="100" w:rightChars="100"/>
      <w:outlineLvl w:val="4"/>
    </w:pPr>
    <w:rPr>
      <w:b/>
      <w:sz w:val="28"/>
    </w:rPr>
  </w:style>
  <w:style w:type="paragraph" w:customStyle="1" w:styleId="347">
    <w:name w:val="纯文本1"/>
    <w:basedOn w:val="1"/>
    <w:qFormat/>
    <w:uiPriority w:val="0"/>
    <w:rPr>
      <w:rFonts w:ascii="宋体"/>
    </w:rPr>
  </w:style>
  <w:style w:type="paragraph" w:customStyle="1" w:styleId="348">
    <w:name w:val="[正文行首缩进]"/>
    <w:qFormat/>
    <w:uiPriority w:val="0"/>
    <w:pPr>
      <w:widowControl w:val="0"/>
      <w:spacing w:line="360" w:lineRule="auto"/>
      <w:ind w:firstLine="200" w:firstLineChars="200"/>
      <w:jc w:val="both"/>
    </w:pPr>
    <w:rPr>
      <w:rFonts w:ascii="Times New Roman" w:hAnsi="Times New Roman" w:eastAsia="宋体" w:cs="Times New Roman"/>
      <w:color w:val="000000"/>
      <w:sz w:val="24"/>
      <w:szCs w:val="24"/>
      <w:lang w:val="en-US" w:eastAsia="zh-CN" w:bidi="ar-SA"/>
    </w:rPr>
  </w:style>
  <w:style w:type="paragraph" w:customStyle="1" w:styleId="349">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50">
    <w:name w:val="font7"/>
    <w:basedOn w:val="1"/>
    <w:qFormat/>
    <w:uiPriority w:val="0"/>
    <w:pPr>
      <w:widowControl/>
      <w:spacing w:before="100" w:beforeAutospacing="1" w:after="100" w:afterAutospacing="1"/>
      <w:jc w:val="left"/>
    </w:pPr>
    <w:rPr>
      <w:kern w:val="0"/>
      <w:sz w:val="20"/>
    </w:rPr>
  </w:style>
  <w:style w:type="paragraph" w:customStyle="1" w:styleId="351">
    <w:name w:val="2册标题2"/>
    <w:basedOn w:val="1"/>
    <w:next w:val="1"/>
    <w:qFormat/>
    <w:uiPriority w:val="0"/>
    <w:pPr>
      <w:spacing w:before="50" w:beforeLines="50" w:after="50" w:afterLines="50" w:line="300" w:lineRule="auto"/>
      <w:outlineLvl w:val="1"/>
    </w:pPr>
    <w:rPr>
      <w:rFonts w:ascii="Arial" w:hAnsi="Arial" w:eastAsia="黑体"/>
      <w:sz w:val="30"/>
      <w:szCs w:val="30"/>
    </w:rPr>
  </w:style>
  <w:style w:type="paragraph" w:customStyle="1" w:styleId="352">
    <w:name w:val="et24"/>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53">
    <w:name w:val="et59"/>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5">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56">
    <w:name w:val="Table Paragraph"/>
    <w:basedOn w:val="1"/>
    <w:qFormat/>
    <w:uiPriority w:val="0"/>
    <w:pPr>
      <w:spacing w:before="100" w:beforeAutospacing="1" w:after="100" w:afterAutospacing="1" w:line="360" w:lineRule="auto"/>
    </w:pPr>
    <w:rPr>
      <w:sz w:val="24"/>
      <w:szCs w:val="24"/>
    </w:rPr>
  </w:style>
  <w:style w:type="paragraph" w:customStyle="1" w:styleId="357">
    <w:name w:val="xl10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cs="宋体"/>
      <w:kern w:val="0"/>
      <w:sz w:val="20"/>
    </w:rPr>
  </w:style>
  <w:style w:type="paragraph" w:customStyle="1" w:styleId="358">
    <w:name w:val="et4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59">
    <w:name w:val="彩色列表 - 强调文字颜色 11"/>
    <w:basedOn w:val="1"/>
    <w:qFormat/>
    <w:uiPriority w:val="0"/>
    <w:pPr>
      <w:ind w:firstLine="200" w:firstLineChars="200"/>
    </w:pPr>
    <w:rPr>
      <w:rFonts w:ascii="Calibri" w:hAnsi="Calibri"/>
      <w:szCs w:val="22"/>
    </w:rPr>
  </w:style>
  <w:style w:type="paragraph" w:customStyle="1" w:styleId="360">
    <w:name w:val="et31"/>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61">
    <w:name w:val="font3"/>
    <w:basedOn w:val="1"/>
    <w:qFormat/>
    <w:uiPriority w:val="0"/>
    <w:pPr>
      <w:widowControl/>
      <w:spacing w:before="100" w:beforeAutospacing="1" w:after="100" w:afterAutospacing="1"/>
      <w:jc w:val="left"/>
    </w:pPr>
    <w:rPr>
      <w:rFonts w:ascii="宋体" w:cs="宋体"/>
      <w:color w:val="000000"/>
      <w:kern w:val="0"/>
      <w:sz w:val="24"/>
      <w:szCs w:val="24"/>
    </w:rPr>
  </w:style>
  <w:style w:type="paragraph" w:customStyle="1" w:styleId="362">
    <w:name w:val="Char Char Char Char"/>
    <w:basedOn w:val="1"/>
    <w:qFormat/>
    <w:uiPriority w:val="0"/>
    <w:pPr>
      <w:widowControl/>
      <w:spacing w:line="400" w:lineRule="exact"/>
      <w:jc w:val="center"/>
    </w:pPr>
    <w:rPr>
      <w:rFonts w:ascii="Verdana" w:hAnsi="Verdana"/>
      <w:kern w:val="0"/>
    </w:rPr>
  </w:style>
  <w:style w:type="paragraph" w:customStyle="1" w:styleId="363">
    <w:name w:val="Char Char Char Char Char Char Char2"/>
    <w:basedOn w:val="1"/>
    <w:qFormat/>
    <w:uiPriority w:val="0"/>
    <w:rPr>
      <w:rFonts w:ascii="仿宋_GB2312" w:eastAsia="仿宋_GB2312"/>
      <w:b/>
      <w:sz w:val="32"/>
      <w:szCs w:val="32"/>
    </w:rPr>
  </w:style>
  <w:style w:type="paragraph" w:customStyle="1" w:styleId="364">
    <w:name w:val="et12"/>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65">
    <w:name w:val="表格正文"/>
    <w:basedOn w:val="1"/>
    <w:qFormat/>
    <w:uiPriority w:val="0"/>
    <w:rPr>
      <w:rFonts w:eastAsia="黑体"/>
    </w:rPr>
  </w:style>
  <w:style w:type="paragraph" w:customStyle="1" w:styleId="366">
    <w:name w:val="_Style 363"/>
    <w:basedOn w:val="1"/>
    <w:next w:val="1"/>
    <w:qFormat/>
    <w:uiPriority w:val="0"/>
    <w:pPr>
      <w:pBdr>
        <w:bottom w:val="single" w:color="auto" w:sz="6" w:space="1"/>
      </w:pBdr>
      <w:jc w:val="center"/>
    </w:pPr>
    <w:rPr>
      <w:rFonts w:ascii="Arial" w:hAnsi="Arial"/>
      <w:vanish/>
      <w:kern w:val="0"/>
      <w:sz w:val="16"/>
      <w:szCs w:val="24"/>
    </w:rPr>
  </w:style>
  <w:style w:type="paragraph" w:customStyle="1" w:styleId="367">
    <w:name w:val="et40"/>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68">
    <w:name w:val="默认段落字体 Para Char Char Char Char Char Char Char Char Char1 Char Char Char Char"/>
    <w:basedOn w:val="1"/>
    <w:qFormat/>
    <w:uiPriority w:val="0"/>
    <w:rPr>
      <w:rFonts w:ascii="Tahoma" w:hAnsi="Tahoma"/>
      <w:sz w:val="24"/>
    </w:rPr>
  </w:style>
  <w:style w:type="paragraph" w:customStyle="1" w:styleId="369">
    <w:name w:val="Char Char Char Char2"/>
    <w:basedOn w:val="1"/>
    <w:qFormat/>
    <w:uiPriority w:val="0"/>
    <w:rPr>
      <w:rFonts w:ascii="Tahoma" w:hAnsi="Tahoma"/>
      <w:sz w:val="24"/>
    </w:rPr>
  </w:style>
  <w:style w:type="paragraph" w:customStyle="1" w:styleId="370">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cs="宋体"/>
      <w:kern w:val="0"/>
      <w:sz w:val="20"/>
    </w:rPr>
  </w:style>
  <w:style w:type="paragraph" w:customStyle="1" w:styleId="371">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72">
    <w:name w:val="Char Char Char Char1"/>
    <w:basedOn w:val="1"/>
    <w:qFormat/>
    <w:uiPriority w:val="0"/>
    <w:rPr>
      <w:rFonts w:ascii="Tahoma" w:hAnsi="Tahoma"/>
      <w:sz w:val="24"/>
    </w:rPr>
  </w:style>
  <w:style w:type="paragraph" w:customStyle="1" w:styleId="373">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374">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rPr>
  </w:style>
  <w:style w:type="paragraph" w:customStyle="1" w:styleId="375">
    <w:name w:val="xl1090"/>
    <w:basedOn w:val="1"/>
    <w:qFormat/>
    <w:uiPriority w:val="0"/>
    <w:pPr>
      <w:widowControl/>
      <w:spacing w:before="100" w:beforeAutospacing="1" w:after="100" w:afterAutospacing="1"/>
      <w:jc w:val="center"/>
    </w:pPr>
    <w:rPr>
      <w:rFonts w:ascii="宋体" w:cs="宋体"/>
      <w:kern w:val="0"/>
      <w:sz w:val="20"/>
    </w:rPr>
  </w:style>
  <w:style w:type="paragraph" w:customStyle="1" w:styleId="376">
    <w:name w:val="Char Char Char Char Char Char2 Char Char Char Char1"/>
    <w:basedOn w:val="1"/>
    <w:qFormat/>
    <w:uiPriority w:val="0"/>
    <w:rPr>
      <w:szCs w:val="24"/>
    </w:rPr>
  </w:style>
  <w:style w:type="paragraph" w:customStyle="1" w:styleId="377">
    <w:name w:val="标题1"/>
    <w:basedOn w:val="3"/>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378">
    <w:name w:val="Char1 Char Char Char"/>
    <w:basedOn w:val="1"/>
    <w:qFormat/>
    <w:uiPriority w:val="0"/>
    <w:rPr>
      <w:rFonts w:ascii="Tahoma" w:hAnsi="Tahoma"/>
      <w:sz w:val="24"/>
    </w:rPr>
  </w:style>
  <w:style w:type="paragraph" w:customStyle="1" w:styleId="379">
    <w:name w:val="et45"/>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80">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381">
    <w:name w:val="et11"/>
    <w:basedOn w:val="1"/>
    <w:qFormat/>
    <w:uiPriority w:val="0"/>
    <w:pPr>
      <w:widowControl/>
      <w:spacing w:before="100" w:beforeAutospacing="1" w:after="100" w:afterAutospacing="1"/>
      <w:jc w:val="left"/>
      <w:textAlignment w:val="center"/>
    </w:pPr>
    <w:rPr>
      <w:rFonts w:ascii="华文细黑" w:eastAsia="华文细黑" w:cs="宋体"/>
      <w:color w:val="000000"/>
      <w:kern w:val="0"/>
      <w:sz w:val="20"/>
    </w:rPr>
  </w:style>
  <w:style w:type="paragraph" w:customStyle="1" w:styleId="382">
    <w:name w:val="xl111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cs="宋体"/>
      <w:kern w:val="0"/>
      <w:sz w:val="24"/>
      <w:szCs w:val="24"/>
    </w:rPr>
  </w:style>
  <w:style w:type="paragraph" w:customStyle="1" w:styleId="383">
    <w:name w:val="xl1108"/>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cs="宋体"/>
      <w:b/>
      <w:bCs/>
      <w:kern w:val="0"/>
      <w:sz w:val="20"/>
    </w:rPr>
  </w:style>
  <w:style w:type="paragraph" w:customStyle="1" w:styleId="384">
    <w:name w:val="tabletextchar"/>
    <w:basedOn w:val="1"/>
    <w:qFormat/>
    <w:uiPriority w:val="0"/>
    <w:pPr>
      <w:widowControl/>
      <w:spacing w:before="100" w:beforeAutospacing="1" w:after="100" w:afterAutospacing="1"/>
      <w:jc w:val="left"/>
    </w:pPr>
    <w:rPr>
      <w:rFonts w:ascii="宋体" w:cs="宋体"/>
      <w:kern w:val="0"/>
      <w:sz w:val="24"/>
      <w:szCs w:val="24"/>
    </w:rPr>
  </w:style>
  <w:style w:type="paragraph" w:styleId="385">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6">
    <w:name w:val="et6"/>
    <w:basedOn w:val="1"/>
    <w:qFormat/>
    <w:uiPriority w:val="0"/>
    <w:pPr>
      <w:widowControl/>
      <w:spacing w:before="100" w:beforeAutospacing="1" w:after="100" w:afterAutospacing="1"/>
      <w:jc w:val="left"/>
      <w:textAlignment w:val="center"/>
    </w:pPr>
    <w:rPr>
      <w:rFonts w:ascii="宋体" w:cs="宋体"/>
      <w:color w:val="000000"/>
      <w:kern w:val="0"/>
      <w:sz w:val="24"/>
      <w:szCs w:val="24"/>
    </w:rPr>
  </w:style>
  <w:style w:type="paragraph" w:customStyle="1" w:styleId="387">
    <w:name w:val="正文段"/>
    <w:basedOn w:val="1"/>
    <w:qFormat/>
    <w:uiPriority w:val="0"/>
    <w:pPr>
      <w:widowControl/>
      <w:snapToGrid w:val="0"/>
      <w:spacing w:after="50" w:afterLines="50"/>
      <w:ind w:firstLine="200" w:firstLineChars="200"/>
    </w:pPr>
    <w:rPr>
      <w:kern w:val="0"/>
      <w:sz w:val="24"/>
    </w:rPr>
  </w:style>
  <w:style w:type="paragraph" w:customStyle="1" w:styleId="388">
    <w:name w:val="et22"/>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89">
    <w:name w:val="font10"/>
    <w:basedOn w:val="1"/>
    <w:qFormat/>
    <w:uiPriority w:val="0"/>
    <w:pPr>
      <w:widowControl/>
      <w:spacing w:before="100" w:beforeAutospacing="1" w:after="100" w:afterAutospacing="1"/>
      <w:jc w:val="left"/>
    </w:pPr>
    <w:rPr>
      <w:rFonts w:ascii="宋体" w:cs="宋体"/>
      <w:kern w:val="0"/>
      <w:sz w:val="18"/>
      <w:szCs w:val="18"/>
    </w:rPr>
  </w:style>
  <w:style w:type="paragraph" w:customStyle="1" w:styleId="390">
    <w:name w:val="正文2"/>
    <w:basedOn w:val="1"/>
    <w:qFormat/>
    <w:uiPriority w:val="0"/>
    <w:pPr>
      <w:spacing w:before="50" w:beforeLines="50" w:after="50" w:afterLines="50" w:line="360" w:lineRule="auto"/>
      <w:ind w:firstLine="200" w:firstLineChars="200"/>
    </w:pPr>
    <w:rPr>
      <w:rFonts w:ascii="宋体"/>
      <w:sz w:val="24"/>
      <w:szCs w:val="24"/>
    </w:rPr>
  </w:style>
  <w:style w:type="paragraph" w:customStyle="1" w:styleId="391">
    <w:name w:val="1册标题1"/>
    <w:basedOn w:val="1"/>
    <w:next w:val="1"/>
    <w:qFormat/>
    <w:uiPriority w:val="0"/>
    <w:pPr>
      <w:spacing w:before="50" w:beforeLines="50" w:after="50" w:afterLines="50" w:line="300" w:lineRule="auto"/>
      <w:jc w:val="center"/>
      <w:outlineLvl w:val="0"/>
    </w:pPr>
    <w:rPr>
      <w:rFonts w:ascii="Arial" w:hAnsi="Arial" w:eastAsia="黑体"/>
      <w:b/>
      <w:bCs/>
      <w:sz w:val="48"/>
    </w:rPr>
  </w:style>
  <w:style w:type="paragraph" w:customStyle="1" w:styleId="392">
    <w:name w:val="_Style 5"/>
    <w:basedOn w:val="1"/>
    <w:qFormat/>
    <w:uiPriority w:val="0"/>
    <w:pPr>
      <w:widowControl/>
      <w:spacing w:after="160" w:line="360" w:lineRule="auto"/>
      <w:ind w:firstLine="200" w:firstLineChars="200"/>
      <w:jc w:val="left"/>
    </w:pPr>
    <w:rPr>
      <w:rFonts w:ascii="宋体"/>
      <w:sz w:val="24"/>
    </w:rPr>
  </w:style>
  <w:style w:type="paragraph" w:customStyle="1" w:styleId="393">
    <w:name w:val="et36"/>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94">
    <w:name w:val="et23"/>
    <w:basedOn w:val="1"/>
    <w:qFormat/>
    <w:uiPriority w:val="0"/>
    <w:pPr>
      <w:widowControl/>
      <w:spacing w:before="100" w:beforeAutospacing="1" w:after="100" w:afterAutospacing="1"/>
      <w:jc w:val="left"/>
      <w:textAlignment w:val="bottom"/>
    </w:pPr>
    <w:rPr>
      <w:rFonts w:ascii="宋体" w:cs="宋体"/>
      <w:color w:val="000000"/>
      <w:kern w:val="0"/>
      <w:sz w:val="22"/>
      <w:szCs w:val="22"/>
    </w:rPr>
  </w:style>
  <w:style w:type="paragraph" w:customStyle="1" w:styleId="395">
    <w:name w:val="xl1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rPr>
  </w:style>
  <w:style w:type="paragraph" w:customStyle="1" w:styleId="396">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397">
    <w:name w:val="无间隔1"/>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character" w:customStyle="1" w:styleId="398">
    <w:name w:val="font121"/>
    <w:basedOn w:val="54"/>
    <w:qFormat/>
    <w:uiPriority w:val="0"/>
    <w:rPr>
      <w:rFonts w:hint="eastAsia" w:ascii="宋体" w:hAnsi="宋体" w:eastAsia="宋体" w:cs="宋体"/>
      <w:color w:val="191F25"/>
      <w:sz w:val="21"/>
      <w:szCs w:val="21"/>
      <w:u w:val="none"/>
    </w:rPr>
  </w:style>
  <w:style w:type="character" w:customStyle="1" w:styleId="399">
    <w:name w:val="font231"/>
    <w:basedOn w:val="54"/>
    <w:qFormat/>
    <w:uiPriority w:val="0"/>
    <w:rPr>
      <w:rFonts w:hint="default" w:ascii="Times New Roman" w:hAnsi="Times New Roman" w:cs="Times New Roman"/>
      <w:b/>
      <w:color w:val="000000"/>
      <w:sz w:val="24"/>
      <w:szCs w:val="24"/>
      <w:u w:val="none"/>
    </w:rPr>
  </w:style>
  <w:style w:type="character" w:customStyle="1" w:styleId="400">
    <w:name w:val="font201"/>
    <w:basedOn w:val="54"/>
    <w:qFormat/>
    <w:uiPriority w:val="0"/>
    <w:rPr>
      <w:rFonts w:hint="eastAsia" w:ascii="宋体" w:hAnsi="宋体" w:eastAsia="宋体" w:cs="宋体"/>
      <w:b/>
      <w:color w:val="000000"/>
      <w:sz w:val="24"/>
      <w:szCs w:val="24"/>
      <w:u w:val="none"/>
    </w:rPr>
  </w:style>
  <w:style w:type="paragraph" w:customStyle="1" w:styleId="401">
    <w:name w:val="列表段落1"/>
    <w:basedOn w:val="1"/>
    <w:qFormat/>
    <w:uiPriority w:val="34"/>
    <w:pPr>
      <w:ind w:firstLine="420" w:firstLineChars="200"/>
    </w:pPr>
  </w:style>
  <w:style w:type="paragraph" w:customStyle="1" w:styleId="402">
    <w:name w:val="！正文"/>
    <w:basedOn w:val="1"/>
    <w:autoRedefine/>
    <w:qFormat/>
    <w:uiPriority w:val="0"/>
    <w:pPr>
      <w:spacing w:line="360" w:lineRule="auto"/>
      <w:ind w:firstLine="200" w:firstLineChars="200"/>
    </w:pPr>
    <w:rPr>
      <w:rFonts w:ascii="楷体_GB2312" w:hAnsi="楷体_GB2312" w:eastAsia="楷体_GB2312"/>
      <w:kern w:val="0"/>
      <w:sz w:val="24"/>
    </w:rPr>
  </w:style>
  <w:style w:type="paragraph" w:customStyle="1" w:styleId="403">
    <w:name w:val="列表段落11"/>
    <w:basedOn w:val="1"/>
    <w:autoRedefine/>
    <w:qFormat/>
    <w:uiPriority w:val="99"/>
    <w:pPr>
      <w:ind w:firstLine="420" w:firstLineChars="200"/>
    </w:pPr>
  </w:style>
  <w:style w:type="paragraph" w:customStyle="1" w:styleId="404">
    <w:name w:val="List Paragraph_6047463f-bb80-4385-aee3-52b96e9a95d3"/>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223</Pages>
  <Words>45895</Words>
  <Characters>51102</Characters>
  <Lines>1001</Lines>
  <Paragraphs>281</Paragraphs>
  <TotalTime>9</TotalTime>
  <ScaleCrop>false</ScaleCrop>
  <LinksUpToDate>false</LinksUpToDate>
  <CharactersWithSpaces>51586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2022-08-11T20:43:00Z</dcterms:created>
  <dc:creator>dyp</dc:creator>
  <cp:lastModifiedBy>国际招标</cp:lastModifiedBy>
  <cp:lastPrinted>2024-01-24T10:19:00Z</cp:lastPrinted>
  <dcterms:modified xsi:type="dcterms:W3CDTF">2025-07-15T08:00:39Z</dcterms:modified>
  <dc:title>第一部分  投标方须知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woTemplateTypoMode">
    <vt:lpwstr>web</vt:lpwstr>
  </property>
  <property fmtid="{D5CDD505-2E9C-101B-9397-08002B2CF9AE}" pid="4" name="woTemplate">
    <vt:r8>1</vt:r8>
  </property>
  <property fmtid="{D5CDD505-2E9C-101B-9397-08002B2CF9AE}" pid="5" name="commondata">
    <vt:lpwstr>eyJoZGlkIjoiOGU2NmQ0OTI3ODRmMWE2MzA0ZGU1ZTdlMmNiMGZkZjkifQ==</vt:lpwstr>
  </property>
  <property fmtid="{D5CDD505-2E9C-101B-9397-08002B2CF9AE}" pid="6" name="ICV">
    <vt:lpwstr>02E4FFE106824E6ABB83DEA976706658_13</vt:lpwstr>
  </property>
  <property fmtid="{D5CDD505-2E9C-101B-9397-08002B2CF9AE}" pid="7" name="KSOTemplateDocerSaveRecord">
    <vt:lpwstr>eyJoZGlkIjoiYjQ1OTlmNWVhN2NhYjgyODljNGI4MjViYWM3N2UxODAiLCJ1c2VySWQiOiI1MTU3OTAxNTIifQ==</vt:lpwstr>
  </property>
</Properties>
</file>