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7B881">
      <w:pPr>
        <w:spacing w:line="360" w:lineRule="auto"/>
        <w:jc w:val="center"/>
        <w:rPr>
          <w:rFonts w:hint="eastAsia" w:ascii="宋体" w:hAnsi="宋体" w:eastAsia="宋体" w:cs="宋体"/>
          <w:b/>
          <w:sz w:val="72"/>
        </w:rPr>
      </w:pPr>
    </w:p>
    <w:p w14:paraId="2CA019C2">
      <w:pPr>
        <w:spacing w:line="360" w:lineRule="auto"/>
        <w:jc w:val="center"/>
        <w:rPr>
          <w:rFonts w:hint="eastAsia" w:ascii="宋体" w:hAnsi="宋体" w:eastAsia="宋体" w:cs="宋体"/>
          <w:b/>
          <w:sz w:val="72"/>
        </w:rPr>
      </w:pPr>
    </w:p>
    <w:p w14:paraId="4B823CA9">
      <w:pPr>
        <w:spacing w:line="360" w:lineRule="auto"/>
        <w:jc w:val="center"/>
        <w:rPr>
          <w:rFonts w:hint="eastAsia" w:ascii="宋体" w:hAnsi="宋体" w:eastAsia="宋体" w:cs="宋体"/>
          <w:b/>
          <w:sz w:val="72"/>
        </w:rPr>
      </w:pPr>
      <w:r>
        <w:rPr>
          <w:rFonts w:hint="eastAsia" w:ascii="宋体" w:hAnsi="宋体" w:eastAsia="宋体" w:cs="宋体"/>
          <w:b/>
          <w:sz w:val="72"/>
        </w:rPr>
        <w:t>竞争性磋商采购文件</w:t>
      </w:r>
    </w:p>
    <w:p w14:paraId="752BFD6F">
      <w:pPr>
        <w:keepNext w:val="0"/>
        <w:keepLines w:val="0"/>
        <w:pageBreakBefore w:val="0"/>
        <w:widowControl w:val="0"/>
        <w:kinsoku/>
        <w:wordWrap/>
        <w:overflowPunct/>
        <w:topLinePunct w:val="0"/>
        <w:autoSpaceDE/>
        <w:autoSpaceDN/>
        <w:bidi w:val="0"/>
        <w:snapToGrid/>
        <w:spacing w:beforeAutospacing="0" w:afterAutospacing="0" w:line="400" w:lineRule="exact"/>
        <w:ind w:left="0" w:right="0"/>
        <w:jc w:val="center"/>
        <w:rPr>
          <w:rFonts w:hint="eastAsia" w:ascii="宋体" w:hAnsi="宋体" w:eastAsia="宋体" w:cs="宋体"/>
          <w:b/>
          <w:sz w:val="32"/>
          <w:szCs w:val="32"/>
        </w:rPr>
      </w:pPr>
    </w:p>
    <w:p w14:paraId="12ABA230">
      <w:pPr>
        <w:keepNext w:val="0"/>
        <w:keepLines w:val="0"/>
        <w:pageBreakBefore w:val="0"/>
        <w:widowControl w:val="0"/>
        <w:kinsoku/>
        <w:wordWrap/>
        <w:overflowPunct/>
        <w:topLinePunct w:val="0"/>
        <w:autoSpaceDE/>
        <w:autoSpaceDN/>
        <w:bidi w:val="0"/>
        <w:snapToGrid/>
        <w:spacing w:beforeAutospacing="0" w:afterAutospacing="0" w:line="400" w:lineRule="exact"/>
        <w:ind w:left="0" w:right="0"/>
        <w:jc w:val="center"/>
        <w:rPr>
          <w:rFonts w:hint="eastAsia" w:ascii="宋体" w:hAnsi="宋体" w:eastAsia="宋体" w:cs="宋体"/>
          <w:b/>
          <w:sz w:val="32"/>
          <w:szCs w:val="32"/>
        </w:rPr>
      </w:pPr>
    </w:p>
    <w:p w14:paraId="63C0A2EA">
      <w:pPr>
        <w:keepNext w:val="0"/>
        <w:keepLines w:val="0"/>
        <w:pageBreakBefore w:val="0"/>
        <w:widowControl w:val="0"/>
        <w:kinsoku/>
        <w:wordWrap/>
        <w:overflowPunct/>
        <w:topLinePunct w:val="0"/>
        <w:autoSpaceDE/>
        <w:autoSpaceDN/>
        <w:bidi w:val="0"/>
        <w:snapToGrid/>
        <w:spacing w:beforeAutospacing="0" w:afterAutospacing="0" w:line="400" w:lineRule="exact"/>
        <w:ind w:left="0" w:right="0"/>
        <w:jc w:val="center"/>
        <w:rPr>
          <w:rFonts w:hint="eastAsia" w:ascii="宋体" w:hAnsi="宋体" w:eastAsia="宋体" w:cs="宋体"/>
          <w:b/>
          <w:sz w:val="32"/>
          <w:szCs w:val="32"/>
        </w:rPr>
      </w:pPr>
    </w:p>
    <w:p w14:paraId="52196703">
      <w:pPr>
        <w:keepNext w:val="0"/>
        <w:keepLines w:val="0"/>
        <w:pageBreakBefore w:val="0"/>
        <w:widowControl w:val="0"/>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u w:val="single"/>
          <w:lang w:eastAsia="zh-CN"/>
        </w:rPr>
      </w:pPr>
      <w:r>
        <w:rPr>
          <w:rFonts w:hint="eastAsia" w:ascii="宋体" w:hAnsi="宋体" w:eastAsia="宋体" w:cs="宋体"/>
          <w:b/>
          <w:sz w:val="32"/>
          <w:szCs w:val="32"/>
        </w:rPr>
        <w:t>项目编号：</w:t>
      </w:r>
      <w:r>
        <w:rPr>
          <w:rFonts w:hint="eastAsia" w:ascii="宋体" w:hAnsi="宋体" w:eastAsia="宋体" w:cs="宋体"/>
          <w:b/>
          <w:sz w:val="32"/>
          <w:szCs w:val="32"/>
          <w:u w:val="single"/>
        </w:rPr>
        <w:t>NBITC-</w:t>
      </w:r>
      <w:r>
        <w:rPr>
          <w:rFonts w:hint="eastAsia" w:ascii="宋体" w:hAnsi="宋体" w:eastAsia="宋体" w:cs="宋体"/>
          <w:b/>
          <w:sz w:val="32"/>
          <w:szCs w:val="32"/>
          <w:u w:val="single"/>
          <w:lang w:eastAsia="zh-CN"/>
        </w:rPr>
        <w:t>202530796GC</w:t>
      </w:r>
    </w:p>
    <w:p w14:paraId="23F1DD0B">
      <w:pPr>
        <w:keepNext w:val="0"/>
        <w:keepLines w:val="0"/>
        <w:pageBreakBefore w:val="0"/>
        <w:widowControl w:val="0"/>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rPr>
      </w:pPr>
    </w:p>
    <w:p w14:paraId="7B94D2E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00" w:lineRule="exact"/>
        <w:ind w:left="0" w:right="0" w:hanging="1606" w:hangingChars="500"/>
        <w:textAlignment w:val="auto"/>
        <w:rPr>
          <w:rFonts w:hint="eastAsia" w:ascii="宋体" w:hAnsi="宋体" w:eastAsia="宋体" w:cs="宋体"/>
          <w:b/>
          <w:sz w:val="32"/>
          <w:szCs w:val="32"/>
          <w:u w:val="single"/>
          <w:lang w:eastAsia="zh-CN"/>
        </w:rPr>
      </w:pPr>
      <w:r>
        <w:rPr>
          <w:rFonts w:hint="eastAsia" w:ascii="宋体" w:hAnsi="宋体" w:eastAsia="宋体" w:cs="宋体"/>
          <w:b/>
          <w:sz w:val="32"/>
          <w:szCs w:val="32"/>
          <w:u w:val="single"/>
          <w:lang w:eastAsia="zh-CN"/>
        </w:rPr>
        <w:t>项目名称：2025年中国品牌日·宁波品牌宣传活动暨走近品牌计</w:t>
      </w:r>
    </w:p>
    <w:p w14:paraId="1085FA4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00" w:lineRule="exact"/>
        <w:ind w:left="0" w:right="0" w:hanging="1606" w:hangingChars="500"/>
        <w:textAlignment w:val="auto"/>
        <w:rPr>
          <w:rFonts w:hint="eastAsia" w:ascii="宋体" w:hAnsi="宋体" w:eastAsia="宋体" w:cs="宋体"/>
          <w:b/>
          <w:sz w:val="32"/>
          <w:szCs w:val="32"/>
          <w:u w:val="single"/>
          <w:lang w:eastAsia="zh-CN"/>
        </w:rPr>
      </w:pPr>
    </w:p>
    <w:p w14:paraId="5E95035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00" w:lineRule="exact"/>
        <w:ind w:left="1600" w:leftChars="762" w:right="0" w:firstLine="0" w:firstLineChars="0"/>
        <w:textAlignment w:val="auto"/>
        <w:rPr>
          <w:rFonts w:hint="eastAsia" w:ascii="宋体" w:hAnsi="宋体" w:eastAsia="宋体" w:cs="宋体"/>
          <w:b/>
          <w:sz w:val="32"/>
          <w:szCs w:val="32"/>
          <w:u w:val="single"/>
          <w:lang w:eastAsia="zh-CN"/>
        </w:rPr>
      </w:pPr>
      <w:r>
        <w:rPr>
          <w:rFonts w:hint="eastAsia" w:ascii="宋体" w:hAnsi="宋体" w:eastAsia="宋体" w:cs="宋体"/>
          <w:b/>
          <w:sz w:val="32"/>
          <w:szCs w:val="32"/>
          <w:u w:val="single"/>
          <w:lang w:eastAsia="zh-CN"/>
        </w:rPr>
        <w:t>划项目</w:t>
      </w:r>
    </w:p>
    <w:p w14:paraId="3919E27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00" w:lineRule="exact"/>
        <w:ind w:left="0" w:right="0"/>
        <w:textAlignment w:val="auto"/>
        <w:rPr>
          <w:rFonts w:hint="eastAsia" w:ascii="宋体" w:hAnsi="宋体" w:eastAsia="宋体" w:cs="宋体"/>
          <w:b/>
          <w:sz w:val="32"/>
          <w:szCs w:val="32"/>
        </w:rPr>
      </w:pPr>
    </w:p>
    <w:p w14:paraId="31138474">
      <w:pPr>
        <w:keepNext w:val="0"/>
        <w:keepLines w:val="0"/>
        <w:pageBreakBefore w:val="0"/>
        <w:widowControl w:val="0"/>
        <w:shd w:val="clear" w:color="auto" w:fill="FFFFFF"/>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rPr>
      </w:pPr>
    </w:p>
    <w:p w14:paraId="02F4FEDA">
      <w:pPr>
        <w:keepNext w:val="0"/>
        <w:keepLines w:val="0"/>
        <w:pageBreakBefore w:val="0"/>
        <w:widowControl w:val="0"/>
        <w:shd w:val="clear" w:color="auto" w:fill="FFFFFF"/>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rPr>
      </w:pPr>
    </w:p>
    <w:p w14:paraId="020FCC1B">
      <w:pPr>
        <w:keepNext w:val="0"/>
        <w:keepLines w:val="0"/>
        <w:pageBreakBefore w:val="0"/>
        <w:widowControl w:val="0"/>
        <w:shd w:val="clear" w:color="auto" w:fill="FFFFFF"/>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rPr>
      </w:pPr>
    </w:p>
    <w:p w14:paraId="5666CAA9">
      <w:pPr>
        <w:keepNext w:val="0"/>
        <w:keepLines w:val="0"/>
        <w:pageBreakBefore w:val="0"/>
        <w:widowControl w:val="0"/>
        <w:shd w:val="clear" w:color="auto" w:fill="FFFFFF"/>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u w:val="single"/>
          <w:lang w:eastAsia="zh-CN"/>
        </w:rPr>
      </w:pPr>
      <w:r>
        <w:rPr>
          <w:rFonts w:hint="eastAsia" w:ascii="宋体" w:hAnsi="宋体" w:eastAsia="宋体" w:cs="宋体"/>
          <w:b/>
          <w:sz w:val="32"/>
          <w:szCs w:val="32"/>
        </w:rPr>
        <w:t>采购人：</w:t>
      </w:r>
      <w:r>
        <w:rPr>
          <w:rFonts w:hint="eastAsia" w:ascii="宋体" w:hAnsi="宋体" w:eastAsia="宋体" w:cs="宋体"/>
          <w:b/>
          <w:sz w:val="32"/>
          <w:szCs w:val="32"/>
          <w:u w:val="single"/>
          <w:lang w:eastAsia="zh-CN"/>
        </w:rPr>
        <w:t>宁波市发展和改革委员会</w:t>
      </w:r>
    </w:p>
    <w:p w14:paraId="3CF4874F">
      <w:pPr>
        <w:keepNext w:val="0"/>
        <w:keepLines w:val="0"/>
        <w:pageBreakBefore w:val="0"/>
        <w:widowControl w:val="0"/>
        <w:shd w:val="clear" w:color="auto" w:fill="FFFFFF"/>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rPr>
      </w:pPr>
    </w:p>
    <w:p w14:paraId="35ECFF7B">
      <w:pPr>
        <w:keepNext w:val="0"/>
        <w:keepLines w:val="0"/>
        <w:pageBreakBefore w:val="0"/>
        <w:widowControl w:val="0"/>
        <w:shd w:val="clear" w:color="auto" w:fill="FFFFFF"/>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rPr>
      </w:pPr>
      <w:r>
        <w:rPr>
          <w:rFonts w:hint="eastAsia" w:ascii="宋体" w:hAnsi="宋体" w:eastAsia="宋体" w:cs="宋体"/>
          <w:b/>
          <w:sz w:val="32"/>
          <w:szCs w:val="32"/>
        </w:rPr>
        <w:t>招标代理：</w:t>
      </w:r>
      <w:r>
        <w:rPr>
          <w:rFonts w:hint="eastAsia" w:ascii="宋体" w:hAnsi="宋体" w:eastAsia="宋体" w:cs="宋体"/>
          <w:b/>
          <w:sz w:val="32"/>
          <w:szCs w:val="32"/>
          <w:u w:val="single"/>
        </w:rPr>
        <w:t>宁波市国际招标有限公司</w:t>
      </w:r>
    </w:p>
    <w:p w14:paraId="6D4ED49D">
      <w:pPr>
        <w:keepNext w:val="0"/>
        <w:keepLines w:val="0"/>
        <w:pageBreakBefore w:val="0"/>
        <w:widowControl w:val="0"/>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2"/>
          <w:szCs w:val="32"/>
        </w:rPr>
      </w:pPr>
    </w:p>
    <w:p w14:paraId="4B908922">
      <w:pPr>
        <w:keepNext w:val="0"/>
        <w:keepLines w:val="0"/>
        <w:pageBreakBefore w:val="0"/>
        <w:widowControl w:val="0"/>
        <w:kinsoku/>
        <w:wordWrap/>
        <w:overflowPunct/>
        <w:topLinePunct w:val="0"/>
        <w:autoSpaceDE/>
        <w:autoSpaceDN/>
        <w:bidi w:val="0"/>
        <w:snapToGrid/>
        <w:spacing w:beforeAutospacing="0" w:afterAutospacing="0" w:line="400" w:lineRule="exact"/>
        <w:ind w:left="0" w:right="0"/>
        <w:rPr>
          <w:rFonts w:hint="eastAsia" w:ascii="宋体" w:hAnsi="宋体" w:eastAsia="宋体" w:cs="宋体"/>
          <w:b/>
          <w:sz w:val="30"/>
          <w:szCs w:val="30"/>
        </w:rPr>
      </w:pPr>
      <w:r>
        <w:rPr>
          <w:rFonts w:hint="eastAsia" w:ascii="宋体" w:hAnsi="宋体" w:eastAsia="宋体" w:cs="宋体"/>
          <w:b/>
          <w:sz w:val="32"/>
          <w:szCs w:val="32"/>
        </w:rPr>
        <w:t>编制日期：</w:t>
      </w:r>
      <w:r>
        <w:rPr>
          <w:rFonts w:hint="eastAsia" w:ascii="宋体" w:hAnsi="宋体" w:eastAsia="宋体" w:cs="宋体"/>
          <w:b/>
          <w:sz w:val="32"/>
          <w:szCs w:val="32"/>
          <w:u w:val="single"/>
        </w:rPr>
        <w:t>2025年</w:t>
      </w:r>
      <w:r>
        <w:rPr>
          <w:rFonts w:hint="eastAsia" w:ascii="宋体" w:hAnsi="宋体" w:eastAsia="宋体" w:cs="宋体"/>
          <w:b/>
          <w:sz w:val="32"/>
          <w:szCs w:val="32"/>
          <w:u w:val="single"/>
          <w:lang w:val="en-US" w:eastAsia="zh-CN"/>
        </w:rPr>
        <w:t>7</w:t>
      </w:r>
      <w:r>
        <w:rPr>
          <w:rFonts w:hint="eastAsia" w:ascii="宋体" w:hAnsi="宋体" w:eastAsia="宋体" w:cs="宋体"/>
          <w:b/>
          <w:sz w:val="32"/>
          <w:szCs w:val="32"/>
          <w:u w:val="single"/>
        </w:rPr>
        <w:t>月</w:t>
      </w:r>
    </w:p>
    <w:p w14:paraId="73865D3B">
      <w:pPr>
        <w:pStyle w:val="10"/>
        <w:keepNext w:val="0"/>
        <w:keepLines w:val="0"/>
        <w:pageBreakBefore w:val="0"/>
        <w:widowControl w:val="0"/>
        <w:kinsoku/>
        <w:wordWrap/>
        <w:overflowPunct/>
        <w:topLinePunct w:val="0"/>
        <w:autoSpaceDE/>
        <w:autoSpaceDN/>
        <w:bidi w:val="0"/>
        <w:snapToGrid/>
        <w:spacing w:beforeLines="0" w:afterLines="0" w:line="400" w:lineRule="exact"/>
        <w:rPr>
          <w:rFonts w:hint="eastAsia" w:ascii="宋体" w:hAnsi="宋体" w:eastAsia="宋体" w:cs="宋体"/>
        </w:rPr>
      </w:pPr>
    </w:p>
    <w:p w14:paraId="20A44FED">
      <w:pPr>
        <w:pStyle w:val="10"/>
        <w:keepNext w:val="0"/>
        <w:keepLines w:val="0"/>
        <w:pageBreakBefore w:val="0"/>
        <w:widowControl w:val="0"/>
        <w:kinsoku/>
        <w:wordWrap/>
        <w:overflowPunct/>
        <w:topLinePunct w:val="0"/>
        <w:autoSpaceDE/>
        <w:autoSpaceDN/>
        <w:bidi w:val="0"/>
        <w:snapToGrid/>
        <w:spacing w:beforeLines="0" w:afterLines="0" w:line="400" w:lineRule="exact"/>
        <w:jc w:val="center"/>
        <w:rPr>
          <w:rFonts w:hint="eastAsia" w:ascii="宋体" w:hAnsi="宋体" w:eastAsia="宋体" w:cs="宋体"/>
          <w:sz w:val="28"/>
          <w:szCs w:val="28"/>
        </w:rPr>
        <w:sectPr>
          <w:headerReference r:id="rId5" w:type="first"/>
          <w:headerReference r:id="rId3" w:type="default"/>
          <w:headerReference r:id="rId4" w:type="even"/>
          <w:footerReference r:id="rId6" w:type="even"/>
          <w:pgSz w:w="11906" w:h="16838"/>
          <w:pgMar w:top="1474" w:right="1474" w:bottom="1474" w:left="1474" w:header="907" w:footer="850" w:gutter="0"/>
          <w:pgBorders>
            <w:top w:val="none" w:sz="0" w:space="0"/>
            <w:left w:val="none" w:sz="0" w:space="0"/>
            <w:bottom w:val="none" w:sz="0" w:space="0"/>
            <w:right w:val="none" w:sz="0" w:space="0"/>
          </w:pgBorders>
          <w:cols w:space="720" w:num="1"/>
          <w:titlePg/>
          <w:rtlGutter w:val="0"/>
          <w:docGrid w:linePitch="312" w:charSpace="0"/>
        </w:sectPr>
      </w:pPr>
    </w:p>
    <w:p w14:paraId="2F29C700">
      <w:pPr>
        <w:pStyle w:val="20"/>
        <w:spacing w:line="360" w:lineRule="auto"/>
        <w:rPr>
          <w:rFonts w:hint="eastAsia" w:ascii="宋体" w:hAnsi="宋体" w:eastAsia="宋体" w:cs="宋体"/>
          <w:sz w:val="28"/>
          <w:szCs w:val="28"/>
          <w:lang w:val="zh-CN"/>
        </w:rPr>
      </w:pPr>
    </w:p>
    <w:p w14:paraId="0FC338B3">
      <w:pPr>
        <w:pStyle w:val="20"/>
        <w:spacing w:line="360" w:lineRule="auto"/>
        <w:rPr>
          <w:rFonts w:hint="eastAsia" w:ascii="宋体" w:hAnsi="宋体" w:eastAsia="宋体" w:cs="宋体"/>
          <w:sz w:val="28"/>
          <w:szCs w:val="28"/>
        </w:rPr>
      </w:pPr>
      <w:r>
        <w:rPr>
          <w:rFonts w:hint="eastAsia" w:ascii="宋体" w:hAnsi="宋体" w:eastAsia="宋体" w:cs="宋体"/>
          <w:sz w:val="28"/>
          <w:szCs w:val="28"/>
          <w:lang w:val="zh-CN"/>
        </w:rPr>
        <w:t>目录</w:t>
      </w:r>
    </w:p>
    <w:p w14:paraId="2933A2AE">
      <w:pPr>
        <w:pStyle w:val="13"/>
        <w:tabs>
          <w:tab w:val="right" w:leader="dot" w:pos="8958"/>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_Toc3082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1C4BB9B">
      <w:pPr>
        <w:pStyle w:val="13"/>
        <w:tabs>
          <w:tab w:val="right" w:leader="dot" w:pos="8958"/>
        </w:tabs>
        <w:spacing w:line="360" w:lineRule="auto"/>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_Toc3429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_Toc3429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5FA86229">
      <w:pPr>
        <w:pStyle w:val="13"/>
        <w:tabs>
          <w:tab w:val="right" w:leader="dot" w:pos="8958"/>
        </w:tabs>
        <w:spacing w:line="360" w:lineRule="auto"/>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_Toc31795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_Toc31795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789A6219">
      <w:pPr>
        <w:pStyle w:val="13"/>
        <w:tabs>
          <w:tab w:val="right" w:leader="dot" w:pos="8958"/>
        </w:tabs>
        <w:spacing w:line="360" w:lineRule="auto"/>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_Toc22998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_Toc22998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38BBEFDA">
      <w:pPr>
        <w:pStyle w:val="13"/>
        <w:tabs>
          <w:tab w:val="right" w:leader="dot" w:pos="8958"/>
        </w:tabs>
        <w:spacing w:line="360" w:lineRule="auto"/>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_Toc31415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合同草案条款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_Toc31415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78CBB1CA">
      <w:pPr>
        <w:pStyle w:val="13"/>
        <w:tabs>
          <w:tab w:val="right" w:leader="dot" w:pos="8958"/>
        </w:tabs>
        <w:spacing w:line="360" w:lineRule="auto"/>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_Toc746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_Toc746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1AA9D6E5">
      <w:pPr>
        <w:pStyle w:val="13"/>
        <w:tabs>
          <w:tab w:val="right" w:leader="dot" w:pos="8958"/>
        </w:tabs>
        <w:spacing w:line="360" w:lineRule="auto"/>
        <w:rPr>
          <w:rFonts w:hint="eastAsia" w:ascii="宋体" w:hAnsi="宋体" w:eastAsia="宋体" w:cs="宋体"/>
          <w:sz w:val="28"/>
          <w:szCs w:val="28"/>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HYPERLINK \l _Toc8507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t>第七章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政府采购供应商质疑函及投诉书范本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_Toc8507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bCs/>
          <w:sz w:val="28"/>
          <w:szCs w:val="28"/>
          <w:lang w:val="zh-CN"/>
        </w:rPr>
        <w:fldChar w:fldCharType="end"/>
      </w:r>
    </w:p>
    <w:p w14:paraId="41D348D9">
      <w:pPr>
        <w:spacing w:line="360" w:lineRule="auto"/>
        <w:rPr>
          <w:rFonts w:hint="eastAsia" w:ascii="宋体" w:hAnsi="宋体" w:eastAsia="宋体" w:cs="宋体"/>
          <w:kern w:val="0"/>
          <w:sz w:val="28"/>
          <w:szCs w:val="28"/>
        </w:rPr>
      </w:pPr>
      <w:r>
        <w:rPr>
          <w:rFonts w:hint="eastAsia" w:ascii="宋体" w:hAnsi="宋体" w:eastAsia="宋体" w:cs="宋体"/>
          <w:bCs/>
          <w:sz w:val="28"/>
          <w:szCs w:val="28"/>
          <w:lang w:val="zh-CN"/>
        </w:rPr>
        <w:fldChar w:fldCharType="end"/>
      </w:r>
    </w:p>
    <w:p w14:paraId="2DC2BF23">
      <w:pPr>
        <w:pStyle w:val="10"/>
        <w:snapToGrid w:val="0"/>
        <w:spacing w:beforeLines="0" w:afterLines="0" w:line="360" w:lineRule="auto"/>
        <w:jc w:val="center"/>
        <w:outlineLvl w:val="0"/>
        <w:rPr>
          <w:rFonts w:hint="eastAsia" w:ascii="宋体" w:hAnsi="宋体" w:eastAsia="宋体" w:cs="宋体"/>
          <w:sz w:val="28"/>
          <w:szCs w:val="28"/>
        </w:rPr>
        <w:sectPr>
          <w:footerReference r:id="rId8" w:type="first"/>
          <w:footerReference r:id="rId7" w:type="default"/>
          <w:pgSz w:w="11906" w:h="16838"/>
          <w:pgMar w:top="1474" w:right="1474" w:bottom="1474" w:left="1474" w:header="907" w:footer="851" w:gutter="0"/>
          <w:pgBorders>
            <w:top w:val="none" w:sz="0" w:space="0"/>
            <w:left w:val="none" w:sz="0" w:space="0"/>
            <w:bottom w:val="none" w:sz="0" w:space="0"/>
            <w:right w:val="none" w:sz="0" w:space="0"/>
          </w:pgBorders>
          <w:pgNumType w:start="1"/>
          <w:cols w:space="720" w:num="1"/>
          <w:docGrid w:linePitch="312" w:charSpace="0"/>
        </w:sectPr>
      </w:pPr>
    </w:p>
    <w:p w14:paraId="00AFCC71">
      <w:pPr>
        <w:pStyle w:val="3"/>
        <w:pageBreakBefore w:val="0"/>
        <w:kinsoku/>
        <w:wordWrap/>
        <w:overflowPunct/>
        <w:topLinePunct w:val="0"/>
        <w:bidi w:val="0"/>
        <w:adjustRightInd/>
        <w:snapToGrid/>
        <w:spacing w:line="400" w:lineRule="exact"/>
        <w:textAlignment w:val="auto"/>
        <w:rPr>
          <w:rFonts w:hint="eastAsia" w:ascii="宋体" w:hAnsi="宋体" w:eastAsia="宋体" w:cs="宋体"/>
          <w:sz w:val="30"/>
          <w:szCs w:val="30"/>
        </w:rPr>
      </w:pPr>
      <w:bookmarkStart w:id="0" w:name="_Toc34844741"/>
      <w:bookmarkStart w:id="1" w:name="_Toc3082"/>
      <w:r>
        <w:rPr>
          <w:rFonts w:hint="eastAsia" w:ascii="宋体" w:hAnsi="宋体" w:eastAsia="宋体" w:cs="宋体"/>
          <w:sz w:val="30"/>
          <w:szCs w:val="30"/>
        </w:rPr>
        <w:t>第一章</w:t>
      </w:r>
      <w:bookmarkEnd w:id="0"/>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采购公告</w:t>
      </w:r>
      <w:bookmarkEnd w:id="1"/>
    </w:p>
    <w:p w14:paraId="092F80EC">
      <w:pPr>
        <w:pageBreakBefore w:val="0"/>
        <w:pBdr>
          <w:top w:val="single" w:color="auto" w:sz="4" w:space="1"/>
          <w:left w:val="single" w:color="auto" w:sz="4" w:space="4"/>
          <w:bottom w:val="single" w:color="auto" w:sz="4" w:space="0"/>
          <w:right w:val="single" w:color="auto" w:sz="4" w:space="4"/>
        </w:pBdr>
        <w:kinsoku/>
        <w:wordWrap/>
        <w:overflowPunct/>
        <w:topLinePunct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项目概况</w:t>
      </w:r>
    </w:p>
    <w:p w14:paraId="7434FD18">
      <w:pPr>
        <w:pageBreakBefore w:val="0"/>
        <w:pBdr>
          <w:top w:val="single" w:color="auto" w:sz="4" w:space="1"/>
          <w:left w:val="single" w:color="auto" w:sz="4" w:space="4"/>
          <w:bottom w:val="single" w:color="auto" w:sz="4" w:space="0"/>
          <w:right w:val="single" w:color="auto" w:sz="4" w:space="4"/>
        </w:pBdr>
        <w:kinsoku/>
        <w:wordWrap/>
        <w:overflowPunct/>
        <w:topLinePunct w:val="0"/>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cs="宋体"/>
          <w:bCs/>
          <w:u w:val="single"/>
          <w:lang w:eastAsia="zh-CN"/>
        </w:rPr>
        <w:t>2025年中国品牌日·宁波品牌宣传活动暨走近品牌计划项目</w:t>
      </w:r>
      <w:r>
        <w:rPr>
          <w:rFonts w:hint="eastAsia" w:ascii="宋体" w:hAnsi="宋体" w:eastAsia="宋体" w:cs="宋体"/>
        </w:rPr>
        <w:t>采购项目的潜在供应商应在</w:t>
      </w:r>
      <w:r>
        <w:rPr>
          <w:rFonts w:hint="eastAsia" w:ascii="宋体" w:hAnsi="宋体" w:eastAsia="宋体" w:cs="宋体"/>
          <w:u w:val="single"/>
        </w:rPr>
        <w:t>政采云平台</w:t>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 HYPERLINK "https://www.zcygov.cn）获取采购文件，并于2023年4月" </w:instrText>
      </w:r>
      <w:r>
        <w:rPr>
          <w:rFonts w:hint="eastAsia" w:ascii="宋体" w:hAnsi="宋体" w:eastAsia="宋体" w:cs="宋体"/>
        </w:rPr>
        <w:fldChar w:fldCharType="separate"/>
      </w:r>
      <w:r>
        <w:rPr>
          <w:rFonts w:hint="eastAsia" w:ascii="宋体" w:hAnsi="宋体" w:eastAsia="宋体" w:cs="宋体"/>
          <w:bCs/>
        </w:rPr>
        <w:t>https://www.zcygov.cn）获取采购文件，并于2025年</w:t>
      </w:r>
      <w:r>
        <w:rPr>
          <w:rFonts w:hint="eastAsia" w:ascii="宋体" w:hAnsi="宋体" w:eastAsia="宋体" w:cs="宋体"/>
          <w:bCs/>
          <w:lang w:val="en-US" w:eastAsia="zh-CN"/>
        </w:rPr>
        <w:t>7</w:t>
      </w:r>
      <w:r>
        <w:rPr>
          <w:rFonts w:hint="eastAsia" w:ascii="宋体" w:hAnsi="宋体" w:eastAsia="宋体" w:cs="宋体"/>
          <w:bCs/>
        </w:rPr>
        <w:t>月</w:t>
      </w:r>
      <w:r>
        <w:rPr>
          <w:rFonts w:hint="eastAsia" w:ascii="宋体" w:hAnsi="宋体" w:eastAsia="宋体" w:cs="宋体"/>
          <w:bCs/>
        </w:rPr>
        <w:fldChar w:fldCharType="end"/>
      </w:r>
      <w:r>
        <w:rPr>
          <w:rFonts w:hint="eastAsia" w:ascii="宋体" w:hAnsi="宋体" w:cs="宋体"/>
          <w:bCs/>
          <w:lang w:val="en-US" w:eastAsia="zh-CN"/>
        </w:rPr>
        <w:t>22</w:t>
      </w:r>
      <w:r>
        <w:rPr>
          <w:rFonts w:hint="eastAsia" w:ascii="宋体" w:hAnsi="宋体" w:eastAsia="宋体" w:cs="宋体"/>
          <w:bCs/>
        </w:rPr>
        <w:t>日</w:t>
      </w:r>
      <w:r>
        <w:rPr>
          <w:rFonts w:hint="eastAsia" w:ascii="宋体" w:hAnsi="宋体" w:cs="宋体"/>
          <w:bCs/>
          <w:lang w:val="en-US" w:eastAsia="zh-CN"/>
        </w:rPr>
        <w:t>09</w:t>
      </w:r>
      <w:r>
        <w:rPr>
          <w:rFonts w:hint="eastAsia" w:ascii="宋体" w:hAnsi="宋体" w:eastAsia="宋体" w:cs="宋体"/>
          <w:bCs/>
        </w:rPr>
        <w:t>点</w:t>
      </w:r>
      <w:r>
        <w:rPr>
          <w:rFonts w:hint="eastAsia" w:ascii="宋体" w:hAnsi="宋体" w:cs="宋体"/>
          <w:bCs/>
          <w:lang w:val="en-US" w:eastAsia="zh-CN"/>
        </w:rPr>
        <w:t>30</w:t>
      </w:r>
      <w:r>
        <w:rPr>
          <w:rFonts w:hint="eastAsia" w:ascii="宋体" w:hAnsi="宋体" w:eastAsia="宋体" w:cs="宋体"/>
          <w:bCs/>
        </w:rPr>
        <w:t>分（北京时间）前提交响应文件</w:t>
      </w:r>
      <w:r>
        <w:rPr>
          <w:rFonts w:hint="eastAsia" w:ascii="宋体" w:hAnsi="宋体" w:eastAsia="宋体" w:cs="宋体"/>
        </w:rPr>
        <w:t>。</w:t>
      </w:r>
    </w:p>
    <w:p w14:paraId="119CE5E8">
      <w:pPr>
        <w:pageBreakBefore w:val="0"/>
        <w:kinsoku/>
        <w:wordWrap/>
        <w:overflowPunct/>
        <w:topLinePunct w:val="0"/>
        <w:bidi w:val="0"/>
        <w:adjustRightInd/>
        <w:snapToGrid/>
        <w:spacing w:after="0" w:line="400" w:lineRule="exact"/>
        <w:textAlignment w:val="auto"/>
        <w:outlineLvl w:val="9"/>
        <w:rPr>
          <w:rFonts w:hint="eastAsia" w:ascii="宋体" w:hAnsi="宋体" w:eastAsia="宋体" w:cs="宋体"/>
          <w:b/>
          <w:bCs/>
          <w:sz w:val="21"/>
          <w:szCs w:val="21"/>
        </w:rPr>
      </w:pPr>
      <w:bookmarkStart w:id="2" w:name="_Toc35393629"/>
      <w:bookmarkStart w:id="3" w:name="_Toc35393798"/>
      <w:bookmarkStart w:id="4" w:name="_Toc28359089"/>
      <w:bookmarkStart w:id="5" w:name="_Toc28359012"/>
      <w:r>
        <w:rPr>
          <w:rFonts w:hint="eastAsia" w:ascii="宋体" w:hAnsi="宋体" w:eastAsia="宋体" w:cs="宋体"/>
          <w:b/>
          <w:bCs/>
          <w:sz w:val="21"/>
          <w:szCs w:val="21"/>
        </w:rPr>
        <w:t>一、项目基本情况</w:t>
      </w:r>
      <w:bookmarkEnd w:id="2"/>
      <w:bookmarkEnd w:id="3"/>
      <w:bookmarkEnd w:id="4"/>
      <w:bookmarkEnd w:id="5"/>
    </w:p>
    <w:p w14:paraId="17ED1F98">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项目编号：NBITC-</w:t>
      </w:r>
      <w:r>
        <w:rPr>
          <w:rFonts w:hint="eastAsia" w:ascii="宋体" w:hAnsi="宋体" w:eastAsia="宋体" w:cs="宋体"/>
          <w:szCs w:val="21"/>
          <w:lang w:eastAsia="zh-CN"/>
        </w:rPr>
        <w:t>202530796GC</w:t>
      </w:r>
    </w:p>
    <w:p w14:paraId="1E52FF23">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u w:val="single"/>
          <w:lang w:eastAsia="zh-CN"/>
        </w:rPr>
      </w:pPr>
      <w:r>
        <w:rPr>
          <w:rFonts w:hint="eastAsia" w:ascii="宋体" w:hAnsi="宋体" w:eastAsia="宋体" w:cs="宋体"/>
          <w:szCs w:val="21"/>
        </w:rPr>
        <w:t>项目名称：</w:t>
      </w:r>
      <w:r>
        <w:rPr>
          <w:rFonts w:hint="eastAsia" w:ascii="宋体" w:hAnsi="宋体" w:cs="宋体"/>
          <w:szCs w:val="21"/>
          <w:lang w:eastAsia="zh-CN"/>
        </w:rPr>
        <w:t>2025年中国品牌日·宁波品牌宣传活动暨走近品牌计划项目</w:t>
      </w:r>
    </w:p>
    <w:p w14:paraId="0E3DE981">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采购方式：竞争性磋商</w:t>
      </w:r>
    </w:p>
    <w:p w14:paraId="032A4DA8">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预算金额：</w:t>
      </w:r>
      <w:r>
        <w:rPr>
          <w:rFonts w:hint="eastAsia" w:ascii="宋体" w:hAnsi="宋体" w:eastAsia="宋体" w:cs="宋体"/>
          <w:szCs w:val="21"/>
          <w:lang w:val="en-US" w:eastAsia="zh-CN"/>
        </w:rPr>
        <w:t>1325000</w:t>
      </w:r>
    </w:p>
    <w:p w14:paraId="2C8038AD">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标项1：</w:t>
      </w:r>
    </w:p>
    <w:p w14:paraId="5C8B2454">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名称：</w:t>
      </w:r>
      <w:r>
        <w:rPr>
          <w:rFonts w:hint="eastAsia" w:ascii="宋体" w:hAnsi="宋体" w:cs="宋体"/>
          <w:szCs w:val="21"/>
          <w:lang w:eastAsia="zh-CN"/>
        </w:rPr>
        <w:t>2025年中国品牌日·宁波品牌宣传活动暨走近品牌计划</w:t>
      </w:r>
    </w:p>
    <w:p w14:paraId="650D977D">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数量：1       </w:t>
      </w:r>
    </w:p>
    <w:p w14:paraId="352B32CC">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预算金额（元）：</w:t>
      </w:r>
      <w:r>
        <w:rPr>
          <w:rFonts w:hint="eastAsia" w:ascii="宋体" w:hAnsi="宋体" w:eastAsia="宋体" w:cs="宋体"/>
          <w:szCs w:val="21"/>
          <w:lang w:val="en-US" w:eastAsia="zh-CN"/>
        </w:rPr>
        <w:t xml:space="preserve">1325000 </w:t>
      </w:r>
    </w:p>
    <w:p w14:paraId="4B6CBAB5">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单位：</w:t>
      </w:r>
      <w:r>
        <w:rPr>
          <w:rFonts w:hint="eastAsia" w:ascii="宋体" w:hAnsi="宋体" w:eastAsia="宋体" w:cs="宋体"/>
          <w:szCs w:val="21"/>
          <w:lang w:val="en-US" w:eastAsia="zh-CN"/>
        </w:rPr>
        <w:t>场</w:t>
      </w:r>
    </w:p>
    <w:p w14:paraId="0AC7AA07">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简要规格描述：</w:t>
      </w:r>
      <w:r>
        <w:rPr>
          <w:rFonts w:hint="eastAsia" w:ascii="宋体" w:hAnsi="宋体" w:cs="宋体"/>
          <w:szCs w:val="21"/>
          <w:lang w:eastAsia="zh-CN"/>
        </w:rPr>
        <w:t>2025年中国品牌日·宁波品牌宣传活动暨走近品牌计划</w:t>
      </w:r>
      <w:r>
        <w:rPr>
          <w:rFonts w:hint="eastAsia" w:ascii="宋体" w:hAnsi="宋体" w:eastAsia="宋体" w:cs="宋体"/>
          <w:szCs w:val="21"/>
        </w:rPr>
        <w:t>包括主体活动、宣传活动、品牌报告和配套活动等内容。详</w:t>
      </w:r>
      <w:r>
        <w:rPr>
          <w:rFonts w:hint="eastAsia" w:ascii="宋体" w:hAnsi="宋体" w:eastAsia="宋体" w:cs="宋体"/>
        </w:rPr>
        <w:t>见采购文件第二章。</w:t>
      </w:r>
    </w:p>
    <w:p w14:paraId="31A90B43">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备注：/</w:t>
      </w:r>
    </w:p>
    <w:p w14:paraId="2E916CEB">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合同履约期限：标项 1，</w:t>
      </w:r>
      <w:r>
        <w:rPr>
          <w:rFonts w:hint="eastAsia" w:ascii="宋体" w:hAnsi="宋体" w:eastAsia="宋体" w:cs="宋体"/>
          <w:szCs w:val="21"/>
          <w:lang w:val="en-US" w:eastAsia="zh-CN"/>
        </w:rPr>
        <w:t>合同签订后至2025年12月31日</w:t>
      </w:r>
      <w:r>
        <w:rPr>
          <w:rFonts w:hint="eastAsia" w:ascii="宋体" w:hAnsi="宋体" w:eastAsia="宋体" w:cs="宋体"/>
          <w:szCs w:val="21"/>
        </w:rPr>
        <w:t xml:space="preserve">。  </w:t>
      </w:r>
    </w:p>
    <w:p w14:paraId="36EF734F">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本项目（否）接受联合体投标。</w:t>
      </w:r>
    </w:p>
    <w:p w14:paraId="2B207DF2">
      <w:pPr>
        <w:pageBreakBefore w:val="0"/>
        <w:kinsoku/>
        <w:wordWrap/>
        <w:overflowPunct/>
        <w:topLinePunct w:val="0"/>
        <w:bidi w:val="0"/>
        <w:adjustRightInd/>
        <w:snapToGrid/>
        <w:spacing w:before="0" w:after="0" w:line="400" w:lineRule="exact"/>
        <w:textAlignment w:val="auto"/>
        <w:outlineLvl w:val="9"/>
        <w:rPr>
          <w:rFonts w:hint="eastAsia" w:ascii="宋体" w:hAnsi="宋体" w:eastAsia="宋体" w:cs="宋体"/>
          <w:b/>
          <w:bCs/>
          <w:sz w:val="21"/>
          <w:szCs w:val="21"/>
        </w:rPr>
      </w:pPr>
      <w:bookmarkStart w:id="6" w:name="_Toc28359013"/>
      <w:bookmarkStart w:id="7" w:name="_Toc35393799"/>
      <w:bookmarkStart w:id="8" w:name="_Toc35393630"/>
      <w:bookmarkStart w:id="9" w:name="_Toc28359090"/>
      <w:r>
        <w:rPr>
          <w:rFonts w:hint="eastAsia" w:ascii="宋体" w:hAnsi="宋体" w:eastAsia="宋体" w:cs="宋体"/>
          <w:b/>
          <w:bCs/>
          <w:sz w:val="21"/>
          <w:szCs w:val="21"/>
        </w:rPr>
        <w:t>二、申请人的资格要求</w:t>
      </w:r>
      <w:bookmarkEnd w:id="6"/>
      <w:bookmarkEnd w:id="7"/>
      <w:bookmarkEnd w:id="8"/>
      <w:bookmarkEnd w:id="9"/>
    </w:p>
    <w:p w14:paraId="66488963">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kern w:val="0"/>
          <w:szCs w:val="21"/>
        </w:rPr>
        <w:t>满足《中华人民共和国政府采购法》第二十二条规定；未被“信用中国”（www.creditchina.gov.cn)、中国政府采购网（www.ccgp.gov.cn）列入失信被执行人、</w:t>
      </w:r>
      <w:r>
        <w:rPr>
          <w:rFonts w:hint="eastAsia" w:ascii="宋体" w:hAnsi="宋体" w:eastAsia="宋体" w:cs="宋体"/>
          <w:szCs w:val="21"/>
        </w:rPr>
        <w:t>重大</w:t>
      </w:r>
      <w:r>
        <w:rPr>
          <w:rFonts w:hint="eastAsia" w:ascii="宋体" w:hAnsi="宋体" w:eastAsia="宋体" w:cs="宋体"/>
        </w:rPr>
        <w:t>税收违法失信主体</w:t>
      </w:r>
      <w:r>
        <w:rPr>
          <w:rFonts w:hint="eastAsia" w:ascii="宋体" w:hAnsi="宋体" w:eastAsia="宋体" w:cs="宋体"/>
          <w:kern w:val="0"/>
          <w:szCs w:val="21"/>
        </w:rPr>
        <w:t>、政府采购严重违法失信行为记录名单</w:t>
      </w:r>
      <w:r>
        <w:rPr>
          <w:rFonts w:hint="eastAsia" w:ascii="宋体" w:hAnsi="宋体" w:cs="宋体"/>
          <w:kern w:val="0"/>
          <w:szCs w:val="21"/>
          <w:lang w:eastAsia="zh-CN"/>
        </w:rPr>
        <w:t>。</w:t>
      </w:r>
    </w:p>
    <w:p w14:paraId="57455BB8">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lang w:eastAsia="zh-CN"/>
        </w:rPr>
      </w:pPr>
      <w:bookmarkStart w:id="10" w:name="_Toc28359014"/>
      <w:bookmarkStart w:id="11" w:name="_Toc28359091"/>
      <w:r>
        <w:rPr>
          <w:rFonts w:hint="eastAsia" w:ascii="宋体" w:hAnsi="宋体" w:eastAsia="宋体" w:cs="宋体"/>
          <w:szCs w:val="21"/>
        </w:rPr>
        <w:t>2.落实政府采购政策需满足的资格要求：无</w:t>
      </w:r>
      <w:r>
        <w:rPr>
          <w:rFonts w:hint="eastAsia" w:ascii="宋体" w:hAnsi="宋体" w:cs="宋体"/>
          <w:szCs w:val="21"/>
          <w:lang w:eastAsia="zh-CN"/>
        </w:rPr>
        <w:t>。</w:t>
      </w:r>
    </w:p>
    <w:p w14:paraId="19D6E025">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3.本项目的特定资格要求：无。</w:t>
      </w:r>
    </w:p>
    <w:p w14:paraId="70810CDE">
      <w:pPr>
        <w:pageBreakBefore w:val="0"/>
        <w:kinsoku/>
        <w:wordWrap/>
        <w:overflowPunct/>
        <w:topLinePunct w:val="0"/>
        <w:bidi w:val="0"/>
        <w:adjustRightInd/>
        <w:snapToGrid/>
        <w:spacing w:before="0" w:after="0" w:line="400" w:lineRule="exact"/>
        <w:textAlignment w:val="auto"/>
        <w:outlineLvl w:val="9"/>
        <w:rPr>
          <w:rFonts w:hint="eastAsia" w:ascii="宋体" w:hAnsi="宋体" w:eastAsia="宋体" w:cs="宋体"/>
          <w:b/>
          <w:bCs/>
          <w:sz w:val="21"/>
          <w:szCs w:val="21"/>
        </w:rPr>
      </w:pPr>
      <w:bookmarkStart w:id="12" w:name="_Toc35393800"/>
      <w:bookmarkStart w:id="13" w:name="_Toc35393631"/>
      <w:r>
        <w:rPr>
          <w:rFonts w:hint="eastAsia" w:ascii="宋体" w:hAnsi="宋体" w:eastAsia="宋体" w:cs="宋体"/>
          <w:b/>
          <w:bCs/>
          <w:sz w:val="21"/>
          <w:szCs w:val="21"/>
        </w:rPr>
        <w:t>三、</w:t>
      </w:r>
      <w:bookmarkEnd w:id="10"/>
      <w:bookmarkEnd w:id="11"/>
      <w:bookmarkEnd w:id="12"/>
      <w:bookmarkEnd w:id="13"/>
      <w:r>
        <w:rPr>
          <w:rFonts w:hint="eastAsia" w:ascii="宋体" w:hAnsi="宋体" w:eastAsia="宋体" w:cs="宋体"/>
          <w:b/>
          <w:bCs/>
          <w:sz w:val="21"/>
          <w:szCs w:val="21"/>
        </w:rPr>
        <w:t>获取（下载）采购文件</w:t>
      </w:r>
    </w:p>
    <w:p w14:paraId="4D975BA0">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
          <w:szCs w:val="21"/>
        </w:rPr>
      </w:pPr>
      <w:r>
        <w:rPr>
          <w:rFonts w:hint="eastAsia" w:ascii="宋体" w:hAnsi="宋体" w:eastAsia="宋体" w:cs="宋体"/>
          <w:szCs w:val="21"/>
        </w:rPr>
        <w:t>时间：2025年</w:t>
      </w:r>
      <w:r>
        <w:rPr>
          <w:rFonts w:hint="eastAsia" w:ascii="宋体" w:hAnsi="宋体" w:cs="宋体"/>
          <w:szCs w:val="21"/>
          <w:lang w:val="en-US" w:eastAsia="zh-CN"/>
        </w:rPr>
        <w:t>7</w:t>
      </w:r>
      <w:r>
        <w:rPr>
          <w:rFonts w:hint="eastAsia" w:ascii="宋体" w:hAnsi="宋体" w:eastAsia="宋体" w:cs="宋体"/>
          <w:szCs w:val="21"/>
        </w:rPr>
        <w:t>月</w:t>
      </w:r>
      <w:r>
        <w:rPr>
          <w:rFonts w:hint="eastAsia" w:ascii="宋体" w:hAnsi="宋体" w:cs="宋体"/>
          <w:szCs w:val="21"/>
          <w:lang w:val="en-US" w:eastAsia="zh-CN"/>
        </w:rPr>
        <w:t>11</w:t>
      </w:r>
      <w:r>
        <w:rPr>
          <w:rFonts w:hint="eastAsia" w:ascii="宋体" w:hAnsi="宋体" w:eastAsia="宋体" w:cs="宋体"/>
          <w:szCs w:val="21"/>
        </w:rPr>
        <w:t>日至2025年</w:t>
      </w:r>
      <w:r>
        <w:rPr>
          <w:rFonts w:hint="eastAsia" w:ascii="宋体" w:hAnsi="宋体" w:cs="宋体"/>
          <w:szCs w:val="21"/>
          <w:lang w:val="en-US" w:eastAsia="zh-CN"/>
        </w:rPr>
        <w:t>7</w:t>
      </w:r>
      <w:r>
        <w:rPr>
          <w:rFonts w:hint="eastAsia" w:ascii="宋体" w:hAnsi="宋体" w:eastAsia="宋体" w:cs="宋体"/>
          <w:szCs w:val="21"/>
        </w:rPr>
        <w:t>月</w:t>
      </w:r>
      <w:r>
        <w:rPr>
          <w:rFonts w:hint="eastAsia" w:ascii="宋体" w:hAnsi="宋体" w:cs="宋体"/>
          <w:szCs w:val="21"/>
          <w:lang w:val="en-US" w:eastAsia="zh-CN"/>
        </w:rPr>
        <w:t>18</w:t>
      </w:r>
      <w:r>
        <w:rPr>
          <w:rFonts w:hint="eastAsia" w:ascii="宋体" w:hAnsi="宋体" w:eastAsia="宋体" w:cs="宋体"/>
          <w:szCs w:val="21"/>
        </w:rPr>
        <w:t>日，每天上午00:00至12:00，下午12:00至23:59（北京时间，线上获取法定节假日均可）</w:t>
      </w:r>
    </w:p>
    <w:p w14:paraId="2CB606A3">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地点：政采云平台（https://www.zcygov.cn）</w:t>
      </w:r>
    </w:p>
    <w:p w14:paraId="7B168E84">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方式：潜在供应商登陆政采云平台，进入“项目采购”应用，在获取采购文件菜单中选择本项目，申请获取采购文件。</w:t>
      </w:r>
    </w:p>
    <w:p w14:paraId="3ADA1511">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售价：0元</w:t>
      </w:r>
    </w:p>
    <w:p w14:paraId="3F0D8277">
      <w:pPr>
        <w:pageBreakBefore w:val="0"/>
        <w:kinsoku/>
        <w:wordWrap/>
        <w:overflowPunct/>
        <w:topLinePunct w:val="0"/>
        <w:bidi w:val="0"/>
        <w:adjustRightInd/>
        <w:snapToGrid/>
        <w:spacing w:before="0" w:after="0" w:line="400" w:lineRule="exact"/>
        <w:textAlignment w:val="auto"/>
        <w:outlineLvl w:val="9"/>
        <w:rPr>
          <w:rFonts w:hint="eastAsia" w:ascii="宋体" w:hAnsi="宋体" w:eastAsia="宋体" w:cs="宋体"/>
          <w:b/>
          <w:bCs/>
          <w:sz w:val="21"/>
          <w:szCs w:val="21"/>
        </w:rPr>
      </w:pPr>
      <w:bookmarkStart w:id="14" w:name="_Toc28359092"/>
      <w:bookmarkStart w:id="15" w:name="_Toc35393801"/>
      <w:bookmarkStart w:id="16" w:name="_Toc35393632"/>
      <w:bookmarkStart w:id="17" w:name="_Toc28359015"/>
      <w:r>
        <w:rPr>
          <w:rFonts w:hint="eastAsia" w:ascii="宋体" w:hAnsi="宋体" w:eastAsia="宋体" w:cs="宋体"/>
          <w:b/>
          <w:bCs/>
          <w:sz w:val="21"/>
          <w:szCs w:val="21"/>
        </w:rPr>
        <w:t>四、</w:t>
      </w:r>
      <w:bookmarkEnd w:id="14"/>
      <w:bookmarkEnd w:id="15"/>
      <w:bookmarkEnd w:id="16"/>
      <w:bookmarkEnd w:id="17"/>
      <w:r>
        <w:rPr>
          <w:rFonts w:hint="eastAsia" w:ascii="宋体" w:hAnsi="宋体" w:eastAsia="宋体" w:cs="宋体"/>
          <w:b/>
          <w:bCs/>
          <w:sz w:val="21"/>
          <w:szCs w:val="21"/>
        </w:rPr>
        <w:t>响应文件提交（上传）</w:t>
      </w:r>
    </w:p>
    <w:p w14:paraId="54B06541">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Cs w:val="21"/>
        </w:rPr>
      </w:pPr>
      <w:r>
        <w:rPr>
          <w:rFonts w:hint="eastAsia" w:ascii="宋体" w:hAnsi="宋体" w:eastAsia="宋体" w:cs="宋体"/>
          <w:szCs w:val="21"/>
        </w:rPr>
        <w:t>截止时间：2025年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cs="宋体"/>
          <w:szCs w:val="21"/>
          <w:lang w:val="en-US" w:eastAsia="zh-CN"/>
        </w:rPr>
        <w:t>22</w:t>
      </w:r>
      <w:r>
        <w:rPr>
          <w:rFonts w:hint="eastAsia" w:ascii="宋体" w:hAnsi="宋体" w:eastAsia="宋体" w:cs="宋体"/>
          <w:szCs w:val="21"/>
        </w:rPr>
        <w:t>日</w:t>
      </w:r>
      <w:r>
        <w:rPr>
          <w:rFonts w:hint="eastAsia" w:ascii="宋体" w:hAnsi="宋体" w:cs="宋体"/>
          <w:bCs/>
          <w:lang w:val="en-US" w:eastAsia="zh-CN"/>
        </w:rPr>
        <w:t>09</w:t>
      </w:r>
      <w:r>
        <w:rPr>
          <w:rFonts w:hint="eastAsia" w:ascii="宋体" w:hAnsi="宋体" w:eastAsia="宋体" w:cs="宋体"/>
          <w:bCs/>
        </w:rPr>
        <w:t>点</w:t>
      </w:r>
      <w:r>
        <w:rPr>
          <w:rFonts w:hint="eastAsia" w:ascii="宋体" w:hAnsi="宋体" w:cs="宋体"/>
          <w:bCs/>
          <w:lang w:val="en-US" w:eastAsia="zh-CN"/>
        </w:rPr>
        <w:t>30</w:t>
      </w:r>
      <w:r>
        <w:rPr>
          <w:rFonts w:hint="eastAsia" w:ascii="宋体" w:hAnsi="宋体" w:eastAsia="宋体" w:cs="宋体"/>
          <w:bCs/>
        </w:rPr>
        <w:t>分</w:t>
      </w:r>
      <w:r>
        <w:rPr>
          <w:rFonts w:hint="eastAsia" w:ascii="宋体" w:hAnsi="宋体" w:eastAsia="宋体" w:cs="宋体"/>
          <w:bCs/>
          <w:szCs w:val="21"/>
        </w:rPr>
        <w:t>（北京时间）</w:t>
      </w:r>
    </w:p>
    <w:p w14:paraId="249D03B2">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地点（网址）：电子加密响应文件通过政采云平台（https://www.zcygov.cn）在线上传提交；备份响应文件在截止时间前邮寄或送达采购代理机构（如提供）。</w:t>
      </w:r>
    </w:p>
    <w:p w14:paraId="7B31B2B4">
      <w:pPr>
        <w:pageBreakBefore w:val="0"/>
        <w:kinsoku/>
        <w:wordWrap/>
        <w:overflowPunct/>
        <w:topLinePunct w:val="0"/>
        <w:bidi w:val="0"/>
        <w:adjustRightInd/>
        <w:snapToGrid/>
        <w:spacing w:before="0" w:after="0" w:line="400" w:lineRule="exact"/>
        <w:textAlignment w:val="auto"/>
        <w:outlineLvl w:val="9"/>
        <w:rPr>
          <w:rFonts w:hint="eastAsia" w:ascii="宋体" w:hAnsi="宋体" w:eastAsia="宋体" w:cs="宋体"/>
          <w:b/>
          <w:bCs/>
          <w:sz w:val="21"/>
          <w:szCs w:val="21"/>
        </w:rPr>
      </w:pPr>
      <w:bookmarkStart w:id="18" w:name="_Toc35393633"/>
      <w:bookmarkStart w:id="19" w:name="_Toc35393802"/>
      <w:bookmarkStart w:id="20" w:name="_Toc28359093"/>
      <w:bookmarkStart w:id="21" w:name="_Toc28359016"/>
      <w:r>
        <w:rPr>
          <w:rFonts w:hint="eastAsia" w:ascii="宋体" w:hAnsi="宋体" w:eastAsia="宋体" w:cs="宋体"/>
          <w:b/>
          <w:bCs/>
          <w:sz w:val="21"/>
          <w:szCs w:val="21"/>
        </w:rPr>
        <w:t>五、</w:t>
      </w:r>
      <w:bookmarkEnd w:id="18"/>
      <w:bookmarkEnd w:id="19"/>
      <w:bookmarkEnd w:id="20"/>
      <w:bookmarkEnd w:id="21"/>
      <w:r>
        <w:rPr>
          <w:rFonts w:hint="eastAsia" w:ascii="宋体" w:hAnsi="宋体" w:eastAsia="宋体" w:cs="宋体"/>
          <w:b/>
          <w:bCs/>
          <w:sz w:val="21"/>
          <w:szCs w:val="21"/>
        </w:rPr>
        <w:t>响应文件开启</w:t>
      </w:r>
    </w:p>
    <w:p w14:paraId="41941CB9">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Cs w:val="21"/>
          <w:u w:val="single"/>
        </w:rPr>
      </w:pPr>
      <w:r>
        <w:rPr>
          <w:rFonts w:hint="eastAsia" w:ascii="宋体" w:hAnsi="宋体" w:cs="宋体"/>
          <w:szCs w:val="21"/>
          <w:lang w:eastAsia="zh-CN"/>
        </w:rPr>
        <w:t>开启</w:t>
      </w:r>
      <w:r>
        <w:rPr>
          <w:rFonts w:hint="eastAsia" w:ascii="宋体" w:hAnsi="宋体" w:eastAsia="宋体" w:cs="宋体"/>
          <w:szCs w:val="21"/>
        </w:rPr>
        <w:t>时间：2025年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cs="宋体"/>
          <w:szCs w:val="21"/>
          <w:lang w:val="en-US" w:eastAsia="zh-CN"/>
        </w:rPr>
        <w:t>22</w:t>
      </w:r>
      <w:r>
        <w:rPr>
          <w:rFonts w:hint="eastAsia" w:ascii="宋体" w:hAnsi="宋体" w:eastAsia="宋体" w:cs="宋体"/>
          <w:szCs w:val="21"/>
        </w:rPr>
        <w:t>日</w:t>
      </w:r>
      <w:r>
        <w:rPr>
          <w:rFonts w:hint="eastAsia" w:ascii="宋体" w:hAnsi="宋体" w:cs="宋体"/>
          <w:bCs/>
          <w:lang w:val="en-US" w:eastAsia="zh-CN"/>
        </w:rPr>
        <w:t>09</w:t>
      </w:r>
      <w:r>
        <w:rPr>
          <w:rFonts w:hint="eastAsia" w:ascii="宋体" w:hAnsi="宋体" w:eastAsia="宋体" w:cs="宋体"/>
          <w:bCs/>
        </w:rPr>
        <w:t>点</w:t>
      </w:r>
      <w:r>
        <w:rPr>
          <w:rFonts w:hint="eastAsia" w:ascii="宋体" w:hAnsi="宋体" w:cs="宋体"/>
          <w:bCs/>
          <w:lang w:val="en-US" w:eastAsia="zh-CN"/>
        </w:rPr>
        <w:t>30</w:t>
      </w:r>
      <w:r>
        <w:rPr>
          <w:rFonts w:hint="eastAsia" w:ascii="宋体" w:hAnsi="宋体" w:eastAsia="宋体" w:cs="宋体"/>
          <w:bCs/>
        </w:rPr>
        <w:t>分</w:t>
      </w:r>
      <w:r>
        <w:rPr>
          <w:rFonts w:hint="eastAsia" w:ascii="宋体" w:hAnsi="宋体" w:eastAsia="宋体" w:cs="宋体"/>
          <w:bCs/>
          <w:szCs w:val="21"/>
        </w:rPr>
        <w:t>（北京时间）</w:t>
      </w:r>
    </w:p>
    <w:p w14:paraId="583B4D14">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地点（网址）：电子加密响应文件通过政采云平台（https://www.zcygov.cn）在线上传提交；备份响应文件在截止时间前邮寄或送达采购代理机构（如提供）。</w:t>
      </w:r>
    </w:p>
    <w:p w14:paraId="03B5C037">
      <w:pPr>
        <w:pageBreakBefore w:val="0"/>
        <w:kinsoku/>
        <w:wordWrap/>
        <w:overflowPunct/>
        <w:topLinePunct w:val="0"/>
        <w:bidi w:val="0"/>
        <w:adjustRightInd/>
        <w:snapToGrid/>
        <w:spacing w:before="0" w:after="0" w:line="400" w:lineRule="exact"/>
        <w:textAlignment w:val="auto"/>
        <w:outlineLvl w:val="9"/>
        <w:rPr>
          <w:rFonts w:hint="eastAsia" w:ascii="宋体" w:hAnsi="宋体" w:eastAsia="宋体" w:cs="宋体"/>
          <w:b/>
          <w:bCs/>
          <w:sz w:val="21"/>
          <w:szCs w:val="21"/>
        </w:rPr>
      </w:pPr>
      <w:bookmarkStart w:id="22" w:name="_Toc28359094"/>
      <w:bookmarkStart w:id="23" w:name="_Toc28359017"/>
      <w:bookmarkStart w:id="24" w:name="_Toc35393634"/>
      <w:bookmarkStart w:id="25" w:name="_Toc35393803"/>
      <w:r>
        <w:rPr>
          <w:rFonts w:hint="eastAsia" w:ascii="宋体" w:hAnsi="宋体" w:eastAsia="宋体" w:cs="宋体"/>
          <w:b/>
          <w:bCs/>
          <w:sz w:val="21"/>
          <w:szCs w:val="21"/>
        </w:rPr>
        <w:t>六、公告期限</w:t>
      </w:r>
      <w:bookmarkEnd w:id="22"/>
      <w:bookmarkEnd w:id="23"/>
      <w:bookmarkEnd w:id="24"/>
      <w:bookmarkEnd w:id="25"/>
    </w:p>
    <w:p w14:paraId="2EB27507">
      <w:pPr>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自本公告发布之日起3个工作日。</w:t>
      </w:r>
    </w:p>
    <w:p w14:paraId="14EF5D32">
      <w:pPr>
        <w:pageBreakBefore w:val="0"/>
        <w:kinsoku/>
        <w:wordWrap/>
        <w:overflowPunct/>
        <w:topLinePunct w:val="0"/>
        <w:bidi w:val="0"/>
        <w:adjustRightInd/>
        <w:snapToGrid/>
        <w:spacing w:before="0" w:after="0" w:line="400" w:lineRule="exact"/>
        <w:textAlignment w:val="auto"/>
        <w:outlineLvl w:val="9"/>
        <w:rPr>
          <w:rFonts w:hint="eastAsia" w:ascii="宋体" w:hAnsi="宋体" w:eastAsia="宋体" w:cs="宋体"/>
          <w:b/>
          <w:bCs/>
          <w:sz w:val="21"/>
          <w:szCs w:val="21"/>
        </w:rPr>
      </w:pPr>
      <w:bookmarkStart w:id="26" w:name="_Toc35393635"/>
      <w:bookmarkStart w:id="27" w:name="_Toc35393804"/>
      <w:r>
        <w:rPr>
          <w:rFonts w:hint="eastAsia" w:ascii="宋体" w:hAnsi="宋体" w:eastAsia="宋体" w:cs="宋体"/>
          <w:b/>
          <w:bCs/>
          <w:sz w:val="21"/>
          <w:szCs w:val="21"/>
        </w:rPr>
        <w:t>七、其他补充事宜</w:t>
      </w:r>
      <w:bookmarkEnd w:id="26"/>
      <w:bookmarkEnd w:id="27"/>
    </w:p>
    <w:p w14:paraId="740407E3">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852213D">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36C6C6">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3B27EB">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2A15215E">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5.本项目实行网上磋商，采用电子响应文件。若供应商参与磋商，自行承担磋商一切费用。</w:t>
      </w:r>
    </w:p>
    <w:p w14:paraId="4059ED22">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6.标前准备：各供应商应在开标前确保成为浙江政府采购网正式注册入库供应商，并完成CA数字证书办理。因未注册入库、未办理CA数字证书等原因造成无法磋商或磋商失败等后果由供应商自行承担。</w:t>
      </w:r>
    </w:p>
    <w:p w14:paraId="26A2C14C">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7.响应文件制作：</w:t>
      </w:r>
    </w:p>
    <w:p w14:paraId="1CDB689D">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（1）应按照本项目磋商文件和政府采购云平台的要求编制、加密并递交响应文件。供应商在使用系统进行磋商的过程中遇到涉及平台使用的任何问题，可致电政府采购云平台技术支持热线咨询，联系方式：95763。</w:t>
      </w:r>
    </w:p>
    <w:p w14:paraId="5CE1FB53">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（2）供应商通过政府采购云平台电子投标工具制作响应文件，电子投标工具请供应商自行前往浙江政府采购网下载并安装，响应文件制作具体流程详见政府采购云平台。</w:t>
      </w:r>
    </w:p>
    <w:p w14:paraId="07797D4A">
      <w:pPr>
        <w:pageBreakBefore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（3）以U盘存储的电子备份响应文件1份，按政府采购云平台要求制作的电子备份文件，以用于异常情况处理，但不强制要求。</w:t>
      </w:r>
    </w:p>
    <w:p w14:paraId="0A227FBB">
      <w:pPr>
        <w:pageBreakBefore w:val="0"/>
        <w:kinsoku/>
        <w:wordWrap/>
        <w:overflowPunct/>
        <w:topLinePunct w:val="0"/>
        <w:bidi w:val="0"/>
        <w:adjustRightInd/>
        <w:snapToGrid/>
        <w:spacing w:before="0" w:after="0" w:line="400" w:lineRule="exact"/>
        <w:textAlignment w:val="auto"/>
        <w:outlineLvl w:val="9"/>
        <w:rPr>
          <w:rFonts w:hint="eastAsia" w:ascii="宋体" w:hAnsi="宋体" w:eastAsia="宋体" w:cs="宋体"/>
          <w:b/>
          <w:bCs/>
          <w:sz w:val="21"/>
          <w:szCs w:val="21"/>
        </w:rPr>
      </w:pPr>
      <w:bookmarkStart w:id="28" w:name="_Toc35393805"/>
      <w:bookmarkStart w:id="29" w:name="_Toc28359095"/>
      <w:bookmarkStart w:id="30" w:name="_Toc35393636"/>
      <w:bookmarkStart w:id="31" w:name="_Toc28359018"/>
      <w:r>
        <w:rPr>
          <w:rFonts w:hint="eastAsia" w:ascii="宋体" w:hAnsi="宋体" w:eastAsia="宋体" w:cs="宋体"/>
          <w:b/>
          <w:bCs/>
          <w:sz w:val="21"/>
          <w:szCs w:val="21"/>
        </w:rPr>
        <w:t>八、凡对本次采购提出询问，请按以下方式联系</w:t>
      </w:r>
      <w:bookmarkEnd w:id="28"/>
      <w:bookmarkEnd w:id="29"/>
      <w:bookmarkEnd w:id="30"/>
      <w:bookmarkEnd w:id="31"/>
    </w:p>
    <w:p w14:paraId="1B4DC337">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1.采购人信息</w:t>
      </w:r>
    </w:p>
    <w:p w14:paraId="2D3D0A75">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名    称：</w:t>
      </w:r>
      <w:r>
        <w:rPr>
          <w:rFonts w:hint="eastAsia" w:ascii="宋体" w:hAnsi="宋体" w:eastAsia="宋体" w:cs="宋体"/>
          <w:kern w:val="0"/>
          <w:szCs w:val="21"/>
          <w:lang w:eastAsia="zh-CN"/>
        </w:rPr>
        <w:t>宁波市发展和改革委员会</w:t>
      </w:r>
    </w:p>
    <w:p w14:paraId="453ABC4A">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地    址：宁波市</w:t>
      </w:r>
      <w:r>
        <w:rPr>
          <w:rFonts w:hint="eastAsia" w:ascii="宋体" w:hAnsi="宋体" w:eastAsia="宋体" w:cs="宋体"/>
          <w:kern w:val="0"/>
          <w:szCs w:val="21"/>
          <w:lang w:val="en-US" w:eastAsia="zh-CN"/>
        </w:rPr>
        <w:t>鄞州区和济街118号</w:t>
      </w:r>
    </w:p>
    <w:p w14:paraId="1037B8C1">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传    真：/</w:t>
      </w:r>
    </w:p>
    <w:p w14:paraId="47A1B85D">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项目联系人（询问）：</w:t>
      </w:r>
      <w:r>
        <w:rPr>
          <w:rFonts w:hint="eastAsia" w:ascii="宋体" w:hAnsi="宋体" w:eastAsia="宋体" w:cs="宋体"/>
          <w:kern w:val="0"/>
          <w:szCs w:val="21"/>
          <w:lang w:val="en-US" w:eastAsia="zh-CN"/>
        </w:rPr>
        <w:t>胡</w:t>
      </w:r>
      <w:r>
        <w:rPr>
          <w:rFonts w:hint="eastAsia" w:ascii="宋体" w:hAnsi="宋体" w:eastAsia="宋体" w:cs="宋体"/>
          <w:kern w:val="0"/>
          <w:szCs w:val="21"/>
        </w:rPr>
        <w:t>老师</w:t>
      </w:r>
    </w:p>
    <w:p w14:paraId="1EA6D41B">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项目联系方式（询问）：0574-</w:t>
      </w:r>
      <w:r>
        <w:rPr>
          <w:rFonts w:hint="eastAsia" w:ascii="宋体" w:hAnsi="宋体" w:eastAsia="宋体" w:cs="宋体"/>
          <w:kern w:val="0"/>
          <w:szCs w:val="21"/>
          <w:lang w:val="en-US" w:eastAsia="zh-CN"/>
        </w:rPr>
        <w:t>89183315</w:t>
      </w:r>
    </w:p>
    <w:p w14:paraId="4E7727E7">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质疑联系人：</w:t>
      </w:r>
      <w:r>
        <w:rPr>
          <w:rFonts w:hint="eastAsia" w:ascii="宋体" w:hAnsi="宋体" w:eastAsia="宋体" w:cs="宋体"/>
          <w:kern w:val="0"/>
          <w:szCs w:val="21"/>
          <w:lang w:val="en-US" w:eastAsia="zh-CN"/>
        </w:rPr>
        <w:t>李</w:t>
      </w:r>
      <w:r>
        <w:rPr>
          <w:rFonts w:hint="eastAsia" w:ascii="宋体" w:hAnsi="宋体" w:eastAsia="宋体" w:cs="宋体"/>
          <w:kern w:val="0"/>
          <w:szCs w:val="21"/>
        </w:rPr>
        <w:t>老师</w:t>
      </w:r>
    </w:p>
    <w:p w14:paraId="4B2F0EFD">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质疑联系方式：0574-</w:t>
      </w:r>
      <w:r>
        <w:rPr>
          <w:rFonts w:hint="eastAsia" w:ascii="宋体" w:hAnsi="宋体" w:eastAsia="宋体" w:cs="宋体"/>
          <w:kern w:val="0"/>
          <w:szCs w:val="21"/>
          <w:lang w:val="en-US" w:eastAsia="zh-CN"/>
        </w:rPr>
        <w:t>89382493</w:t>
      </w:r>
    </w:p>
    <w:p w14:paraId="7657F780">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p>
    <w:p w14:paraId="7ECC2F80">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2.采购代理机构信息            </w:t>
      </w:r>
    </w:p>
    <w:p w14:paraId="65DBBA48">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名    称：宁波市国际招标有限公司             </w:t>
      </w:r>
    </w:p>
    <w:p w14:paraId="13D428AD">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地    址：宁波市江北区环城北路西段207弄19号世茂茂悦商业中心1号楼八楼</w:t>
      </w:r>
    </w:p>
    <w:p w14:paraId="74B3BE5F">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传    真：0574-87388460             </w:t>
      </w:r>
    </w:p>
    <w:p w14:paraId="5E57C1CF">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 xml:space="preserve">    项目联系人（询问）：</w:t>
      </w:r>
      <w:r>
        <w:rPr>
          <w:rFonts w:hint="eastAsia" w:ascii="宋体" w:hAnsi="宋体" w:eastAsia="宋体" w:cs="宋体"/>
          <w:kern w:val="0"/>
          <w:szCs w:val="21"/>
          <w:lang w:val="en-US" w:eastAsia="zh-CN"/>
        </w:rPr>
        <w:t>陈洋</w:t>
      </w:r>
      <w:r>
        <w:rPr>
          <w:rFonts w:hint="eastAsia" w:ascii="宋体" w:hAnsi="宋体" w:eastAsia="宋体" w:cs="宋体"/>
          <w:kern w:val="0"/>
          <w:szCs w:val="21"/>
        </w:rPr>
        <w:t>、</w:t>
      </w:r>
      <w:r>
        <w:rPr>
          <w:rFonts w:hint="eastAsia" w:ascii="宋体" w:hAnsi="宋体" w:cs="宋体"/>
          <w:kern w:val="0"/>
          <w:szCs w:val="21"/>
          <w:lang w:val="en-US" w:eastAsia="zh-CN"/>
        </w:rPr>
        <w:t>王金奎</w:t>
      </w:r>
      <w:r>
        <w:rPr>
          <w:rFonts w:hint="eastAsia" w:ascii="宋体" w:hAnsi="宋体" w:eastAsia="宋体" w:cs="宋体"/>
          <w:kern w:val="0"/>
          <w:szCs w:val="21"/>
        </w:rPr>
        <w:t>、</w:t>
      </w:r>
      <w:r>
        <w:rPr>
          <w:rFonts w:hint="eastAsia" w:ascii="宋体" w:hAnsi="宋体" w:eastAsia="宋体" w:cs="宋体"/>
          <w:kern w:val="0"/>
          <w:szCs w:val="21"/>
          <w:lang w:val="en-US" w:eastAsia="zh-CN"/>
        </w:rPr>
        <w:t>严锋、张敏恒</w:t>
      </w:r>
    </w:p>
    <w:p w14:paraId="07B069A2">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项目联系方式（询问）：0574-87</w:t>
      </w:r>
      <w:r>
        <w:rPr>
          <w:rFonts w:hint="eastAsia" w:ascii="宋体" w:hAnsi="宋体" w:eastAsia="宋体" w:cs="宋体"/>
          <w:kern w:val="0"/>
          <w:szCs w:val="21"/>
          <w:lang w:val="en-US" w:eastAsia="zh-CN"/>
        </w:rPr>
        <w:t>295348</w:t>
      </w:r>
      <w:r>
        <w:rPr>
          <w:rFonts w:hint="eastAsia" w:ascii="宋体" w:hAnsi="宋体" w:eastAsia="宋体" w:cs="宋体"/>
          <w:kern w:val="0"/>
          <w:szCs w:val="21"/>
        </w:rPr>
        <w:t xml:space="preserve"> </w:t>
      </w:r>
    </w:p>
    <w:p w14:paraId="38CA225B">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质疑联系人：夏伟立             </w:t>
      </w:r>
    </w:p>
    <w:p w14:paraId="726D0C1C">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质疑联系方式：0574-87128864 </w:t>
      </w:r>
    </w:p>
    <w:p w14:paraId="205E7AAC">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p>
    <w:p w14:paraId="072DE209">
      <w:pPr>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3.同级政府采购监督管理部门            </w:t>
      </w:r>
    </w:p>
    <w:p w14:paraId="0408EF1D">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名    称：宁波市财政局政府采购监管处             </w:t>
      </w:r>
    </w:p>
    <w:p w14:paraId="634FA136">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地    址：宁波市海曙区中山西路19号</w:t>
      </w:r>
    </w:p>
    <w:p w14:paraId="6B9F09E4">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传    真：/  </w:t>
      </w:r>
    </w:p>
    <w:p w14:paraId="35946991">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联</w:t>
      </w:r>
      <w:r>
        <w:rPr>
          <w:rFonts w:hint="eastAsia" w:ascii="宋体" w:hAnsi="宋体" w:cs="宋体"/>
          <w:kern w:val="0"/>
          <w:szCs w:val="21"/>
          <w:lang w:val="en-US" w:eastAsia="zh-CN"/>
        </w:rPr>
        <w:t xml:space="preserve"> </w:t>
      </w:r>
      <w:r>
        <w:rPr>
          <w:rFonts w:hint="eastAsia" w:ascii="宋体" w:hAnsi="宋体" w:eastAsia="宋体" w:cs="宋体"/>
          <w:kern w:val="0"/>
          <w:szCs w:val="21"/>
        </w:rPr>
        <w:t>系</w:t>
      </w:r>
      <w:r>
        <w:rPr>
          <w:rFonts w:hint="eastAsia" w:ascii="宋体" w:hAnsi="宋体" w:cs="宋体"/>
          <w:kern w:val="0"/>
          <w:szCs w:val="21"/>
          <w:lang w:val="en-US" w:eastAsia="zh-CN"/>
        </w:rPr>
        <w:t xml:space="preserve"> </w:t>
      </w:r>
      <w:r>
        <w:rPr>
          <w:rFonts w:hint="eastAsia" w:ascii="宋体" w:hAnsi="宋体" w:eastAsia="宋体" w:cs="宋体"/>
          <w:kern w:val="0"/>
          <w:szCs w:val="21"/>
        </w:rPr>
        <w:t xml:space="preserve">人：李老师             </w:t>
      </w:r>
    </w:p>
    <w:p w14:paraId="60419CCA">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监督投诉电话：0574-89388042</w:t>
      </w:r>
    </w:p>
    <w:p w14:paraId="7A87BBB8">
      <w:pPr>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kern w:val="0"/>
          <w:szCs w:val="21"/>
        </w:rPr>
      </w:pPr>
    </w:p>
    <w:p w14:paraId="7036A4F5">
      <w:pPr>
        <w:pageBreakBefore w:val="0"/>
        <w:widowControl/>
        <w:kinsoku/>
        <w:wordWrap/>
        <w:overflowPunct/>
        <w:topLinePunct w:val="0"/>
        <w:bidi w:val="0"/>
        <w:adjustRightInd/>
        <w:snapToGrid/>
        <w:spacing w:line="400" w:lineRule="exact"/>
        <w:ind w:firstLine="400" w:firstLineChars="200"/>
        <w:jc w:val="left"/>
        <w:textAlignment w:val="auto"/>
        <w:rPr>
          <w:rFonts w:hint="eastAsia" w:ascii="宋体" w:hAnsi="宋体" w:eastAsia="宋体" w:cs="宋体"/>
          <w:kern w:val="0"/>
          <w:sz w:val="20"/>
          <w:szCs w:val="21"/>
        </w:rPr>
      </w:pPr>
      <w:r>
        <w:rPr>
          <w:rFonts w:hint="eastAsia" w:ascii="宋体" w:hAnsi="宋体" w:eastAsia="宋体" w:cs="宋体"/>
          <w:kern w:val="0"/>
          <w:sz w:val="20"/>
          <w:szCs w:val="21"/>
        </w:rPr>
        <w:t>若对项目采购电子交易系统操作有疑问，可登录政采云（https://www.zcygov.cn/），点击右侧咨询小采，获取采小蜜智能服务管家帮助，或拨打政采云服务热线95763获取热线服务帮助。</w:t>
      </w:r>
    </w:p>
    <w:p w14:paraId="4AED887C">
      <w:pPr>
        <w:pageBreakBefore w:val="0"/>
        <w:widowControl/>
        <w:kinsoku/>
        <w:wordWrap/>
        <w:overflowPunct/>
        <w:topLinePunct w:val="0"/>
        <w:bidi w:val="0"/>
        <w:adjustRightInd/>
        <w:snapToGrid/>
        <w:spacing w:line="400" w:lineRule="exact"/>
        <w:ind w:firstLine="400" w:firstLineChars="200"/>
        <w:jc w:val="left"/>
        <w:textAlignment w:val="auto"/>
        <w:rPr>
          <w:rFonts w:hint="eastAsia" w:ascii="宋体" w:hAnsi="宋体" w:eastAsia="宋体" w:cs="宋体"/>
          <w:szCs w:val="21"/>
        </w:rPr>
      </w:pPr>
      <w:r>
        <w:rPr>
          <w:rFonts w:hint="eastAsia" w:ascii="宋体" w:hAnsi="宋体" w:eastAsia="宋体" w:cs="宋体"/>
          <w:kern w:val="0"/>
          <w:sz w:val="20"/>
          <w:szCs w:val="21"/>
        </w:rPr>
        <w:t>CA问题联系电话（人工）：汇信CA 400-888-4636；天谷CA 400-087-8198。</w:t>
      </w:r>
    </w:p>
    <w:p w14:paraId="4ED5CECA">
      <w:pPr>
        <w:pStyle w:val="3"/>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30"/>
          <w:szCs w:val="30"/>
        </w:rPr>
      </w:pPr>
      <w:bookmarkStart w:id="32" w:name="_Toc34844742"/>
      <w:r>
        <w:rPr>
          <w:rFonts w:hint="eastAsia" w:ascii="宋体" w:hAnsi="宋体" w:eastAsia="宋体" w:cs="宋体"/>
        </w:rPr>
        <w:br w:type="page"/>
      </w:r>
      <w:bookmarkStart w:id="33" w:name="_Toc3429"/>
      <w:r>
        <w:rPr>
          <w:rFonts w:hint="eastAsia" w:ascii="宋体" w:hAnsi="宋体" w:eastAsia="宋体" w:cs="宋体"/>
          <w:sz w:val="30"/>
          <w:szCs w:val="30"/>
        </w:rPr>
        <w:t>第二章</w:t>
      </w:r>
      <w:r>
        <w:rPr>
          <w:rFonts w:hint="eastAsia" w:ascii="宋体" w:hAnsi="宋体" w:cs="宋体"/>
          <w:sz w:val="30"/>
          <w:szCs w:val="30"/>
          <w:lang w:val="en-US" w:eastAsia="zh-CN"/>
        </w:rPr>
        <w:t xml:space="preserve">  </w:t>
      </w:r>
      <w:r>
        <w:rPr>
          <w:rFonts w:hint="eastAsia" w:ascii="宋体" w:hAnsi="宋体" w:eastAsia="宋体" w:cs="宋体"/>
          <w:sz w:val="30"/>
          <w:szCs w:val="30"/>
        </w:rPr>
        <w:t>采购需求</w:t>
      </w:r>
      <w:bookmarkEnd w:id="32"/>
      <w:bookmarkEnd w:id="33"/>
    </w:p>
    <w:p w14:paraId="2EA9783F">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为高质量、高水平承办2025年宁波品牌日系列活动，推动打造“宁波品牌日”城市级IP，扩大宁波品牌影响力，现面向社会公开采购2025宁波品牌日系列活动暨走近品牌计划服务。具体采购需求如下</w:t>
      </w:r>
      <w:r>
        <w:rPr>
          <w:rFonts w:hint="eastAsia" w:ascii="宋体" w:hAnsi="宋体" w:cs="宋体"/>
          <w:sz w:val="21"/>
          <w:szCs w:val="21"/>
          <w:lang w:eastAsia="zh-CN"/>
        </w:rPr>
        <w:t>：</w:t>
      </w:r>
    </w:p>
    <w:p w14:paraId="23AFB86A">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一、活动主题与目标</w:t>
      </w:r>
    </w:p>
    <w:p w14:paraId="41B37BAE">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（一）活动主题</w:t>
      </w:r>
    </w:p>
    <w:p w14:paraId="295CB21A">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“甬动品牌力：赋能・向新”</w:t>
      </w:r>
    </w:p>
    <w:p w14:paraId="34183DE8">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（二）主题释义</w:t>
      </w:r>
    </w:p>
    <w:p w14:paraId="67310507">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“甬动品牌力”以“甬</w:t>
      </w:r>
      <w:r>
        <w:rPr>
          <w:rFonts w:hint="eastAsia" w:ascii="宋体" w:hAnsi="宋体" w:eastAsia="宋体" w:cs="宋体"/>
          <w:sz w:val="21"/>
          <w:szCs w:val="21"/>
          <w:lang w:eastAsia="zh-CN"/>
        </w:rPr>
        <w:t>”</w:t>
      </w:r>
      <w:r>
        <w:rPr>
          <w:rFonts w:hint="eastAsia" w:ascii="宋体" w:hAnsi="宋体" w:eastAsia="宋体" w:cs="宋体"/>
          <w:sz w:val="21"/>
          <w:szCs w:val="21"/>
        </w:rPr>
        <w:t>（宁波）为原点，激活本土品牌发展活力；“赋能・向新” 突出通过品牌赋能产业链发展，推动产业向新升级。</w:t>
      </w:r>
    </w:p>
    <w:p w14:paraId="7BF33A33">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（三）活动目标</w:t>
      </w:r>
    </w:p>
    <w:p w14:paraId="35A47BF0">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打造“宁波品牌日”城市级IP，提升宁波品牌的市场认实现高质量发展。</w:t>
      </w:r>
    </w:p>
    <w:p w14:paraId="68620A18">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促进产业链协同发展，推动产业创新升级，增强宁波产业竞争力知度与美誉度。</w:t>
      </w:r>
    </w:p>
    <w:p w14:paraId="272BBE69">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sz w:val="21"/>
          <w:szCs w:val="21"/>
        </w:rPr>
        <w:t>贴近宁波品牌企业，破解企业发展困难，助力企业通过品牌建设。</w:t>
      </w:r>
    </w:p>
    <w:p w14:paraId="6D7B6243">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bookmarkStart w:id="34" w:name="_Toc149141152"/>
      <w:r>
        <w:rPr>
          <w:rFonts w:hint="eastAsia" w:ascii="宋体" w:hAnsi="宋体" w:eastAsia="宋体" w:cs="宋体"/>
          <w:szCs w:val="21"/>
        </w:rPr>
        <w:t>二、活动内容</w:t>
      </w:r>
    </w:p>
    <w:p w14:paraId="65312363">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szCs w:val="21"/>
        </w:rPr>
        <w:t>由主体活动、宣传活动、品牌报告</w:t>
      </w:r>
      <w:r>
        <w:rPr>
          <w:rFonts w:hint="eastAsia" w:ascii="宋体" w:hAnsi="宋体" w:eastAsia="宋体" w:cs="宋体"/>
          <w:color w:val="auto"/>
          <w:szCs w:val="21"/>
        </w:rPr>
        <w:t>和配套活动四部分组成。主体活动为品牌赋能系列专场，聚焦</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个细分行业领域</w:t>
      </w:r>
      <w:r>
        <w:rPr>
          <w:rFonts w:hint="eastAsia" w:ascii="宋体" w:hAnsi="宋体" w:eastAsia="宋体" w:cs="宋体"/>
          <w:color w:val="auto"/>
          <w:szCs w:val="21"/>
          <w:lang w:val="en-US" w:eastAsia="zh-CN"/>
        </w:rPr>
        <w:t>以及民营企业主体</w:t>
      </w:r>
      <w:r>
        <w:rPr>
          <w:rFonts w:hint="eastAsia" w:ascii="宋体" w:hAnsi="宋体" w:eastAsia="宋体" w:cs="宋体"/>
          <w:color w:val="auto"/>
          <w:szCs w:val="21"/>
        </w:rPr>
        <w:t>，切实通过品牌活动为企业发展赋能。宣传活动包括新闻专栏策划</w:t>
      </w:r>
      <w:r>
        <w:rPr>
          <w:rFonts w:hint="eastAsia" w:ascii="宋体" w:hAnsi="宋体" w:eastAsia="宋体" w:cs="宋体"/>
          <w:color w:val="auto"/>
          <w:szCs w:val="21"/>
          <w:lang w:eastAsia="zh-CN"/>
        </w:rPr>
        <w:t>、</w:t>
      </w:r>
      <w:r>
        <w:rPr>
          <w:rFonts w:hint="eastAsia" w:ascii="宋体" w:hAnsi="宋体" w:eastAsia="宋体" w:cs="宋体"/>
          <w:color w:val="auto"/>
          <w:szCs w:val="21"/>
        </w:rPr>
        <w:t>专题</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全媒体访谈以及</w:t>
      </w:r>
      <w:r>
        <w:rPr>
          <w:rFonts w:hint="eastAsia" w:ascii="宋体" w:hAnsi="宋体" w:eastAsia="宋体" w:cs="宋体"/>
          <w:color w:val="auto"/>
          <w:szCs w:val="21"/>
        </w:rPr>
        <w:t>系列活动报道，新闻专栏</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新闻专题利用主流媒体优势，</w:t>
      </w:r>
      <w:r>
        <w:rPr>
          <w:rFonts w:hint="eastAsia" w:ascii="宋体" w:hAnsi="宋体" w:eastAsia="宋体" w:cs="宋体"/>
          <w:color w:val="auto"/>
          <w:szCs w:val="21"/>
        </w:rPr>
        <w:t>聚焦前沿领域和趋势领域，扩大</w:t>
      </w:r>
      <w:r>
        <w:rPr>
          <w:rFonts w:hint="eastAsia" w:ascii="宋体" w:hAnsi="宋体" w:eastAsia="宋体" w:cs="宋体"/>
          <w:color w:val="auto"/>
          <w:szCs w:val="21"/>
          <w:lang w:val="en-US" w:eastAsia="zh-CN"/>
        </w:rPr>
        <w:t>宁波</w:t>
      </w:r>
      <w:r>
        <w:rPr>
          <w:rFonts w:hint="eastAsia" w:ascii="宋体" w:hAnsi="宋体" w:eastAsia="宋体" w:cs="宋体"/>
          <w:color w:val="auto"/>
          <w:szCs w:val="21"/>
        </w:rPr>
        <w:t>优质企业品牌声量；系列活动报道为本次系列活动的整体宣传发声。品牌报告</w:t>
      </w:r>
      <w:r>
        <w:rPr>
          <w:rFonts w:hint="eastAsia" w:ascii="宋体" w:hAnsi="宋体" w:eastAsia="宋体" w:cs="宋体"/>
          <w:color w:val="auto"/>
          <w:szCs w:val="21"/>
          <w:lang w:eastAsia="zh-CN"/>
        </w:rPr>
        <w:t>主要</w:t>
      </w:r>
      <w:r>
        <w:rPr>
          <w:rFonts w:hint="eastAsia" w:ascii="宋体" w:hAnsi="宋体" w:eastAsia="宋体" w:cs="宋体"/>
          <w:color w:val="auto"/>
          <w:szCs w:val="21"/>
        </w:rPr>
        <w:t>对宁波市关键行业领域品牌发展质量</w:t>
      </w:r>
      <w:r>
        <w:rPr>
          <w:rFonts w:hint="eastAsia" w:ascii="宋体" w:hAnsi="宋体" w:eastAsia="宋体" w:cs="宋体"/>
          <w:color w:val="auto"/>
          <w:szCs w:val="21"/>
          <w:lang w:eastAsia="zh-CN"/>
        </w:rPr>
        <w:t>、困难问题</w:t>
      </w:r>
      <w:r>
        <w:rPr>
          <w:rFonts w:hint="eastAsia" w:ascii="宋体" w:hAnsi="宋体" w:eastAsia="宋体" w:cs="宋体"/>
          <w:color w:val="auto"/>
          <w:szCs w:val="21"/>
        </w:rPr>
        <w:t>和前景的分析研判。配套活动包括由市场化力量主导，轻量植入品牌日元素，面向广大市民群体，更为广泛地提升宁波品牌知名度。</w:t>
      </w:r>
    </w:p>
    <w:p w14:paraId="34429B99">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bookmarkStart w:id="35" w:name="OLE_LINK1"/>
      <w:r>
        <w:rPr>
          <w:rFonts w:hint="eastAsia" w:ascii="宋体" w:hAnsi="宋体" w:eastAsia="宋体" w:cs="宋体"/>
          <w:szCs w:val="21"/>
          <w:lang w:eastAsia="zh-CN"/>
        </w:rPr>
        <w:t>（</w:t>
      </w:r>
      <w:r>
        <w:rPr>
          <w:rFonts w:hint="eastAsia" w:ascii="宋体" w:hAnsi="宋体" w:eastAsia="宋体" w:cs="宋体"/>
          <w:szCs w:val="21"/>
          <w:lang w:val="en-US" w:eastAsia="zh-CN"/>
        </w:rPr>
        <w:t>一</w:t>
      </w:r>
      <w:r>
        <w:rPr>
          <w:rFonts w:hint="eastAsia" w:ascii="宋体" w:hAnsi="宋体" w:eastAsia="宋体" w:cs="宋体"/>
          <w:szCs w:val="21"/>
          <w:lang w:eastAsia="zh-CN"/>
        </w:rPr>
        <w:t>）</w:t>
      </w:r>
      <w:r>
        <w:rPr>
          <w:rFonts w:hint="eastAsia" w:ascii="宋体" w:hAnsi="宋体" w:eastAsia="宋体" w:cs="宋体"/>
          <w:szCs w:val="21"/>
        </w:rPr>
        <w:t>主体活动：品牌赋能系列专场</w:t>
      </w:r>
    </w:p>
    <w:bookmarkEnd w:id="35"/>
    <w:p w14:paraId="760B964F">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品牌赋能系列活动包括</w:t>
      </w:r>
      <w:r>
        <w:rPr>
          <w:rFonts w:hint="eastAsia" w:ascii="宋体" w:hAnsi="宋体" w:eastAsia="宋体" w:cs="宋体"/>
          <w:szCs w:val="21"/>
          <w:lang w:val="en-US" w:eastAsia="zh-CN"/>
        </w:rPr>
        <w:t>7个专场：</w:t>
      </w:r>
    </w:p>
    <w:p w14:paraId="53EAF32D">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细分领域专场赋能活动</w:t>
      </w:r>
      <w:r>
        <w:rPr>
          <w:rFonts w:hint="eastAsia" w:ascii="宋体" w:hAnsi="宋体" w:eastAsia="宋体" w:cs="宋体"/>
          <w:szCs w:val="21"/>
          <w:lang w:eastAsia="zh-CN"/>
        </w:rPr>
        <w:t>（</w:t>
      </w:r>
      <w:r>
        <w:rPr>
          <w:rFonts w:hint="eastAsia" w:ascii="宋体" w:hAnsi="宋体" w:eastAsia="宋体" w:cs="宋体"/>
          <w:szCs w:val="21"/>
        </w:rPr>
        <w:t>4场</w:t>
      </w:r>
      <w:r>
        <w:rPr>
          <w:rFonts w:hint="eastAsia" w:ascii="宋体" w:hAnsi="宋体" w:eastAsia="宋体" w:cs="宋体"/>
          <w:szCs w:val="21"/>
          <w:lang w:eastAsia="zh-CN"/>
        </w:rPr>
        <w:t>）：</w:t>
      </w:r>
      <w:r>
        <w:rPr>
          <w:rFonts w:hint="eastAsia" w:ascii="宋体" w:hAnsi="宋体" w:eastAsia="宋体" w:cs="宋体"/>
          <w:szCs w:val="21"/>
        </w:rPr>
        <w:t>企业出海涉外服务专场、跨境电商专场、检验检测认证专场、工业设计专场</w:t>
      </w:r>
      <w:r>
        <w:rPr>
          <w:rFonts w:hint="eastAsia" w:ascii="宋体" w:hAnsi="宋体" w:eastAsia="宋体" w:cs="宋体"/>
          <w:szCs w:val="21"/>
          <w:lang w:eastAsia="zh-CN"/>
        </w:rPr>
        <w:t>。</w:t>
      </w:r>
    </w:p>
    <w:p w14:paraId="47B66420">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2.民营经济</w:t>
      </w:r>
      <w:r>
        <w:rPr>
          <w:rFonts w:hint="eastAsia" w:ascii="宋体" w:hAnsi="宋体" w:eastAsia="宋体" w:cs="宋体"/>
          <w:szCs w:val="21"/>
        </w:rPr>
        <w:t>专场赋能活动</w:t>
      </w:r>
      <w:r>
        <w:rPr>
          <w:rFonts w:hint="eastAsia" w:ascii="宋体" w:hAnsi="宋体" w:eastAsia="宋体" w:cs="宋体"/>
          <w:szCs w:val="21"/>
          <w:lang w:eastAsia="zh-CN"/>
        </w:rPr>
        <w:t>（</w:t>
      </w:r>
      <w:r>
        <w:rPr>
          <w:rFonts w:hint="eastAsia" w:ascii="宋体" w:hAnsi="宋体" w:eastAsia="宋体" w:cs="宋体"/>
          <w:szCs w:val="21"/>
          <w:lang w:val="en-US" w:eastAsia="zh-CN"/>
        </w:rPr>
        <w:t>3场</w:t>
      </w:r>
      <w:r>
        <w:rPr>
          <w:rFonts w:hint="eastAsia" w:ascii="宋体" w:hAnsi="宋体" w:eastAsia="宋体" w:cs="宋体"/>
          <w:szCs w:val="21"/>
          <w:lang w:eastAsia="zh-CN"/>
        </w:rPr>
        <w:t>）：</w:t>
      </w:r>
      <w:r>
        <w:rPr>
          <w:rFonts w:hint="eastAsia" w:ascii="宋体" w:hAnsi="宋体" w:eastAsia="宋体" w:cs="宋体"/>
          <w:szCs w:val="21"/>
          <w:lang w:val="en-US" w:eastAsia="zh-CN"/>
        </w:rPr>
        <w:t>支持小微企业融资协调主题活动、宁波青年企业家座谈沙龙活动、宁波民营企业优质项目投资对接和民营企业培训暨招商对接</w:t>
      </w:r>
      <w:r>
        <w:rPr>
          <w:rFonts w:hint="eastAsia" w:ascii="宋体" w:hAnsi="宋体" w:eastAsia="宋体" w:cs="宋体"/>
          <w:szCs w:val="21"/>
          <w:lang w:eastAsia="zh-CN"/>
        </w:rPr>
        <w:t>。</w:t>
      </w:r>
    </w:p>
    <w:p w14:paraId="797258C1">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供应商提供各主体活动的活动设计及安排、场地安排及租赁、场地设计及搭建、嘉宾及专家邀请、活动主持、摄影摄像等与活动承办有关的所有费用。</w:t>
      </w:r>
    </w:p>
    <w:p w14:paraId="75FAA456">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rPr>
      </w:pPr>
      <w:r>
        <w:rPr>
          <w:rFonts w:hint="eastAsia" w:ascii="宋体" w:hAnsi="宋体" w:eastAsia="宋体" w:cs="宋体"/>
          <w:szCs w:val="21"/>
          <w:lang w:val="en-US" w:eastAsia="zh-CN"/>
        </w:rPr>
        <w:t>专场活动具体安排要求</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985"/>
        <w:gridCol w:w="814"/>
        <w:gridCol w:w="3617"/>
        <w:gridCol w:w="1910"/>
      </w:tblGrid>
      <w:tr w14:paraId="74CE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tcBorders>
              <w:tl2br w:val="nil"/>
              <w:tr2bl w:val="nil"/>
            </w:tcBorders>
            <w:noWrap w:val="0"/>
            <w:vAlign w:val="center"/>
          </w:tcPr>
          <w:p w14:paraId="2B6FE155">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1082" w:type="pct"/>
            <w:tcBorders>
              <w:tl2br w:val="nil"/>
              <w:tr2bl w:val="nil"/>
            </w:tcBorders>
            <w:noWrap w:val="0"/>
            <w:vAlign w:val="center"/>
          </w:tcPr>
          <w:p w14:paraId="1681E46F">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专场活动</w:t>
            </w:r>
          </w:p>
        </w:tc>
        <w:tc>
          <w:tcPr>
            <w:tcW w:w="2416" w:type="pct"/>
            <w:gridSpan w:val="2"/>
            <w:tcBorders>
              <w:tl2br w:val="nil"/>
              <w:tr2bl w:val="nil"/>
            </w:tcBorders>
            <w:noWrap w:val="0"/>
            <w:vAlign w:val="center"/>
          </w:tcPr>
          <w:p w14:paraId="071F2959">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rPr>
              <w:t>具体活动安排</w:t>
            </w:r>
            <w:r>
              <w:rPr>
                <w:rFonts w:hint="eastAsia" w:ascii="宋体" w:hAnsi="宋体" w:eastAsia="宋体" w:cs="宋体"/>
                <w:szCs w:val="21"/>
                <w:lang w:val="en-US" w:eastAsia="zh-CN"/>
              </w:rPr>
              <w:t>要求</w:t>
            </w:r>
          </w:p>
        </w:tc>
        <w:tc>
          <w:tcPr>
            <w:tcW w:w="1041" w:type="pct"/>
            <w:tcBorders>
              <w:tl2br w:val="nil"/>
              <w:tr2bl w:val="nil"/>
            </w:tcBorders>
            <w:noWrap w:val="0"/>
            <w:vAlign w:val="center"/>
          </w:tcPr>
          <w:p w14:paraId="702FD4D1">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rPr>
              <w:t>活动成果</w:t>
            </w:r>
            <w:r>
              <w:rPr>
                <w:rFonts w:hint="eastAsia" w:ascii="宋体" w:hAnsi="宋体" w:eastAsia="宋体" w:cs="宋体"/>
                <w:szCs w:val="21"/>
                <w:lang w:val="en-US" w:eastAsia="zh-CN"/>
              </w:rPr>
              <w:t>递交要求</w:t>
            </w:r>
          </w:p>
        </w:tc>
      </w:tr>
      <w:tr w14:paraId="68C0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l2br w:val="nil"/>
              <w:tr2bl w:val="nil"/>
            </w:tcBorders>
            <w:noWrap w:val="0"/>
            <w:vAlign w:val="center"/>
          </w:tcPr>
          <w:p w14:paraId="7B49707C">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1</w:t>
            </w:r>
          </w:p>
        </w:tc>
        <w:tc>
          <w:tcPr>
            <w:tcW w:w="1082" w:type="pct"/>
            <w:vMerge w:val="restart"/>
            <w:tcBorders>
              <w:tl2br w:val="nil"/>
              <w:tr2bl w:val="nil"/>
            </w:tcBorders>
            <w:noWrap w:val="0"/>
            <w:vAlign w:val="center"/>
          </w:tcPr>
          <w:p w14:paraId="3E331D1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企业出海涉外服务专场赋能活动</w:t>
            </w:r>
          </w:p>
        </w:tc>
        <w:tc>
          <w:tcPr>
            <w:tcW w:w="444" w:type="pct"/>
            <w:tcBorders>
              <w:tl2br w:val="nil"/>
              <w:tr2bl w:val="nil"/>
            </w:tcBorders>
            <w:noWrap w:val="0"/>
            <w:vAlign w:val="center"/>
          </w:tcPr>
          <w:p w14:paraId="7092E0C4">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参与对象</w:t>
            </w:r>
          </w:p>
        </w:tc>
        <w:tc>
          <w:tcPr>
            <w:tcW w:w="1971" w:type="pct"/>
            <w:tcBorders>
              <w:tl2br w:val="nil"/>
              <w:tr2bl w:val="nil"/>
            </w:tcBorders>
            <w:noWrap w:val="0"/>
            <w:vAlign w:val="center"/>
          </w:tcPr>
          <w:p w14:paraId="2B700A0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有出海计划或需求的企业、提供企业出海各环节服务的企业</w:t>
            </w:r>
          </w:p>
        </w:tc>
        <w:tc>
          <w:tcPr>
            <w:tcW w:w="1041" w:type="pct"/>
            <w:vMerge w:val="restart"/>
            <w:tcBorders>
              <w:tl2br w:val="nil"/>
              <w:tr2bl w:val="nil"/>
            </w:tcBorders>
            <w:noWrap w:val="0"/>
            <w:vAlign w:val="center"/>
          </w:tcPr>
          <w:p w14:paraId="3350B03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eastAsia="zh-CN"/>
              </w:rPr>
            </w:pPr>
            <w:r>
              <w:rPr>
                <w:rFonts w:hint="eastAsia" w:ascii="宋体" w:hAnsi="宋体" w:eastAsia="宋体" w:cs="宋体"/>
                <w:szCs w:val="21"/>
              </w:rPr>
              <w:t>①行业分析报告</w:t>
            </w:r>
            <w:r>
              <w:rPr>
                <w:rFonts w:hint="eastAsia" w:ascii="宋体" w:hAnsi="宋体" w:eastAsia="宋体" w:cs="宋体"/>
                <w:szCs w:val="21"/>
              </w:rPr>
              <w:br w:type="textWrapping"/>
            </w:r>
            <w:r>
              <w:rPr>
                <w:rFonts w:hint="eastAsia" w:ascii="宋体" w:hAnsi="宋体" w:eastAsia="宋体" w:cs="宋体"/>
                <w:szCs w:val="21"/>
              </w:rPr>
              <w:t>②活动照片集</w:t>
            </w:r>
            <w:r>
              <w:rPr>
                <w:rFonts w:hint="eastAsia" w:ascii="宋体" w:hAnsi="宋体" w:eastAsia="宋体" w:cs="宋体"/>
                <w:szCs w:val="21"/>
              </w:rPr>
              <w:br w:type="textWrapping"/>
            </w:r>
            <w:r>
              <w:rPr>
                <w:rFonts w:hint="eastAsia" w:ascii="宋体" w:hAnsi="宋体" w:eastAsia="宋体" w:cs="宋体"/>
                <w:szCs w:val="21"/>
              </w:rPr>
              <w:t>③赋能实效集</w:t>
            </w:r>
          </w:p>
        </w:tc>
      </w:tr>
      <w:tr w14:paraId="3F25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108A2CC7">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p>
        </w:tc>
        <w:tc>
          <w:tcPr>
            <w:tcW w:w="1082" w:type="pct"/>
            <w:vMerge w:val="continue"/>
            <w:tcBorders>
              <w:tl2br w:val="nil"/>
              <w:tr2bl w:val="nil"/>
            </w:tcBorders>
            <w:noWrap w:val="0"/>
            <w:vAlign w:val="center"/>
          </w:tcPr>
          <w:p w14:paraId="04FA5434">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23127144">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活动规模</w:t>
            </w:r>
          </w:p>
        </w:tc>
        <w:tc>
          <w:tcPr>
            <w:tcW w:w="1971" w:type="pct"/>
            <w:tcBorders>
              <w:tl2br w:val="nil"/>
              <w:tr2bl w:val="nil"/>
            </w:tcBorders>
            <w:noWrap w:val="0"/>
            <w:vAlign w:val="center"/>
          </w:tcPr>
          <w:p w14:paraId="5B6E327B">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lang w:val="en-US" w:eastAsia="zh-CN"/>
              </w:rPr>
              <w:t>不少于30</w:t>
            </w:r>
            <w:r>
              <w:rPr>
                <w:rFonts w:hint="eastAsia" w:ascii="宋体" w:hAnsi="宋体" w:eastAsia="宋体" w:cs="宋体"/>
                <w:szCs w:val="21"/>
              </w:rPr>
              <w:t>家企业</w:t>
            </w:r>
          </w:p>
        </w:tc>
        <w:tc>
          <w:tcPr>
            <w:tcW w:w="1041" w:type="pct"/>
            <w:vMerge w:val="continue"/>
            <w:tcBorders>
              <w:tl2br w:val="nil"/>
              <w:tr2bl w:val="nil"/>
            </w:tcBorders>
            <w:noWrap w:val="0"/>
            <w:vAlign w:val="center"/>
          </w:tcPr>
          <w:p w14:paraId="2C1999EF">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09F4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2CC05E47">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p>
        </w:tc>
        <w:tc>
          <w:tcPr>
            <w:tcW w:w="1082" w:type="pct"/>
            <w:vMerge w:val="continue"/>
            <w:tcBorders>
              <w:tl2br w:val="nil"/>
              <w:tr2bl w:val="nil"/>
            </w:tcBorders>
            <w:noWrap w:val="0"/>
            <w:vAlign w:val="center"/>
          </w:tcPr>
          <w:p w14:paraId="6AAB1F0E">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34810CE6">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活动内容</w:t>
            </w:r>
          </w:p>
        </w:tc>
        <w:tc>
          <w:tcPr>
            <w:tcW w:w="1971" w:type="pct"/>
            <w:tcBorders>
              <w:tl2br w:val="nil"/>
              <w:tr2bl w:val="nil"/>
            </w:tcBorders>
            <w:noWrap w:val="0"/>
            <w:vAlign w:val="center"/>
          </w:tcPr>
          <w:p w14:paraId="308C4BE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①法律与税务服务、知识产权服务、金融服务、出海落地执行等出海服务专家主题演讲</w:t>
            </w:r>
            <w:r>
              <w:rPr>
                <w:rFonts w:hint="eastAsia" w:ascii="宋体" w:hAnsi="宋体" w:eastAsia="宋体" w:cs="宋体"/>
                <w:szCs w:val="21"/>
              </w:rPr>
              <w:br w:type="textWrapping"/>
            </w:r>
            <w:r>
              <w:rPr>
                <w:rFonts w:hint="eastAsia" w:ascii="宋体" w:hAnsi="宋体" w:eastAsia="宋体" w:cs="宋体"/>
                <w:szCs w:val="21"/>
                <w:lang w:val="en-US" w:eastAsia="zh-CN"/>
              </w:rPr>
              <w:t>②</w:t>
            </w:r>
            <w:r>
              <w:rPr>
                <w:rFonts w:hint="eastAsia" w:ascii="宋体" w:hAnsi="宋体" w:eastAsia="宋体" w:cs="宋体"/>
                <w:szCs w:val="21"/>
              </w:rPr>
              <w:t>参与企业互动提问及咨询</w:t>
            </w:r>
          </w:p>
        </w:tc>
        <w:tc>
          <w:tcPr>
            <w:tcW w:w="1041" w:type="pct"/>
            <w:vMerge w:val="continue"/>
            <w:tcBorders>
              <w:tl2br w:val="nil"/>
              <w:tr2bl w:val="nil"/>
            </w:tcBorders>
            <w:noWrap w:val="0"/>
            <w:vAlign w:val="center"/>
          </w:tcPr>
          <w:p w14:paraId="670838B7">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00A9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l2br w:val="nil"/>
              <w:tr2bl w:val="nil"/>
            </w:tcBorders>
            <w:noWrap w:val="0"/>
            <w:vAlign w:val="center"/>
          </w:tcPr>
          <w:p w14:paraId="03FBDB9B">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2</w:t>
            </w:r>
          </w:p>
        </w:tc>
        <w:tc>
          <w:tcPr>
            <w:tcW w:w="1082" w:type="pct"/>
            <w:vMerge w:val="restart"/>
            <w:tcBorders>
              <w:tl2br w:val="nil"/>
              <w:tr2bl w:val="nil"/>
            </w:tcBorders>
            <w:noWrap w:val="0"/>
            <w:vAlign w:val="center"/>
          </w:tcPr>
          <w:p w14:paraId="5F6396C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跨境电商专场赋能活动</w:t>
            </w:r>
          </w:p>
        </w:tc>
        <w:tc>
          <w:tcPr>
            <w:tcW w:w="444" w:type="pct"/>
            <w:tcBorders>
              <w:tl2br w:val="nil"/>
              <w:tr2bl w:val="nil"/>
            </w:tcBorders>
            <w:noWrap w:val="0"/>
            <w:vAlign w:val="center"/>
          </w:tcPr>
          <w:p w14:paraId="6DDF66CE">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参与对象</w:t>
            </w:r>
          </w:p>
        </w:tc>
        <w:tc>
          <w:tcPr>
            <w:tcW w:w="1971" w:type="pct"/>
            <w:tcBorders>
              <w:tl2br w:val="nil"/>
              <w:tr2bl w:val="nil"/>
            </w:tcBorders>
            <w:noWrap w:val="0"/>
            <w:vAlign w:val="center"/>
          </w:tcPr>
          <w:p w14:paraId="0DE1F693">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宁波市跨境电商产业链上的各家企业</w:t>
            </w:r>
          </w:p>
        </w:tc>
        <w:tc>
          <w:tcPr>
            <w:tcW w:w="1041" w:type="pct"/>
            <w:vMerge w:val="continue"/>
            <w:tcBorders>
              <w:tl2br w:val="nil"/>
              <w:tr2bl w:val="nil"/>
            </w:tcBorders>
            <w:noWrap w:val="0"/>
            <w:vAlign w:val="center"/>
          </w:tcPr>
          <w:p w14:paraId="78869C97">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5799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3359B044">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p>
        </w:tc>
        <w:tc>
          <w:tcPr>
            <w:tcW w:w="1082" w:type="pct"/>
            <w:vMerge w:val="continue"/>
            <w:tcBorders>
              <w:tl2br w:val="nil"/>
              <w:tr2bl w:val="nil"/>
            </w:tcBorders>
            <w:noWrap w:val="0"/>
            <w:vAlign w:val="center"/>
          </w:tcPr>
          <w:p w14:paraId="48F02F6F">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4D444D87">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活动规模</w:t>
            </w:r>
          </w:p>
        </w:tc>
        <w:tc>
          <w:tcPr>
            <w:tcW w:w="1971" w:type="pct"/>
            <w:tcBorders>
              <w:tl2br w:val="nil"/>
              <w:tr2bl w:val="nil"/>
            </w:tcBorders>
            <w:noWrap w:val="0"/>
            <w:vAlign w:val="center"/>
          </w:tcPr>
          <w:p w14:paraId="7C40E6F2">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lang w:val="en-US" w:eastAsia="zh-CN"/>
              </w:rPr>
              <w:t>不少于30</w:t>
            </w:r>
            <w:r>
              <w:rPr>
                <w:rFonts w:hint="eastAsia" w:ascii="宋体" w:hAnsi="宋体" w:eastAsia="宋体" w:cs="宋体"/>
                <w:szCs w:val="21"/>
              </w:rPr>
              <w:t>家企业</w:t>
            </w:r>
          </w:p>
        </w:tc>
        <w:tc>
          <w:tcPr>
            <w:tcW w:w="1041" w:type="pct"/>
            <w:vMerge w:val="continue"/>
            <w:tcBorders>
              <w:tl2br w:val="nil"/>
              <w:tr2bl w:val="nil"/>
            </w:tcBorders>
            <w:noWrap w:val="0"/>
            <w:vAlign w:val="center"/>
          </w:tcPr>
          <w:p w14:paraId="20A59FE2">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4C04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212BAB34">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p>
        </w:tc>
        <w:tc>
          <w:tcPr>
            <w:tcW w:w="1082" w:type="pct"/>
            <w:vMerge w:val="continue"/>
            <w:tcBorders>
              <w:tl2br w:val="nil"/>
              <w:tr2bl w:val="nil"/>
            </w:tcBorders>
            <w:noWrap w:val="0"/>
            <w:vAlign w:val="center"/>
          </w:tcPr>
          <w:p w14:paraId="2FF32022">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29208904">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活动内容</w:t>
            </w:r>
          </w:p>
        </w:tc>
        <w:tc>
          <w:tcPr>
            <w:tcW w:w="1971" w:type="pct"/>
            <w:tcBorders>
              <w:tl2br w:val="nil"/>
              <w:tr2bl w:val="nil"/>
            </w:tcBorders>
            <w:noWrap w:val="0"/>
            <w:vAlign w:val="center"/>
          </w:tcPr>
          <w:p w14:paraId="375C025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①海外仓平台、物流海运、国际政策等跨境电商服务专家主题演讲</w:t>
            </w:r>
          </w:p>
          <w:p w14:paraId="03E57F5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②</w:t>
            </w:r>
            <w:r>
              <w:rPr>
                <w:rFonts w:hint="eastAsia" w:ascii="宋体" w:hAnsi="宋体" w:eastAsia="宋体" w:cs="宋体"/>
                <w:szCs w:val="21"/>
              </w:rPr>
              <w:t>参与企业互动提问及咨询</w:t>
            </w:r>
          </w:p>
        </w:tc>
        <w:tc>
          <w:tcPr>
            <w:tcW w:w="1041" w:type="pct"/>
            <w:vMerge w:val="continue"/>
            <w:tcBorders>
              <w:tl2br w:val="nil"/>
              <w:tr2bl w:val="nil"/>
            </w:tcBorders>
            <w:noWrap w:val="0"/>
            <w:vAlign w:val="center"/>
          </w:tcPr>
          <w:p w14:paraId="58EDBDC6">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0787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l2br w:val="nil"/>
              <w:tr2bl w:val="nil"/>
            </w:tcBorders>
            <w:noWrap w:val="0"/>
            <w:vAlign w:val="center"/>
          </w:tcPr>
          <w:p w14:paraId="4F758C76">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3</w:t>
            </w:r>
          </w:p>
        </w:tc>
        <w:tc>
          <w:tcPr>
            <w:tcW w:w="1082" w:type="pct"/>
            <w:vMerge w:val="restart"/>
            <w:tcBorders>
              <w:tl2br w:val="nil"/>
              <w:tr2bl w:val="nil"/>
            </w:tcBorders>
            <w:noWrap w:val="0"/>
            <w:vAlign w:val="center"/>
          </w:tcPr>
          <w:p w14:paraId="1C6964A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检验检测认证专场赋能活动</w:t>
            </w:r>
          </w:p>
        </w:tc>
        <w:tc>
          <w:tcPr>
            <w:tcW w:w="444" w:type="pct"/>
            <w:tcBorders>
              <w:tl2br w:val="nil"/>
              <w:tr2bl w:val="nil"/>
            </w:tcBorders>
            <w:noWrap w:val="0"/>
            <w:vAlign w:val="center"/>
          </w:tcPr>
          <w:p w14:paraId="19866D2A">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参与对象</w:t>
            </w:r>
          </w:p>
        </w:tc>
        <w:tc>
          <w:tcPr>
            <w:tcW w:w="1971" w:type="pct"/>
            <w:tcBorders>
              <w:tl2br w:val="nil"/>
              <w:tr2bl w:val="nil"/>
            </w:tcBorders>
            <w:noWrap w:val="0"/>
            <w:vAlign w:val="center"/>
          </w:tcPr>
          <w:p w14:paraId="75D424EC">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有检验检测服务需求的企业、提供检验检测服务的企业</w:t>
            </w:r>
          </w:p>
        </w:tc>
        <w:tc>
          <w:tcPr>
            <w:tcW w:w="1041" w:type="pct"/>
            <w:vMerge w:val="continue"/>
            <w:tcBorders>
              <w:tl2br w:val="nil"/>
              <w:tr2bl w:val="nil"/>
            </w:tcBorders>
            <w:noWrap w:val="0"/>
            <w:vAlign w:val="center"/>
          </w:tcPr>
          <w:p w14:paraId="2D3CE24B">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3695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4B028A18">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p>
        </w:tc>
        <w:tc>
          <w:tcPr>
            <w:tcW w:w="1082" w:type="pct"/>
            <w:vMerge w:val="continue"/>
            <w:tcBorders>
              <w:tl2br w:val="nil"/>
              <w:tr2bl w:val="nil"/>
            </w:tcBorders>
            <w:noWrap w:val="0"/>
            <w:vAlign w:val="center"/>
          </w:tcPr>
          <w:p w14:paraId="74E30A70">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7CB953DE">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活动规模</w:t>
            </w:r>
          </w:p>
        </w:tc>
        <w:tc>
          <w:tcPr>
            <w:tcW w:w="1971" w:type="pct"/>
            <w:tcBorders>
              <w:tl2br w:val="nil"/>
              <w:tr2bl w:val="nil"/>
            </w:tcBorders>
            <w:noWrap w:val="0"/>
            <w:vAlign w:val="center"/>
          </w:tcPr>
          <w:p w14:paraId="23A79F81">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lang w:val="en-US" w:eastAsia="zh-CN"/>
              </w:rPr>
              <w:t>不少于30</w:t>
            </w:r>
            <w:r>
              <w:rPr>
                <w:rFonts w:hint="eastAsia" w:ascii="宋体" w:hAnsi="宋体" w:eastAsia="宋体" w:cs="宋体"/>
                <w:szCs w:val="21"/>
              </w:rPr>
              <w:t>家企业</w:t>
            </w:r>
          </w:p>
        </w:tc>
        <w:tc>
          <w:tcPr>
            <w:tcW w:w="1041" w:type="pct"/>
            <w:vMerge w:val="continue"/>
            <w:tcBorders>
              <w:tl2br w:val="nil"/>
              <w:tr2bl w:val="nil"/>
            </w:tcBorders>
            <w:noWrap w:val="0"/>
            <w:vAlign w:val="center"/>
          </w:tcPr>
          <w:p w14:paraId="079A33D9">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0CE1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0C2AA0F9">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p>
        </w:tc>
        <w:tc>
          <w:tcPr>
            <w:tcW w:w="1082" w:type="pct"/>
            <w:vMerge w:val="continue"/>
            <w:tcBorders>
              <w:tl2br w:val="nil"/>
              <w:tr2bl w:val="nil"/>
            </w:tcBorders>
            <w:noWrap w:val="0"/>
            <w:vAlign w:val="center"/>
          </w:tcPr>
          <w:p w14:paraId="754FCE2C">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3BD16583">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活动内容</w:t>
            </w:r>
          </w:p>
        </w:tc>
        <w:tc>
          <w:tcPr>
            <w:tcW w:w="1971" w:type="pct"/>
            <w:tcBorders>
              <w:tl2br w:val="nil"/>
              <w:tr2bl w:val="nil"/>
            </w:tcBorders>
            <w:noWrap w:val="0"/>
            <w:vAlign w:val="center"/>
          </w:tcPr>
          <w:p w14:paraId="638D28D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①消费品领域等检验检测服务专家主题演讲</w:t>
            </w:r>
            <w:r>
              <w:rPr>
                <w:rFonts w:hint="eastAsia" w:ascii="宋体" w:hAnsi="宋体" w:eastAsia="宋体" w:cs="宋体"/>
                <w:szCs w:val="21"/>
              </w:rPr>
              <w:br w:type="textWrapping"/>
            </w:r>
            <w:r>
              <w:rPr>
                <w:rFonts w:hint="eastAsia" w:ascii="宋体" w:hAnsi="宋体" w:eastAsia="宋体" w:cs="宋体"/>
                <w:szCs w:val="21"/>
                <w:lang w:val="en-US" w:eastAsia="zh-CN"/>
              </w:rPr>
              <w:t>②</w:t>
            </w:r>
            <w:r>
              <w:rPr>
                <w:rFonts w:hint="eastAsia" w:ascii="宋体" w:hAnsi="宋体" w:eastAsia="宋体" w:cs="宋体"/>
                <w:szCs w:val="21"/>
              </w:rPr>
              <w:t>参与企业互动提问及咨询</w:t>
            </w:r>
          </w:p>
        </w:tc>
        <w:tc>
          <w:tcPr>
            <w:tcW w:w="1041" w:type="pct"/>
            <w:vMerge w:val="continue"/>
            <w:tcBorders>
              <w:tl2br w:val="nil"/>
              <w:tr2bl w:val="nil"/>
            </w:tcBorders>
            <w:noWrap w:val="0"/>
            <w:vAlign w:val="center"/>
          </w:tcPr>
          <w:p w14:paraId="37644D72">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1780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l2br w:val="nil"/>
              <w:tr2bl w:val="nil"/>
            </w:tcBorders>
            <w:noWrap w:val="0"/>
            <w:vAlign w:val="center"/>
          </w:tcPr>
          <w:p w14:paraId="0311E466">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4</w:t>
            </w:r>
          </w:p>
        </w:tc>
        <w:tc>
          <w:tcPr>
            <w:tcW w:w="1082" w:type="pct"/>
            <w:vMerge w:val="restart"/>
            <w:tcBorders>
              <w:tl2br w:val="nil"/>
              <w:tr2bl w:val="nil"/>
            </w:tcBorders>
            <w:noWrap w:val="0"/>
            <w:vAlign w:val="center"/>
          </w:tcPr>
          <w:p w14:paraId="27DCDCA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工业设计专场赋能活动</w:t>
            </w:r>
          </w:p>
        </w:tc>
        <w:tc>
          <w:tcPr>
            <w:tcW w:w="444" w:type="pct"/>
            <w:tcBorders>
              <w:tl2br w:val="nil"/>
              <w:tr2bl w:val="nil"/>
            </w:tcBorders>
            <w:noWrap w:val="0"/>
            <w:vAlign w:val="center"/>
          </w:tcPr>
          <w:p w14:paraId="01631BD4">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参与对象</w:t>
            </w:r>
          </w:p>
        </w:tc>
        <w:tc>
          <w:tcPr>
            <w:tcW w:w="1971" w:type="pct"/>
            <w:tcBorders>
              <w:tl2br w:val="nil"/>
              <w:tr2bl w:val="nil"/>
            </w:tcBorders>
            <w:noWrap w:val="0"/>
            <w:vAlign w:val="center"/>
          </w:tcPr>
          <w:p w14:paraId="5758546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有工业设计服务需求的企业、提供工业设计服务的企业</w:t>
            </w:r>
          </w:p>
        </w:tc>
        <w:tc>
          <w:tcPr>
            <w:tcW w:w="1041" w:type="pct"/>
            <w:vMerge w:val="continue"/>
            <w:tcBorders>
              <w:tl2br w:val="nil"/>
              <w:tr2bl w:val="nil"/>
            </w:tcBorders>
            <w:noWrap w:val="0"/>
            <w:vAlign w:val="center"/>
          </w:tcPr>
          <w:p w14:paraId="0A5DD72D">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5830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1832626E">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p>
        </w:tc>
        <w:tc>
          <w:tcPr>
            <w:tcW w:w="1082" w:type="pct"/>
            <w:vMerge w:val="continue"/>
            <w:tcBorders>
              <w:tl2br w:val="nil"/>
              <w:tr2bl w:val="nil"/>
            </w:tcBorders>
            <w:noWrap w:val="0"/>
            <w:vAlign w:val="center"/>
          </w:tcPr>
          <w:p w14:paraId="58B52465">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6EE7BA8F">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活动规模</w:t>
            </w:r>
          </w:p>
        </w:tc>
        <w:tc>
          <w:tcPr>
            <w:tcW w:w="1971" w:type="pct"/>
            <w:tcBorders>
              <w:tl2br w:val="nil"/>
              <w:tr2bl w:val="nil"/>
            </w:tcBorders>
            <w:noWrap w:val="0"/>
            <w:vAlign w:val="center"/>
          </w:tcPr>
          <w:p w14:paraId="2952A518">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lang w:val="en-US" w:eastAsia="zh-CN"/>
              </w:rPr>
              <w:t>不少于30</w:t>
            </w:r>
            <w:r>
              <w:rPr>
                <w:rFonts w:hint="eastAsia" w:ascii="宋体" w:hAnsi="宋体" w:eastAsia="宋体" w:cs="宋体"/>
                <w:szCs w:val="21"/>
              </w:rPr>
              <w:t>家企业</w:t>
            </w:r>
          </w:p>
        </w:tc>
        <w:tc>
          <w:tcPr>
            <w:tcW w:w="1041" w:type="pct"/>
            <w:vMerge w:val="continue"/>
            <w:tcBorders>
              <w:tl2br w:val="nil"/>
              <w:tr2bl w:val="nil"/>
            </w:tcBorders>
            <w:noWrap w:val="0"/>
            <w:vAlign w:val="center"/>
          </w:tcPr>
          <w:p w14:paraId="48EE6C7C">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1C50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09152F74">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p>
        </w:tc>
        <w:tc>
          <w:tcPr>
            <w:tcW w:w="1082" w:type="pct"/>
            <w:vMerge w:val="continue"/>
            <w:tcBorders>
              <w:tl2br w:val="nil"/>
              <w:tr2bl w:val="nil"/>
            </w:tcBorders>
            <w:noWrap w:val="0"/>
            <w:vAlign w:val="center"/>
          </w:tcPr>
          <w:p w14:paraId="1CE3B5C1">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2ACDBDBA">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活动内容</w:t>
            </w:r>
          </w:p>
        </w:tc>
        <w:tc>
          <w:tcPr>
            <w:tcW w:w="1971" w:type="pct"/>
            <w:tcBorders>
              <w:tl2br w:val="nil"/>
              <w:tr2bl w:val="nil"/>
            </w:tcBorders>
            <w:noWrap w:val="0"/>
            <w:vAlign w:val="center"/>
          </w:tcPr>
          <w:p w14:paraId="5A84F040">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①传统工业产品设计、全产业链服务创意整合等工业设计服务专家主题演讲</w:t>
            </w:r>
            <w:r>
              <w:rPr>
                <w:rFonts w:hint="eastAsia" w:ascii="宋体" w:hAnsi="宋体" w:eastAsia="宋体" w:cs="宋体"/>
                <w:szCs w:val="21"/>
              </w:rPr>
              <w:br w:type="textWrapping"/>
            </w:r>
            <w:r>
              <w:rPr>
                <w:rFonts w:hint="eastAsia" w:ascii="宋体" w:hAnsi="宋体" w:eastAsia="宋体" w:cs="宋体"/>
                <w:szCs w:val="21"/>
                <w:lang w:val="en-US" w:eastAsia="zh-CN"/>
              </w:rPr>
              <w:t>②</w:t>
            </w:r>
            <w:r>
              <w:rPr>
                <w:rFonts w:hint="eastAsia" w:ascii="宋体" w:hAnsi="宋体" w:eastAsia="宋体" w:cs="宋体"/>
                <w:szCs w:val="21"/>
              </w:rPr>
              <w:t>参与企业互动提问及咨询</w:t>
            </w:r>
          </w:p>
        </w:tc>
        <w:tc>
          <w:tcPr>
            <w:tcW w:w="1041" w:type="pct"/>
            <w:vMerge w:val="continue"/>
            <w:tcBorders>
              <w:tl2br w:val="nil"/>
              <w:tr2bl w:val="nil"/>
            </w:tcBorders>
            <w:noWrap w:val="0"/>
            <w:vAlign w:val="center"/>
          </w:tcPr>
          <w:p w14:paraId="02CF9088">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038D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l2br w:val="nil"/>
              <w:tr2bl w:val="nil"/>
            </w:tcBorders>
            <w:noWrap w:val="0"/>
            <w:vAlign w:val="center"/>
          </w:tcPr>
          <w:p w14:paraId="3D4C6424">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082" w:type="pct"/>
            <w:vMerge w:val="restart"/>
            <w:tcBorders>
              <w:tl2br w:val="nil"/>
              <w:tr2bl w:val="nil"/>
            </w:tcBorders>
            <w:noWrap w:val="0"/>
            <w:vAlign w:val="center"/>
          </w:tcPr>
          <w:p w14:paraId="0A2F6FC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宁波青年企业家座谈沙龙活动</w:t>
            </w:r>
          </w:p>
        </w:tc>
        <w:tc>
          <w:tcPr>
            <w:tcW w:w="444" w:type="pct"/>
            <w:tcBorders>
              <w:tl2br w:val="nil"/>
              <w:tr2bl w:val="nil"/>
            </w:tcBorders>
            <w:noWrap w:val="0"/>
            <w:vAlign w:val="center"/>
          </w:tcPr>
          <w:p w14:paraId="1DCC0419">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参与对象</w:t>
            </w:r>
          </w:p>
        </w:tc>
        <w:tc>
          <w:tcPr>
            <w:tcW w:w="1971" w:type="pct"/>
            <w:tcBorders>
              <w:tl2br w:val="nil"/>
              <w:tr2bl w:val="nil"/>
            </w:tcBorders>
            <w:noWrap w:val="0"/>
            <w:vAlign w:val="center"/>
          </w:tcPr>
          <w:p w14:paraId="437C9039">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lang w:val="en-US" w:eastAsia="zh-CN"/>
              </w:rPr>
            </w:pPr>
            <w:r>
              <w:rPr>
                <w:rFonts w:hint="eastAsia" w:ascii="宋体" w:hAnsi="宋体" w:eastAsia="宋体" w:cs="宋体"/>
                <w:szCs w:val="21"/>
              </w:rPr>
              <w:t>青年企业家代表、青年科技工作者代表</w:t>
            </w:r>
          </w:p>
        </w:tc>
        <w:tc>
          <w:tcPr>
            <w:tcW w:w="1041" w:type="pct"/>
            <w:vMerge w:val="continue"/>
            <w:tcBorders>
              <w:tl2br w:val="nil"/>
              <w:tr2bl w:val="nil"/>
            </w:tcBorders>
            <w:noWrap w:val="0"/>
            <w:vAlign w:val="center"/>
          </w:tcPr>
          <w:p w14:paraId="71ADC811">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19FE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48694E37">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lang w:val="en-US" w:eastAsia="zh-CN"/>
              </w:rPr>
            </w:pPr>
          </w:p>
        </w:tc>
        <w:tc>
          <w:tcPr>
            <w:tcW w:w="1082" w:type="pct"/>
            <w:vMerge w:val="continue"/>
            <w:tcBorders>
              <w:tl2br w:val="nil"/>
              <w:tr2bl w:val="nil"/>
            </w:tcBorders>
            <w:noWrap w:val="0"/>
            <w:vAlign w:val="center"/>
          </w:tcPr>
          <w:p w14:paraId="490FC9BE">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3EFEC94D">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活动内容</w:t>
            </w:r>
          </w:p>
        </w:tc>
        <w:tc>
          <w:tcPr>
            <w:tcW w:w="1971" w:type="pct"/>
            <w:tcBorders>
              <w:tl2br w:val="nil"/>
              <w:tr2bl w:val="nil"/>
            </w:tcBorders>
            <w:noWrap w:val="0"/>
            <w:vAlign w:val="center"/>
          </w:tcPr>
          <w:p w14:paraId="34E9D40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①专题对话研讨</w:t>
            </w:r>
          </w:p>
          <w:p w14:paraId="4E553350">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lang w:val="en-US" w:eastAsia="zh-CN"/>
              </w:rPr>
              <w:t>②</w:t>
            </w:r>
            <w:r>
              <w:rPr>
                <w:rFonts w:hint="eastAsia" w:ascii="宋体" w:hAnsi="宋体" w:eastAsia="宋体" w:cs="宋体"/>
                <w:szCs w:val="21"/>
              </w:rPr>
              <w:t>青创联合体速配会</w:t>
            </w:r>
          </w:p>
        </w:tc>
        <w:tc>
          <w:tcPr>
            <w:tcW w:w="1041" w:type="pct"/>
            <w:vMerge w:val="continue"/>
            <w:tcBorders>
              <w:tl2br w:val="nil"/>
              <w:tr2bl w:val="nil"/>
            </w:tcBorders>
            <w:noWrap w:val="0"/>
            <w:vAlign w:val="center"/>
          </w:tcPr>
          <w:p w14:paraId="6EBEE8FE">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05DB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l2br w:val="nil"/>
              <w:tr2bl w:val="nil"/>
            </w:tcBorders>
            <w:noWrap w:val="0"/>
            <w:vAlign w:val="center"/>
          </w:tcPr>
          <w:p w14:paraId="231B977E">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082" w:type="pct"/>
            <w:vMerge w:val="restart"/>
            <w:tcBorders>
              <w:tl2br w:val="nil"/>
              <w:tr2bl w:val="nil"/>
            </w:tcBorders>
            <w:noWrap w:val="0"/>
            <w:vAlign w:val="center"/>
          </w:tcPr>
          <w:p w14:paraId="209690E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宁波民营企业优质项目投资对接活动</w:t>
            </w:r>
          </w:p>
        </w:tc>
        <w:tc>
          <w:tcPr>
            <w:tcW w:w="444" w:type="pct"/>
            <w:tcBorders>
              <w:tl2br w:val="nil"/>
              <w:tr2bl w:val="nil"/>
            </w:tcBorders>
            <w:noWrap w:val="0"/>
            <w:vAlign w:val="center"/>
          </w:tcPr>
          <w:p w14:paraId="69DC931E">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参与对象</w:t>
            </w:r>
          </w:p>
        </w:tc>
        <w:tc>
          <w:tcPr>
            <w:tcW w:w="1971" w:type="pct"/>
            <w:tcBorders>
              <w:tl2br w:val="nil"/>
              <w:tr2bl w:val="nil"/>
            </w:tcBorders>
            <w:noWrap w:val="0"/>
            <w:vAlign w:val="center"/>
          </w:tcPr>
          <w:p w14:paraId="7155E581">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rPr>
              <w:t>①</w:t>
            </w:r>
            <w:r>
              <w:rPr>
                <w:rFonts w:hint="eastAsia" w:ascii="宋体" w:hAnsi="宋体" w:eastAsia="宋体" w:cs="宋体"/>
                <w:szCs w:val="21"/>
                <w:lang w:val="en-US" w:eastAsia="zh-CN"/>
              </w:rPr>
              <w:t>有</w:t>
            </w:r>
            <w:r>
              <w:rPr>
                <w:rFonts w:hint="eastAsia" w:ascii="宋体" w:hAnsi="宋体" w:eastAsia="宋体" w:cs="宋体"/>
                <w:szCs w:val="21"/>
              </w:rPr>
              <w:t>链补链赋能</w:t>
            </w:r>
            <w:r>
              <w:rPr>
                <w:rFonts w:hint="eastAsia" w:ascii="宋体" w:hAnsi="宋体" w:eastAsia="宋体" w:cs="宋体"/>
                <w:szCs w:val="21"/>
                <w:lang w:val="en-US" w:eastAsia="zh-CN"/>
              </w:rPr>
              <w:t>需求的</w:t>
            </w:r>
            <w:r>
              <w:rPr>
                <w:rFonts w:hint="eastAsia" w:ascii="宋体" w:hAnsi="宋体" w:eastAsia="宋体" w:cs="宋体"/>
                <w:szCs w:val="21"/>
              </w:rPr>
              <w:t>宁波民营</w:t>
            </w:r>
            <w:r>
              <w:rPr>
                <w:rFonts w:hint="eastAsia" w:ascii="宋体" w:hAnsi="宋体" w:eastAsia="宋体" w:cs="宋体"/>
                <w:szCs w:val="21"/>
                <w:lang w:val="en-US" w:eastAsia="zh-CN"/>
              </w:rPr>
              <w:t>企业</w:t>
            </w:r>
          </w:p>
          <w:p w14:paraId="63723BA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②参与企业互动提问及咨询</w:t>
            </w:r>
          </w:p>
        </w:tc>
        <w:tc>
          <w:tcPr>
            <w:tcW w:w="1041" w:type="pct"/>
            <w:vMerge w:val="continue"/>
            <w:tcBorders>
              <w:tl2br w:val="nil"/>
              <w:tr2bl w:val="nil"/>
            </w:tcBorders>
            <w:noWrap w:val="0"/>
            <w:vAlign w:val="center"/>
          </w:tcPr>
          <w:p w14:paraId="64D9CCB2">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7D5D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32755E4B">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lang w:val="en-US" w:eastAsia="zh-CN"/>
              </w:rPr>
            </w:pPr>
          </w:p>
        </w:tc>
        <w:tc>
          <w:tcPr>
            <w:tcW w:w="1082" w:type="pct"/>
            <w:vMerge w:val="continue"/>
            <w:tcBorders>
              <w:tl2br w:val="nil"/>
              <w:tr2bl w:val="nil"/>
            </w:tcBorders>
            <w:noWrap w:val="0"/>
            <w:vAlign w:val="center"/>
          </w:tcPr>
          <w:p w14:paraId="0819F0A5">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1C5864C2">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活动内容</w:t>
            </w:r>
          </w:p>
        </w:tc>
        <w:tc>
          <w:tcPr>
            <w:tcW w:w="1971" w:type="pct"/>
            <w:tcBorders>
              <w:tl2br w:val="nil"/>
              <w:tr2bl w:val="nil"/>
            </w:tcBorders>
            <w:noWrap w:val="0"/>
            <w:vAlign w:val="center"/>
          </w:tcPr>
          <w:p w14:paraId="74E39E9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rPr>
              <w:t>①</w:t>
            </w:r>
            <w:r>
              <w:rPr>
                <w:rFonts w:hint="eastAsia" w:ascii="宋体" w:hAnsi="宋体" w:eastAsia="宋体" w:cs="宋体"/>
                <w:szCs w:val="21"/>
                <w:lang w:val="en-US" w:eastAsia="zh-CN"/>
              </w:rPr>
              <w:t>发布《宁波民营企业投资机会清单》</w:t>
            </w:r>
          </w:p>
          <w:p w14:paraId="55466044">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rPr>
              <w:t>②</w:t>
            </w:r>
            <w:r>
              <w:rPr>
                <w:rFonts w:hint="eastAsia" w:ascii="宋体" w:hAnsi="宋体" w:eastAsia="宋体" w:cs="宋体"/>
                <w:szCs w:val="21"/>
                <w:lang w:val="en-US" w:eastAsia="zh-CN"/>
              </w:rPr>
              <w:t>遴选一批旗舰项目进行路演展示</w:t>
            </w:r>
          </w:p>
          <w:p w14:paraId="51EE59CF">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③专家质询活动</w:t>
            </w:r>
          </w:p>
          <w:p w14:paraId="69035C86">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④项目现场签约</w:t>
            </w:r>
          </w:p>
        </w:tc>
        <w:tc>
          <w:tcPr>
            <w:tcW w:w="1041" w:type="pct"/>
            <w:vMerge w:val="continue"/>
            <w:tcBorders>
              <w:tl2br w:val="nil"/>
              <w:tr2bl w:val="nil"/>
            </w:tcBorders>
            <w:noWrap w:val="0"/>
            <w:vAlign w:val="center"/>
          </w:tcPr>
          <w:p w14:paraId="191542DD">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7FF5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l2br w:val="nil"/>
              <w:tr2bl w:val="nil"/>
            </w:tcBorders>
            <w:noWrap w:val="0"/>
            <w:vAlign w:val="center"/>
          </w:tcPr>
          <w:p w14:paraId="66219FAD">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082" w:type="pct"/>
            <w:vMerge w:val="restart"/>
            <w:tcBorders>
              <w:tl2br w:val="nil"/>
              <w:tr2bl w:val="nil"/>
            </w:tcBorders>
            <w:noWrap w:val="0"/>
            <w:vAlign w:val="center"/>
          </w:tcPr>
          <w:p w14:paraId="36D3601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民营企业培训暨招商对接活动</w:t>
            </w:r>
          </w:p>
        </w:tc>
        <w:tc>
          <w:tcPr>
            <w:tcW w:w="444" w:type="pct"/>
            <w:tcBorders>
              <w:tl2br w:val="nil"/>
              <w:tr2bl w:val="nil"/>
            </w:tcBorders>
            <w:noWrap w:val="0"/>
            <w:vAlign w:val="center"/>
          </w:tcPr>
          <w:p w14:paraId="71047ADA">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参与对象</w:t>
            </w:r>
          </w:p>
        </w:tc>
        <w:tc>
          <w:tcPr>
            <w:tcW w:w="1971" w:type="pct"/>
            <w:tcBorders>
              <w:tl2br w:val="nil"/>
              <w:tr2bl w:val="nil"/>
            </w:tcBorders>
            <w:noWrap w:val="0"/>
            <w:vAlign w:val="center"/>
          </w:tcPr>
          <w:p w14:paraId="0C777C42">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rPr>
              <w:t>①</w:t>
            </w:r>
            <w:r>
              <w:rPr>
                <w:rFonts w:hint="eastAsia" w:ascii="宋体" w:hAnsi="宋体" w:eastAsia="宋体" w:cs="宋体"/>
                <w:szCs w:val="21"/>
                <w:lang w:val="en-US" w:eastAsia="zh-CN"/>
              </w:rPr>
              <w:t>有</w:t>
            </w:r>
            <w:r>
              <w:rPr>
                <w:rFonts w:hint="eastAsia" w:ascii="宋体" w:hAnsi="宋体" w:eastAsia="宋体" w:cs="宋体"/>
                <w:szCs w:val="21"/>
              </w:rPr>
              <w:t>科技创新产业赋能</w:t>
            </w:r>
            <w:r>
              <w:rPr>
                <w:rFonts w:hint="eastAsia" w:ascii="宋体" w:hAnsi="宋体" w:eastAsia="宋体" w:cs="宋体"/>
                <w:szCs w:val="21"/>
                <w:lang w:val="en-US" w:eastAsia="zh-CN"/>
              </w:rPr>
              <w:t>需求的</w:t>
            </w:r>
            <w:r>
              <w:rPr>
                <w:rFonts w:hint="eastAsia" w:ascii="宋体" w:hAnsi="宋体" w:eastAsia="宋体" w:cs="宋体"/>
                <w:szCs w:val="21"/>
              </w:rPr>
              <w:t>宁波民营</w:t>
            </w:r>
            <w:r>
              <w:rPr>
                <w:rFonts w:hint="eastAsia" w:ascii="宋体" w:hAnsi="宋体" w:eastAsia="宋体" w:cs="宋体"/>
                <w:szCs w:val="21"/>
                <w:lang w:val="en-US" w:eastAsia="zh-CN"/>
              </w:rPr>
              <w:t>企业</w:t>
            </w:r>
          </w:p>
          <w:p w14:paraId="3E0B9D2D">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②参与企业互动提问及咨询</w:t>
            </w:r>
          </w:p>
        </w:tc>
        <w:tc>
          <w:tcPr>
            <w:tcW w:w="1041" w:type="pct"/>
            <w:vMerge w:val="continue"/>
            <w:tcBorders>
              <w:tl2br w:val="nil"/>
              <w:tr2bl w:val="nil"/>
            </w:tcBorders>
            <w:noWrap w:val="0"/>
            <w:vAlign w:val="center"/>
          </w:tcPr>
          <w:p w14:paraId="000D9E8D">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r w14:paraId="31B2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l2br w:val="nil"/>
              <w:tr2bl w:val="nil"/>
            </w:tcBorders>
            <w:noWrap w:val="0"/>
            <w:vAlign w:val="center"/>
          </w:tcPr>
          <w:p w14:paraId="7A93988D">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Cs w:val="21"/>
                <w:lang w:val="en-US" w:eastAsia="zh-CN"/>
              </w:rPr>
            </w:pPr>
          </w:p>
        </w:tc>
        <w:tc>
          <w:tcPr>
            <w:tcW w:w="1082" w:type="pct"/>
            <w:vMerge w:val="continue"/>
            <w:tcBorders>
              <w:tl2br w:val="nil"/>
              <w:tr2bl w:val="nil"/>
            </w:tcBorders>
            <w:noWrap w:val="0"/>
            <w:vAlign w:val="center"/>
          </w:tcPr>
          <w:p w14:paraId="59D7DD4F">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c>
          <w:tcPr>
            <w:tcW w:w="444" w:type="pct"/>
            <w:tcBorders>
              <w:tl2br w:val="nil"/>
              <w:tr2bl w:val="nil"/>
            </w:tcBorders>
            <w:noWrap w:val="0"/>
            <w:vAlign w:val="center"/>
          </w:tcPr>
          <w:p w14:paraId="0702852E">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活动内容</w:t>
            </w:r>
          </w:p>
        </w:tc>
        <w:tc>
          <w:tcPr>
            <w:tcW w:w="1971" w:type="pct"/>
            <w:tcBorders>
              <w:tl2br w:val="nil"/>
              <w:tr2bl w:val="nil"/>
            </w:tcBorders>
            <w:noWrap w:val="0"/>
            <w:vAlign w:val="center"/>
          </w:tcPr>
          <w:p w14:paraId="1C29F2D8">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rPr>
              <w:t>①</w:t>
            </w:r>
            <w:r>
              <w:rPr>
                <w:rFonts w:hint="eastAsia" w:ascii="宋体" w:hAnsi="宋体" w:eastAsia="宋体" w:cs="宋体"/>
                <w:szCs w:val="21"/>
                <w:lang w:val="en-US" w:eastAsia="zh-CN"/>
              </w:rPr>
              <w:t>培训活动</w:t>
            </w:r>
          </w:p>
          <w:p w14:paraId="1910B2D5">
            <w:pPr>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②</w:t>
            </w:r>
            <w:r>
              <w:rPr>
                <w:rFonts w:hint="eastAsia" w:ascii="宋体" w:hAnsi="宋体" w:eastAsia="宋体" w:cs="宋体"/>
                <w:szCs w:val="21"/>
                <w:lang w:val="en-US" w:eastAsia="zh-CN"/>
              </w:rPr>
              <w:t>招商对接活动</w:t>
            </w:r>
          </w:p>
        </w:tc>
        <w:tc>
          <w:tcPr>
            <w:tcW w:w="1041" w:type="pct"/>
            <w:vMerge w:val="continue"/>
            <w:tcBorders>
              <w:tl2br w:val="nil"/>
              <w:tr2bl w:val="nil"/>
            </w:tcBorders>
            <w:noWrap w:val="0"/>
            <w:vAlign w:val="center"/>
          </w:tcPr>
          <w:p w14:paraId="49D754D4">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p>
        </w:tc>
      </w:tr>
    </w:tbl>
    <w:p w14:paraId="58DC969F">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（二）</w:t>
      </w:r>
      <w:r>
        <w:rPr>
          <w:rFonts w:hint="eastAsia" w:ascii="宋体" w:hAnsi="宋体" w:eastAsia="宋体" w:cs="宋体"/>
          <w:szCs w:val="21"/>
        </w:rPr>
        <w:t>宣传活动​</w:t>
      </w:r>
    </w:p>
    <w:p w14:paraId="6CD24AF5">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新闻专栏策划：策划制作新闻专栏，利用主流媒体优势，聚焦宁波品牌发展的前沿领域和趋势领域，挖掘品牌故事，宣传品牌成果。要求专栏内容丰富、形式多样，具有较强的可读性和传播性。</w:t>
      </w:r>
    </w:p>
    <w:p w14:paraId="14961520">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（三）</w:t>
      </w:r>
      <w:r>
        <w:rPr>
          <w:rFonts w:hint="eastAsia" w:ascii="宋体" w:hAnsi="宋体" w:eastAsia="宋体" w:cs="宋体"/>
          <w:szCs w:val="21"/>
        </w:rPr>
        <w:t>新闻专题：制作新闻专题，深入报道宁波品牌发展现状、面临的挑战及未来规划。通过专题报道，提升宁波品牌的社会关注度和影响力。​</w:t>
      </w:r>
    </w:p>
    <w:p w14:paraId="1F4E17F8">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（四）</w:t>
      </w:r>
      <w:r>
        <w:rPr>
          <w:rFonts w:hint="eastAsia" w:ascii="宋体" w:hAnsi="宋体" w:eastAsia="宋体" w:cs="宋体"/>
          <w:szCs w:val="21"/>
        </w:rPr>
        <w:t>全媒体访谈：组织开展全媒体访谈活动，邀请宁波品牌企业负责人、行业专家</w:t>
      </w:r>
      <w:r>
        <w:rPr>
          <w:rFonts w:hint="eastAsia" w:ascii="宋体" w:hAnsi="宋体" w:eastAsia="宋体" w:cs="宋体"/>
          <w:szCs w:val="21"/>
          <w:lang w:eastAsia="zh-CN"/>
        </w:rPr>
        <w:t>等</w:t>
      </w:r>
      <w:r>
        <w:rPr>
          <w:rFonts w:hint="eastAsia" w:ascii="宋体" w:hAnsi="宋体" w:eastAsia="宋体" w:cs="宋体"/>
          <w:szCs w:val="21"/>
          <w:lang w:val="en-US" w:eastAsia="zh-CN"/>
        </w:rPr>
        <w:t>领导进行</w:t>
      </w:r>
      <w:r>
        <w:rPr>
          <w:rFonts w:hint="eastAsia" w:ascii="宋体" w:hAnsi="宋体" w:eastAsia="宋体" w:cs="宋体"/>
          <w:szCs w:val="21"/>
        </w:rPr>
        <w:t>访谈，分享品牌建设经验与见解。利用多种媒体渠道进行传播，扩大访谈活动的覆盖面。​</w:t>
      </w:r>
    </w:p>
    <w:p w14:paraId="13776FF4">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（五）</w:t>
      </w:r>
      <w:r>
        <w:rPr>
          <w:rFonts w:hint="eastAsia" w:ascii="宋体" w:hAnsi="宋体" w:eastAsia="宋体" w:cs="宋体"/>
          <w:szCs w:val="21"/>
        </w:rPr>
        <w:t>系列活动报道：对本次系列活动进行全方位、全过程的宣传报道，在主流媒体、新媒体平台及时发布活动动态、精彩瞬间和活动成果</w:t>
      </w:r>
      <w:r>
        <w:rPr>
          <w:rFonts w:hint="eastAsia" w:ascii="宋体" w:hAnsi="宋体" w:eastAsia="宋体" w:cs="宋体"/>
          <w:szCs w:val="21"/>
          <w:lang w:eastAsia="zh-CN"/>
        </w:rPr>
        <w:t>，</w:t>
      </w:r>
      <w:r>
        <w:rPr>
          <w:rFonts w:hint="eastAsia" w:ascii="宋体" w:hAnsi="宋体" w:eastAsia="宋体" w:cs="宋体"/>
          <w:szCs w:val="21"/>
          <w:lang w:val="en-US" w:eastAsia="zh-CN"/>
        </w:rPr>
        <w:t>通过</w:t>
      </w:r>
      <w:r>
        <w:rPr>
          <w:rFonts w:hint="eastAsia" w:ascii="宋体" w:hAnsi="宋体" w:eastAsia="宋体" w:cs="宋体"/>
          <w:szCs w:val="21"/>
        </w:rPr>
        <w:t>广泛传播，为本次系列活动整体宣传发声。</w:t>
      </w:r>
    </w:p>
    <w:p w14:paraId="4399281A">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供应商需制定详细的宣传活动策划方案，明确宣传渠道、宣传内容、宣传形式及时间安排；负责新闻专栏、新闻专题的策划与制作；组织全媒体访谈活动，包括嘉宾邀请、访谈提纲撰写、录制与后期制作等；做好系列活动报道工作，确保宣传效果。​</w:t>
      </w:r>
    </w:p>
    <w:p w14:paraId="2E36F3D1">
      <w:pPr>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lang w:val="en-US" w:eastAsia="zh-CN"/>
        </w:rPr>
        <w:t>三、</w:t>
      </w:r>
      <w:r>
        <w:rPr>
          <w:rFonts w:hint="eastAsia" w:ascii="宋体" w:hAnsi="宋体" w:eastAsia="宋体" w:cs="宋体"/>
          <w:szCs w:val="21"/>
        </w:rPr>
        <w:t>品牌报告：宁波品牌发展分析报告</w:t>
      </w:r>
    </w:p>
    <w:p w14:paraId="525FA6AD">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对宁波市关键行业领域品牌发展质量进行全面评估，分析品牌在市场中的竞争力、品牌价值及品牌影响力等方面的情况。​</w:t>
      </w:r>
    </w:p>
    <w:p w14:paraId="16BE497F">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深入调研宁波品牌企业在发展过程中遇到的困难和问题，包括品牌建设投入不足、品牌创新能力薄弱、品牌国际化程度低等问题，分析问题产生的原因。​</w:t>
      </w:r>
    </w:p>
    <w:p w14:paraId="19F4EFDA">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结合行业发展趋势和政策导向，对宁波品牌发展前景进行科学研判，提出具有针对性和可操作性的品牌发展建议和策略。​</w:t>
      </w:r>
    </w:p>
    <w:p w14:paraId="4EBDD90C">
      <w:pPr>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供应商需组建专业的研究团队，开展深入的市场调研和数据分析，形成高质量的品牌报告。报告内容需逻辑清晰、数据准确、分析深入，能够为宁波品牌发展提供决策参考。</w:t>
      </w:r>
    </w:p>
    <w:p w14:paraId="40DC2197">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lang w:eastAsia="zh-CN"/>
        </w:rPr>
        <w:t>：</w:t>
      </w:r>
      <w:r>
        <w:rPr>
          <w:rFonts w:hint="eastAsia" w:ascii="宋体" w:hAnsi="宋体" w:eastAsia="宋体" w:cs="宋体"/>
          <w:szCs w:val="21"/>
        </w:rPr>
        <w:t>2025年底</w:t>
      </w:r>
      <w:r>
        <w:rPr>
          <w:rFonts w:hint="eastAsia" w:ascii="宋体" w:hAnsi="宋体" w:eastAsia="宋体" w:cs="宋体"/>
          <w:szCs w:val="21"/>
          <w:lang w:eastAsia="zh-CN"/>
        </w:rPr>
        <w:t>前完成，阶段性提供专题分析</w:t>
      </w:r>
    </w:p>
    <w:p w14:paraId="51A121BD">
      <w:pPr>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四、</w:t>
      </w:r>
      <w:r>
        <w:rPr>
          <w:rFonts w:hint="eastAsia" w:ascii="宋体" w:hAnsi="宋体" w:eastAsia="宋体" w:cs="宋体"/>
          <w:color w:val="000000"/>
          <w:szCs w:val="21"/>
        </w:rPr>
        <w:t>配套活动：2025 宁波品牌展示推广</w:t>
      </w:r>
    </w:p>
    <w:p w14:paraId="14D999ED">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活动名称：</w:t>
      </w:r>
      <w:r>
        <w:rPr>
          <w:rFonts w:hint="eastAsia" w:ascii="宋体" w:hAnsi="宋体" w:eastAsia="宋体" w:cs="宋体"/>
          <w:color w:val="000000"/>
          <w:szCs w:val="21"/>
        </w:rPr>
        <w:t>2025 宁波品牌展示推广</w:t>
      </w:r>
    </w:p>
    <w:p w14:paraId="1D0EA24E">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时间：阶段性推出</w:t>
      </w:r>
    </w:p>
    <w:p w14:paraId="3D25A2ED">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地点：选择方太、公牛等代表性宁波品牌企业内具有特色与影响力的品牌展示空间作为活动主要场地。这些场地可包括企业产品体验馆、品牌文化展厅等，为参观者提供沉浸式的品牌体验环境。</w:t>
      </w:r>
    </w:p>
    <w:p w14:paraId="35865C1A">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形式：在企业品牌展示场景中融入 2025 宁波品牌日活动元素及宁波城市品牌宣传内容，实现企业品牌与城市品牌的协同发展。</w:t>
      </w:r>
    </w:p>
    <w:p w14:paraId="29BE2721">
      <w:pPr>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与</w:t>
      </w:r>
      <w:r>
        <w:rPr>
          <w:rFonts w:hint="eastAsia" w:ascii="宋体" w:hAnsi="宋体" w:eastAsia="宋体" w:cs="宋体"/>
          <w:color w:val="000000"/>
          <w:szCs w:val="21"/>
        </w:rPr>
        <w:t>市经信局、市商务局等推介联络</w:t>
      </w:r>
      <w:r>
        <w:rPr>
          <w:rFonts w:hint="eastAsia" w:ascii="宋体" w:hAnsi="宋体" w:eastAsia="宋体" w:cs="宋体"/>
          <w:color w:val="000000"/>
          <w:szCs w:val="21"/>
          <w:lang w:eastAsia="zh-CN"/>
        </w:rPr>
        <w:t>，</w:t>
      </w:r>
      <w:r>
        <w:rPr>
          <w:rFonts w:hint="eastAsia" w:ascii="宋体" w:hAnsi="宋体" w:eastAsia="宋体" w:cs="宋体"/>
          <w:color w:val="000000"/>
          <w:szCs w:val="21"/>
        </w:rPr>
        <w:t>联合部门力量，扩大活动宣传推广范围，吸引更多社会关注</w:t>
      </w:r>
      <w:r>
        <w:rPr>
          <w:rFonts w:hint="eastAsia" w:ascii="宋体" w:hAnsi="宋体" w:eastAsia="宋体" w:cs="宋体"/>
          <w:color w:val="000000"/>
          <w:szCs w:val="21"/>
          <w:lang w:eastAsia="zh-CN"/>
        </w:rPr>
        <w:t>。</w:t>
      </w:r>
    </w:p>
    <w:p w14:paraId="6078B829">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lang w:eastAsia="zh-CN"/>
        </w:rPr>
        <w:t>五</w:t>
      </w:r>
      <w:r>
        <w:rPr>
          <w:rFonts w:hint="eastAsia" w:ascii="宋体" w:hAnsi="宋体" w:eastAsia="宋体" w:cs="宋体"/>
          <w:szCs w:val="21"/>
        </w:rPr>
        <w:t>、商务条款</w:t>
      </w:r>
      <w:bookmarkEnd w:id="34"/>
    </w:p>
    <w:tbl>
      <w:tblPr>
        <w:tblStyle w:val="15"/>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0"/>
        <w:gridCol w:w="1746"/>
        <w:gridCol w:w="5216"/>
        <w:gridCol w:w="1385"/>
      </w:tblGrid>
      <w:tr w14:paraId="2351F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noWrap w:val="0"/>
            <w:vAlign w:val="center"/>
          </w:tcPr>
          <w:p w14:paraId="6927F1D0">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024F46D2">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项目</w:t>
            </w:r>
          </w:p>
        </w:tc>
        <w:tc>
          <w:tcPr>
            <w:tcW w:w="2844" w:type="pct"/>
            <w:tcBorders>
              <w:top w:val="single" w:color="auto" w:sz="4" w:space="0"/>
              <w:left w:val="single" w:color="auto" w:sz="4" w:space="0"/>
              <w:bottom w:val="single" w:color="auto" w:sz="4" w:space="0"/>
              <w:right w:val="single" w:color="auto" w:sz="4" w:space="0"/>
            </w:tcBorders>
            <w:noWrap w:val="0"/>
            <w:vAlign w:val="center"/>
          </w:tcPr>
          <w:p w14:paraId="3B537013">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要 求</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28B9BCC4">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21"/>
                <w:lang w:eastAsia="zh-CN"/>
              </w:rPr>
            </w:pPr>
            <w:r>
              <w:rPr>
                <w:rFonts w:hint="eastAsia" w:ascii="宋体" w:hAnsi="宋体" w:cs="宋体"/>
                <w:b/>
                <w:bCs/>
                <w:kern w:val="0"/>
                <w:szCs w:val="21"/>
                <w:lang w:eastAsia="zh-CN"/>
              </w:rPr>
              <w:t>磋商响应</w:t>
            </w:r>
          </w:p>
        </w:tc>
      </w:tr>
      <w:tr w14:paraId="68055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noWrap w:val="0"/>
            <w:vAlign w:val="center"/>
          </w:tcPr>
          <w:p w14:paraId="2FBF458B">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0EF394F2">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服务期限</w:t>
            </w:r>
          </w:p>
        </w:tc>
        <w:tc>
          <w:tcPr>
            <w:tcW w:w="2844" w:type="pct"/>
            <w:tcBorders>
              <w:top w:val="single" w:color="auto" w:sz="4" w:space="0"/>
              <w:left w:val="single" w:color="auto" w:sz="4" w:space="0"/>
              <w:bottom w:val="single" w:color="auto" w:sz="4" w:space="0"/>
              <w:right w:val="single" w:color="auto" w:sz="4" w:space="0"/>
            </w:tcBorders>
            <w:noWrap w:val="0"/>
            <w:vAlign w:val="center"/>
          </w:tcPr>
          <w:p w14:paraId="10171103">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rPr>
            </w:pPr>
            <w:r>
              <w:rPr>
                <w:rFonts w:hint="eastAsia" w:ascii="宋体" w:hAnsi="宋体" w:eastAsia="宋体" w:cs="宋体"/>
                <w:szCs w:val="21"/>
                <w:lang w:val="en-US" w:eastAsia="zh-CN"/>
              </w:rPr>
              <w:t>合同签订后至2025年12月31日</w:t>
            </w:r>
            <w:r>
              <w:rPr>
                <w:rFonts w:hint="eastAsia" w:ascii="宋体" w:hAnsi="宋体" w:eastAsia="宋体" w:cs="宋体"/>
                <w:kern w:val="0"/>
                <w:szCs w:val="21"/>
              </w:rPr>
              <w:t>。</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01952D89">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lang w:val="en-US" w:eastAsia="zh-CN"/>
              </w:rPr>
            </w:pPr>
          </w:p>
        </w:tc>
      </w:tr>
      <w:tr w14:paraId="32D67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noWrap w:val="0"/>
            <w:vAlign w:val="center"/>
          </w:tcPr>
          <w:p w14:paraId="160BD299">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4C281485">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服务响应要求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14:paraId="13598446">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rPr>
            </w:pPr>
            <w:r>
              <w:rPr>
                <w:rFonts w:hint="eastAsia" w:ascii="宋体" w:hAnsi="宋体" w:eastAsia="宋体" w:cs="宋体"/>
                <w:kern w:val="0"/>
                <w:szCs w:val="21"/>
              </w:rPr>
              <w:t>应及时向采购人汇报工作执行情况，在接到采购人需求后能给予及时响应。提供电话、邮件、即时通讯等在服务期内的7×24小时支持，对采购人的需求应当积极响应，供应商可在响应文件中自行明确具体响应速度及其他优惠承诺。在服务期间如发生突发情况要确保3分钟内响应，15分钟内到达现场。</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0B9058B0">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rPr>
            </w:pPr>
          </w:p>
        </w:tc>
      </w:tr>
      <w:tr w14:paraId="62768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noWrap w:val="0"/>
            <w:vAlign w:val="center"/>
          </w:tcPr>
          <w:p w14:paraId="65838F5D">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28A668DF">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付款方式</w:t>
            </w:r>
          </w:p>
        </w:tc>
        <w:tc>
          <w:tcPr>
            <w:tcW w:w="2844" w:type="pct"/>
            <w:tcBorders>
              <w:top w:val="single" w:color="auto" w:sz="4" w:space="0"/>
              <w:left w:val="single" w:color="auto" w:sz="4" w:space="0"/>
              <w:bottom w:val="single" w:color="auto" w:sz="4" w:space="0"/>
              <w:right w:val="single" w:color="auto" w:sz="4" w:space="0"/>
            </w:tcBorders>
            <w:noWrap w:val="0"/>
            <w:vAlign w:val="center"/>
          </w:tcPr>
          <w:p w14:paraId="1614B37C">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rPr>
            </w:pPr>
            <w:r>
              <w:rPr>
                <w:rFonts w:hint="eastAsia" w:ascii="宋体" w:hAnsi="宋体" w:eastAsia="宋体" w:cs="宋体"/>
                <w:kern w:val="0"/>
                <w:szCs w:val="21"/>
              </w:rPr>
              <w:t>1.合同签订生效后7工作日内支付合同总额的</w:t>
            </w:r>
            <w:r>
              <w:rPr>
                <w:rFonts w:hint="eastAsia" w:ascii="宋体" w:hAnsi="宋体" w:eastAsia="宋体" w:cs="宋体"/>
                <w:kern w:val="0"/>
                <w:szCs w:val="21"/>
                <w:lang w:val="en-US" w:eastAsia="zh-CN"/>
              </w:rPr>
              <w:t>5</w:t>
            </w:r>
            <w:r>
              <w:rPr>
                <w:rFonts w:hint="eastAsia" w:ascii="宋体" w:hAnsi="宋体" w:eastAsia="宋体" w:cs="宋体"/>
                <w:kern w:val="0"/>
                <w:szCs w:val="21"/>
              </w:rPr>
              <w:t>0%作为预付款；</w:t>
            </w:r>
          </w:p>
          <w:p w14:paraId="4BB94869">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全部服务完成后</w:t>
            </w:r>
            <w:r>
              <w:rPr>
                <w:rFonts w:hint="eastAsia" w:ascii="宋体" w:hAnsi="宋体" w:eastAsia="宋体" w:cs="宋体"/>
                <w:kern w:val="0"/>
                <w:szCs w:val="21"/>
              </w:rPr>
              <w:t>，经采购人验收确定后，收到发票7个工作日内结清剩余款项。</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6E18F050">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rPr>
            </w:pPr>
          </w:p>
        </w:tc>
      </w:tr>
      <w:tr w14:paraId="7CB61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noWrap w:val="0"/>
            <w:vAlign w:val="center"/>
          </w:tcPr>
          <w:p w14:paraId="7C82B72C">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55E88AAB">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履约保证金</w:t>
            </w:r>
          </w:p>
        </w:tc>
        <w:tc>
          <w:tcPr>
            <w:tcW w:w="2844" w:type="pct"/>
            <w:tcBorders>
              <w:top w:val="single" w:color="auto" w:sz="4" w:space="0"/>
              <w:left w:val="single" w:color="auto" w:sz="4" w:space="0"/>
              <w:bottom w:val="single" w:color="auto" w:sz="4" w:space="0"/>
              <w:right w:val="single" w:color="auto" w:sz="4" w:space="0"/>
            </w:tcBorders>
            <w:noWrap w:val="0"/>
            <w:vAlign w:val="center"/>
          </w:tcPr>
          <w:p w14:paraId="38A30149">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lang w:eastAsia="zh-CN"/>
              </w:rPr>
            </w:pPr>
            <w:r>
              <w:rPr>
                <w:rFonts w:hint="eastAsia" w:ascii="宋体" w:hAnsi="宋体" w:eastAsia="宋体" w:cs="宋体"/>
                <w:kern w:val="0"/>
                <w:szCs w:val="21"/>
              </w:rPr>
              <w:t>履约保证金金额：本项目不作要求</w:t>
            </w:r>
            <w:r>
              <w:rPr>
                <w:rFonts w:hint="eastAsia" w:ascii="宋体" w:hAnsi="宋体" w:cs="宋体"/>
                <w:kern w:val="0"/>
                <w:szCs w:val="21"/>
                <w:lang w:eastAsia="zh-CN"/>
              </w:rPr>
              <w:t>。</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10239C24">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rPr>
            </w:pPr>
          </w:p>
        </w:tc>
      </w:tr>
    </w:tbl>
    <w:p w14:paraId="257BF433">
      <w:pPr>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44"/>
          <w:sz w:val="24"/>
          <w:szCs w:val="44"/>
        </w:rPr>
      </w:pPr>
      <w:bookmarkStart w:id="36" w:name="_Toc34844743"/>
    </w:p>
    <w:p w14:paraId="19DF8EDF">
      <w:pPr>
        <w:pStyle w:val="3"/>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 w:val="30"/>
          <w:szCs w:val="30"/>
        </w:rPr>
      </w:pPr>
      <w:r>
        <w:rPr>
          <w:rFonts w:hint="eastAsia" w:ascii="宋体" w:hAnsi="宋体" w:eastAsia="宋体" w:cs="宋体"/>
        </w:rPr>
        <w:br w:type="page"/>
      </w:r>
      <w:bookmarkStart w:id="37" w:name="_Toc31795"/>
      <w:r>
        <w:rPr>
          <w:rFonts w:hint="eastAsia" w:ascii="宋体" w:hAnsi="宋体" w:eastAsia="宋体" w:cs="宋体"/>
          <w:sz w:val="30"/>
          <w:szCs w:val="30"/>
        </w:rPr>
        <w:t>第三章</w:t>
      </w:r>
      <w:r>
        <w:rPr>
          <w:rFonts w:hint="eastAsia" w:ascii="宋体" w:hAnsi="宋体" w:cs="宋体"/>
          <w:sz w:val="30"/>
          <w:szCs w:val="30"/>
          <w:lang w:val="en-US" w:eastAsia="zh-CN"/>
        </w:rPr>
        <w:t xml:space="preserve">  </w:t>
      </w:r>
      <w:r>
        <w:rPr>
          <w:rFonts w:hint="eastAsia" w:ascii="宋体" w:hAnsi="宋体" w:eastAsia="宋体" w:cs="宋体"/>
          <w:sz w:val="30"/>
          <w:szCs w:val="30"/>
        </w:rPr>
        <w:t>供应商须知</w:t>
      </w:r>
      <w:bookmarkEnd w:id="36"/>
      <w:bookmarkEnd w:id="37"/>
    </w:p>
    <w:p w14:paraId="61081352">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Cs w:val="21"/>
        </w:rPr>
      </w:pPr>
      <w:r>
        <w:rPr>
          <w:rFonts w:hint="eastAsia" w:ascii="宋体" w:hAnsi="宋体" w:eastAsia="宋体" w:cs="宋体"/>
          <w:b/>
          <w:szCs w:val="21"/>
        </w:rPr>
        <w:t>供应商须知前附表</w:t>
      </w:r>
    </w:p>
    <w:p w14:paraId="39A4BB74">
      <w:pPr>
        <w:pageBreakBefore w:val="0"/>
        <w:widowControl w:val="0"/>
        <w:kinsoku/>
        <w:wordWrap/>
        <w:overflowPunct/>
        <w:topLinePunct w:val="0"/>
        <w:autoSpaceDE/>
        <w:autoSpaceDN/>
        <w:bidi w:val="0"/>
        <w:adjustRightInd/>
        <w:spacing w:line="400" w:lineRule="exact"/>
        <w:jc w:val="left"/>
        <w:textAlignment w:val="auto"/>
        <w:rPr>
          <w:rStyle w:val="21"/>
          <w:rFonts w:hint="eastAsia" w:ascii="宋体" w:hAnsi="宋体" w:eastAsia="宋体" w:cs="宋体"/>
          <w:color w:val="auto"/>
          <w:sz w:val="21"/>
        </w:rPr>
      </w:pPr>
      <w:r>
        <w:rPr>
          <w:rStyle w:val="21"/>
          <w:rFonts w:hint="eastAsia" w:ascii="宋体" w:hAnsi="宋体" w:eastAsia="宋体" w:cs="宋体"/>
          <w:color w:val="auto"/>
          <w:sz w:val="21"/>
        </w:rPr>
        <w:t>注：本表是本项目的具体要求，是对供应商须知的具体补充和修改，如有不一致，以本表为准。</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2"/>
        <w:gridCol w:w="918"/>
        <w:gridCol w:w="1727"/>
        <w:gridCol w:w="5803"/>
      </w:tblGrid>
      <w:tr w14:paraId="3A707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151E39A3">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B73A265">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Cs w:val="21"/>
              </w:rPr>
            </w:pPr>
            <w:r>
              <w:rPr>
                <w:rFonts w:hint="eastAsia" w:ascii="宋体" w:hAnsi="宋体" w:eastAsia="宋体" w:cs="宋体"/>
                <w:b/>
                <w:szCs w:val="21"/>
              </w:rPr>
              <w:t>条款号</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3CAAE3E9">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Cs w:val="21"/>
              </w:rPr>
            </w:pPr>
            <w:r>
              <w:rPr>
                <w:rFonts w:hint="eastAsia" w:ascii="宋体" w:hAnsi="宋体" w:eastAsia="宋体" w:cs="宋体"/>
                <w:b/>
                <w:szCs w:val="21"/>
              </w:rPr>
              <w:t>条款名称</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74F6B4DC">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Cs w:val="21"/>
              </w:rPr>
            </w:pPr>
            <w:r>
              <w:rPr>
                <w:rFonts w:hint="eastAsia" w:ascii="宋体" w:hAnsi="宋体" w:eastAsia="宋体" w:cs="宋体"/>
                <w:b/>
                <w:szCs w:val="21"/>
              </w:rPr>
              <w:t>内容、要求</w:t>
            </w:r>
          </w:p>
        </w:tc>
      </w:tr>
      <w:tr w14:paraId="52842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0BFBEBC6">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3873B258">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3.1</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2FFEEDDC">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采购人</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465FD8FD">
            <w:pPr>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Cs w:val="21"/>
                <w:lang w:eastAsia="zh-CN"/>
              </w:rPr>
            </w:pPr>
            <w:r>
              <w:rPr>
                <w:rFonts w:hint="eastAsia" w:ascii="宋体" w:hAnsi="宋体" w:eastAsia="宋体" w:cs="宋体"/>
                <w:szCs w:val="21"/>
                <w:lang w:eastAsia="zh-CN"/>
              </w:rPr>
              <w:t>宁波市发展和改革委员会</w:t>
            </w:r>
          </w:p>
        </w:tc>
      </w:tr>
      <w:tr w14:paraId="5BFC5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51527CC2">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2</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7D1C5C8">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3.2</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06C681BA">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采购代理机构</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5E7D3D15">
            <w:pPr>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Cs w:val="21"/>
              </w:rPr>
            </w:pPr>
            <w:r>
              <w:rPr>
                <w:rFonts w:hint="eastAsia" w:ascii="宋体" w:hAnsi="宋体" w:eastAsia="宋体" w:cs="宋体"/>
                <w:szCs w:val="21"/>
              </w:rPr>
              <w:t>宁波市国际招标有限公司</w:t>
            </w:r>
          </w:p>
        </w:tc>
      </w:tr>
      <w:tr w14:paraId="624AF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3343C960">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3</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4E8E62E">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3.3</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05988E8E">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Cs w:val="21"/>
              </w:rPr>
            </w:pPr>
            <w:r>
              <w:rPr>
                <w:rFonts w:hint="eastAsia" w:ascii="宋体" w:hAnsi="宋体" w:eastAsia="宋体" w:cs="宋体"/>
                <w:b w:val="0"/>
                <w:bCs w:val="0"/>
                <w:szCs w:val="21"/>
              </w:rPr>
              <w:t>政府采购监督管理部门</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21358082">
            <w:pPr>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b w:val="0"/>
                <w:bCs w:val="0"/>
                <w:szCs w:val="21"/>
              </w:rPr>
            </w:pPr>
            <w:r>
              <w:rPr>
                <w:rFonts w:hint="eastAsia" w:ascii="宋体" w:hAnsi="宋体" w:eastAsia="宋体" w:cs="宋体"/>
                <w:b w:val="0"/>
                <w:bCs w:val="0"/>
                <w:szCs w:val="21"/>
              </w:rPr>
              <w:t>宁波市财政局政府采购监管处</w:t>
            </w:r>
          </w:p>
        </w:tc>
      </w:tr>
      <w:tr w14:paraId="398CA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2A321653">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4</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49951DF">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3.4</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48FAE599">
            <w:pPr>
              <w:pStyle w:val="22"/>
              <w:pageBreakBefore w:val="0"/>
              <w:widowControl w:val="0"/>
              <w:kinsoku/>
              <w:wordWrap/>
              <w:overflowPunct/>
              <w:topLinePunct w:val="0"/>
              <w:autoSpaceDE/>
              <w:autoSpaceDN/>
              <w:bidi w:val="0"/>
              <w:adjustRightInd/>
              <w:spacing w:before="0" w:beforeAutospacing="0" w:afterAutospacing="0" w:line="400" w:lineRule="exact"/>
              <w:jc w:val="left"/>
              <w:textAlignment w:val="auto"/>
              <w:rPr>
                <w:rFonts w:hint="eastAsia" w:ascii="宋体" w:hAnsi="宋体" w:eastAsia="宋体" w:cs="宋体"/>
                <w:b/>
                <w:sz w:val="21"/>
                <w:szCs w:val="21"/>
              </w:rPr>
            </w:pPr>
            <w:r>
              <w:rPr>
                <w:rFonts w:hint="eastAsia" w:ascii="宋体" w:hAnsi="宋体" w:eastAsia="宋体" w:cs="宋体"/>
                <w:sz w:val="21"/>
                <w:szCs w:val="21"/>
              </w:rPr>
              <w:t>是否为专门面向中小企业采购</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59B0455C">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bCs/>
                <w:sz w:val="21"/>
                <w:szCs w:val="21"/>
              </w:rPr>
            </w:pPr>
            <w:r>
              <w:rPr>
                <w:rFonts w:hint="eastAsia" w:ascii="宋体" w:hAnsi="宋体" w:eastAsia="宋体" w:cs="宋体"/>
                <w:sz w:val="21"/>
                <w:szCs w:val="21"/>
              </w:rPr>
              <w:t>否</w:t>
            </w:r>
          </w:p>
        </w:tc>
      </w:tr>
      <w:tr w14:paraId="49BE7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05CA5053">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5</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4B3EB14">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10.3</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38D8A90F">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质疑函递交方式、接收部门、联系电话和通讯地址</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1973EE1C">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bCs/>
                <w:sz w:val="21"/>
                <w:szCs w:val="21"/>
                <w:u w:val="single"/>
              </w:rPr>
            </w:pPr>
            <w:r>
              <w:rPr>
                <w:rFonts w:hint="eastAsia" w:ascii="宋体" w:hAnsi="宋体" w:eastAsia="宋体" w:cs="宋体"/>
                <w:sz w:val="21"/>
                <w:szCs w:val="21"/>
              </w:rPr>
              <w:t>递交方式：</w:t>
            </w:r>
            <w:r>
              <w:rPr>
                <w:rFonts w:hint="eastAsia" w:ascii="宋体" w:hAnsi="宋体" w:eastAsia="宋体" w:cs="宋体"/>
                <w:sz w:val="21"/>
                <w:szCs w:val="21"/>
                <w:u w:val="single"/>
              </w:rPr>
              <w:t>书面形式</w:t>
            </w:r>
          </w:p>
          <w:p w14:paraId="378FFA3D">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Cs/>
                <w:sz w:val="21"/>
                <w:szCs w:val="21"/>
                <w:u w:val="single"/>
              </w:rPr>
            </w:pPr>
            <w:r>
              <w:rPr>
                <w:rFonts w:hint="eastAsia" w:ascii="宋体" w:hAnsi="宋体" w:eastAsia="宋体" w:cs="宋体"/>
                <w:sz w:val="21"/>
                <w:szCs w:val="21"/>
              </w:rPr>
              <w:t>联系电话：</w:t>
            </w:r>
            <w:r>
              <w:rPr>
                <w:rFonts w:hint="eastAsia" w:ascii="宋体" w:hAnsi="宋体" w:eastAsia="宋体" w:cs="宋体"/>
                <w:bCs/>
                <w:sz w:val="21"/>
                <w:szCs w:val="21"/>
                <w:u w:val="single"/>
              </w:rPr>
              <w:t>0574-87128864</w:t>
            </w:r>
          </w:p>
          <w:p w14:paraId="236DB015">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bCs/>
                <w:sz w:val="21"/>
                <w:szCs w:val="21"/>
                <w:u w:val="single"/>
              </w:rPr>
            </w:pPr>
            <w:r>
              <w:rPr>
                <w:rFonts w:hint="eastAsia" w:ascii="宋体" w:hAnsi="宋体" w:eastAsia="宋体" w:cs="宋体"/>
                <w:bCs/>
                <w:sz w:val="21"/>
                <w:szCs w:val="21"/>
              </w:rPr>
              <w:t>联系人：</w:t>
            </w:r>
            <w:r>
              <w:rPr>
                <w:rFonts w:hint="eastAsia" w:ascii="宋体" w:hAnsi="宋体" w:eastAsia="宋体" w:cs="宋体"/>
                <w:bCs/>
                <w:sz w:val="21"/>
                <w:szCs w:val="21"/>
                <w:u w:val="single"/>
              </w:rPr>
              <w:t>夏伟立</w:t>
            </w:r>
          </w:p>
          <w:p w14:paraId="141598A1">
            <w:pPr>
              <w:pageBreakBefore w:val="0"/>
              <w:widowControl w:val="0"/>
              <w:kinsoku/>
              <w:wordWrap/>
              <w:overflowPunct/>
              <w:topLinePunct w:val="0"/>
              <w:autoSpaceDE/>
              <w:autoSpaceDN/>
              <w:bidi w:val="0"/>
              <w:adjustRightInd/>
              <w:spacing w:line="400" w:lineRule="exact"/>
              <w:ind w:firstLine="29" w:firstLineChars="14"/>
              <w:jc w:val="left"/>
              <w:textAlignment w:val="auto"/>
              <w:rPr>
                <w:rFonts w:hint="eastAsia" w:ascii="宋体" w:hAnsi="宋体" w:eastAsia="宋体" w:cs="宋体"/>
                <w:bCs/>
                <w:szCs w:val="21"/>
              </w:rPr>
            </w:pPr>
            <w:r>
              <w:rPr>
                <w:rFonts w:hint="eastAsia" w:ascii="宋体" w:hAnsi="宋体" w:eastAsia="宋体" w:cs="宋体"/>
                <w:szCs w:val="21"/>
              </w:rPr>
              <w:t>通讯地址：</w:t>
            </w:r>
            <w:r>
              <w:rPr>
                <w:rFonts w:hint="eastAsia" w:ascii="宋体" w:hAnsi="宋体" w:eastAsia="宋体" w:cs="宋体"/>
                <w:kern w:val="0"/>
                <w:szCs w:val="21"/>
              </w:rPr>
              <w:t>宁波市江北区环城北路西段207弄19号世茂茂悦商业中心1号楼八楼012室</w:t>
            </w:r>
          </w:p>
        </w:tc>
      </w:tr>
      <w:tr w14:paraId="05365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210EC493">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6</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2D193DB">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13.1</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57CB870C">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采购代理服务费用的收取标准</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36743E2E">
            <w:pPr>
              <w:pageBreakBefore w:val="0"/>
              <w:widowControl w:val="0"/>
              <w:kinsoku/>
              <w:wordWrap/>
              <w:overflowPunct/>
              <w:topLinePunct w:val="0"/>
              <w:autoSpaceDE/>
              <w:autoSpaceDN/>
              <w:bidi w:val="0"/>
              <w:adjustRightInd/>
              <w:spacing w:line="400" w:lineRule="exact"/>
              <w:ind w:firstLine="29" w:firstLineChars="14"/>
              <w:jc w:val="left"/>
              <w:textAlignment w:val="auto"/>
              <w:rPr>
                <w:rFonts w:hint="eastAsia" w:ascii="宋体" w:hAnsi="宋体" w:eastAsia="宋体" w:cs="宋体"/>
                <w:bCs/>
                <w:szCs w:val="21"/>
              </w:rPr>
            </w:pPr>
            <w:r>
              <w:rPr>
                <w:rFonts w:hint="eastAsia" w:ascii="宋体" w:hAnsi="宋体" w:eastAsia="宋体" w:cs="宋体"/>
                <w:szCs w:val="21"/>
              </w:rPr>
              <w:t>采购代理机构参照国家发改委发改办价格[2003]857号通知和原国家计委计价格[2002]1980号文件规定的招标代理服务收费标准，按照成交通知书确定的</w:t>
            </w:r>
            <w:r>
              <w:rPr>
                <w:rFonts w:hint="eastAsia" w:ascii="宋体" w:hAnsi="宋体" w:cs="宋体"/>
                <w:szCs w:val="21"/>
                <w:lang w:eastAsia="zh-CN"/>
              </w:rPr>
              <w:t>成交</w:t>
            </w:r>
            <w:r>
              <w:rPr>
                <w:rFonts w:hint="eastAsia" w:ascii="宋体" w:hAnsi="宋体" w:eastAsia="宋体" w:cs="宋体"/>
                <w:szCs w:val="21"/>
              </w:rPr>
              <w:t>金额，向</w:t>
            </w:r>
            <w:r>
              <w:rPr>
                <w:rFonts w:hint="eastAsia" w:ascii="宋体" w:hAnsi="宋体" w:cs="宋体"/>
                <w:szCs w:val="21"/>
                <w:lang w:eastAsia="zh-CN"/>
              </w:rPr>
              <w:t>成交</w:t>
            </w:r>
            <w:r>
              <w:rPr>
                <w:rFonts w:hint="eastAsia" w:ascii="宋体" w:hAnsi="宋体" w:eastAsia="宋体" w:cs="宋体"/>
                <w:szCs w:val="21"/>
              </w:rPr>
              <w:t>供应商收取</w:t>
            </w:r>
            <w:r>
              <w:rPr>
                <w:rFonts w:hint="eastAsia" w:ascii="宋体" w:hAnsi="宋体" w:cs="宋体"/>
                <w:szCs w:val="21"/>
                <w:lang w:eastAsia="zh-CN"/>
              </w:rPr>
              <w:t>采购代理</w:t>
            </w:r>
            <w:r>
              <w:rPr>
                <w:rFonts w:hint="eastAsia" w:ascii="宋体" w:hAnsi="宋体" w:eastAsia="宋体" w:cs="宋体"/>
                <w:szCs w:val="21"/>
              </w:rPr>
              <w:t>服务费。</w:t>
            </w:r>
          </w:p>
        </w:tc>
      </w:tr>
      <w:tr w14:paraId="5D307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1237B32E">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7</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00E9D545">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13.2</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257B07F0">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采购代理服务费的支付</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5B7A1A19">
            <w:pPr>
              <w:pageBreakBefore w:val="0"/>
              <w:widowControl w:val="0"/>
              <w:kinsoku/>
              <w:wordWrap/>
              <w:overflowPunct/>
              <w:topLinePunct w:val="0"/>
              <w:autoSpaceDE/>
              <w:autoSpaceDN/>
              <w:bidi w:val="0"/>
              <w:adjustRightInd/>
              <w:spacing w:line="400" w:lineRule="exact"/>
              <w:ind w:firstLine="29" w:firstLineChars="14"/>
              <w:jc w:val="left"/>
              <w:textAlignment w:val="auto"/>
              <w:rPr>
                <w:rFonts w:hint="eastAsia" w:ascii="宋体" w:hAnsi="宋体" w:eastAsia="宋体" w:cs="宋体"/>
                <w:bCs/>
                <w:szCs w:val="21"/>
              </w:rPr>
            </w:pPr>
            <w:r>
              <w:rPr>
                <w:rFonts w:hint="eastAsia" w:ascii="宋体" w:hAnsi="宋体" w:eastAsia="宋体" w:cs="宋体"/>
                <w:bCs/>
              </w:rPr>
              <w:t>本项目</w:t>
            </w:r>
            <w:r>
              <w:rPr>
                <w:rFonts w:hint="eastAsia" w:ascii="宋体" w:hAnsi="宋体" w:cs="宋体"/>
                <w:bCs/>
                <w:lang w:eastAsia="zh-CN"/>
              </w:rPr>
              <w:t>采购</w:t>
            </w:r>
            <w:r>
              <w:rPr>
                <w:rFonts w:hint="eastAsia" w:ascii="宋体" w:hAnsi="宋体" w:eastAsia="宋体" w:cs="宋体"/>
                <w:bCs/>
              </w:rPr>
              <w:t>代理服务费由成交供应商支付，成交供应商必须在领取成交通知书时一次性全额支付，</w:t>
            </w:r>
            <w:r>
              <w:rPr>
                <w:rFonts w:hint="eastAsia" w:ascii="宋体" w:hAnsi="宋体" w:cs="宋体"/>
                <w:bCs/>
                <w:lang w:eastAsia="zh-CN"/>
              </w:rPr>
              <w:t>采购</w:t>
            </w:r>
            <w:r>
              <w:rPr>
                <w:rFonts w:hint="eastAsia" w:ascii="宋体" w:hAnsi="宋体" w:eastAsia="宋体" w:cs="宋体"/>
                <w:bCs/>
              </w:rPr>
              <w:t>代理服务费金额为固定金额，不随合同金额的增减而浮动。</w:t>
            </w:r>
          </w:p>
        </w:tc>
      </w:tr>
      <w:tr w14:paraId="679E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4DCEA67B">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8</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13528FE">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17.1</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05AB3676">
            <w:pPr>
              <w:pStyle w:val="22"/>
              <w:pageBreakBefore w:val="0"/>
              <w:widowControl w:val="0"/>
              <w:kinsoku/>
              <w:wordWrap/>
              <w:overflowPunct/>
              <w:topLinePunct w:val="0"/>
              <w:autoSpaceDE/>
              <w:autoSpaceDN/>
              <w:bidi w:val="0"/>
              <w:adjustRightInd/>
              <w:spacing w:before="0" w:beforeAutospacing="0" w:afterAutospacing="0" w:line="400" w:lineRule="exact"/>
              <w:jc w:val="left"/>
              <w:textAlignment w:val="auto"/>
              <w:rPr>
                <w:rFonts w:hint="eastAsia" w:ascii="宋体" w:hAnsi="宋体" w:eastAsia="宋体" w:cs="宋体"/>
                <w:b/>
                <w:sz w:val="21"/>
                <w:szCs w:val="21"/>
              </w:rPr>
            </w:pPr>
            <w:r>
              <w:rPr>
                <w:rFonts w:hint="eastAsia" w:ascii="宋体" w:hAnsi="宋体" w:eastAsia="宋体" w:cs="宋体"/>
                <w:sz w:val="21"/>
                <w:szCs w:val="21"/>
              </w:rPr>
              <w:t>现场考察</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7B22D093">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sz w:val="21"/>
                <w:szCs w:val="21"/>
              </w:rPr>
            </w:pPr>
            <w:r>
              <w:rPr>
                <w:rFonts w:hint="eastAsia" w:ascii="宋体" w:hAnsi="宋体" w:eastAsia="宋体" w:cs="宋体"/>
                <w:szCs w:val="21"/>
              </w:rPr>
              <w:t>不</w:t>
            </w:r>
            <w:r>
              <w:rPr>
                <w:rFonts w:hint="eastAsia" w:ascii="宋体" w:hAnsi="宋体" w:eastAsia="宋体" w:cs="宋体"/>
                <w:bCs/>
                <w:szCs w:val="21"/>
              </w:rPr>
              <w:t>统一</w:t>
            </w:r>
            <w:r>
              <w:rPr>
                <w:rFonts w:hint="eastAsia" w:ascii="宋体" w:hAnsi="宋体" w:eastAsia="宋体" w:cs="宋体"/>
                <w:szCs w:val="21"/>
              </w:rPr>
              <w:t>组织，供应商</w:t>
            </w:r>
            <w:r>
              <w:rPr>
                <w:rFonts w:hint="eastAsia" w:ascii="宋体" w:hAnsi="宋体" w:eastAsia="宋体" w:cs="宋体"/>
                <w:bCs/>
                <w:szCs w:val="21"/>
              </w:rPr>
              <w:t>自行考察。</w:t>
            </w:r>
          </w:p>
        </w:tc>
      </w:tr>
      <w:tr w14:paraId="28D70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right w:val="single" w:color="auto" w:sz="4" w:space="0"/>
            </w:tcBorders>
            <w:noWrap w:val="0"/>
            <w:vAlign w:val="center"/>
          </w:tcPr>
          <w:p w14:paraId="184D826D">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9</w:t>
            </w:r>
          </w:p>
        </w:tc>
        <w:tc>
          <w:tcPr>
            <w:tcW w:w="500" w:type="pct"/>
            <w:vMerge w:val="restart"/>
            <w:tcBorders>
              <w:top w:val="single" w:color="auto" w:sz="4" w:space="0"/>
              <w:left w:val="single" w:color="auto" w:sz="4" w:space="0"/>
              <w:right w:val="single" w:color="auto" w:sz="4" w:space="0"/>
            </w:tcBorders>
            <w:noWrap w:val="0"/>
            <w:vAlign w:val="center"/>
          </w:tcPr>
          <w:p w14:paraId="127C68E3">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21.1</w:t>
            </w:r>
          </w:p>
        </w:tc>
        <w:tc>
          <w:tcPr>
            <w:tcW w:w="941" w:type="pct"/>
            <w:tcBorders>
              <w:top w:val="single" w:color="auto" w:sz="4" w:space="0"/>
              <w:left w:val="single" w:color="auto" w:sz="4" w:space="0"/>
              <w:right w:val="single" w:color="auto" w:sz="4" w:space="0"/>
            </w:tcBorders>
            <w:noWrap w:val="0"/>
            <w:vAlign w:val="center"/>
          </w:tcPr>
          <w:p w14:paraId="5C446977">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资格要求响应文件的组成</w:t>
            </w:r>
          </w:p>
        </w:tc>
        <w:tc>
          <w:tcPr>
            <w:tcW w:w="3162" w:type="pct"/>
            <w:tcBorders>
              <w:top w:val="single" w:color="auto" w:sz="4" w:space="0"/>
              <w:left w:val="single" w:color="auto" w:sz="4" w:space="0"/>
              <w:right w:val="single" w:color="auto" w:sz="4" w:space="0"/>
            </w:tcBorders>
            <w:noWrap w:val="0"/>
            <w:vAlign w:val="center"/>
          </w:tcPr>
          <w:p w14:paraId="48EF6174">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1.供应商资格声明函；</w:t>
            </w:r>
          </w:p>
          <w:p w14:paraId="67735086">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2.法人或者其他组织的营业执照等登记证明文件复印件。</w:t>
            </w:r>
          </w:p>
        </w:tc>
      </w:tr>
      <w:tr w14:paraId="46FCD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right w:val="single" w:color="auto" w:sz="4" w:space="0"/>
            </w:tcBorders>
            <w:noWrap w:val="0"/>
            <w:vAlign w:val="center"/>
          </w:tcPr>
          <w:p w14:paraId="30DF67C5">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10</w:t>
            </w:r>
          </w:p>
        </w:tc>
        <w:tc>
          <w:tcPr>
            <w:tcW w:w="500" w:type="pct"/>
            <w:vMerge w:val="continue"/>
            <w:tcBorders>
              <w:left w:val="single" w:color="auto" w:sz="4" w:space="0"/>
              <w:right w:val="single" w:color="auto" w:sz="4" w:space="0"/>
            </w:tcBorders>
            <w:noWrap w:val="0"/>
            <w:vAlign w:val="center"/>
          </w:tcPr>
          <w:p w14:paraId="6579821E">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p>
        </w:tc>
        <w:tc>
          <w:tcPr>
            <w:tcW w:w="941" w:type="pct"/>
            <w:tcBorders>
              <w:top w:val="single" w:color="auto" w:sz="4" w:space="0"/>
              <w:left w:val="single" w:color="auto" w:sz="4" w:space="0"/>
              <w:right w:val="single" w:color="auto" w:sz="4" w:space="0"/>
            </w:tcBorders>
            <w:noWrap w:val="0"/>
            <w:vAlign w:val="center"/>
          </w:tcPr>
          <w:p w14:paraId="000EDD74">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商务技术文件的组成</w:t>
            </w:r>
          </w:p>
        </w:tc>
        <w:tc>
          <w:tcPr>
            <w:tcW w:w="3162" w:type="pct"/>
            <w:tcBorders>
              <w:top w:val="single" w:color="auto" w:sz="4" w:space="0"/>
              <w:left w:val="single" w:color="auto" w:sz="4" w:space="0"/>
              <w:right w:val="single" w:color="auto" w:sz="4" w:space="0"/>
            </w:tcBorders>
            <w:noWrap w:val="0"/>
            <w:vAlign w:val="center"/>
          </w:tcPr>
          <w:p w14:paraId="422B8CB8">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1.响应函；</w:t>
            </w:r>
          </w:p>
          <w:p w14:paraId="4A1D7FA1">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2.法定代表人身份证复印件（双面）或法定代表人授权委托书及其附件；</w:t>
            </w:r>
          </w:p>
          <w:p w14:paraId="0189C246">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3.商务要求响应表；</w:t>
            </w:r>
          </w:p>
          <w:p w14:paraId="4C96F224">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4.采购需求响应表；</w:t>
            </w:r>
          </w:p>
          <w:p w14:paraId="7170C098">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lang w:eastAsia="zh-CN"/>
              </w:rPr>
            </w:pPr>
            <w:r>
              <w:rPr>
                <w:rFonts w:hint="eastAsia" w:ascii="宋体" w:hAnsi="宋体" w:eastAsia="宋体" w:cs="宋体"/>
                <w:szCs w:val="21"/>
              </w:rPr>
              <w:t>5.服务方案</w:t>
            </w:r>
            <w:r>
              <w:rPr>
                <w:rFonts w:hint="eastAsia" w:ascii="宋体" w:hAnsi="宋体" w:cs="宋体"/>
                <w:szCs w:val="21"/>
                <w:lang w:eastAsia="zh-CN"/>
              </w:rPr>
              <w:t>；</w:t>
            </w:r>
          </w:p>
          <w:p w14:paraId="6A800041">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6.项目实施人员情况表；</w:t>
            </w:r>
          </w:p>
          <w:p w14:paraId="7C57DD86">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7.类似项目业绩一览表；</w:t>
            </w:r>
          </w:p>
          <w:p w14:paraId="0E84A51D">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8.与项目评审及履行合同有关的其他资料。</w:t>
            </w:r>
          </w:p>
        </w:tc>
      </w:tr>
      <w:tr w14:paraId="1B98E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right w:val="single" w:color="auto" w:sz="4" w:space="0"/>
            </w:tcBorders>
            <w:noWrap w:val="0"/>
            <w:vAlign w:val="center"/>
          </w:tcPr>
          <w:p w14:paraId="36C805EA">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11</w:t>
            </w:r>
          </w:p>
        </w:tc>
        <w:tc>
          <w:tcPr>
            <w:tcW w:w="500" w:type="pct"/>
            <w:vMerge w:val="continue"/>
            <w:tcBorders>
              <w:left w:val="single" w:color="auto" w:sz="4" w:space="0"/>
              <w:right w:val="single" w:color="auto" w:sz="4" w:space="0"/>
            </w:tcBorders>
            <w:noWrap w:val="0"/>
            <w:vAlign w:val="center"/>
          </w:tcPr>
          <w:p w14:paraId="793B2BC8">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p>
        </w:tc>
        <w:tc>
          <w:tcPr>
            <w:tcW w:w="941" w:type="pct"/>
            <w:tcBorders>
              <w:top w:val="single" w:color="auto" w:sz="4" w:space="0"/>
              <w:left w:val="single" w:color="auto" w:sz="4" w:space="0"/>
              <w:right w:val="single" w:color="auto" w:sz="4" w:space="0"/>
            </w:tcBorders>
            <w:noWrap w:val="0"/>
            <w:vAlign w:val="center"/>
          </w:tcPr>
          <w:p w14:paraId="7CAD0281">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报价要求响应文件的组成</w:t>
            </w:r>
          </w:p>
        </w:tc>
        <w:tc>
          <w:tcPr>
            <w:tcW w:w="3162" w:type="pct"/>
            <w:tcBorders>
              <w:top w:val="single" w:color="auto" w:sz="4" w:space="0"/>
              <w:left w:val="single" w:color="auto" w:sz="4" w:space="0"/>
              <w:right w:val="single" w:color="auto" w:sz="4" w:space="0"/>
            </w:tcBorders>
            <w:noWrap w:val="0"/>
            <w:vAlign w:val="center"/>
          </w:tcPr>
          <w:p w14:paraId="50B8A4B2">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开标一览表</w:t>
            </w:r>
            <w:r>
              <w:rPr>
                <w:rFonts w:hint="eastAsia" w:ascii="宋体" w:hAnsi="宋体" w:eastAsia="宋体" w:cs="宋体"/>
                <w:szCs w:val="21"/>
              </w:rPr>
              <w:t>；</w:t>
            </w:r>
          </w:p>
          <w:p w14:paraId="0DDFECEB">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2.分项报价表；</w:t>
            </w:r>
          </w:p>
          <w:p w14:paraId="42C46F90">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3.中小企业声明函；</w:t>
            </w:r>
          </w:p>
          <w:p w14:paraId="05B84909">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4.残疾人福利性单位声明函；</w:t>
            </w:r>
          </w:p>
          <w:p w14:paraId="00A0FDD8">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rPr>
            </w:pPr>
            <w:r>
              <w:rPr>
                <w:rFonts w:hint="eastAsia" w:ascii="宋体" w:hAnsi="宋体" w:eastAsia="宋体" w:cs="宋体"/>
                <w:szCs w:val="21"/>
              </w:rPr>
              <w:t>5.监狱企业证明文件。</w:t>
            </w:r>
          </w:p>
        </w:tc>
      </w:tr>
      <w:tr w14:paraId="3E2D8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6A01A93F">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12</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AD1859F">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26.1</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51D02710">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szCs w:val="21"/>
              </w:rPr>
              <w:t>响应有效期</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75B96ADA">
            <w:pPr>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Cs w:val="21"/>
              </w:rPr>
            </w:pPr>
            <w:r>
              <w:rPr>
                <w:rFonts w:hint="eastAsia" w:ascii="宋体" w:hAnsi="宋体" w:eastAsia="宋体" w:cs="宋体"/>
                <w:szCs w:val="21"/>
              </w:rPr>
              <w:t>90日历天</w:t>
            </w:r>
          </w:p>
        </w:tc>
      </w:tr>
      <w:tr w14:paraId="621EB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4E9EB1F1">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13</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C9CF759">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29.1</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170CAB28">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sz w:val="21"/>
                <w:szCs w:val="21"/>
              </w:rPr>
            </w:pPr>
            <w:r>
              <w:rPr>
                <w:rFonts w:hint="eastAsia" w:ascii="宋体" w:hAnsi="宋体" w:eastAsia="宋体" w:cs="宋体"/>
                <w:sz w:val="21"/>
                <w:szCs w:val="21"/>
              </w:rPr>
              <w:t>响应文件提交的截止时间、开启时间及地点</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521B092E">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sz w:val="21"/>
                <w:szCs w:val="21"/>
              </w:rPr>
            </w:pPr>
            <w:r>
              <w:rPr>
                <w:rFonts w:hint="eastAsia" w:ascii="宋体" w:hAnsi="宋体" w:eastAsia="宋体" w:cs="宋体"/>
                <w:sz w:val="21"/>
                <w:szCs w:val="21"/>
              </w:rPr>
              <w:t>见</w:t>
            </w:r>
            <w:r>
              <w:rPr>
                <w:rFonts w:hint="eastAsia" w:ascii="宋体" w:hAnsi="宋体" w:eastAsia="宋体" w:cs="宋体"/>
                <w:bCs/>
                <w:sz w:val="21"/>
                <w:szCs w:val="21"/>
                <w:u w:val="single"/>
              </w:rPr>
              <w:t>采购公告（采购邀请）</w:t>
            </w:r>
          </w:p>
        </w:tc>
      </w:tr>
      <w:tr w14:paraId="11575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0FD959A1">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14</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34C3D198">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31.2</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7589B0B9">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sz w:val="21"/>
                <w:szCs w:val="21"/>
              </w:rPr>
            </w:pPr>
            <w:r>
              <w:rPr>
                <w:rFonts w:hint="eastAsia" w:ascii="宋体" w:hAnsi="宋体" w:eastAsia="宋体" w:cs="宋体"/>
                <w:sz w:val="21"/>
                <w:szCs w:val="21"/>
              </w:rPr>
              <w:t>响应文件解密时间</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1D95D18A">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sz w:val="21"/>
                <w:szCs w:val="21"/>
              </w:rPr>
            </w:pPr>
            <w:r>
              <w:rPr>
                <w:rFonts w:hint="eastAsia" w:ascii="宋体" w:hAnsi="宋体" w:eastAsia="宋体" w:cs="宋体"/>
                <w:sz w:val="21"/>
                <w:szCs w:val="21"/>
              </w:rPr>
              <w:t>开启响应文件时间到达后30分钟内（以电子交易系统解密倒计时为准）</w:t>
            </w:r>
          </w:p>
        </w:tc>
      </w:tr>
      <w:tr w14:paraId="55638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61C45FD2">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15</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7F8F613">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36.1</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1F204D02">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sz w:val="21"/>
                <w:szCs w:val="21"/>
              </w:rPr>
            </w:pPr>
            <w:r>
              <w:rPr>
                <w:rFonts w:hint="eastAsia" w:ascii="宋体" w:hAnsi="宋体" w:eastAsia="宋体" w:cs="宋体"/>
                <w:sz w:val="21"/>
                <w:szCs w:val="21"/>
              </w:rPr>
              <w:t>评审方法</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4EED6536">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sz w:val="21"/>
                <w:szCs w:val="21"/>
              </w:rPr>
            </w:pPr>
            <w:r>
              <w:rPr>
                <w:rFonts w:hint="eastAsia" w:ascii="宋体" w:hAnsi="宋体" w:eastAsia="宋体" w:cs="宋体"/>
                <w:sz w:val="21"/>
                <w:szCs w:val="21"/>
              </w:rPr>
              <w:t>综合评分法</w:t>
            </w:r>
          </w:p>
        </w:tc>
      </w:tr>
      <w:tr w14:paraId="7E8FE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0B5CE059">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16</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6974AB8">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39</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7A37ECEB">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sz w:val="21"/>
                <w:szCs w:val="21"/>
              </w:rPr>
            </w:pPr>
            <w:r>
              <w:rPr>
                <w:rFonts w:hint="eastAsia" w:ascii="宋体" w:hAnsi="宋体" w:eastAsia="宋体" w:cs="宋体"/>
                <w:sz w:val="21"/>
                <w:szCs w:val="21"/>
              </w:rPr>
              <w:t>成交候选供应商的数量</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246D3A4F">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b/>
                <w:sz w:val="21"/>
                <w:szCs w:val="21"/>
                <w:lang w:eastAsia="zh-CN"/>
              </w:rPr>
            </w:pPr>
            <w:r>
              <w:rPr>
                <w:rFonts w:hint="eastAsia" w:cs="宋体"/>
                <w:sz w:val="21"/>
                <w:szCs w:val="21"/>
                <w:lang w:eastAsia="zh-CN"/>
              </w:rPr>
              <w:t>三家</w:t>
            </w:r>
          </w:p>
        </w:tc>
      </w:tr>
      <w:tr w14:paraId="6C8B6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58265EC6">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17</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BDB02EF">
            <w:pPr>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rPr>
            </w:pPr>
            <w:r>
              <w:rPr>
                <w:rFonts w:hint="eastAsia" w:ascii="宋体" w:hAnsi="宋体" w:eastAsia="宋体" w:cs="宋体"/>
                <w:szCs w:val="21"/>
              </w:rPr>
              <w:t>41</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575D91FD">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成交供应商的确定</w:t>
            </w:r>
          </w:p>
        </w:tc>
        <w:tc>
          <w:tcPr>
            <w:tcW w:w="3162" w:type="pct"/>
            <w:tcBorders>
              <w:top w:val="single" w:color="auto" w:sz="4" w:space="0"/>
              <w:left w:val="single" w:color="auto" w:sz="4" w:space="0"/>
              <w:bottom w:val="single" w:color="auto" w:sz="4" w:space="0"/>
              <w:right w:val="single" w:color="auto" w:sz="4" w:space="0"/>
            </w:tcBorders>
            <w:noWrap w:val="0"/>
            <w:vAlign w:val="center"/>
          </w:tcPr>
          <w:p w14:paraId="3ADEA808">
            <w:pPr>
              <w:pStyle w:val="22"/>
              <w:pageBreakBefore w:val="0"/>
              <w:widowControl w:val="0"/>
              <w:kinsoku/>
              <w:wordWrap/>
              <w:overflowPunct/>
              <w:topLinePunct w:val="0"/>
              <w:autoSpaceDE/>
              <w:autoSpaceDN/>
              <w:bidi w:val="0"/>
              <w:adjustRightInd/>
              <w:spacing w:before="0" w:beforeAutospacing="0" w:afterAutospacing="0"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采购人确定</w:t>
            </w:r>
          </w:p>
        </w:tc>
      </w:tr>
    </w:tbl>
    <w:p w14:paraId="1D8130A2">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szCs w:val="21"/>
        </w:rPr>
      </w:pPr>
    </w:p>
    <w:p w14:paraId="169112C3">
      <w:pPr>
        <w:pStyle w:val="5"/>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40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一、总则</w:t>
      </w:r>
    </w:p>
    <w:p w14:paraId="35EB3D79">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1.适用范围</w:t>
      </w:r>
    </w:p>
    <w:p w14:paraId="674AF5EA">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1.1本磋商文件适用于本次磋商采购所述的服务采购。</w:t>
      </w:r>
    </w:p>
    <w:p w14:paraId="0A2DE3B9">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iCs/>
          <w:szCs w:val="21"/>
        </w:rPr>
      </w:pPr>
      <w:r>
        <w:rPr>
          <w:rFonts w:hint="eastAsia" w:ascii="宋体" w:hAnsi="宋体" w:eastAsia="宋体" w:cs="宋体"/>
          <w:bCs/>
          <w:iCs/>
          <w:szCs w:val="21"/>
        </w:rPr>
        <w:t>1.2合格的响应货物或服务：</w:t>
      </w:r>
    </w:p>
    <w:p w14:paraId="117DD42A">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iCs/>
          <w:szCs w:val="21"/>
        </w:rPr>
      </w:pPr>
      <w:r>
        <w:rPr>
          <w:rFonts w:hint="eastAsia" w:ascii="宋体" w:hAnsi="宋体" w:eastAsia="宋体" w:cs="宋体"/>
          <w:bCs/>
          <w:iCs/>
          <w:szCs w:val="21"/>
        </w:rPr>
        <w:t>1.2.1应该是中国境内生产的货物或提供的服务。</w:t>
      </w:r>
    </w:p>
    <w:p w14:paraId="0C1F11B7">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iCs/>
          <w:szCs w:val="21"/>
        </w:rPr>
      </w:pPr>
      <w:r>
        <w:rPr>
          <w:rFonts w:hint="eastAsia" w:ascii="宋体" w:hAnsi="宋体" w:eastAsia="宋体" w:cs="宋体"/>
          <w:bCs/>
          <w:iCs/>
          <w:szCs w:val="21"/>
        </w:rPr>
        <w:t>若响应货物或服务是国家实行许可证制度或生产注册证制度的产品或服务，则应具备相应有效的证书。磋商文件允许采购进口产品的，若响应货物是进口产品，供应商应保证所投产品为可履行合法报通关手续进入中国关境内、在中国海关完税的可合法销售的货物。</w:t>
      </w:r>
    </w:p>
    <w:p w14:paraId="506040BB">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iCs/>
          <w:szCs w:val="21"/>
        </w:rPr>
      </w:pPr>
      <w:r>
        <w:rPr>
          <w:rFonts w:hint="eastAsia" w:ascii="宋体" w:hAnsi="宋体" w:eastAsia="宋体" w:cs="宋体"/>
          <w:bCs/>
          <w:iCs/>
          <w:szCs w:val="21"/>
        </w:rPr>
        <w:t>1.2.2国家规定有标准及规范的，响应货物或服务应按有效的标准及规范执行，应符合国家及采购文件提出的有关技术、质量、安全标准。</w:t>
      </w:r>
    </w:p>
    <w:p w14:paraId="37C36DEC">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bCs/>
          <w:iCs/>
          <w:szCs w:val="21"/>
        </w:rPr>
        <w:t>1.2.3供应商应保证所提供的产品或服务免受第三方提出侵犯其知识产权（专利权、商标权、工业设计权及使用权等）的索赔或起诉，否则，由此可能产生的一切法律责任和经济责任均由供应商承担。</w:t>
      </w:r>
    </w:p>
    <w:p w14:paraId="7F8D16E3">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2.定义</w:t>
      </w:r>
    </w:p>
    <w:p w14:paraId="76D99DDF">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2.1书面形式：包括信件、电报、电传、传真等可以有形地表现所载内容的形式。以电子数据交换、电子邮件等方式能够有形地表现所载内容，并可以随时调取查用的数据电文，视为书面形式。</w:t>
      </w:r>
    </w:p>
    <w:p w14:paraId="6ADAF987">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2.2实质性条款：标注“★”的属于磋商文件的实质性要求条款。</w:t>
      </w:r>
    </w:p>
    <w:p w14:paraId="761E1AFA">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2.3公章:供应商在响应文件及通知等事项的书面文件中的单位盖章、公章等处，均仅指与磋商响应当事人名称全称相一致的标准公章（行政章），不得使用其它形式，如带有“专用章”“业务章”等字样的印章。</w:t>
      </w:r>
    </w:p>
    <w:p w14:paraId="0E0E2599">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2.4电子签章：为供应商单位法定名称电子公章。</w:t>
      </w:r>
    </w:p>
    <w:p w14:paraId="3FD9A98E">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2.5依法获取磋商文件：供应商按照</w:t>
      </w:r>
      <w:r>
        <w:rPr>
          <w:rFonts w:hint="eastAsia" w:ascii="宋体" w:hAnsi="宋体" w:eastAsia="宋体" w:cs="宋体"/>
          <w:bCs/>
          <w:szCs w:val="21"/>
          <w:u w:val="single"/>
        </w:rPr>
        <w:t>采购公告（采购邀请）</w:t>
      </w:r>
      <w:r>
        <w:rPr>
          <w:rFonts w:hint="eastAsia" w:ascii="宋体" w:hAnsi="宋体" w:eastAsia="宋体" w:cs="宋体"/>
          <w:bCs/>
          <w:szCs w:val="21"/>
        </w:rPr>
        <w:t>第三条的约定实施，并最终在</w:t>
      </w:r>
      <w:r>
        <w:rPr>
          <w:rFonts w:hint="eastAsia" w:ascii="宋体" w:hAnsi="宋体" w:eastAsia="宋体" w:cs="宋体"/>
        </w:rPr>
        <w:t>政采云平台系统后台显示通过，方可被认为已经依法获取了本项目磋商文件。</w:t>
      </w:r>
    </w:p>
    <w:p w14:paraId="729BB269">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3.采购人、采购代理机构及供应商</w:t>
      </w:r>
    </w:p>
    <w:p w14:paraId="35B8C850">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3.1采购人：是指依法开展政府采购活动的国家机关、事业单位、团体组织。本项目的采购人见</w:t>
      </w:r>
      <w:r>
        <w:rPr>
          <w:rFonts w:hint="eastAsia" w:ascii="宋体" w:hAnsi="宋体" w:eastAsia="宋体" w:cs="宋体"/>
          <w:szCs w:val="21"/>
          <w:u w:val="single"/>
        </w:rPr>
        <w:t>供应商须知前附表</w:t>
      </w:r>
      <w:r>
        <w:rPr>
          <w:rFonts w:hint="eastAsia" w:ascii="宋体" w:hAnsi="宋体" w:eastAsia="宋体" w:cs="宋体"/>
          <w:szCs w:val="21"/>
        </w:rPr>
        <w:t>。</w:t>
      </w:r>
    </w:p>
    <w:p w14:paraId="2760B4EB">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3.2采购代理机构：是指从事采购代理业务的社会中介机构。本项目的采购代理机构见</w:t>
      </w:r>
      <w:r>
        <w:rPr>
          <w:rFonts w:hint="eastAsia" w:ascii="宋体" w:hAnsi="宋体" w:eastAsia="宋体" w:cs="宋体"/>
          <w:szCs w:val="21"/>
          <w:u w:val="single"/>
        </w:rPr>
        <w:t>供应商须知前附表</w:t>
      </w:r>
      <w:r>
        <w:rPr>
          <w:rFonts w:hint="eastAsia" w:ascii="宋体" w:hAnsi="宋体" w:eastAsia="宋体" w:cs="宋体"/>
          <w:szCs w:val="21"/>
        </w:rPr>
        <w:t>。</w:t>
      </w:r>
    </w:p>
    <w:p w14:paraId="55369406">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3.3政府采购监督管理部门：各级人民政府指定的有关部门依法履行与政府采购活动有关的监督管理职责。本项目的政府采购监督管理部门见</w:t>
      </w:r>
      <w:r>
        <w:rPr>
          <w:rFonts w:hint="eastAsia" w:ascii="宋体" w:hAnsi="宋体" w:eastAsia="宋体" w:cs="宋体"/>
          <w:szCs w:val="21"/>
          <w:u w:val="single"/>
        </w:rPr>
        <w:t>供应商须知前附表</w:t>
      </w:r>
      <w:r>
        <w:rPr>
          <w:rFonts w:hint="eastAsia" w:ascii="宋体" w:hAnsi="宋体" w:eastAsia="宋体" w:cs="宋体"/>
          <w:szCs w:val="21"/>
        </w:rPr>
        <w:t>。</w:t>
      </w:r>
    </w:p>
    <w:p w14:paraId="792A07D1">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3.4供应商：是指向采购人提供货物、工程或者服务的法人、其他组织或者自然人。有能力提供本次招标产品并符合投标要求中规定资质要求的供应商，均可参加投标。</w:t>
      </w:r>
      <w:r>
        <w:rPr>
          <w:rFonts w:hint="eastAsia" w:ascii="宋体" w:hAnsi="宋体" w:eastAsia="宋体" w:cs="宋体"/>
          <w:b/>
          <w:szCs w:val="21"/>
        </w:rPr>
        <w:t>电信、银行、保险等行业实行许可证属地经营的本地分公司可直接参加许可证范围内项目的投标，本地分公司参加非许可证范围内项目投标的须提供公司的授权。</w:t>
      </w:r>
      <w:r>
        <w:rPr>
          <w:rFonts w:hint="eastAsia" w:ascii="宋体" w:hAnsi="宋体" w:eastAsia="宋体" w:cs="宋体"/>
          <w:szCs w:val="21"/>
        </w:rPr>
        <w:t>本项目的供应商须满足</w:t>
      </w:r>
      <w:r>
        <w:rPr>
          <w:rFonts w:hint="eastAsia" w:ascii="宋体" w:hAnsi="宋体" w:eastAsia="宋体" w:cs="宋体"/>
          <w:szCs w:val="21"/>
          <w:u w:val="single"/>
        </w:rPr>
        <w:t>采购公告（采购邀请）</w:t>
      </w:r>
      <w:r>
        <w:rPr>
          <w:rFonts w:hint="eastAsia" w:ascii="宋体" w:hAnsi="宋体" w:eastAsia="宋体" w:cs="宋体"/>
          <w:szCs w:val="21"/>
        </w:rPr>
        <w:t>中关于申请人的资格要求的规定。</w:t>
      </w:r>
    </w:p>
    <w:p w14:paraId="362ACE78">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bookmarkStart w:id="38" w:name="_Hlk60580614"/>
      <w:r>
        <w:rPr>
          <w:rFonts w:hint="eastAsia" w:ascii="宋体" w:hAnsi="宋体" w:eastAsia="宋体" w:cs="宋体"/>
          <w:szCs w:val="21"/>
        </w:rPr>
        <w:t>若</w:t>
      </w:r>
      <w:r>
        <w:rPr>
          <w:rFonts w:hint="eastAsia" w:ascii="宋体" w:hAnsi="宋体" w:eastAsia="宋体" w:cs="宋体"/>
          <w:szCs w:val="21"/>
          <w:u w:val="single"/>
        </w:rPr>
        <w:t>供应商须知前附表</w:t>
      </w:r>
      <w:r>
        <w:rPr>
          <w:rFonts w:hint="eastAsia" w:ascii="宋体" w:hAnsi="宋体" w:eastAsia="宋体" w:cs="宋体"/>
          <w:szCs w:val="21"/>
        </w:rPr>
        <w:t>中明确本项目专门面向中小企业采购，如供应商非中小企业的，将被认定为</w:t>
      </w:r>
      <w:r>
        <w:rPr>
          <w:rFonts w:hint="eastAsia" w:ascii="宋体" w:hAnsi="宋体" w:eastAsia="宋体" w:cs="宋体"/>
          <w:b/>
          <w:szCs w:val="21"/>
        </w:rPr>
        <w:t>响应无效</w:t>
      </w:r>
      <w:r>
        <w:rPr>
          <w:rFonts w:hint="eastAsia" w:ascii="宋体" w:hAnsi="宋体" w:eastAsia="宋体" w:cs="宋体"/>
          <w:szCs w:val="21"/>
        </w:rPr>
        <w:t>。</w:t>
      </w:r>
      <w:bookmarkEnd w:id="38"/>
    </w:p>
    <w:p w14:paraId="7B111698">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bCs/>
          <w:kern w:val="0"/>
          <w:szCs w:val="21"/>
        </w:rPr>
      </w:pPr>
      <w:bookmarkStart w:id="39" w:name="_Hlk60580861"/>
      <w:r>
        <w:rPr>
          <w:rFonts w:hint="eastAsia" w:ascii="宋体" w:hAnsi="宋体" w:eastAsia="宋体" w:cs="宋体"/>
          <w:bCs/>
          <w:kern w:val="0"/>
          <w:szCs w:val="21"/>
        </w:rPr>
        <w:t>3.5若</w:t>
      </w:r>
      <w:r>
        <w:rPr>
          <w:rFonts w:hint="eastAsia" w:ascii="宋体" w:hAnsi="宋体" w:eastAsia="宋体" w:cs="宋体"/>
          <w:bCs/>
          <w:kern w:val="0"/>
          <w:szCs w:val="21"/>
          <w:u w:val="single"/>
        </w:rPr>
        <w:t>采购公告（采购邀请）</w:t>
      </w:r>
      <w:r>
        <w:rPr>
          <w:rFonts w:hint="eastAsia" w:ascii="宋体" w:hAnsi="宋体" w:eastAsia="宋体" w:cs="宋体"/>
          <w:bCs/>
          <w:kern w:val="0"/>
          <w:szCs w:val="21"/>
        </w:rPr>
        <w:t>中允许联合体磋商，对联合体规定如下：</w:t>
      </w:r>
      <w:bookmarkEnd w:id="39"/>
    </w:p>
    <w:p w14:paraId="1AB9ACC2">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（1）两个以上供应商可以组成一个磋商联合体，以一个供应商的身份共同参加政府采购。</w:t>
      </w:r>
    </w:p>
    <w:p w14:paraId="4D2A36F2">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（2）联合体各方均应符合《中华人民共和国政府采购法》第二十二条规定的条件。</w:t>
      </w:r>
    </w:p>
    <w:p w14:paraId="2A3F59CD">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（3）联合体各方应签订联合协议，明确约定联合体各方承担的工作和相应的责任，并将联合协议作为响应文件的组成提交。</w:t>
      </w:r>
    </w:p>
    <w:p w14:paraId="6501F0D8">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（4）联合体中有同类资质的供应商按照联合体分工承担相同工作的，按照资质等级较低的供应商确定资质等级。</w:t>
      </w:r>
    </w:p>
    <w:p w14:paraId="59495D48">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（5）以联合体形式参加政府采购活动的，联合体各方不得再单独参加或者与其他供应商另外组成联合体参加本项目磋商响应，否则相关响应均将被认定为</w:t>
      </w:r>
      <w:r>
        <w:rPr>
          <w:rFonts w:hint="eastAsia" w:ascii="宋体" w:hAnsi="宋体" w:eastAsia="宋体" w:cs="宋体"/>
          <w:b/>
          <w:szCs w:val="21"/>
        </w:rPr>
        <w:t>响应无效</w:t>
      </w:r>
      <w:r>
        <w:rPr>
          <w:rFonts w:hint="eastAsia" w:ascii="宋体" w:hAnsi="宋体" w:eastAsia="宋体" w:cs="宋体"/>
          <w:szCs w:val="21"/>
        </w:rPr>
        <w:t>。</w:t>
      </w:r>
    </w:p>
    <w:p w14:paraId="1F8A15BB">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（6）对联合体磋商的其他资格要求见</w:t>
      </w:r>
      <w:r>
        <w:rPr>
          <w:rFonts w:hint="eastAsia" w:ascii="宋体" w:hAnsi="宋体" w:eastAsia="宋体" w:cs="宋体"/>
          <w:bCs/>
          <w:kern w:val="0"/>
          <w:szCs w:val="21"/>
          <w:u w:val="single"/>
        </w:rPr>
        <w:t>采购公告（采购邀请）</w:t>
      </w:r>
      <w:r>
        <w:rPr>
          <w:rFonts w:hint="eastAsia" w:ascii="宋体" w:hAnsi="宋体" w:eastAsia="宋体" w:cs="宋体"/>
          <w:szCs w:val="21"/>
        </w:rPr>
        <w:t>。</w:t>
      </w:r>
    </w:p>
    <w:p w14:paraId="36A6B38D">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3.6单位负责人为同一人或者存在直接控股、管理关系的不同供应商，不得参加同一合同项下的政府采购活动。否则相关单位均将被认定为</w:t>
      </w:r>
      <w:r>
        <w:rPr>
          <w:rFonts w:hint="eastAsia" w:ascii="宋体" w:hAnsi="宋体" w:eastAsia="宋体" w:cs="宋体"/>
          <w:b/>
          <w:bCs/>
          <w:szCs w:val="21"/>
        </w:rPr>
        <w:t>响应无效</w:t>
      </w:r>
      <w:r>
        <w:rPr>
          <w:rFonts w:hint="eastAsia" w:ascii="宋体" w:hAnsi="宋体" w:eastAsia="宋体" w:cs="宋体"/>
          <w:szCs w:val="21"/>
        </w:rPr>
        <w:t>。</w:t>
      </w:r>
    </w:p>
    <w:p w14:paraId="7CD4164B">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3.7为本项目提供过整体设计、规范编制或者项目管理、监理、检测等服务的供应商，不得再参加本项目的采购活动。</w:t>
      </w:r>
      <w:bookmarkStart w:id="40" w:name="_Hlk13431092"/>
      <w:r>
        <w:rPr>
          <w:rFonts w:hint="eastAsia" w:ascii="宋体" w:hAnsi="宋体" w:eastAsia="宋体" w:cs="宋体"/>
          <w:szCs w:val="21"/>
        </w:rPr>
        <w:t>否则将被认定为</w:t>
      </w:r>
      <w:r>
        <w:rPr>
          <w:rFonts w:hint="eastAsia" w:ascii="宋体" w:hAnsi="宋体" w:eastAsia="宋体" w:cs="宋体"/>
          <w:b/>
          <w:szCs w:val="21"/>
        </w:rPr>
        <w:t>响应无效</w:t>
      </w:r>
      <w:r>
        <w:rPr>
          <w:rFonts w:hint="eastAsia" w:ascii="宋体" w:hAnsi="宋体" w:eastAsia="宋体" w:cs="宋体"/>
          <w:szCs w:val="21"/>
        </w:rPr>
        <w:t>。</w:t>
      </w:r>
      <w:bookmarkEnd w:id="40"/>
    </w:p>
    <w:p w14:paraId="7960F28A">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b/>
          <w:szCs w:val="21"/>
        </w:rPr>
      </w:pPr>
      <w:r>
        <w:rPr>
          <w:rFonts w:hint="eastAsia" w:ascii="宋体" w:hAnsi="宋体" w:eastAsia="宋体" w:cs="宋体"/>
          <w:b/>
          <w:szCs w:val="21"/>
        </w:rPr>
        <w:t>4.资金来源</w:t>
      </w:r>
    </w:p>
    <w:p w14:paraId="2E438AB2">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4.1本项目的采购人已获得足以支付本次采购后所签订的合同项下的资金。</w:t>
      </w:r>
    </w:p>
    <w:p w14:paraId="3FF407AA">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bookmarkStart w:id="41" w:name="_Hlk11702998"/>
      <w:r>
        <w:rPr>
          <w:rFonts w:hint="eastAsia" w:ascii="宋体" w:hAnsi="宋体" w:eastAsia="宋体" w:cs="宋体"/>
          <w:szCs w:val="21"/>
        </w:rPr>
        <w:t>4.2项目预算金额最高限价见</w:t>
      </w:r>
      <w:r>
        <w:rPr>
          <w:rFonts w:hint="eastAsia" w:ascii="宋体" w:hAnsi="宋体" w:eastAsia="宋体" w:cs="宋体"/>
          <w:bCs/>
          <w:kern w:val="0"/>
          <w:szCs w:val="21"/>
          <w:u w:val="single"/>
        </w:rPr>
        <w:t>采购公告（采购邀请）</w:t>
      </w:r>
      <w:r>
        <w:rPr>
          <w:rFonts w:hint="eastAsia" w:ascii="宋体" w:hAnsi="宋体" w:eastAsia="宋体" w:cs="宋体"/>
          <w:szCs w:val="21"/>
        </w:rPr>
        <w:t>。</w:t>
      </w:r>
      <w:bookmarkEnd w:id="41"/>
    </w:p>
    <w:p w14:paraId="50FD9DC5">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5.磋商委托</w:t>
      </w:r>
    </w:p>
    <w:p w14:paraId="08439AD8">
      <w:pPr>
        <w:pStyle w:val="23"/>
        <w:keepNext w:val="0"/>
        <w:keepLines w:val="0"/>
        <w:pageBreakBefore w:val="0"/>
        <w:widowControl w:val="0"/>
        <w:kinsoku/>
        <w:wordWrap/>
        <w:overflowPunct/>
        <w:topLinePunct w:val="0"/>
        <w:autoSpaceDE/>
        <w:autoSpaceDN/>
        <w:bidi w:val="0"/>
        <w:spacing w:afterLines="0" w:line="40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响应文件的签署人应当为供应商的法定代表人，并在响应文件中提供法定代表人身份证正反面复印件。如供应商的法定代表人委托他人签署响应文件办理磋商响应事务的，响应文件中必须提供供应商的法定代表人出具的授权委托书及授权代表的身份证正反面复印件。</w:t>
      </w:r>
    </w:p>
    <w:p w14:paraId="794D5C63">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6.磋商费用</w:t>
      </w:r>
    </w:p>
    <w:p w14:paraId="02B242D9">
      <w:pPr>
        <w:pStyle w:val="23"/>
        <w:keepNext w:val="0"/>
        <w:keepLines w:val="0"/>
        <w:pageBreakBefore w:val="0"/>
        <w:widowControl w:val="0"/>
        <w:kinsoku/>
        <w:wordWrap/>
        <w:overflowPunct/>
        <w:topLinePunct w:val="0"/>
        <w:autoSpaceDE/>
        <w:autoSpaceDN/>
        <w:bidi w:val="0"/>
        <w:spacing w:afterLines="0" w:line="40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不论磋商的结果如何，供应商自行承担所有与准备和参加磋商有关的费用。</w:t>
      </w:r>
    </w:p>
    <w:p w14:paraId="5FBE385F">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7.适用法律</w:t>
      </w:r>
    </w:p>
    <w:p w14:paraId="2197F752">
      <w:pPr>
        <w:pStyle w:val="23"/>
        <w:keepNext w:val="0"/>
        <w:keepLines w:val="0"/>
        <w:pageBreakBefore w:val="0"/>
        <w:widowControl w:val="0"/>
        <w:kinsoku/>
        <w:wordWrap/>
        <w:overflowPunct/>
        <w:topLinePunct w:val="0"/>
        <w:autoSpaceDE/>
        <w:autoSpaceDN/>
        <w:bidi w:val="0"/>
        <w:spacing w:afterLines="0" w:line="40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0B42B752">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8.知识产权</w:t>
      </w:r>
    </w:p>
    <w:p w14:paraId="12BBF3E0">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8.1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625AA651">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8.2供应商采用自身所不拥有的知识产权，无论是否在报价中单独列明，采购人均视为报价已包含供应商合法获取该知识产权的相关费用。</w:t>
      </w:r>
    </w:p>
    <w:p w14:paraId="5DD4A4A4">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9.转包与分包</w:t>
      </w:r>
    </w:p>
    <w:p w14:paraId="7AB6D8A0">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本项目依法不允许转包。成交供应商可以依法采取分包方式履行合同。政府采购合同分包履行的，成交供应商就采购项目和分包项目向采购人负责，分包供应商就分包项目承担责任。</w:t>
      </w:r>
    </w:p>
    <w:p w14:paraId="79B36B4D">
      <w:pPr>
        <w:keepNext w:val="0"/>
        <w:keepLines w:val="0"/>
        <w:pageBreakBefore w:val="0"/>
        <w:tabs>
          <w:tab w:val="left" w:pos="426"/>
        </w:tabs>
        <w:kinsoku/>
        <w:wordWrap/>
        <w:overflowPunct/>
        <w:topLinePunct w:val="0"/>
        <w:autoSpaceDE/>
        <w:autoSpaceDN/>
        <w:bidi w:val="0"/>
        <w:snapToGrid w:val="0"/>
        <w:spacing w:line="400" w:lineRule="exact"/>
        <w:ind w:left="0" w:leftChars="0" w:firstLine="422" w:firstLineChars="200"/>
        <w:textAlignment w:val="auto"/>
        <w:rPr>
          <w:rFonts w:hint="eastAsia" w:ascii="宋体" w:hAnsi="宋体" w:eastAsia="宋体" w:cs="宋体"/>
          <w:b/>
          <w:kern w:val="0"/>
          <w:szCs w:val="21"/>
        </w:rPr>
      </w:pPr>
      <w:r>
        <w:rPr>
          <w:rFonts w:hint="eastAsia" w:ascii="宋体" w:hAnsi="宋体" w:eastAsia="宋体" w:cs="宋体"/>
          <w:b/>
          <w:kern w:val="0"/>
          <w:szCs w:val="21"/>
        </w:rPr>
        <w:t>10.质疑和投诉</w:t>
      </w:r>
    </w:p>
    <w:p w14:paraId="5AE91787">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10.1供应商认为磋商文件、采购过程和成交结果使自己的权益受到损害的，可以根据《中华人民共和国政府采购法》《中华人民共和国政府采购法实施条例》和《政府采购质疑和投诉办法》的有关规定，依法向采购人或采购代理机构提出质疑。</w:t>
      </w:r>
    </w:p>
    <w:p w14:paraId="03DF07A2">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10.2供应商应按《第七章  政府采购供应商质疑函及投诉书格式》提供的格式和《政府采购质疑和投诉办法》的要求，在法定质疑期内以书面形式提出质疑，超出法定质疑期提交的质疑将被拒绝。针对同一采购程序环节的质疑应一次性提出。</w:t>
      </w:r>
    </w:p>
    <w:p w14:paraId="11CC0725">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10.3采购代理机构质疑函接收部门、联系电话和通讯地址，见</w:t>
      </w:r>
      <w:r>
        <w:rPr>
          <w:rFonts w:hint="eastAsia" w:ascii="宋体" w:hAnsi="宋体" w:eastAsia="宋体" w:cs="宋体"/>
          <w:sz w:val="21"/>
          <w:szCs w:val="21"/>
          <w:u w:val="single"/>
        </w:rPr>
        <w:t>供应商须知前附表</w:t>
      </w:r>
      <w:r>
        <w:rPr>
          <w:rFonts w:hint="eastAsia" w:ascii="宋体" w:hAnsi="宋体" w:eastAsia="宋体" w:cs="宋体"/>
          <w:sz w:val="21"/>
          <w:szCs w:val="21"/>
        </w:rPr>
        <w:t>。</w:t>
      </w:r>
    </w:p>
    <w:p w14:paraId="76EB1A6D">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11.信用记录查询及使用</w:t>
      </w:r>
    </w:p>
    <w:p w14:paraId="017F39D8">
      <w:pPr>
        <w:pStyle w:val="9"/>
        <w:keepNext w:val="0"/>
        <w:keepLines w:val="0"/>
        <w:pageBreakBefore w:val="0"/>
        <w:kinsoku/>
        <w:wordWrap/>
        <w:overflowPunct/>
        <w:topLinePunct w:val="0"/>
        <w:autoSpaceDE/>
        <w:autoSpaceDN/>
        <w:bidi w:val="0"/>
        <w:snapToGrid w:val="0"/>
        <w:spacing w:after="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11.1信用信息查询渠道：“信用中国”网站（www.creditchina.gov.cn）、中国政府采购网（www.ccgp.gov.cn）。</w:t>
      </w:r>
    </w:p>
    <w:p w14:paraId="617D977C">
      <w:pPr>
        <w:pStyle w:val="9"/>
        <w:keepNext w:val="0"/>
        <w:keepLines w:val="0"/>
        <w:pageBreakBefore w:val="0"/>
        <w:kinsoku/>
        <w:wordWrap/>
        <w:overflowPunct/>
        <w:topLinePunct w:val="0"/>
        <w:autoSpaceDE/>
        <w:autoSpaceDN/>
        <w:bidi w:val="0"/>
        <w:snapToGrid w:val="0"/>
        <w:spacing w:after="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11.2信息查询截止时点：响应截止时间后至评审结束前。</w:t>
      </w:r>
    </w:p>
    <w:p w14:paraId="16837BE1">
      <w:pPr>
        <w:pStyle w:val="9"/>
        <w:keepNext w:val="0"/>
        <w:keepLines w:val="0"/>
        <w:pageBreakBefore w:val="0"/>
        <w:kinsoku/>
        <w:wordWrap/>
        <w:overflowPunct/>
        <w:topLinePunct w:val="0"/>
        <w:autoSpaceDE/>
        <w:autoSpaceDN/>
        <w:bidi w:val="0"/>
        <w:snapToGrid w:val="0"/>
        <w:spacing w:after="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11.3信用信息查询记录和证据留存的具体方式：由采购代理机构工作人员将查询网页打印、签字并与其他采购文件一并存档备查。</w:t>
      </w:r>
    </w:p>
    <w:p w14:paraId="6C0AD6E5">
      <w:pPr>
        <w:pStyle w:val="9"/>
        <w:keepNext w:val="0"/>
        <w:keepLines w:val="0"/>
        <w:pageBreakBefore w:val="0"/>
        <w:kinsoku/>
        <w:wordWrap/>
        <w:overflowPunct/>
        <w:topLinePunct w:val="0"/>
        <w:autoSpaceDE/>
        <w:autoSpaceDN/>
        <w:bidi w:val="0"/>
        <w:snapToGrid w:val="0"/>
        <w:spacing w:after="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供应商不良信用记录以采购代理机构查询结果为准。</w:t>
      </w:r>
      <w:bookmarkStart w:id="42" w:name="_Hlk24663338"/>
      <w:r>
        <w:rPr>
          <w:rFonts w:hint="eastAsia" w:ascii="宋体" w:hAnsi="宋体" w:eastAsia="宋体" w:cs="宋体"/>
          <w:sz w:val="21"/>
          <w:szCs w:val="21"/>
        </w:rPr>
        <w:t>在磋商文件规定的查询时间之外，网站信息发生的任何变更均不作为资格审查依据。</w:t>
      </w:r>
      <w:bookmarkEnd w:id="42"/>
      <w:r>
        <w:rPr>
          <w:rFonts w:hint="eastAsia" w:ascii="宋体" w:hAnsi="宋体" w:eastAsia="宋体" w:cs="宋体"/>
          <w:sz w:val="21"/>
          <w:szCs w:val="21"/>
        </w:rPr>
        <w:t>供应商自行提供的网站查询结果材料亦不作为资格审查依据。</w:t>
      </w:r>
    </w:p>
    <w:p w14:paraId="7313FDEF">
      <w:pPr>
        <w:pStyle w:val="9"/>
        <w:keepNext w:val="0"/>
        <w:keepLines w:val="0"/>
        <w:pageBreakBefore w:val="0"/>
        <w:kinsoku/>
        <w:wordWrap/>
        <w:overflowPunct/>
        <w:topLinePunct w:val="0"/>
        <w:autoSpaceDE/>
        <w:autoSpaceDN/>
        <w:bidi w:val="0"/>
        <w:snapToGrid w:val="0"/>
        <w:spacing w:after="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11.4信用信息的使用规则：供应商存在不良信用记录的，其磋商响应将被认定为</w:t>
      </w:r>
      <w:r>
        <w:rPr>
          <w:rFonts w:hint="eastAsia" w:ascii="宋体" w:hAnsi="宋体" w:eastAsia="宋体" w:cs="宋体"/>
          <w:b/>
          <w:sz w:val="21"/>
          <w:szCs w:val="21"/>
        </w:rPr>
        <w:t>响应无效</w:t>
      </w:r>
      <w:r>
        <w:rPr>
          <w:rFonts w:hint="eastAsia" w:ascii="宋体" w:hAnsi="宋体" w:eastAsia="宋体" w:cs="宋体"/>
          <w:sz w:val="21"/>
          <w:szCs w:val="21"/>
        </w:rPr>
        <w:t>。</w:t>
      </w:r>
    </w:p>
    <w:p w14:paraId="6527982C">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以联合体形式参加磋商的，联合体任何成员存在不良信用记录的，联合体将被认定为</w:t>
      </w:r>
      <w:r>
        <w:rPr>
          <w:rFonts w:hint="eastAsia" w:ascii="宋体" w:hAnsi="宋体" w:eastAsia="宋体" w:cs="宋体"/>
          <w:b/>
          <w:szCs w:val="21"/>
        </w:rPr>
        <w:t>响应无效</w:t>
      </w:r>
      <w:r>
        <w:rPr>
          <w:rFonts w:hint="eastAsia" w:ascii="宋体" w:hAnsi="宋体" w:eastAsia="宋体" w:cs="宋体"/>
          <w:szCs w:val="21"/>
        </w:rPr>
        <w:t>。</w:t>
      </w:r>
    </w:p>
    <w:p w14:paraId="08CAC7FC">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szCs w:val="21"/>
        </w:rPr>
      </w:pPr>
      <w:r>
        <w:rPr>
          <w:rFonts w:hint="eastAsia" w:ascii="宋体" w:hAnsi="宋体" w:eastAsia="宋体" w:cs="宋体"/>
          <w:b/>
          <w:szCs w:val="21"/>
        </w:rPr>
        <w:t>12.政府采购信息发布媒体</w:t>
      </w:r>
    </w:p>
    <w:p w14:paraId="2D0D46B3">
      <w:pPr>
        <w:pStyle w:val="9"/>
        <w:keepNext w:val="0"/>
        <w:keepLines w:val="0"/>
        <w:pageBreakBefore w:val="0"/>
        <w:kinsoku/>
        <w:wordWrap/>
        <w:overflowPunct/>
        <w:topLinePunct w:val="0"/>
        <w:autoSpaceDE/>
        <w:autoSpaceDN/>
        <w:bidi w:val="0"/>
        <w:snapToGrid w:val="0"/>
        <w:spacing w:after="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本项目政府采购信息发布在</w:t>
      </w:r>
      <w:r>
        <w:rPr>
          <w:rFonts w:hint="eastAsia" w:ascii="宋体" w:hAnsi="宋体" w:eastAsia="宋体" w:cs="宋体"/>
          <w:bCs/>
          <w:sz w:val="21"/>
          <w:szCs w:val="21"/>
        </w:rPr>
        <w:t>宁波政府采购网（https://zfcg.czj.ningbo.gov.cn/）、浙江政府采购网（https://zfcg.czt.zj.gov.cn/）、宁波市国际招标有限公司网（http://www.nbbidding.com）。</w:t>
      </w:r>
    </w:p>
    <w:p w14:paraId="6E7254F5">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13.采购代理服务费用的收取标准和方式</w:t>
      </w:r>
    </w:p>
    <w:p w14:paraId="5481E07F">
      <w:pPr>
        <w:pStyle w:val="9"/>
        <w:keepNext w:val="0"/>
        <w:keepLines w:val="0"/>
        <w:pageBreakBefore w:val="0"/>
        <w:kinsoku/>
        <w:wordWrap/>
        <w:overflowPunct/>
        <w:topLinePunct w:val="0"/>
        <w:autoSpaceDE/>
        <w:autoSpaceDN/>
        <w:bidi w:val="0"/>
        <w:snapToGrid w:val="0"/>
        <w:spacing w:after="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13.1采购代理服务费用的收取标准：见</w:t>
      </w:r>
      <w:r>
        <w:rPr>
          <w:rFonts w:hint="eastAsia" w:ascii="宋体" w:hAnsi="宋体" w:eastAsia="宋体" w:cs="宋体"/>
          <w:sz w:val="21"/>
          <w:szCs w:val="21"/>
          <w:u w:val="single"/>
        </w:rPr>
        <w:t>供应商须知前附表</w:t>
      </w:r>
      <w:r>
        <w:rPr>
          <w:rFonts w:hint="eastAsia" w:ascii="宋体" w:hAnsi="宋体" w:eastAsia="宋体" w:cs="宋体"/>
          <w:sz w:val="21"/>
          <w:szCs w:val="21"/>
        </w:rPr>
        <w:t>。</w:t>
      </w:r>
    </w:p>
    <w:p w14:paraId="529CEBA2">
      <w:pPr>
        <w:pStyle w:val="9"/>
        <w:keepNext w:val="0"/>
        <w:keepLines w:val="0"/>
        <w:pageBreakBefore w:val="0"/>
        <w:kinsoku/>
        <w:wordWrap/>
        <w:overflowPunct/>
        <w:topLinePunct w:val="0"/>
        <w:autoSpaceDE/>
        <w:autoSpaceDN/>
        <w:bidi w:val="0"/>
        <w:snapToGrid w:val="0"/>
        <w:spacing w:after="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13.2采购代理服务费的支付：见</w:t>
      </w:r>
      <w:r>
        <w:rPr>
          <w:rFonts w:hint="eastAsia" w:ascii="宋体" w:hAnsi="宋体" w:eastAsia="宋体" w:cs="宋体"/>
          <w:sz w:val="21"/>
          <w:szCs w:val="21"/>
          <w:u w:val="single"/>
        </w:rPr>
        <w:t>供应商须知前附表</w:t>
      </w:r>
      <w:r>
        <w:rPr>
          <w:rFonts w:hint="eastAsia" w:ascii="宋体" w:hAnsi="宋体" w:eastAsia="宋体" w:cs="宋体"/>
          <w:sz w:val="21"/>
          <w:szCs w:val="21"/>
        </w:rPr>
        <w:t>。</w:t>
      </w:r>
    </w:p>
    <w:p w14:paraId="546045C5">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14.其他</w:t>
      </w:r>
    </w:p>
    <w:p w14:paraId="55222279">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14.1磋商文件的标题和序号只是为了查阅方便，不影响对磋商文件的理解。</w:t>
      </w:r>
    </w:p>
    <w:p w14:paraId="040C3E6B">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14.2供应商提交的响应文件针对磋商文件同一条款出现不同表述（响应）的，按照不利于供应商的标准进行认定；在合同签订或履行中发现存在上述情形的，按照有利于采购人的标准执行。</w:t>
      </w:r>
    </w:p>
    <w:p w14:paraId="0D1D723D">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14.3磋商文件要求携带原件备查的资料，如该资料可以通过互联网或者相关信息系统查询的，供应商能够当场提供账号、网址等进行查询、核实资料真伪及有关数据的，视同提供了原件。</w:t>
      </w:r>
    </w:p>
    <w:p w14:paraId="4B6F56A7">
      <w:pPr>
        <w:pStyle w:val="5"/>
        <w:keepNext w:val="0"/>
        <w:keepLines w:val="0"/>
        <w:pageBreakBefore w:val="0"/>
        <w:widowControl w:val="0"/>
        <w:numPr>
          <w:ilvl w:val="0"/>
          <w:numId w:val="0"/>
        </w:numPr>
        <w:tabs>
          <w:tab w:val="left" w:pos="720"/>
        </w:tabs>
        <w:kinsoku/>
        <w:wordWrap/>
        <w:overflowPunct/>
        <w:topLinePunct w:val="0"/>
        <w:autoSpaceDE/>
        <w:autoSpaceDN/>
        <w:bidi w:val="0"/>
        <w:snapToGrid w:val="0"/>
        <w:spacing w:line="40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二、磋商文件</w:t>
      </w:r>
    </w:p>
    <w:p w14:paraId="24B94308">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15.磋商文件的编制依据与构成</w:t>
      </w:r>
    </w:p>
    <w:p w14:paraId="61556C61">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磋商文件共七章。由下列文件以及在采购过程中发出的澄清或修改文件组成，内容如下：</w:t>
      </w:r>
    </w:p>
    <w:p w14:paraId="32E2FD7D">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第一章  采购公告</w:t>
      </w:r>
    </w:p>
    <w:p w14:paraId="0D2E3A2D">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第二章  采购需求</w:t>
      </w:r>
    </w:p>
    <w:p w14:paraId="69E83E4D">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第三章  供应商须知</w:t>
      </w:r>
    </w:p>
    <w:p w14:paraId="4D50C711">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第四章  评审方法和评审标准</w:t>
      </w:r>
    </w:p>
    <w:p w14:paraId="53FC6AB6">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第五章  合同草案条款</w:t>
      </w:r>
    </w:p>
    <w:p w14:paraId="22753A3F">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第六章  响应文件格式</w:t>
      </w:r>
    </w:p>
    <w:p w14:paraId="5FD331A8">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第七章  政府采购供应商质疑函及投诉书范本</w:t>
      </w:r>
    </w:p>
    <w:p w14:paraId="2ACC6A33">
      <w:pPr>
        <w:pStyle w:val="5"/>
        <w:keepNext w:val="0"/>
        <w:keepLines w:val="0"/>
        <w:pageBreakBefore w:val="0"/>
        <w:widowControl w:val="0"/>
        <w:numPr>
          <w:ilvl w:val="0"/>
          <w:numId w:val="0"/>
        </w:numPr>
        <w:tabs>
          <w:tab w:val="left" w:pos="720"/>
        </w:tabs>
        <w:kinsoku/>
        <w:wordWrap/>
        <w:overflowPunct/>
        <w:topLinePunct w:val="0"/>
        <w:autoSpaceDE/>
        <w:autoSpaceDN/>
        <w:bidi w:val="0"/>
        <w:snapToGrid w:val="0"/>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16.磋商文件的询问、澄清和修改</w:t>
      </w:r>
    </w:p>
    <w:p w14:paraId="7A4649D9">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16.1询问</w:t>
      </w:r>
    </w:p>
    <w:p w14:paraId="2625B70E">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供应商对磋商文件有疑问，可以向</w:t>
      </w:r>
      <w:r>
        <w:rPr>
          <w:rFonts w:hint="eastAsia" w:ascii="宋体" w:hAnsi="宋体" w:eastAsia="宋体" w:cs="宋体"/>
          <w:sz w:val="21"/>
          <w:szCs w:val="21"/>
        </w:rPr>
        <w:t>采购人或采购代理机构</w:t>
      </w:r>
      <w:r>
        <w:rPr>
          <w:rFonts w:hint="eastAsia" w:ascii="宋体" w:hAnsi="宋体" w:eastAsia="宋体" w:cs="宋体"/>
          <w:bCs/>
          <w:sz w:val="21"/>
          <w:szCs w:val="21"/>
        </w:rPr>
        <w:t>询问，</w:t>
      </w:r>
      <w:r>
        <w:rPr>
          <w:rFonts w:hint="eastAsia" w:ascii="宋体" w:hAnsi="宋体" w:eastAsia="宋体" w:cs="宋体"/>
          <w:sz w:val="21"/>
          <w:szCs w:val="21"/>
        </w:rPr>
        <w:t>采购人或采购代理机构将依法</w:t>
      </w:r>
      <w:r>
        <w:rPr>
          <w:rFonts w:hint="eastAsia" w:ascii="宋体" w:hAnsi="宋体" w:eastAsia="宋体" w:cs="宋体"/>
          <w:bCs/>
          <w:sz w:val="21"/>
          <w:szCs w:val="21"/>
        </w:rPr>
        <w:t>对潜在供应商</w:t>
      </w:r>
      <w:r>
        <w:rPr>
          <w:rFonts w:hint="eastAsia" w:ascii="宋体" w:hAnsi="宋体" w:eastAsia="宋体" w:cs="宋体"/>
          <w:sz w:val="21"/>
          <w:szCs w:val="21"/>
        </w:rPr>
        <w:t>的询问作出答复。</w:t>
      </w:r>
    </w:p>
    <w:p w14:paraId="6A004894">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16.2澄清和修改</w:t>
      </w:r>
    </w:p>
    <w:p w14:paraId="790D1FB8">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信息公告方式进行澄清、修改；不足5日的，采购人、采购代理机构将顺延提交首次响应文件截止时间。</w:t>
      </w:r>
    </w:p>
    <w:p w14:paraId="67D9480C">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（2）供应商在收到系统的澄清或修改通知后，认为澄清或者修改的内容影响响应文件编制的，应当在收到书面通知后及时将有关意见以书面形式向</w:t>
      </w:r>
      <w:r>
        <w:rPr>
          <w:rFonts w:hint="eastAsia" w:ascii="宋体" w:hAnsi="宋体" w:eastAsia="宋体" w:cs="宋体"/>
          <w:sz w:val="21"/>
          <w:szCs w:val="21"/>
        </w:rPr>
        <w:t>采购人、采购代理机构</w:t>
      </w:r>
      <w:r>
        <w:rPr>
          <w:rFonts w:hint="eastAsia" w:ascii="宋体" w:hAnsi="宋体" w:eastAsia="宋体" w:cs="宋体"/>
          <w:bCs/>
          <w:sz w:val="21"/>
          <w:szCs w:val="21"/>
        </w:rPr>
        <w:t>提出，否则，</w:t>
      </w:r>
      <w:r>
        <w:rPr>
          <w:rFonts w:hint="eastAsia" w:ascii="宋体" w:hAnsi="宋体" w:eastAsia="宋体" w:cs="宋体"/>
          <w:sz w:val="21"/>
          <w:szCs w:val="21"/>
        </w:rPr>
        <w:t>采购人、采购代理机构</w:t>
      </w:r>
      <w:r>
        <w:rPr>
          <w:rFonts w:hint="eastAsia" w:ascii="宋体" w:hAnsi="宋体" w:eastAsia="宋体" w:cs="宋体"/>
          <w:bCs/>
          <w:sz w:val="21"/>
          <w:szCs w:val="21"/>
        </w:rPr>
        <w:t>视为供应商完全接受澄清或者修改的内容，且不影响响应文件编制。</w:t>
      </w:r>
    </w:p>
    <w:p w14:paraId="33AB3349">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（3）供应商要求澄清和回复的书面材料应当加盖单位公章并注明日期。</w:t>
      </w:r>
    </w:p>
    <w:p w14:paraId="7D1E1C86">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（4）供应商必须保证获取磋商文件时所提供资料的真实和准确，并确保联系方式的畅通，否则，由此导致采购人、采购代理机构无法及时通知有关事项造成的后果由供应商自行承担。</w:t>
      </w:r>
    </w:p>
    <w:p w14:paraId="0B17B6DB">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17.现场考察及召开磋商前答疑会</w:t>
      </w:r>
    </w:p>
    <w:p w14:paraId="1F0C6C20">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17.1现场考察事项见</w:t>
      </w:r>
      <w:r>
        <w:rPr>
          <w:rFonts w:hint="eastAsia" w:ascii="宋体" w:hAnsi="宋体" w:eastAsia="宋体" w:cs="宋体"/>
          <w:sz w:val="21"/>
          <w:szCs w:val="21"/>
          <w:u w:val="single"/>
        </w:rPr>
        <w:t>供应商须知前附表</w:t>
      </w:r>
      <w:r>
        <w:rPr>
          <w:rFonts w:hint="eastAsia" w:ascii="宋体" w:hAnsi="宋体" w:eastAsia="宋体" w:cs="宋体"/>
          <w:sz w:val="21"/>
          <w:szCs w:val="21"/>
        </w:rPr>
        <w:t>。</w:t>
      </w:r>
    </w:p>
    <w:p w14:paraId="4BB6240F">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17.2供应商应当在通知的时间准时参加现场考察，否则自行承担未及时参加造成的后果。除采购人的原因外，供应商自行负责现场考察造成的自身或第三人的人身伤害、财产损失或损坏的责任。</w:t>
      </w:r>
    </w:p>
    <w:p w14:paraId="67B5EB1E">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17.3本项目不组织召开磋商前答疑会。</w:t>
      </w:r>
    </w:p>
    <w:p w14:paraId="20FB2204">
      <w:pPr>
        <w:pStyle w:val="5"/>
        <w:keepNext w:val="0"/>
        <w:keepLines w:val="0"/>
        <w:pageBreakBefore w:val="0"/>
        <w:widowControl w:val="0"/>
        <w:numPr>
          <w:ilvl w:val="0"/>
          <w:numId w:val="0"/>
        </w:numPr>
        <w:tabs>
          <w:tab w:val="left" w:pos="720"/>
        </w:tabs>
        <w:kinsoku/>
        <w:wordWrap/>
        <w:overflowPunct/>
        <w:topLinePunct w:val="0"/>
        <w:autoSpaceDE/>
        <w:autoSpaceDN/>
        <w:bidi w:val="0"/>
        <w:snapToGrid w:val="0"/>
        <w:spacing w:line="40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三、响应文件的编制</w:t>
      </w:r>
    </w:p>
    <w:p w14:paraId="6FBB60B8">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18.磋商响应范围</w:t>
      </w:r>
    </w:p>
    <w:p w14:paraId="05971023">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18.1项目有多个标项的，供应商可以对磋商文件其中某一个或几个标项进行磋商响应。</w:t>
      </w:r>
    </w:p>
    <w:p w14:paraId="02345623">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18.2供应商应当对所响应标项的“采购需求”所列的全部内容进行响应，如仅响应所响应标项中的部分内容，其对该标项的响应将被认定为</w:t>
      </w:r>
      <w:r>
        <w:rPr>
          <w:rFonts w:hint="eastAsia" w:ascii="宋体" w:hAnsi="宋体" w:eastAsia="宋体" w:cs="宋体"/>
          <w:b/>
          <w:szCs w:val="21"/>
        </w:rPr>
        <w:t>响应无效</w:t>
      </w:r>
      <w:r>
        <w:rPr>
          <w:rFonts w:hint="eastAsia" w:ascii="宋体" w:hAnsi="宋体" w:eastAsia="宋体" w:cs="宋体"/>
          <w:szCs w:val="21"/>
        </w:rPr>
        <w:t>。</w:t>
      </w:r>
    </w:p>
    <w:p w14:paraId="2B4246B2">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19.响应文件中标准和计量单位的使用</w:t>
      </w:r>
    </w:p>
    <w:p w14:paraId="7E50AE5A">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bookmarkStart w:id="43" w:name="_Hlk16458980"/>
      <w:r>
        <w:rPr>
          <w:rFonts w:hint="eastAsia" w:ascii="宋体" w:hAnsi="宋体" w:eastAsia="宋体" w:cs="宋体"/>
          <w:szCs w:val="21"/>
        </w:rPr>
        <w:t>19.1无论磋商文件中是否要求，供应商所提供的服务及伴随的货物和工程均应符合国家强制性标准。</w:t>
      </w:r>
      <w:bookmarkEnd w:id="43"/>
    </w:p>
    <w:p w14:paraId="2C8D84B2">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19.2供应商与采购人或采购代理机构之间与磋商有关的所有往来通知、函件和响应文件均用中文表述。供应商随响应文件提供的证明文件和资料可以为其它语言（文字），但必须附中文译文，未提供中文译文的视为未提供。翻译的中文资料与外文资料出现差异时，以中文为准。</w:t>
      </w:r>
    </w:p>
    <w:p w14:paraId="3CEB26F3">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19.3除磋商文件中有特殊要求外，响应文件中所使用的计量单位，应采用中华人民共和国法定计量单位。</w:t>
      </w:r>
    </w:p>
    <w:p w14:paraId="0D31013A">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20.响应文件的形式</w:t>
      </w:r>
    </w:p>
    <w:p w14:paraId="0809E0AF">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本项目采用电子响应文件形式，分为电子加密响应文件和备份响应文件两种。</w:t>
      </w:r>
    </w:p>
    <w:p w14:paraId="25D496A7">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20.1电子加密响应文件是指通过“政采云电子投标客户端”完成响应文件编制后生成并加密的数据电文形式的加密标书，后缀名为【.jmbs】。</w:t>
      </w:r>
    </w:p>
    <w:p w14:paraId="5CDA550D">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20.2备份响应文件是指与电子加密响应文件同时生成的数据电文形式的备份标书，后缀名为【.bfbs】。</w:t>
      </w:r>
    </w:p>
    <w:p w14:paraId="5F9754BF">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21.响应文件内容的构成</w:t>
      </w:r>
    </w:p>
    <w:p w14:paraId="09FEFD6E">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21.1供应商编写的响应文件应包含资格要求响应文件、商务技术文件和报价要求响应文件。</w:t>
      </w:r>
    </w:p>
    <w:p w14:paraId="162C7F25">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上述各项文件的组成内容见</w:t>
      </w:r>
      <w:r>
        <w:rPr>
          <w:rFonts w:hint="eastAsia" w:ascii="宋体" w:hAnsi="宋体" w:eastAsia="宋体" w:cs="宋体"/>
          <w:sz w:val="21"/>
          <w:szCs w:val="21"/>
          <w:u w:val="single"/>
        </w:rPr>
        <w:t>供应商须知前附表</w:t>
      </w:r>
      <w:r>
        <w:rPr>
          <w:rFonts w:hint="eastAsia" w:ascii="宋体" w:hAnsi="宋体" w:eastAsia="宋体" w:cs="宋体"/>
          <w:sz w:val="21"/>
          <w:szCs w:val="21"/>
        </w:rPr>
        <w:t>，未列入其中的内容，供应商认为需要的可以自行提供相关材料。</w:t>
      </w:r>
    </w:p>
    <w:p w14:paraId="7EC7A493">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21.2磋商文件明确要求在响应文件中附（提交）证明材料而供应商未在响应文件中提供的，不被认定为对具体条款作出响应。</w:t>
      </w:r>
      <w:r>
        <w:rPr>
          <w:rFonts w:hint="eastAsia" w:ascii="宋体" w:hAnsi="宋体" w:eastAsia="宋体" w:cs="宋体"/>
          <w:b/>
          <w:szCs w:val="21"/>
        </w:rPr>
        <w:t>提供的合同等证明材料应当是完整无删减的复印件，否则因证明材料缺少评审所需的关键或必要的信息导致无法有效认定造成不予认可的风险和责任由供应商自行承担。</w:t>
      </w:r>
    </w:p>
    <w:p w14:paraId="16A3F9CF">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22.响应文件的制作</w:t>
      </w:r>
    </w:p>
    <w:p w14:paraId="0923D173">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供应商应当安装“政采云电子投标客户端”，按照磋商文件和政采云平台的要求编制并加密响应文件。响应文件的制作应满足以下规定：</w:t>
      </w:r>
    </w:p>
    <w:p w14:paraId="5EA436EC">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（1）由供应商使用电子交易系统提供的响应文件制作工具制作生成。</w:t>
      </w:r>
    </w:p>
    <w:p w14:paraId="0A412938">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（2）供应商应完整地填写响应函、</w:t>
      </w:r>
      <w:r>
        <w:rPr>
          <w:rFonts w:hint="eastAsia" w:ascii="宋体" w:hAnsi="宋体" w:cs="宋体"/>
          <w:szCs w:val="21"/>
          <w:lang w:eastAsia="zh-CN"/>
        </w:rPr>
        <w:t>开标一览表</w:t>
      </w:r>
      <w:r>
        <w:rPr>
          <w:rFonts w:hint="eastAsia" w:ascii="宋体" w:hAnsi="宋体" w:eastAsia="宋体" w:cs="宋体"/>
          <w:szCs w:val="21"/>
        </w:rPr>
        <w:t>等磋商文件提供的格式文件，以及为响应磋商文件的实质性要求及项目评审必须提供的其他材料。</w:t>
      </w:r>
    </w:p>
    <w:p w14:paraId="41089FB4">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注：供应商应准确设置评审关联定位，避免未设置或设置错误导致响应文件被误读、漏读或者查找不到相关内容。</w:t>
      </w:r>
    </w:p>
    <w:p w14:paraId="3FA3A7CA">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23.响应文件的签署及盖章</w:t>
      </w:r>
    </w:p>
    <w:p w14:paraId="59F796E2">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b/>
          <w:szCs w:val="21"/>
        </w:rPr>
      </w:pPr>
      <w:r>
        <w:rPr>
          <w:rFonts w:hint="eastAsia" w:ascii="宋体" w:hAnsi="宋体" w:eastAsia="宋体" w:cs="宋体"/>
          <w:szCs w:val="21"/>
        </w:rPr>
        <w:t>电子签章操作指南详见《政府采购项目电子交易管理操作指南-供应商》,</w:t>
      </w:r>
      <w:r>
        <w:rPr>
          <w:rFonts w:hint="eastAsia" w:ascii="宋体" w:hAnsi="宋体" w:eastAsia="宋体" w:cs="宋体"/>
          <w:b/>
          <w:szCs w:val="21"/>
        </w:rPr>
        <w:t>系统要求进行电子签章的文件，按系统要求签章。</w:t>
      </w:r>
    </w:p>
    <w:p w14:paraId="2AED3C92">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（1）磋商文件要求签字的应当由供应商的法定代表人或其授权代表签字或盖章，</w:t>
      </w:r>
      <w:r>
        <w:rPr>
          <w:rFonts w:hint="eastAsia" w:ascii="宋体" w:hAnsi="宋体" w:eastAsia="宋体" w:cs="宋体"/>
          <w:b/>
          <w:szCs w:val="21"/>
        </w:rPr>
        <w:t>因未获取电子姓名签章无法直接在系统中进行法定代表人或其授权代表电子签名操作的，可以线下签字或盖章后扫描上传。</w:t>
      </w:r>
    </w:p>
    <w:p w14:paraId="3E44949F">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kern w:val="0"/>
          <w:szCs w:val="21"/>
        </w:rPr>
        <w:t>（2）《第六章响应文件格式》提供的相关文件要求加盖公章处，供应商均应加盖公章，</w:t>
      </w:r>
      <w:r>
        <w:rPr>
          <w:rFonts w:hint="eastAsia" w:ascii="宋体" w:hAnsi="宋体" w:eastAsia="宋体" w:cs="宋体"/>
          <w:szCs w:val="21"/>
        </w:rPr>
        <w:t>可使用电子公章在线签章。</w:t>
      </w:r>
    </w:p>
    <w:p w14:paraId="73E7ADCB">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联合体参加磋商的，除联合协议及联合体各成员单位提供的本单位证明材料外，响应文件由联合体牵头人按上述规定加盖联合体牵头人公章。</w:t>
      </w:r>
    </w:p>
    <w:p w14:paraId="55B46669">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（3）响应文件若有错、漏处等必须修改的，修改处应当加盖供应商公章或者由供应商的法定代表人或其授权代表签字或盖章，否则因此造成该修改内容不被磋商小组认定的后果由供应商承担。</w:t>
      </w:r>
    </w:p>
    <w:p w14:paraId="1F3688ED">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24.价格构成</w:t>
      </w:r>
    </w:p>
    <w:p w14:paraId="2387B955">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24.1供应商的报价应当包括满足本次磋商采购全部采购需求所要求提供的服务，包括</w:t>
      </w:r>
      <w:r>
        <w:rPr>
          <w:rFonts w:hint="eastAsia" w:ascii="宋体" w:hAnsi="宋体" w:eastAsia="宋体" w:cs="宋体"/>
        </w:rPr>
        <w:t>本项目全部完成价格（包含本项目可能发生的所有满足第二章“采购需求”的费用），应包括但不限于</w:t>
      </w:r>
      <w:r>
        <w:rPr>
          <w:rFonts w:hint="eastAsia" w:ascii="宋体" w:hAnsi="宋体" w:eastAsia="宋体" w:cs="宋体"/>
          <w:szCs w:val="21"/>
        </w:rPr>
        <w:t>人工费、资源成本、交通食宿费、项目验收费、采购代理服务费、税费、利润、合同实施过程中的应预见和不可预见费用等完成合同规定责任和义务一切费用。</w:t>
      </w:r>
      <w:r>
        <w:rPr>
          <w:rFonts w:hint="eastAsia" w:ascii="宋体" w:hAnsi="宋体" w:eastAsia="宋体" w:cs="宋体"/>
        </w:rPr>
        <w:t>供应商所投报的最终报价为供应商所能承受的整个项目的最终最低报价，如有漏项，视同已包含在其它项目中。供应商在报价时应考虑到所有报价项目，如果有遗漏，自行承担风险，采购人不再支付其它费用。</w:t>
      </w:r>
    </w:p>
    <w:p w14:paraId="5397C945">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24.2报价及结算货币均为人民币，针对本项目的报价只允许有一个，不接受有选择的或有附加条件的报价。</w:t>
      </w:r>
    </w:p>
    <w:p w14:paraId="6AA04D68">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u w:val="single"/>
        </w:rPr>
      </w:pPr>
      <w:r>
        <w:rPr>
          <w:rFonts w:hint="eastAsia" w:ascii="宋体" w:hAnsi="宋体" w:eastAsia="宋体" w:cs="宋体"/>
          <w:szCs w:val="21"/>
          <w:u w:val="single"/>
        </w:rPr>
        <w:t>24.3</w:t>
      </w:r>
      <w:r>
        <w:rPr>
          <w:rFonts w:hint="eastAsia" w:ascii="宋体" w:hAnsi="宋体" w:eastAsia="宋体" w:cs="宋体"/>
          <w:b/>
          <w:szCs w:val="21"/>
          <w:u w:val="single"/>
        </w:rPr>
        <w:t>报价不允许为0元（即赠送），报价中不允许出现0元的单项报价，否则视同赠送，采购人不予接受，按照响应无效处理。</w:t>
      </w:r>
    </w:p>
    <w:p w14:paraId="2739A8E7">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25.磋商保证金</w:t>
      </w:r>
    </w:p>
    <w:p w14:paraId="0A8189F7">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本项目无须供应商缴纳磋商保证金。</w:t>
      </w:r>
    </w:p>
    <w:p w14:paraId="49240C0B">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26.响应有效期</w:t>
      </w:r>
    </w:p>
    <w:p w14:paraId="7583116A">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26.1响应有效期为从提交响应文件截止之日算起的日历天数，响应有效期见</w:t>
      </w:r>
      <w:r>
        <w:rPr>
          <w:rFonts w:hint="eastAsia" w:ascii="宋体" w:hAnsi="宋体" w:eastAsia="宋体" w:cs="宋体"/>
          <w:sz w:val="21"/>
          <w:szCs w:val="21"/>
          <w:u w:val="single"/>
        </w:rPr>
        <w:t>供应商须知前附表</w:t>
      </w:r>
      <w:r>
        <w:rPr>
          <w:rFonts w:hint="eastAsia" w:ascii="宋体" w:hAnsi="宋体" w:eastAsia="宋体" w:cs="宋体"/>
          <w:sz w:val="21"/>
          <w:szCs w:val="21"/>
        </w:rPr>
        <w:t>。</w:t>
      </w:r>
    </w:p>
    <w:p w14:paraId="52FA3325">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kern w:val="0"/>
          <w:szCs w:val="21"/>
        </w:rPr>
      </w:pPr>
      <w:r>
        <w:rPr>
          <w:rFonts w:hint="eastAsia" w:ascii="宋体" w:hAnsi="宋体" w:eastAsia="宋体" w:cs="宋体"/>
          <w:kern w:val="0"/>
          <w:szCs w:val="21"/>
        </w:rPr>
        <w:t>26.2在响应有效期内，供应商的磋商响应保持有效，供应商不得要求撤销或修改其响应文件。</w:t>
      </w:r>
      <w:r>
        <w:rPr>
          <w:rFonts w:hint="eastAsia" w:ascii="宋体" w:hAnsi="宋体" w:eastAsia="宋体" w:cs="宋体"/>
          <w:szCs w:val="21"/>
        </w:rPr>
        <w:t>响应</w:t>
      </w:r>
      <w:r>
        <w:rPr>
          <w:rFonts w:hint="eastAsia" w:ascii="宋体" w:hAnsi="宋体" w:eastAsia="宋体" w:cs="宋体"/>
          <w:kern w:val="0"/>
          <w:szCs w:val="21"/>
        </w:rPr>
        <w:t>有效期不满足要求的，将被认定为</w:t>
      </w:r>
      <w:r>
        <w:rPr>
          <w:rFonts w:hint="eastAsia" w:ascii="宋体" w:hAnsi="宋体" w:eastAsia="宋体" w:cs="宋体"/>
          <w:b/>
          <w:kern w:val="0"/>
          <w:szCs w:val="21"/>
        </w:rPr>
        <w:t>响应无效</w:t>
      </w:r>
      <w:r>
        <w:rPr>
          <w:rFonts w:hint="eastAsia" w:ascii="宋体" w:hAnsi="宋体" w:eastAsia="宋体" w:cs="宋体"/>
          <w:kern w:val="0"/>
          <w:szCs w:val="21"/>
        </w:rPr>
        <w:t>。</w:t>
      </w:r>
    </w:p>
    <w:p w14:paraId="664149E3">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489DE312">
      <w:pPr>
        <w:pStyle w:val="5"/>
        <w:keepNext w:val="0"/>
        <w:keepLines w:val="0"/>
        <w:pageBreakBefore w:val="0"/>
        <w:widowControl w:val="0"/>
        <w:numPr>
          <w:ilvl w:val="0"/>
          <w:numId w:val="0"/>
        </w:numPr>
        <w:tabs>
          <w:tab w:val="left" w:pos="720"/>
        </w:tabs>
        <w:kinsoku/>
        <w:wordWrap/>
        <w:overflowPunct/>
        <w:topLinePunct w:val="0"/>
        <w:autoSpaceDE/>
        <w:autoSpaceDN/>
        <w:bidi w:val="0"/>
        <w:snapToGrid w:val="0"/>
        <w:spacing w:line="40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四、响应文件的提交</w:t>
      </w:r>
    </w:p>
    <w:p w14:paraId="1F9BCA2C">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27.电子加密响应文件的提交</w:t>
      </w:r>
    </w:p>
    <w:p w14:paraId="39C22CEC">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供应商应当在提交响应文件截止时间前将电子加密响应文件上传至政采云平台，成功上传后，供应商可自行打印响应文件接收回执。</w:t>
      </w:r>
    </w:p>
    <w:p w14:paraId="17BA88FD">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28.备份响应文件的提交</w:t>
      </w:r>
    </w:p>
    <w:p w14:paraId="1A72BE8D">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供应商可以在响应截止时间前提交备份响应文件。备份响应文件的载体必须密封包装，密封包装应当清楚的标明项目名称、项目编号、供应商名称并加盖公章。采购人或采购代理机构拒绝接收未按照规定密封、标注、盖章的备份响应文件。</w:t>
      </w:r>
    </w:p>
    <w:p w14:paraId="5D2FF06D">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29.响应文件提交的截止时间、开启时间及地点</w:t>
      </w:r>
    </w:p>
    <w:p w14:paraId="1059BA87">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29.1响应文件提交的截止时间、开启时间及地点见</w:t>
      </w:r>
      <w:r>
        <w:rPr>
          <w:rFonts w:hint="eastAsia" w:ascii="宋体" w:hAnsi="宋体" w:eastAsia="宋体" w:cs="宋体"/>
          <w:szCs w:val="21"/>
          <w:u w:val="single"/>
        </w:rPr>
        <w:t>采购公告（采购邀请）</w:t>
      </w:r>
      <w:r>
        <w:rPr>
          <w:rFonts w:hint="eastAsia" w:ascii="宋体" w:hAnsi="宋体" w:eastAsia="宋体" w:cs="宋体"/>
          <w:szCs w:val="21"/>
        </w:rPr>
        <w:t>。</w:t>
      </w:r>
    </w:p>
    <w:p w14:paraId="2439E105">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29.2采购人或采购代理机构可以根据项目情况，推迟响应文件提交的截止时间。在此情况下，采购人、采购代理机构和供应商受响应文件提交的截止时间约束的所有权利和义务均应延长至新的截止时间。</w:t>
      </w:r>
    </w:p>
    <w:p w14:paraId="0A07A764">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szCs w:val="21"/>
        </w:rPr>
      </w:pPr>
      <w:r>
        <w:rPr>
          <w:rFonts w:hint="eastAsia" w:ascii="宋体" w:hAnsi="宋体" w:eastAsia="宋体" w:cs="宋体"/>
          <w:b/>
          <w:szCs w:val="21"/>
        </w:rPr>
        <w:t>30.响应文件的修改和撤回</w:t>
      </w:r>
    </w:p>
    <w:p w14:paraId="6D86D531">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30.1供应商在提交响应文件截止时间前，可以对已经提交的响应文件进行补充、修改或者撤回。</w:t>
      </w:r>
    </w:p>
    <w:p w14:paraId="52FDC6AB">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szCs w:val="21"/>
        </w:rPr>
        <w:t>对已经完成传输递交的电子加密响应文件进行</w:t>
      </w:r>
      <w:r>
        <w:rPr>
          <w:rFonts w:hint="eastAsia" w:ascii="宋体" w:hAnsi="宋体" w:eastAsia="宋体" w:cs="宋体"/>
          <w:kern w:val="0"/>
          <w:szCs w:val="21"/>
        </w:rPr>
        <w:t>补充或者修改的，应当先行撤回原文件，补充、修改后重新传输递交。供应商在</w:t>
      </w:r>
      <w:r>
        <w:rPr>
          <w:rFonts w:hint="eastAsia" w:ascii="宋体" w:hAnsi="宋体" w:eastAsia="宋体" w:cs="宋体"/>
          <w:szCs w:val="21"/>
        </w:rPr>
        <w:t>提交响应文件截止时间前</w:t>
      </w:r>
      <w:r>
        <w:rPr>
          <w:rFonts w:hint="eastAsia" w:ascii="宋体" w:hAnsi="宋体" w:eastAsia="宋体" w:cs="宋体"/>
          <w:kern w:val="0"/>
          <w:szCs w:val="21"/>
        </w:rPr>
        <w:t>未重新完成传输递交的，</w:t>
      </w:r>
      <w:r>
        <w:rPr>
          <w:rFonts w:hint="eastAsia" w:ascii="宋体" w:hAnsi="宋体" w:eastAsia="宋体" w:cs="宋体"/>
          <w:b/>
          <w:kern w:val="0"/>
          <w:szCs w:val="21"/>
        </w:rPr>
        <w:t>视为撤回响应文件</w:t>
      </w:r>
      <w:r>
        <w:rPr>
          <w:rFonts w:hint="eastAsia" w:ascii="宋体" w:hAnsi="宋体" w:eastAsia="宋体" w:cs="宋体"/>
          <w:kern w:val="0"/>
          <w:szCs w:val="21"/>
        </w:rPr>
        <w:t>。</w:t>
      </w:r>
      <w:r>
        <w:rPr>
          <w:rFonts w:hint="eastAsia" w:ascii="宋体" w:hAnsi="宋体" w:eastAsia="宋体" w:cs="宋体"/>
          <w:szCs w:val="21"/>
        </w:rPr>
        <w:t>提交响应文件截止时间</w:t>
      </w:r>
      <w:r>
        <w:rPr>
          <w:rFonts w:hint="eastAsia" w:ascii="宋体" w:hAnsi="宋体" w:eastAsia="宋体" w:cs="宋体"/>
          <w:kern w:val="0"/>
          <w:szCs w:val="21"/>
        </w:rPr>
        <w:t>后递交的电子加密响应文件，电子交易平台将拒收。</w:t>
      </w:r>
    </w:p>
    <w:p w14:paraId="6FD0B1E6">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szCs w:val="21"/>
        </w:rPr>
        <w:t>30.2供应商在提交响应文件截止时间递交了需要补充或修改的电子加密响应文件的备份响应文件的，可以重新提交补充或修改后的备份响应文件。</w:t>
      </w:r>
    </w:p>
    <w:p w14:paraId="7EE35F2B">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30.3提交响应文件截止时间后，供应商不得对其响应文件进行补充、修改。</w:t>
      </w:r>
    </w:p>
    <w:p w14:paraId="61C72424">
      <w:pPr>
        <w:pStyle w:val="5"/>
        <w:keepNext w:val="0"/>
        <w:keepLines w:val="0"/>
        <w:pageBreakBefore w:val="0"/>
        <w:widowControl w:val="0"/>
        <w:numPr>
          <w:ilvl w:val="0"/>
          <w:numId w:val="0"/>
        </w:numPr>
        <w:tabs>
          <w:tab w:val="left" w:pos="720"/>
        </w:tabs>
        <w:kinsoku/>
        <w:wordWrap/>
        <w:overflowPunct/>
        <w:topLinePunct w:val="0"/>
        <w:autoSpaceDE/>
        <w:autoSpaceDN/>
        <w:bidi w:val="0"/>
        <w:snapToGrid w:val="0"/>
        <w:spacing w:line="40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五、响应文件的开启和评审程序</w:t>
      </w:r>
    </w:p>
    <w:p w14:paraId="2E03A1A9">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31.响应文件的开启</w:t>
      </w:r>
    </w:p>
    <w:p w14:paraId="3DF8FCDD">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31.1采购代理机构按磋商文件规定的时间通过电子交易平台组织磋商会议，所有供应商均应当准时在线参加。</w:t>
      </w:r>
    </w:p>
    <w:p w14:paraId="14648E6D">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31.2开启响应文件时间到达后，采购代理机构依托电子交易平台发起开始解密指令，各供应商应在30分钟内（以电子交易系统解密倒计时为准）对本单位的响应文件进行解密。</w:t>
      </w:r>
    </w:p>
    <w:p w14:paraId="3CF12E05">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31.3供应商如未在线参加开标的，</w:t>
      </w:r>
      <w:r>
        <w:rPr>
          <w:rFonts w:hint="eastAsia" w:ascii="宋体" w:hAnsi="宋体" w:eastAsia="宋体" w:cs="宋体"/>
        </w:rPr>
        <w:t>视同认可响应文件开启结果</w:t>
      </w:r>
      <w:r>
        <w:rPr>
          <w:rFonts w:hint="eastAsia" w:ascii="宋体" w:hAnsi="宋体" w:eastAsia="宋体" w:cs="宋体"/>
          <w:szCs w:val="21"/>
        </w:rPr>
        <w:t>，事后不得对</w:t>
      </w:r>
      <w:r>
        <w:rPr>
          <w:rFonts w:hint="eastAsia" w:ascii="宋体" w:hAnsi="宋体" w:eastAsia="宋体" w:cs="宋体"/>
        </w:rPr>
        <w:t>开启结果</w:t>
      </w:r>
      <w:r>
        <w:rPr>
          <w:rFonts w:hint="eastAsia" w:ascii="宋体" w:hAnsi="宋体" w:eastAsia="宋体" w:cs="宋体"/>
          <w:szCs w:val="21"/>
        </w:rPr>
        <w:t>提出异议。同时，供应商因未在线参加磋商而导致电子加密响应文件无法按时解密等一切后果由供应商自行承担。</w:t>
      </w:r>
    </w:p>
    <w:p w14:paraId="2DAF3506">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szCs w:val="21"/>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ascii="宋体" w:hAnsi="宋体" w:eastAsia="宋体" w:cs="宋体"/>
          <w:kern w:val="0"/>
          <w:szCs w:val="21"/>
        </w:rPr>
        <w:t>未按规定提交备份响应文件的</w:t>
      </w:r>
      <w:r>
        <w:rPr>
          <w:rFonts w:hint="eastAsia" w:ascii="宋体" w:hAnsi="宋体" w:eastAsia="宋体" w:cs="宋体"/>
          <w:szCs w:val="21"/>
        </w:rPr>
        <w:t>，</w:t>
      </w:r>
      <w:r>
        <w:rPr>
          <w:rFonts w:hint="eastAsia" w:ascii="宋体" w:hAnsi="宋体" w:eastAsia="宋体" w:cs="宋体"/>
          <w:b/>
          <w:szCs w:val="21"/>
        </w:rPr>
        <w:t>视为撤回响应文件</w:t>
      </w:r>
      <w:r>
        <w:rPr>
          <w:rFonts w:hint="eastAsia" w:ascii="宋体" w:hAnsi="宋体" w:eastAsia="宋体" w:cs="宋体"/>
          <w:szCs w:val="21"/>
        </w:rPr>
        <w:t>。</w:t>
      </w:r>
    </w:p>
    <w:p w14:paraId="540E284E">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电子加密响应文件已按时解密的，备份响应文件自动失效。</w:t>
      </w:r>
    </w:p>
    <w:p w14:paraId="1D4C084B">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31.5响应文件开启后不公布供应商的初次报价。</w:t>
      </w:r>
    </w:p>
    <w:p w14:paraId="66D54EF1">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31.6响应文件开启过程由采购代理机构负责记录，由参加磋商的供应商代表和相关工作人员签字确认后随采购文件一并存档。</w:t>
      </w:r>
    </w:p>
    <w:p w14:paraId="397880C7">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供应商代表对响应文件开启过程有疑义，以及认为采购人或采购代理机构相关工作人员有需要回避的情形的，应当场提出询问或者回避申请。</w:t>
      </w:r>
    </w:p>
    <w:p w14:paraId="1EA771EA">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32.资格审查及组建磋商小组</w:t>
      </w:r>
    </w:p>
    <w:p w14:paraId="0D423699">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32.1响应文件开启结束后，采购人或采购代理机构依据磋商文件中规定的内容对供应商的资格进行审查，未通过资格审查的供应商不进入磋商环节，通过资格审查的供应商不足3家的不得进行后续的磋商，但符合</w:t>
      </w:r>
      <w:r>
        <w:rPr>
          <w:rFonts w:hint="eastAsia" w:ascii="宋体" w:hAnsi="宋体" w:eastAsia="宋体" w:cs="宋体"/>
        </w:rPr>
        <w:t>《政府采购竞争性磋商采购方式管理暂行办法》第二十一条第三款和《财政部关于政府采购竞争性磋商采购方式管理暂行办法有关问题的补充通知》规定的情形，采购活动可以继续进行。</w:t>
      </w:r>
    </w:p>
    <w:p w14:paraId="3A29A8E4">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32.2磋商小组由3人及以上单数组成。</w:t>
      </w:r>
      <w:bookmarkStart w:id="88" w:name="_GoBack"/>
      <w:bookmarkEnd w:id="88"/>
    </w:p>
    <w:p w14:paraId="71A9BC8A">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33.响应文件符合性审查与澄清</w:t>
      </w:r>
    </w:p>
    <w:p w14:paraId="43682FFF">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33.1磋商小组负责对符合资格要求的供应商的响应文件进行符合性审查，以确定其是否满足磋商文件的实质性要求。</w:t>
      </w:r>
    </w:p>
    <w:p w14:paraId="7BCC40CC">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33.2磋商小组在对响应文件的有效性、完整性和响应程度进行审查时，对于响应文件中含义不明确、同类问题表述不一致或者有明显文字和计算错误的内容，以及磋商小组认为供应商的报价明显低于其他通过符合性审查供应商的报价，有可能</w:t>
      </w:r>
      <w:r>
        <w:rPr>
          <w:rFonts w:hint="eastAsia" w:ascii="宋体" w:hAnsi="宋体" w:eastAsia="宋体" w:cs="宋体"/>
          <w:szCs w:val="21"/>
          <w:shd w:val="clear" w:color="auto" w:fill="FFFFFF"/>
        </w:rPr>
        <w:t>影响产品质量或者不能诚信履约的</w:t>
      </w:r>
      <w:r>
        <w:rPr>
          <w:rFonts w:hint="eastAsia" w:ascii="宋体" w:hAnsi="宋体" w:eastAsia="宋体" w:cs="宋体"/>
          <w:szCs w:val="21"/>
        </w:rPr>
        <w:t>，磋商小组将以书面形式要求供应商作出必要的澄清、说明或者更正。</w:t>
      </w:r>
    </w:p>
    <w:p w14:paraId="360D5F93">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供应商的澄清、说明或者更正不得超出响应文件的范围或者改变响应文件的实质性内容。</w:t>
      </w:r>
    </w:p>
    <w:p w14:paraId="2AFE5848">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33.3供应商的澄清、说明或更正将作为响应文件的一部分。</w:t>
      </w:r>
    </w:p>
    <w:p w14:paraId="34A784DA">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33.4报价修正</w:t>
      </w:r>
    </w:p>
    <w:p w14:paraId="383AAFF2">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电子交易平台客户端里开标一览表录入的报价与报价要求响应文件中的</w:t>
      </w:r>
      <w:r>
        <w:rPr>
          <w:rFonts w:hint="eastAsia" w:ascii="宋体" w:hAnsi="宋体" w:cs="宋体"/>
          <w:szCs w:val="21"/>
          <w:lang w:eastAsia="zh-CN"/>
        </w:rPr>
        <w:t>开标一览表</w:t>
      </w:r>
      <w:r>
        <w:rPr>
          <w:rFonts w:hint="eastAsia" w:ascii="宋体" w:hAnsi="宋体" w:eastAsia="宋体" w:cs="宋体"/>
          <w:szCs w:val="21"/>
        </w:rPr>
        <w:t>中报价不一致的，以报价要求响应文件中的报价为准。响应文件报价出现前后不一致的，按照下列规定修正：</w:t>
      </w:r>
    </w:p>
    <w:p w14:paraId="0E8D3FF2">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（1）响应文件中报价表内容与响应文件中相应内容不一致的，以报价表为准；</w:t>
      </w:r>
    </w:p>
    <w:p w14:paraId="62A380B5">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（2）大写金额和小写金额不一致的，以大写金额为准；</w:t>
      </w:r>
    </w:p>
    <w:p w14:paraId="2B9D0DA3">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（3）单价金额小数点或者百分比有明显错位的，以报价表的总价为准，并修改单价；</w:t>
      </w:r>
    </w:p>
    <w:p w14:paraId="71E747CB">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123B71AA">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同时出现两种以上不一致的，按照前款规定的顺序修正。修正后的报价由供应商确认，经供应商确认后产生约束力，供应商不确认的，</w:t>
      </w:r>
      <w:r>
        <w:rPr>
          <w:rFonts w:hint="eastAsia" w:ascii="宋体" w:hAnsi="宋体" w:eastAsia="宋体" w:cs="宋体"/>
          <w:b/>
          <w:szCs w:val="21"/>
        </w:rPr>
        <w:t>其响应无效</w:t>
      </w:r>
      <w:r>
        <w:rPr>
          <w:rFonts w:hint="eastAsia" w:ascii="宋体" w:hAnsi="宋体" w:eastAsia="宋体" w:cs="宋体"/>
          <w:szCs w:val="21"/>
        </w:rPr>
        <w:t>。</w:t>
      </w:r>
    </w:p>
    <w:p w14:paraId="534EA1CD">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33.5提供相同品牌产品且通过资格性审查、符合性审查的不同供应商参加同一子包投标的，按一家供应商计算，评审后综合得分最高的同品牌供应商获得中标候选人推荐资格；综合得分相同的，由评审小组采取随机抽取方式确定，其他同品牌供应商不作为中标候选人。</w:t>
      </w:r>
    </w:p>
    <w:p w14:paraId="5EC0B56E">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非单一产品采购项目，多家供应商提供的核心产品品牌相同的，按上述规定处理。</w:t>
      </w:r>
    </w:p>
    <w:p w14:paraId="0C305A38">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34.响应无效</w:t>
      </w:r>
    </w:p>
    <w:p w14:paraId="69304C32">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34.1根据本磋商文件的规定，磋商小组审查供应商的响应文件是否响应了磋商文件的实质性要求。供应商不得通过修正或撤销不符合要求的偏离，从而使其磋商响应满足磋商文件要求。</w:t>
      </w:r>
    </w:p>
    <w:p w14:paraId="192F4885">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磋商小组决定响应文件的有效性只根据磋商文件的要求和响应文件内容。</w:t>
      </w:r>
    </w:p>
    <w:p w14:paraId="6BB60889">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34.2供应商存在下列情况之一的，响应无效:</w:t>
      </w:r>
    </w:p>
    <w:p w14:paraId="019E1BC5">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（1）响应文件未按磋商文件要求签署、盖章而影响响应文件效力的；</w:t>
      </w:r>
    </w:p>
    <w:p w14:paraId="3088D328">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（2）不具备磋商文件中规定的申请人的资格要求的（包括未提交有效的资格证明文件）；</w:t>
      </w:r>
    </w:p>
    <w:p w14:paraId="1E8E27CA">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（3）未对磋商文件的实质性条款作出响应（包括未按要求提交证明文件）的；</w:t>
      </w:r>
    </w:p>
    <w:p w14:paraId="7A382152">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（4）报价超过磋商文件中规定的预算金额或者最高限价或单项限价的；</w:t>
      </w:r>
    </w:p>
    <w:p w14:paraId="5FED5EEB">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（5）报价为0元（即赠送），报价中出现0元的单项报价；</w:t>
      </w:r>
    </w:p>
    <w:p w14:paraId="4F50DCFA">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（6）响应文件含有采购人不能接受的附加条件的；</w:t>
      </w:r>
    </w:p>
    <w:p w14:paraId="64D2EF71">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（7）响应文件中含有虚假材料的；</w:t>
      </w:r>
    </w:p>
    <w:p w14:paraId="064D6405">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（8）供应商违背诚实信用原则的；</w:t>
      </w:r>
    </w:p>
    <w:p w14:paraId="1CDDFC59">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（9）供应商仅提交备份响应文件的；</w:t>
      </w:r>
    </w:p>
    <w:p w14:paraId="4F79A609">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（10）两家或两家以上供应商提供的响应文件出自同一终端设备的，或在相同Internet主机分配地址（相同IP地址）获取采购文件或网上投标的，且经询标澄清供应商无令人信服的理由和可靠证据证明其合理性的。</w:t>
      </w:r>
    </w:p>
    <w:p w14:paraId="611B29F8">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（11）法律、法规和磋商文件规定的其他响应无效情形。</w:t>
      </w:r>
    </w:p>
    <w:p w14:paraId="0D3DE428">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34.3磋商小组经过审查，认定供应商虚假应标、串通投标的，有下列情形之一的，视为供应商串通投标：</w:t>
      </w:r>
    </w:p>
    <w:p w14:paraId="547FCE8A">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（1）不同供应商的响应文件由同一单位或者个人编制；</w:t>
      </w:r>
    </w:p>
    <w:p w14:paraId="0BC028A2">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（2）不同供应商委托同一单位或者个人办理投标事宜；</w:t>
      </w:r>
    </w:p>
    <w:p w14:paraId="2DA316B9">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（3）不同供应商的响应文件载明的项目管理成员或者联系人员为同一人；</w:t>
      </w:r>
    </w:p>
    <w:p w14:paraId="4F209C82">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（4）不同供应商的响应文件异常一致或者投标报价呈规律性差异；</w:t>
      </w:r>
    </w:p>
    <w:p w14:paraId="15779E24">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（5）不同供应商的响应文件相互混装。</w:t>
      </w:r>
    </w:p>
    <w:p w14:paraId="16C9D79B">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35.磋商</w:t>
      </w:r>
    </w:p>
    <w:p w14:paraId="56A373DB">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35.1磋商小组所有成员集中与单一供应商分别进行磋商，并给予所有参加磋商的供应商平等的磋商机会。</w:t>
      </w:r>
    </w:p>
    <w:p w14:paraId="40B9487E">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35.2在磋商过程中，磋商小组可以根据磋商文件和磋商情况实质性变动采购需求中的技术、服务要求以及合同草案条款，但不得变动磋商文件中的其他内容。实质性变动的内容，须经采购人代表确认。</w:t>
      </w:r>
    </w:p>
    <w:p w14:paraId="5C5621FD">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35.3对磋商文件作出的实质性变动是磋商文件的有效组成部分，磋商小组以书面形式同时通知所有参加磋商的供应商。</w:t>
      </w:r>
    </w:p>
    <w:p w14:paraId="679331E4">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35.4供应商应当按照磋商文件的变动情况和磋商小组的要求重新提交响应文件，并由其法定代表人或授权代表签字或者加盖公章。</w:t>
      </w:r>
    </w:p>
    <w:p w14:paraId="4732BDC0">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35.5磋商文件能够详细列明采购标的的技术、服务要求的，磋商结束后，磋商小组将要求所有实质性响应的供应商在规定时间内提交最后报价。</w:t>
      </w:r>
    </w:p>
    <w:p w14:paraId="7957BC1E">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3413FA91">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采购人没有实质性变动磋商文件采购需求中的技术、服务要求以及合同草案条款的，供应商的最后报价不得高于初次报价，</w:t>
      </w:r>
      <w:r>
        <w:rPr>
          <w:rFonts w:hint="eastAsia" w:ascii="宋体" w:hAnsi="宋体" w:eastAsia="宋体" w:cs="宋体"/>
          <w:b/>
          <w:szCs w:val="21"/>
        </w:rPr>
        <w:t>否则按照响应无效处理。</w:t>
      </w:r>
    </w:p>
    <w:p w14:paraId="27BCD5F1">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最后报价是供应商响应文件的有效组成部分。符合《政府采购竞争性磋商采购方式管理暂行办法》第三条第四项情形的，提交最后报价的供应商可以为2家。</w:t>
      </w:r>
    </w:p>
    <w:p w14:paraId="7C71DEE4">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35.6已提交响应文件的供应商，在提交最后报价之前，可以根据磋商情况退出磋商。</w:t>
      </w:r>
    </w:p>
    <w:p w14:paraId="464D07E2">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36.比较与评价</w:t>
      </w:r>
    </w:p>
    <w:p w14:paraId="7B84BA74">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36.1经磋商确定最终采购需求和提交最后报价的供应商后，由磋商小组采用综合评分法对提交最后报价的供应商的响应文件和最后报价进行综合评分。</w:t>
      </w:r>
    </w:p>
    <w:p w14:paraId="05C93A0B">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竞争性磋商采购采用综合评分法，是指响应文件满足磋商文件全部实质性要求且按评审因素的量化指标评审得分最高的供应商为成交候选供应商的评审方法。</w:t>
      </w:r>
    </w:p>
    <w:p w14:paraId="61351673">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36.2评审严格按照磋商文件的要求和条件进行，详细评审标准见磋商文件第四章。</w:t>
      </w:r>
    </w:p>
    <w:p w14:paraId="2AD73E73">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37.采购终止的情形</w:t>
      </w:r>
    </w:p>
    <w:p w14:paraId="207800A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在本项目磋商采购中，出现下列情形之一的，应当终止竞争性磋商采购活动，发布项目终止公告并说明原因，重新开展采购活动：</w:t>
      </w:r>
    </w:p>
    <w:p w14:paraId="525063B9">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（1）因情况变化，不再符合规定的竞争性磋商采购方式适用情形的；</w:t>
      </w:r>
    </w:p>
    <w:p w14:paraId="43D7D3B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rPr>
      </w:pPr>
      <w:r>
        <w:rPr>
          <w:rFonts w:hint="eastAsia" w:ascii="宋体" w:hAnsi="宋体" w:eastAsia="宋体" w:cs="宋体"/>
        </w:rPr>
        <w:t>（2）出现影响采购公正的违法、违规行为的；</w:t>
      </w:r>
    </w:p>
    <w:p w14:paraId="1FF04F59">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03247CA2">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（4）电子交易平台无法正常运行，无法保证电子交易的公平、公正和安全的情况。</w:t>
      </w:r>
    </w:p>
    <w:p w14:paraId="240AF9AA">
      <w:pPr>
        <w:pStyle w:val="10"/>
        <w:keepNext w:val="0"/>
        <w:keepLines w:val="0"/>
        <w:pageBreakBefore w:val="0"/>
        <w:kinsoku/>
        <w:wordWrap/>
        <w:overflowPunct/>
        <w:topLinePunct w:val="0"/>
        <w:autoSpaceDE/>
        <w:autoSpaceDN/>
        <w:bidi w:val="0"/>
        <w:snapToGrid w:val="0"/>
        <w:spacing w:beforeLines="0" w:afterLines="0"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38.中止电子交易活动的情形</w:t>
      </w:r>
    </w:p>
    <w:p w14:paraId="7A410DB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采购过程中出现以下情形，导致电子交易平台无法正常运行，或者无法保证电子交易的公平、公正和安全时，采购组织机构可中止电子交易活动：</w:t>
      </w:r>
    </w:p>
    <w:p w14:paraId="14B83867">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（1）电子交易平台发生故障而无法登录访问的；</w:t>
      </w:r>
    </w:p>
    <w:p w14:paraId="21055F1B">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（2）电子交易平台应用或数据库出现错误，不能进行正常操作的；</w:t>
      </w:r>
    </w:p>
    <w:p w14:paraId="32218C42">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（3）电子交易平台发现严重安全漏洞，有潜在泄密危险的；</w:t>
      </w:r>
    </w:p>
    <w:p w14:paraId="4F05486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（4）病毒发作导致不能进行正常操作的；</w:t>
      </w:r>
    </w:p>
    <w:p w14:paraId="57080CF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（5）其他无法保证电子交易的公平、公正和安全的情况。</w:t>
      </w:r>
    </w:p>
    <w:p w14:paraId="4E6DEF3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出现前款规定情形，不影响采购公平、公正性的，采购组织机构可以待上述情形消除后继续组织电子交易活动；影响或可能影响采购公平、公正性的，将重新采购。</w:t>
      </w:r>
    </w:p>
    <w:p w14:paraId="08B6F64D">
      <w:pPr>
        <w:keepNext w:val="0"/>
        <w:keepLines w:val="0"/>
        <w:pageBreakBefore w:val="0"/>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39.成交候选供应商的确定原则及标准</w:t>
      </w:r>
    </w:p>
    <w:p w14:paraId="22CC0A48">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磋商小组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14:paraId="41C2FDAB">
      <w:pPr>
        <w:keepNext w:val="0"/>
        <w:keepLines w:val="0"/>
        <w:pageBreakBefore w:val="0"/>
        <w:kinsoku/>
        <w:wordWrap/>
        <w:overflowPunct/>
        <w:topLinePunct w:val="0"/>
        <w:autoSpaceDE/>
        <w:autoSpaceDN/>
        <w:bidi w:val="0"/>
        <w:snapToGrid w:val="0"/>
        <w:spacing w:line="400" w:lineRule="exact"/>
        <w:ind w:left="0" w:leftChars="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40.编写评审报告</w:t>
      </w:r>
    </w:p>
    <w:p w14:paraId="1E7932DD">
      <w:pPr>
        <w:keepNext w:val="0"/>
        <w:keepLines w:val="0"/>
        <w:pageBreakBefore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C165D5D">
      <w:pPr>
        <w:pStyle w:val="5"/>
        <w:keepNext w:val="0"/>
        <w:keepLines w:val="0"/>
        <w:pageBreakBefore w:val="0"/>
        <w:widowControl w:val="0"/>
        <w:numPr>
          <w:ilvl w:val="0"/>
          <w:numId w:val="0"/>
        </w:numPr>
        <w:tabs>
          <w:tab w:val="left" w:pos="720"/>
        </w:tabs>
        <w:kinsoku/>
        <w:wordWrap/>
        <w:overflowPunct/>
        <w:topLinePunct w:val="0"/>
        <w:autoSpaceDE/>
        <w:autoSpaceDN/>
        <w:bidi w:val="0"/>
        <w:snapToGrid w:val="0"/>
        <w:spacing w:line="40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六、授予合同</w:t>
      </w:r>
    </w:p>
    <w:p w14:paraId="3D490FDF">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41.成交供应商的确定</w:t>
      </w:r>
    </w:p>
    <w:p w14:paraId="500F512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成交供应商确定主体见</w:t>
      </w:r>
      <w:r>
        <w:rPr>
          <w:rFonts w:hint="eastAsia" w:ascii="宋体" w:hAnsi="宋体" w:eastAsia="宋体" w:cs="宋体"/>
          <w:szCs w:val="21"/>
          <w:u w:val="single"/>
        </w:rPr>
        <w:t>供应商须知前附表</w:t>
      </w:r>
      <w:r>
        <w:rPr>
          <w:rFonts w:hint="eastAsia" w:ascii="宋体" w:hAnsi="宋体" w:eastAsia="宋体" w:cs="宋体"/>
          <w:szCs w:val="21"/>
        </w:rPr>
        <w:t>。</w:t>
      </w:r>
    </w:p>
    <w:p w14:paraId="559F3C8F">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42.成交结果公告</w:t>
      </w:r>
    </w:p>
    <w:p w14:paraId="60E84FB8">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自成交供应商确定之日起2个工作日内，采购代理机构在采购公告发布媒体上公告成交结果。</w:t>
      </w:r>
    </w:p>
    <w:p w14:paraId="4B2A46D4">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43.成交通知书和采购结果通知书</w:t>
      </w:r>
    </w:p>
    <w:p w14:paraId="79DCBCFD">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43.1在公告成交结果的同时，采购代理机构向成交供应商发出成交通知书，向未成交供应商发出采购结果通知书。</w:t>
      </w:r>
    </w:p>
    <w:p w14:paraId="00CD66C7">
      <w:pPr>
        <w:keepNext w:val="0"/>
        <w:keepLines w:val="0"/>
        <w:pageBreakBefore w:val="0"/>
        <w:kinsoku/>
        <w:wordWrap/>
        <w:overflowPunct/>
        <w:topLinePunct w:val="0"/>
        <w:autoSpaceDE/>
        <w:autoSpaceDN/>
        <w:bidi w:val="0"/>
        <w:spacing w:line="400" w:lineRule="exact"/>
        <w:ind w:left="0" w:leftChars="0" w:firstLine="435"/>
        <w:textAlignment w:val="auto"/>
        <w:rPr>
          <w:rFonts w:hint="eastAsia" w:ascii="宋体" w:hAnsi="宋体" w:eastAsia="宋体" w:cs="宋体"/>
          <w:szCs w:val="21"/>
        </w:rPr>
      </w:pPr>
      <w:r>
        <w:rPr>
          <w:rFonts w:hint="eastAsia" w:ascii="宋体" w:hAnsi="宋体" w:eastAsia="宋体" w:cs="宋体"/>
          <w:szCs w:val="21"/>
        </w:rPr>
        <w:t>43.2因重大变故采购任务取消时，采购人有权拒绝任何供应商成交，且对受影响的供应商不承担任何责任。</w:t>
      </w:r>
    </w:p>
    <w:p w14:paraId="664A0CB6">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44.签订合同</w:t>
      </w:r>
    </w:p>
    <w:p w14:paraId="5B4A673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44.1采购人与成交供应商应当在成交通知书发出之日起30日内，按照磋商文件确定的合同文本以及采购标的、规格型号、采购金额、采购数量、技术和服务要求等事项签订政府采购合同。</w:t>
      </w:r>
    </w:p>
    <w:p w14:paraId="4B06FDEC">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44.2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0729E10">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45.其他说明</w:t>
      </w:r>
    </w:p>
    <w:p w14:paraId="5D25993A">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44" w:name="_Toc40625909"/>
      <w:bookmarkStart w:id="45" w:name="_Toc436408700"/>
      <w:bookmarkStart w:id="46" w:name="_Toc441316546"/>
      <w:bookmarkStart w:id="47" w:name="_Toc419729150"/>
      <w:bookmarkStart w:id="48" w:name="_Toc419729158"/>
      <w:r>
        <w:rPr>
          <w:rFonts w:hint="eastAsia" w:ascii="宋体" w:hAnsi="宋体" w:eastAsia="宋体" w:cs="宋体"/>
          <w:szCs w:val="21"/>
        </w:rPr>
        <w:t>45.1政府采购活动中有关中小企业的相关规定（采购进口产品的项目不适用）：</w:t>
      </w:r>
      <w:bookmarkEnd w:id="44"/>
      <w:bookmarkEnd w:id="45"/>
      <w:bookmarkEnd w:id="46"/>
      <w:bookmarkEnd w:id="47"/>
    </w:p>
    <w:p w14:paraId="20557002">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49" w:name="_Toc436408701"/>
      <w:bookmarkStart w:id="50" w:name="_Toc40625910"/>
      <w:bookmarkStart w:id="51" w:name="_Toc419729151"/>
      <w:bookmarkStart w:id="52" w:name="_Toc441316547"/>
      <w:r>
        <w:rPr>
          <w:rFonts w:hint="eastAsia" w:ascii="宋体" w:hAnsi="宋体" w:eastAsia="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3883652">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（2）在政府采购活动中，供应商提供的货物、工程或者服务符合下列情形的，享受《政府采购促进中小企业发展管理办法》规定的中小企业扶持政策：</w:t>
      </w:r>
    </w:p>
    <w:bookmarkEnd w:id="49"/>
    <w:bookmarkEnd w:id="50"/>
    <w:bookmarkEnd w:id="51"/>
    <w:bookmarkEnd w:id="52"/>
    <w:p w14:paraId="5DE08C7D">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53" w:name="_Toc40625911"/>
      <w:bookmarkStart w:id="54" w:name="_Toc441316548"/>
      <w:bookmarkStart w:id="55" w:name="_Toc419729152"/>
      <w:bookmarkStart w:id="56" w:name="_Toc436408702"/>
      <w:r>
        <w:rPr>
          <w:rFonts w:hint="eastAsia" w:ascii="宋体" w:hAnsi="宋体" w:eastAsia="宋体" w:cs="宋体"/>
          <w:szCs w:val="21"/>
        </w:rPr>
        <w:t>①在货物采购项目中，货物由中小企业制造，即货物由中小企业生产且使用该中小企业商号或者注册商标；</w:t>
      </w:r>
      <w:bookmarkEnd w:id="53"/>
      <w:bookmarkEnd w:id="54"/>
      <w:bookmarkEnd w:id="55"/>
      <w:bookmarkEnd w:id="56"/>
    </w:p>
    <w:p w14:paraId="4039CE84">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57" w:name="_Toc441316549"/>
      <w:bookmarkStart w:id="58" w:name="_Toc40625912"/>
      <w:bookmarkStart w:id="59" w:name="_Toc436408703"/>
      <w:bookmarkStart w:id="60" w:name="_Toc419729153"/>
      <w:r>
        <w:rPr>
          <w:rFonts w:hint="eastAsia" w:ascii="宋体" w:hAnsi="宋体" w:eastAsia="宋体" w:cs="宋体"/>
          <w:szCs w:val="21"/>
        </w:rPr>
        <w:t>②</w:t>
      </w:r>
      <w:bookmarkEnd w:id="57"/>
      <w:bookmarkEnd w:id="58"/>
      <w:bookmarkEnd w:id="59"/>
      <w:bookmarkEnd w:id="60"/>
      <w:r>
        <w:rPr>
          <w:rFonts w:hint="eastAsia" w:ascii="宋体" w:hAnsi="宋体" w:eastAsia="宋体" w:cs="宋体"/>
          <w:szCs w:val="21"/>
        </w:rPr>
        <w:t>在工程采购项目中，工程由中小企业承建，即工程施工单位为中小企业；</w:t>
      </w:r>
    </w:p>
    <w:p w14:paraId="34C3DC2C">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③在服务采购项目中，服务由中小企业承接，即提供服务的人员为中小企业依照《中华人民共和国劳动合同法》订立劳动合同的从业人员。</w:t>
      </w:r>
    </w:p>
    <w:p w14:paraId="4754DA97">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货物采购项目中，供应商提供的货物既有中小企业制造货物，也有大型企业制造货物的，不享受《政府采购促进中小企业发展管理办法》规定的中小企业扶持政策。</w:t>
      </w:r>
    </w:p>
    <w:p w14:paraId="37CFC646">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4588B456">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61" w:name="_Toc40625913"/>
      <w:bookmarkStart w:id="62" w:name="_Toc419729154"/>
      <w:bookmarkStart w:id="63" w:name="_Toc441316550"/>
      <w:bookmarkStart w:id="64" w:name="_Toc436408704"/>
      <w:r>
        <w:rPr>
          <w:rFonts w:hint="eastAsia" w:ascii="宋体" w:hAnsi="宋体" w:eastAsia="宋体" w:cs="宋体"/>
          <w:szCs w:val="21"/>
        </w:rPr>
        <w:t>（3）中小企业参加政府采购活动，应当出具《政府采购促进中小企业发展管理办法》规定的《中小企业声明函》（格式见第七章），否则不得享受相关中小企业扶持政策。</w:t>
      </w:r>
      <w:bookmarkEnd w:id="61"/>
      <w:bookmarkEnd w:id="62"/>
      <w:bookmarkEnd w:id="63"/>
      <w:bookmarkEnd w:id="64"/>
    </w:p>
    <w:p w14:paraId="32E0FE8A">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65" w:name="_Toc40625914"/>
      <w:bookmarkStart w:id="66" w:name="_Toc436408705"/>
      <w:bookmarkStart w:id="67" w:name="_Toc441316551"/>
      <w:bookmarkStart w:id="68" w:name="_Toc419729155"/>
      <w:r>
        <w:rPr>
          <w:rFonts w:hint="eastAsia" w:ascii="宋体" w:hAnsi="宋体" w:eastAsia="宋体" w:cs="宋体"/>
          <w:szCs w:val="21"/>
        </w:rPr>
        <w:t>（4）</w:t>
      </w:r>
      <w:bookmarkEnd w:id="65"/>
      <w:bookmarkEnd w:id="66"/>
      <w:bookmarkEnd w:id="67"/>
      <w:bookmarkEnd w:id="68"/>
      <w:r>
        <w:rPr>
          <w:rFonts w:hint="eastAsia" w:ascii="宋体" w:hAnsi="宋体" w:eastAsia="宋体" w:cs="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130F50D">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69" w:name="_Toc40625915"/>
      <w:bookmarkStart w:id="70" w:name="_Toc419729156"/>
      <w:bookmarkStart w:id="71" w:name="_Toc436408706"/>
      <w:bookmarkStart w:id="72" w:name="_Toc441316552"/>
      <w:r>
        <w:rPr>
          <w:rFonts w:hint="eastAsia" w:ascii="宋体" w:hAnsi="宋体" w:eastAsia="宋体" w:cs="宋体"/>
          <w:szCs w:val="21"/>
        </w:rPr>
        <w:t>（5）</w:t>
      </w:r>
      <w:bookmarkEnd w:id="69"/>
      <w:bookmarkEnd w:id="70"/>
      <w:bookmarkEnd w:id="71"/>
      <w:bookmarkEnd w:id="72"/>
      <w:r>
        <w:rPr>
          <w:rFonts w:hint="eastAsia" w:ascii="宋体" w:hAnsi="宋体" w:eastAsia="宋体" w:cs="宋体"/>
          <w:szCs w:val="21"/>
        </w:rPr>
        <w:t>供应商提供声明函内容不实的，属于提供虚假材料谋取中标、成交，依照《中华人民共和国政府采购法》等国家有关规定追究相应责任。</w:t>
      </w:r>
    </w:p>
    <w:p w14:paraId="24DA3ECC">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（6）适用招标投标法的政府采购工程建设项目，供应商提供声明函内容不实的，属于弄虚作假骗取中标，依照《中华人民共和国招标投标法》等国家有关规定追究相应责任。</w:t>
      </w:r>
    </w:p>
    <w:p w14:paraId="3C840D37">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73" w:name="_Toc419729157"/>
      <w:bookmarkStart w:id="74" w:name="_Toc40625916"/>
      <w:bookmarkStart w:id="75" w:name="_Toc436408707"/>
      <w:bookmarkStart w:id="76" w:name="_Toc441316553"/>
      <w:r>
        <w:rPr>
          <w:rFonts w:hint="eastAsia" w:ascii="宋体" w:hAnsi="宋体" w:eastAsia="宋体" w:cs="宋体"/>
          <w:szCs w:val="21"/>
        </w:rPr>
        <w:t>（7）</w:t>
      </w:r>
      <w:bookmarkEnd w:id="73"/>
      <w:bookmarkEnd w:id="74"/>
      <w:bookmarkEnd w:id="75"/>
      <w:bookmarkEnd w:id="76"/>
      <w:r>
        <w:rPr>
          <w:rFonts w:hint="eastAsia" w:ascii="宋体" w:hAnsi="宋体" w:eastAsia="宋体" w:cs="宋体"/>
          <w:szCs w:val="21"/>
        </w:rPr>
        <w:t>《中小企业声明函》由参加投标的供应商提交，如供应商为代理商，须自行采集制造商的中小企业划分类型信息填入相应栏目并对其真实性负责。</w:t>
      </w:r>
    </w:p>
    <w:p w14:paraId="5D291F8B">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bookmarkStart w:id="77" w:name="_Toc441316554"/>
      <w:bookmarkStart w:id="78" w:name="_Toc436408708"/>
      <w:r>
        <w:rPr>
          <w:rFonts w:hint="eastAsia" w:ascii="宋体" w:hAnsi="宋体" w:eastAsia="宋体" w:cs="宋体"/>
          <w:szCs w:val="21"/>
        </w:rPr>
        <w:t>45.2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46082B9B">
      <w:pPr>
        <w:keepNext w:val="0"/>
        <w:keepLines w:val="0"/>
        <w:pageBreakBefore w:val="0"/>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45.3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14:paraId="04D7F9DD">
      <w:pPr>
        <w:keepNext w:val="0"/>
        <w:keepLines w:val="0"/>
        <w:pageBreakBefore w:val="0"/>
        <w:kinsoku/>
        <w:wordWrap/>
        <w:overflowPunct/>
        <w:topLinePunct w:val="0"/>
        <w:autoSpaceDE/>
        <w:autoSpaceDN/>
        <w:bidi w:val="0"/>
        <w:adjustRightInd w:val="0"/>
        <w:spacing w:line="400" w:lineRule="exact"/>
        <w:ind w:left="0" w:leftChars="0"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45.4本</w:t>
      </w:r>
      <w:r>
        <w:rPr>
          <w:rFonts w:hint="eastAsia" w:ascii="宋体" w:hAnsi="宋体" w:eastAsia="宋体" w:cs="宋体"/>
        </w:rPr>
        <w:t>竞争性磋商文件</w:t>
      </w:r>
      <w:r>
        <w:rPr>
          <w:rFonts w:hint="eastAsia" w:ascii="宋体" w:hAnsi="宋体" w:eastAsia="宋体" w:cs="宋体"/>
          <w:szCs w:val="21"/>
        </w:rPr>
        <w:t>未及事项，在签订合同时供需双方友好商定。</w:t>
      </w:r>
      <w:bookmarkEnd w:id="77"/>
      <w:bookmarkEnd w:id="78"/>
    </w:p>
    <w:bookmarkEnd w:id="48"/>
    <w:p w14:paraId="19D68231">
      <w:pPr>
        <w:keepNext w:val="0"/>
        <w:keepLines w:val="0"/>
        <w:pageBreakBefore w:val="0"/>
        <w:kinsoku/>
        <w:wordWrap/>
        <w:overflowPunct/>
        <w:topLinePunct w:val="0"/>
        <w:autoSpaceDE/>
        <w:autoSpaceDN/>
        <w:bidi w:val="0"/>
        <w:adjustRightInd w:val="0"/>
        <w:spacing w:line="400" w:lineRule="exact"/>
        <w:ind w:left="0" w:leftChars="0" w:firstLine="420" w:firstLineChars="200"/>
        <w:jc w:val="left"/>
        <w:textAlignment w:val="auto"/>
        <w:rPr>
          <w:rFonts w:hint="eastAsia" w:ascii="宋体" w:hAnsi="宋体" w:eastAsia="宋体" w:cs="宋体"/>
          <w:bCs/>
          <w:szCs w:val="21"/>
        </w:rPr>
      </w:pPr>
      <w:bookmarkStart w:id="79" w:name="_Toc419729159"/>
      <w:r>
        <w:rPr>
          <w:rFonts w:hint="eastAsia" w:ascii="宋体" w:hAnsi="宋体" w:eastAsia="宋体" w:cs="宋体"/>
          <w:bCs/>
          <w:szCs w:val="21"/>
        </w:rPr>
        <w:t>45.5本</w:t>
      </w:r>
      <w:r>
        <w:rPr>
          <w:rFonts w:hint="eastAsia" w:ascii="宋体" w:hAnsi="宋体" w:eastAsia="宋体" w:cs="宋体"/>
        </w:rPr>
        <w:t>竞争性磋商文件</w:t>
      </w:r>
      <w:r>
        <w:rPr>
          <w:rFonts w:hint="eastAsia" w:ascii="宋体" w:hAnsi="宋体" w:eastAsia="宋体" w:cs="宋体"/>
          <w:bCs/>
          <w:szCs w:val="21"/>
        </w:rPr>
        <w:t>解释权归采购人。</w:t>
      </w:r>
      <w:bookmarkEnd w:id="79"/>
    </w:p>
    <w:p w14:paraId="0F18E3F1">
      <w:pPr>
        <w:keepNext w:val="0"/>
        <w:keepLines w:val="0"/>
        <w:pageBreakBefore w:val="0"/>
        <w:kinsoku/>
        <w:wordWrap/>
        <w:overflowPunct/>
        <w:topLinePunct w:val="0"/>
        <w:autoSpaceDE/>
        <w:autoSpaceDN/>
        <w:bidi w:val="0"/>
        <w:adjustRightInd w:val="0"/>
        <w:spacing w:line="400" w:lineRule="exact"/>
        <w:ind w:left="0" w:leftChars="0" w:firstLine="420" w:firstLineChars="200"/>
        <w:jc w:val="left"/>
        <w:textAlignment w:val="auto"/>
        <w:rPr>
          <w:rFonts w:hint="eastAsia" w:ascii="宋体" w:hAnsi="宋体" w:cs="宋体"/>
          <w:bCs/>
          <w:szCs w:val="21"/>
          <w:lang w:val="en-US" w:eastAsia="zh-CN"/>
        </w:rPr>
      </w:pPr>
      <w:r>
        <w:rPr>
          <w:rFonts w:hint="eastAsia" w:ascii="宋体" w:hAnsi="宋体" w:cs="宋体"/>
          <w:bCs/>
          <w:szCs w:val="21"/>
          <w:lang w:val="en-US" w:eastAsia="zh-CN"/>
        </w:rPr>
        <w:t>45.6供应商应遵循诚实信用原则在投标（响应）文件中提供真实材料。供应商应事先在公开官网查询、核对相关证书和报告内容，确保投标（响应）文件资料准确无误。</w:t>
      </w:r>
    </w:p>
    <w:p w14:paraId="39F85377">
      <w:pPr>
        <w:keepNext w:val="0"/>
        <w:keepLines w:val="0"/>
        <w:pageBreakBefore w:val="0"/>
        <w:kinsoku/>
        <w:wordWrap/>
        <w:overflowPunct/>
        <w:topLinePunct w:val="0"/>
        <w:autoSpaceDE/>
        <w:autoSpaceDN/>
        <w:bidi w:val="0"/>
        <w:adjustRightInd w:val="0"/>
        <w:spacing w:line="400" w:lineRule="exact"/>
        <w:ind w:left="0" w:leftChars="0" w:firstLine="420" w:firstLineChars="200"/>
        <w:jc w:val="left"/>
        <w:textAlignment w:val="auto"/>
        <w:rPr>
          <w:rFonts w:hint="default" w:ascii="宋体" w:hAnsi="宋体" w:eastAsia="宋体" w:cs="宋体"/>
          <w:szCs w:val="21"/>
          <w:lang w:val="en-US" w:eastAsia="zh-CN"/>
        </w:rPr>
      </w:pPr>
      <w:r>
        <w:rPr>
          <w:rFonts w:hint="eastAsia" w:ascii="宋体" w:hAnsi="宋体" w:cs="宋体"/>
          <w:bCs/>
          <w:szCs w:val="21"/>
          <w:lang w:val="en-US" w:eastAsia="zh-CN"/>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由财政部门依法进行处理。</w:t>
      </w:r>
    </w:p>
    <w:p w14:paraId="637224B2">
      <w:pPr>
        <w:widowControl/>
        <w:jc w:val="left"/>
        <w:rPr>
          <w:rFonts w:hint="eastAsia" w:ascii="宋体" w:hAnsi="宋体" w:eastAsia="宋体" w:cs="宋体"/>
          <w:szCs w:val="21"/>
        </w:rPr>
      </w:pPr>
    </w:p>
    <w:p w14:paraId="37F0E989">
      <w:pPr>
        <w:pStyle w:val="3"/>
        <w:pageBreakBefore w:val="0"/>
        <w:widowControl w:val="0"/>
        <w:kinsoku/>
        <w:wordWrap/>
        <w:overflowPunct/>
        <w:topLinePunct w:val="0"/>
        <w:autoSpaceDE/>
        <w:autoSpaceDN/>
        <w:bidi w:val="0"/>
        <w:spacing w:line="400" w:lineRule="exact"/>
        <w:ind w:left="0" w:right="0"/>
        <w:rPr>
          <w:rFonts w:hint="eastAsia" w:ascii="宋体" w:hAnsi="宋体" w:eastAsia="宋体" w:cs="宋体"/>
          <w:sz w:val="30"/>
          <w:szCs w:val="30"/>
        </w:rPr>
      </w:pPr>
      <w:bookmarkStart w:id="80" w:name="_Toc34844744"/>
      <w:r>
        <w:rPr>
          <w:rFonts w:hint="eastAsia" w:ascii="宋体" w:hAnsi="宋体" w:eastAsia="宋体" w:cs="宋体"/>
        </w:rPr>
        <w:br w:type="page"/>
      </w:r>
      <w:bookmarkStart w:id="81" w:name="_Toc22998"/>
      <w:r>
        <w:rPr>
          <w:rFonts w:hint="eastAsia" w:ascii="宋体" w:hAnsi="宋体" w:eastAsia="宋体" w:cs="宋体"/>
          <w:sz w:val="30"/>
          <w:szCs w:val="30"/>
        </w:rPr>
        <w:t>第四章</w:t>
      </w:r>
      <w:r>
        <w:rPr>
          <w:rFonts w:hint="eastAsia" w:ascii="宋体" w:hAnsi="宋体" w:cs="宋体"/>
          <w:sz w:val="30"/>
          <w:szCs w:val="30"/>
          <w:lang w:val="en-US" w:eastAsia="zh-CN"/>
        </w:rPr>
        <w:t xml:space="preserve">  </w:t>
      </w:r>
      <w:r>
        <w:rPr>
          <w:rFonts w:hint="eastAsia" w:ascii="宋体" w:hAnsi="宋体" w:eastAsia="宋体" w:cs="宋体"/>
          <w:sz w:val="30"/>
          <w:szCs w:val="30"/>
        </w:rPr>
        <w:t>评审方法和评审标准</w:t>
      </w:r>
      <w:bookmarkEnd w:id="80"/>
      <w:bookmarkEnd w:id="81"/>
    </w:p>
    <w:p w14:paraId="1DE03D78">
      <w:pPr>
        <w:pageBreakBefore w:val="0"/>
        <w:widowControl w:val="0"/>
        <w:kinsoku/>
        <w:wordWrap/>
        <w:overflowPunct/>
        <w:topLinePunct w:val="0"/>
        <w:autoSpaceDE/>
        <w:autoSpaceDN/>
        <w:bidi w:val="0"/>
        <w:spacing w:line="400" w:lineRule="exact"/>
        <w:ind w:left="0" w:right="0"/>
        <w:rPr>
          <w:rFonts w:hint="eastAsia" w:ascii="宋体" w:hAnsi="宋体" w:eastAsia="宋体" w:cs="宋体"/>
          <w:b/>
          <w:szCs w:val="21"/>
        </w:rPr>
      </w:pPr>
      <w:r>
        <w:rPr>
          <w:rFonts w:hint="eastAsia" w:ascii="宋体" w:hAnsi="宋体" w:eastAsia="宋体" w:cs="宋体"/>
          <w:b/>
          <w:szCs w:val="21"/>
        </w:rPr>
        <w:t>一、总则</w:t>
      </w:r>
    </w:p>
    <w:p w14:paraId="73876EA2">
      <w:pPr>
        <w:pageBreakBefore w:val="0"/>
        <w:widowControl w:val="0"/>
        <w:kinsoku/>
        <w:wordWrap/>
        <w:overflowPunct/>
        <w:topLinePunct w:val="0"/>
        <w:autoSpaceDE/>
        <w:autoSpaceDN/>
        <w:bidi w:val="0"/>
        <w:spacing w:line="400" w:lineRule="exact"/>
        <w:ind w:left="0" w:right="0" w:firstLine="420" w:firstLineChars="200"/>
        <w:rPr>
          <w:rFonts w:hint="eastAsia" w:ascii="宋体" w:hAnsi="宋体" w:eastAsia="宋体" w:cs="宋体"/>
          <w:szCs w:val="21"/>
        </w:rPr>
      </w:pPr>
      <w:r>
        <w:rPr>
          <w:rFonts w:hint="eastAsia" w:ascii="宋体" w:hAnsi="宋体" w:eastAsia="宋体" w:cs="宋体"/>
          <w:szCs w:val="21"/>
        </w:rPr>
        <w:t>评审专家应当遵守评审工作纪律，不得泄露评审情况和评审中获悉的商业秘密。</w:t>
      </w:r>
    </w:p>
    <w:p w14:paraId="7890D663">
      <w:pPr>
        <w:pageBreakBefore w:val="0"/>
        <w:widowControl w:val="0"/>
        <w:kinsoku/>
        <w:wordWrap/>
        <w:overflowPunct/>
        <w:topLinePunct w:val="0"/>
        <w:autoSpaceDE/>
        <w:autoSpaceDN/>
        <w:bidi w:val="0"/>
        <w:spacing w:line="400" w:lineRule="exact"/>
        <w:ind w:left="0" w:right="0" w:firstLine="420" w:firstLineChars="200"/>
        <w:rPr>
          <w:rFonts w:hint="eastAsia" w:ascii="宋体" w:hAnsi="宋体" w:eastAsia="宋体" w:cs="宋体"/>
          <w:szCs w:val="21"/>
        </w:rPr>
      </w:pPr>
      <w:r>
        <w:rPr>
          <w:rFonts w:hint="eastAsia" w:ascii="宋体" w:hAnsi="宋体" w:eastAsia="宋体" w:cs="宋体"/>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59DD06C">
      <w:pPr>
        <w:pageBreakBefore w:val="0"/>
        <w:widowControl w:val="0"/>
        <w:kinsoku/>
        <w:wordWrap/>
        <w:overflowPunct/>
        <w:topLinePunct w:val="0"/>
        <w:autoSpaceDE/>
        <w:autoSpaceDN/>
        <w:bidi w:val="0"/>
        <w:spacing w:line="400" w:lineRule="exact"/>
        <w:ind w:left="0" w:right="0"/>
        <w:rPr>
          <w:rFonts w:hint="eastAsia" w:ascii="宋体" w:hAnsi="宋体" w:eastAsia="宋体" w:cs="宋体"/>
          <w:b/>
          <w:szCs w:val="21"/>
        </w:rPr>
      </w:pPr>
      <w:r>
        <w:rPr>
          <w:rFonts w:hint="eastAsia" w:ascii="宋体" w:hAnsi="宋体" w:eastAsia="宋体" w:cs="宋体"/>
          <w:b/>
          <w:szCs w:val="21"/>
        </w:rPr>
        <w:t>二、评审方法</w:t>
      </w:r>
    </w:p>
    <w:p w14:paraId="2F986DE5">
      <w:pPr>
        <w:pageBreakBefore w:val="0"/>
        <w:widowControl w:val="0"/>
        <w:kinsoku/>
        <w:wordWrap/>
        <w:overflowPunct/>
        <w:topLinePunct w:val="0"/>
        <w:autoSpaceDE/>
        <w:autoSpaceDN/>
        <w:bidi w:val="0"/>
        <w:spacing w:line="400" w:lineRule="exact"/>
        <w:ind w:left="0" w:right="0" w:firstLine="420" w:firstLineChars="200"/>
        <w:rPr>
          <w:rFonts w:hint="eastAsia" w:ascii="宋体" w:hAnsi="宋体" w:eastAsia="宋体" w:cs="宋体"/>
          <w:szCs w:val="21"/>
        </w:rPr>
      </w:pPr>
      <w:r>
        <w:rPr>
          <w:rFonts w:hint="eastAsia" w:ascii="宋体" w:hAnsi="宋体" w:eastAsia="宋体" w:cs="宋体"/>
          <w:szCs w:val="21"/>
        </w:rPr>
        <w:t>1.评审时，磋商小组各成员应当独立对每个有效响应的文件进行评价、打分，然后汇总每个供应商每项评分因素的得分。每项评分因素的得分均为小数点后四舍五入保留二位小数。评委打分表中分值重复的数值上限不含本数,下限含本数。每个供应商的最终评审得分为所有评委评分的算术平均数，小数点后四舍五入保留二位小数。</w:t>
      </w:r>
    </w:p>
    <w:p w14:paraId="4199758F">
      <w:pPr>
        <w:pageBreakBefore w:val="0"/>
        <w:widowControl w:val="0"/>
        <w:kinsoku/>
        <w:wordWrap/>
        <w:overflowPunct/>
        <w:topLinePunct w:val="0"/>
        <w:autoSpaceDE/>
        <w:autoSpaceDN/>
        <w:bidi w:val="0"/>
        <w:spacing w:line="400" w:lineRule="exact"/>
        <w:ind w:left="0" w:right="0" w:firstLine="420" w:firstLineChars="200"/>
        <w:rPr>
          <w:rFonts w:hint="eastAsia" w:ascii="宋体" w:hAnsi="宋体" w:eastAsia="宋体" w:cs="宋体"/>
          <w:szCs w:val="21"/>
        </w:rPr>
      </w:pPr>
      <w:r>
        <w:rPr>
          <w:rFonts w:hint="eastAsia" w:ascii="宋体" w:hAnsi="宋体" w:eastAsia="宋体" w:cs="宋体"/>
          <w:szCs w:val="21"/>
        </w:rPr>
        <w:t>2.本次采购为非专门面向中小企业，采购标的对应的中小企业划分标准所属行业为</w:t>
      </w:r>
      <w:r>
        <w:rPr>
          <w:rFonts w:hint="eastAsia" w:ascii="宋体" w:hAnsi="宋体" w:eastAsia="宋体" w:cs="宋体"/>
          <w:b/>
          <w:szCs w:val="21"/>
          <w:u w:val="single"/>
        </w:rPr>
        <w:t>租赁和商务服务业</w:t>
      </w:r>
      <w:r>
        <w:rPr>
          <w:rFonts w:hint="eastAsia" w:ascii="宋体" w:hAnsi="宋体" w:eastAsia="宋体" w:cs="宋体"/>
          <w:szCs w:val="21"/>
        </w:rPr>
        <w:t>。本次评标将对满足竞争性磋商文件第三章第45条要求的服务承接企业为小微企业的价格给予10%的扣除，用扣除后的价格参与评审。价格扣除只用于评审过程，如中标，中标价格仍按照其投标价格进行公示。</w:t>
      </w:r>
    </w:p>
    <w:p w14:paraId="06D1E694">
      <w:pPr>
        <w:pageBreakBefore w:val="0"/>
        <w:widowControl w:val="0"/>
        <w:kinsoku/>
        <w:wordWrap/>
        <w:overflowPunct/>
        <w:topLinePunct w:val="0"/>
        <w:autoSpaceDE/>
        <w:autoSpaceDN/>
        <w:bidi w:val="0"/>
        <w:spacing w:line="400" w:lineRule="exact"/>
        <w:ind w:left="0" w:right="0"/>
        <w:rPr>
          <w:rFonts w:hint="eastAsia" w:ascii="宋体" w:hAnsi="宋体" w:eastAsia="宋体" w:cs="宋体"/>
          <w:b/>
          <w:szCs w:val="21"/>
        </w:rPr>
      </w:pPr>
      <w:r>
        <w:rPr>
          <w:rFonts w:hint="eastAsia" w:ascii="宋体" w:hAnsi="宋体" w:eastAsia="宋体" w:cs="宋体"/>
          <w:b/>
          <w:szCs w:val="21"/>
        </w:rPr>
        <w:t>三、评审程序</w:t>
      </w:r>
    </w:p>
    <w:p w14:paraId="2C116CBF">
      <w:pPr>
        <w:pageBreakBefore w:val="0"/>
        <w:widowControl w:val="0"/>
        <w:kinsoku/>
        <w:wordWrap/>
        <w:overflowPunct/>
        <w:topLinePunct w:val="0"/>
        <w:autoSpaceDE/>
        <w:autoSpaceDN/>
        <w:bidi w:val="0"/>
        <w:spacing w:line="400" w:lineRule="exact"/>
        <w:ind w:left="0" w:right="0" w:firstLine="435"/>
        <w:rPr>
          <w:rFonts w:hint="eastAsia" w:ascii="宋体" w:hAnsi="宋体" w:eastAsia="宋体" w:cs="宋体"/>
          <w:b/>
          <w:szCs w:val="21"/>
        </w:rPr>
      </w:pPr>
      <w:r>
        <w:rPr>
          <w:rFonts w:hint="eastAsia" w:ascii="宋体" w:hAnsi="宋体" w:eastAsia="宋体" w:cs="宋体"/>
          <w:b/>
          <w:szCs w:val="21"/>
        </w:rPr>
        <w:t>1.资格审查</w:t>
      </w:r>
    </w:p>
    <w:p w14:paraId="519D3DF1">
      <w:pPr>
        <w:pageBreakBefore w:val="0"/>
        <w:widowControl w:val="0"/>
        <w:kinsoku/>
        <w:wordWrap/>
        <w:overflowPunct/>
        <w:topLinePunct w:val="0"/>
        <w:autoSpaceDE/>
        <w:autoSpaceDN/>
        <w:bidi w:val="0"/>
        <w:spacing w:line="400" w:lineRule="exact"/>
        <w:ind w:left="0" w:right="0" w:firstLine="435"/>
        <w:rPr>
          <w:rFonts w:hint="eastAsia" w:ascii="宋体" w:hAnsi="宋体" w:eastAsia="宋体" w:cs="宋体"/>
          <w:szCs w:val="21"/>
        </w:rPr>
      </w:pPr>
      <w:r>
        <w:rPr>
          <w:rFonts w:hint="eastAsia" w:ascii="宋体" w:hAnsi="宋体" w:eastAsia="宋体" w:cs="宋体"/>
          <w:szCs w:val="21"/>
        </w:rPr>
        <w:t>由采购代理机构对供应商进行资格审查。资格审查内容如下：</w:t>
      </w:r>
    </w:p>
    <w:tbl>
      <w:tblPr>
        <w:tblStyle w:val="15"/>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84"/>
        <w:gridCol w:w="5481"/>
      </w:tblGrid>
      <w:tr w14:paraId="2E42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2DCB1E78">
            <w:pPr>
              <w:spacing w:line="400" w:lineRule="exact"/>
              <w:jc w:val="center"/>
              <w:rPr>
                <w:rFonts w:hint="eastAsia" w:ascii="宋体" w:hAnsi="宋体" w:cs="宋体"/>
                <w:b/>
                <w:szCs w:val="21"/>
              </w:rPr>
            </w:pPr>
            <w:r>
              <w:rPr>
                <w:rFonts w:hint="eastAsia" w:ascii="宋体" w:hAnsi="宋体" w:cs="宋体"/>
                <w:b/>
                <w:szCs w:val="21"/>
              </w:rPr>
              <w:t>序号</w:t>
            </w:r>
          </w:p>
        </w:tc>
        <w:tc>
          <w:tcPr>
            <w:tcW w:w="2984" w:type="dxa"/>
            <w:tcBorders>
              <w:tl2br w:val="nil"/>
              <w:tr2bl w:val="nil"/>
            </w:tcBorders>
            <w:vAlign w:val="center"/>
          </w:tcPr>
          <w:p w14:paraId="5685FE2C">
            <w:pPr>
              <w:spacing w:line="400" w:lineRule="exact"/>
              <w:jc w:val="center"/>
              <w:rPr>
                <w:rFonts w:hint="eastAsia" w:ascii="宋体" w:hAnsi="宋体" w:cs="宋体"/>
                <w:b/>
                <w:szCs w:val="21"/>
              </w:rPr>
            </w:pPr>
            <w:r>
              <w:rPr>
                <w:rFonts w:hint="eastAsia" w:ascii="宋体" w:hAnsi="宋体" w:cs="宋体"/>
                <w:b/>
                <w:szCs w:val="21"/>
              </w:rPr>
              <w:t>要求说明</w:t>
            </w:r>
          </w:p>
        </w:tc>
        <w:tc>
          <w:tcPr>
            <w:tcW w:w="5481" w:type="dxa"/>
            <w:tcBorders>
              <w:tl2br w:val="nil"/>
              <w:tr2bl w:val="nil"/>
            </w:tcBorders>
            <w:vAlign w:val="center"/>
          </w:tcPr>
          <w:p w14:paraId="3B6AABFB">
            <w:pPr>
              <w:spacing w:line="400" w:lineRule="exact"/>
              <w:jc w:val="center"/>
              <w:rPr>
                <w:rFonts w:hint="eastAsia" w:ascii="宋体" w:hAnsi="宋体" w:cs="宋体"/>
                <w:b/>
                <w:szCs w:val="21"/>
              </w:rPr>
            </w:pPr>
            <w:r>
              <w:rPr>
                <w:rFonts w:hint="eastAsia" w:ascii="宋体" w:hAnsi="宋体" w:cs="宋体"/>
                <w:b/>
                <w:szCs w:val="21"/>
              </w:rPr>
              <w:t>审查要求</w:t>
            </w:r>
          </w:p>
        </w:tc>
      </w:tr>
      <w:tr w14:paraId="1962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7C6B0E30">
            <w:pPr>
              <w:spacing w:line="400" w:lineRule="exact"/>
              <w:jc w:val="center"/>
              <w:rPr>
                <w:rFonts w:hint="eastAsia" w:ascii="宋体" w:hAnsi="宋体" w:cs="宋体"/>
                <w:szCs w:val="21"/>
              </w:rPr>
            </w:pPr>
            <w:r>
              <w:rPr>
                <w:rFonts w:hint="eastAsia" w:ascii="宋体" w:hAnsi="宋体" w:cs="宋体"/>
                <w:szCs w:val="21"/>
              </w:rPr>
              <w:t>1</w:t>
            </w:r>
          </w:p>
        </w:tc>
        <w:tc>
          <w:tcPr>
            <w:tcW w:w="2984" w:type="dxa"/>
            <w:tcBorders>
              <w:tl2br w:val="nil"/>
              <w:tr2bl w:val="nil"/>
            </w:tcBorders>
            <w:vAlign w:val="center"/>
          </w:tcPr>
          <w:p w14:paraId="11F247DB">
            <w:pPr>
              <w:spacing w:line="400" w:lineRule="exact"/>
              <w:rPr>
                <w:rFonts w:hint="eastAsia" w:ascii="宋体" w:hAnsi="宋体" w:cs="宋体"/>
                <w:szCs w:val="21"/>
              </w:rPr>
            </w:pPr>
            <w:r>
              <w:rPr>
                <w:rFonts w:hint="eastAsia" w:ascii="宋体" w:hAnsi="宋体" w:eastAsia="宋体" w:cs="宋体"/>
                <w:kern w:val="0"/>
                <w:szCs w:val="21"/>
              </w:rPr>
              <w:t>满足《中华人民共和国政府采购法》第二十二条规定；未被“信用中国”（www.creditchina.gov.cn)、中国政府采购网（www.ccgp.gov.cn）列入失信被执行人、</w:t>
            </w:r>
            <w:r>
              <w:rPr>
                <w:rFonts w:hint="eastAsia" w:ascii="宋体" w:hAnsi="宋体" w:eastAsia="宋体" w:cs="宋体"/>
                <w:szCs w:val="21"/>
              </w:rPr>
              <w:t>重大</w:t>
            </w:r>
            <w:r>
              <w:rPr>
                <w:rFonts w:hint="eastAsia" w:ascii="宋体" w:hAnsi="宋体" w:eastAsia="宋体" w:cs="宋体"/>
              </w:rPr>
              <w:t>税收违法失信主体</w:t>
            </w:r>
            <w:r>
              <w:rPr>
                <w:rFonts w:hint="eastAsia" w:ascii="宋体" w:hAnsi="宋体" w:eastAsia="宋体" w:cs="宋体"/>
                <w:kern w:val="0"/>
                <w:szCs w:val="21"/>
              </w:rPr>
              <w:t>、政府采购严重违法失信行为记录名单</w:t>
            </w:r>
            <w:r>
              <w:rPr>
                <w:rFonts w:hint="eastAsia" w:ascii="宋体" w:hAnsi="宋体" w:cs="宋体"/>
                <w:kern w:val="0"/>
                <w:szCs w:val="21"/>
                <w:lang w:eastAsia="zh-CN"/>
              </w:rPr>
              <w:t>。</w:t>
            </w:r>
          </w:p>
        </w:tc>
        <w:tc>
          <w:tcPr>
            <w:tcW w:w="5481" w:type="dxa"/>
            <w:tcBorders>
              <w:tl2br w:val="nil"/>
              <w:tr2bl w:val="nil"/>
            </w:tcBorders>
            <w:vAlign w:val="center"/>
          </w:tcPr>
          <w:p w14:paraId="21EC8D12">
            <w:pPr>
              <w:numPr>
                <w:ilvl w:val="0"/>
                <w:numId w:val="0"/>
              </w:numPr>
              <w:spacing w:line="4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关于资格的承诺函（格式见附件）；</w:t>
            </w:r>
          </w:p>
          <w:p w14:paraId="47B217A6">
            <w:pPr>
              <w:numPr>
                <w:ilvl w:val="0"/>
                <w:numId w:val="0"/>
              </w:numPr>
              <w:spacing w:line="400" w:lineRule="exact"/>
              <w:jc w:val="left"/>
              <w:rPr>
                <w:rFonts w:hint="eastAsia" w:ascii="宋体" w:hAnsi="宋体" w:cs="宋体"/>
                <w:szCs w:val="21"/>
              </w:rPr>
            </w:pPr>
            <w:r>
              <w:rPr>
                <w:rFonts w:hint="eastAsia" w:ascii="宋体" w:hAnsi="宋体" w:cs="宋体"/>
                <w:szCs w:val="21"/>
              </w:rPr>
              <w:t>2.营业执照副本（或事业法人登记证副本或其他登记证明材料）复印件并加盖供应商公章（供应商如果有名称变更的，应提供由行政主管部门出具的变更证明文件复印件并加盖供应商公章）；</w:t>
            </w:r>
          </w:p>
          <w:p w14:paraId="10ED4F0D">
            <w:pPr>
              <w:spacing w:line="400" w:lineRule="exact"/>
              <w:jc w:val="left"/>
              <w:rPr>
                <w:rFonts w:hint="eastAsia" w:ascii="宋体" w:hAnsi="宋体" w:cs="宋体"/>
                <w:b/>
                <w:bCs/>
                <w:szCs w:val="21"/>
              </w:rPr>
            </w:pPr>
            <w:r>
              <w:rPr>
                <w:rFonts w:hint="eastAsia" w:ascii="宋体" w:hAnsi="宋体" w:cs="宋体"/>
                <w:b/>
                <w:bCs/>
                <w:szCs w:val="21"/>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w:t>
            </w:r>
            <w:r>
              <w:rPr>
                <w:rFonts w:hint="eastAsia" w:ascii="宋体" w:hAnsi="宋体" w:cs="宋体"/>
                <w:b/>
                <w:bCs/>
                <w:szCs w:val="21"/>
                <w:lang w:eastAsia="zh-CN"/>
              </w:rPr>
              <w:t>（响应）</w:t>
            </w:r>
            <w:r>
              <w:rPr>
                <w:rFonts w:hint="eastAsia" w:ascii="宋体" w:hAnsi="宋体" w:cs="宋体"/>
                <w:b/>
                <w:bCs/>
                <w:szCs w:val="21"/>
              </w:rPr>
              <w:t>将被认定为无效投标</w:t>
            </w:r>
            <w:r>
              <w:rPr>
                <w:rFonts w:hint="eastAsia" w:ascii="宋体" w:hAnsi="宋体" w:cs="宋体"/>
                <w:b/>
                <w:bCs/>
                <w:szCs w:val="21"/>
                <w:lang w:eastAsia="zh-CN"/>
              </w:rPr>
              <w:t>（响应）</w:t>
            </w:r>
            <w:r>
              <w:rPr>
                <w:rFonts w:hint="eastAsia" w:ascii="宋体" w:hAnsi="宋体" w:cs="宋体"/>
                <w:b/>
                <w:bCs/>
                <w:szCs w:val="21"/>
              </w:rPr>
              <w:t>。</w:t>
            </w:r>
          </w:p>
          <w:p w14:paraId="65A46CA5">
            <w:pPr>
              <w:spacing w:line="400" w:lineRule="exact"/>
              <w:jc w:val="left"/>
              <w:rPr>
                <w:rFonts w:hint="eastAsia" w:ascii="宋体" w:hAnsi="宋体" w:cs="宋体"/>
                <w:szCs w:val="21"/>
              </w:rPr>
            </w:pPr>
            <w:r>
              <w:rPr>
                <w:rFonts w:hint="eastAsia" w:ascii="宋体" w:hAnsi="宋体" w:cs="宋体"/>
                <w:b/>
                <w:bCs/>
                <w:szCs w:val="21"/>
              </w:rPr>
              <w:t>若在开标当天因不可抗力事件导致无法查询且一时无法恢复查询的，可在</w:t>
            </w:r>
            <w:r>
              <w:rPr>
                <w:rFonts w:hint="eastAsia" w:ascii="宋体" w:hAnsi="宋体" w:cs="宋体"/>
                <w:b/>
                <w:bCs/>
                <w:szCs w:val="21"/>
                <w:lang w:eastAsia="zh-CN"/>
              </w:rPr>
              <w:t>结果</w:t>
            </w:r>
            <w:r>
              <w:rPr>
                <w:rFonts w:hint="eastAsia" w:ascii="宋体" w:hAnsi="宋体" w:cs="宋体"/>
                <w:b/>
                <w:bCs/>
                <w:szCs w:val="21"/>
              </w:rPr>
              <w:t>公示期间对</w:t>
            </w:r>
            <w:r>
              <w:rPr>
                <w:rFonts w:hint="eastAsia" w:ascii="宋体" w:hAnsi="宋体" w:cs="宋体"/>
                <w:b/>
                <w:bCs/>
                <w:szCs w:val="21"/>
                <w:lang w:eastAsia="zh-CN"/>
              </w:rPr>
              <w:t>成交候选供应商</w:t>
            </w:r>
            <w:r>
              <w:rPr>
                <w:rFonts w:hint="eastAsia" w:ascii="宋体" w:hAnsi="宋体" w:cs="宋体"/>
                <w:b/>
                <w:bCs/>
                <w:szCs w:val="21"/>
              </w:rPr>
              <w:t>进行事后查询。</w:t>
            </w:r>
            <w:r>
              <w:rPr>
                <w:rFonts w:hint="eastAsia" w:ascii="宋体" w:hAnsi="宋体" w:cs="宋体"/>
                <w:b/>
                <w:bCs/>
                <w:szCs w:val="21"/>
                <w:lang w:eastAsia="zh-CN"/>
              </w:rPr>
              <w:t>成交候选供应商</w:t>
            </w:r>
            <w:r>
              <w:rPr>
                <w:rFonts w:hint="eastAsia" w:ascii="宋体" w:hAnsi="宋体" w:cs="宋体"/>
                <w:b/>
                <w:bCs/>
                <w:szCs w:val="21"/>
              </w:rPr>
              <w:t>被列入失信被执行人、重大税收违法失信主体、政府采购严重违法失信行为记录名单的，采购人将依法取消其中标资格。</w:t>
            </w:r>
          </w:p>
        </w:tc>
      </w:tr>
      <w:tr w14:paraId="67C3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48D96C0A">
            <w:pPr>
              <w:spacing w:line="400" w:lineRule="exact"/>
              <w:jc w:val="center"/>
              <w:rPr>
                <w:rFonts w:hint="eastAsia" w:ascii="宋体" w:hAnsi="宋体" w:cs="宋体"/>
                <w:szCs w:val="21"/>
              </w:rPr>
            </w:pPr>
            <w:r>
              <w:rPr>
                <w:rFonts w:hint="eastAsia" w:ascii="宋体" w:hAnsi="宋体" w:cs="宋体"/>
                <w:szCs w:val="21"/>
              </w:rPr>
              <w:t>2</w:t>
            </w:r>
          </w:p>
        </w:tc>
        <w:tc>
          <w:tcPr>
            <w:tcW w:w="2984" w:type="dxa"/>
            <w:tcBorders>
              <w:tl2br w:val="nil"/>
              <w:tr2bl w:val="nil"/>
            </w:tcBorders>
            <w:vAlign w:val="center"/>
          </w:tcPr>
          <w:p w14:paraId="54FD1663">
            <w:pPr>
              <w:spacing w:line="400" w:lineRule="exact"/>
              <w:rPr>
                <w:rFonts w:hint="eastAsia" w:ascii="宋体" w:hAnsi="宋体" w:cs="宋体"/>
                <w:szCs w:val="21"/>
              </w:rPr>
            </w:pPr>
            <w:r>
              <w:rPr>
                <w:rFonts w:hint="eastAsia" w:ascii="宋体" w:hAnsi="宋体" w:eastAsia="宋体" w:cs="宋体"/>
                <w:szCs w:val="21"/>
              </w:rPr>
              <w:t>落实政府采购政策需满足的资格要求：</w:t>
            </w:r>
          </w:p>
        </w:tc>
        <w:tc>
          <w:tcPr>
            <w:tcW w:w="5481" w:type="dxa"/>
            <w:tcBorders>
              <w:tl2br w:val="nil"/>
              <w:tr2bl w:val="nil"/>
            </w:tcBorders>
            <w:vAlign w:val="center"/>
          </w:tcPr>
          <w:p w14:paraId="55A329A7">
            <w:pPr>
              <w:spacing w:line="400" w:lineRule="exact"/>
              <w:jc w:val="left"/>
              <w:rPr>
                <w:rFonts w:hint="eastAsia" w:ascii="宋体" w:hAnsi="宋体" w:eastAsia="宋体" w:cs="宋体"/>
                <w:b/>
                <w:bCs/>
                <w:szCs w:val="21"/>
                <w:lang w:eastAsia="zh-CN"/>
              </w:rPr>
            </w:pPr>
            <w:r>
              <w:rPr>
                <w:rFonts w:hint="eastAsia" w:ascii="宋体" w:hAnsi="宋体" w:eastAsia="宋体" w:cs="宋体"/>
                <w:szCs w:val="21"/>
              </w:rPr>
              <w:t>无</w:t>
            </w:r>
            <w:r>
              <w:rPr>
                <w:rFonts w:hint="eastAsia" w:ascii="宋体" w:hAnsi="宋体" w:cs="宋体"/>
                <w:szCs w:val="21"/>
                <w:lang w:eastAsia="zh-CN"/>
              </w:rPr>
              <w:t>。</w:t>
            </w:r>
          </w:p>
        </w:tc>
      </w:tr>
      <w:tr w14:paraId="6792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20863A79">
            <w:pPr>
              <w:spacing w:line="400" w:lineRule="exact"/>
              <w:jc w:val="center"/>
              <w:rPr>
                <w:rFonts w:hint="eastAsia" w:ascii="宋体" w:hAnsi="宋体" w:cs="宋体"/>
                <w:szCs w:val="21"/>
              </w:rPr>
            </w:pPr>
            <w:r>
              <w:rPr>
                <w:rFonts w:hint="eastAsia" w:ascii="宋体" w:hAnsi="宋体" w:cs="宋体"/>
                <w:szCs w:val="21"/>
              </w:rPr>
              <w:t>3</w:t>
            </w:r>
          </w:p>
        </w:tc>
        <w:tc>
          <w:tcPr>
            <w:tcW w:w="2984" w:type="dxa"/>
            <w:tcBorders>
              <w:tl2br w:val="nil"/>
              <w:tr2bl w:val="nil"/>
            </w:tcBorders>
            <w:vAlign w:val="center"/>
          </w:tcPr>
          <w:p w14:paraId="360A46EF">
            <w:pPr>
              <w:spacing w:line="400" w:lineRule="exact"/>
              <w:rPr>
                <w:rFonts w:hint="eastAsia" w:ascii="宋体" w:hAnsi="宋体" w:cs="宋体"/>
                <w:szCs w:val="21"/>
              </w:rPr>
            </w:pPr>
            <w:r>
              <w:rPr>
                <w:rFonts w:hint="eastAsia" w:ascii="宋体" w:hAnsi="宋体" w:cs="宋体"/>
                <w:szCs w:val="21"/>
              </w:rPr>
              <w:t>本项目的特定资格要求：</w:t>
            </w:r>
          </w:p>
        </w:tc>
        <w:tc>
          <w:tcPr>
            <w:tcW w:w="5481" w:type="dxa"/>
            <w:tcBorders>
              <w:tl2br w:val="nil"/>
              <w:tr2bl w:val="nil"/>
            </w:tcBorders>
            <w:vAlign w:val="center"/>
          </w:tcPr>
          <w:p w14:paraId="29235915">
            <w:pPr>
              <w:spacing w:line="400" w:lineRule="exact"/>
              <w:jc w:val="left"/>
              <w:rPr>
                <w:rFonts w:hint="eastAsia" w:ascii="宋体" w:hAnsi="宋体" w:cs="宋体"/>
                <w:szCs w:val="21"/>
              </w:rPr>
            </w:pPr>
            <w:r>
              <w:rPr>
                <w:rFonts w:hint="eastAsia" w:ascii="宋体" w:hAnsi="宋体" w:cs="宋体"/>
                <w:szCs w:val="21"/>
              </w:rPr>
              <w:t>无。</w:t>
            </w:r>
          </w:p>
        </w:tc>
      </w:tr>
      <w:tr w14:paraId="41B1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6" w:type="dxa"/>
            <w:gridSpan w:val="3"/>
            <w:tcBorders>
              <w:tl2br w:val="nil"/>
              <w:tr2bl w:val="nil"/>
            </w:tcBorders>
            <w:vAlign w:val="center"/>
          </w:tcPr>
          <w:p w14:paraId="1BA9484B">
            <w:pPr>
              <w:spacing w:line="400" w:lineRule="exact"/>
              <w:jc w:val="center"/>
              <w:rPr>
                <w:rFonts w:hint="eastAsia" w:ascii="宋体" w:hAnsi="宋体" w:cs="宋体"/>
                <w:szCs w:val="21"/>
              </w:rPr>
            </w:pPr>
            <w:r>
              <w:rPr>
                <w:rFonts w:hint="eastAsia" w:ascii="宋体" w:hAnsi="宋体" w:cs="宋体"/>
                <w:b/>
                <w:szCs w:val="21"/>
              </w:rPr>
              <w:t>资格性审查结论</w:t>
            </w:r>
          </w:p>
        </w:tc>
      </w:tr>
    </w:tbl>
    <w:p w14:paraId="5ACE75F3">
      <w:pPr>
        <w:pageBreakBefore w:val="0"/>
        <w:widowControl w:val="0"/>
        <w:kinsoku/>
        <w:wordWrap/>
        <w:overflowPunct/>
        <w:topLinePunct w:val="0"/>
        <w:autoSpaceDE/>
        <w:autoSpaceDN/>
        <w:bidi w:val="0"/>
        <w:spacing w:line="400" w:lineRule="exact"/>
        <w:ind w:left="0" w:right="0" w:firstLine="437"/>
        <w:rPr>
          <w:rFonts w:hint="eastAsia" w:ascii="宋体" w:hAnsi="宋体" w:eastAsia="宋体" w:cs="宋体"/>
          <w:szCs w:val="21"/>
        </w:rPr>
      </w:pPr>
      <w:r>
        <w:rPr>
          <w:rFonts w:hint="eastAsia" w:ascii="宋体" w:hAnsi="宋体" w:eastAsia="宋体" w:cs="宋体"/>
          <w:b/>
          <w:bCs/>
          <w:szCs w:val="21"/>
        </w:rPr>
        <w:t>资格审查指标通过标准：</w:t>
      </w:r>
      <w:r>
        <w:rPr>
          <w:rFonts w:hint="eastAsia" w:ascii="宋体" w:hAnsi="宋体" w:eastAsia="宋体" w:cs="宋体"/>
          <w:szCs w:val="21"/>
        </w:rPr>
        <w:t>供应商必须通过资格审查表中的全部评审指标。</w:t>
      </w:r>
    </w:p>
    <w:p w14:paraId="151CBBD8">
      <w:pPr>
        <w:pageBreakBefore w:val="0"/>
        <w:widowControl w:val="0"/>
        <w:kinsoku/>
        <w:wordWrap/>
        <w:overflowPunct/>
        <w:topLinePunct w:val="0"/>
        <w:autoSpaceDE/>
        <w:autoSpaceDN/>
        <w:bidi w:val="0"/>
        <w:spacing w:line="400" w:lineRule="exact"/>
        <w:ind w:left="0" w:right="0" w:firstLine="437"/>
        <w:rPr>
          <w:rFonts w:hint="eastAsia" w:ascii="宋体" w:hAnsi="宋体" w:eastAsia="宋体" w:cs="宋体"/>
          <w:b/>
          <w:szCs w:val="21"/>
        </w:rPr>
      </w:pPr>
      <w:r>
        <w:rPr>
          <w:rFonts w:hint="eastAsia" w:ascii="宋体" w:hAnsi="宋体" w:eastAsia="宋体" w:cs="宋体"/>
          <w:b/>
          <w:szCs w:val="21"/>
        </w:rPr>
        <w:t>2.符合性审查</w:t>
      </w:r>
    </w:p>
    <w:p w14:paraId="5AADA152">
      <w:pPr>
        <w:pageBreakBefore w:val="0"/>
        <w:widowControl w:val="0"/>
        <w:kinsoku/>
        <w:wordWrap/>
        <w:overflowPunct/>
        <w:topLinePunct w:val="0"/>
        <w:autoSpaceDE/>
        <w:autoSpaceDN/>
        <w:bidi w:val="0"/>
        <w:spacing w:line="400" w:lineRule="exact"/>
        <w:ind w:left="0" w:right="0" w:firstLine="437"/>
        <w:rPr>
          <w:rFonts w:hint="eastAsia" w:ascii="宋体" w:hAnsi="宋体" w:eastAsia="宋体" w:cs="宋体"/>
          <w:szCs w:val="21"/>
        </w:rPr>
      </w:pPr>
      <w:r>
        <w:rPr>
          <w:rFonts w:hint="eastAsia" w:ascii="宋体" w:hAnsi="宋体" w:eastAsia="宋体" w:cs="宋体"/>
          <w:szCs w:val="21"/>
        </w:rPr>
        <w:t>磋商小组对通过资格审查的供应商的响应文件进行符合性审查，以确定其是否满足磋商文件的实质性要求。符合性审查内容如下：</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896"/>
        <w:gridCol w:w="4385"/>
      </w:tblGrid>
      <w:tr w14:paraId="1AEB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83" w:type="pct"/>
            <w:noWrap w:val="0"/>
            <w:vAlign w:val="center"/>
          </w:tcPr>
          <w:p w14:paraId="32C17B9A">
            <w:pPr>
              <w:spacing w:line="400" w:lineRule="exact"/>
              <w:jc w:val="center"/>
              <w:rPr>
                <w:rFonts w:hint="eastAsia" w:ascii="宋体" w:hAnsi="宋体"/>
                <w:b/>
                <w:szCs w:val="21"/>
              </w:rPr>
            </w:pPr>
            <w:r>
              <w:rPr>
                <w:rFonts w:hint="eastAsia" w:ascii="宋体" w:hAnsi="宋体"/>
                <w:b/>
                <w:szCs w:val="21"/>
              </w:rPr>
              <w:t>序号</w:t>
            </w:r>
          </w:p>
        </w:tc>
        <w:tc>
          <w:tcPr>
            <w:tcW w:w="2125" w:type="pct"/>
            <w:noWrap w:val="0"/>
            <w:vAlign w:val="center"/>
          </w:tcPr>
          <w:p w14:paraId="72B2747F">
            <w:pPr>
              <w:spacing w:line="400" w:lineRule="exact"/>
              <w:jc w:val="center"/>
              <w:rPr>
                <w:rFonts w:hint="eastAsia" w:ascii="宋体" w:hAnsi="宋体"/>
                <w:b/>
                <w:szCs w:val="21"/>
              </w:rPr>
            </w:pPr>
            <w:r>
              <w:rPr>
                <w:rFonts w:hint="eastAsia" w:ascii="宋体" w:hAnsi="宋体"/>
                <w:b/>
                <w:szCs w:val="21"/>
              </w:rPr>
              <w:t>审查项目</w:t>
            </w:r>
          </w:p>
        </w:tc>
        <w:tc>
          <w:tcPr>
            <w:tcW w:w="2391" w:type="pct"/>
            <w:noWrap w:val="0"/>
            <w:vAlign w:val="center"/>
          </w:tcPr>
          <w:p w14:paraId="20C8CC8D">
            <w:pPr>
              <w:spacing w:line="400" w:lineRule="exact"/>
              <w:jc w:val="center"/>
              <w:rPr>
                <w:rFonts w:hint="eastAsia" w:ascii="宋体" w:hAnsi="宋体"/>
                <w:b/>
                <w:szCs w:val="21"/>
              </w:rPr>
            </w:pPr>
            <w:r>
              <w:rPr>
                <w:rFonts w:hint="eastAsia" w:ascii="宋体" w:hAnsi="宋体"/>
                <w:b/>
                <w:szCs w:val="21"/>
              </w:rPr>
              <w:t>要求</w:t>
            </w:r>
          </w:p>
        </w:tc>
      </w:tr>
      <w:tr w14:paraId="1E4F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394AFB26">
            <w:pPr>
              <w:spacing w:line="400" w:lineRule="exact"/>
              <w:jc w:val="center"/>
              <w:rPr>
                <w:rFonts w:hint="eastAsia" w:ascii="宋体" w:hAnsi="宋体"/>
                <w:szCs w:val="21"/>
              </w:rPr>
            </w:pPr>
            <w:r>
              <w:rPr>
                <w:rFonts w:ascii="宋体" w:hAnsi="宋体"/>
                <w:szCs w:val="21"/>
              </w:rPr>
              <w:t>1</w:t>
            </w:r>
          </w:p>
        </w:tc>
        <w:tc>
          <w:tcPr>
            <w:tcW w:w="2125" w:type="pct"/>
            <w:noWrap w:val="0"/>
            <w:vAlign w:val="center"/>
          </w:tcPr>
          <w:p w14:paraId="797042BE">
            <w:pPr>
              <w:spacing w:line="400" w:lineRule="exact"/>
              <w:rPr>
                <w:rFonts w:ascii="宋体" w:hAnsi="宋体"/>
                <w:szCs w:val="21"/>
              </w:rPr>
            </w:pPr>
            <w:r>
              <w:rPr>
                <w:rFonts w:hint="eastAsia" w:ascii="宋体" w:hAnsi="宋体"/>
                <w:szCs w:val="21"/>
                <w:lang w:eastAsia="zh-CN"/>
              </w:rPr>
              <w:t>响应</w:t>
            </w:r>
            <w:r>
              <w:rPr>
                <w:rFonts w:hint="eastAsia" w:ascii="宋体" w:hAnsi="宋体"/>
                <w:szCs w:val="21"/>
              </w:rPr>
              <w:t>有效期：符合第</w:t>
            </w:r>
            <w:r>
              <w:rPr>
                <w:rFonts w:hint="eastAsia" w:ascii="宋体" w:hAnsi="宋体"/>
                <w:szCs w:val="21"/>
                <w:lang w:eastAsia="zh-CN"/>
              </w:rPr>
              <w:t>三</w:t>
            </w:r>
            <w:r>
              <w:rPr>
                <w:rFonts w:hint="eastAsia" w:ascii="宋体" w:hAnsi="宋体"/>
                <w:szCs w:val="21"/>
              </w:rPr>
              <w:t>章</w:t>
            </w:r>
            <w:r>
              <w:rPr>
                <w:rFonts w:hint="eastAsia" w:ascii="宋体" w:hAnsi="宋体"/>
                <w:szCs w:val="21"/>
                <w:lang w:eastAsia="zh-CN"/>
              </w:rPr>
              <w:t>供应商须知第</w:t>
            </w:r>
            <w:r>
              <w:rPr>
                <w:rFonts w:hint="eastAsia" w:ascii="宋体" w:hAnsi="宋体"/>
                <w:szCs w:val="21"/>
                <w:lang w:val="en-US" w:eastAsia="zh-CN"/>
              </w:rPr>
              <w:t>26.1</w:t>
            </w:r>
            <w:r>
              <w:rPr>
                <w:rFonts w:hint="eastAsia" w:ascii="宋体" w:hAnsi="宋体"/>
                <w:szCs w:val="21"/>
              </w:rPr>
              <w:t>的要求。</w:t>
            </w:r>
          </w:p>
        </w:tc>
        <w:tc>
          <w:tcPr>
            <w:tcW w:w="2391" w:type="pct"/>
            <w:noWrap w:val="0"/>
            <w:vAlign w:val="center"/>
          </w:tcPr>
          <w:p w14:paraId="4B61CF00">
            <w:pPr>
              <w:spacing w:line="400" w:lineRule="exact"/>
              <w:rPr>
                <w:rFonts w:ascii="宋体" w:hAnsi="宋体"/>
                <w:szCs w:val="21"/>
              </w:rPr>
            </w:pPr>
            <w:r>
              <w:rPr>
                <w:rFonts w:hint="eastAsia" w:ascii="宋体" w:hAnsi="宋体"/>
                <w:szCs w:val="21"/>
              </w:rPr>
              <w:t>提供“</w:t>
            </w:r>
            <w:r>
              <w:rPr>
                <w:rFonts w:hint="eastAsia" w:ascii="宋体" w:hAnsi="宋体"/>
                <w:szCs w:val="21"/>
                <w:lang w:eastAsia="zh-CN"/>
              </w:rPr>
              <w:t>响应</w:t>
            </w:r>
            <w:r>
              <w:rPr>
                <w:rFonts w:hint="eastAsia" w:ascii="宋体" w:hAnsi="宋体"/>
                <w:szCs w:val="21"/>
              </w:rPr>
              <w:t>函”</w:t>
            </w:r>
            <w:r>
              <w:rPr>
                <w:rFonts w:hint="eastAsia" w:ascii="宋体" w:hAnsi="宋体" w:cs="宋体"/>
                <w:szCs w:val="21"/>
              </w:rPr>
              <w:t>。</w:t>
            </w:r>
          </w:p>
        </w:tc>
      </w:tr>
      <w:tr w14:paraId="28ED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55F14DCC">
            <w:pPr>
              <w:spacing w:line="400" w:lineRule="exact"/>
              <w:jc w:val="center"/>
              <w:rPr>
                <w:rFonts w:hint="eastAsia" w:ascii="宋体" w:hAnsi="宋体"/>
                <w:szCs w:val="21"/>
              </w:rPr>
            </w:pPr>
            <w:r>
              <w:rPr>
                <w:rFonts w:ascii="宋体" w:hAnsi="宋体"/>
                <w:szCs w:val="21"/>
              </w:rPr>
              <w:t>2</w:t>
            </w:r>
          </w:p>
        </w:tc>
        <w:tc>
          <w:tcPr>
            <w:tcW w:w="2125" w:type="pct"/>
            <w:noWrap w:val="0"/>
            <w:vAlign w:val="center"/>
          </w:tcPr>
          <w:p w14:paraId="1C412A30">
            <w:pPr>
              <w:spacing w:line="400" w:lineRule="exact"/>
              <w:rPr>
                <w:rFonts w:ascii="宋体" w:hAnsi="宋体"/>
                <w:szCs w:val="21"/>
              </w:rPr>
            </w:pPr>
            <w:r>
              <w:rPr>
                <w:rFonts w:hint="eastAsia" w:ascii="宋体" w:hAnsi="宋体"/>
                <w:szCs w:val="21"/>
              </w:rPr>
              <w:t>法定代表人身份证明、法定代表人授权书。</w:t>
            </w:r>
          </w:p>
        </w:tc>
        <w:tc>
          <w:tcPr>
            <w:tcW w:w="2391" w:type="pct"/>
            <w:noWrap w:val="0"/>
            <w:vAlign w:val="center"/>
          </w:tcPr>
          <w:p w14:paraId="62809943">
            <w:p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rPr>
              <w:t>磋商响应文件由法定代表人签字的，提供法定代表人</w:t>
            </w:r>
            <w:r>
              <w:rPr>
                <w:rFonts w:hint="eastAsia" w:ascii="宋体" w:hAnsi="宋体"/>
                <w:szCs w:val="21"/>
                <w:lang w:eastAsia="zh-CN"/>
              </w:rPr>
              <w:t>身份证正反面复印件</w:t>
            </w:r>
            <w:r>
              <w:rPr>
                <w:rFonts w:hint="eastAsia" w:ascii="宋体" w:hAnsi="宋体" w:cs="宋体"/>
                <w:szCs w:val="21"/>
              </w:rPr>
              <w:t>。</w:t>
            </w:r>
          </w:p>
          <w:p w14:paraId="666C4754">
            <w:p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rPr>
              <w:t>磋商响应文件由授权代表签字的，提供</w:t>
            </w:r>
            <w:r>
              <w:rPr>
                <w:rFonts w:hint="eastAsia" w:ascii="宋体" w:hAnsi="宋体"/>
                <w:szCs w:val="21"/>
                <w:lang w:eastAsia="zh-CN"/>
              </w:rPr>
              <w:t>法定代表人授权委托书、法定代表人及授权代表身份证正反面复印件</w:t>
            </w:r>
            <w:r>
              <w:rPr>
                <w:rFonts w:hint="eastAsia" w:ascii="宋体" w:hAnsi="宋体"/>
                <w:szCs w:val="21"/>
              </w:rPr>
              <w:t>。</w:t>
            </w:r>
          </w:p>
        </w:tc>
      </w:tr>
      <w:tr w14:paraId="7592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6E89F433">
            <w:pPr>
              <w:spacing w:line="400" w:lineRule="exact"/>
              <w:jc w:val="center"/>
              <w:rPr>
                <w:rFonts w:hint="eastAsia" w:ascii="宋体" w:hAnsi="宋体"/>
                <w:szCs w:val="21"/>
              </w:rPr>
            </w:pPr>
            <w:r>
              <w:rPr>
                <w:rFonts w:ascii="宋体" w:hAnsi="宋体"/>
                <w:szCs w:val="21"/>
              </w:rPr>
              <w:t>3</w:t>
            </w:r>
          </w:p>
        </w:tc>
        <w:tc>
          <w:tcPr>
            <w:tcW w:w="2125" w:type="pct"/>
            <w:noWrap w:val="0"/>
            <w:vAlign w:val="center"/>
          </w:tcPr>
          <w:p w14:paraId="54864B0B">
            <w:pPr>
              <w:spacing w:line="400" w:lineRule="exact"/>
              <w:rPr>
                <w:rFonts w:hint="eastAsia" w:ascii="宋体" w:hAnsi="宋体" w:eastAsia="宋体"/>
                <w:szCs w:val="21"/>
                <w:lang w:eastAsia="zh-CN"/>
              </w:rPr>
            </w:pPr>
            <w:r>
              <w:rPr>
                <w:rFonts w:hint="eastAsia" w:ascii="宋体" w:hAnsi="宋体"/>
                <w:szCs w:val="21"/>
              </w:rPr>
              <w:t>磋商响应文件的签署盖章</w:t>
            </w:r>
            <w:r>
              <w:rPr>
                <w:rFonts w:hint="eastAsia" w:ascii="宋体" w:hAnsi="宋体"/>
                <w:szCs w:val="21"/>
                <w:lang w:eastAsia="zh-CN"/>
              </w:rPr>
              <w:t>。</w:t>
            </w:r>
          </w:p>
        </w:tc>
        <w:tc>
          <w:tcPr>
            <w:tcW w:w="2391" w:type="pct"/>
            <w:noWrap w:val="0"/>
            <w:vAlign w:val="center"/>
          </w:tcPr>
          <w:p w14:paraId="79A391A8">
            <w:pPr>
              <w:spacing w:line="400" w:lineRule="exact"/>
              <w:rPr>
                <w:rFonts w:hint="eastAsia" w:ascii="宋体" w:hAnsi="宋体" w:eastAsia="宋体"/>
                <w:szCs w:val="21"/>
                <w:lang w:eastAsia="zh-CN"/>
              </w:rPr>
            </w:pPr>
            <w:r>
              <w:rPr>
                <w:rFonts w:hint="eastAsia" w:ascii="宋体" w:hAnsi="宋体"/>
                <w:szCs w:val="21"/>
              </w:rPr>
              <w:t>符合第</w:t>
            </w:r>
            <w:r>
              <w:rPr>
                <w:rFonts w:hint="eastAsia" w:ascii="宋体" w:hAnsi="宋体"/>
                <w:szCs w:val="21"/>
                <w:lang w:eastAsia="zh-CN"/>
              </w:rPr>
              <w:t>三</w:t>
            </w:r>
            <w:r>
              <w:rPr>
                <w:rFonts w:hint="eastAsia" w:ascii="宋体" w:hAnsi="宋体"/>
                <w:szCs w:val="21"/>
              </w:rPr>
              <w:t>章“</w:t>
            </w:r>
            <w:r>
              <w:rPr>
                <w:rFonts w:hint="eastAsia" w:ascii="宋体" w:hAnsi="宋体"/>
                <w:szCs w:val="21"/>
                <w:lang w:eastAsia="zh-CN"/>
              </w:rPr>
              <w:t>供应商</w:t>
            </w:r>
            <w:r>
              <w:rPr>
                <w:rFonts w:hint="eastAsia" w:ascii="宋体" w:hAnsi="宋体"/>
                <w:szCs w:val="21"/>
              </w:rPr>
              <w:t>须知”一、总则的23.响应文件的签署及盖章要求</w:t>
            </w:r>
            <w:r>
              <w:rPr>
                <w:rFonts w:hint="eastAsia" w:ascii="宋体" w:hAnsi="宋体"/>
                <w:szCs w:val="21"/>
                <w:lang w:eastAsia="zh-CN"/>
              </w:rPr>
              <w:t>。</w:t>
            </w:r>
          </w:p>
        </w:tc>
      </w:tr>
      <w:tr w14:paraId="4BC2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433B00A8">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4</w:t>
            </w:r>
          </w:p>
        </w:tc>
        <w:tc>
          <w:tcPr>
            <w:tcW w:w="2125" w:type="pct"/>
            <w:noWrap w:val="0"/>
            <w:vAlign w:val="center"/>
          </w:tcPr>
          <w:p w14:paraId="26E5D76C">
            <w:pPr>
              <w:snapToGrid w:val="0"/>
              <w:spacing w:line="400" w:lineRule="exact"/>
              <w:rPr>
                <w:rFonts w:hint="eastAsia" w:ascii="宋体" w:hAnsi="宋体"/>
                <w:szCs w:val="21"/>
              </w:rPr>
            </w:pPr>
            <w:r>
              <w:rPr>
                <w:rFonts w:hint="eastAsia" w:ascii="宋体" w:hAnsi="宋体"/>
                <w:szCs w:val="21"/>
              </w:rPr>
              <w:t>对同个标项不允许提供两个磋商方案</w:t>
            </w:r>
            <w:r>
              <w:rPr>
                <w:rFonts w:hint="eastAsia" w:ascii="宋体" w:hAnsi="宋体"/>
                <w:szCs w:val="21"/>
                <w:lang w:eastAsia="zh-CN"/>
              </w:rPr>
              <w:t>。</w:t>
            </w:r>
          </w:p>
        </w:tc>
        <w:tc>
          <w:tcPr>
            <w:tcW w:w="2391" w:type="pct"/>
            <w:noWrap w:val="0"/>
            <w:vAlign w:val="center"/>
          </w:tcPr>
          <w:p w14:paraId="75FDAD5E">
            <w:pPr>
              <w:snapToGrid w:val="0"/>
              <w:spacing w:line="400" w:lineRule="exact"/>
              <w:rPr>
                <w:rFonts w:hint="eastAsia" w:ascii="宋体" w:hAnsi="宋体"/>
                <w:szCs w:val="21"/>
              </w:rPr>
            </w:pPr>
            <w:r>
              <w:rPr>
                <w:rFonts w:hint="eastAsia" w:ascii="宋体" w:hAnsi="宋体" w:cs="宋体"/>
                <w:szCs w:val="21"/>
              </w:rPr>
              <w:t>是否有两个</w:t>
            </w:r>
            <w:r>
              <w:rPr>
                <w:rFonts w:hint="eastAsia" w:ascii="宋体" w:hAnsi="宋体" w:cs="宋体"/>
                <w:szCs w:val="21"/>
                <w:lang w:eastAsia="zh-CN"/>
              </w:rPr>
              <w:t>磋商</w:t>
            </w:r>
            <w:r>
              <w:rPr>
                <w:rFonts w:hint="eastAsia" w:ascii="宋体" w:hAnsi="宋体" w:cs="宋体"/>
                <w:szCs w:val="21"/>
              </w:rPr>
              <w:t>方案。</w:t>
            </w:r>
          </w:p>
        </w:tc>
      </w:tr>
      <w:tr w14:paraId="0F35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41E2DDE1">
            <w:pPr>
              <w:spacing w:line="400" w:lineRule="exact"/>
              <w:jc w:val="center"/>
              <w:rPr>
                <w:rFonts w:hint="default" w:ascii="宋体" w:hAnsi="宋体"/>
                <w:szCs w:val="21"/>
                <w:lang w:val="en-US" w:eastAsia="zh-CN"/>
              </w:rPr>
            </w:pPr>
            <w:r>
              <w:rPr>
                <w:rFonts w:hint="eastAsia" w:ascii="宋体" w:hAnsi="宋体"/>
                <w:szCs w:val="21"/>
                <w:lang w:val="en-US" w:eastAsia="zh-CN"/>
              </w:rPr>
              <w:t>5</w:t>
            </w:r>
          </w:p>
        </w:tc>
        <w:tc>
          <w:tcPr>
            <w:tcW w:w="2125" w:type="pct"/>
            <w:noWrap w:val="0"/>
            <w:vAlign w:val="center"/>
          </w:tcPr>
          <w:p w14:paraId="1DB59E08">
            <w:pPr>
              <w:snapToGrid w:val="0"/>
              <w:spacing w:line="400" w:lineRule="exact"/>
              <w:rPr>
                <w:rFonts w:hint="eastAsia" w:ascii="宋体" w:hAnsi="宋体"/>
                <w:szCs w:val="21"/>
              </w:rPr>
            </w:pPr>
            <w:r>
              <w:rPr>
                <w:rFonts w:hint="eastAsia" w:ascii="宋体" w:hAnsi="宋体" w:cs="宋体"/>
                <w:szCs w:val="21"/>
              </w:rPr>
              <w:t>供应商不得在</w:t>
            </w:r>
            <w:r>
              <w:rPr>
                <w:rFonts w:hint="eastAsia" w:ascii="宋体" w:hAnsi="宋体" w:cs="宋体"/>
                <w:szCs w:val="21"/>
                <w:lang w:eastAsia="zh-CN"/>
              </w:rPr>
              <w:t>竞争性磋商</w:t>
            </w:r>
            <w:r>
              <w:rPr>
                <w:rFonts w:hint="eastAsia" w:ascii="宋体" w:hAnsi="宋体" w:cs="宋体"/>
                <w:szCs w:val="21"/>
              </w:rPr>
              <w:t>活动中提供任何虚假材料或从事其他违法活动的。</w:t>
            </w:r>
          </w:p>
        </w:tc>
        <w:tc>
          <w:tcPr>
            <w:tcW w:w="2391" w:type="pct"/>
            <w:noWrap w:val="0"/>
            <w:vAlign w:val="center"/>
          </w:tcPr>
          <w:p w14:paraId="068AD178">
            <w:pPr>
              <w:snapToGrid w:val="0"/>
              <w:spacing w:line="400" w:lineRule="exact"/>
              <w:rPr>
                <w:rFonts w:hint="eastAsia" w:ascii="宋体" w:hAnsi="宋体" w:cs="宋体"/>
                <w:szCs w:val="21"/>
              </w:rPr>
            </w:pPr>
            <w:r>
              <w:rPr>
                <w:rFonts w:hint="eastAsia" w:ascii="宋体" w:hAnsi="宋体" w:cs="宋体"/>
                <w:szCs w:val="21"/>
              </w:rPr>
              <w:t>不得提供任何虚假材料或从事其他违法活动。</w:t>
            </w:r>
          </w:p>
        </w:tc>
      </w:tr>
      <w:tr w14:paraId="1D66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586D1AF1">
            <w:pPr>
              <w:spacing w:line="400" w:lineRule="exact"/>
              <w:jc w:val="center"/>
              <w:rPr>
                <w:rFonts w:hint="default" w:ascii="宋体" w:hAnsi="宋体"/>
                <w:szCs w:val="21"/>
                <w:lang w:val="en-US" w:eastAsia="zh-CN"/>
              </w:rPr>
            </w:pPr>
            <w:r>
              <w:rPr>
                <w:rFonts w:hint="eastAsia" w:ascii="宋体" w:hAnsi="宋体"/>
                <w:szCs w:val="21"/>
                <w:lang w:val="en-US" w:eastAsia="zh-CN"/>
              </w:rPr>
              <w:t>6</w:t>
            </w:r>
          </w:p>
        </w:tc>
        <w:tc>
          <w:tcPr>
            <w:tcW w:w="2125" w:type="pct"/>
            <w:noWrap w:val="0"/>
            <w:vAlign w:val="center"/>
          </w:tcPr>
          <w:p w14:paraId="0CD82740">
            <w:pPr>
              <w:snapToGrid w:val="0"/>
              <w:spacing w:line="400" w:lineRule="exact"/>
              <w:rPr>
                <w:rFonts w:ascii="宋体" w:hAnsi="宋体" w:cs="宋体"/>
              </w:rPr>
            </w:pPr>
            <w:r>
              <w:rPr>
                <w:rFonts w:hint="eastAsia" w:ascii="宋体" w:hAnsi="宋体" w:cs="宋体"/>
                <w:lang w:eastAsia="zh-CN"/>
              </w:rPr>
              <w:t>磋商小组</w:t>
            </w:r>
            <w:r>
              <w:rPr>
                <w:rFonts w:hint="eastAsia" w:ascii="宋体" w:hAnsi="宋体" w:cs="宋体"/>
              </w:rPr>
              <w:t>经过审查，认定供应商虚假应标、串通</w:t>
            </w:r>
            <w:r>
              <w:rPr>
                <w:rFonts w:hint="eastAsia" w:ascii="宋体" w:hAnsi="宋体" w:cs="宋体"/>
                <w:lang w:eastAsia="zh-CN"/>
              </w:rPr>
              <w:t>响应</w:t>
            </w:r>
            <w:r>
              <w:rPr>
                <w:rFonts w:hint="eastAsia" w:ascii="宋体" w:hAnsi="宋体" w:cs="宋体"/>
              </w:rPr>
              <w:t>的，有下列情形之一的，视为供应商串通</w:t>
            </w:r>
            <w:r>
              <w:rPr>
                <w:rFonts w:hint="eastAsia" w:ascii="宋体" w:hAnsi="宋体" w:cs="宋体"/>
                <w:lang w:eastAsia="zh-CN"/>
              </w:rPr>
              <w:t>响应</w:t>
            </w:r>
            <w:r>
              <w:rPr>
                <w:rFonts w:hint="eastAsia" w:ascii="宋体" w:hAnsi="宋体" w:cs="宋体"/>
              </w:rPr>
              <w:t>：</w:t>
            </w:r>
          </w:p>
          <w:p w14:paraId="1E021021">
            <w:pPr>
              <w:snapToGrid w:val="0"/>
              <w:spacing w:line="400" w:lineRule="exact"/>
              <w:rPr>
                <w:rFonts w:ascii="宋体" w:hAnsi="宋体" w:cs="宋体"/>
              </w:rPr>
            </w:pPr>
            <w:r>
              <w:rPr>
                <w:rFonts w:hint="eastAsia" w:ascii="宋体" w:hAnsi="宋体" w:cs="宋体"/>
              </w:rPr>
              <w:t>（1）不同供应商的</w:t>
            </w:r>
            <w:r>
              <w:rPr>
                <w:rFonts w:hint="eastAsia" w:ascii="宋体" w:hAnsi="宋体" w:cs="宋体"/>
                <w:lang w:eastAsia="zh-CN"/>
              </w:rPr>
              <w:t>响应</w:t>
            </w:r>
            <w:r>
              <w:rPr>
                <w:rFonts w:hint="eastAsia" w:ascii="宋体" w:hAnsi="宋体" w:cs="宋体"/>
              </w:rPr>
              <w:t>文件由同一单位或者个人编制；</w:t>
            </w:r>
          </w:p>
          <w:p w14:paraId="25220C9E">
            <w:pPr>
              <w:snapToGrid w:val="0"/>
              <w:spacing w:line="400" w:lineRule="exact"/>
              <w:rPr>
                <w:rFonts w:ascii="宋体" w:hAnsi="宋体" w:cs="宋体"/>
              </w:rPr>
            </w:pPr>
            <w:r>
              <w:rPr>
                <w:rFonts w:hint="eastAsia" w:ascii="宋体" w:hAnsi="宋体" w:cs="宋体"/>
              </w:rPr>
              <w:t>（2）不同供应商委托同一单位或者个人办理</w:t>
            </w:r>
            <w:r>
              <w:rPr>
                <w:rFonts w:hint="eastAsia" w:ascii="宋体" w:hAnsi="宋体" w:cs="宋体"/>
                <w:lang w:eastAsia="zh-CN"/>
              </w:rPr>
              <w:t>响应</w:t>
            </w:r>
            <w:r>
              <w:rPr>
                <w:rFonts w:hint="eastAsia" w:ascii="宋体" w:hAnsi="宋体" w:cs="宋体"/>
              </w:rPr>
              <w:t>事宜；</w:t>
            </w:r>
          </w:p>
          <w:p w14:paraId="16080AE2">
            <w:pPr>
              <w:snapToGrid w:val="0"/>
              <w:spacing w:line="400" w:lineRule="exact"/>
              <w:rPr>
                <w:rFonts w:ascii="宋体" w:hAnsi="宋体" w:cs="宋体"/>
              </w:rPr>
            </w:pPr>
            <w:r>
              <w:rPr>
                <w:rFonts w:hint="eastAsia" w:ascii="宋体" w:hAnsi="宋体" w:cs="宋体"/>
              </w:rPr>
              <w:t>（3）不同供应商的</w:t>
            </w:r>
            <w:r>
              <w:rPr>
                <w:rFonts w:hint="eastAsia" w:ascii="宋体" w:hAnsi="宋体" w:cs="宋体"/>
                <w:lang w:eastAsia="zh-CN"/>
              </w:rPr>
              <w:t>响应</w:t>
            </w:r>
            <w:r>
              <w:rPr>
                <w:rFonts w:hint="eastAsia" w:ascii="宋体" w:hAnsi="宋体" w:cs="宋体"/>
              </w:rPr>
              <w:t>文件载明的项目管理成员或者联系人员为同一人；</w:t>
            </w:r>
          </w:p>
          <w:p w14:paraId="306021CE">
            <w:pPr>
              <w:snapToGrid w:val="0"/>
              <w:spacing w:line="400" w:lineRule="exact"/>
              <w:rPr>
                <w:rFonts w:ascii="宋体" w:hAnsi="宋体" w:cs="宋体"/>
              </w:rPr>
            </w:pPr>
            <w:r>
              <w:rPr>
                <w:rFonts w:hint="eastAsia" w:ascii="宋体" w:hAnsi="宋体" w:cs="宋体"/>
              </w:rPr>
              <w:t>（4）不同供应商的</w:t>
            </w:r>
            <w:r>
              <w:rPr>
                <w:rFonts w:hint="eastAsia" w:ascii="宋体" w:hAnsi="宋体" w:cs="宋体"/>
                <w:lang w:eastAsia="zh-CN"/>
              </w:rPr>
              <w:t>响应</w:t>
            </w:r>
            <w:r>
              <w:rPr>
                <w:rFonts w:hint="eastAsia" w:ascii="宋体" w:hAnsi="宋体" w:cs="宋体"/>
              </w:rPr>
              <w:t>文件异常一致或者</w:t>
            </w:r>
            <w:r>
              <w:rPr>
                <w:rFonts w:hint="eastAsia" w:ascii="宋体" w:hAnsi="宋体" w:cs="宋体"/>
                <w:lang w:eastAsia="zh-CN"/>
              </w:rPr>
              <w:t>磋商</w:t>
            </w:r>
            <w:r>
              <w:rPr>
                <w:rFonts w:hint="eastAsia" w:ascii="宋体" w:hAnsi="宋体" w:cs="宋体"/>
              </w:rPr>
              <w:t>报价呈规律性差异；</w:t>
            </w:r>
          </w:p>
          <w:p w14:paraId="5158AD7C">
            <w:pPr>
              <w:snapToGrid w:val="0"/>
              <w:spacing w:line="400" w:lineRule="exact"/>
              <w:rPr>
                <w:rFonts w:hint="eastAsia" w:ascii="宋体" w:hAnsi="宋体" w:cs="宋体"/>
                <w:szCs w:val="21"/>
              </w:rPr>
            </w:pPr>
            <w:r>
              <w:rPr>
                <w:rFonts w:hint="eastAsia" w:ascii="宋体" w:hAnsi="宋体" w:cs="宋体"/>
              </w:rPr>
              <w:t>（5）不同供应商的</w:t>
            </w:r>
            <w:r>
              <w:rPr>
                <w:rFonts w:hint="eastAsia" w:ascii="宋体" w:hAnsi="宋体" w:cs="宋体"/>
                <w:lang w:eastAsia="zh-CN"/>
              </w:rPr>
              <w:t>响应</w:t>
            </w:r>
            <w:r>
              <w:rPr>
                <w:rFonts w:hint="eastAsia" w:ascii="宋体" w:hAnsi="宋体" w:cs="宋体"/>
              </w:rPr>
              <w:t>文件相互混装。</w:t>
            </w:r>
          </w:p>
        </w:tc>
        <w:tc>
          <w:tcPr>
            <w:tcW w:w="2391" w:type="pct"/>
            <w:noWrap w:val="0"/>
            <w:vAlign w:val="center"/>
          </w:tcPr>
          <w:p w14:paraId="7B1BFD69">
            <w:pPr>
              <w:snapToGrid w:val="0"/>
              <w:spacing w:line="400" w:lineRule="exact"/>
              <w:rPr>
                <w:rFonts w:hint="eastAsia" w:ascii="宋体" w:hAnsi="宋体" w:cs="宋体"/>
                <w:szCs w:val="21"/>
              </w:rPr>
            </w:pPr>
            <w:r>
              <w:rPr>
                <w:rFonts w:hint="eastAsia" w:ascii="宋体" w:hAnsi="宋体" w:cs="宋体"/>
                <w:szCs w:val="21"/>
              </w:rPr>
              <w:t>不得有所述情形。</w:t>
            </w:r>
          </w:p>
        </w:tc>
      </w:tr>
      <w:tr w14:paraId="7A96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68A466F1">
            <w:pPr>
              <w:spacing w:line="400" w:lineRule="exact"/>
              <w:jc w:val="center"/>
              <w:rPr>
                <w:rFonts w:hint="default" w:ascii="宋体" w:hAnsi="宋体"/>
                <w:szCs w:val="21"/>
                <w:lang w:val="en-US" w:eastAsia="zh-CN"/>
              </w:rPr>
            </w:pPr>
            <w:r>
              <w:rPr>
                <w:rFonts w:hint="eastAsia" w:ascii="宋体" w:hAnsi="宋体"/>
                <w:szCs w:val="21"/>
                <w:lang w:val="en-US" w:eastAsia="zh-CN"/>
              </w:rPr>
              <w:t>7</w:t>
            </w:r>
          </w:p>
        </w:tc>
        <w:tc>
          <w:tcPr>
            <w:tcW w:w="2125" w:type="pct"/>
            <w:noWrap w:val="0"/>
            <w:vAlign w:val="center"/>
          </w:tcPr>
          <w:p w14:paraId="6CA25FC5">
            <w:pPr>
              <w:snapToGrid w:val="0"/>
              <w:spacing w:line="400" w:lineRule="exact"/>
              <w:rPr>
                <w:rFonts w:hint="eastAsia" w:ascii="宋体" w:hAnsi="宋体" w:cs="宋体"/>
                <w:szCs w:val="21"/>
              </w:rPr>
            </w:pPr>
            <w:r>
              <w:rPr>
                <w:rFonts w:hint="eastAsia" w:ascii="宋体" w:hAnsi="宋体" w:cs="宋体"/>
              </w:rPr>
              <w:t>参与同一个采购包（标项）的供应商存在下列情形之一且无法合理解释的，其投标（响应）文件无效：</w:t>
            </w:r>
          </w:p>
        </w:tc>
        <w:tc>
          <w:tcPr>
            <w:tcW w:w="2391" w:type="pct"/>
            <w:noWrap w:val="0"/>
            <w:vAlign w:val="center"/>
          </w:tcPr>
          <w:p w14:paraId="4F4CA2BC">
            <w:pPr>
              <w:snapToGrid w:val="0"/>
              <w:spacing w:line="400" w:lineRule="exact"/>
              <w:rPr>
                <w:rFonts w:ascii="宋体" w:hAnsi="宋体" w:cs="宋体"/>
                <w:szCs w:val="21"/>
              </w:rPr>
            </w:pPr>
            <w:r>
              <w:rPr>
                <w:rFonts w:hint="eastAsia" w:ascii="宋体" w:hAnsi="宋体" w:cs="宋体"/>
                <w:szCs w:val="21"/>
              </w:rPr>
              <w:t>1.不同供应商的电子投标（响应）文件上传计算机的网卡MAC地址或硬盘序列号等硬件信息相同的；</w:t>
            </w:r>
          </w:p>
          <w:p w14:paraId="7F21219B">
            <w:pPr>
              <w:snapToGrid w:val="0"/>
              <w:spacing w:line="400" w:lineRule="exact"/>
              <w:rPr>
                <w:rFonts w:ascii="宋体" w:hAnsi="宋体" w:cs="宋体"/>
                <w:szCs w:val="21"/>
              </w:rPr>
            </w:pPr>
            <w:r>
              <w:rPr>
                <w:rFonts w:hint="eastAsia" w:ascii="宋体" w:hAnsi="宋体" w:cs="宋体"/>
                <w:szCs w:val="21"/>
              </w:rPr>
              <w:t>2.上传的电子投标（响应）文件若出现使用本项目其他投标（响应）供应商的数字证书加密的，或者加盖本项目其他投标（响应）供应商的电子印章的；</w:t>
            </w:r>
          </w:p>
          <w:p w14:paraId="79461B87">
            <w:pPr>
              <w:snapToGrid w:val="0"/>
              <w:spacing w:line="400" w:lineRule="exact"/>
              <w:rPr>
                <w:rFonts w:ascii="宋体" w:hAnsi="宋体" w:cs="宋体"/>
                <w:szCs w:val="21"/>
              </w:rPr>
            </w:pPr>
            <w:r>
              <w:rPr>
                <w:rFonts w:hint="eastAsia" w:ascii="宋体" w:hAnsi="宋体" w:cs="宋体"/>
                <w:szCs w:val="21"/>
              </w:rPr>
              <w:t>3.不同供应商的投标（响应）文件的内容存在3处（含）以上错误一致的；</w:t>
            </w:r>
          </w:p>
          <w:p w14:paraId="1D136D3A">
            <w:pPr>
              <w:snapToGrid w:val="0"/>
              <w:spacing w:line="400" w:lineRule="exact"/>
              <w:rPr>
                <w:rFonts w:ascii="宋体" w:hAnsi="宋体" w:cs="宋体"/>
                <w:szCs w:val="21"/>
              </w:rPr>
            </w:pPr>
            <w:r>
              <w:rPr>
                <w:rFonts w:hint="eastAsia" w:ascii="宋体" w:hAnsi="宋体" w:cs="宋体"/>
                <w:szCs w:val="21"/>
              </w:rPr>
              <w:t>4.不同供应商联系人为同一人或不同联系人的联系电话一致的。</w:t>
            </w:r>
          </w:p>
          <w:p w14:paraId="6AD8EBC0">
            <w:pPr>
              <w:snapToGrid w:val="0"/>
              <w:spacing w:line="400" w:lineRule="exact"/>
              <w:rPr>
                <w:rFonts w:hint="eastAsia" w:ascii="宋体" w:hAnsi="宋体" w:cs="宋体"/>
                <w:szCs w:val="21"/>
              </w:rPr>
            </w:pPr>
            <w:r>
              <w:rPr>
                <w:rFonts w:hint="eastAsia" w:ascii="宋体" w:hAnsi="宋体" w:cs="宋体"/>
                <w:szCs w:val="21"/>
              </w:rPr>
              <w:t>5.不同供应商在相同Internet主机分配地址（相同IP地址）获取采购文件或网上投标（响应）的。</w:t>
            </w:r>
          </w:p>
        </w:tc>
      </w:tr>
      <w:tr w14:paraId="5426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42727479">
            <w:pPr>
              <w:spacing w:line="400" w:lineRule="exact"/>
              <w:jc w:val="center"/>
              <w:rPr>
                <w:rFonts w:hint="default" w:ascii="宋体" w:hAnsi="宋体"/>
                <w:szCs w:val="21"/>
                <w:lang w:val="en-US" w:eastAsia="zh-CN"/>
              </w:rPr>
            </w:pPr>
            <w:r>
              <w:rPr>
                <w:rFonts w:hint="eastAsia" w:ascii="宋体" w:hAnsi="宋体"/>
                <w:szCs w:val="21"/>
                <w:lang w:val="en-US" w:eastAsia="zh-CN"/>
              </w:rPr>
              <w:t>8</w:t>
            </w:r>
          </w:p>
        </w:tc>
        <w:tc>
          <w:tcPr>
            <w:tcW w:w="2125" w:type="pct"/>
            <w:shd w:val="clear" w:color="auto" w:fill="auto"/>
            <w:noWrap w:val="0"/>
            <w:vAlign w:val="center"/>
          </w:tcPr>
          <w:p w14:paraId="09A41361">
            <w:pPr>
              <w:spacing w:line="400" w:lineRule="exact"/>
              <w:rPr>
                <w:rFonts w:hint="eastAsia" w:ascii="宋体" w:hAnsi="宋体"/>
                <w:szCs w:val="21"/>
              </w:rPr>
            </w:pPr>
            <w:r>
              <w:rPr>
                <w:rFonts w:hint="eastAsia" w:ascii="宋体" w:hAnsi="宋体"/>
                <w:szCs w:val="21"/>
              </w:rPr>
              <w:t>1.本次竞争性磋商设有预算金额（最高限价），磋商报价超过对应标项预算金额（最高限价）的响应将作为无效响应。</w:t>
            </w:r>
          </w:p>
          <w:p w14:paraId="6EB521BA">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2.本项目预算金额（最高限价）详见竞争性磋商文件第一章“</w:t>
            </w:r>
            <w:r>
              <w:rPr>
                <w:rFonts w:hint="eastAsia" w:ascii="宋体" w:hAnsi="宋体"/>
                <w:szCs w:val="21"/>
                <w:lang w:eastAsia="zh-CN"/>
              </w:rPr>
              <w:t>采购</w:t>
            </w:r>
            <w:r>
              <w:rPr>
                <w:rFonts w:hint="eastAsia" w:ascii="宋体" w:hAnsi="宋体"/>
                <w:szCs w:val="21"/>
              </w:rPr>
              <w:t>公告”。</w:t>
            </w:r>
          </w:p>
        </w:tc>
        <w:tc>
          <w:tcPr>
            <w:tcW w:w="2391" w:type="pct"/>
            <w:shd w:val="clear" w:color="auto" w:fill="auto"/>
            <w:noWrap w:val="0"/>
            <w:vAlign w:val="center"/>
          </w:tcPr>
          <w:p w14:paraId="5FB3603C">
            <w:pPr>
              <w:spacing w:line="400" w:lineRule="exact"/>
              <w:rPr>
                <w:rFonts w:hint="eastAsia" w:ascii="宋体" w:hAnsi="宋体" w:eastAsia="宋体" w:cs="Times New Roman"/>
                <w:kern w:val="2"/>
                <w:sz w:val="21"/>
                <w:szCs w:val="21"/>
                <w:lang w:val="en-US" w:eastAsia="zh-CN" w:bidi="ar-SA"/>
              </w:rPr>
            </w:pPr>
            <w:r>
              <w:rPr>
                <w:rFonts w:hint="eastAsia" w:ascii="宋体"/>
                <w:szCs w:val="21"/>
              </w:rPr>
              <w:t>提供“</w:t>
            </w:r>
            <w:r>
              <w:rPr>
                <w:rFonts w:hint="eastAsia" w:ascii="宋体"/>
                <w:szCs w:val="21"/>
                <w:lang w:eastAsia="zh-CN"/>
              </w:rPr>
              <w:t>开标一览表</w:t>
            </w:r>
            <w:r>
              <w:rPr>
                <w:rFonts w:hint="eastAsia" w:ascii="宋体"/>
                <w:szCs w:val="21"/>
              </w:rPr>
              <w:t>”</w:t>
            </w:r>
            <w:r>
              <w:rPr>
                <w:rFonts w:hint="eastAsia" w:ascii="宋体"/>
                <w:szCs w:val="21"/>
                <w:lang w:eastAsia="zh-CN"/>
              </w:rPr>
              <w:t>。</w:t>
            </w:r>
          </w:p>
        </w:tc>
      </w:tr>
      <w:tr w14:paraId="78FE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6D2A913E">
            <w:pPr>
              <w:spacing w:line="400" w:lineRule="exact"/>
              <w:jc w:val="center"/>
              <w:rPr>
                <w:rFonts w:hint="default" w:ascii="宋体" w:hAnsi="宋体"/>
                <w:szCs w:val="21"/>
                <w:lang w:val="en-US" w:eastAsia="zh-CN"/>
              </w:rPr>
            </w:pPr>
            <w:r>
              <w:rPr>
                <w:rFonts w:hint="eastAsia" w:ascii="宋体" w:hAnsi="宋体"/>
                <w:szCs w:val="21"/>
                <w:lang w:val="en-US" w:eastAsia="zh-CN"/>
              </w:rPr>
              <w:t>9</w:t>
            </w:r>
          </w:p>
        </w:tc>
        <w:tc>
          <w:tcPr>
            <w:tcW w:w="2125" w:type="pct"/>
            <w:noWrap w:val="0"/>
            <w:vAlign w:val="center"/>
          </w:tcPr>
          <w:p w14:paraId="5140A36F">
            <w:pPr>
              <w:spacing w:line="400" w:lineRule="exact"/>
              <w:rPr>
                <w:rFonts w:hint="eastAsia" w:ascii="宋体" w:hAnsi="宋体" w:cs="宋体"/>
              </w:rPr>
            </w:pPr>
            <w:r>
              <w:rPr>
                <w:rFonts w:hint="eastAsia" w:ascii="宋体" w:hAnsi="宋体"/>
                <w:szCs w:val="21"/>
              </w:rPr>
              <w:t>符合法律、法规和磋商文件中规定的其他实质性要求（实质性要求磋商文件中“★”标记）</w:t>
            </w:r>
            <w:r>
              <w:rPr>
                <w:rFonts w:hint="eastAsia" w:ascii="宋体" w:hAnsi="宋体"/>
                <w:szCs w:val="21"/>
                <w:lang w:eastAsia="zh-CN"/>
              </w:rPr>
              <w:t>。</w:t>
            </w:r>
          </w:p>
        </w:tc>
        <w:tc>
          <w:tcPr>
            <w:tcW w:w="2391" w:type="pct"/>
            <w:noWrap w:val="0"/>
            <w:vAlign w:val="center"/>
          </w:tcPr>
          <w:p w14:paraId="290DBD87">
            <w:pPr>
              <w:spacing w:line="400" w:lineRule="exact"/>
              <w:rPr>
                <w:rFonts w:hint="eastAsia" w:ascii="宋体" w:hAnsi="宋体" w:cs="宋体"/>
                <w:szCs w:val="21"/>
              </w:rPr>
            </w:pPr>
            <w:r>
              <w:rPr>
                <w:rFonts w:hint="eastAsia" w:ascii="宋体" w:hAnsi="宋体"/>
                <w:szCs w:val="21"/>
              </w:rPr>
              <w:t>符合所述要求。</w:t>
            </w:r>
          </w:p>
        </w:tc>
      </w:tr>
      <w:tr w14:paraId="4B60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0"/>
            <w:vAlign w:val="center"/>
          </w:tcPr>
          <w:p w14:paraId="1B7E0B6A">
            <w:pPr>
              <w:spacing w:line="400" w:lineRule="exact"/>
              <w:jc w:val="center"/>
              <w:rPr>
                <w:rFonts w:hint="default" w:ascii="宋体" w:hAnsi="宋体"/>
                <w:szCs w:val="21"/>
                <w:lang w:val="en-US" w:eastAsia="zh-CN"/>
              </w:rPr>
            </w:pPr>
            <w:r>
              <w:rPr>
                <w:rFonts w:hint="eastAsia" w:ascii="宋体" w:hAnsi="宋体"/>
                <w:szCs w:val="21"/>
                <w:lang w:val="en-US" w:eastAsia="zh-CN"/>
              </w:rPr>
              <w:t>10</w:t>
            </w:r>
          </w:p>
        </w:tc>
        <w:tc>
          <w:tcPr>
            <w:tcW w:w="2125" w:type="pct"/>
            <w:noWrap w:val="0"/>
            <w:vAlign w:val="center"/>
          </w:tcPr>
          <w:p w14:paraId="444E9AE8">
            <w:pPr>
              <w:spacing w:line="400" w:lineRule="exact"/>
              <w:jc w:val="left"/>
              <w:rPr>
                <w:rFonts w:hint="eastAsia" w:ascii="宋体" w:hAnsi="宋体"/>
                <w:kern w:val="2"/>
                <w:sz w:val="21"/>
                <w:szCs w:val="21"/>
                <w:lang w:val="en-US" w:eastAsia="zh-CN" w:bidi="ar-SA"/>
              </w:rPr>
            </w:pPr>
            <w:r>
              <w:rPr>
                <w:rFonts w:hint="eastAsia" w:ascii="宋体" w:hAnsi="宋体"/>
                <w:szCs w:val="21"/>
              </w:rPr>
              <w:t>本</w:t>
            </w:r>
            <w:r>
              <w:rPr>
                <w:rFonts w:hint="eastAsia" w:ascii="宋体" w:hAnsi="宋体" w:cs="宋体"/>
                <w:szCs w:val="21"/>
              </w:rPr>
              <w:t>项</w:t>
            </w:r>
            <w:r>
              <w:rPr>
                <w:rFonts w:hint="eastAsia" w:ascii="宋体" w:hAnsi="宋体" w:cs="Dotum"/>
                <w:szCs w:val="21"/>
              </w:rPr>
              <w:t>目不接受</w:t>
            </w:r>
            <w:r>
              <w:rPr>
                <w:rFonts w:hint="eastAsia" w:ascii="宋体" w:hAnsi="宋体" w:cs="宋体"/>
                <w:szCs w:val="21"/>
              </w:rPr>
              <w:t>联</w:t>
            </w:r>
            <w:r>
              <w:rPr>
                <w:rFonts w:hint="eastAsia" w:ascii="宋体" w:hAnsi="宋体" w:cs="Dotum"/>
                <w:szCs w:val="21"/>
              </w:rPr>
              <w:t>合体</w:t>
            </w:r>
            <w:r>
              <w:rPr>
                <w:rFonts w:hint="eastAsia" w:ascii="宋体" w:hAnsi="宋体" w:cs="Dotum"/>
                <w:szCs w:val="21"/>
                <w:lang w:eastAsia="zh-CN"/>
              </w:rPr>
              <w:t>响应</w:t>
            </w:r>
            <w:r>
              <w:rPr>
                <w:rFonts w:hint="eastAsia" w:ascii="宋体" w:hAnsi="宋体" w:cs="Dotum"/>
                <w:szCs w:val="21"/>
              </w:rPr>
              <w:t>。</w:t>
            </w:r>
          </w:p>
        </w:tc>
        <w:tc>
          <w:tcPr>
            <w:tcW w:w="2391" w:type="pct"/>
            <w:noWrap w:val="0"/>
            <w:vAlign w:val="center"/>
          </w:tcPr>
          <w:p w14:paraId="63BA42E8">
            <w:pPr>
              <w:spacing w:line="400" w:lineRule="exact"/>
              <w:jc w:val="left"/>
              <w:rPr>
                <w:rFonts w:hint="eastAsia" w:ascii="宋体" w:hAnsi="宋体"/>
                <w:kern w:val="2"/>
                <w:sz w:val="21"/>
                <w:szCs w:val="21"/>
                <w:lang w:val="en-US" w:eastAsia="zh-CN" w:bidi="ar-SA"/>
              </w:rPr>
            </w:pPr>
            <w:r>
              <w:rPr>
                <w:rFonts w:hint="eastAsia" w:ascii="宋体" w:hAnsi="宋体"/>
                <w:szCs w:val="21"/>
              </w:rPr>
              <w:t>本</w:t>
            </w:r>
            <w:r>
              <w:rPr>
                <w:rFonts w:hint="eastAsia" w:ascii="宋体" w:hAnsi="宋体" w:cs="宋体"/>
                <w:szCs w:val="21"/>
              </w:rPr>
              <w:t>项</w:t>
            </w:r>
            <w:r>
              <w:rPr>
                <w:rFonts w:hint="eastAsia" w:ascii="宋体" w:hAnsi="宋体" w:cs="Dotum"/>
                <w:szCs w:val="21"/>
              </w:rPr>
              <w:t>目不接受</w:t>
            </w:r>
            <w:r>
              <w:rPr>
                <w:rFonts w:hint="eastAsia" w:ascii="宋体" w:hAnsi="宋体" w:cs="宋体"/>
                <w:szCs w:val="21"/>
              </w:rPr>
              <w:t>联</w:t>
            </w:r>
            <w:r>
              <w:rPr>
                <w:rFonts w:hint="eastAsia" w:ascii="宋体" w:hAnsi="宋体" w:cs="Dotum"/>
                <w:szCs w:val="21"/>
              </w:rPr>
              <w:t>合体</w:t>
            </w:r>
            <w:r>
              <w:rPr>
                <w:rFonts w:hint="eastAsia" w:ascii="宋体" w:hAnsi="宋体" w:cs="Dotum"/>
                <w:szCs w:val="21"/>
                <w:lang w:eastAsia="zh-CN"/>
              </w:rPr>
              <w:t>响应</w:t>
            </w:r>
            <w:r>
              <w:rPr>
                <w:rFonts w:hint="eastAsia" w:ascii="宋体" w:hAnsi="宋体" w:cs="Dotum"/>
                <w:szCs w:val="21"/>
              </w:rPr>
              <w:t>。</w:t>
            </w:r>
          </w:p>
        </w:tc>
      </w:tr>
      <w:tr w14:paraId="1C72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noWrap w:val="0"/>
            <w:vAlign w:val="center"/>
          </w:tcPr>
          <w:p w14:paraId="35B0E9BB">
            <w:pPr>
              <w:spacing w:line="400" w:lineRule="exact"/>
              <w:jc w:val="center"/>
              <w:rPr>
                <w:rFonts w:hint="eastAsia" w:ascii="宋体" w:hAnsi="宋体"/>
                <w:szCs w:val="21"/>
              </w:rPr>
            </w:pPr>
            <w:r>
              <w:rPr>
                <w:rFonts w:hint="eastAsia" w:ascii="宋体" w:hAnsi="宋体"/>
                <w:b/>
                <w:szCs w:val="21"/>
              </w:rPr>
              <w:t>符合性审查结论</w:t>
            </w:r>
          </w:p>
        </w:tc>
      </w:tr>
    </w:tbl>
    <w:p w14:paraId="04BF20ED">
      <w:pPr>
        <w:pageBreakBefore w:val="0"/>
        <w:widowControl w:val="0"/>
        <w:kinsoku/>
        <w:wordWrap/>
        <w:overflowPunct/>
        <w:topLinePunct w:val="0"/>
        <w:autoSpaceDE/>
        <w:autoSpaceDN/>
        <w:bidi w:val="0"/>
        <w:spacing w:line="400" w:lineRule="exact"/>
        <w:ind w:left="0" w:right="0" w:firstLine="437"/>
        <w:rPr>
          <w:rFonts w:hint="eastAsia" w:ascii="宋体" w:hAnsi="宋体" w:eastAsia="宋体" w:cs="宋体"/>
          <w:szCs w:val="21"/>
        </w:rPr>
      </w:pPr>
      <w:r>
        <w:rPr>
          <w:rFonts w:hint="eastAsia" w:ascii="宋体" w:hAnsi="宋体" w:eastAsia="宋体" w:cs="宋体"/>
          <w:b/>
          <w:bCs/>
          <w:szCs w:val="21"/>
        </w:rPr>
        <w:t>符合性审查指标通过标准：</w:t>
      </w:r>
      <w:r>
        <w:rPr>
          <w:rFonts w:hint="eastAsia" w:ascii="宋体" w:hAnsi="宋体" w:eastAsia="宋体" w:cs="宋体"/>
          <w:szCs w:val="21"/>
        </w:rPr>
        <w:t>供应商必须通过符合性审查表中的全部评审指标。</w:t>
      </w:r>
    </w:p>
    <w:p w14:paraId="404DEB9F">
      <w:pPr>
        <w:pageBreakBefore w:val="0"/>
        <w:widowControl w:val="0"/>
        <w:numPr>
          <w:ilvl w:val="0"/>
          <w:numId w:val="0"/>
        </w:numPr>
        <w:kinsoku/>
        <w:wordWrap/>
        <w:overflowPunct/>
        <w:topLinePunct w:val="0"/>
        <w:autoSpaceDE/>
        <w:autoSpaceDN/>
        <w:bidi w:val="0"/>
        <w:spacing w:line="400" w:lineRule="exact"/>
        <w:ind w:leftChars="200" w:right="0" w:rightChars="0"/>
        <w:rPr>
          <w:rFonts w:hint="eastAsia" w:ascii="宋体" w:hAnsi="宋体" w:eastAsia="宋体" w:cs="宋体"/>
          <w:b/>
          <w:szCs w:val="21"/>
        </w:rPr>
      </w:pPr>
      <w:r>
        <w:rPr>
          <w:rFonts w:hint="eastAsia" w:ascii="宋体" w:hAnsi="宋体" w:cs="宋体"/>
          <w:b/>
          <w:szCs w:val="21"/>
          <w:lang w:val="en-US" w:eastAsia="zh-CN"/>
        </w:rPr>
        <w:t>3.</w:t>
      </w:r>
      <w:r>
        <w:rPr>
          <w:rFonts w:hint="eastAsia" w:ascii="宋体" w:hAnsi="宋体" w:eastAsia="宋体" w:cs="宋体"/>
          <w:b/>
          <w:szCs w:val="21"/>
        </w:rPr>
        <w:t>详细审查和评分（评审标准兼评委打分表）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308"/>
        <w:gridCol w:w="6172"/>
        <w:gridCol w:w="714"/>
      </w:tblGrid>
      <w:tr w14:paraId="4105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noWrap w:val="0"/>
            <w:vAlign w:val="center"/>
          </w:tcPr>
          <w:p w14:paraId="5FFB3EB0">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b/>
                <w:kern w:val="0"/>
                <w:szCs w:val="21"/>
              </w:rPr>
            </w:pPr>
            <w:r>
              <w:rPr>
                <w:rFonts w:hint="eastAsia" w:ascii="宋体" w:hAnsi="宋体" w:eastAsia="宋体" w:cs="宋体"/>
                <w:b/>
                <w:kern w:val="0"/>
                <w:szCs w:val="21"/>
              </w:rPr>
              <w:t>项目</w:t>
            </w:r>
          </w:p>
        </w:tc>
        <w:tc>
          <w:tcPr>
            <w:tcW w:w="4077" w:type="pct"/>
            <w:gridSpan w:val="2"/>
            <w:noWrap w:val="0"/>
            <w:vAlign w:val="center"/>
          </w:tcPr>
          <w:p w14:paraId="354B976E">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b/>
                <w:kern w:val="0"/>
                <w:szCs w:val="21"/>
              </w:rPr>
            </w:pPr>
            <w:r>
              <w:rPr>
                <w:rFonts w:hint="eastAsia" w:ascii="宋体" w:hAnsi="宋体" w:eastAsia="宋体" w:cs="宋体"/>
                <w:b/>
                <w:kern w:val="0"/>
                <w:szCs w:val="21"/>
              </w:rPr>
              <w:t>评标要点及说明</w:t>
            </w:r>
          </w:p>
        </w:tc>
        <w:tc>
          <w:tcPr>
            <w:tcW w:w="389" w:type="pct"/>
            <w:noWrap w:val="0"/>
            <w:vAlign w:val="center"/>
          </w:tcPr>
          <w:p w14:paraId="45E53DB9">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b/>
                <w:kern w:val="0"/>
                <w:szCs w:val="21"/>
              </w:rPr>
            </w:pPr>
            <w:r>
              <w:rPr>
                <w:rFonts w:hint="eastAsia" w:ascii="宋体" w:hAnsi="宋体" w:eastAsia="宋体" w:cs="宋体"/>
                <w:b/>
                <w:kern w:val="0"/>
                <w:szCs w:val="21"/>
              </w:rPr>
              <w:t>分值</w:t>
            </w:r>
          </w:p>
        </w:tc>
      </w:tr>
      <w:tr w14:paraId="4A7E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noWrap w:val="0"/>
            <w:vAlign w:val="center"/>
          </w:tcPr>
          <w:p w14:paraId="1D3EEE58">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r>
              <w:rPr>
                <w:rFonts w:hint="eastAsia" w:ascii="宋体" w:hAnsi="宋体" w:eastAsia="宋体" w:cs="宋体"/>
                <w:kern w:val="0"/>
                <w:szCs w:val="21"/>
              </w:rPr>
              <w:t>价格</w:t>
            </w:r>
          </w:p>
          <w:p w14:paraId="182AA558">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r>
              <w:rPr>
                <w:rFonts w:hint="eastAsia" w:ascii="宋体" w:hAnsi="宋体" w:eastAsia="宋体" w:cs="宋体"/>
                <w:kern w:val="0"/>
                <w:szCs w:val="21"/>
              </w:rPr>
              <w:t>(12分)</w:t>
            </w:r>
          </w:p>
        </w:tc>
        <w:tc>
          <w:tcPr>
            <w:tcW w:w="4077" w:type="pct"/>
            <w:gridSpan w:val="2"/>
            <w:noWrap w:val="0"/>
            <w:vAlign w:val="center"/>
          </w:tcPr>
          <w:p w14:paraId="288239F3">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评标基准价=满足采购文件要求且最低的参与评审的价格</w:t>
            </w:r>
          </w:p>
          <w:p w14:paraId="4D6AE845">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参与评审的价格=最终报价-满足政策要求的价格扣除（10%）</w:t>
            </w:r>
          </w:p>
          <w:p w14:paraId="2C5D5784">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报价得分=(评标基准价/参与评审的价格)×12</w:t>
            </w:r>
          </w:p>
          <w:p w14:paraId="457C1909">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报价得分以四舍五入保留小数点后一位。</w:t>
            </w:r>
          </w:p>
        </w:tc>
        <w:tc>
          <w:tcPr>
            <w:tcW w:w="389" w:type="pct"/>
            <w:noWrap w:val="0"/>
            <w:vAlign w:val="center"/>
          </w:tcPr>
          <w:p w14:paraId="1F706437">
            <w:pPr>
              <w:pageBreakBefore w:val="0"/>
              <w:widowControl w:val="0"/>
              <w:kinsoku/>
              <w:wordWrap/>
              <w:overflowPunct/>
              <w:topLinePunct w:val="0"/>
              <w:autoSpaceDE/>
              <w:autoSpaceDN/>
              <w:bidi w:val="0"/>
              <w:spacing w:line="400" w:lineRule="exact"/>
              <w:ind w:left="0" w:right="0"/>
              <w:jc w:val="center"/>
              <w:rPr>
                <w:rFonts w:hint="eastAsia" w:ascii="宋体" w:hAnsi="宋体" w:eastAsia="宋体" w:cs="宋体"/>
                <w:szCs w:val="21"/>
              </w:rPr>
            </w:pPr>
            <w:r>
              <w:rPr>
                <w:rFonts w:hint="eastAsia" w:ascii="宋体" w:hAnsi="宋体" w:eastAsia="宋体" w:cs="宋体"/>
                <w:szCs w:val="21"/>
              </w:rPr>
              <w:t>12</w:t>
            </w:r>
          </w:p>
        </w:tc>
      </w:tr>
      <w:tr w14:paraId="1FDF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restart"/>
            <w:noWrap w:val="0"/>
            <w:vAlign w:val="center"/>
          </w:tcPr>
          <w:p w14:paraId="2BACF5B0">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r>
              <w:rPr>
                <w:rFonts w:hint="eastAsia" w:ascii="宋体" w:hAnsi="宋体" w:eastAsia="宋体" w:cs="宋体"/>
                <w:kern w:val="0"/>
                <w:szCs w:val="21"/>
              </w:rPr>
              <w:t>商务</w:t>
            </w:r>
          </w:p>
          <w:p w14:paraId="49F830F9">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r>
              <w:rPr>
                <w:rFonts w:hint="eastAsia" w:ascii="宋体" w:hAnsi="宋体" w:eastAsia="宋体" w:cs="宋体"/>
                <w:kern w:val="0"/>
                <w:szCs w:val="21"/>
              </w:rPr>
              <w:t>技术</w:t>
            </w:r>
          </w:p>
          <w:p w14:paraId="72A1515D">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r>
              <w:rPr>
                <w:rFonts w:hint="eastAsia" w:ascii="宋体" w:hAnsi="宋体" w:eastAsia="宋体" w:cs="宋体"/>
                <w:kern w:val="0"/>
                <w:szCs w:val="21"/>
              </w:rPr>
              <w:t>(8</w:t>
            </w:r>
            <w:r>
              <w:rPr>
                <w:rFonts w:hint="eastAsia" w:ascii="宋体" w:hAnsi="宋体" w:eastAsia="宋体" w:cs="宋体"/>
                <w:kern w:val="0"/>
                <w:szCs w:val="21"/>
                <w:lang w:val="en-US" w:eastAsia="zh-CN"/>
              </w:rPr>
              <w:t>8</w:t>
            </w:r>
            <w:r>
              <w:rPr>
                <w:rFonts w:hint="eastAsia" w:ascii="宋体" w:hAnsi="宋体" w:eastAsia="宋体" w:cs="宋体"/>
                <w:kern w:val="0"/>
                <w:szCs w:val="21"/>
              </w:rPr>
              <w:t>分)</w:t>
            </w:r>
          </w:p>
        </w:tc>
        <w:tc>
          <w:tcPr>
            <w:tcW w:w="713" w:type="pct"/>
            <w:vMerge w:val="restart"/>
            <w:noWrap w:val="0"/>
            <w:vAlign w:val="center"/>
          </w:tcPr>
          <w:p w14:paraId="58E2ABD1">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eastAsia="zh-CN"/>
              </w:rPr>
            </w:pPr>
            <w:r>
              <w:rPr>
                <w:rFonts w:hint="eastAsia" w:ascii="宋体" w:hAnsi="宋体" w:eastAsia="宋体" w:cs="宋体"/>
                <w:szCs w:val="21"/>
                <w:lang w:val="en-US" w:eastAsia="zh-CN"/>
              </w:rPr>
              <w:t>主体活动实施方案（42分）</w:t>
            </w:r>
          </w:p>
        </w:tc>
        <w:tc>
          <w:tcPr>
            <w:tcW w:w="3364" w:type="pct"/>
            <w:noWrap w:val="0"/>
            <w:vAlign w:val="center"/>
          </w:tcPr>
          <w:p w14:paraId="10984FF0">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企业出海涉外服务专场赋能活动</w:t>
            </w:r>
            <w:r>
              <w:rPr>
                <w:rFonts w:hint="eastAsia" w:ascii="宋体" w:hAnsi="宋体" w:eastAsia="宋体" w:cs="宋体"/>
                <w:szCs w:val="21"/>
                <w:lang w:val="en-US" w:eastAsia="zh-CN"/>
              </w:rPr>
              <w:t>实施方案：</w:t>
            </w:r>
          </w:p>
          <w:p w14:paraId="6F84F931">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法律与税务服务、知识产权服务、金融服务、出海落地执行等出海服务专家主题演讲，参与企业互动提问及咨询实施方案贴合项目主题、方案详细，活动氛围设计方案新颖、贴合活动内容，邀请专家专业性强的得6分；</w:t>
            </w:r>
          </w:p>
          <w:p w14:paraId="347862FD">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法律与税务服务、知识产权服务、金融服务、出海落地执行等出海服务专家主题演讲，参与企业互动提问及咨询实施方案基本能贴合项目主题、方案较详细，活动氛围设计方案满足活动需求，邀请专家具备活动所需的专业能力的得4分；</w:t>
            </w:r>
          </w:p>
          <w:p w14:paraId="0B380314">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法律与税务服务、知识产权服务、金融服务、出海落地执行等出海服务专家主题演讲，参与企业互动提问及咨询实施方案基本能体现项目主题、方案简单，活动氛围设计方案简单，邀请专家专业能力欠缺的得3分；</w:t>
            </w:r>
          </w:p>
          <w:p w14:paraId="7BA6E7AE">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法律与税务服务、知识产权服务、金融服务、出海落地执行等出海服务专家主题演讲，参与企业互动提问及咨询实施方案体现主题能力欠缺、方案粗略，活动氛围设计方案粗略，邀请专家专业能力差的得2分；</w:t>
            </w:r>
          </w:p>
          <w:p w14:paraId="190E96D1">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7A306E18">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6</w:t>
            </w:r>
          </w:p>
        </w:tc>
      </w:tr>
      <w:tr w14:paraId="6524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015064AF">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344DB9E8">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val="en-US" w:eastAsia="zh-CN"/>
              </w:rPr>
            </w:pPr>
          </w:p>
        </w:tc>
        <w:tc>
          <w:tcPr>
            <w:tcW w:w="3364" w:type="pct"/>
            <w:noWrap w:val="0"/>
            <w:vAlign w:val="center"/>
          </w:tcPr>
          <w:p w14:paraId="5A64B7B4">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rPr>
            </w:pPr>
            <w:r>
              <w:rPr>
                <w:rFonts w:hint="eastAsia" w:ascii="宋体" w:hAnsi="宋体" w:eastAsia="宋体" w:cs="宋体"/>
                <w:szCs w:val="21"/>
              </w:rPr>
              <w:t>跨境电商专场赋能活动</w:t>
            </w:r>
            <w:r>
              <w:rPr>
                <w:rFonts w:hint="eastAsia" w:ascii="宋体" w:hAnsi="宋体" w:eastAsia="宋体" w:cs="宋体"/>
                <w:szCs w:val="21"/>
                <w:lang w:val="en-US" w:eastAsia="zh-CN"/>
              </w:rPr>
              <w:t>实施方案：</w:t>
            </w:r>
          </w:p>
          <w:p w14:paraId="493FE82E">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海外仓平台、物流海运、国际政策等跨境电商服务专家主题演讲</w:t>
            </w:r>
            <w:r>
              <w:rPr>
                <w:rFonts w:hint="eastAsia" w:ascii="宋体" w:hAnsi="宋体" w:eastAsia="宋体" w:cs="宋体"/>
                <w:szCs w:val="21"/>
                <w:lang w:val="en-US" w:eastAsia="zh-CN"/>
              </w:rPr>
              <w:t>，参与企业互动提问及咨询实施方案贴合项目主题、方案详细，活动氛围设计方案新颖、贴合活动内容，邀请专家专业性强的得6分；</w:t>
            </w:r>
          </w:p>
          <w:p w14:paraId="73DF4A61">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海外仓平台、物流海运、国际政策等跨境电商服务专家主题演讲</w:t>
            </w:r>
            <w:r>
              <w:rPr>
                <w:rFonts w:hint="eastAsia" w:ascii="宋体" w:hAnsi="宋体" w:eastAsia="宋体" w:cs="宋体"/>
                <w:szCs w:val="21"/>
                <w:lang w:val="en-US" w:eastAsia="zh-CN"/>
              </w:rPr>
              <w:t>，参与企业互动提问及咨询实施方案基本能贴合项目主题、方案较详细，活动氛围设计方案满足活动需求，邀请专家具备活动所需的专业能力的得4分；</w:t>
            </w:r>
          </w:p>
          <w:p w14:paraId="2806C4F8">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海外仓平台、物流海运、国际政策等跨境电商服务专家主题演讲</w:t>
            </w:r>
            <w:r>
              <w:rPr>
                <w:rFonts w:hint="eastAsia" w:ascii="宋体" w:hAnsi="宋体" w:eastAsia="宋体" w:cs="宋体"/>
                <w:szCs w:val="21"/>
                <w:lang w:val="en-US" w:eastAsia="zh-CN"/>
              </w:rPr>
              <w:t>，参与企业互动提问及咨询实施方案基本能体现项目主题、方案简单，活动氛围设计方案简单，邀请专家专业能力欠缺的得3分；</w:t>
            </w:r>
          </w:p>
          <w:p w14:paraId="2C8D5922">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海外仓平台、物流海运、国际政策等跨境电商服务专家主题演讲</w:t>
            </w:r>
            <w:r>
              <w:rPr>
                <w:rFonts w:hint="eastAsia" w:ascii="宋体" w:hAnsi="宋体" w:eastAsia="宋体" w:cs="宋体"/>
                <w:szCs w:val="21"/>
                <w:lang w:val="en-US" w:eastAsia="zh-CN"/>
              </w:rPr>
              <w:t>，参与企业互动提问及咨询实施方案体现主题能力欠缺、方案粗略，活动氛围设计方案粗略，邀请专家专业能力差的得2分；</w:t>
            </w:r>
          </w:p>
          <w:p w14:paraId="7B96A7F4">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rPr>
            </w:pPr>
            <w:r>
              <w:rPr>
                <w:rFonts w:hint="eastAsia" w:ascii="宋体" w:hAnsi="宋体" w:eastAsia="宋体" w:cs="宋体"/>
                <w:szCs w:val="21"/>
                <w:lang w:val="en-US" w:eastAsia="zh-CN"/>
              </w:rPr>
              <w:t>未提供本项的不得分。</w:t>
            </w:r>
          </w:p>
        </w:tc>
        <w:tc>
          <w:tcPr>
            <w:tcW w:w="389" w:type="pct"/>
            <w:noWrap w:val="0"/>
            <w:vAlign w:val="center"/>
          </w:tcPr>
          <w:p w14:paraId="3A319154">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6</w:t>
            </w:r>
          </w:p>
        </w:tc>
      </w:tr>
      <w:tr w14:paraId="239A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78D6E9B7">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57B9334A">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val="en-US" w:eastAsia="zh-CN"/>
              </w:rPr>
            </w:pPr>
          </w:p>
        </w:tc>
        <w:tc>
          <w:tcPr>
            <w:tcW w:w="3364" w:type="pct"/>
            <w:noWrap w:val="0"/>
            <w:vAlign w:val="center"/>
          </w:tcPr>
          <w:p w14:paraId="06CDD13E">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检验检测认证专场赋能活动</w:t>
            </w:r>
            <w:r>
              <w:rPr>
                <w:rFonts w:hint="eastAsia" w:ascii="宋体" w:hAnsi="宋体" w:eastAsia="宋体" w:cs="宋体"/>
                <w:szCs w:val="21"/>
                <w:lang w:val="en-US" w:eastAsia="zh-CN"/>
              </w:rPr>
              <w:t>实施方案：</w:t>
            </w:r>
          </w:p>
          <w:p w14:paraId="75533F09">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消费品领域等检验检测服务专家主题演讲</w:t>
            </w:r>
            <w:r>
              <w:rPr>
                <w:rFonts w:hint="eastAsia" w:ascii="宋体" w:hAnsi="宋体" w:eastAsia="宋体" w:cs="宋体"/>
                <w:szCs w:val="21"/>
                <w:lang w:val="en-US" w:eastAsia="zh-CN"/>
              </w:rPr>
              <w:t>，参与企业互动提问及咨询实施方案贴合项目主题、方案详细，活动氛围设计方案新颖、贴合活动内容，邀请专家专业性强的得6分；</w:t>
            </w:r>
          </w:p>
          <w:p w14:paraId="653376B4">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消费品领域等检验检测服务专家主题演讲</w:t>
            </w:r>
            <w:r>
              <w:rPr>
                <w:rFonts w:hint="eastAsia" w:ascii="宋体" w:hAnsi="宋体" w:eastAsia="宋体" w:cs="宋体"/>
                <w:szCs w:val="21"/>
                <w:lang w:val="en-US" w:eastAsia="zh-CN"/>
              </w:rPr>
              <w:t>，参与企业互动提问及咨询实施方案基本能贴合项目主题、方案较详细，活动氛围设计方案满足活动需求，邀请专家具备活动所需的专业能力的得4分；</w:t>
            </w:r>
          </w:p>
          <w:p w14:paraId="603AD2AC">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消费品领域等检验检测服务专家主题演讲</w:t>
            </w:r>
            <w:r>
              <w:rPr>
                <w:rFonts w:hint="eastAsia" w:ascii="宋体" w:hAnsi="宋体" w:eastAsia="宋体" w:cs="宋体"/>
                <w:szCs w:val="21"/>
                <w:lang w:val="en-US" w:eastAsia="zh-CN"/>
              </w:rPr>
              <w:t>，参与企业互动提问及咨询实施方案基本能体现项目主题、方案简单，活动氛围设计方案简单，邀请专家专业能力欠缺的得3分；</w:t>
            </w:r>
          </w:p>
          <w:p w14:paraId="0E9F6957">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消费品领域等检验检测服务专家主题演讲</w:t>
            </w:r>
            <w:r>
              <w:rPr>
                <w:rFonts w:hint="eastAsia" w:ascii="宋体" w:hAnsi="宋体" w:eastAsia="宋体" w:cs="宋体"/>
                <w:szCs w:val="21"/>
                <w:lang w:val="en-US" w:eastAsia="zh-CN"/>
              </w:rPr>
              <w:t>，参与企业互动提问及咨询实施方案体现主题能力欠缺、方案粗略，活动氛围设计方案粗略，邀请专家专业能力差的得2分；</w:t>
            </w:r>
          </w:p>
          <w:p w14:paraId="501D1422">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14ADA81B">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6</w:t>
            </w:r>
          </w:p>
        </w:tc>
      </w:tr>
      <w:tr w14:paraId="2832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6B23D68E">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2BF0897A">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val="en-US" w:eastAsia="zh-CN"/>
              </w:rPr>
            </w:pPr>
          </w:p>
        </w:tc>
        <w:tc>
          <w:tcPr>
            <w:tcW w:w="3364" w:type="pct"/>
            <w:noWrap w:val="0"/>
            <w:vAlign w:val="center"/>
          </w:tcPr>
          <w:p w14:paraId="7A600D1F">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工业设计专场赋能活动</w:t>
            </w:r>
            <w:r>
              <w:rPr>
                <w:rFonts w:hint="eastAsia" w:ascii="宋体" w:hAnsi="宋体" w:eastAsia="宋体" w:cs="宋体"/>
                <w:szCs w:val="21"/>
                <w:lang w:val="en-US" w:eastAsia="zh-CN"/>
              </w:rPr>
              <w:t>实施方案：</w:t>
            </w:r>
          </w:p>
          <w:p w14:paraId="3C860475">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传统工业产品设计、全产业链服务创意整合等工业设计服务专家主题演讲</w:t>
            </w:r>
            <w:r>
              <w:rPr>
                <w:rFonts w:hint="eastAsia" w:ascii="宋体" w:hAnsi="宋体" w:eastAsia="宋体" w:cs="宋体"/>
                <w:szCs w:val="21"/>
                <w:lang w:eastAsia="zh-CN"/>
              </w:rPr>
              <w:t>，</w:t>
            </w:r>
            <w:r>
              <w:rPr>
                <w:rFonts w:hint="eastAsia" w:ascii="宋体" w:hAnsi="宋体" w:eastAsia="宋体" w:cs="宋体"/>
                <w:szCs w:val="21"/>
              </w:rPr>
              <w:t>参与企业互动提问及咨询</w:t>
            </w:r>
            <w:r>
              <w:rPr>
                <w:rFonts w:hint="eastAsia" w:ascii="宋体" w:hAnsi="宋体" w:eastAsia="宋体" w:cs="宋体"/>
                <w:szCs w:val="21"/>
                <w:lang w:val="en-US" w:eastAsia="zh-CN"/>
              </w:rPr>
              <w:t>实施方案贴合项目主题、方案详细，活动氛围设计方案新颖、贴合活动内容，邀请专家专业性强知的得6分；</w:t>
            </w:r>
          </w:p>
          <w:p w14:paraId="600F0C0C">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传统工业产品设计、全产业链服务创意整合等工业设计服务专家主题演讲</w:t>
            </w:r>
            <w:r>
              <w:rPr>
                <w:rFonts w:hint="eastAsia" w:ascii="宋体" w:hAnsi="宋体" w:eastAsia="宋体" w:cs="宋体"/>
                <w:szCs w:val="21"/>
                <w:lang w:eastAsia="zh-CN"/>
              </w:rPr>
              <w:t>，</w:t>
            </w:r>
            <w:r>
              <w:rPr>
                <w:rFonts w:hint="eastAsia" w:ascii="宋体" w:hAnsi="宋体" w:eastAsia="宋体" w:cs="宋体"/>
                <w:szCs w:val="21"/>
              </w:rPr>
              <w:t>参与企业互动提问及咨询</w:t>
            </w:r>
            <w:r>
              <w:rPr>
                <w:rFonts w:hint="eastAsia" w:ascii="宋体" w:hAnsi="宋体" w:eastAsia="宋体" w:cs="宋体"/>
                <w:szCs w:val="21"/>
                <w:lang w:val="en-US" w:eastAsia="zh-CN"/>
              </w:rPr>
              <w:t>实施方案基本能贴合项目主题、方案较详细，活动氛围设计方案满足活动需求，邀请专家具备活动所需的专业能力的得4分；</w:t>
            </w:r>
          </w:p>
          <w:p w14:paraId="503CC506">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传统工业产品设计、全产业链服务创意整合等工业设计服务专家主题演讲</w:t>
            </w:r>
            <w:r>
              <w:rPr>
                <w:rFonts w:hint="eastAsia" w:ascii="宋体" w:hAnsi="宋体" w:eastAsia="宋体" w:cs="宋体"/>
                <w:szCs w:val="21"/>
                <w:lang w:eastAsia="zh-CN"/>
              </w:rPr>
              <w:t>，</w:t>
            </w:r>
            <w:r>
              <w:rPr>
                <w:rFonts w:hint="eastAsia" w:ascii="宋体" w:hAnsi="宋体" w:eastAsia="宋体" w:cs="宋体"/>
                <w:szCs w:val="21"/>
              </w:rPr>
              <w:t>参与企业互动提问及咨询</w:t>
            </w:r>
            <w:r>
              <w:rPr>
                <w:rFonts w:hint="eastAsia" w:ascii="宋体" w:hAnsi="宋体" w:eastAsia="宋体" w:cs="宋体"/>
                <w:szCs w:val="21"/>
                <w:lang w:val="en-US" w:eastAsia="zh-CN"/>
              </w:rPr>
              <w:t>实施方案与主题贴合度不紧密、方案粗略，活动氛围设计方案简单，邀请专家专业能力欠缺的得2分；</w:t>
            </w:r>
          </w:p>
          <w:p w14:paraId="15CED622">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4D666580">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6</w:t>
            </w:r>
          </w:p>
        </w:tc>
      </w:tr>
      <w:tr w14:paraId="433D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2EBCDE91">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3B6C6EB8">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val="en-US" w:eastAsia="zh-CN"/>
              </w:rPr>
            </w:pPr>
          </w:p>
        </w:tc>
        <w:tc>
          <w:tcPr>
            <w:tcW w:w="3364" w:type="pct"/>
            <w:noWrap w:val="0"/>
            <w:vAlign w:val="center"/>
          </w:tcPr>
          <w:p w14:paraId="0E8E54D4">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宁波青年企业家座谈沙龙活动</w:t>
            </w:r>
            <w:r>
              <w:rPr>
                <w:rFonts w:hint="eastAsia" w:ascii="宋体" w:hAnsi="宋体" w:eastAsia="宋体" w:cs="宋体"/>
                <w:szCs w:val="21"/>
                <w:lang w:val="en-US" w:eastAsia="zh-CN"/>
              </w:rPr>
              <w:t>实施方案：</w:t>
            </w:r>
          </w:p>
          <w:p w14:paraId="156F69CE">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专题对话研讨，</w:t>
            </w:r>
            <w:r>
              <w:rPr>
                <w:rFonts w:hint="eastAsia" w:ascii="宋体" w:hAnsi="宋体" w:eastAsia="宋体" w:cs="宋体"/>
                <w:szCs w:val="21"/>
              </w:rPr>
              <w:t>青创联合体速配会</w:t>
            </w:r>
            <w:r>
              <w:rPr>
                <w:rFonts w:hint="eastAsia" w:ascii="宋体" w:hAnsi="宋体" w:eastAsia="宋体" w:cs="宋体"/>
                <w:szCs w:val="21"/>
                <w:lang w:val="en-US" w:eastAsia="zh-CN"/>
              </w:rPr>
              <w:t>实施方案贴合项目主题、活动内容新颖、方案包含活动流程、人员分工、物资准备等详细内容的得6分；</w:t>
            </w:r>
          </w:p>
          <w:p w14:paraId="51EDCFE3">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专题对话研讨，</w:t>
            </w:r>
            <w:r>
              <w:rPr>
                <w:rFonts w:hint="eastAsia" w:ascii="宋体" w:hAnsi="宋体" w:eastAsia="宋体" w:cs="宋体"/>
                <w:szCs w:val="21"/>
              </w:rPr>
              <w:t>青创联合体速配会</w:t>
            </w:r>
            <w:r>
              <w:rPr>
                <w:rFonts w:hint="eastAsia" w:ascii="宋体" w:hAnsi="宋体" w:eastAsia="宋体" w:cs="宋体"/>
                <w:szCs w:val="21"/>
                <w:lang w:val="en-US" w:eastAsia="zh-CN"/>
              </w:rPr>
              <w:t>实施方案基本能贴合项目主题、方案包含活动流程、人员分工、物资准备等较详细内容的得4分；</w:t>
            </w:r>
          </w:p>
          <w:p w14:paraId="7021575D">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专题对话研讨，</w:t>
            </w:r>
            <w:r>
              <w:rPr>
                <w:rFonts w:hint="eastAsia" w:ascii="宋体" w:hAnsi="宋体" w:eastAsia="宋体" w:cs="宋体"/>
                <w:szCs w:val="21"/>
              </w:rPr>
              <w:t>青创联合体速配会</w:t>
            </w:r>
            <w:r>
              <w:rPr>
                <w:rFonts w:hint="eastAsia" w:ascii="宋体" w:hAnsi="宋体" w:eastAsia="宋体" w:cs="宋体"/>
                <w:szCs w:val="21"/>
                <w:lang w:val="en-US" w:eastAsia="zh-CN"/>
              </w:rPr>
              <w:t>实施方案与主题贴合度不紧密，活动流程、人员分工、物资准备等方案内容存在缺项或不够详细的得2分；</w:t>
            </w:r>
          </w:p>
          <w:p w14:paraId="73584A36">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0AA7B4EA">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6</w:t>
            </w:r>
          </w:p>
        </w:tc>
      </w:tr>
      <w:tr w14:paraId="2794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4D792E31">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7140EB81">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val="en-US" w:eastAsia="zh-CN"/>
              </w:rPr>
            </w:pPr>
          </w:p>
        </w:tc>
        <w:tc>
          <w:tcPr>
            <w:tcW w:w="3364" w:type="pct"/>
            <w:noWrap w:val="0"/>
            <w:vAlign w:val="center"/>
          </w:tcPr>
          <w:p w14:paraId="5B6E93BE">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rPr>
            </w:pPr>
            <w:r>
              <w:rPr>
                <w:rFonts w:hint="eastAsia" w:ascii="宋体" w:hAnsi="宋体" w:eastAsia="宋体" w:cs="宋体"/>
                <w:szCs w:val="21"/>
              </w:rPr>
              <w:t>宁波民营企业优质项目投资对接活动</w:t>
            </w:r>
            <w:r>
              <w:rPr>
                <w:rFonts w:hint="eastAsia" w:ascii="宋体" w:hAnsi="宋体" w:eastAsia="宋体" w:cs="宋体"/>
                <w:szCs w:val="21"/>
                <w:lang w:val="en-US" w:eastAsia="zh-CN"/>
              </w:rPr>
              <w:t>实施方案：</w:t>
            </w:r>
          </w:p>
          <w:p w14:paraId="03D6B813">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活动内容包含项目展示、投资洽谈、政策解读等，有具体的项目筛选标准，活动形式新颖，方案包含活动全流程、人员分工、风险预案等详细内容的得6分；</w:t>
            </w:r>
          </w:p>
          <w:p w14:paraId="23A1EFFE">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活动内容围绕投资对接主题，有主要活动环节，但形式较常规，方案包含活动主要流程和人员分工，内容较完整的得4分；</w:t>
            </w:r>
          </w:p>
          <w:p w14:paraId="123E96B3">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活动内容与项目投资对接主题联系不紧密，方案仅列出活动大致框架，缺乏具体实施细节的得2分；</w:t>
            </w:r>
          </w:p>
          <w:p w14:paraId="6CFEC2D6">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rPr>
            </w:pPr>
            <w:r>
              <w:rPr>
                <w:rFonts w:hint="eastAsia" w:ascii="宋体" w:hAnsi="宋体" w:eastAsia="宋体" w:cs="宋体"/>
                <w:szCs w:val="21"/>
                <w:lang w:val="en-US" w:eastAsia="zh-CN"/>
              </w:rPr>
              <w:t>未提供本项的不得分。</w:t>
            </w:r>
          </w:p>
        </w:tc>
        <w:tc>
          <w:tcPr>
            <w:tcW w:w="389" w:type="pct"/>
            <w:noWrap w:val="0"/>
            <w:vAlign w:val="center"/>
          </w:tcPr>
          <w:p w14:paraId="54759BCB">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6</w:t>
            </w:r>
          </w:p>
        </w:tc>
      </w:tr>
      <w:tr w14:paraId="0A1F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6AE112C1">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5333F1C7">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eastAsia="zh-CN"/>
              </w:rPr>
            </w:pPr>
          </w:p>
        </w:tc>
        <w:tc>
          <w:tcPr>
            <w:tcW w:w="3364" w:type="pct"/>
            <w:noWrap w:val="0"/>
            <w:vAlign w:val="center"/>
          </w:tcPr>
          <w:p w14:paraId="0C956899">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rPr>
            </w:pPr>
            <w:r>
              <w:rPr>
                <w:rFonts w:hint="eastAsia" w:ascii="宋体" w:hAnsi="宋体" w:eastAsia="宋体" w:cs="宋体"/>
                <w:szCs w:val="21"/>
              </w:rPr>
              <w:t>民营企业培训暨招商对接活动</w:t>
            </w:r>
            <w:r>
              <w:rPr>
                <w:rFonts w:hint="eastAsia" w:ascii="宋体" w:hAnsi="宋体" w:eastAsia="宋体" w:cs="宋体"/>
                <w:szCs w:val="21"/>
                <w:lang w:val="en-US" w:eastAsia="zh-CN"/>
              </w:rPr>
              <w:t>实施方案：</w:t>
            </w:r>
          </w:p>
          <w:p w14:paraId="60D2F642">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活动内容包含企业管理培训、招商政策解读、项目推介等，有具体的培训课程安排、招商项目清单和对接流程，活动形式新颖，方案包含活动全流程、人员分工、效果评估等详细内容的得6分；</w:t>
            </w:r>
          </w:p>
          <w:p w14:paraId="38C1509A">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活动内容围绕培训和招商主题，有主要活动环节，但形式较传统，方案包含活动主要流程和人员分工，内容较完整的得4分；</w:t>
            </w:r>
          </w:p>
          <w:p w14:paraId="02C3CCAA">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活动内容与民营企业培训暨招商对接主题关联度低，方案仅列出活动大致框架，缺乏具体实施细节的得2分；</w:t>
            </w:r>
          </w:p>
          <w:p w14:paraId="71BD6865">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7F4DE65D">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lang w:eastAsia="zh-CN"/>
              </w:rPr>
              <w:t xml:space="preserve"> </w:t>
            </w:r>
          </w:p>
        </w:tc>
      </w:tr>
      <w:tr w14:paraId="0886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33E8C88A">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restart"/>
            <w:noWrap w:val="0"/>
            <w:vAlign w:val="center"/>
          </w:tcPr>
          <w:p w14:paraId="7F889C58">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kern w:val="0"/>
                <w:szCs w:val="21"/>
                <w:lang w:val="en-US" w:eastAsia="zh-CN"/>
              </w:rPr>
              <w:t>宣传活动等实施方案（20分）</w:t>
            </w:r>
          </w:p>
        </w:tc>
        <w:tc>
          <w:tcPr>
            <w:tcW w:w="3364" w:type="pct"/>
            <w:noWrap w:val="0"/>
            <w:vAlign w:val="center"/>
          </w:tcPr>
          <w:p w14:paraId="752DDB8F">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rPr>
              <w:t>宣传活动</w:t>
            </w:r>
            <w:r>
              <w:rPr>
                <w:rFonts w:hint="eastAsia" w:ascii="宋体" w:hAnsi="宋体" w:eastAsia="宋体" w:cs="宋体"/>
                <w:szCs w:val="21"/>
                <w:lang w:val="en-US" w:eastAsia="zh-CN"/>
              </w:rPr>
              <w:t>实施方案：</w:t>
            </w:r>
          </w:p>
          <w:p w14:paraId="16689998">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宣传方式涵盖线上线下多种渠道，如社交媒体推广、户外广告投放、新闻发布会等，有具体的投放计划和预算分配，宣传内容采用图文、视频等多种形式，有创意的宣传文案和设计稿，提供过往类似宣传活动的传播数据，如阅读量、转发量、参与人数等证明传播效果的得6分；</w:t>
            </w:r>
          </w:p>
          <w:p w14:paraId="5352EEC9">
            <w:pPr>
              <w:pageBreakBefore w:val="0"/>
              <w:widowControl w:val="0"/>
              <w:numPr>
                <w:ilvl w:val="0"/>
                <w:numId w:val="0"/>
              </w:numPr>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宣传方式仅采用一种渠道，如仅通过公众号发布信息，宣传内容形式单一，文案缺乏吸引力，无传播效果证明材料的得3分；</w:t>
            </w:r>
          </w:p>
          <w:p w14:paraId="4355B699">
            <w:pPr>
              <w:pageBreakBefore w:val="0"/>
              <w:widowControl w:val="0"/>
              <w:numPr>
                <w:ilvl w:val="0"/>
                <w:numId w:val="0"/>
              </w:numPr>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175B94B0">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eastAsia="zh-CN"/>
              </w:rPr>
            </w:pPr>
            <w:r>
              <w:rPr>
                <w:rFonts w:hint="eastAsia" w:ascii="宋体" w:hAnsi="宋体" w:eastAsia="宋体" w:cs="宋体"/>
                <w:lang w:val="en-US" w:eastAsia="zh-CN"/>
              </w:rPr>
              <w:t xml:space="preserve">6 </w:t>
            </w:r>
          </w:p>
        </w:tc>
      </w:tr>
      <w:tr w14:paraId="0644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193E7BBA">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55F7D584">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kern w:val="0"/>
                <w:szCs w:val="21"/>
                <w:lang w:val="en-US" w:eastAsia="zh-CN"/>
              </w:rPr>
            </w:pPr>
          </w:p>
        </w:tc>
        <w:tc>
          <w:tcPr>
            <w:tcW w:w="3364" w:type="pct"/>
            <w:noWrap w:val="0"/>
            <w:vAlign w:val="center"/>
          </w:tcPr>
          <w:p w14:paraId="0F2FFC26">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rPr>
              <w:t>新闻专题</w:t>
            </w:r>
            <w:r>
              <w:rPr>
                <w:rFonts w:hint="eastAsia" w:ascii="宋体" w:hAnsi="宋体" w:eastAsia="宋体" w:cs="宋体"/>
                <w:szCs w:val="21"/>
                <w:lang w:val="en-US" w:eastAsia="zh-CN"/>
              </w:rPr>
              <w:t>实施方案：</w:t>
            </w:r>
          </w:p>
          <w:p w14:paraId="6B3C9C84">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方案包含新闻专题的选题策划、采访对象选择、拍摄制作流程等详细内容，选题紧扣宁波品牌特色，有具体的传播渠道规划，如在主流媒体、地方媒体、新媒体平台发布，提供预期效果评估指标，如品牌知名度提升幅度、媒体曝光量等的得6分；</w:t>
            </w:r>
          </w:p>
          <w:p w14:paraId="60E6C4AC">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方案仅简单列出新闻专题的基本框架，缺乏深入的策划内容，传播渠道单一，缺乏详细规划，无明确的预期效果评估指标的得3分；</w:t>
            </w:r>
          </w:p>
          <w:p w14:paraId="11FB97FA">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53EF52CE">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6</w:t>
            </w:r>
          </w:p>
        </w:tc>
      </w:tr>
      <w:tr w14:paraId="48C6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19E183E5">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5FB0782F">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kern w:val="0"/>
                <w:szCs w:val="21"/>
              </w:rPr>
            </w:pPr>
          </w:p>
        </w:tc>
        <w:tc>
          <w:tcPr>
            <w:tcW w:w="3364" w:type="pct"/>
            <w:noWrap w:val="0"/>
            <w:vAlign w:val="center"/>
          </w:tcPr>
          <w:p w14:paraId="60EFBCB3">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rPr>
              <w:t>全媒体访谈</w:t>
            </w:r>
            <w:r>
              <w:rPr>
                <w:rFonts w:hint="eastAsia" w:ascii="宋体" w:hAnsi="宋体" w:eastAsia="宋体" w:cs="宋体"/>
                <w:szCs w:val="21"/>
                <w:lang w:val="en-US" w:eastAsia="zh-CN"/>
              </w:rPr>
              <w:t>实施方案</w:t>
            </w:r>
          </w:p>
          <w:p w14:paraId="6FE3021E">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访谈嘉宾为宁波知名企业家、行业专家或政府领导，提供嘉宾的社会影响力证明材料丰富，如荣誉证书、媒体报道等，实施方案包含访谈提纲、录制流程、后期制作等详细内容，传播渠道涵盖电视、广播、网络、社交媒体等，有具体的发布计划和时间安排的得4分；</w:t>
            </w:r>
          </w:p>
          <w:p w14:paraId="32431C3D">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访谈嘉宾知名度较低，无相关影响力证明材料，实施方案仅列出访谈基本流程，缺乏细节，传播渠道仅选择一种平台，如仅在官网发布的得2分；</w:t>
            </w:r>
          </w:p>
          <w:p w14:paraId="56C07861">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36496DEC">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eastAsia="zh-CN"/>
              </w:rPr>
            </w:pPr>
            <w:r>
              <w:rPr>
                <w:rFonts w:hint="eastAsia" w:ascii="宋体" w:hAnsi="宋体" w:eastAsia="宋体" w:cs="宋体"/>
                <w:lang w:val="en-US" w:eastAsia="zh-CN"/>
              </w:rPr>
              <w:t xml:space="preserve">4 </w:t>
            </w:r>
          </w:p>
        </w:tc>
      </w:tr>
      <w:tr w14:paraId="3D28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364FD6F8">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vMerge w:val="continue"/>
            <w:noWrap w:val="0"/>
            <w:vAlign w:val="center"/>
          </w:tcPr>
          <w:p w14:paraId="42309E55">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kern w:val="0"/>
                <w:szCs w:val="21"/>
              </w:rPr>
            </w:pPr>
          </w:p>
        </w:tc>
        <w:tc>
          <w:tcPr>
            <w:tcW w:w="3364" w:type="pct"/>
            <w:noWrap w:val="0"/>
            <w:vAlign w:val="center"/>
          </w:tcPr>
          <w:p w14:paraId="7DB95171">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rPr>
              <w:t>系列活动报道</w:t>
            </w:r>
            <w:r>
              <w:rPr>
                <w:rFonts w:hint="eastAsia" w:ascii="宋体" w:hAnsi="宋体" w:eastAsia="宋体" w:cs="宋体"/>
                <w:szCs w:val="21"/>
                <w:lang w:val="en-US" w:eastAsia="zh-CN"/>
              </w:rPr>
              <w:t>实施方案</w:t>
            </w:r>
          </w:p>
          <w:p w14:paraId="07B94EEC">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报道方案包含活动前期预热、现场报道、后期回顾等阶段的详细安排，明确各阶段的时间节点和报道重点，采用文字、图片、视频等多种形式进行报道，有具体的拍摄和撰写计划，传播方式涵盖新闻网站、社交媒体、行业论坛等，有详细的发布策略的得4分；</w:t>
            </w:r>
          </w:p>
          <w:p w14:paraId="5DB6BBEE">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报道方案仅列出活动报道的大致框架，无具体时间安排，报道形式仅采用文字报道，传播方式仅选择一种平台，如仅在内部通讯发布的得2分；</w:t>
            </w:r>
          </w:p>
          <w:p w14:paraId="5E02DD1B">
            <w:pPr>
              <w:pageBreakBefore w:val="0"/>
              <w:widowControl w:val="0"/>
              <w:kinsoku/>
              <w:wordWrap/>
              <w:overflowPunct/>
              <w:topLinePunct w:val="0"/>
              <w:autoSpaceDE/>
              <w:autoSpaceDN/>
              <w:bidi w:val="0"/>
              <w:spacing w:line="400" w:lineRule="exact"/>
              <w:ind w:left="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41910849">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4</w:t>
            </w:r>
          </w:p>
        </w:tc>
      </w:tr>
      <w:tr w14:paraId="77DF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3AF32439">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noWrap w:val="0"/>
            <w:vAlign w:val="center"/>
          </w:tcPr>
          <w:p w14:paraId="04AE34D1">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val="en-US" w:eastAsia="zh-CN"/>
              </w:rPr>
            </w:pPr>
            <w:r>
              <w:rPr>
                <w:rFonts w:hint="eastAsia" w:ascii="宋体" w:hAnsi="宋体" w:eastAsia="宋体" w:cs="宋体"/>
                <w:kern w:val="0"/>
                <w:szCs w:val="21"/>
                <w:lang w:val="en-US" w:eastAsia="zh-CN"/>
              </w:rPr>
              <w:t>品牌报告实施方案（6分）</w:t>
            </w:r>
          </w:p>
        </w:tc>
        <w:tc>
          <w:tcPr>
            <w:tcW w:w="3364" w:type="pct"/>
            <w:noWrap w:val="0"/>
            <w:vAlign w:val="center"/>
          </w:tcPr>
          <w:p w14:paraId="25F1EF22">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报告对宁波品牌的市场现状、竞争态势、发展趋势等进行全面深入分析，有具体的分析模型和方法说明，数据来源可靠，采用科学的数据处理方法，如统计学分析、大数据挖掘等，有数据处理流程和工具说明，实施方案包含报告撰写流程、人员分工、质量控制等详细内容的得6分；</w:t>
            </w:r>
          </w:p>
          <w:p w14:paraId="06B534CD">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报告对品牌进行了分析，但部分内容不够深入，缺乏细节，数据处理方法科学，但数据来源和处理流程说明不够详细，实施方案包含主要流程和人员分工，内容较完整的得4分；</w:t>
            </w:r>
          </w:p>
          <w:p w14:paraId="5C9C7AF6">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报告仅对品牌进行简单描述，缺乏系统性分析，无数据处理方法说明，数据来源不明，实施方案仅列出大致框架，缺乏具体实施细节的得2分；</w:t>
            </w:r>
          </w:p>
          <w:p w14:paraId="13AA400C">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0C7F802F">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 xml:space="preserve">6 </w:t>
            </w:r>
          </w:p>
        </w:tc>
      </w:tr>
      <w:tr w14:paraId="6C66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3017C12F">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noWrap w:val="0"/>
            <w:vAlign w:val="center"/>
          </w:tcPr>
          <w:p w14:paraId="5AA5FFDC">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配套活动实施方案（5分）</w:t>
            </w:r>
          </w:p>
        </w:tc>
        <w:tc>
          <w:tcPr>
            <w:tcW w:w="3364" w:type="pct"/>
            <w:noWrap w:val="0"/>
            <w:vAlign w:val="center"/>
          </w:tcPr>
          <w:p w14:paraId="07FAD048">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配套活动实施方案详细，安排合理，方式多样，吸引力强，有具体的活动流程、时间的得5分；</w:t>
            </w:r>
          </w:p>
          <w:p w14:paraId="106AF79D">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配套活动实施方案基本合理，方式多样，吸引力较强，有基本的活动流程、时间的得3分；</w:t>
            </w:r>
          </w:p>
          <w:p w14:paraId="17028319">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配套活动实施方案简单，方式单一，缺乏吸引力，活动流程仅列出大致框架，时间节点不明确的得1分；</w:t>
            </w:r>
          </w:p>
          <w:p w14:paraId="70787CD6">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未提供本项的不得分。</w:t>
            </w:r>
          </w:p>
        </w:tc>
        <w:tc>
          <w:tcPr>
            <w:tcW w:w="389" w:type="pct"/>
            <w:noWrap w:val="0"/>
            <w:vAlign w:val="center"/>
          </w:tcPr>
          <w:p w14:paraId="73ACB508">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5</w:t>
            </w:r>
          </w:p>
        </w:tc>
      </w:tr>
      <w:tr w14:paraId="1304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6CB1CABE">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noWrap w:val="0"/>
            <w:vAlign w:val="center"/>
          </w:tcPr>
          <w:p w14:paraId="79545A0C">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eastAsia="zh-CN"/>
              </w:rPr>
            </w:pPr>
            <w:r>
              <w:rPr>
                <w:rFonts w:hint="eastAsia" w:ascii="宋体" w:hAnsi="宋体" w:eastAsia="宋体" w:cs="宋体"/>
                <w:szCs w:val="21"/>
              </w:rPr>
              <w:t>总体进度计划方案</w:t>
            </w:r>
            <w:r>
              <w:rPr>
                <w:rFonts w:hint="eastAsia" w:ascii="宋体" w:hAnsi="宋体" w:eastAsia="宋体" w:cs="宋体"/>
                <w:szCs w:val="21"/>
                <w:lang w:eastAsia="zh-CN"/>
              </w:rPr>
              <w:t>（</w:t>
            </w:r>
            <w:r>
              <w:rPr>
                <w:rFonts w:hint="eastAsia" w:ascii="宋体" w:hAnsi="宋体" w:eastAsia="宋体" w:cs="宋体"/>
                <w:szCs w:val="21"/>
                <w:lang w:val="en-US" w:eastAsia="zh-CN"/>
              </w:rPr>
              <w:t>6分</w:t>
            </w:r>
            <w:r>
              <w:rPr>
                <w:rFonts w:hint="eastAsia" w:ascii="宋体" w:hAnsi="宋体" w:eastAsia="宋体" w:cs="宋体"/>
                <w:szCs w:val="21"/>
                <w:lang w:eastAsia="zh-CN"/>
              </w:rPr>
              <w:t>）</w:t>
            </w:r>
          </w:p>
        </w:tc>
        <w:tc>
          <w:tcPr>
            <w:tcW w:w="3364" w:type="pct"/>
            <w:noWrap w:val="0"/>
            <w:vAlign w:val="center"/>
          </w:tcPr>
          <w:p w14:paraId="36DBDDD0">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eastAsia="zh-CN"/>
              </w:rPr>
            </w:pPr>
            <w:r>
              <w:rPr>
                <w:rFonts w:hint="eastAsia" w:ascii="宋体" w:hAnsi="宋体" w:eastAsia="宋体" w:cs="宋体"/>
                <w:szCs w:val="21"/>
              </w:rPr>
              <w:t>根据供应商提供的总体进度计划方案（包括活动进度安排、活动现场进度安排及主要工作安排）是否合理、可行性进行综合评议</w:t>
            </w:r>
            <w:r>
              <w:rPr>
                <w:rFonts w:hint="eastAsia" w:ascii="宋体" w:hAnsi="宋体" w:eastAsia="宋体" w:cs="宋体"/>
                <w:szCs w:val="21"/>
                <w:lang w:eastAsia="zh-CN"/>
              </w:rPr>
              <w:t>：</w:t>
            </w:r>
          </w:p>
          <w:p w14:paraId="7908B0EF">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总体进度计划方案包含活动筹备期、进行期、收尾期等阶段的详细进度安排，活动现场进度安排精确到小时，明确各环节衔接方式及责任人</w:t>
            </w:r>
            <w:r>
              <w:rPr>
                <w:rFonts w:hint="eastAsia" w:ascii="宋体" w:hAnsi="宋体" w:eastAsia="宋体" w:cs="宋体"/>
                <w:szCs w:val="21"/>
                <w:lang w:eastAsia="zh-CN"/>
              </w:rPr>
              <w:t>，</w:t>
            </w:r>
            <w:r>
              <w:rPr>
                <w:rFonts w:hint="eastAsia" w:ascii="宋体" w:hAnsi="宋体" w:eastAsia="宋体" w:cs="宋体"/>
                <w:szCs w:val="21"/>
              </w:rPr>
              <w:t>主要工作安排包含工作内容、开始时间、结束时间、负责人员、资源需求等要素的得6分；</w:t>
            </w:r>
          </w:p>
          <w:p w14:paraId="33195C2A">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总体进度计划方案涵盖活动主要阶段的进度安排，活动现场进度安排标注到半天，有基本的环节衔接说明</w:t>
            </w:r>
            <w:r>
              <w:rPr>
                <w:rFonts w:hint="eastAsia" w:ascii="宋体" w:hAnsi="宋体" w:eastAsia="宋体" w:cs="宋体"/>
                <w:szCs w:val="21"/>
                <w:lang w:eastAsia="zh-CN"/>
              </w:rPr>
              <w:t>，</w:t>
            </w:r>
            <w:r>
              <w:rPr>
                <w:rFonts w:hint="eastAsia" w:ascii="宋体" w:hAnsi="宋体" w:eastAsia="宋体" w:cs="宋体"/>
                <w:szCs w:val="21"/>
              </w:rPr>
              <w:t>主要工作安排包含大部分要素，但部分内容简略的得4分；</w:t>
            </w:r>
          </w:p>
          <w:p w14:paraId="0C02E90E">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总体进度计划方案仅列出活动阶段，未细分具体工作</w:t>
            </w:r>
            <w:r>
              <w:rPr>
                <w:rFonts w:hint="eastAsia" w:ascii="宋体" w:hAnsi="宋体" w:eastAsia="宋体" w:cs="宋体"/>
                <w:szCs w:val="21"/>
                <w:lang w:eastAsia="zh-CN"/>
              </w:rPr>
              <w:t>，</w:t>
            </w:r>
            <w:r>
              <w:rPr>
                <w:rFonts w:hint="eastAsia" w:ascii="宋体" w:hAnsi="宋体" w:eastAsia="宋体" w:cs="宋体"/>
                <w:szCs w:val="21"/>
              </w:rPr>
              <w:t>时间安排模糊，无现场进度详细规划</w:t>
            </w:r>
            <w:r>
              <w:rPr>
                <w:rFonts w:hint="eastAsia" w:ascii="宋体" w:hAnsi="宋体" w:eastAsia="宋体" w:cs="宋体"/>
                <w:szCs w:val="21"/>
                <w:lang w:eastAsia="zh-CN"/>
              </w:rPr>
              <w:t>，</w:t>
            </w:r>
            <w:r>
              <w:rPr>
                <w:rFonts w:hint="eastAsia" w:ascii="宋体" w:hAnsi="宋体" w:eastAsia="宋体" w:cs="宋体"/>
                <w:szCs w:val="21"/>
              </w:rPr>
              <w:t>主要工作安排内容缺失较多的得2分；</w:t>
            </w:r>
          </w:p>
          <w:p w14:paraId="0E75FCF0">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lang w:val="en-US" w:eastAsia="zh-CN"/>
              </w:rPr>
              <w:t>未提供本项的不得分</w:t>
            </w:r>
            <w:r>
              <w:rPr>
                <w:rFonts w:hint="eastAsia" w:ascii="宋体" w:hAnsi="宋体" w:eastAsia="宋体" w:cs="宋体"/>
                <w:szCs w:val="21"/>
              </w:rPr>
              <w:t>。</w:t>
            </w:r>
          </w:p>
        </w:tc>
        <w:tc>
          <w:tcPr>
            <w:tcW w:w="389" w:type="pct"/>
            <w:noWrap w:val="0"/>
            <w:vAlign w:val="center"/>
          </w:tcPr>
          <w:p w14:paraId="0ACAFA35">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rPr>
            </w:pPr>
            <w:r>
              <w:rPr>
                <w:rFonts w:hint="eastAsia" w:ascii="宋体" w:hAnsi="宋体" w:eastAsia="宋体" w:cs="宋体"/>
              </w:rPr>
              <w:t>6</w:t>
            </w:r>
          </w:p>
        </w:tc>
      </w:tr>
      <w:tr w14:paraId="610A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2802384A">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noWrap w:val="0"/>
            <w:vAlign w:val="center"/>
          </w:tcPr>
          <w:p w14:paraId="17D8124B">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eastAsia="zh-CN"/>
              </w:rPr>
            </w:pPr>
            <w:r>
              <w:rPr>
                <w:rFonts w:hint="eastAsia" w:ascii="宋体" w:hAnsi="宋体" w:eastAsia="宋体" w:cs="宋体"/>
                <w:szCs w:val="21"/>
              </w:rPr>
              <w:t>项目负责人</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tc>
        <w:tc>
          <w:tcPr>
            <w:tcW w:w="3364" w:type="pct"/>
            <w:noWrap w:val="0"/>
            <w:vAlign w:val="center"/>
          </w:tcPr>
          <w:p w14:paraId="56089AD7">
            <w:pPr>
              <w:pStyle w:val="6"/>
              <w:pageBreakBefore w:val="0"/>
              <w:widowControl w:val="0"/>
              <w:kinsoku/>
              <w:wordWrap/>
              <w:overflowPunct/>
              <w:topLinePunct w:val="0"/>
              <w:autoSpaceDE/>
              <w:autoSpaceDN/>
              <w:bidi w:val="0"/>
              <w:spacing w:line="400" w:lineRule="exact"/>
              <w:ind w:left="0" w:right="0" w:firstLine="0"/>
              <w:rPr>
                <w:rFonts w:hint="eastAsia" w:ascii="宋体" w:hAnsi="宋体" w:eastAsia="宋体" w:cs="宋体"/>
                <w:szCs w:val="21"/>
                <w:lang w:eastAsia="zh-CN"/>
              </w:rPr>
            </w:pPr>
            <w:r>
              <w:rPr>
                <w:rFonts w:hint="eastAsia" w:ascii="宋体" w:hAnsi="宋体" w:eastAsia="宋体" w:cs="宋体"/>
                <w:szCs w:val="21"/>
              </w:rPr>
              <w:t>项目负责人具有与本项目服务内容相关的高级及以上职称（包含但不限于编辑、播音主持人等）的得</w:t>
            </w:r>
            <w:r>
              <w:rPr>
                <w:rFonts w:hint="eastAsia" w:ascii="宋体" w:hAnsi="宋体" w:eastAsia="宋体" w:cs="宋体"/>
                <w:szCs w:val="21"/>
                <w:lang w:val="en-US" w:eastAsia="zh-CN"/>
              </w:rPr>
              <w:t>2</w:t>
            </w:r>
            <w:r>
              <w:rPr>
                <w:rFonts w:hint="eastAsia" w:ascii="宋体" w:hAnsi="宋体" w:eastAsia="宋体" w:cs="宋体"/>
                <w:szCs w:val="21"/>
              </w:rPr>
              <w:t>分；具有类似项目（活动）项目负责人经验的得</w:t>
            </w:r>
            <w:r>
              <w:rPr>
                <w:rFonts w:hint="eastAsia" w:ascii="宋体" w:hAnsi="宋体" w:eastAsia="宋体" w:cs="宋体"/>
                <w:szCs w:val="21"/>
                <w:lang w:val="en-US" w:eastAsia="zh-CN"/>
              </w:rPr>
              <w:t>1</w:t>
            </w:r>
            <w:r>
              <w:rPr>
                <w:rFonts w:hint="eastAsia" w:ascii="宋体" w:hAnsi="宋体" w:eastAsia="宋体" w:cs="宋体"/>
                <w:szCs w:val="21"/>
              </w:rPr>
              <w:t>分。</w:t>
            </w:r>
          </w:p>
          <w:p w14:paraId="5DB83973">
            <w:pPr>
              <w:pStyle w:val="6"/>
              <w:pageBreakBefore w:val="0"/>
              <w:widowControl w:val="0"/>
              <w:kinsoku/>
              <w:wordWrap/>
              <w:overflowPunct/>
              <w:topLinePunct w:val="0"/>
              <w:autoSpaceDE/>
              <w:autoSpaceDN/>
              <w:bidi w:val="0"/>
              <w:spacing w:line="400" w:lineRule="exact"/>
              <w:ind w:left="0" w:right="0" w:firstLine="0"/>
              <w:rPr>
                <w:rFonts w:hint="eastAsia" w:ascii="宋体" w:hAnsi="宋体" w:eastAsia="宋体" w:cs="宋体"/>
                <w:szCs w:val="21"/>
              </w:rPr>
            </w:pPr>
            <w:r>
              <w:rPr>
                <w:rFonts w:hint="eastAsia" w:ascii="宋体" w:hAnsi="宋体" w:eastAsia="宋体" w:cs="宋体"/>
                <w:b/>
                <w:bCs/>
                <w:szCs w:val="21"/>
              </w:rPr>
              <w:t>注：响应文件</w:t>
            </w:r>
            <w:r>
              <w:rPr>
                <w:rFonts w:hint="eastAsia" w:ascii="宋体" w:hAnsi="宋体" w:eastAsia="宋体" w:cs="宋体"/>
                <w:b/>
                <w:bCs/>
                <w:szCs w:val="21"/>
                <w:lang w:val="en-US" w:eastAsia="zh-CN"/>
              </w:rPr>
              <w:t>中</w:t>
            </w:r>
            <w:r>
              <w:rPr>
                <w:rFonts w:hint="eastAsia" w:ascii="宋体" w:hAnsi="宋体" w:eastAsia="宋体" w:cs="宋体"/>
                <w:b/>
                <w:bCs/>
                <w:szCs w:val="21"/>
              </w:rPr>
              <w:t>提供</w:t>
            </w:r>
            <w:r>
              <w:rPr>
                <w:rFonts w:hint="eastAsia" w:ascii="宋体" w:hAnsi="宋体" w:eastAsia="宋体" w:cs="宋体"/>
                <w:b/>
                <w:bCs/>
                <w:szCs w:val="21"/>
                <w:lang w:val="en-US" w:eastAsia="zh-CN"/>
              </w:rPr>
              <w:t>项目负责人</w:t>
            </w:r>
            <w:r>
              <w:rPr>
                <w:rFonts w:hint="eastAsia" w:ascii="宋体" w:hAnsi="宋体" w:eastAsia="宋体" w:cs="宋体"/>
                <w:b/>
                <w:bCs/>
                <w:szCs w:val="21"/>
              </w:rPr>
              <w:t>职称</w:t>
            </w:r>
            <w:r>
              <w:rPr>
                <w:rFonts w:hint="eastAsia" w:ascii="宋体" w:hAnsi="宋体" w:eastAsia="宋体" w:cs="宋体"/>
                <w:b/>
                <w:bCs/>
                <w:szCs w:val="21"/>
                <w:lang w:val="en-US" w:eastAsia="zh-CN"/>
              </w:rPr>
              <w:t>证书复印件</w:t>
            </w:r>
            <w:r>
              <w:rPr>
                <w:rFonts w:hint="eastAsia" w:ascii="宋体" w:hAnsi="宋体" w:eastAsia="宋体" w:cs="宋体"/>
                <w:b/>
                <w:bCs/>
                <w:szCs w:val="21"/>
              </w:rPr>
              <w:t>、</w:t>
            </w:r>
            <w:r>
              <w:rPr>
                <w:rFonts w:hint="eastAsia" w:ascii="宋体" w:hAnsi="宋体" w:eastAsia="宋体" w:cs="宋体"/>
                <w:b/>
                <w:bCs/>
                <w:szCs w:val="21"/>
                <w:lang w:val="en-US" w:eastAsia="zh-CN"/>
              </w:rPr>
              <w:t>类似项目（活动）项目负责人经验的相关证明材料复印件并加盖供应商公章，否则不得分</w:t>
            </w:r>
            <w:r>
              <w:rPr>
                <w:rFonts w:hint="eastAsia" w:ascii="宋体" w:hAnsi="宋体" w:eastAsia="宋体" w:cs="宋体"/>
                <w:b/>
                <w:bCs/>
                <w:szCs w:val="21"/>
              </w:rPr>
              <w:t>。</w:t>
            </w:r>
          </w:p>
        </w:tc>
        <w:tc>
          <w:tcPr>
            <w:tcW w:w="389" w:type="pct"/>
            <w:noWrap w:val="0"/>
            <w:vAlign w:val="center"/>
          </w:tcPr>
          <w:p w14:paraId="17C00063">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eastAsia="zh-CN"/>
              </w:rPr>
            </w:pPr>
            <w:r>
              <w:rPr>
                <w:rFonts w:hint="eastAsia" w:ascii="宋体" w:hAnsi="宋体" w:eastAsia="宋体" w:cs="宋体"/>
                <w:lang w:val="en-US" w:eastAsia="zh-CN"/>
              </w:rPr>
              <w:t>3</w:t>
            </w:r>
          </w:p>
        </w:tc>
      </w:tr>
      <w:tr w14:paraId="3D36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089A5956">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noWrap w:val="0"/>
            <w:vAlign w:val="center"/>
          </w:tcPr>
          <w:p w14:paraId="1F6766FB">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项目团队人员投入安排</w:t>
            </w:r>
          </w:p>
          <w:p w14:paraId="7B395224">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p>
        </w:tc>
        <w:tc>
          <w:tcPr>
            <w:tcW w:w="3364" w:type="pct"/>
            <w:noWrap w:val="0"/>
            <w:vAlign w:val="center"/>
          </w:tcPr>
          <w:p w14:paraId="1D282F47">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对拟投入本项目的团队人员（除项目负责人外）的专业，分工、项目经验等进行综合评议：</w:t>
            </w:r>
          </w:p>
          <w:p w14:paraId="7ABCCE90">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团队人员涵盖活动策划、宣传推广、现场执行等专业</w:t>
            </w:r>
            <w:r>
              <w:rPr>
                <w:rFonts w:hint="eastAsia" w:ascii="宋体" w:hAnsi="宋体" w:eastAsia="宋体" w:cs="宋体"/>
                <w:szCs w:val="21"/>
                <w:lang w:eastAsia="zh-CN"/>
              </w:rPr>
              <w:t>，</w:t>
            </w:r>
            <w:r>
              <w:rPr>
                <w:rFonts w:hint="eastAsia" w:ascii="宋体" w:hAnsi="宋体" w:eastAsia="宋体" w:cs="宋体"/>
                <w:szCs w:val="21"/>
              </w:rPr>
              <w:t>岗位配备齐全，分工明确、类似经验丰富、专业技能强的得</w:t>
            </w:r>
            <w:r>
              <w:rPr>
                <w:rFonts w:hint="eastAsia" w:ascii="宋体" w:hAnsi="宋体" w:eastAsia="宋体" w:cs="宋体"/>
                <w:szCs w:val="21"/>
                <w:lang w:val="en-US" w:eastAsia="zh-CN"/>
              </w:rPr>
              <w:t>3</w:t>
            </w:r>
            <w:r>
              <w:rPr>
                <w:rFonts w:hint="eastAsia" w:ascii="宋体" w:hAnsi="宋体" w:eastAsia="宋体" w:cs="宋体"/>
                <w:szCs w:val="21"/>
              </w:rPr>
              <w:t>分；</w:t>
            </w:r>
          </w:p>
          <w:p w14:paraId="321DC3C2">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团队人员涵盖活动策划、宣传推广、现场执行等专业</w:t>
            </w:r>
            <w:r>
              <w:rPr>
                <w:rFonts w:hint="eastAsia" w:ascii="宋体" w:hAnsi="宋体" w:eastAsia="宋体" w:cs="宋体"/>
                <w:szCs w:val="21"/>
                <w:lang w:val="en-US" w:eastAsia="zh-CN"/>
              </w:rPr>
              <w:t>但存在兼任现象</w:t>
            </w:r>
            <w:r>
              <w:rPr>
                <w:rFonts w:hint="eastAsia" w:ascii="宋体" w:hAnsi="宋体" w:eastAsia="宋体" w:cs="宋体"/>
                <w:szCs w:val="21"/>
                <w:lang w:eastAsia="zh-CN"/>
              </w:rPr>
              <w:t>，</w:t>
            </w:r>
            <w:r>
              <w:rPr>
                <w:rFonts w:hint="eastAsia" w:ascii="宋体" w:hAnsi="宋体" w:eastAsia="宋体" w:cs="宋体"/>
                <w:szCs w:val="21"/>
                <w:lang w:val="en-US" w:eastAsia="zh-CN"/>
              </w:rPr>
              <w:t>岗位配备</w:t>
            </w:r>
            <w:r>
              <w:rPr>
                <w:rFonts w:hint="eastAsia" w:ascii="宋体" w:hAnsi="宋体" w:eastAsia="宋体" w:cs="宋体"/>
                <w:szCs w:val="21"/>
              </w:rPr>
              <w:t>较齐全、分工较明确、类似经验较丰富、专业技能较强的得</w:t>
            </w:r>
            <w:r>
              <w:rPr>
                <w:rFonts w:hint="eastAsia" w:ascii="宋体" w:hAnsi="宋体" w:eastAsia="宋体" w:cs="宋体"/>
                <w:szCs w:val="21"/>
                <w:lang w:val="en-US" w:eastAsia="zh-CN"/>
              </w:rPr>
              <w:t>2</w:t>
            </w:r>
            <w:r>
              <w:rPr>
                <w:rFonts w:hint="eastAsia" w:ascii="宋体" w:hAnsi="宋体" w:eastAsia="宋体" w:cs="宋体"/>
                <w:szCs w:val="21"/>
              </w:rPr>
              <w:t>分；</w:t>
            </w:r>
          </w:p>
          <w:p w14:paraId="36AEF138">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val="en-US" w:eastAsia="zh-CN"/>
              </w:rPr>
            </w:pPr>
            <w:r>
              <w:rPr>
                <w:rFonts w:hint="eastAsia" w:ascii="宋体" w:hAnsi="宋体" w:eastAsia="宋体" w:cs="宋体"/>
                <w:szCs w:val="21"/>
              </w:rPr>
              <w:t>团队人员</w:t>
            </w:r>
            <w:r>
              <w:rPr>
                <w:rFonts w:hint="eastAsia" w:ascii="宋体" w:hAnsi="宋体" w:eastAsia="宋体" w:cs="宋体"/>
                <w:szCs w:val="21"/>
                <w:lang w:val="en-US" w:eastAsia="zh-CN"/>
              </w:rPr>
              <w:t>仅</w:t>
            </w:r>
            <w:r>
              <w:rPr>
                <w:rFonts w:hint="eastAsia" w:ascii="宋体" w:hAnsi="宋体" w:eastAsia="宋体" w:cs="宋体"/>
                <w:szCs w:val="21"/>
              </w:rPr>
              <w:t>涵盖活动策划</w:t>
            </w:r>
            <w:r>
              <w:rPr>
                <w:rFonts w:hint="eastAsia" w:ascii="宋体" w:hAnsi="宋体" w:eastAsia="宋体" w:cs="宋体"/>
                <w:szCs w:val="21"/>
                <w:lang w:val="en-US" w:eastAsia="zh-CN"/>
              </w:rPr>
              <w:t>或</w:t>
            </w:r>
            <w:r>
              <w:rPr>
                <w:rFonts w:hint="eastAsia" w:ascii="宋体" w:hAnsi="宋体" w:eastAsia="宋体" w:cs="宋体"/>
                <w:szCs w:val="21"/>
              </w:rPr>
              <w:t>宣传推广</w:t>
            </w:r>
            <w:r>
              <w:rPr>
                <w:rFonts w:hint="eastAsia" w:ascii="宋体" w:hAnsi="宋体" w:eastAsia="宋体" w:cs="宋体"/>
                <w:szCs w:val="21"/>
                <w:lang w:val="en-US" w:eastAsia="zh-CN"/>
              </w:rPr>
              <w:t>或</w:t>
            </w:r>
            <w:r>
              <w:rPr>
                <w:rFonts w:hint="eastAsia" w:ascii="宋体" w:hAnsi="宋体" w:eastAsia="宋体" w:cs="宋体"/>
                <w:szCs w:val="21"/>
              </w:rPr>
              <w:t>现场执行等专业</w:t>
            </w:r>
            <w:r>
              <w:rPr>
                <w:rFonts w:hint="eastAsia" w:ascii="宋体" w:hAnsi="宋体" w:eastAsia="宋体" w:cs="宋体"/>
                <w:szCs w:val="21"/>
                <w:lang w:val="en-US" w:eastAsia="zh-CN"/>
              </w:rPr>
              <w:t>其中一项</w:t>
            </w:r>
            <w:r>
              <w:rPr>
                <w:rFonts w:hint="eastAsia" w:ascii="宋体" w:hAnsi="宋体" w:eastAsia="宋体" w:cs="宋体"/>
                <w:szCs w:val="21"/>
                <w:lang w:eastAsia="zh-CN"/>
              </w:rPr>
              <w:t>，</w:t>
            </w:r>
            <w:r>
              <w:rPr>
                <w:rFonts w:hint="eastAsia" w:ascii="宋体" w:hAnsi="宋体" w:eastAsia="宋体" w:cs="宋体"/>
                <w:szCs w:val="21"/>
                <w:lang w:val="en-US" w:eastAsia="zh-CN"/>
              </w:rPr>
              <w:t>人员配置存在明显不足，分工模糊，</w:t>
            </w:r>
            <w:r>
              <w:rPr>
                <w:rFonts w:hint="eastAsia" w:ascii="宋体" w:hAnsi="宋体" w:eastAsia="宋体" w:cs="宋体"/>
                <w:szCs w:val="21"/>
              </w:rPr>
              <w:t>类似项目经验较少或</w:t>
            </w:r>
            <w:r>
              <w:rPr>
                <w:rFonts w:hint="eastAsia" w:ascii="宋体" w:hAnsi="宋体" w:eastAsia="宋体" w:cs="宋体"/>
                <w:szCs w:val="21"/>
                <w:lang w:val="en-US" w:eastAsia="zh-CN"/>
              </w:rPr>
              <w:t>缺乏，</w:t>
            </w:r>
            <w:r>
              <w:rPr>
                <w:rFonts w:hint="eastAsia" w:ascii="宋体" w:hAnsi="宋体" w:eastAsia="宋体" w:cs="宋体"/>
                <w:szCs w:val="21"/>
              </w:rPr>
              <w:t>专业技能</w:t>
            </w:r>
            <w:r>
              <w:rPr>
                <w:rFonts w:hint="eastAsia" w:ascii="宋体" w:hAnsi="宋体" w:eastAsia="宋体" w:cs="宋体"/>
                <w:szCs w:val="21"/>
                <w:lang w:val="en-US" w:eastAsia="zh-CN"/>
              </w:rPr>
              <w:t>不足的得1分；</w:t>
            </w:r>
          </w:p>
          <w:p w14:paraId="39F620A1">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lang w:eastAsia="zh-CN"/>
              </w:rPr>
            </w:pPr>
            <w:r>
              <w:rPr>
                <w:rFonts w:hint="eastAsia" w:ascii="宋体" w:hAnsi="宋体" w:eastAsia="宋体" w:cs="宋体"/>
                <w:szCs w:val="21"/>
                <w:lang w:val="en-US" w:eastAsia="zh-CN"/>
              </w:rPr>
              <w:t>未提供本项的不得分</w:t>
            </w:r>
            <w:r>
              <w:rPr>
                <w:rFonts w:hint="eastAsia" w:ascii="宋体" w:hAnsi="宋体" w:eastAsia="宋体" w:cs="宋体"/>
                <w:szCs w:val="21"/>
                <w:lang w:eastAsia="zh-CN"/>
              </w:rPr>
              <w:t>。</w:t>
            </w:r>
          </w:p>
        </w:tc>
        <w:tc>
          <w:tcPr>
            <w:tcW w:w="389" w:type="pct"/>
            <w:noWrap w:val="0"/>
            <w:vAlign w:val="center"/>
          </w:tcPr>
          <w:p w14:paraId="129DB9F9">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eastAsia="zh-CN"/>
              </w:rPr>
            </w:pPr>
            <w:r>
              <w:rPr>
                <w:rFonts w:hint="eastAsia" w:ascii="宋体" w:hAnsi="宋体" w:eastAsia="宋体" w:cs="宋体"/>
                <w:lang w:val="en-US" w:eastAsia="zh-CN"/>
              </w:rPr>
              <w:t>3</w:t>
            </w:r>
          </w:p>
        </w:tc>
      </w:tr>
      <w:tr w14:paraId="20E3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298478AD">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noWrap w:val="0"/>
            <w:vAlign w:val="center"/>
          </w:tcPr>
          <w:p w14:paraId="63B6156D">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响应时间</w:t>
            </w:r>
          </w:p>
          <w:p w14:paraId="7FC582AB">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2分</w:t>
            </w:r>
            <w:r>
              <w:rPr>
                <w:rFonts w:hint="eastAsia" w:ascii="宋体" w:hAnsi="宋体" w:eastAsia="宋体" w:cs="宋体"/>
                <w:szCs w:val="21"/>
                <w:lang w:eastAsia="zh-CN"/>
              </w:rPr>
              <w:t>）</w:t>
            </w:r>
          </w:p>
        </w:tc>
        <w:tc>
          <w:tcPr>
            <w:tcW w:w="3364" w:type="pct"/>
            <w:noWrap w:val="0"/>
            <w:vAlign w:val="center"/>
          </w:tcPr>
          <w:p w14:paraId="65957DC4">
            <w:pPr>
              <w:pageBreakBefore w:val="0"/>
              <w:widowControl w:val="0"/>
              <w:kinsoku/>
              <w:wordWrap/>
              <w:overflowPunct/>
              <w:topLinePunct w:val="0"/>
              <w:autoSpaceDE/>
              <w:autoSpaceDN/>
              <w:bidi w:val="0"/>
              <w:spacing w:line="400" w:lineRule="exact"/>
              <w:ind w:left="0" w:right="0"/>
              <w:rPr>
                <w:rFonts w:hint="eastAsia" w:ascii="宋体" w:hAnsi="宋体" w:eastAsia="宋体" w:cs="宋体"/>
                <w:kern w:val="0"/>
                <w:szCs w:val="21"/>
              </w:rPr>
            </w:pPr>
            <w:r>
              <w:rPr>
                <w:rFonts w:hint="eastAsia" w:ascii="宋体" w:hAnsi="宋体" w:eastAsia="宋体" w:cs="宋体"/>
                <w:kern w:val="0"/>
                <w:szCs w:val="21"/>
              </w:rPr>
              <w:t>在服务期间如发生突发情况承诺</w:t>
            </w:r>
            <w:r>
              <w:rPr>
                <w:rFonts w:hint="eastAsia" w:ascii="宋体" w:hAnsi="宋体" w:eastAsia="宋体" w:cs="宋体"/>
                <w:kern w:val="0"/>
                <w:szCs w:val="21"/>
                <w:lang w:val="en-US" w:eastAsia="zh-CN"/>
              </w:rPr>
              <w:t>在</w:t>
            </w:r>
            <w:r>
              <w:rPr>
                <w:rFonts w:hint="eastAsia" w:ascii="宋体" w:hAnsi="宋体" w:eastAsia="宋体" w:cs="宋体"/>
                <w:kern w:val="0"/>
                <w:szCs w:val="21"/>
              </w:rPr>
              <w:t>3分钟内响应，15分钟内到达现场的得2分。</w:t>
            </w:r>
          </w:p>
          <w:p w14:paraId="47764DE0">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b/>
                <w:bCs/>
                <w:kern w:val="0"/>
                <w:szCs w:val="21"/>
                <w:lang w:val="en-US" w:eastAsia="zh-CN"/>
              </w:rPr>
              <w:t>注：</w:t>
            </w:r>
            <w:r>
              <w:rPr>
                <w:rFonts w:hint="eastAsia" w:ascii="宋体" w:hAnsi="宋体" w:eastAsia="宋体" w:cs="宋体"/>
                <w:b/>
                <w:bCs/>
                <w:kern w:val="0"/>
                <w:szCs w:val="21"/>
              </w:rPr>
              <w:t>响应文件</w:t>
            </w:r>
            <w:r>
              <w:rPr>
                <w:rFonts w:hint="eastAsia" w:ascii="宋体" w:hAnsi="宋体" w:eastAsia="宋体" w:cs="宋体"/>
                <w:b/>
                <w:bCs/>
                <w:kern w:val="0"/>
                <w:szCs w:val="21"/>
                <w:lang w:val="en-US" w:eastAsia="zh-CN"/>
              </w:rPr>
              <w:t>中</w:t>
            </w:r>
            <w:r>
              <w:rPr>
                <w:rFonts w:hint="eastAsia" w:ascii="宋体" w:hAnsi="宋体" w:eastAsia="宋体" w:cs="宋体"/>
                <w:b/>
                <w:bCs/>
                <w:kern w:val="0"/>
                <w:szCs w:val="21"/>
              </w:rPr>
              <w:t>提供承诺函</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格式自拟）并加盖供应商公章，否则不得分</w:t>
            </w:r>
            <w:r>
              <w:rPr>
                <w:rFonts w:hint="eastAsia" w:ascii="宋体" w:hAnsi="宋体" w:eastAsia="宋体" w:cs="宋体"/>
                <w:b/>
                <w:bCs/>
                <w:kern w:val="0"/>
                <w:szCs w:val="21"/>
              </w:rPr>
              <w:t>。</w:t>
            </w:r>
          </w:p>
        </w:tc>
        <w:tc>
          <w:tcPr>
            <w:tcW w:w="389" w:type="pct"/>
            <w:noWrap w:val="0"/>
            <w:vAlign w:val="center"/>
          </w:tcPr>
          <w:p w14:paraId="61B06C3E">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rPr>
            </w:pPr>
            <w:r>
              <w:rPr>
                <w:rFonts w:hint="eastAsia" w:ascii="宋体" w:hAnsi="宋体" w:eastAsia="宋体" w:cs="宋体"/>
              </w:rPr>
              <w:t>2</w:t>
            </w:r>
          </w:p>
        </w:tc>
      </w:tr>
      <w:tr w14:paraId="4867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vMerge w:val="continue"/>
            <w:noWrap w:val="0"/>
            <w:vAlign w:val="center"/>
          </w:tcPr>
          <w:p w14:paraId="148231E2">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kern w:val="0"/>
                <w:szCs w:val="21"/>
              </w:rPr>
            </w:pPr>
          </w:p>
        </w:tc>
        <w:tc>
          <w:tcPr>
            <w:tcW w:w="713" w:type="pct"/>
            <w:noWrap w:val="0"/>
            <w:vAlign w:val="center"/>
          </w:tcPr>
          <w:p w14:paraId="35C3ADE5">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rPr>
            </w:pPr>
            <w:r>
              <w:rPr>
                <w:rFonts w:hint="eastAsia" w:ascii="宋体" w:hAnsi="宋体" w:eastAsia="宋体" w:cs="宋体"/>
                <w:szCs w:val="21"/>
              </w:rPr>
              <w:t>同类业绩</w:t>
            </w:r>
          </w:p>
          <w:p w14:paraId="2159A36E">
            <w:pPr>
              <w:pageBreakBefore w:val="0"/>
              <w:widowControl w:val="0"/>
              <w:kinsoku/>
              <w:wordWrap/>
              <w:overflowPunct/>
              <w:topLinePunct w:val="0"/>
              <w:autoSpaceDE/>
              <w:autoSpaceDN/>
              <w:bidi w:val="0"/>
              <w:adjustRightInd w:val="0"/>
              <w:spacing w:line="400" w:lineRule="exact"/>
              <w:ind w:left="0" w:right="0"/>
              <w:jc w:val="left"/>
              <w:textAlignment w:val="baseline"/>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1分</w:t>
            </w:r>
            <w:r>
              <w:rPr>
                <w:rFonts w:hint="eastAsia" w:ascii="宋体" w:hAnsi="宋体" w:eastAsia="宋体" w:cs="宋体"/>
                <w:szCs w:val="21"/>
                <w:lang w:eastAsia="zh-CN"/>
              </w:rPr>
              <w:t>）</w:t>
            </w:r>
          </w:p>
        </w:tc>
        <w:tc>
          <w:tcPr>
            <w:tcW w:w="3364" w:type="pct"/>
            <w:noWrap w:val="0"/>
            <w:vAlign w:val="center"/>
          </w:tcPr>
          <w:p w14:paraId="4534FE7A">
            <w:pPr>
              <w:pageBreakBefore w:val="0"/>
              <w:widowControl w:val="0"/>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szCs w:val="21"/>
              </w:rPr>
              <w:t>供应商自202</w:t>
            </w:r>
            <w:r>
              <w:rPr>
                <w:rFonts w:hint="eastAsia" w:ascii="宋体" w:hAnsi="宋体" w:eastAsia="宋体" w:cs="宋体"/>
                <w:szCs w:val="21"/>
                <w:lang w:val="en-US" w:eastAsia="zh-CN"/>
              </w:rPr>
              <w:t>2</w:t>
            </w:r>
            <w:r>
              <w:rPr>
                <w:rFonts w:hint="eastAsia" w:ascii="宋体" w:hAnsi="宋体" w:eastAsia="宋体" w:cs="宋体"/>
                <w:szCs w:val="21"/>
              </w:rPr>
              <w:t>年1月1日至今（以合同签订时间为准），具有类似活动服务案例合同的，每提供一个得</w:t>
            </w:r>
            <w:r>
              <w:rPr>
                <w:rFonts w:hint="eastAsia" w:ascii="宋体" w:hAnsi="宋体" w:eastAsia="宋体" w:cs="宋体"/>
                <w:szCs w:val="21"/>
                <w:lang w:val="en-US" w:eastAsia="zh-CN"/>
              </w:rPr>
              <w:t>0.5</w:t>
            </w:r>
            <w:r>
              <w:rPr>
                <w:rFonts w:hint="eastAsia" w:ascii="宋体" w:hAnsi="宋体" w:eastAsia="宋体" w:cs="宋体"/>
                <w:szCs w:val="21"/>
              </w:rPr>
              <w:t>分，本项最多得</w:t>
            </w:r>
            <w:r>
              <w:rPr>
                <w:rFonts w:hint="eastAsia" w:ascii="宋体" w:hAnsi="宋体" w:eastAsia="宋体" w:cs="宋体"/>
                <w:szCs w:val="21"/>
                <w:lang w:val="en-US" w:eastAsia="zh-CN"/>
              </w:rPr>
              <w:t>1</w:t>
            </w:r>
            <w:r>
              <w:rPr>
                <w:rFonts w:hint="eastAsia" w:ascii="宋体" w:hAnsi="宋体" w:eastAsia="宋体" w:cs="宋体"/>
                <w:szCs w:val="21"/>
              </w:rPr>
              <w:t>分。</w:t>
            </w:r>
          </w:p>
          <w:p w14:paraId="2EEB9FA6">
            <w:pPr>
              <w:pageBreakBefore w:val="0"/>
              <w:widowControl w:val="0"/>
              <w:tabs>
                <w:tab w:val="left" w:pos="3152"/>
              </w:tabs>
              <w:kinsoku/>
              <w:wordWrap/>
              <w:overflowPunct/>
              <w:topLinePunct w:val="0"/>
              <w:autoSpaceDE/>
              <w:autoSpaceDN/>
              <w:bidi w:val="0"/>
              <w:spacing w:line="400" w:lineRule="exact"/>
              <w:ind w:left="0" w:right="0"/>
              <w:rPr>
                <w:rFonts w:hint="eastAsia" w:ascii="宋体" w:hAnsi="宋体" w:eastAsia="宋体" w:cs="宋体"/>
                <w:szCs w:val="21"/>
              </w:rPr>
            </w:pPr>
            <w:r>
              <w:rPr>
                <w:rFonts w:hint="eastAsia" w:ascii="宋体" w:hAnsi="宋体" w:eastAsia="宋体" w:cs="宋体"/>
                <w:b/>
                <w:bCs/>
                <w:szCs w:val="21"/>
              </w:rPr>
              <w:t>注：响应文件</w:t>
            </w:r>
            <w:r>
              <w:rPr>
                <w:rFonts w:hint="eastAsia" w:ascii="宋体" w:hAnsi="宋体" w:eastAsia="宋体" w:cs="宋体"/>
                <w:b/>
                <w:bCs/>
                <w:szCs w:val="21"/>
                <w:lang w:val="en-US" w:eastAsia="zh-CN"/>
              </w:rPr>
              <w:t>中</w:t>
            </w:r>
            <w:r>
              <w:rPr>
                <w:rFonts w:hint="eastAsia" w:ascii="宋体" w:hAnsi="宋体" w:eastAsia="宋体" w:cs="宋体"/>
                <w:b/>
                <w:bCs/>
                <w:szCs w:val="21"/>
              </w:rPr>
              <w:t>提供合同复印件并加盖供应商公章，</w:t>
            </w:r>
            <w:r>
              <w:rPr>
                <w:rFonts w:hint="eastAsia" w:ascii="宋体" w:hAnsi="宋体" w:eastAsia="宋体" w:cs="宋体"/>
                <w:b/>
                <w:bCs/>
                <w:szCs w:val="21"/>
                <w:lang w:val="en-US" w:eastAsia="zh-CN"/>
              </w:rPr>
              <w:t>否则</w:t>
            </w:r>
            <w:r>
              <w:rPr>
                <w:rFonts w:hint="eastAsia" w:ascii="宋体" w:hAnsi="宋体" w:eastAsia="宋体" w:cs="宋体"/>
                <w:b/>
                <w:bCs/>
                <w:szCs w:val="21"/>
              </w:rPr>
              <w:t>不得分。</w:t>
            </w:r>
          </w:p>
        </w:tc>
        <w:tc>
          <w:tcPr>
            <w:tcW w:w="389" w:type="pct"/>
            <w:noWrap w:val="0"/>
            <w:vAlign w:val="center"/>
          </w:tcPr>
          <w:p w14:paraId="317CDA8B">
            <w:pPr>
              <w:pageBreakBefore w:val="0"/>
              <w:widowControl w:val="0"/>
              <w:kinsoku/>
              <w:wordWrap/>
              <w:overflowPunct/>
              <w:topLinePunct w:val="0"/>
              <w:autoSpaceDE/>
              <w:autoSpaceDN/>
              <w:bidi w:val="0"/>
              <w:adjustRightInd w:val="0"/>
              <w:spacing w:line="400" w:lineRule="exact"/>
              <w:ind w:left="0" w:right="0"/>
              <w:jc w:val="center"/>
              <w:textAlignment w:val="baseline"/>
              <w:rPr>
                <w:rFonts w:hint="eastAsia" w:ascii="宋体" w:hAnsi="宋体" w:eastAsia="宋体" w:cs="宋体"/>
                <w:lang w:eastAsia="zh-CN"/>
              </w:rPr>
            </w:pPr>
            <w:r>
              <w:rPr>
                <w:rFonts w:hint="eastAsia" w:ascii="宋体" w:hAnsi="宋体" w:eastAsia="宋体" w:cs="宋体"/>
                <w:lang w:val="en-US" w:eastAsia="zh-CN"/>
              </w:rPr>
              <w:t>1</w:t>
            </w:r>
          </w:p>
        </w:tc>
      </w:tr>
    </w:tbl>
    <w:p w14:paraId="63798F92">
      <w:pPr>
        <w:pStyle w:val="19"/>
        <w:pageBreakBefore w:val="0"/>
        <w:widowControl w:val="0"/>
        <w:kinsoku/>
        <w:wordWrap/>
        <w:overflowPunct/>
        <w:topLinePunct w:val="0"/>
        <w:autoSpaceDE/>
        <w:autoSpaceDN/>
        <w:bidi w:val="0"/>
        <w:spacing w:line="400" w:lineRule="exact"/>
        <w:ind w:left="0" w:right="0"/>
        <w:rPr>
          <w:rFonts w:hint="eastAsia" w:ascii="宋体" w:hAnsi="宋体" w:eastAsia="宋体" w:cs="宋体"/>
        </w:rPr>
      </w:pPr>
    </w:p>
    <w:p w14:paraId="69948FA7">
      <w:pPr>
        <w:pageBreakBefore w:val="0"/>
        <w:widowControl w:val="0"/>
        <w:kinsoku/>
        <w:wordWrap/>
        <w:overflowPunct/>
        <w:topLinePunct w:val="0"/>
        <w:autoSpaceDE/>
        <w:autoSpaceDN/>
        <w:bidi w:val="0"/>
        <w:spacing w:line="400" w:lineRule="exact"/>
        <w:ind w:left="0" w:right="0" w:firstLine="476" w:firstLineChars="200"/>
        <w:rPr>
          <w:rFonts w:hint="eastAsia" w:ascii="宋体" w:hAnsi="宋体" w:eastAsia="宋体" w:cs="宋体"/>
          <w:spacing w:val="14"/>
          <w:szCs w:val="21"/>
        </w:rPr>
      </w:pPr>
      <w:r>
        <w:rPr>
          <w:rFonts w:hint="eastAsia" w:ascii="宋体" w:hAnsi="宋体" w:eastAsia="宋体" w:cs="宋体"/>
          <w:spacing w:val="14"/>
          <w:szCs w:val="21"/>
        </w:rPr>
        <w:t>评委签名：                                 日  期：</w:t>
      </w:r>
    </w:p>
    <w:p w14:paraId="3AC1C40D">
      <w:pPr>
        <w:widowControl/>
        <w:jc w:val="left"/>
        <w:rPr>
          <w:rFonts w:hint="eastAsia" w:ascii="宋体" w:hAnsi="宋体" w:eastAsia="宋体" w:cs="宋体"/>
          <w:spacing w:val="14"/>
          <w:szCs w:val="21"/>
        </w:rPr>
      </w:pPr>
    </w:p>
    <w:p w14:paraId="247837F0">
      <w:pPr>
        <w:pStyle w:val="3"/>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sz w:val="30"/>
          <w:szCs w:val="30"/>
        </w:rPr>
      </w:pPr>
      <w:bookmarkStart w:id="82" w:name="_Toc34844745"/>
      <w:r>
        <w:rPr>
          <w:rFonts w:hint="eastAsia" w:ascii="宋体" w:hAnsi="宋体" w:eastAsia="宋体" w:cs="宋体"/>
        </w:rPr>
        <w:br w:type="page"/>
      </w:r>
      <w:bookmarkStart w:id="83" w:name="_Toc31415"/>
      <w:r>
        <w:rPr>
          <w:rFonts w:hint="eastAsia" w:ascii="宋体" w:hAnsi="宋体" w:eastAsia="宋体" w:cs="宋体"/>
          <w:sz w:val="30"/>
          <w:szCs w:val="30"/>
        </w:rPr>
        <w:t>第五章</w:t>
      </w:r>
      <w:r>
        <w:rPr>
          <w:rFonts w:hint="eastAsia" w:ascii="宋体" w:hAnsi="宋体" w:cs="宋体"/>
          <w:sz w:val="30"/>
          <w:szCs w:val="30"/>
          <w:lang w:val="en-US" w:eastAsia="zh-CN"/>
        </w:rPr>
        <w:t xml:space="preserve">  </w:t>
      </w:r>
      <w:r>
        <w:rPr>
          <w:rFonts w:hint="eastAsia" w:ascii="宋体" w:hAnsi="宋体" w:eastAsia="宋体" w:cs="宋体"/>
          <w:sz w:val="30"/>
          <w:szCs w:val="30"/>
        </w:rPr>
        <w:t>合同草案条款</w:t>
      </w:r>
      <w:bookmarkEnd w:id="82"/>
      <w:bookmarkEnd w:id="83"/>
    </w:p>
    <w:p w14:paraId="7521302B">
      <w:pPr>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b/>
          <w:sz w:val="24"/>
          <w:lang w:eastAsia="zh-CN"/>
        </w:rPr>
      </w:pPr>
      <w:r>
        <w:rPr>
          <w:rFonts w:hint="eastAsia" w:ascii="宋体" w:hAnsi="宋体" w:cs="宋体"/>
          <w:b/>
          <w:sz w:val="24"/>
          <w:lang w:eastAsia="zh-CN"/>
        </w:rPr>
        <w:t>2025年中国品牌日·宁波品牌宣传活动暨走近品牌计划项目采购合同</w:t>
      </w:r>
    </w:p>
    <w:p w14:paraId="383F09C1">
      <w:pPr>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rPr>
      </w:pPr>
      <w:r>
        <w:rPr>
          <w:rFonts w:hint="eastAsia" w:ascii="宋体" w:hAnsi="宋体" w:eastAsia="宋体" w:cs="宋体"/>
          <w:b/>
          <w:szCs w:val="21"/>
        </w:rPr>
        <w:t>（本合同条款及合同格式仅作参考，最终稿由甲乙双方协商后确定）</w:t>
      </w:r>
    </w:p>
    <w:p w14:paraId="4E2B300E">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u w:val="single"/>
        </w:rPr>
      </w:pPr>
      <w:r>
        <w:rPr>
          <w:rFonts w:hint="eastAsia" w:ascii="宋体" w:hAnsi="宋体" w:eastAsia="宋体" w:cs="宋体"/>
        </w:rPr>
        <w:t>项目编号：</w:t>
      </w:r>
    </w:p>
    <w:p w14:paraId="0D6C6920">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u w:val="single"/>
        </w:rPr>
      </w:pPr>
      <w:r>
        <w:rPr>
          <w:rFonts w:hint="eastAsia" w:ascii="宋体" w:hAnsi="宋体" w:eastAsia="宋体" w:cs="宋体"/>
        </w:rPr>
        <w:t>项目名称：</w:t>
      </w:r>
    </w:p>
    <w:p w14:paraId="63379856">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u w:val="single"/>
        </w:rPr>
      </w:pPr>
      <w:r>
        <w:rPr>
          <w:rFonts w:hint="eastAsia" w:ascii="宋体" w:hAnsi="宋体" w:eastAsia="宋体" w:cs="宋体"/>
        </w:rPr>
        <w:t>合同编号：</w:t>
      </w:r>
    </w:p>
    <w:p w14:paraId="10FAD44C">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u w:val="thick"/>
        </w:rPr>
      </w:pPr>
      <w:r>
        <w:rPr>
          <w:rFonts w:hint="eastAsia" w:ascii="宋体" w:hAnsi="宋体" w:eastAsia="宋体" w:cs="宋体"/>
        </w:rPr>
        <w:t>签约日期和地点：年月日 于</w:t>
      </w:r>
    </w:p>
    <w:p w14:paraId="584963B5">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lang w:eastAsia="zh-CN"/>
        </w:rPr>
      </w:pPr>
      <w:r>
        <w:rPr>
          <w:rFonts w:hint="eastAsia" w:ascii="宋体" w:hAnsi="宋体" w:eastAsia="宋体" w:cs="宋体"/>
        </w:rPr>
        <w:t>甲方：</w:t>
      </w:r>
      <w:r>
        <w:rPr>
          <w:rFonts w:hint="eastAsia" w:ascii="宋体" w:hAnsi="宋体" w:eastAsia="宋体" w:cs="宋体"/>
          <w:lang w:eastAsia="zh-CN"/>
        </w:rPr>
        <w:t>宁波市发展和改革委员会</w:t>
      </w:r>
    </w:p>
    <w:p w14:paraId="582A8679">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乙方：</w:t>
      </w:r>
    </w:p>
    <w:p w14:paraId="55DB9A60">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p>
    <w:p w14:paraId="051251A9">
      <w:pPr>
        <w:pageBreakBefore w:val="0"/>
        <w:kinsoku/>
        <w:wordWrap/>
        <w:overflowPunct/>
        <w:topLinePunct w:val="0"/>
        <w:autoSpaceDE/>
        <w:autoSpaceDN/>
        <w:bidi w:val="0"/>
        <w:adjustRightInd/>
        <w:snapToGrid/>
        <w:spacing w:line="400" w:lineRule="exact"/>
        <w:ind w:left="0" w:leftChars="0" w:firstLine="480"/>
        <w:rPr>
          <w:rFonts w:hint="eastAsia" w:ascii="宋体" w:hAnsi="宋体" w:eastAsia="宋体" w:cs="宋体"/>
        </w:rPr>
      </w:pPr>
      <w:r>
        <w:rPr>
          <w:rFonts w:hint="eastAsia" w:ascii="宋体" w:hAnsi="宋体" w:eastAsia="宋体" w:cs="宋体"/>
        </w:rPr>
        <w:t>鉴于甲方为获得</w:t>
      </w:r>
      <w:r>
        <w:rPr>
          <w:rFonts w:hint="eastAsia" w:ascii="宋体" w:hAnsi="宋体" w:cs="宋体"/>
          <w:u w:val="single"/>
          <w:lang w:eastAsia="zh-CN"/>
        </w:rPr>
        <w:t>2025年中国品牌日·宁波品牌宣传活动暨走近品牌计划项目</w:t>
      </w:r>
      <w:r>
        <w:rPr>
          <w:rFonts w:hint="eastAsia" w:ascii="宋体" w:hAnsi="宋体" w:eastAsia="宋体" w:cs="宋体"/>
        </w:rPr>
        <w:t xml:space="preserve">而进行竞争性磋商采购，并选定由乙方以总金额 </w:t>
      </w:r>
      <w:r>
        <w:rPr>
          <w:rFonts w:hint="eastAsia" w:ascii="宋体" w:hAnsi="宋体" w:eastAsia="宋体" w:cs="宋体"/>
          <w:i/>
          <w:u w:val="single"/>
        </w:rPr>
        <w:t xml:space="preserve"> （币种、用文字表示的合同总价）  （以下简称合同价）</w:t>
      </w:r>
      <w:r>
        <w:rPr>
          <w:rFonts w:hint="eastAsia" w:ascii="宋体" w:hAnsi="宋体" w:eastAsia="宋体" w:cs="宋体"/>
        </w:rPr>
        <w:t>提供的服务项目的投标</w:t>
      </w:r>
      <w:r>
        <w:rPr>
          <w:rFonts w:hint="eastAsia" w:ascii="宋体" w:hAnsi="宋体" w:eastAsia="宋体" w:cs="宋体"/>
          <w:i/>
        </w:rPr>
        <w:t>。</w:t>
      </w:r>
      <w:r>
        <w:rPr>
          <w:rFonts w:hint="eastAsia" w:ascii="宋体" w:hAnsi="宋体" w:eastAsia="宋体" w:cs="宋体"/>
        </w:rPr>
        <w:t>本合同由（简称甲方）为一方和（简称乙方）为另一方按以下条款和条件签署。</w:t>
      </w:r>
    </w:p>
    <w:p w14:paraId="5B6B4211">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u w:val="single"/>
        </w:rPr>
      </w:pPr>
      <w:r>
        <w:rPr>
          <w:rFonts w:hint="eastAsia" w:ascii="宋体" w:hAnsi="宋体" w:eastAsia="宋体" w:cs="宋体"/>
        </w:rPr>
        <w:t xml:space="preserve">    本合同声明，作为附件，下述文件是合同的一部分，并与本合同一起阅读和解释：</w:t>
      </w:r>
    </w:p>
    <w:p w14:paraId="16B8FEB5">
      <w:pPr>
        <w:pageBreakBefore w:val="0"/>
        <w:numPr>
          <w:ilvl w:val="0"/>
          <w:numId w:val="0"/>
        </w:numPr>
        <w:kinsoku/>
        <w:wordWrap/>
        <w:overflowPunct/>
        <w:topLinePunct w:val="0"/>
        <w:autoSpaceDE/>
        <w:autoSpaceDN/>
        <w:bidi w:val="0"/>
        <w:adjustRightInd/>
        <w:snapToGrid/>
        <w:spacing w:line="400" w:lineRule="exact"/>
        <w:ind w:firstLine="420" w:firstLineChars="200"/>
        <w:rPr>
          <w:rFonts w:hint="eastAsia" w:ascii="宋体" w:hAnsi="宋体" w:eastAsia="宋体" w:cs="宋体"/>
        </w:rPr>
      </w:pPr>
      <w:r>
        <w:rPr>
          <w:rFonts w:hint="eastAsia" w:ascii="宋体" w:hAnsi="宋体" w:cs="宋体"/>
          <w:lang w:val="en-US" w:eastAsia="zh-CN"/>
        </w:rPr>
        <w:t>a.</w:t>
      </w:r>
      <w:r>
        <w:rPr>
          <w:rFonts w:hint="eastAsia" w:ascii="宋体" w:hAnsi="宋体" w:eastAsia="宋体" w:cs="宋体"/>
        </w:rPr>
        <w:t>采购文件；</w:t>
      </w:r>
    </w:p>
    <w:p w14:paraId="33D3B467">
      <w:pPr>
        <w:pageBreakBefore w:val="0"/>
        <w:numPr>
          <w:ilvl w:val="0"/>
          <w:numId w:val="0"/>
        </w:numPr>
        <w:kinsoku/>
        <w:wordWrap/>
        <w:overflowPunct/>
        <w:topLinePunct w:val="0"/>
        <w:autoSpaceDE/>
        <w:autoSpaceDN/>
        <w:bidi w:val="0"/>
        <w:adjustRightInd/>
        <w:snapToGrid/>
        <w:spacing w:line="400" w:lineRule="exact"/>
        <w:ind w:firstLine="420" w:firstLineChars="200"/>
        <w:rPr>
          <w:rFonts w:hint="eastAsia" w:ascii="宋体" w:hAnsi="宋体" w:eastAsia="宋体" w:cs="宋体"/>
        </w:rPr>
      </w:pPr>
      <w:r>
        <w:rPr>
          <w:rFonts w:hint="eastAsia" w:ascii="宋体" w:hAnsi="宋体" w:cs="宋体"/>
          <w:lang w:val="en-US" w:eastAsia="zh-CN"/>
        </w:rPr>
        <w:t>b.</w:t>
      </w:r>
      <w:r>
        <w:rPr>
          <w:rFonts w:hint="eastAsia" w:ascii="宋体" w:hAnsi="宋体" w:eastAsia="宋体" w:cs="宋体"/>
        </w:rPr>
        <w:t>乙方的响应文件、乙方在招投标中提供的澄清文件；</w:t>
      </w:r>
    </w:p>
    <w:p w14:paraId="4B8ED93C">
      <w:pPr>
        <w:pageBreakBefore w:val="0"/>
        <w:numPr>
          <w:ilvl w:val="0"/>
          <w:numId w:val="0"/>
        </w:numPr>
        <w:kinsoku/>
        <w:wordWrap/>
        <w:overflowPunct/>
        <w:topLinePunct w:val="0"/>
        <w:autoSpaceDE/>
        <w:autoSpaceDN/>
        <w:bidi w:val="0"/>
        <w:adjustRightInd/>
        <w:snapToGrid/>
        <w:spacing w:line="400" w:lineRule="exact"/>
        <w:ind w:firstLine="420" w:firstLineChars="200"/>
        <w:rPr>
          <w:rFonts w:hint="eastAsia" w:ascii="宋体" w:hAnsi="宋体" w:eastAsia="宋体" w:cs="宋体"/>
        </w:rPr>
      </w:pPr>
      <w:r>
        <w:rPr>
          <w:rFonts w:hint="eastAsia" w:ascii="宋体" w:hAnsi="宋体" w:cs="宋体"/>
          <w:lang w:val="en-US" w:eastAsia="zh-CN"/>
        </w:rPr>
        <w:t>c.确定</w:t>
      </w:r>
      <w:r>
        <w:rPr>
          <w:rFonts w:hint="eastAsia" w:ascii="宋体" w:hAnsi="宋体" w:eastAsia="宋体" w:cs="宋体"/>
        </w:rPr>
        <w:t>成交通知书；</w:t>
      </w:r>
    </w:p>
    <w:p w14:paraId="77196764">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上述文件与合同若有不一致之处，文件的优先次序应为第一合同、第二附件。</w:t>
      </w:r>
    </w:p>
    <w:p w14:paraId="6E536C27">
      <w:pPr>
        <w:pageBreakBefore w:val="0"/>
        <w:numPr>
          <w:ilvl w:val="0"/>
          <w:numId w:val="0"/>
        </w:numPr>
        <w:tabs>
          <w:tab w:val="left" w:pos="669"/>
          <w:tab w:val="left" w:pos="720"/>
        </w:tabs>
        <w:kinsoku/>
        <w:wordWrap/>
        <w:overflowPunct/>
        <w:topLinePunct w:val="0"/>
        <w:autoSpaceDE/>
        <w:autoSpaceDN/>
        <w:bidi w:val="0"/>
        <w:adjustRightInd/>
        <w:snapToGrid/>
        <w:spacing w:line="400" w:lineRule="exact"/>
        <w:rPr>
          <w:rFonts w:hint="eastAsia" w:ascii="宋体" w:hAnsi="宋体" w:eastAsia="宋体" w:cs="宋体"/>
          <w:b/>
          <w:bCs/>
          <w:i w:val="0"/>
          <w:iCs w:val="0"/>
        </w:rPr>
      </w:pPr>
      <w:r>
        <w:rPr>
          <w:rFonts w:hint="eastAsia" w:ascii="宋体" w:hAnsi="宋体" w:cs="宋体"/>
          <w:b/>
          <w:bCs/>
          <w:i w:val="0"/>
          <w:iCs w:val="0"/>
          <w:lang w:val="en-US" w:eastAsia="zh-CN"/>
        </w:rPr>
        <w:t>1.</w:t>
      </w:r>
      <w:r>
        <w:rPr>
          <w:rFonts w:hint="eastAsia" w:ascii="宋体" w:hAnsi="宋体" w:eastAsia="宋体" w:cs="宋体"/>
          <w:b/>
          <w:bCs/>
          <w:i w:val="0"/>
          <w:iCs w:val="0"/>
        </w:rPr>
        <w:t>合同服务项目的名称、数量/服务期限及价格</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2887"/>
        <w:gridCol w:w="2568"/>
        <w:gridCol w:w="1626"/>
      </w:tblGrid>
      <w:tr w14:paraId="3D1C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pct"/>
            <w:tcBorders>
              <w:top w:val="single" w:color="auto" w:sz="4" w:space="0"/>
              <w:left w:val="single" w:color="auto" w:sz="4" w:space="0"/>
              <w:bottom w:val="single" w:color="auto" w:sz="4" w:space="0"/>
              <w:right w:val="single" w:color="auto" w:sz="4" w:space="0"/>
            </w:tcBorders>
            <w:noWrap w:val="0"/>
            <w:vAlign w:val="center"/>
          </w:tcPr>
          <w:p w14:paraId="1A23050B">
            <w:pPr>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rPr>
            </w:pPr>
            <w:r>
              <w:rPr>
                <w:rFonts w:hint="eastAsia" w:ascii="宋体" w:hAnsi="宋体" w:eastAsia="宋体" w:cs="宋体"/>
                <w:i w:val="0"/>
                <w:iCs w:val="0"/>
              </w:rPr>
              <w:t>服务项目名称</w:t>
            </w:r>
          </w:p>
        </w:tc>
        <w:tc>
          <w:tcPr>
            <w:tcW w:w="1574" w:type="pct"/>
            <w:tcBorders>
              <w:top w:val="single" w:color="auto" w:sz="4" w:space="0"/>
              <w:left w:val="single" w:color="auto" w:sz="4" w:space="0"/>
              <w:bottom w:val="single" w:color="auto" w:sz="4" w:space="0"/>
              <w:right w:val="single" w:color="auto" w:sz="4" w:space="0"/>
            </w:tcBorders>
            <w:noWrap w:val="0"/>
            <w:vAlign w:val="center"/>
          </w:tcPr>
          <w:p w14:paraId="1FF8C892">
            <w:pPr>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rPr>
            </w:pPr>
            <w:r>
              <w:rPr>
                <w:rFonts w:hint="eastAsia" w:ascii="宋体" w:hAnsi="宋体" w:eastAsia="宋体" w:cs="宋体"/>
                <w:i w:val="0"/>
                <w:iCs w:val="0"/>
              </w:rPr>
              <w:t>内   容</w:t>
            </w:r>
          </w:p>
        </w:tc>
        <w:tc>
          <w:tcPr>
            <w:tcW w:w="1400" w:type="pct"/>
            <w:tcBorders>
              <w:top w:val="single" w:color="auto" w:sz="4" w:space="0"/>
              <w:left w:val="single" w:color="auto" w:sz="4" w:space="0"/>
              <w:bottom w:val="single" w:color="auto" w:sz="4" w:space="0"/>
              <w:right w:val="single" w:color="auto" w:sz="4" w:space="0"/>
            </w:tcBorders>
            <w:noWrap w:val="0"/>
            <w:vAlign w:val="center"/>
          </w:tcPr>
          <w:p w14:paraId="549174FB">
            <w:pPr>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rPr>
            </w:pPr>
            <w:r>
              <w:rPr>
                <w:rFonts w:hint="eastAsia" w:ascii="宋体" w:hAnsi="宋体" w:eastAsia="宋体" w:cs="宋体"/>
                <w:i w:val="0"/>
                <w:iCs w:val="0"/>
              </w:rPr>
              <w:t>数 量/服务期限</w:t>
            </w:r>
          </w:p>
        </w:tc>
        <w:tc>
          <w:tcPr>
            <w:tcW w:w="885" w:type="pct"/>
            <w:tcBorders>
              <w:top w:val="single" w:color="auto" w:sz="4" w:space="0"/>
              <w:left w:val="single" w:color="auto" w:sz="4" w:space="0"/>
              <w:bottom w:val="single" w:color="auto" w:sz="4" w:space="0"/>
              <w:right w:val="single" w:color="auto" w:sz="4" w:space="0"/>
            </w:tcBorders>
            <w:noWrap w:val="0"/>
            <w:vAlign w:val="center"/>
          </w:tcPr>
          <w:p w14:paraId="57B202F1">
            <w:pPr>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rPr>
            </w:pPr>
            <w:r>
              <w:rPr>
                <w:rFonts w:hint="eastAsia" w:ascii="宋体" w:hAnsi="宋体" w:eastAsia="宋体" w:cs="宋体"/>
                <w:i w:val="0"/>
                <w:iCs w:val="0"/>
              </w:rPr>
              <w:t>单价（元）</w:t>
            </w:r>
          </w:p>
        </w:tc>
      </w:tr>
      <w:tr w14:paraId="10A2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pct"/>
            <w:tcBorders>
              <w:top w:val="single" w:color="auto" w:sz="4" w:space="0"/>
              <w:left w:val="single" w:color="auto" w:sz="4" w:space="0"/>
              <w:bottom w:val="single" w:color="auto" w:sz="4" w:space="0"/>
              <w:right w:val="single" w:color="auto" w:sz="4" w:space="0"/>
            </w:tcBorders>
            <w:noWrap w:val="0"/>
            <w:vAlign w:val="top"/>
          </w:tcPr>
          <w:p w14:paraId="0DDFC97E">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1574" w:type="pct"/>
            <w:tcBorders>
              <w:top w:val="single" w:color="auto" w:sz="4" w:space="0"/>
              <w:left w:val="single" w:color="auto" w:sz="4" w:space="0"/>
              <w:bottom w:val="single" w:color="auto" w:sz="4" w:space="0"/>
              <w:right w:val="single" w:color="auto" w:sz="4" w:space="0"/>
            </w:tcBorders>
            <w:noWrap w:val="0"/>
            <w:vAlign w:val="top"/>
          </w:tcPr>
          <w:p w14:paraId="2E85627F">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1400" w:type="pct"/>
            <w:tcBorders>
              <w:top w:val="single" w:color="auto" w:sz="4" w:space="0"/>
              <w:left w:val="single" w:color="auto" w:sz="4" w:space="0"/>
              <w:bottom w:val="single" w:color="auto" w:sz="4" w:space="0"/>
              <w:right w:val="single" w:color="auto" w:sz="4" w:space="0"/>
            </w:tcBorders>
            <w:noWrap w:val="0"/>
            <w:vAlign w:val="top"/>
          </w:tcPr>
          <w:p w14:paraId="7EE4C172">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885" w:type="pct"/>
            <w:tcBorders>
              <w:top w:val="single" w:color="auto" w:sz="4" w:space="0"/>
              <w:left w:val="single" w:color="auto" w:sz="4" w:space="0"/>
              <w:bottom w:val="single" w:color="auto" w:sz="4" w:space="0"/>
              <w:right w:val="single" w:color="auto" w:sz="4" w:space="0"/>
            </w:tcBorders>
            <w:noWrap w:val="0"/>
            <w:vAlign w:val="top"/>
          </w:tcPr>
          <w:p w14:paraId="594A6CA6">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r>
      <w:tr w14:paraId="125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pct"/>
            <w:tcBorders>
              <w:top w:val="single" w:color="auto" w:sz="4" w:space="0"/>
              <w:left w:val="single" w:color="auto" w:sz="4" w:space="0"/>
              <w:bottom w:val="single" w:color="auto" w:sz="4" w:space="0"/>
              <w:right w:val="single" w:color="auto" w:sz="4" w:space="0"/>
            </w:tcBorders>
            <w:noWrap w:val="0"/>
            <w:vAlign w:val="top"/>
          </w:tcPr>
          <w:p w14:paraId="23527CCA">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1574" w:type="pct"/>
            <w:tcBorders>
              <w:top w:val="single" w:color="auto" w:sz="4" w:space="0"/>
              <w:left w:val="single" w:color="auto" w:sz="4" w:space="0"/>
              <w:bottom w:val="single" w:color="auto" w:sz="4" w:space="0"/>
              <w:right w:val="single" w:color="auto" w:sz="4" w:space="0"/>
            </w:tcBorders>
            <w:noWrap w:val="0"/>
            <w:vAlign w:val="top"/>
          </w:tcPr>
          <w:p w14:paraId="0898E97F">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1400" w:type="pct"/>
            <w:tcBorders>
              <w:top w:val="single" w:color="auto" w:sz="4" w:space="0"/>
              <w:left w:val="single" w:color="auto" w:sz="4" w:space="0"/>
              <w:bottom w:val="single" w:color="auto" w:sz="4" w:space="0"/>
              <w:right w:val="single" w:color="auto" w:sz="4" w:space="0"/>
            </w:tcBorders>
            <w:noWrap w:val="0"/>
            <w:vAlign w:val="top"/>
          </w:tcPr>
          <w:p w14:paraId="26143B39">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885" w:type="pct"/>
            <w:tcBorders>
              <w:top w:val="single" w:color="auto" w:sz="4" w:space="0"/>
              <w:left w:val="single" w:color="auto" w:sz="4" w:space="0"/>
              <w:bottom w:val="single" w:color="auto" w:sz="4" w:space="0"/>
              <w:right w:val="single" w:color="auto" w:sz="4" w:space="0"/>
            </w:tcBorders>
            <w:noWrap w:val="0"/>
            <w:vAlign w:val="top"/>
          </w:tcPr>
          <w:p w14:paraId="210DA32C">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r>
      <w:tr w14:paraId="40A0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pct"/>
            <w:tcBorders>
              <w:top w:val="single" w:color="auto" w:sz="4" w:space="0"/>
              <w:left w:val="single" w:color="auto" w:sz="4" w:space="0"/>
              <w:bottom w:val="single" w:color="auto" w:sz="4" w:space="0"/>
              <w:right w:val="single" w:color="auto" w:sz="4" w:space="0"/>
            </w:tcBorders>
            <w:noWrap w:val="0"/>
            <w:vAlign w:val="top"/>
          </w:tcPr>
          <w:p w14:paraId="4C4359A3">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1574" w:type="pct"/>
            <w:tcBorders>
              <w:top w:val="single" w:color="auto" w:sz="4" w:space="0"/>
              <w:left w:val="single" w:color="auto" w:sz="4" w:space="0"/>
              <w:bottom w:val="single" w:color="auto" w:sz="4" w:space="0"/>
              <w:right w:val="single" w:color="auto" w:sz="4" w:space="0"/>
            </w:tcBorders>
            <w:noWrap w:val="0"/>
            <w:vAlign w:val="top"/>
          </w:tcPr>
          <w:p w14:paraId="2DDAB0B8">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1400" w:type="pct"/>
            <w:tcBorders>
              <w:top w:val="single" w:color="auto" w:sz="4" w:space="0"/>
              <w:left w:val="single" w:color="auto" w:sz="4" w:space="0"/>
              <w:bottom w:val="single" w:color="auto" w:sz="4" w:space="0"/>
              <w:right w:val="single" w:color="auto" w:sz="4" w:space="0"/>
            </w:tcBorders>
            <w:noWrap w:val="0"/>
            <w:vAlign w:val="top"/>
          </w:tcPr>
          <w:p w14:paraId="2F0D2577">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c>
          <w:tcPr>
            <w:tcW w:w="885" w:type="pct"/>
            <w:tcBorders>
              <w:top w:val="single" w:color="auto" w:sz="4" w:space="0"/>
              <w:left w:val="single" w:color="auto" w:sz="4" w:space="0"/>
              <w:bottom w:val="single" w:color="auto" w:sz="4" w:space="0"/>
              <w:right w:val="single" w:color="auto" w:sz="4" w:space="0"/>
            </w:tcBorders>
            <w:noWrap w:val="0"/>
            <w:vAlign w:val="top"/>
          </w:tcPr>
          <w:p w14:paraId="1D588D27">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r>
      <w:tr w14:paraId="585F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3" w:type="pct"/>
            <w:gridSpan w:val="2"/>
            <w:tcBorders>
              <w:top w:val="single" w:color="auto" w:sz="4" w:space="0"/>
              <w:left w:val="single" w:color="auto" w:sz="4" w:space="0"/>
              <w:bottom w:val="single" w:color="auto" w:sz="4" w:space="0"/>
              <w:right w:val="single" w:color="auto" w:sz="4" w:space="0"/>
            </w:tcBorders>
            <w:noWrap w:val="0"/>
            <w:vAlign w:val="center"/>
          </w:tcPr>
          <w:p w14:paraId="6232AAC1">
            <w:pPr>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rPr>
            </w:pPr>
            <w:r>
              <w:rPr>
                <w:rFonts w:hint="eastAsia" w:ascii="宋体" w:hAnsi="宋体" w:eastAsia="宋体" w:cs="宋体"/>
                <w:i w:val="0"/>
                <w:iCs w:val="0"/>
              </w:rPr>
              <w:t>合同价（大写金额）</w:t>
            </w:r>
          </w:p>
        </w:tc>
        <w:tc>
          <w:tcPr>
            <w:tcW w:w="2286" w:type="pct"/>
            <w:gridSpan w:val="2"/>
            <w:tcBorders>
              <w:top w:val="single" w:color="auto" w:sz="4" w:space="0"/>
              <w:left w:val="single" w:color="auto" w:sz="4" w:space="0"/>
              <w:bottom w:val="single" w:color="auto" w:sz="4" w:space="0"/>
              <w:right w:val="single" w:color="auto" w:sz="4" w:space="0"/>
            </w:tcBorders>
            <w:noWrap w:val="0"/>
            <w:vAlign w:val="top"/>
          </w:tcPr>
          <w:p w14:paraId="61DF7996">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rPr>
            </w:pPr>
          </w:p>
        </w:tc>
      </w:tr>
    </w:tbl>
    <w:p w14:paraId="3A78E71B">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p>
    <w:p w14:paraId="5A626818">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b/>
        </w:rPr>
      </w:pPr>
      <w:r>
        <w:rPr>
          <w:rFonts w:hint="eastAsia" w:ascii="宋体" w:hAnsi="宋体" w:eastAsia="宋体" w:cs="宋体"/>
          <w:b/>
        </w:rPr>
        <w:t>2</w:t>
      </w:r>
      <w:r>
        <w:rPr>
          <w:rFonts w:hint="eastAsia" w:ascii="宋体" w:hAnsi="宋体" w:cs="宋体"/>
          <w:b/>
          <w:lang w:eastAsia="zh-CN"/>
        </w:rPr>
        <w:t>.</w:t>
      </w:r>
      <w:r>
        <w:rPr>
          <w:rFonts w:hint="eastAsia" w:ascii="宋体" w:hAnsi="宋体" w:eastAsia="宋体" w:cs="宋体"/>
          <w:b/>
        </w:rPr>
        <w:t>合同总价内包含的服务内容：</w:t>
      </w:r>
    </w:p>
    <w:p w14:paraId="244ABAC3">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p>
    <w:p w14:paraId="3D755E84">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3</w:t>
      </w:r>
      <w:r>
        <w:rPr>
          <w:rFonts w:hint="eastAsia" w:ascii="宋体" w:hAnsi="宋体" w:cs="宋体"/>
          <w:b/>
          <w:lang w:eastAsia="zh-CN"/>
        </w:rPr>
        <w:t>.</w:t>
      </w:r>
      <w:r>
        <w:rPr>
          <w:rFonts w:hint="eastAsia" w:ascii="宋体" w:hAnsi="宋体" w:eastAsia="宋体" w:cs="宋体"/>
          <w:b/>
        </w:rPr>
        <w:t>付款方式及付款期</w:t>
      </w:r>
      <w:r>
        <w:rPr>
          <w:rFonts w:hint="eastAsia" w:ascii="宋体" w:hAnsi="宋体" w:eastAsia="宋体" w:cs="宋体"/>
        </w:rPr>
        <w:t>：</w:t>
      </w:r>
    </w:p>
    <w:p w14:paraId="203A8033">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rPr>
        <w:t>（1）合同签订生效后7工作日内支付合同总额的</w:t>
      </w:r>
      <w:r>
        <w:rPr>
          <w:rFonts w:hint="eastAsia" w:ascii="宋体" w:hAnsi="宋体" w:eastAsia="宋体" w:cs="宋体"/>
          <w:lang w:val="en-US" w:eastAsia="zh-CN"/>
        </w:rPr>
        <w:t>5</w:t>
      </w:r>
      <w:r>
        <w:rPr>
          <w:rFonts w:hint="eastAsia" w:ascii="宋体" w:hAnsi="宋体" w:eastAsia="宋体" w:cs="宋体"/>
        </w:rPr>
        <w:t>0%作为预付款；</w:t>
      </w:r>
    </w:p>
    <w:p w14:paraId="0C6B3620">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全部服务完成后</w:t>
      </w:r>
      <w:r>
        <w:rPr>
          <w:rFonts w:hint="eastAsia" w:ascii="宋体" w:hAnsi="宋体" w:eastAsia="宋体" w:cs="宋体"/>
        </w:rPr>
        <w:t>，经甲方验收确定后，收到发票7个工作日内结清剩余款项。</w:t>
      </w:r>
    </w:p>
    <w:p w14:paraId="39142730">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rPr>
        <w:t>注：甲方付款前7个工作日内，乙方需提供正规足额发票，否则甲方有权拒绝付款且不承担任何违约责任。</w:t>
      </w:r>
    </w:p>
    <w:p w14:paraId="3821AEB8">
      <w:pPr>
        <w:pageBreakBefore w:val="0"/>
        <w:kinsoku/>
        <w:wordWrap/>
        <w:overflowPunct/>
        <w:topLinePunct w:val="0"/>
        <w:autoSpaceDE/>
        <w:autoSpaceDN/>
        <w:bidi w:val="0"/>
        <w:adjustRightInd/>
        <w:snapToGrid/>
        <w:spacing w:line="400" w:lineRule="exact"/>
        <w:rPr>
          <w:rFonts w:hint="eastAsia" w:ascii="宋体" w:hAnsi="宋体" w:eastAsia="宋体" w:cs="宋体"/>
          <w:b/>
        </w:rPr>
      </w:pPr>
      <w:r>
        <w:rPr>
          <w:rFonts w:hint="eastAsia" w:ascii="宋体" w:hAnsi="宋体" w:eastAsia="宋体" w:cs="宋体"/>
          <w:b/>
        </w:rPr>
        <w:t>4</w:t>
      </w:r>
      <w:r>
        <w:rPr>
          <w:rFonts w:hint="eastAsia" w:ascii="宋体" w:hAnsi="宋体" w:cs="宋体"/>
          <w:b/>
          <w:lang w:eastAsia="zh-CN"/>
        </w:rPr>
        <w:t>.</w:t>
      </w:r>
      <w:r>
        <w:rPr>
          <w:rFonts w:hint="eastAsia" w:ascii="宋体" w:hAnsi="宋体" w:eastAsia="宋体" w:cs="宋体"/>
          <w:b/>
        </w:rPr>
        <w:t>使用合同文件和资料：</w:t>
      </w:r>
    </w:p>
    <w:p w14:paraId="42C747E9">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4.1</w:t>
      </w:r>
      <w:r>
        <w:rPr>
          <w:rFonts w:hint="eastAsia" w:ascii="宋体" w:hAnsi="宋体" w:eastAsia="宋体" w:cs="宋体"/>
        </w:rPr>
        <w:t xml:space="preserve">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12AB94B8">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4.2</w:t>
      </w:r>
      <w:r>
        <w:rPr>
          <w:rFonts w:hint="eastAsia" w:ascii="宋体" w:hAnsi="宋体" w:eastAsia="宋体" w:cs="宋体"/>
        </w:rPr>
        <w:t xml:space="preserve"> 没有甲方事先书面同意，除了履行本合同之外，乙方不应使用</w:t>
      </w:r>
      <w:r>
        <w:rPr>
          <w:rFonts w:hint="eastAsia" w:ascii="宋体" w:hAnsi="宋体" w:eastAsia="宋体" w:cs="宋体"/>
          <w:b/>
        </w:rPr>
        <w:t>4.1</w:t>
      </w:r>
      <w:r>
        <w:rPr>
          <w:rFonts w:hint="eastAsia" w:ascii="宋体" w:hAnsi="宋体" w:eastAsia="宋体" w:cs="宋体"/>
        </w:rPr>
        <w:t>条款所列举的任何文件和资料。</w:t>
      </w:r>
    </w:p>
    <w:p w14:paraId="00C5519C">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 xml:space="preserve">4.3 </w:t>
      </w:r>
      <w:r>
        <w:rPr>
          <w:rFonts w:hint="eastAsia" w:ascii="宋体" w:hAnsi="宋体" w:eastAsia="宋体" w:cs="宋体"/>
        </w:rPr>
        <w:t>除了合同本身外，</w:t>
      </w:r>
      <w:r>
        <w:rPr>
          <w:rFonts w:hint="eastAsia" w:ascii="宋体" w:hAnsi="宋体" w:eastAsia="宋体" w:cs="宋体"/>
          <w:b/>
        </w:rPr>
        <w:t>4.1</w:t>
      </w:r>
      <w:r>
        <w:rPr>
          <w:rFonts w:hint="eastAsia" w:ascii="宋体" w:hAnsi="宋体" w:eastAsia="宋体" w:cs="宋体"/>
        </w:rPr>
        <w:t>条款所列举的任何文件是甲方的财产。如果甲方有要求，乙方应在完成合同后将这些文件及全部复制件归还给甲方。</w:t>
      </w:r>
    </w:p>
    <w:p w14:paraId="322569F6">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4.4 乙方及其服务人员违反保密义务的，应承担一切法律责任并赔偿甲方和相关单位因此遭</w:t>
      </w:r>
    </w:p>
    <w:p w14:paraId="35977DB7">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5</w:t>
      </w:r>
      <w:r>
        <w:rPr>
          <w:rFonts w:hint="eastAsia" w:ascii="宋体" w:hAnsi="宋体" w:cs="宋体"/>
          <w:b/>
          <w:lang w:eastAsia="zh-CN"/>
        </w:rPr>
        <w:t>.</w:t>
      </w:r>
      <w:r>
        <w:rPr>
          <w:rFonts w:hint="eastAsia" w:ascii="宋体" w:hAnsi="宋体" w:eastAsia="宋体" w:cs="宋体"/>
          <w:b/>
        </w:rPr>
        <w:t>履约保证金</w:t>
      </w:r>
    </w:p>
    <w:p w14:paraId="4224F1B3">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u w:val="single"/>
        </w:rPr>
      </w:pPr>
      <w:r>
        <w:rPr>
          <w:rFonts w:hint="eastAsia" w:ascii="宋体" w:hAnsi="宋体" w:eastAsia="宋体" w:cs="宋体"/>
          <w:b/>
        </w:rPr>
        <w:t>5.1</w:t>
      </w:r>
      <w:r>
        <w:rPr>
          <w:rFonts w:hint="eastAsia" w:ascii="宋体" w:hAnsi="宋体" w:eastAsia="宋体" w:cs="宋体"/>
        </w:rPr>
        <w:t>履约保证金金额为：________，缴纳形式为_________。</w:t>
      </w:r>
    </w:p>
    <w:p w14:paraId="2EDB62E2">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5.2</w:t>
      </w:r>
      <w:r>
        <w:rPr>
          <w:rFonts w:hint="eastAsia" w:ascii="宋体" w:hAnsi="宋体" w:eastAsia="宋体" w:cs="宋体"/>
        </w:rPr>
        <w:t>乙方提供的履约保证金保函应按采购文件所附的格式提供，与此有关的费用由乙方负担。履约保证金保函的有效期至乙方完成合同规定的义务后的7个工作日止。</w:t>
      </w:r>
    </w:p>
    <w:p w14:paraId="2DEFE29A">
      <w:pPr>
        <w:pageBreakBefore w:val="0"/>
        <w:kinsoku/>
        <w:wordWrap/>
        <w:overflowPunct/>
        <w:topLinePunct w:val="0"/>
        <w:autoSpaceDE/>
        <w:autoSpaceDN/>
        <w:bidi w:val="0"/>
        <w:adjustRightInd/>
        <w:snapToGrid/>
        <w:spacing w:line="400" w:lineRule="exact"/>
        <w:ind w:left="422" w:leftChars="0" w:hanging="422" w:hangingChars="200"/>
        <w:rPr>
          <w:rFonts w:hint="eastAsia" w:ascii="宋体" w:hAnsi="宋体" w:eastAsia="宋体" w:cs="宋体"/>
        </w:rPr>
      </w:pPr>
      <w:r>
        <w:rPr>
          <w:rFonts w:hint="eastAsia" w:ascii="宋体" w:hAnsi="宋体" w:eastAsia="宋体" w:cs="宋体"/>
          <w:b/>
        </w:rPr>
        <w:t>5.3</w:t>
      </w:r>
      <w:r>
        <w:rPr>
          <w:rFonts w:hint="eastAsia" w:ascii="宋体" w:hAnsi="宋体" w:eastAsia="宋体" w:cs="宋体"/>
        </w:rPr>
        <w:t>如乙方未能履行合同规定的任何义务，甲方有权从履约保证金中得到补偿。</w:t>
      </w:r>
    </w:p>
    <w:p w14:paraId="7904EA5D">
      <w:pPr>
        <w:pageBreakBefore w:val="0"/>
        <w:kinsoku/>
        <w:wordWrap/>
        <w:overflowPunct/>
        <w:topLinePunct w:val="0"/>
        <w:autoSpaceDE/>
        <w:autoSpaceDN/>
        <w:bidi w:val="0"/>
        <w:adjustRightInd/>
        <w:snapToGrid/>
        <w:spacing w:line="400" w:lineRule="exact"/>
        <w:ind w:left="105" w:leftChars="0" w:hanging="105" w:hangingChars="50"/>
        <w:rPr>
          <w:rFonts w:hint="eastAsia" w:ascii="宋体" w:hAnsi="宋体" w:eastAsia="宋体" w:cs="宋体"/>
          <w:b/>
          <w:bCs/>
        </w:rPr>
      </w:pPr>
      <w:r>
        <w:rPr>
          <w:rFonts w:hint="eastAsia" w:ascii="宋体" w:hAnsi="宋体" w:eastAsia="宋体" w:cs="宋体"/>
          <w:b/>
          <w:bCs/>
        </w:rPr>
        <w:t>6</w:t>
      </w:r>
      <w:r>
        <w:rPr>
          <w:rFonts w:hint="eastAsia" w:ascii="宋体" w:hAnsi="宋体" w:cs="宋体"/>
          <w:b/>
          <w:bCs/>
          <w:lang w:eastAsia="zh-CN"/>
        </w:rPr>
        <w:t>.</w:t>
      </w:r>
      <w:r>
        <w:rPr>
          <w:rFonts w:hint="eastAsia" w:ascii="宋体" w:hAnsi="宋体" w:eastAsia="宋体" w:cs="宋体"/>
          <w:b/>
          <w:bCs/>
        </w:rPr>
        <w:t>知识产权</w:t>
      </w:r>
    </w:p>
    <w:p w14:paraId="2AB04948">
      <w:pPr>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rPr>
      </w:pPr>
      <w:r>
        <w:rPr>
          <w:rFonts w:hint="eastAsia" w:ascii="宋体" w:hAnsi="宋体" w:eastAsia="宋体" w:cs="宋体"/>
        </w:rPr>
        <w:t>乙方应保证提供服务过程中不会侵犯任何第三方的知识产权，如果任何第三方提出侵权指控，乙方须与第三方交涉并承担可能发生的一切法律责任和费用。</w:t>
      </w:r>
    </w:p>
    <w:p w14:paraId="7F274762">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7</w:t>
      </w:r>
      <w:r>
        <w:rPr>
          <w:rFonts w:hint="eastAsia" w:ascii="宋体" w:hAnsi="宋体" w:cs="宋体"/>
          <w:b/>
          <w:lang w:eastAsia="zh-CN"/>
        </w:rPr>
        <w:t>.</w:t>
      </w:r>
      <w:r>
        <w:rPr>
          <w:rFonts w:hint="eastAsia" w:ascii="宋体" w:hAnsi="宋体" w:eastAsia="宋体" w:cs="宋体"/>
          <w:b/>
        </w:rPr>
        <w:t>不可抗力</w:t>
      </w:r>
    </w:p>
    <w:p w14:paraId="2F10A7B9">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7.1</w:t>
      </w:r>
      <w:r>
        <w:rPr>
          <w:rFonts w:hint="eastAsia" w:ascii="宋体" w:hAnsi="宋体" w:eastAsia="宋体" w:cs="宋体"/>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不能履行一方未及时通知对方导致损失扩大的，不能履行一方应承担合同总额5%的违约金并赔偿对方扩大部分损失。</w:t>
      </w:r>
    </w:p>
    <w:p w14:paraId="4A34ADAA">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7.2</w:t>
      </w:r>
      <w:r>
        <w:rPr>
          <w:rFonts w:hint="eastAsia" w:ascii="宋体" w:hAnsi="宋体" w:eastAsia="宋体" w:cs="宋体"/>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3836816D">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8.税费</w:t>
      </w:r>
    </w:p>
    <w:p w14:paraId="58B5D5E1">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8.1</w:t>
      </w:r>
      <w:r>
        <w:rPr>
          <w:rFonts w:hint="eastAsia" w:ascii="宋体" w:hAnsi="宋体" w:eastAsia="宋体" w:cs="宋体"/>
        </w:rPr>
        <w:t>根据国家现行税法对甲方征收的与合同有关的一切税费均由甲方负担。</w:t>
      </w:r>
    </w:p>
    <w:p w14:paraId="5C51CD30">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8.2</w:t>
      </w:r>
      <w:r>
        <w:rPr>
          <w:rFonts w:hint="eastAsia" w:ascii="宋体" w:hAnsi="宋体" w:eastAsia="宋体" w:cs="宋体"/>
        </w:rPr>
        <w:t>根据国家现行税法对乙方征收的与合同有关的一切税费均由乙方负担。</w:t>
      </w:r>
    </w:p>
    <w:p w14:paraId="5E42D108">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9.违约终止合同</w:t>
      </w:r>
    </w:p>
    <w:p w14:paraId="4DC5780F">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9.1</w:t>
      </w:r>
      <w:r>
        <w:rPr>
          <w:rFonts w:hint="eastAsia" w:ascii="宋体" w:hAnsi="宋体" w:eastAsia="宋体" w:cs="宋体"/>
        </w:rPr>
        <w:t>如果乙方有下述违约行为或采购文件中规定的其它违约行为的情况，甲方可以向乙方发出书面违约通知，全部或部分地终止合同，在这些情况下，并不影响甲方向乙方提出的索赔：</w:t>
      </w:r>
    </w:p>
    <w:p w14:paraId="1E85DC16">
      <w:pPr>
        <w:pageBreakBefore w:val="0"/>
        <w:numPr>
          <w:ilvl w:val="0"/>
          <w:numId w:val="0"/>
        </w:numPr>
        <w:tabs>
          <w:tab w:val="left" w:pos="721"/>
        </w:tabs>
        <w:kinsoku/>
        <w:wordWrap/>
        <w:overflowPunct/>
        <w:topLinePunct w:val="0"/>
        <w:autoSpaceDE/>
        <w:autoSpaceDN/>
        <w:bidi w:val="0"/>
        <w:adjustRightInd/>
        <w:snapToGrid/>
        <w:spacing w:line="400" w:lineRule="exact"/>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eastAsia="宋体" w:cs="宋体"/>
        </w:rPr>
        <w:t>乙方未能在合同规定的限期或甲方同意延长的最终限期内提供全部或部分服务项目、技术文件</w:t>
      </w:r>
      <w:r>
        <w:rPr>
          <w:rFonts w:hint="eastAsia" w:ascii="宋体" w:hAnsi="宋体" w:cs="宋体"/>
          <w:lang w:eastAsia="zh-CN"/>
        </w:rPr>
        <w:t>。</w:t>
      </w:r>
    </w:p>
    <w:p w14:paraId="020DFBD7">
      <w:pPr>
        <w:pageBreakBefore w:val="0"/>
        <w:numPr>
          <w:ilvl w:val="0"/>
          <w:numId w:val="0"/>
        </w:numPr>
        <w:tabs>
          <w:tab w:val="left" w:pos="721"/>
        </w:tabs>
        <w:kinsoku/>
        <w:wordWrap/>
        <w:overflowPunct/>
        <w:topLinePunct w:val="0"/>
        <w:autoSpaceDE/>
        <w:autoSpaceDN/>
        <w:bidi w:val="0"/>
        <w:adjustRightInd/>
        <w:snapToGrid/>
        <w:spacing w:line="400" w:lineRule="exact"/>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乙方未能使合同的服务项目达到合同附件规定的最低技术要求</w:t>
      </w:r>
      <w:r>
        <w:rPr>
          <w:rFonts w:hint="eastAsia" w:ascii="宋体" w:hAnsi="宋体" w:cs="宋体"/>
          <w:lang w:eastAsia="zh-CN"/>
        </w:rPr>
        <w:t>。</w:t>
      </w:r>
    </w:p>
    <w:p w14:paraId="19FBC379">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eastAsia="宋体" w:cs="宋体"/>
        </w:rPr>
        <w:t xml:space="preserve">乙方未能履行合同规定的其它义务（细微义务除外），且乙方在收到甲方发出的违约通知后30天内或经甲方书面认可延长的时间内或合同约定的情形下未能纠正其违约行为。 </w:t>
      </w:r>
    </w:p>
    <w:p w14:paraId="0ADA77F5">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9.2</w:t>
      </w:r>
      <w:r>
        <w:rPr>
          <w:rFonts w:hint="eastAsia" w:ascii="宋体" w:hAnsi="宋体" w:eastAsia="宋体" w:cs="宋体"/>
        </w:rPr>
        <w:t>在甲方根据第</w:t>
      </w:r>
      <w:r>
        <w:rPr>
          <w:rFonts w:hint="eastAsia" w:ascii="宋体" w:hAnsi="宋体" w:eastAsia="宋体" w:cs="宋体"/>
          <w:b/>
        </w:rPr>
        <w:t>9.1</w:t>
      </w:r>
      <w:r>
        <w:rPr>
          <w:rFonts w:hint="eastAsia" w:ascii="宋体" w:hAnsi="宋体" w:eastAsia="宋体" w:cs="宋体"/>
        </w:rPr>
        <w:t>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21D7E19D">
      <w:pPr>
        <w:pageBreakBefore w:val="0"/>
        <w:kinsoku/>
        <w:wordWrap/>
        <w:overflowPunct/>
        <w:topLinePunct w:val="0"/>
        <w:autoSpaceDE/>
        <w:autoSpaceDN/>
        <w:bidi w:val="0"/>
        <w:adjustRightInd/>
        <w:snapToGrid/>
        <w:spacing w:line="400" w:lineRule="exact"/>
        <w:rPr>
          <w:rFonts w:hint="eastAsia" w:ascii="宋体" w:hAnsi="宋体" w:eastAsia="宋体" w:cs="宋体"/>
          <w:b/>
        </w:rPr>
      </w:pPr>
      <w:r>
        <w:rPr>
          <w:rFonts w:hint="eastAsia" w:ascii="宋体" w:hAnsi="宋体" w:eastAsia="宋体" w:cs="宋体"/>
          <w:b/>
        </w:rPr>
        <w:t>10.其他情况终止合同</w:t>
      </w:r>
    </w:p>
    <w:p w14:paraId="1A49E772">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10.1</w:t>
      </w:r>
      <w:r>
        <w:rPr>
          <w:rFonts w:hint="eastAsia" w:ascii="宋体" w:hAnsi="宋体" w:eastAsia="宋体" w:cs="宋体"/>
        </w:rPr>
        <w:t>如果乙方破产或发生资不抵债的情况，甲方可在任何时候以书面通知终止合同，而不给对方补偿。该终止合同将不损害或影响甲方已经采取或将要采取的补救措施的权利。</w:t>
      </w:r>
    </w:p>
    <w:p w14:paraId="2B390864">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 xml:space="preserve">10.2 </w:t>
      </w:r>
      <w:r>
        <w:rPr>
          <w:rFonts w:hint="eastAsia" w:ascii="宋体" w:hAnsi="宋体" w:eastAsia="宋体" w:cs="宋体"/>
        </w:rPr>
        <w:t>如果甲方认定乙方在竞标、采购和合同执行等过程中有腐败或欺诈行为，甲方有权在任何时候发出书面通知终止合同。</w:t>
      </w:r>
    </w:p>
    <w:p w14:paraId="240E7619">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10.3</w:t>
      </w:r>
      <w:r>
        <w:rPr>
          <w:rFonts w:hint="eastAsia" w:ascii="宋体" w:hAnsi="宋体" w:eastAsia="宋体" w:cs="宋体"/>
        </w:rPr>
        <w:t>如果合同履行过程中出现危害国家利益和社会公众利益的，甲方有权在任何时候发出书面通知终止合同。</w:t>
      </w:r>
    </w:p>
    <w:p w14:paraId="1814E6E9">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10.4 合同约定的其他情形。</w:t>
      </w:r>
    </w:p>
    <w:p w14:paraId="1399D5EA">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11.转让和分包</w:t>
      </w:r>
    </w:p>
    <w:p w14:paraId="1186A9DF">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11.1</w:t>
      </w:r>
      <w:r>
        <w:rPr>
          <w:rFonts w:hint="eastAsia" w:ascii="宋体" w:hAnsi="宋体" w:eastAsia="宋体" w:cs="宋体"/>
        </w:rPr>
        <w:t>乙方不得部分转让或全部转让其应履行的合同义务。</w:t>
      </w:r>
    </w:p>
    <w:p w14:paraId="6408E8FD">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11.2</w:t>
      </w:r>
      <w:r>
        <w:rPr>
          <w:rFonts w:hint="eastAsia" w:ascii="宋体" w:hAnsi="宋体" w:eastAsia="宋体" w:cs="宋体"/>
        </w:rPr>
        <w:t>对投标中明确分包的合同，乙方应将合同的全部分包合同书面通知甲方，但此分包通知书不能解除乙方履行合同的责任和义务。</w:t>
      </w:r>
    </w:p>
    <w:p w14:paraId="41DF7697">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11.3</w:t>
      </w:r>
      <w:r>
        <w:rPr>
          <w:rFonts w:hint="eastAsia" w:ascii="宋体" w:hAnsi="宋体" w:eastAsia="宋体" w:cs="宋体"/>
        </w:rPr>
        <w:t xml:space="preserve"> 分包必须符合国家法律的相关规定。</w:t>
      </w:r>
    </w:p>
    <w:p w14:paraId="71DB253F">
      <w:pPr>
        <w:pageBreakBefore w:val="0"/>
        <w:kinsoku/>
        <w:wordWrap/>
        <w:overflowPunct/>
        <w:topLinePunct w:val="0"/>
        <w:autoSpaceDE/>
        <w:autoSpaceDN/>
        <w:bidi w:val="0"/>
        <w:adjustRightInd/>
        <w:snapToGrid/>
        <w:spacing w:line="400" w:lineRule="exact"/>
        <w:rPr>
          <w:rFonts w:hint="eastAsia" w:ascii="宋体" w:hAnsi="宋体" w:eastAsia="宋体" w:cs="宋体"/>
          <w:b/>
        </w:rPr>
      </w:pPr>
      <w:r>
        <w:rPr>
          <w:rFonts w:hint="eastAsia" w:ascii="宋体" w:hAnsi="宋体" w:eastAsia="宋体" w:cs="宋体"/>
          <w:b/>
        </w:rPr>
        <w:t>12.合同的协商变更与修改</w:t>
      </w:r>
    </w:p>
    <w:p w14:paraId="474FE954">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12.1</w:t>
      </w:r>
      <w:r>
        <w:rPr>
          <w:rFonts w:hint="eastAsia" w:ascii="宋体" w:hAnsi="宋体" w:eastAsia="宋体" w:cs="宋体"/>
        </w:rPr>
        <w:t>甲方可以以书面方式向乙方发出变更要求，协商在本合同的一般范围内变更事项，合同修改书应由双方授权代表签字，具有合同的法律效力。</w:t>
      </w:r>
    </w:p>
    <w:p w14:paraId="59CD52C6">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b/>
        </w:rPr>
      </w:pPr>
      <w:r>
        <w:rPr>
          <w:rFonts w:hint="eastAsia" w:ascii="宋体" w:hAnsi="宋体" w:eastAsia="宋体" w:cs="宋体"/>
          <w:b/>
        </w:rPr>
        <w:t>13.违约责任</w:t>
      </w:r>
    </w:p>
    <w:p w14:paraId="44331B00">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13.1除合同约定的情形外，任何一方单方面终止或废除合同，须向另外一方支付违约金，违约金金额为本合同金额的10%。</w:t>
      </w:r>
    </w:p>
    <w:p w14:paraId="758E7DA9">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13.2乙方未按时展开服务的，每逾期一天，需承担合同总额千分之六的违约金，逾期超过5日的，甲方有权解除合同。</w:t>
      </w:r>
    </w:p>
    <w:p w14:paraId="4E9FE339">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13.3乙方不能按质、按量完成本合同约定工作的，应根据甲方要求进行整改，未能按甲方要求整改的或整改2次后仍达不到甲方要求的，甲方有权解除本合同。</w:t>
      </w:r>
    </w:p>
    <w:p w14:paraId="5F00C1FF">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13.4乙方擅自更换服务人员的，每更换一人应按合同金额的5%承担违约责任，超过2人的，甲方有权解除合同。</w:t>
      </w:r>
    </w:p>
    <w:p w14:paraId="606A7D0A">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13.5若乙方不服务或未按合同约定及时响应服务的，导致甲方寻求第三方进行维护，由此造成的费用由乙方承担。该情形发生2次以上的，甲方有权解除合同。</w:t>
      </w:r>
    </w:p>
    <w:p w14:paraId="5C36C902">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13.6乙方应承担的违约金和所有费用甲方有权直接从履约保证金中予以扣除，履约保证金额及待付合同款不足以抵扣的，乙方应补足。</w:t>
      </w:r>
    </w:p>
    <w:p w14:paraId="426680EE">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13.7由于乙方违约导致合同解除的，应向甲方支付合同总价款20%的违约金。违约金低于甲方损失的，乙方应予以补足。</w:t>
      </w:r>
    </w:p>
    <w:p w14:paraId="58929642">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rPr>
        <w:t>13.8乙方违约，乙方应承担甲方因主张权利而产生的全部费用，包括但不限于诉讼费、律师费、公证费、调查取证费、差旅费等等。</w:t>
      </w:r>
      <w:r>
        <w:rPr>
          <w:rFonts w:hint="eastAsia" w:ascii="宋体" w:hAnsi="宋体" w:eastAsia="宋体" w:cs="宋体"/>
        </w:rPr>
        <w:br w:type="textWrapping"/>
      </w:r>
      <w:r>
        <w:rPr>
          <w:rFonts w:hint="eastAsia" w:ascii="宋体" w:hAnsi="宋体" w:eastAsia="宋体" w:cs="宋体"/>
          <w:b/>
        </w:rPr>
        <w:t>14.争端的解决</w:t>
      </w:r>
    </w:p>
    <w:p w14:paraId="304AFFF3">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14.1</w:t>
      </w:r>
      <w:r>
        <w:rPr>
          <w:rFonts w:hint="eastAsia" w:ascii="宋体" w:hAnsi="宋体" w:eastAsia="宋体" w:cs="宋体"/>
        </w:rPr>
        <w:t>合同实施或与合同有关的一切争端应依据《中华人民共和国民法典》并通过双方协商解决。如果协商开始后六十天还不能解决，争端应提交仲裁，仲裁应在甲方所在地进行。</w:t>
      </w:r>
    </w:p>
    <w:p w14:paraId="42AC31D1">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14.2</w:t>
      </w:r>
      <w:r>
        <w:rPr>
          <w:rFonts w:hint="eastAsia" w:ascii="宋体" w:hAnsi="宋体" w:eastAsia="宋体" w:cs="宋体"/>
        </w:rPr>
        <w:t>在仲裁期间，除正在进行仲裁的部分外，合同其他部分应继续执行。</w:t>
      </w:r>
    </w:p>
    <w:p w14:paraId="18922977">
      <w:pPr>
        <w:pageBreakBefore w:val="0"/>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b/>
        </w:rPr>
        <w:t>15.通知</w:t>
      </w:r>
    </w:p>
    <w:p w14:paraId="5A19F135">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15.1</w:t>
      </w:r>
      <w:r>
        <w:rPr>
          <w:rFonts w:hint="eastAsia" w:ascii="宋体" w:hAnsi="宋体" w:eastAsia="宋体" w:cs="宋体"/>
        </w:rPr>
        <w:t>本合同任何一方给另一方的通知，都应以书面或传真的形式发送，而另一方应以书面或传真形式确认，回复对方。</w:t>
      </w:r>
    </w:p>
    <w:p w14:paraId="030B6E40">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15.2</w:t>
      </w:r>
      <w:r>
        <w:rPr>
          <w:rFonts w:hint="eastAsia" w:ascii="宋体" w:hAnsi="宋体" w:eastAsia="宋体" w:cs="宋体"/>
        </w:rPr>
        <w:t>通知以送到日期或通知书的生效日起为生效日期，两者中以较晚的一个日期为准。</w:t>
      </w:r>
    </w:p>
    <w:p w14:paraId="4ADF0B40">
      <w:pPr>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rPr>
      </w:pPr>
      <w:r>
        <w:rPr>
          <w:rFonts w:hint="eastAsia" w:ascii="宋体" w:hAnsi="宋体" w:eastAsia="宋体" w:cs="宋体"/>
          <w:b/>
        </w:rPr>
        <w:t>16</w:t>
      </w:r>
      <w:r>
        <w:rPr>
          <w:rFonts w:hint="eastAsia" w:ascii="宋体" w:hAnsi="宋体" w:cs="宋体"/>
          <w:b/>
          <w:lang w:eastAsia="zh-CN"/>
        </w:rPr>
        <w:t>.</w:t>
      </w:r>
      <w:r>
        <w:rPr>
          <w:rFonts w:hint="eastAsia" w:ascii="宋体" w:hAnsi="宋体" w:eastAsia="宋体" w:cs="宋体"/>
        </w:rPr>
        <w:t>鉴于甲方将按照本合同向乙方支付款项，乙方在此保证全部按照合同的规定向甲方提供服务并修补缺陷。</w:t>
      </w:r>
    </w:p>
    <w:p w14:paraId="4BF8E494">
      <w:pPr>
        <w:pageBreakBefore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b/>
        </w:rPr>
      </w:pPr>
      <w:r>
        <w:rPr>
          <w:rFonts w:hint="eastAsia" w:ascii="宋体" w:hAnsi="宋体" w:eastAsia="宋体" w:cs="宋体"/>
        </w:rPr>
        <w:t>鉴于乙方将按本合同规定提供服务并修补缺陷，甲方在此保证按照合同规定的时间和方式向甲方支付合同价或其它按合同应支付的金额。</w:t>
      </w:r>
    </w:p>
    <w:p w14:paraId="6D9BEB67">
      <w:pPr>
        <w:pageBreakBefore w:val="0"/>
        <w:kinsoku/>
        <w:wordWrap/>
        <w:overflowPunct/>
        <w:topLinePunct w:val="0"/>
        <w:autoSpaceDE/>
        <w:autoSpaceDN/>
        <w:bidi w:val="0"/>
        <w:adjustRightInd/>
        <w:snapToGrid/>
        <w:spacing w:line="400" w:lineRule="exact"/>
        <w:rPr>
          <w:rFonts w:hint="eastAsia" w:ascii="宋体" w:hAnsi="宋体" w:eastAsia="宋体" w:cs="宋体"/>
          <w:b/>
        </w:rPr>
      </w:pPr>
      <w:r>
        <w:rPr>
          <w:rFonts w:hint="eastAsia" w:ascii="宋体" w:hAnsi="宋体" w:eastAsia="宋体" w:cs="宋体"/>
          <w:b/>
        </w:rPr>
        <w:t>17</w:t>
      </w:r>
      <w:r>
        <w:rPr>
          <w:rFonts w:hint="eastAsia" w:ascii="宋体" w:hAnsi="宋体" w:cs="宋体"/>
          <w:b/>
          <w:lang w:eastAsia="zh-CN"/>
        </w:rPr>
        <w:t>.</w:t>
      </w:r>
      <w:r>
        <w:rPr>
          <w:rFonts w:hint="eastAsia" w:ascii="宋体" w:hAnsi="宋体" w:eastAsia="宋体" w:cs="宋体"/>
          <w:b/>
        </w:rPr>
        <w:t>其他约定事项：</w:t>
      </w:r>
    </w:p>
    <w:p w14:paraId="381D29D4">
      <w:pPr>
        <w:pStyle w:val="9"/>
        <w:pageBreakBefore w:val="0"/>
        <w:kinsoku/>
        <w:wordWrap/>
        <w:overflowPunct/>
        <w:topLinePunct w:val="0"/>
        <w:autoSpaceDE/>
        <w:autoSpaceDN/>
        <w:bidi w:val="0"/>
        <w:adjustRightInd/>
        <w:snapToGrid/>
        <w:spacing w:after="0" w:line="400" w:lineRule="exact"/>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18</w:t>
      </w:r>
      <w:r>
        <w:rPr>
          <w:rFonts w:hint="eastAsia" w:ascii="宋体" w:hAnsi="宋体" w:cs="宋体"/>
          <w:b/>
          <w:sz w:val="21"/>
          <w:szCs w:val="21"/>
          <w:lang w:eastAsia="zh-CN"/>
        </w:rPr>
        <w:t>.</w:t>
      </w:r>
      <w:r>
        <w:rPr>
          <w:rFonts w:hint="eastAsia" w:ascii="宋体" w:hAnsi="宋体" w:eastAsia="宋体" w:cs="宋体"/>
          <w:b/>
          <w:sz w:val="21"/>
          <w:szCs w:val="21"/>
        </w:rPr>
        <w:t>本合同未尽事宜，遵照《中华人民共和国民法典》有关条文执行。</w:t>
      </w:r>
    </w:p>
    <w:p w14:paraId="14AEB78A">
      <w:pPr>
        <w:pStyle w:val="9"/>
        <w:pageBreakBefore w:val="0"/>
        <w:kinsoku/>
        <w:wordWrap/>
        <w:overflowPunct/>
        <w:topLinePunct w:val="0"/>
        <w:autoSpaceDE/>
        <w:autoSpaceDN/>
        <w:bidi w:val="0"/>
        <w:adjustRightInd/>
        <w:snapToGrid/>
        <w:spacing w:after="0" w:line="400" w:lineRule="exact"/>
        <w:ind w:left="0" w:leftChars="0" w:firstLine="0" w:firstLineChars="0"/>
        <w:rPr>
          <w:rFonts w:hint="eastAsia" w:ascii="宋体" w:hAnsi="宋体" w:eastAsia="宋体" w:cs="宋体"/>
          <w:sz w:val="21"/>
          <w:szCs w:val="21"/>
        </w:rPr>
      </w:pPr>
      <w:r>
        <w:rPr>
          <w:rFonts w:hint="eastAsia" w:ascii="宋体" w:hAnsi="宋体" w:eastAsia="宋体" w:cs="宋体"/>
          <w:b/>
          <w:sz w:val="21"/>
          <w:szCs w:val="21"/>
        </w:rPr>
        <w:t>19</w:t>
      </w:r>
      <w:r>
        <w:rPr>
          <w:rFonts w:hint="eastAsia" w:ascii="宋体" w:hAnsi="宋体" w:cs="宋体"/>
          <w:b/>
          <w:sz w:val="21"/>
          <w:szCs w:val="21"/>
          <w:lang w:eastAsia="zh-CN"/>
        </w:rPr>
        <w:t>.</w:t>
      </w:r>
      <w:r>
        <w:rPr>
          <w:rFonts w:hint="eastAsia" w:ascii="宋体" w:hAnsi="宋体" w:eastAsia="宋体" w:cs="宋体"/>
          <w:sz w:val="21"/>
          <w:szCs w:val="21"/>
        </w:rPr>
        <w:t>合同经双方授权代表签署，</w:t>
      </w:r>
      <w:r>
        <w:rPr>
          <w:rFonts w:hint="eastAsia" w:ascii="宋体" w:hAnsi="宋体" w:cs="宋体"/>
          <w:sz w:val="21"/>
          <w:szCs w:val="21"/>
          <w:lang w:eastAsia="zh-CN"/>
        </w:rPr>
        <w:t>甲乙</w:t>
      </w:r>
      <w:r>
        <w:rPr>
          <w:rFonts w:hint="eastAsia" w:ascii="宋体" w:hAnsi="宋体" w:eastAsia="宋体" w:cs="宋体"/>
          <w:sz w:val="21"/>
          <w:szCs w:val="21"/>
        </w:rPr>
        <w:t>双方加盖印章之后生效。</w:t>
      </w:r>
    </w:p>
    <w:p w14:paraId="0F02961F">
      <w:pPr>
        <w:pStyle w:val="9"/>
        <w:pageBreakBefore w:val="0"/>
        <w:kinsoku/>
        <w:wordWrap/>
        <w:overflowPunct/>
        <w:topLinePunct w:val="0"/>
        <w:autoSpaceDE/>
        <w:autoSpaceDN/>
        <w:bidi w:val="0"/>
        <w:adjustRightInd/>
        <w:snapToGrid/>
        <w:spacing w:after="0" w:line="400" w:lineRule="exact"/>
        <w:ind w:left="0" w:leftChars="0" w:firstLine="0" w:firstLineChars="0"/>
        <w:rPr>
          <w:rFonts w:hint="eastAsia" w:ascii="宋体" w:hAnsi="宋体" w:eastAsia="宋体" w:cs="宋体"/>
          <w:sz w:val="21"/>
          <w:szCs w:val="21"/>
        </w:rPr>
      </w:pPr>
      <w:r>
        <w:rPr>
          <w:rFonts w:hint="eastAsia" w:ascii="宋体" w:hAnsi="宋体" w:eastAsia="宋体" w:cs="宋体"/>
          <w:b/>
          <w:sz w:val="21"/>
          <w:szCs w:val="21"/>
        </w:rPr>
        <w:t>20</w:t>
      </w:r>
      <w:r>
        <w:rPr>
          <w:rFonts w:hint="eastAsia" w:ascii="宋体" w:hAnsi="宋体" w:cs="宋体"/>
          <w:b/>
          <w:sz w:val="21"/>
          <w:szCs w:val="21"/>
          <w:lang w:eastAsia="zh-CN"/>
        </w:rPr>
        <w:t>.</w:t>
      </w:r>
      <w:r>
        <w:rPr>
          <w:rFonts w:hint="eastAsia" w:ascii="宋体" w:hAnsi="宋体" w:eastAsia="宋体" w:cs="宋体"/>
          <w:sz w:val="21"/>
          <w:szCs w:val="21"/>
        </w:rPr>
        <w:t>本合同一式</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份，双方各执</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份。</w:t>
      </w:r>
    </w:p>
    <w:p w14:paraId="24805975">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p>
    <w:p w14:paraId="186EB2E7">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r>
        <w:rPr>
          <w:rFonts w:hint="eastAsia" w:ascii="宋体" w:hAnsi="宋体" w:cs="宋体"/>
          <w:sz w:val="21"/>
          <w:szCs w:val="21"/>
          <w:lang w:eastAsia="zh-CN"/>
        </w:rPr>
        <w:t>甲</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方：                        </w:t>
      </w:r>
      <w:r>
        <w:rPr>
          <w:rFonts w:hint="eastAsia" w:ascii="宋体" w:hAnsi="宋体" w:cs="宋体"/>
          <w:sz w:val="21"/>
          <w:szCs w:val="21"/>
          <w:lang w:eastAsia="zh-CN"/>
        </w:rPr>
        <w:t>乙</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方：              </w:t>
      </w:r>
    </w:p>
    <w:p w14:paraId="1C031B4F">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称：（印章）                名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称：（印章）</w:t>
      </w:r>
    </w:p>
    <w:p w14:paraId="12B4B92F">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r>
        <w:rPr>
          <w:rFonts w:hint="eastAsia" w:ascii="宋体" w:hAnsi="宋体" w:eastAsia="宋体" w:cs="宋体"/>
          <w:sz w:val="21"/>
          <w:szCs w:val="21"/>
        </w:rPr>
        <w:t xml:space="preserve">全权代表（签字）：                全权代表（签字）： </w:t>
      </w:r>
    </w:p>
    <w:p w14:paraId="6FE0A2EF">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r>
        <w:rPr>
          <w:rFonts w:hint="eastAsia" w:ascii="宋体" w:hAnsi="宋体" w:eastAsia="宋体" w:cs="宋体"/>
          <w:sz w:val="21"/>
          <w:szCs w:val="21"/>
        </w:rPr>
        <w:t>地    址：                        地    址：</w:t>
      </w:r>
    </w:p>
    <w:p w14:paraId="0E550C73">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r>
        <w:rPr>
          <w:rFonts w:hint="eastAsia" w:ascii="宋体" w:hAnsi="宋体" w:eastAsia="宋体" w:cs="宋体"/>
          <w:sz w:val="21"/>
          <w:szCs w:val="21"/>
        </w:rPr>
        <w:t>邮政编码：                        邮政编码：</w:t>
      </w:r>
    </w:p>
    <w:p w14:paraId="6D893CBC">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r>
        <w:rPr>
          <w:rFonts w:hint="eastAsia" w:ascii="宋体" w:hAnsi="宋体" w:eastAsia="宋体" w:cs="宋体"/>
          <w:sz w:val="21"/>
          <w:szCs w:val="21"/>
        </w:rPr>
        <w:t xml:space="preserve">电    话：                        电    话： </w:t>
      </w:r>
    </w:p>
    <w:p w14:paraId="190C8AC9">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r>
        <w:rPr>
          <w:rFonts w:hint="eastAsia" w:ascii="宋体" w:hAnsi="宋体" w:eastAsia="宋体" w:cs="宋体"/>
          <w:sz w:val="21"/>
          <w:szCs w:val="21"/>
        </w:rPr>
        <w:t>传    真：                        传    真：</w:t>
      </w:r>
    </w:p>
    <w:p w14:paraId="0C4D6DBE">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14:paraId="34DEC8CE">
      <w:pPr>
        <w:pStyle w:val="9"/>
        <w:pageBreakBefore w:val="0"/>
        <w:kinsoku/>
        <w:wordWrap/>
        <w:overflowPunct/>
        <w:topLinePunct w:val="0"/>
        <w:autoSpaceDE/>
        <w:autoSpaceDN/>
        <w:bidi w:val="0"/>
        <w:adjustRightInd/>
        <w:snapToGrid/>
        <w:spacing w:after="0" w:line="400" w:lineRule="exact"/>
        <w:ind w:left="0" w:leftChars="0"/>
        <w:rPr>
          <w:rFonts w:hint="eastAsia" w:ascii="宋体" w:hAnsi="宋体" w:eastAsia="宋体" w:cs="宋体"/>
          <w:b/>
          <w:bCs/>
          <w:kern w:val="44"/>
          <w:sz w:val="24"/>
          <w:szCs w:val="44"/>
        </w:rPr>
      </w:pPr>
      <w:r>
        <w:rPr>
          <w:rFonts w:hint="eastAsia" w:ascii="宋体" w:hAnsi="宋体" w:cs="宋体"/>
          <w:sz w:val="21"/>
          <w:szCs w:val="21"/>
          <w:lang w:eastAsia="zh-CN"/>
        </w:rPr>
        <w:t>账</w:t>
      </w:r>
      <w:r>
        <w:rPr>
          <w:rFonts w:hint="eastAsia" w:ascii="宋体" w:hAnsi="宋体" w:eastAsia="宋体" w:cs="宋体"/>
          <w:sz w:val="21"/>
          <w:szCs w:val="21"/>
        </w:rPr>
        <w:t xml:space="preserve">    号：                        </w:t>
      </w:r>
      <w:r>
        <w:rPr>
          <w:rFonts w:hint="eastAsia" w:ascii="宋体" w:hAnsi="宋体" w:cs="宋体"/>
          <w:sz w:val="21"/>
          <w:szCs w:val="21"/>
          <w:lang w:eastAsia="zh-CN"/>
        </w:rPr>
        <w:t>账</w:t>
      </w:r>
      <w:r>
        <w:rPr>
          <w:rFonts w:hint="eastAsia" w:ascii="宋体" w:hAnsi="宋体" w:eastAsia="宋体" w:cs="宋体"/>
          <w:sz w:val="21"/>
          <w:szCs w:val="21"/>
        </w:rPr>
        <w:t xml:space="preserve">    号：</w:t>
      </w:r>
      <w:bookmarkStart w:id="84" w:name="_Toc34844746"/>
    </w:p>
    <w:p w14:paraId="7B022B2B">
      <w:pPr>
        <w:pStyle w:val="3"/>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 w:val="30"/>
          <w:szCs w:val="30"/>
        </w:rPr>
      </w:pPr>
      <w:r>
        <w:rPr>
          <w:rFonts w:hint="eastAsia" w:ascii="宋体" w:hAnsi="宋体" w:eastAsia="宋体" w:cs="宋体"/>
        </w:rPr>
        <w:br w:type="page"/>
      </w:r>
      <w:bookmarkStart w:id="85" w:name="_Toc746"/>
      <w:r>
        <w:rPr>
          <w:rFonts w:hint="eastAsia" w:ascii="宋体" w:hAnsi="宋体" w:eastAsia="宋体" w:cs="宋体"/>
          <w:sz w:val="30"/>
          <w:szCs w:val="30"/>
        </w:rPr>
        <w:t>第六章</w:t>
      </w:r>
      <w:r>
        <w:rPr>
          <w:rFonts w:hint="eastAsia" w:ascii="宋体" w:hAnsi="宋体" w:cs="宋体"/>
          <w:sz w:val="30"/>
          <w:szCs w:val="30"/>
          <w:lang w:val="en-US" w:eastAsia="zh-CN"/>
        </w:rPr>
        <w:t xml:space="preserve">  </w:t>
      </w:r>
      <w:r>
        <w:rPr>
          <w:rFonts w:hint="eastAsia" w:ascii="宋体" w:hAnsi="宋体" w:eastAsia="宋体" w:cs="宋体"/>
          <w:sz w:val="30"/>
          <w:szCs w:val="30"/>
        </w:rPr>
        <w:t>响应文件格式</w:t>
      </w:r>
      <w:bookmarkEnd w:id="84"/>
      <w:bookmarkEnd w:id="85"/>
    </w:p>
    <w:p w14:paraId="27AE0D13">
      <w:pPr>
        <w:pageBreakBefore w:val="0"/>
        <w:kinsoku/>
        <w:wordWrap/>
        <w:overflowPunct/>
        <w:topLinePunct w:val="0"/>
        <w:autoSpaceDE/>
        <w:autoSpaceDN/>
        <w:bidi w:val="0"/>
        <w:adjustRightInd/>
        <w:snapToGrid w:val="0"/>
        <w:spacing w:line="400" w:lineRule="exact"/>
        <w:ind w:left="0" w:leftChars="0" w:right="0" w:rightChars="0" w:firstLine="21" w:firstLineChars="10"/>
        <w:jc w:val="left"/>
        <w:textAlignment w:val="auto"/>
        <w:rPr>
          <w:rFonts w:hint="eastAsia" w:ascii="宋体" w:hAnsi="宋体" w:eastAsia="宋体" w:cs="宋体"/>
          <w:b/>
        </w:rPr>
      </w:pPr>
      <w:r>
        <w:rPr>
          <w:rFonts w:hint="eastAsia" w:ascii="宋体" w:hAnsi="宋体" w:eastAsia="宋体" w:cs="宋体"/>
          <w:b/>
        </w:rPr>
        <w:t>1.资格要求响应文件的有关格式</w:t>
      </w:r>
    </w:p>
    <w:p w14:paraId="1D73FD9D">
      <w:pPr>
        <w:pStyle w:val="9"/>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kern w:val="1"/>
          <w:szCs w:val="21"/>
        </w:rPr>
      </w:pPr>
      <w:r>
        <w:rPr>
          <w:rFonts w:hint="eastAsia" w:ascii="宋体" w:hAnsi="宋体" w:eastAsia="宋体" w:cs="宋体"/>
          <w:b/>
          <w:sz w:val="21"/>
          <w:szCs w:val="21"/>
        </w:rPr>
        <w:t>（1）供应商资格声明函</w:t>
      </w:r>
    </w:p>
    <w:p w14:paraId="55D2E697">
      <w:pPr>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b/>
          <w:kern w:val="1"/>
          <w:szCs w:val="21"/>
        </w:rPr>
      </w:pPr>
      <w:r>
        <w:rPr>
          <w:rFonts w:hint="eastAsia" w:ascii="宋体" w:hAnsi="宋体" w:eastAsia="宋体" w:cs="宋体"/>
          <w:bCs/>
          <w:szCs w:val="21"/>
        </w:rPr>
        <w:t>致：</w:t>
      </w:r>
      <w:r>
        <w:rPr>
          <w:rFonts w:hint="eastAsia" w:ascii="宋体" w:hAnsi="宋体" w:eastAsia="宋体" w:cs="宋体"/>
          <w:szCs w:val="21"/>
          <w:u w:val="single"/>
          <w:lang w:eastAsia="zh-CN"/>
        </w:rPr>
        <w:t>宁波市发展和改革委员会</w:t>
      </w:r>
      <w:r>
        <w:rPr>
          <w:rFonts w:hint="eastAsia" w:ascii="宋体" w:hAnsi="宋体" w:eastAsia="宋体" w:cs="宋体"/>
          <w:szCs w:val="21"/>
          <w:u w:val="single"/>
        </w:rPr>
        <w:t>、宁波市国际招标有限公司</w:t>
      </w:r>
    </w:p>
    <w:p w14:paraId="499D0FE1">
      <w:pPr>
        <w:pageBreakBefore w:val="0"/>
        <w:kinsoku/>
        <w:wordWrap/>
        <w:overflowPunct/>
        <w:topLinePunct w:val="0"/>
        <w:autoSpaceDE/>
        <w:autoSpaceDN/>
        <w:bidi w:val="0"/>
        <w:adjustRightInd/>
        <w:spacing w:line="400" w:lineRule="exact"/>
        <w:ind w:left="0" w:leftChars="0" w:right="0" w:rightChars="0" w:firstLine="424"/>
        <w:textAlignment w:val="auto"/>
        <w:rPr>
          <w:rFonts w:hint="eastAsia" w:ascii="宋体" w:hAnsi="宋体" w:eastAsia="宋体" w:cs="宋体"/>
          <w:szCs w:val="21"/>
        </w:rPr>
      </w:pPr>
      <w:r>
        <w:rPr>
          <w:rFonts w:hint="eastAsia" w:ascii="宋体" w:hAnsi="宋体" w:eastAsia="宋体" w:cs="宋体"/>
          <w:szCs w:val="21"/>
        </w:rPr>
        <w:t>根据贵方的采购公告和采购邀请，我方自愿参加磋商并声明：</w:t>
      </w:r>
    </w:p>
    <w:p w14:paraId="1746B9C5">
      <w:pPr>
        <w:pageBreakBefore w:val="0"/>
        <w:kinsoku/>
        <w:wordWrap/>
        <w:overflowPunct/>
        <w:topLinePunct w:val="0"/>
        <w:autoSpaceDE/>
        <w:autoSpaceDN/>
        <w:bidi w:val="0"/>
        <w:adjustRightInd/>
        <w:spacing w:line="400" w:lineRule="exact"/>
        <w:ind w:left="0" w:leftChars="0" w:right="0" w:rightChars="0" w:firstLine="424"/>
        <w:textAlignment w:val="auto"/>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具有独立承担民事责任的能力；</w:t>
      </w:r>
    </w:p>
    <w:p w14:paraId="42C63A1F">
      <w:pPr>
        <w:pageBreakBefore w:val="0"/>
        <w:kinsoku/>
        <w:wordWrap/>
        <w:overflowPunct/>
        <w:topLinePunct w:val="0"/>
        <w:autoSpaceDE/>
        <w:autoSpaceDN/>
        <w:bidi w:val="0"/>
        <w:adjustRightInd/>
        <w:spacing w:line="400" w:lineRule="exact"/>
        <w:ind w:left="0" w:leftChars="0" w:right="0" w:rightChars="0" w:firstLine="424"/>
        <w:textAlignment w:val="auto"/>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具有良好的商业信誉和健全的财务会计制度；</w:t>
      </w:r>
    </w:p>
    <w:p w14:paraId="74169F01">
      <w:pPr>
        <w:pageBreakBefore w:val="0"/>
        <w:kinsoku/>
        <w:wordWrap/>
        <w:overflowPunct/>
        <w:topLinePunct w:val="0"/>
        <w:autoSpaceDE/>
        <w:autoSpaceDN/>
        <w:bidi w:val="0"/>
        <w:adjustRightInd/>
        <w:spacing w:line="400" w:lineRule="exact"/>
        <w:ind w:left="0" w:leftChars="0" w:right="0" w:rightChars="0" w:firstLine="424"/>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具有履行合同所必需的设备和专业技术能力；</w:t>
      </w:r>
    </w:p>
    <w:p w14:paraId="0E6F3E21">
      <w:pPr>
        <w:pageBreakBefore w:val="0"/>
        <w:kinsoku/>
        <w:wordWrap/>
        <w:overflowPunct/>
        <w:topLinePunct w:val="0"/>
        <w:autoSpaceDE/>
        <w:autoSpaceDN/>
        <w:bidi w:val="0"/>
        <w:adjustRightInd/>
        <w:spacing w:line="400" w:lineRule="exact"/>
        <w:ind w:left="0" w:leftChars="0" w:right="0" w:rightChars="0" w:firstLine="424"/>
        <w:textAlignment w:val="auto"/>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有依法缴纳税收和社会保障资金的良好记录；</w:t>
      </w:r>
    </w:p>
    <w:p w14:paraId="14A89182">
      <w:pPr>
        <w:pageBreakBefore w:val="0"/>
        <w:kinsoku/>
        <w:wordWrap/>
        <w:overflowPunct/>
        <w:topLinePunct w:val="0"/>
        <w:autoSpaceDE/>
        <w:autoSpaceDN/>
        <w:bidi w:val="0"/>
        <w:adjustRightInd/>
        <w:spacing w:line="400" w:lineRule="exact"/>
        <w:ind w:left="0" w:leftChars="0" w:right="0" w:rightChars="0" w:firstLine="424"/>
        <w:textAlignment w:val="auto"/>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参加政府采购活动前三年内，在经营活动中没有重大违法记录；</w:t>
      </w:r>
    </w:p>
    <w:p w14:paraId="3245E89C">
      <w:pPr>
        <w:pageBreakBefore w:val="0"/>
        <w:kinsoku/>
        <w:wordWrap/>
        <w:overflowPunct/>
        <w:topLinePunct w:val="0"/>
        <w:autoSpaceDE/>
        <w:autoSpaceDN/>
        <w:bidi w:val="0"/>
        <w:adjustRightInd/>
        <w:spacing w:line="400" w:lineRule="exact"/>
        <w:ind w:left="0" w:leftChars="0" w:right="0" w:rightChars="0" w:firstLine="424"/>
        <w:textAlignment w:val="auto"/>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法律、行政法规规定的其他条件。</w:t>
      </w:r>
    </w:p>
    <w:p w14:paraId="24A4B731">
      <w:pPr>
        <w:pageBreakBefore w:val="0"/>
        <w:kinsoku/>
        <w:wordWrap/>
        <w:overflowPunct/>
        <w:topLinePunct w:val="0"/>
        <w:autoSpaceDE/>
        <w:autoSpaceDN/>
        <w:bidi w:val="0"/>
        <w:adjustRightInd/>
        <w:spacing w:line="400" w:lineRule="exact"/>
        <w:ind w:left="0" w:leftChars="0" w:right="0" w:rightChars="0" w:firstLine="424"/>
        <w:textAlignment w:val="auto"/>
        <w:rPr>
          <w:rFonts w:hint="eastAsia" w:ascii="宋体" w:hAnsi="宋体" w:eastAsia="宋体" w:cs="宋体"/>
          <w:szCs w:val="21"/>
          <w:lang w:eastAsia="zh-CN"/>
        </w:rPr>
      </w:pPr>
      <w:r>
        <w:rPr>
          <w:rFonts w:hint="eastAsia" w:ascii="宋体" w:hAnsi="宋体" w:cs="宋体"/>
          <w:szCs w:val="21"/>
          <w:lang w:val="en-US" w:eastAsia="zh-CN"/>
        </w:rPr>
        <w:t>7</w:t>
      </w:r>
      <w:r>
        <w:rPr>
          <w:rFonts w:hint="eastAsia" w:ascii="宋体" w:hAnsi="宋体" w:eastAsia="宋体" w:cs="宋体"/>
          <w:szCs w:val="21"/>
        </w:rPr>
        <w:t>.至响应文件提交截止日</w:t>
      </w:r>
      <w:r>
        <w:rPr>
          <w:rFonts w:hint="eastAsia" w:ascii="宋体" w:hAnsi="宋体"/>
          <w:szCs w:val="21"/>
        </w:rPr>
        <w:t>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r>
        <w:rPr>
          <w:rFonts w:hint="eastAsia" w:ascii="宋体" w:hAnsi="宋体"/>
          <w:szCs w:val="21"/>
          <w:lang w:eastAsia="zh-CN"/>
        </w:rPr>
        <w:t>。</w:t>
      </w:r>
    </w:p>
    <w:p w14:paraId="54F86C6F">
      <w:pPr>
        <w:pageBreakBefore w:val="0"/>
        <w:kinsoku/>
        <w:wordWrap/>
        <w:overflowPunct/>
        <w:topLinePunct w:val="0"/>
        <w:autoSpaceDE/>
        <w:autoSpaceDN/>
        <w:bidi w:val="0"/>
        <w:adjustRightInd/>
        <w:spacing w:line="400" w:lineRule="exact"/>
        <w:ind w:left="0" w:leftChars="0" w:right="0" w:rightChars="0" w:firstLine="420" w:firstLineChars="200"/>
        <w:textAlignment w:val="auto"/>
        <w:rPr>
          <w:rFonts w:hint="eastAsia" w:ascii="宋体" w:hAnsi="宋体" w:eastAsia="宋体" w:cs="宋体"/>
          <w:szCs w:val="21"/>
        </w:rPr>
      </w:pPr>
    </w:p>
    <w:p w14:paraId="7FFC94D0">
      <w:pPr>
        <w:pageBreakBefore w:val="0"/>
        <w:kinsoku/>
        <w:wordWrap/>
        <w:overflowPunct/>
        <w:topLinePunct w:val="0"/>
        <w:autoSpaceDE/>
        <w:autoSpaceDN/>
        <w:bidi w:val="0"/>
        <w:adjustRightInd/>
        <w:spacing w:line="400" w:lineRule="exact"/>
        <w:ind w:left="0" w:leftChars="0" w:right="0" w:rightChars="0" w:firstLine="420" w:firstLineChars="200"/>
        <w:textAlignment w:val="auto"/>
        <w:rPr>
          <w:rFonts w:hint="eastAsia" w:ascii="宋体" w:hAnsi="宋体" w:eastAsia="宋体" w:cs="宋体"/>
          <w:szCs w:val="21"/>
        </w:rPr>
      </w:pPr>
    </w:p>
    <w:p w14:paraId="38F14525">
      <w:pPr>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___    （填写全称并加盖公章)___________</w:t>
      </w:r>
    </w:p>
    <w:p w14:paraId="3240A9B6">
      <w:pPr>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日  期：</w:t>
      </w:r>
    </w:p>
    <w:p w14:paraId="5F000792">
      <w:pPr>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p>
    <w:p w14:paraId="7F359841">
      <w:pPr>
        <w:pStyle w:val="9"/>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sz w:val="21"/>
          <w:szCs w:val="21"/>
        </w:rPr>
      </w:pPr>
    </w:p>
    <w:p w14:paraId="3D8B87DE">
      <w:pPr>
        <w:pStyle w:val="9"/>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sz w:val="21"/>
          <w:szCs w:val="21"/>
        </w:rPr>
      </w:pPr>
      <w:r>
        <w:rPr>
          <w:rFonts w:hint="eastAsia" w:ascii="宋体" w:hAnsi="宋体" w:eastAsia="宋体" w:cs="宋体"/>
          <w:b/>
          <w:sz w:val="21"/>
          <w:szCs w:val="21"/>
        </w:rPr>
        <w:t>（2）营业执照</w:t>
      </w:r>
    </w:p>
    <w:p w14:paraId="115F3188">
      <w:pPr>
        <w:pageBreakBefore w:val="0"/>
        <w:widowControl/>
        <w:kinsoku/>
        <w:wordWrap/>
        <w:overflowPunct/>
        <w:topLinePunct w:val="0"/>
        <w:autoSpaceDE/>
        <w:autoSpaceDN/>
        <w:bidi w:val="0"/>
        <w:adjustRightInd/>
        <w:spacing w:line="400" w:lineRule="exact"/>
        <w:ind w:left="0" w:leftChars="0" w:right="0" w:rightChars="0"/>
        <w:jc w:val="both"/>
        <w:textAlignment w:val="auto"/>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rPr>
        <w:t>2.商务技术文件的有关格式</w:t>
      </w:r>
    </w:p>
    <w:p w14:paraId="0C1722C3">
      <w:pPr>
        <w:pStyle w:val="9"/>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sz w:val="21"/>
          <w:szCs w:val="21"/>
        </w:rPr>
      </w:pPr>
      <w:r>
        <w:rPr>
          <w:rFonts w:hint="eastAsia" w:ascii="宋体" w:hAnsi="宋体" w:eastAsia="宋体" w:cs="宋体"/>
          <w:b/>
          <w:sz w:val="21"/>
          <w:szCs w:val="21"/>
        </w:rPr>
        <w:t>（1）响应函</w:t>
      </w:r>
    </w:p>
    <w:p w14:paraId="64B19CF0">
      <w:pPr>
        <w:pageBreakBefore w:val="0"/>
        <w:kinsoku/>
        <w:wordWrap/>
        <w:overflowPunct/>
        <w:topLinePunct w:val="0"/>
        <w:autoSpaceDE/>
        <w:autoSpaceDN/>
        <w:bidi w:val="0"/>
        <w:adjustRightInd/>
        <w:snapToGrid w:val="0"/>
        <w:spacing w:line="400" w:lineRule="exact"/>
        <w:ind w:left="0" w:leftChars="0" w:right="0" w:rightChars="0"/>
        <w:textAlignment w:val="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lang w:eastAsia="zh-CN"/>
        </w:rPr>
        <w:t>宁波市发展和改革委员会</w:t>
      </w:r>
      <w:r>
        <w:rPr>
          <w:rFonts w:hint="eastAsia" w:ascii="宋体" w:hAnsi="宋体" w:eastAsia="宋体" w:cs="宋体"/>
          <w:szCs w:val="21"/>
          <w:u w:val="single"/>
        </w:rPr>
        <w:t>、宁波市国际招标有限公司</w:t>
      </w:r>
    </w:p>
    <w:p w14:paraId="1E7E83BE">
      <w:pPr>
        <w:pageBreakBefore w:val="0"/>
        <w:kinsoku/>
        <w:wordWrap/>
        <w:overflowPunct/>
        <w:topLinePunct w:val="0"/>
        <w:autoSpaceDE/>
        <w:autoSpaceDN/>
        <w:bidi w:val="0"/>
        <w:adjustRightInd/>
        <w:snapToGrid w:val="0"/>
        <w:spacing w:line="400" w:lineRule="exact"/>
        <w:ind w:left="0" w:leftChars="0" w:right="0" w:rightChars="0" w:firstLine="447" w:firstLineChars="213"/>
        <w:jc w:val="left"/>
        <w:textAlignment w:val="auto"/>
        <w:rPr>
          <w:rFonts w:hint="eastAsia" w:ascii="宋体" w:hAnsi="宋体" w:eastAsia="宋体" w:cs="宋体"/>
          <w:szCs w:val="21"/>
        </w:rPr>
      </w:pPr>
      <w:r>
        <w:rPr>
          <w:rFonts w:hint="eastAsia" w:ascii="宋体" w:hAnsi="宋体" w:eastAsia="宋体" w:cs="宋体"/>
          <w:szCs w:val="21"/>
        </w:rPr>
        <w:t>根据贵方的采购公告和采购邀请，我方兹宣布同意如下：</w:t>
      </w:r>
    </w:p>
    <w:p w14:paraId="3CE644E8">
      <w:pPr>
        <w:pageBreakBefore w:val="0"/>
        <w:kinsoku/>
        <w:wordWrap/>
        <w:overflowPunct/>
        <w:topLinePunct w:val="0"/>
        <w:autoSpaceDE/>
        <w:autoSpaceDN/>
        <w:bidi w:val="0"/>
        <w:adjustRightInd/>
        <w:spacing w:line="400" w:lineRule="exact"/>
        <w:ind w:left="0" w:leftChars="0" w:right="0" w:rightChars="0" w:firstLine="435"/>
        <w:textAlignment w:val="auto"/>
        <w:rPr>
          <w:rFonts w:hint="eastAsia" w:ascii="宋体" w:hAnsi="宋体" w:eastAsia="宋体" w:cs="宋体"/>
        </w:rPr>
      </w:pPr>
      <w:r>
        <w:rPr>
          <w:rFonts w:hint="eastAsia" w:ascii="宋体" w:hAnsi="宋体" w:eastAsia="宋体" w:cs="宋体"/>
        </w:rPr>
        <w:t>1.按磋商文件规定提供的服务的初次报价见</w:t>
      </w:r>
      <w:r>
        <w:rPr>
          <w:rFonts w:hint="eastAsia" w:ascii="宋体" w:hAnsi="宋体" w:cs="宋体"/>
          <w:lang w:eastAsia="zh-CN"/>
        </w:rPr>
        <w:t>开标一览表</w:t>
      </w:r>
      <w:r>
        <w:rPr>
          <w:rFonts w:hint="eastAsia" w:ascii="宋体" w:hAnsi="宋体" w:eastAsia="宋体" w:cs="宋体"/>
        </w:rPr>
        <w:t>。</w:t>
      </w:r>
    </w:p>
    <w:p w14:paraId="3E024F07">
      <w:pPr>
        <w:pageBreakBefore w:val="0"/>
        <w:kinsoku/>
        <w:wordWrap/>
        <w:overflowPunct/>
        <w:topLinePunct w:val="0"/>
        <w:autoSpaceDE/>
        <w:autoSpaceDN/>
        <w:bidi w:val="0"/>
        <w:adjustRightInd/>
        <w:spacing w:line="400" w:lineRule="exact"/>
        <w:ind w:left="0" w:leftChars="0" w:right="0" w:rightChars="0" w:firstLine="435"/>
        <w:textAlignment w:val="auto"/>
        <w:rPr>
          <w:rFonts w:hint="eastAsia" w:ascii="宋体" w:hAnsi="宋体" w:eastAsia="宋体" w:cs="宋体"/>
        </w:rPr>
      </w:pPr>
      <w:r>
        <w:rPr>
          <w:rFonts w:hint="eastAsia" w:ascii="宋体" w:hAnsi="宋体" w:eastAsia="宋体" w:cs="宋体"/>
        </w:rPr>
        <w:t>2.我方将根据磋商文件的规定，严格履行合同的责任和义务。</w:t>
      </w:r>
    </w:p>
    <w:p w14:paraId="4937FE76">
      <w:pPr>
        <w:pageBreakBefore w:val="0"/>
        <w:kinsoku/>
        <w:wordWrap/>
        <w:overflowPunct/>
        <w:topLinePunct w:val="0"/>
        <w:autoSpaceDE/>
        <w:autoSpaceDN/>
        <w:bidi w:val="0"/>
        <w:adjustRightInd/>
        <w:spacing w:line="400" w:lineRule="exact"/>
        <w:ind w:left="0" w:leftChars="0" w:right="0" w:rightChars="0" w:firstLine="435"/>
        <w:textAlignment w:val="auto"/>
        <w:rPr>
          <w:rFonts w:hint="eastAsia" w:ascii="宋体" w:hAnsi="宋体" w:eastAsia="宋体" w:cs="宋体"/>
        </w:rPr>
      </w:pPr>
      <w:r>
        <w:rPr>
          <w:rFonts w:hint="eastAsia" w:ascii="宋体" w:hAnsi="宋体" w:eastAsia="宋体" w:cs="宋体"/>
        </w:rPr>
        <w:t>3.我方已详细审核全部磋商文件，包括磋商文件的澄清或修改（如有），参考资料及有关附件，我方正式认可并遵守本项目磋商文件，并对磋商文件各项条款、规定及要求均无异议。我方知道必须放弃提出含糊不清或误解问题的权利。</w:t>
      </w:r>
    </w:p>
    <w:p w14:paraId="46DCCB7B">
      <w:pPr>
        <w:pageBreakBefore w:val="0"/>
        <w:kinsoku/>
        <w:wordWrap/>
        <w:overflowPunct/>
        <w:topLinePunct w:val="0"/>
        <w:autoSpaceDE/>
        <w:autoSpaceDN/>
        <w:bidi w:val="0"/>
        <w:adjustRightInd/>
        <w:spacing w:line="400" w:lineRule="exact"/>
        <w:ind w:left="0" w:leftChars="0" w:right="0" w:rightChars="0" w:firstLine="435"/>
        <w:textAlignment w:val="auto"/>
        <w:rPr>
          <w:rFonts w:hint="eastAsia" w:ascii="宋体" w:hAnsi="宋体" w:eastAsia="宋体" w:cs="宋体"/>
        </w:rPr>
      </w:pPr>
      <w:r>
        <w:rPr>
          <w:rFonts w:hint="eastAsia" w:ascii="宋体" w:hAnsi="宋体" w:eastAsia="宋体" w:cs="宋体"/>
        </w:rPr>
        <w:t>4.我方的响应文件在磋商文件规定的响应有效期之前均对我方具有约束力。</w:t>
      </w:r>
    </w:p>
    <w:p w14:paraId="2B8D12EC">
      <w:pPr>
        <w:pageBreakBefore w:val="0"/>
        <w:kinsoku/>
        <w:wordWrap/>
        <w:overflowPunct/>
        <w:topLinePunct w:val="0"/>
        <w:autoSpaceDE/>
        <w:autoSpaceDN/>
        <w:bidi w:val="0"/>
        <w:adjustRightInd/>
        <w:spacing w:line="400" w:lineRule="exact"/>
        <w:ind w:left="0" w:leftChars="0" w:right="0" w:rightChars="0" w:firstLine="435"/>
        <w:textAlignment w:val="auto"/>
        <w:rPr>
          <w:rFonts w:hint="eastAsia" w:ascii="宋体" w:hAnsi="宋体" w:eastAsia="宋体" w:cs="宋体"/>
        </w:rPr>
      </w:pPr>
      <w:r>
        <w:rPr>
          <w:rFonts w:hint="eastAsia" w:ascii="宋体" w:hAnsi="宋体" w:eastAsia="宋体" w:cs="宋体"/>
        </w:rPr>
        <w:t>5.我方声明响应文件所提供的一切资料均真实无误、及时、有效，企业（单位）运营正常。由于我方提供资料不实而造成的责任和后果由我方独自承担。我方同意按照贵方提出的要求，提供与本项目磋商有关的任何证据、数据或资料。</w:t>
      </w:r>
    </w:p>
    <w:p w14:paraId="77445FC7">
      <w:pPr>
        <w:pageBreakBefore w:val="0"/>
        <w:kinsoku/>
        <w:wordWrap/>
        <w:overflowPunct/>
        <w:topLinePunct w:val="0"/>
        <w:autoSpaceDE/>
        <w:autoSpaceDN/>
        <w:bidi w:val="0"/>
        <w:adjustRightInd/>
        <w:spacing w:line="400" w:lineRule="exact"/>
        <w:ind w:left="0" w:leftChars="0" w:right="0" w:rightChars="0" w:firstLine="435"/>
        <w:textAlignment w:val="auto"/>
        <w:rPr>
          <w:rFonts w:hint="eastAsia" w:ascii="宋体" w:hAnsi="宋体" w:eastAsia="宋体" w:cs="宋体"/>
        </w:rPr>
      </w:pPr>
      <w:r>
        <w:rPr>
          <w:rFonts w:hint="eastAsia" w:ascii="宋体" w:hAnsi="宋体" w:eastAsia="宋体" w:cs="宋体"/>
        </w:rPr>
        <w:t>6.我方完全理解最低报价并不是获得成交的唯一标准。</w:t>
      </w:r>
    </w:p>
    <w:p w14:paraId="6204845F">
      <w:pPr>
        <w:pageBreakBefore w:val="0"/>
        <w:kinsoku/>
        <w:wordWrap/>
        <w:overflowPunct/>
        <w:topLinePunct w:val="0"/>
        <w:autoSpaceDE/>
        <w:autoSpaceDN/>
        <w:bidi w:val="0"/>
        <w:adjustRightInd/>
        <w:spacing w:line="400" w:lineRule="exact"/>
        <w:ind w:left="0" w:leftChars="0" w:right="0" w:rightChars="0" w:firstLine="435"/>
        <w:textAlignment w:val="auto"/>
        <w:rPr>
          <w:rFonts w:hint="eastAsia" w:ascii="宋体" w:hAnsi="宋体" w:eastAsia="宋体" w:cs="宋体"/>
          <w:szCs w:val="21"/>
        </w:rPr>
      </w:pPr>
      <w:r>
        <w:rPr>
          <w:rFonts w:hint="eastAsia" w:ascii="宋体" w:hAnsi="宋体" w:eastAsia="宋体" w:cs="宋体"/>
        </w:rPr>
        <w:t>7.同意招标（采购）文件中有关</w:t>
      </w:r>
      <w:r>
        <w:rPr>
          <w:rFonts w:hint="eastAsia" w:ascii="宋体" w:hAnsi="宋体" w:cs="宋体"/>
          <w:lang w:eastAsia="zh-CN"/>
        </w:rPr>
        <w:t>采购</w:t>
      </w:r>
      <w:r>
        <w:rPr>
          <w:rFonts w:hint="eastAsia" w:ascii="宋体" w:hAnsi="宋体" w:eastAsia="宋体" w:cs="宋体"/>
        </w:rPr>
        <w:t>代理服务费的条款，如有异议在</w:t>
      </w:r>
      <w:r>
        <w:rPr>
          <w:rFonts w:hint="eastAsia" w:ascii="宋体" w:hAnsi="宋体" w:cs="宋体"/>
          <w:lang w:eastAsia="zh-CN"/>
        </w:rPr>
        <w:t>磋商响应</w:t>
      </w:r>
      <w:r>
        <w:rPr>
          <w:rFonts w:hint="eastAsia" w:ascii="宋体" w:hAnsi="宋体" w:eastAsia="宋体" w:cs="宋体"/>
        </w:rPr>
        <w:t>前会以书面方式向招标代理机构提出，保证在中标</w:t>
      </w:r>
      <w:r>
        <w:rPr>
          <w:rFonts w:hint="eastAsia" w:ascii="宋体" w:hAnsi="宋体" w:cs="宋体"/>
          <w:lang w:eastAsia="zh-CN"/>
        </w:rPr>
        <w:t>（成交）</w:t>
      </w:r>
      <w:r>
        <w:rPr>
          <w:rFonts w:hint="eastAsia" w:ascii="宋体" w:hAnsi="宋体" w:eastAsia="宋体" w:cs="宋体"/>
        </w:rPr>
        <w:t>后按照招标（采购）文件规定的金额、时间和方式，向招标代理机构一次性交纳</w:t>
      </w:r>
      <w:r>
        <w:rPr>
          <w:rFonts w:hint="eastAsia" w:ascii="宋体" w:hAnsi="宋体" w:cs="宋体"/>
          <w:lang w:eastAsia="zh-CN"/>
        </w:rPr>
        <w:t>采购</w:t>
      </w:r>
      <w:r>
        <w:rPr>
          <w:rFonts w:hint="eastAsia" w:ascii="宋体" w:hAnsi="宋体" w:eastAsia="宋体" w:cs="宋体"/>
        </w:rPr>
        <w:t>代理服务费。我方如逾期未交纳（含未足额）的，愿凭招标代理机构开出的违约通知，按上述规定应交纳金额（含欠交纳）的200%交纳违约金和滞纳的银行利息。对招标代理服务费交纳的异议，我方服从招标（采购）人的协调</w:t>
      </w:r>
      <w:r>
        <w:rPr>
          <w:rFonts w:hint="eastAsia" w:ascii="宋体" w:hAnsi="宋体" w:eastAsia="宋体" w:cs="宋体"/>
          <w:szCs w:val="21"/>
        </w:rPr>
        <w:t>。</w:t>
      </w:r>
    </w:p>
    <w:p w14:paraId="197F21EF">
      <w:pPr>
        <w:pageBreakBefore w:val="0"/>
        <w:kinsoku/>
        <w:wordWrap/>
        <w:overflowPunct/>
        <w:topLinePunct w:val="0"/>
        <w:autoSpaceDE/>
        <w:autoSpaceDN/>
        <w:bidi w:val="0"/>
        <w:adjustRightInd/>
        <w:snapToGrid w:val="0"/>
        <w:spacing w:line="400" w:lineRule="exact"/>
        <w:ind w:left="0" w:leftChars="0" w:right="0" w:rightChars="0" w:firstLine="447" w:firstLineChars="213"/>
        <w:jc w:val="left"/>
        <w:textAlignment w:val="auto"/>
        <w:rPr>
          <w:rFonts w:hint="eastAsia" w:ascii="宋体" w:hAnsi="宋体" w:eastAsia="宋体" w:cs="宋体"/>
          <w:szCs w:val="21"/>
        </w:rPr>
      </w:pPr>
      <w:r>
        <w:rPr>
          <w:rFonts w:hint="eastAsia" w:ascii="宋体" w:hAnsi="宋体" w:eastAsia="宋体" w:cs="宋体"/>
          <w:szCs w:val="21"/>
        </w:rPr>
        <w:t>8.所有有关本次磋商的函电请寄：</w:t>
      </w:r>
    </w:p>
    <w:p w14:paraId="4435C63E">
      <w:pPr>
        <w:pageBreakBefore w:val="0"/>
        <w:kinsoku/>
        <w:wordWrap/>
        <w:overflowPunct/>
        <w:topLinePunct w:val="0"/>
        <w:autoSpaceDE/>
        <w:autoSpaceDN/>
        <w:bidi w:val="0"/>
        <w:adjustRightInd/>
        <w:snapToGrid w:val="0"/>
        <w:spacing w:line="400" w:lineRule="exact"/>
        <w:ind w:left="0" w:leftChars="0" w:right="0" w:rightChars="0"/>
        <w:textAlignment w:val="auto"/>
        <w:rPr>
          <w:rFonts w:hint="eastAsia" w:ascii="宋体" w:hAnsi="宋体" w:eastAsia="宋体" w:cs="宋体"/>
          <w:szCs w:val="21"/>
        </w:rPr>
      </w:pPr>
      <w:r>
        <w:rPr>
          <w:rFonts w:hint="eastAsia" w:ascii="宋体" w:hAnsi="宋体" w:eastAsia="宋体" w:cs="宋体"/>
          <w:szCs w:val="21"/>
        </w:rPr>
        <w:t xml:space="preserve">电话：   电子邮箱： </w:t>
      </w:r>
    </w:p>
    <w:p w14:paraId="59F91268">
      <w:pPr>
        <w:pageBreakBefore w:val="0"/>
        <w:kinsoku/>
        <w:wordWrap/>
        <w:overflowPunct/>
        <w:topLinePunct w:val="0"/>
        <w:autoSpaceDE/>
        <w:autoSpaceDN/>
        <w:bidi w:val="0"/>
        <w:adjustRightInd/>
        <w:snapToGrid w:val="0"/>
        <w:spacing w:line="400" w:lineRule="exact"/>
        <w:ind w:left="0" w:leftChars="0" w:right="0" w:rightChars="0"/>
        <w:textAlignment w:val="auto"/>
        <w:rPr>
          <w:rFonts w:hint="eastAsia" w:ascii="宋体" w:hAnsi="宋体" w:eastAsia="宋体" w:cs="宋体"/>
          <w:u w:val="single"/>
        </w:rPr>
      </w:pPr>
      <w:r>
        <w:rPr>
          <w:rFonts w:hint="eastAsia" w:ascii="宋体" w:hAnsi="宋体" w:eastAsia="宋体" w:cs="宋体"/>
          <w:szCs w:val="21"/>
        </w:rPr>
        <w:t>地址：   邮编：</w:t>
      </w:r>
    </w:p>
    <w:p w14:paraId="042558BA">
      <w:pPr>
        <w:pageBreakBefore w:val="0"/>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szCs w:val="21"/>
        </w:rPr>
      </w:pPr>
    </w:p>
    <w:p w14:paraId="5DF8B513">
      <w:pPr>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___    （填写全称并加盖公章)________</w:t>
      </w:r>
    </w:p>
    <w:p w14:paraId="5F7883BA">
      <w:pPr>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日  期：</w:t>
      </w:r>
    </w:p>
    <w:p w14:paraId="27577977">
      <w:pPr>
        <w:pStyle w:val="9"/>
        <w:keepNext w:val="0"/>
        <w:keepLines w:val="0"/>
        <w:pageBreakBefore w:val="0"/>
        <w:widowControl w:val="0"/>
        <w:kinsoku/>
        <w:wordWrap/>
        <w:overflowPunct/>
        <w:topLinePunct w:val="0"/>
        <w:autoSpaceDE/>
        <w:autoSpaceDN/>
        <w:bidi w:val="0"/>
        <w:adjustRightInd/>
        <w:spacing w:after="0" w:line="400" w:lineRule="exact"/>
        <w:ind w:left="0" w:leftChars="0"/>
        <w:jc w:val="center"/>
        <w:textAlignment w:val="auto"/>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 w:val="21"/>
          <w:szCs w:val="21"/>
        </w:rPr>
        <w:t>（2）法定代表人授权委托书</w:t>
      </w:r>
    </w:p>
    <w:p w14:paraId="510BBB3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lang w:eastAsia="zh-CN"/>
        </w:rPr>
        <w:t>宁波市发展和改革委员会</w:t>
      </w:r>
      <w:r>
        <w:rPr>
          <w:rFonts w:hint="eastAsia" w:ascii="宋体" w:hAnsi="宋体" w:eastAsia="宋体" w:cs="宋体"/>
          <w:szCs w:val="21"/>
          <w:u w:val="single"/>
        </w:rPr>
        <w:t>、宁波市国际招标有限公司</w:t>
      </w:r>
    </w:p>
    <w:p w14:paraId="2BA7297A">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（姓名）     </w:t>
      </w:r>
      <w:r>
        <w:rPr>
          <w:rFonts w:hint="eastAsia" w:ascii="宋体" w:hAnsi="宋体" w:eastAsia="宋体" w:cs="宋体"/>
          <w:szCs w:val="21"/>
        </w:rPr>
        <w:t>系</w:t>
      </w:r>
      <w:r>
        <w:rPr>
          <w:rFonts w:hint="eastAsia" w:ascii="宋体" w:hAnsi="宋体" w:eastAsia="宋体" w:cs="宋体"/>
          <w:szCs w:val="21"/>
          <w:u w:val="single"/>
        </w:rPr>
        <w:t xml:space="preserve">    （供应商名称）   </w:t>
      </w:r>
      <w:r>
        <w:rPr>
          <w:rFonts w:hint="eastAsia" w:ascii="宋体" w:hAnsi="宋体" w:eastAsia="宋体" w:cs="宋体"/>
          <w:szCs w:val="21"/>
        </w:rPr>
        <w:t>的法定代表人，现授权委托</w:t>
      </w:r>
      <w:r>
        <w:rPr>
          <w:rFonts w:hint="eastAsia" w:ascii="宋体" w:hAnsi="宋体" w:eastAsia="宋体" w:cs="宋体"/>
          <w:szCs w:val="21"/>
          <w:u w:val="single"/>
        </w:rPr>
        <w:t>（姓名）</w:t>
      </w:r>
      <w:r>
        <w:rPr>
          <w:rFonts w:hint="eastAsia" w:ascii="宋体" w:hAnsi="宋体" w:eastAsia="宋体" w:cs="宋体"/>
          <w:szCs w:val="21"/>
        </w:rPr>
        <w:t>、身份证号：以我方的名义参加</w:t>
      </w:r>
      <w:r>
        <w:rPr>
          <w:rFonts w:hint="eastAsia" w:ascii="宋体" w:hAnsi="宋体" w:eastAsia="宋体" w:cs="宋体"/>
          <w:szCs w:val="21"/>
          <w:u w:val="single"/>
        </w:rPr>
        <w:t xml:space="preserve">         （项目名称）             </w:t>
      </w:r>
      <w:r>
        <w:rPr>
          <w:rFonts w:hint="eastAsia" w:ascii="宋体" w:hAnsi="宋体" w:eastAsia="宋体" w:cs="宋体"/>
          <w:szCs w:val="21"/>
        </w:rPr>
        <w:t>的磋商采购活动，授权代表在磋商采购过程中所签署的一切文件和处理与之有关的一切事务，我方均予以认可并对此承担责任。</w:t>
      </w:r>
    </w:p>
    <w:p w14:paraId="7D0CF6C9">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本授权书自出具之日起生效，在撤销授权的书面通知以前，本授权委托书一直有效。授权代表在授权委托书有效期内签署的所有文件不因授权的撤销而失效。</w:t>
      </w:r>
    </w:p>
    <w:p w14:paraId="76A7EF2A">
      <w:pPr>
        <w:keepNext w:val="0"/>
        <w:keepLines w:val="0"/>
        <w:pageBreakBefore w:val="0"/>
        <w:widowControl w:val="0"/>
        <w:kinsoku/>
        <w:wordWrap/>
        <w:overflowPunct/>
        <w:topLinePunct w:val="0"/>
        <w:autoSpaceDE/>
        <w:autoSpaceDN/>
        <w:bidi w:val="0"/>
        <w:adjustRightInd/>
        <w:snapToGrid w:val="0"/>
        <w:spacing w:line="400" w:lineRule="exact"/>
        <w:ind w:firstLine="424" w:firstLineChars="202"/>
        <w:textAlignment w:val="auto"/>
        <w:rPr>
          <w:rFonts w:hint="eastAsia" w:ascii="宋体" w:hAnsi="宋体" w:eastAsia="宋体" w:cs="宋体"/>
          <w:szCs w:val="21"/>
        </w:rPr>
      </w:pPr>
      <w:r>
        <w:rPr>
          <w:rFonts w:hint="eastAsia" w:ascii="宋体" w:hAnsi="宋体" w:eastAsia="宋体" w:cs="宋体"/>
          <w:szCs w:val="21"/>
        </w:rPr>
        <w:t>授权代表无转委托权，特此授权。</w:t>
      </w:r>
    </w:p>
    <w:p w14:paraId="3170B24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Cs w:val="21"/>
        </w:rPr>
      </w:pPr>
    </w:p>
    <w:p w14:paraId="2AF4EA89">
      <w:pPr>
        <w:keepNext w:val="0"/>
        <w:keepLines w:val="0"/>
        <w:pageBreakBefore w:val="0"/>
        <w:widowControl w:val="0"/>
        <w:kinsoku/>
        <w:wordWrap/>
        <w:overflowPunct/>
        <w:topLinePunct w:val="0"/>
        <w:autoSpaceDE/>
        <w:autoSpaceDN/>
        <w:bidi w:val="0"/>
        <w:adjustRightInd/>
        <w:snapToGrid w:val="0"/>
        <w:spacing w:line="400" w:lineRule="exact"/>
        <w:ind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（填写全称并加盖公章）     </w:t>
      </w:r>
    </w:p>
    <w:p w14:paraId="0C06058E">
      <w:pPr>
        <w:keepNext w:val="0"/>
        <w:keepLines w:val="0"/>
        <w:pageBreakBefore w:val="0"/>
        <w:widowControl w:val="0"/>
        <w:kinsoku/>
        <w:wordWrap/>
        <w:overflowPunct/>
        <w:topLinePunct w:val="0"/>
        <w:autoSpaceDE/>
        <w:autoSpaceDN/>
        <w:bidi w:val="0"/>
        <w:adjustRightInd/>
        <w:snapToGrid w:val="0"/>
        <w:spacing w:line="400" w:lineRule="exact"/>
        <w:ind w:firstLine="3685" w:firstLineChars="1755"/>
        <w:textAlignment w:val="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（签字或盖章）       </w:t>
      </w:r>
    </w:p>
    <w:p w14:paraId="3F2B0A72">
      <w:pPr>
        <w:keepNext w:val="0"/>
        <w:keepLines w:val="0"/>
        <w:pageBreakBefore w:val="0"/>
        <w:widowControl w:val="0"/>
        <w:kinsoku/>
        <w:wordWrap/>
        <w:overflowPunct/>
        <w:topLinePunct w:val="0"/>
        <w:autoSpaceDE/>
        <w:autoSpaceDN/>
        <w:bidi w:val="0"/>
        <w:adjustRightInd/>
        <w:snapToGrid w:val="0"/>
        <w:spacing w:line="400" w:lineRule="exact"/>
        <w:ind w:firstLine="3685" w:firstLineChars="1755"/>
        <w:textAlignment w:val="auto"/>
        <w:rPr>
          <w:rFonts w:hint="eastAsia" w:ascii="宋体" w:hAnsi="宋体" w:eastAsia="宋体" w:cs="宋体"/>
          <w:szCs w:val="21"/>
          <w:u w:val="single"/>
        </w:rPr>
      </w:pPr>
      <w:r>
        <w:rPr>
          <w:rFonts w:hint="eastAsia" w:ascii="宋体" w:hAnsi="宋体" w:eastAsia="宋体" w:cs="宋体"/>
          <w:szCs w:val="21"/>
        </w:rPr>
        <w:t>授权代表：</w:t>
      </w:r>
      <w:r>
        <w:rPr>
          <w:rFonts w:hint="eastAsia" w:ascii="宋体" w:hAnsi="宋体" w:eastAsia="宋体" w:cs="宋体"/>
          <w:szCs w:val="21"/>
          <w:u w:val="single"/>
        </w:rPr>
        <w:t xml:space="preserve">              （签字或盖章）       </w:t>
      </w:r>
    </w:p>
    <w:p w14:paraId="5F0619B1">
      <w:pPr>
        <w:keepNext w:val="0"/>
        <w:keepLines w:val="0"/>
        <w:pageBreakBefore w:val="0"/>
        <w:widowControl w:val="0"/>
        <w:kinsoku/>
        <w:wordWrap/>
        <w:overflowPunct/>
        <w:topLinePunct w:val="0"/>
        <w:autoSpaceDE/>
        <w:autoSpaceDN/>
        <w:bidi w:val="0"/>
        <w:adjustRightInd/>
        <w:snapToGrid w:val="0"/>
        <w:spacing w:line="400" w:lineRule="exact"/>
        <w:ind w:firstLine="3685" w:firstLineChars="1755"/>
        <w:textAlignment w:val="auto"/>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14:paraId="4935180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p>
    <w:p w14:paraId="4ED712C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szCs w:val="21"/>
          <w:lang w:eastAsia="zh-CN"/>
        </w:rPr>
      </w:pPr>
      <w:r>
        <w:rPr>
          <w:rFonts w:hint="eastAsia" w:ascii="宋体" w:hAnsi="宋体" w:eastAsia="宋体" w:cs="宋体"/>
          <w:b/>
          <w:szCs w:val="21"/>
        </w:rPr>
        <w:t>注：本项目只允许有唯一的供应商授权代表，附法定代表人及授权代表身份证正反面复印件</w:t>
      </w:r>
      <w:r>
        <w:rPr>
          <w:rFonts w:hint="eastAsia" w:ascii="宋体" w:hAnsi="宋体" w:cs="宋体"/>
          <w:b/>
          <w:szCs w:val="21"/>
          <w:lang w:eastAsia="zh-CN"/>
        </w:rPr>
        <w:t>。</w:t>
      </w:r>
    </w:p>
    <w:p w14:paraId="1891B41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rPr>
      </w:pPr>
    </w:p>
    <w:p w14:paraId="1564156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rPr>
      </w:pPr>
      <w:r>
        <w:rPr>
          <w:rFonts w:hint="eastAsia" w:ascii="宋体" w:hAnsi="宋体" w:eastAsia="宋体" w:cs="宋体"/>
        </w:rPr>
        <w:t>附：法定代表人身份证正反明</w:t>
      </w:r>
    </w:p>
    <w:p w14:paraId="03C8CBDC">
      <w:pPr>
        <w:pStyle w:val="7"/>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rPr>
      </w:pPr>
    </w:p>
    <w:p w14:paraId="2D14D1A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zCs w:val="21"/>
        </w:rPr>
      </w:pPr>
      <w:r>
        <w:rPr>
          <w:rFonts w:hint="eastAsia" w:ascii="宋体" w:hAnsi="宋体" w:eastAsia="宋体" w:cs="宋体"/>
        </w:rPr>
        <w:t>附：授权代表身份证正反面</w:t>
      </w:r>
    </w:p>
    <w:p w14:paraId="00A736A4">
      <w:pPr>
        <w:pStyle w:val="9"/>
        <w:keepNext w:val="0"/>
        <w:keepLines w:val="0"/>
        <w:pageBreakBefore w:val="0"/>
        <w:widowControl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 w:val="21"/>
          <w:szCs w:val="21"/>
        </w:rPr>
        <w:t>（3）评委打分索引表</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14:paraId="64B5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noWrap w:val="0"/>
            <w:vAlign w:val="center"/>
          </w:tcPr>
          <w:p w14:paraId="56621345">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3742" w:type="dxa"/>
            <w:noWrap w:val="0"/>
            <w:vAlign w:val="center"/>
          </w:tcPr>
          <w:p w14:paraId="7C09D615">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rPr>
              <w:t>评审因素</w:t>
            </w:r>
          </w:p>
        </w:tc>
        <w:tc>
          <w:tcPr>
            <w:tcW w:w="1701" w:type="dxa"/>
            <w:noWrap w:val="0"/>
            <w:vAlign w:val="center"/>
          </w:tcPr>
          <w:p w14:paraId="42F49A0F">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文件或证明材料所在页码区间</w:t>
            </w:r>
          </w:p>
        </w:tc>
        <w:tc>
          <w:tcPr>
            <w:tcW w:w="2835" w:type="dxa"/>
            <w:noWrap w:val="0"/>
            <w:vAlign w:val="center"/>
          </w:tcPr>
          <w:p w14:paraId="61679F77">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自评得分（由评委进行主观评审的无需填写自评得分）</w:t>
            </w:r>
          </w:p>
        </w:tc>
      </w:tr>
      <w:tr w14:paraId="58E9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noWrap w:val="0"/>
            <w:vAlign w:val="center"/>
          </w:tcPr>
          <w:p w14:paraId="550E6F86">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1</w:t>
            </w:r>
          </w:p>
        </w:tc>
        <w:tc>
          <w:tcPr>
            <w:tcW w:w="3742" w:type="dxa"/>
            <w:noWrap w:val="0"/>
            <w:vAlign w:val="center"/>
          </w:tcPr>
          <w:p w14:paraId="67EC9713">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noWrap w:val="0"/>
            <w:vAlign w:val="center"/>
          </w:tcPr>
          <w:p w14:paraId="244A7116">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835" w:type="dxa"/>
            <w:noWrap w:val="0"/>
            <w:vAlign w:val="center"/>
          </w:tcPr>
          <w:p w14:paraId="496B5944">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6777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noWrap w:val="0"/>
            <w:vAlign w:val="center"/>
          </w:tcPr>
          <w:p w14:paraId="53E41536">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2</w:t>
            </w:r>
          </w:p>
        </w:tc>
        <w:tc>
          <w:tcPr>
            <w:tcW w:w="3742" w:type="dxa"/>
            <w:noWrap w:val="0"/>
            <w:vAlign w:val="center"/>
          </w:tcPr>
          <w:p w14:paraId="09A4C5C1">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noWrap w:val="0"/>
            <w:vAlign w:val="center"/>
          </w:tcPr>
          <w:p w14:paraId="28C1AF76">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835" w:type="dxa"/>
            <w:noWrap w:val="0"/>
            <w:vAlign w:val="center"/>
          </w:tcPr>
          <w:p w14:paraId="6B215EB7">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4AEC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noWrap w:val="0"/>
            <w:vAlign w:val="center"/>
          </w:tcPr>
          <w:p w14:paraId="2529B24A">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3</w:t>
            </w:r>
          </w:p>
        </w:tc>
        <w:tc>
          <w:tcPr>
            <w:tcW w:w="3742" w:type="dxa"/>
            <w:noWrap w:val="0"/>
            <w:vAlign w:val="center"/>
          </w:tcPr>
          <w:p w14:paraId="3791A3F6">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noWrap w:val="0"/>
            <w:vAlign w:val="center"/>
          </w:tcPr>
          <w:p w14:paraId="1ED66438">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835" w:type="dxa"/>
            <w:noWrap w:val="0"/>
            <w:vAlign w:val="center"/>
          </w:tcPr>
          <w:p w14:paraId="27CD171E">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737D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noWrap w:val="0"/>
            <w:vAlign w:val="center"/>
          </w:tcPr>
          <w:p w14:paraId="64C0F60E">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4</w:t>
            </w:r>
          </w:p>
        </w:tc>
        <w:tc>
          <w:tcPr>
            <w:tcW w:w="3742" w:type="dxa"/>
            <w:noWrap w:val="0"/>
            <w:vAlign w:val="center"/>
          </w:tcPr>
          <w:p w14:paraId="4438AF62">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noWrap w:val="0"/>
            <w:vAlign w:val="center"/>
          </w:tcPr>
          <w:p w14:paraId="2A1F07E2">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835" w:type="dxa"/>
            <w:noWrap w:val="0"/>
            <w:vAlign w:val="center"/>
          </w:tcPr>
          <w:p w14:paraId="42C8DAC5">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40CF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noWrap w:val="0"/>
            <w:vAlign w:val="center"/>
          </w:tcPr>
          <w:p w14:paraId="64D75320">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5</w:t>
            </w:r>
          </w:p>
        </w:tc>
        <w:tc>
          <w:tcPr>
            <w:tcW w:w="3742" w:type="dxa"/>
            <w:noWrap w:val="0"/>
            <w:vAlign w:val="center"/>
          </w:tcPr>
          <w:p w14:paraId="7C93A530">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noWrap w:val="0"/>
            <w:vAlign w:val="center"/>
          </w:tcPr>
          <w:p w14:paraId="7DCE3429">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835" w:type="dxa"/>
            <w:noWrap w:val="0"/>
            <w:vAlign w:val="center"/>
          </w:tcPr>
          <w:p w14:paraId="1F2CA47D">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2FA3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1" w:type="dxa"/>
            <w:noWrap w:val="0"/>
            <w:vAlign w:val="center"/>
          </w:tcPr>
          <w:p w14:paraId="1F8FC06A">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w:t>
            </w:r>
          </w:p>
        </w:tc>
        <w:tc>
          <w:tcPr>
            <w:tcW w:w="3742" w:type="dxa"/>
            <w:noWrap w:val="0"/>
            <w:vAlign w:val="center"/>
          </w:tcPr>
          <w:p w14:paraId="2419AB40">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noWrap w:val="0"/>
            <w:vAlign w:val="center"/>
          </w:tcPr>
          <w:p w14:paraId="683BC082">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835" w:type="dxa"/>
            <w:noWrap w:val="0"/>
            <w:vAlign w:val="center"/>
          </w:tcPr>
          <w:p w14:paraId="27FD15B8">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bl>
    <w:p w14:paraId="0587056F">
      <w:pPr>
        <w:pStyle w:val="9"/>
        <w:keepNext w:val="0"/>
        <w:keepLines w:val="0"/>
        <w:pageBreakBefore w:val="0"/>
        <w:widowControl w:val="0"/>
        <w:kinsoku/>
        <w:wordWrap/>
        <w:overflowPunct/>
        <w:topLinePunct w:val="0"/>
        <w:autoSpaceDE/>
        <w:autoSpaceDN/>
        <w:bidi w:val="0"/>
        <w:adjustRightInd/>
        <w:spacing w:after="0" w:line="400" w:lineRule="exact"/>
        <w:ind w:left="0" w:leftChars="0" w:right="0" w:rightChars="0"/>
        <w:textAlignment w:val="auto"/>
        <w:rPr>
          <w:rFonts w:hint="eastAsia" w:ascii="宋体" w:hAnsi="宋体" w:eastAsia="宋体" w:cs="宋体"/>
          <w:szCs w:val="21"/>
        </w:rPr>
      </w:pPr>
      <w:r>
        <w:rPr>
          <w:rFonts w:hint="eastAsia" w:ascii="宋体" w:hAnsi="宋体" w:eastAsia="宋体" w:cs="宋体"/>
          <w:sz w:val="21"/>
          <w:szCs w:val="21"/>
        </w:rPr>
        <w:t>注：按照评委打分表内容逐项填写，报价部分无需列入。</w:t>
      </w:r>
    </w:p>
    <w:p w14:paraId="78045308">
      <w:pPr>
        <w:pStyle w:val="9"/>
        <w:keepNext w:val="0"/>
        <w:keepLines w:val="0"/>
        <w:pageBreakBefore w:val="0"/>
        <w:widowControl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sz w:val="21"/>
          <w:szCs w:val="21"/>
        </w:rPr>
      </w:pPr>
      <w:r>
        <w:rPr>
          <w:rFonts w:hint="eastAsia" w:ascii="宋体" w:hAnsi="宋体" w:eastAsia="宋体" w:cs="宋体"/>
          <w:kern w:val="1"/>
          <w:sz w:val="21"/>
          <w:szCs w:val="21"/>
        </w:rPr>
        <w:br w:type="page"/>
      </w:r>
      <w:r>
        <w:rPr>
          <w:rFonts w:hint="eastAsia" w:ascii="宋体" w:hAnsi="宋体" w:eastAsia="宋体" w:cs="宋体"/>
          <w:b/>
          <w:sz w:val="21"/>
          <w:szCs w:val="21"/>
        </w:rPr>
        <w:t>（4）采购需求响应表</w:t>
      </w:r>
    </w:p>
    <w:tbl>
      <w:tblPr>
        <w:tblStyle w:val="1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127"/>
        <w:gridCol w:w="3402"/>
        <w:gridCol w:w="1275"/>
        <w:gridCol w:w="1560"/>
      </w:tblGrid>
      <w:tr w14:paraId="32FB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539FF3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1B9104F">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kern w:val="1"/>
                <w:szCs w:val="21"/>
              </w:rPr>
              <w:t>项目</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0A89B6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磋商文件的服务要求</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36C31DA">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磋商响应</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58BC1A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偏离说明</w:t>
            </w:r>
          </w:p>
        </w:tc>
      </w:tr>
      <w:tr w14:paraId="52EBE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967193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2B66AC6">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32A6D18">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6F344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A4D21C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25930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C927A8F">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880EED0">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10A57D9">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4A6FC2F">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406409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21B7B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08E087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3</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E32B2E7">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DE82CD1">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C963D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01C02B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62AA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6D935E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4</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5A83435">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37F675B">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60A2B3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2F04B5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4D7EA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4E0D5AA">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5</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CAF7387">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443BC8F6">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7A53F5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159929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3BD67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30F1B1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6</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9C41E2D">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2919A772">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AA1DB2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056A8F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59C77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right w:val="single" w:color="auto" w:sz="4" w:space="0"/>
            </w:tcBorders>
            <w:noWrap w:val="0"/>
            <w:vAlign w:val="center"/>
          </w:tcPr>
          <w:p w14:paraId="3A725AC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7</w:t>
            </w:r>
          </w:p>
        </w:tc>
        <w:tc>
          <w:tcPr>
            <w:tcW w:w="2127" w:type="dxa"/>
            <w:tcBorders>
              <w:top w:val="single" w:color="auto" w:sz="4" w:space="0"/>
              <w:left w:val="single" w:color="auto" w:sz="4" w:space="0"/>
              <w:right w:val="single" w:color="auto" w:sz="4" w:space="0"/>
            </w:tcBorders>
            <w:noWrap w:val="0"/>
            <w:vAlign w:val="center"/>
          </w:tcPr>
          <w:p w14:paraId="5B0A9ED9">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rPr>
            </w:pPr>
          </w:p>
        </w:tc>
        <w:tc>
          <w:tcPr>
            <w:tcW w:w="3402" w:type="dxa"/>
            <w:tcBorders>
              <w:top w:val="single" w:color="auto" w:sz="4" w:space="0"/>
              <w:left w:val="single" w:color="auto" w:sz="4" w:space="0"/>
              <w:right w:val="single" w:color="auto" w:sz="4" w:space="0"/>
            </w:tcBorders>
            <w:noWrap w:val="0"/>
            <w:vAlign w:val="top"/>
          </w:tcPr>
          <w:p w14:paraId="342B8C85">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275" w:type="dxa"/>
            <w:tcBorders>
              <w:top w:val="single" w:color="auto" w:sz="4" w:space="0"/>
              <w:left w:val="single" w:color="auto" w:sz="4" w:space="0"/>
              <w:right w:val="single" w:color="auto" w:sz="4" w:space="0"/>
            </w:tcBorders>
            <w:noWrap w:val="0"/>
            <w:vAlign w:val="center"/>
          </w:tcPr>
          <w:p w14:paraId="1998B59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right w:val="single" w:color="auto" w:sz="4" w:space="0"/>
            </w:tcBorders>
            <w:noWrap w:val="0"/>
            <w:vAlign w:val="center"/>
          </w:tcPr>
          <w:p w14:paraId="7D575C1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1B3FB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right w:val="single" w:color="auto" w:sz="4" w:space="0"/>
            </w:tcBorders>
            <w:noWrap w:val="0"/>
            <w:vAlign w:val="center"/>
          </w:tcPr>
          <w:p w14:paraId="66F14D3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8</w:t>
            </w:r>
          </w:p>
        </w:tc>
        <w:tc>
          <w:tcPr>
            <w:tcW w:w="2127" w:type="dxa"/>
            <w:tcBorders>
              <w:top w:val="single" w:color="auto" w:sz="4" w:space="0"/>
              <w:left w:val="single" w:color="auto" w:sz="4" w:space="0"/>
              <w:right w:val="single" w:color="auto" w:sz="4" w:space="0"/>
            </w:tcBorders>
            <w:noWrap w:val="0"/>
            <w:vAlign w:val="center"/>
          </w:tcPr>
          <w:p w14:paraId="05B211BF">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rPr>
            </w:pPr>
          </w:p>
        </w:tc>
        <w:tc>
          <w:tcPr>
            <w:tcW w:w="3402" w:type="dxa"/>
            <w:tcBorders>
              <w:top w:val="single" w:color="auto" w:sz="4" w:space="0"/>
              <w:left w:val="single" w:color="auto" w:sz="4" w:space="0"/>
              <w:right w:val="single" w:color="auto" w:sz="4" w:space="0"/>
            </w:tcBorders>
            <w:noWrap w:val="0"/>
            <w:vAlign w:val="top"/>
          </w:tcPr>
          <w:p w14:paraId="7A3B713B">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275" w:type="dxa"/>
            <w:tcBorders>
              <w:top w:val="single" w:color="auto" w:sz="4" w:space="0"/>
              <w:left w:val="single" w:color="auto" w:sz="4" w:space="0"/>
              <w:right w:val="single" w:color="auto" w:sz="4" w:space="0"/>
            </w:tcBorders>
            <w:noWrap w:val="0"/>
            <w:vAlign w:val="center"/>
          </w:tcPr>
          <w:p w14:paraId="2ECF115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right w:val="single" w:color="auto" w:sz="4" w:space="0"/>
            </w:tcBorders>
            <w:noWrap w:val="0"/>
            <w:vAlign w:val="center"/>
          </w:tcPr>
          <w:p w14:paraId="1A8F99E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1BFCB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right w:val="single" w:color="auto" w:sz="4" w:space="0"/>
            </w:tcBorders>
            <w:noWrap w:val="0"/>
            <w:vAlign w:val="center"/>
          </w:tcPr>
          <w:p w14:paraId="5BDACEE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9</w:t>
            </w:r>
          </w:p>
        </w:tc>
        <w:tc>
          <w:tcPr>
            <w:tcW w:w="2127" w:type="dxa"/>
            <w:tcBorders>
              <w:top w:val="single" w:color="auto" w:sz="4" w:space="0"/>
              <w:left w:val="single" w:color="auto" w:sz="4" w:space="0"/>
              <w:right w:val="single" w:color="auto" w:sz="4" w:space="0"/>
            </w:tcBorders>
            <w:noWrap w:val="0"/>
            <w:vAlign w:val="center"/>
          </w:tcPr>
          <w:p w14:paraId="666DD28D">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3402" w:type="dxa"/>
            <w:tcBorders>
              <w:top w:val="single" w:color="auto" w:sz="4" w:space="0"/>
              <w:left w:val="single" w:color="auto" w:sz="4" w:space="0"/>
              <w:right w:val="single" w:color="auto" w:sz="4" w:space="0"/>
            </w:tcBorders>
            <w:noWrap w:val="0"/>
            <w:vAlign w:val="top"/>
          </w:tcPr>
          <w:p w14:paraId="58DD7785">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275" w:type="dxa"/>
            <w:tcBorders>
              <w:top w:val="single" w:color="auto" w:sz="4" w:space="0"/>
              <w:left w:val="single" w:color="auto" w:sz="4" w:space="0"/>
              <w:right w:val="single" w:color="auto" w:sz="4" w:space="0"/>
            </w:tcBorders>
            <w:noWrap w:val="0"/>
            <w:vAlign w:val="center"/>
          </w:tcPr>
          <w:p w14:paraId="36D0B3B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560" w:type="dxa"/>
            <w:tcBorders>
              <w:top w:val="single" w:color="auto" w:sz="4" w:space="0"/>
              <w:left w:val="single" w:color="auto" w:sz="4" w:space="0"/>
              <w:right w:val="single" w:color="auto" w:sz="4" w:space="0"/>
            </w:tcBorders>
            <w:noWrap w:val="0"/>
            <w:vAlign w:val="center"/>
          </w:tcPr>
          <w:p w14:paraId="7813671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bl>
    <w:p w14:paraId="6EFA2266">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textAlignment w:val="auto"/>
        <w:rPr>
          <w:rFonts w:hint="eastAsia" w:ascii="宋体" w:hAnsi="宋体" w:eastAsia="宋体" w:cs="宋体"/>
          <w:szCs w:val="21"/>
        </w:rPr>
      </w:pPr>
      <w:r>
        <w:rPr>
          <w:rFonts w:hint="eastAsia" w:ascii="宋体" w:hAnsi="宋体" w:eastAsia="宋体" w:cs="宋体"/>
          <w:szCs w:val="21"/>
        </w:rPr>
        <w:t>注：对本项目第二章 采购需求中</w:t>
      </w:r>
      <w:r>
        <w:rPr>
          <w:rFonts w:hint="eastAsia" w:ascii="宋体" w:hAnsi="宋体" w:eastAsia="宋体" w:cs="宋体"/>
          <w:szCs w:val="21"/>
          <w:lang w:val="en-US" w:eastAsia="zh-CN"/>
        </w:rPr>
        <w:t>序号一至三</w:t>
      </w:r>
      <w:r>
        <w:rPr>
          <w:rFonts w:hint="eastAsia" w:ascii="宋体" w:hAnsi="宋体" w:eastAsia="宋体" w:cs="宋体"/>
          <w:szCs w:val="21"/>
        </w:rPr>
        <w:t>所有内容的响应。</w:t>
      </w:r>
    </w:p>
    <w:p w14:paraId="6464E140">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textAlignment w:val="auto"/>
        <w:rPr>
          <w:rFonts w:hint="eastAsia" w:ascii="宋体" w:hAnsi="宋体" w:eastAsia="宋体" w:cs="宋体"/>
          <w:szCs w:val="21"/>
        </w:rPr>
      </w:pPr>
      <w:r>
        <w:rPr>
          <w:rFonts w:hint="eastAsia" w:ascii="宋体" w:hAnsi="宋体" w:eastAsia="宋体" w:cs="宋体"/>
          <w:szCs w:val="21"/>
        </w:rPr>
        <w:t>磋商响应栏填写“响应”即为满足磋商文件的要求，填写“正偏离”即为优于磋商文件的要求，填写“负偏离”即为不能满足磋商文件的要求，磋商响应有“正偏离”和“负偏离”的应当在“偏离说明”栏进行明确描述，响应情况由磋商小组认定。</w:t>
      </w:r>
    </w:p>
    <w:p w14:paraId="2308912B">
      <w:pPr>
        <w:keepNext w:val="0"/>
        <w:keepLines w:val="0"/>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p>
    <w:p w14:paraId="4786873D">
      <w:pPr>
        <w:keepNext w:val="0"/>
        <w:keepLines w:val="0"/>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___    （填写全称并加盖公章)___________</w:t>
      </w:r>
    </w:p>
    <w:p w14:paraId="566A2A8A">
      <w:pPr>
        <w:keepNext w:val="0"/>
        <w:keepLines w:val="0"/>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日  期：</w:t>
      </w:r>
    </w:p>
    <w:p w14:paraId="60F539DA">
      <w:pPr>
        <w:pStyle w:val="9"/>
        <w:keepNext w:val="0"/>
        <w:keepLines w:val="0"/>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sz w:val="21"/>
          <w:szCs w:val="21"/>
        </w:rPr>
      </w:pPr>
      <w:r>
        <w:rPr>
          <w:rFonts w:hint="eastAsia" w:ascii="宋体" w:hAnsi="宋体" w:eastAsia="宋体" w:cs="宋体"/>
          <w:szCs w:val="21"/>
        </w:rPr>
        <w:br w:type="page"/>
      </w:r>
      <w:r>
        <w:rPr>
          <w:rFonts w:hint="eastAsia" w:ascii="宋体" w:hAnsi="宋体" w:eastAsia="宋体" w:cs="宋体"/>
          <w:b/>
          <w:sz w:val="21"/>
          <w:szCs w:val="21"/>
        </w:rPr>
        <w:t>（5）商务要求响应表</w:t>
      </w:r>
    </w:p>
    <w:tbl>
      <w:tblPr>
        <w:tblStyle w:val="1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4394"/>
        <w:gridCol w:w="1418"/>
        <w:gridCol w:w="1276"/>
      </w:tblGrid>
      <w:tr w14:paraId="57996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FE3A2A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E4DF9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kern w:val="1"/>
                <w:szCs w:val="21"/>
              </w:rPr>
              <w:t>项目</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35E8ADC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磋商文件的商务要求</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05568A">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磋商响应</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A06DDF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偏离说明</w:t>
            </w:r>
          </w:p>
        </w:tc>
      </w:tr>
      <w:tr w14:paraId="5C23F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DCF612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22AEE9">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14:paraId="40A64B9F">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B499C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7AD100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77F6A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5B3D27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E70058">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14:paraId="7E8E07C0">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18C0B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428F4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516B5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8C0C25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6F3AC1">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14:paraId="0081E1DC">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5C788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237D0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6DD6C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1DE4BDF">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2F18AB">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14:paraId="4BC01A62">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0A607A2">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B9944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668BC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1BC392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DF0007">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14:paraId="007CABF6">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949E7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A96AE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4D292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7B852A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87617D5">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14:paraId="2145B7D1">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22BCB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5C0E52">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7B910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right w:val="single" w:color="auto" w:sz="4" w:space="0"/>
            </w:tcBorders>
            <w:noWrap w:val="0"/>
            <w:vAlign w:val="center"/>
          </w:tcPr>
          <w:p w14:paraId="3F3CC67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7</w:t>
            </w:r>
          </w:p>
        </w:tc>
        <w:tc>
          <w:tcPr>
            <w:tcW w:w="1276" w:type="dxa"/>
            <w:tcBorders>
              <w:top w:val="single" w:color="auto" w:sz="4" w:space="0"/>
              <w:left w:val="single" w:color="auto" w:sz="4" w:space="0"/>
              <w:right w:val="single" w:color="auto" w:sz="4" w:space="0"/>
            </w:tcBorders>
            <w:noWrap w:val="0"/>
            <w:vAlign w:val="center"/>
          </w:tcPr>
          <w:p w14:paraId="382F2DD2">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rPr>
            </w:pPr>
          </w:p>
        </w:tc>
        <w:tc>
          <w:tcPr>
            <w:tcW w:w="4394" w:type="dxa"/>
            <w:tcBorders>
              <w:top w:val="single" w:color="auto" w:sz="4" w:space="0"/>
              <w:left w:val="single" w:color="auto" w:sz="4" w:space="0"/>
              <w:right w:val="single" w:color="auto" w:sz="4" w:space="0"/>
            </w:tcBorders>
            <w:noWrap w:val="0"/>
            <w:vAlign w:val="center"/>
          </w:tcPr>
          <w:p w14:paraId="5D30566E">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418" w:type="dxa"/>
            <w:tcBorders>
              <w:top w:val="single" w:color="auto" w:sz="4" w:space="0"/>
              <w:left w:val="single" w:color="auto" w:sz="4" w:space="0"/>
              <w:right w:val="single" w:color="auto" w:sz="4" w:space="0"/>
            </w:tcBorders>
            <w:noWrap w:val="0"/>
            <w:vAlign w:val="center"/>
          </w:tcPr>
          <w:p w14:paraId="290F497A">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276" w:type="dxa"/>
            <w:tcBorders>
              <w:top w:val="single" w:color="auto" w:sz="4" w:space="0"/>
              <w:left w:val="single" w:color="auto" w:sz="4" w:space="0"/>
              <w:right w:val="single" w:color="auto" w:sz="4" w:space="0"/>
            </w:tcBorders>
            <w:noWrap w:val="0"/>
            <w:vAlign w:val="center"/>
          </w:tcPr>
          <w:p w14:paraId="1872247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608AF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right w:val="single" w:color="auto" w:sz="4" w:space="0"/>
            </w:tcBorders>
            <w:noWrap w:val="0"/>
            <w:vAlign w:val="center"/>
          </w:tcPr>
          <w:p w14:paraId="194C998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8</w:t>
            </w:r>
          </w:p>
        </w:tc>
        <w:tc>
          <w:tcPr>
            <w:tcW w:w="1276" w:type="dxa"/>
            <w:tcBorders>
              <w:top w:val="single" w:color="auto" w:sz="4" w:space="0"/>
              <w:left w:val="single" w:color="auto" w:sz="4" w:space="0"/>
              <w:right w:val="single" w:color="auto" w:sz="4" w:space="0"/>
            </w:tcBorders>
            <w:noWrap w:val="0"/>
            <w:vAlign w:val="center"/>
          </w:tcPr>
          <w:p w14:paraId="25D4CCEF">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rPr>
            </w:pPr>
          </w:p>
        </w:tc>
        <w:tc>
          <w:tcPr>
            <w:tcW w:w="4394" w:type="dxa"/>
            <w:tcBorders>
              <w:top w:val="single" w:color="auto" w:sz="4" w:space="0"/>
              <w:left w:val="single" w:color="auto" w:sz="4" w:space="0"/>
              <w:right w:val="single" w:color="auto" w:sz="4" w:space="0"/>
            </w:tcBorders>
            <w:noWrap w:val="0"/>
            <w:vAlign w:val="center"/>
          </w:tcPr>
          <w:p w14:paraId="366E9462">
            <w:pPr>
              <w:keepNext w:val="0"/>
              <w:keepLines w:val="0"/>
              <w:pageBreakBefore w:val="0"/>
              <w:kinsoku/>
              <w:wordWrap/>
              <w:overflowPunct/>
              <w:topLinePunct w:val="0"/>
              <w:autoSpaceDE/>
              <w:autoSpaceDN/>
              <w:bidi w:val="0"/>
              <w:adjustRightInd/>
              <w:spacing w:line="400" w:lineRule="exact"/>
              <w:ind w:left="0" w:leftChars="0" w:right="0" w:rightChars="0"/>
              <w:jc w:val="left"/>
              <w:textAlignment w:val="auto"/>
              <w:rPr>
                <w:rFonts w:hint="eastAsia" w:ascii="宋体" w:hAnsi="宋体" w:eastAsia="宋体" w:cs="宋体"/>
                <w:szCs w:val="21"/>
              </w:rPr>
            </w:pPr>
          </w:p>
        </w:tc>
        <w:tc>
          <w:tcPr>
            <w:tcW w:w="1418" w:type="dxa"/>
            <w:tcBorders>
              <w:top w:val="single" w:color="auto" w:sz="4" w:space="0"/>
              <w:left w:val="single" w:color="auto" w:sz="4" w:space="0"/>
              <w:right w:val="single" w:color="auto" w:sz="4" w:space="0"/>
            </w:tcBorders>
            <w:noWrap w:val="0"/>
            <w:vAlign w:val="center"/>
          </w:tcPr>
          <w:p w14:paraId="41798A7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276" w:type="dxa"/>
            <w:tcBorders>
              <w:top w:val="single" w:color="auto" w:sz="4" w:space="0"/>
              <w:left w:val="single" w:color="auto" w:sz="4" w:space="0"/>
              <w:right w:val="single" w:color="auto" w:sz="4" w:space="0"/>
            </w:tcBorders>
            <w:noWrap w:val="0"/>
            <w:vAlign w:val="center"/>
          </w:tcPr>
          <w:p w14:paraId="1BB41E12">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bl>
    <w:p w14:paraId="5B729BC9">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textAlignment w:val="auto"/>
        <w:rPr>
          <w:rFonts w:hint="eastAsia" w:ascii="宋体" w:hAnsi="宋体" w:eastAsia="宋体" w:cs="宋体"/>
          <w:szCs w:val="21"/>
        </w:rPr>
      </w:pPr>
      <w:r>
        <w:rPr>
          <w:rFonts w:hint="eastAsia" w:ascii="宋体" w:hAnsi="宋体" w:eastAsia="宋体" w:cs="宋体"/>
          <w:szCs w:val="21"/>
        </w:rPr>
        <w:t>注：对本项目第二章 采购需求中“</w:t>
      </w:r>
      <w:r>
        <w:rPr>
          <w:rFonts w:hint="eastAsia" w:ascii="宋体" w:hAnsi="宋体" w:eastAsia="宋体" w:cs="宋体"/>
          <w:szCs w:val="21"/>
          <w:lang w:val="en-US" w:eastAsia="zh-CN"/>
        </w:rPr>
        <w:t>四</w:t>
      </w:r>
      <w:r>
        <w:rPr>
          <w:rFonts w:hint="eastAsia" w:ascii="宋体" w:hAnsi="宋体" w:eastAsia="宋体" w:cs="宋体"/>
          <w:szCs w:val="21"/>
        </w:rPr>
        <w:t>、商务条款”的响应。</w:t>
      </w:r>
    </w:p>
    <w:p w14:paraId="7A11B5AE">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textAlignment w:val="auto"/>
        <w:rPr>
          <w:rFonts w:hint="eastAsia" w:ascii="宋体" w:hAnsi="宋体" w:eastAsia="宋体" w:cs="宋体"/>
          <w:szCs w:val="21"/>
        </w:rPr>
      </w:pPr>
      <w:r>
        <w:rPr>
          <w:rFonts w:hint="eastAsia" w:ascii="宋体" w:hAnsi="宋体" w:eastAsia="宋体" w:cs="宋体"/>
          <w:szCs w:val="21"/>
        </w:rPr>
        <w:t>磋商响应栏填写“响应”即为满足磋商文件的要求，填写“正偏离”即为优于磋商文件的要求，填写“负偏离”即为不能满足磋商文件的要求，磋商响应有“正偏离”和“负偏离”的应当在“偏离说明”栏进行明确描述，响应情况由磋商小组认定。</w:t>
      </w:r>
    </w:p>
    <w:p w14:paraId="463E99ED">
      <w:pPr>
        <w:keepNext w:val="0"/>
        <w:keepLines w:val="0"/>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p>
    <w:p w14:paraId="1078121C">
      <w:pPr>
        <w:keepNext w:val="0"/>
        <w:keepLines w:val="0"/>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___    （填写全称并加盖公章)___________</w:t>
      </w:r>
    </w:p>
    <w:p w14:paraId="7A5B99AA">
      <w:pPr>
        <w:keepNext w:val="0"/>
        <w:keepLines w:val="0"/>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日  期：</w:t>
      </w:r>
    </w:p>
    <w:p w14:paraId="4027F0E9">
      <w:pPr>
        <w:pStyle w:val="9"/>
        <w:keepNext w:val="0"/>
        <w:keepLines w:val="0"/>
        <w:pageBreakBefore w:val="0"/>
        <w:widowControl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rPr>
      </w:pPr>
      <w:r>
        <w:rPr>
          <w:rFonts w:hint="eastAsia" w:ascii="宋体" w:hAnsi="宋体" w:eastAsia="宋体" w:cs="宋体"/>
          <w:szCs w:val="21"/>
        </w:rPr>
        <w:br w:type="page"/>
      </w:r>
      <w:r>
        <w:rPr>
          <w:rFonts w:hint="eastAsia" w:ascii="宋体" w:hAnsi="宋体" w:eastAsia="宋体" w:cs="宋体"/>
          <w:b/>
          <w:sz w:val="21"/>
          <w:szCs w:val="21"/>
        </w:rPr>
        <w:t>（6）项目实施人员情况表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660"/>
        <w:gridCol w:w="2145"/>
        <w:gridCol w:w="2736"/>
        <w:gridCol w:w="1611"/>
      </w:tblGrid>
      <w:tr w14:paraId="5466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noWrap w:val="0"/>
            <w:vAlign w:val="center"/>
          </w:tcPr>
          <w:p w14:paraId="2DD05AFD">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序号</w:t>
            </w:r>
          </w:p>
        </w:tc>
        <w:tc>
          <w:tcPr>
            <w:tcW w:w="905" w:type="pct"/>
            <w:noWrap w:val="0"/>
            <w:vAlign w:val="center"/>
          </w:tcPr>
          <w:p w14:paraId="5D0E4E87">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姓名</w:t>
            </w:r>
          </w:p>
        </w:tc>
        <w:tc>
          <w:tcPr>
            <w:tcW w:w="1169" w:type="pct"/>
            <w:noWrap w:val="0"/>
            <w:vAlign w:val="center"/>
          </w:tcPr>
          <w:p w14:paraId="7F9D22EF">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本项目中的岗位</w:t>
            </w:r>
          </w:p>
        </w:tc>
        <w:tc>
          <w:tcPr>
            <w:tcW w:w="1491" w:type="pct"/>
            <w:noWrap w:val="0"/>
            <w:vAlign w:val="center"/>
          </w:tcPr>
          <w:p w14:paraId="4895C5F8">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职称或执业资格证书</w:t>
            </w:r>
          </w:p>
        </w:tc>
        <w:tc>
          <w:tcPr>
            <w:tcW w:w="878" w:type="pct"/>
            <w:noWrap w:val="0"/>
            <w:vAlign w:val="center"/>
          </w:tcPr>
          <w:p w14:paraId="36248DEB">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类似项目经验</w:t>
            </w:r>
          </w:p>
        </w:tc>
      </w:tr>
      <w:tr w14:paraId="7E3F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noWrap w:val="0"/>
            <w:vAlign w:val="center"/>
          </w:tcPr>
          <w:p w14:paraId="72A0343E">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1</w:t>
            </w:r>
          </w:p>
        </w:tc>
        <w:tc>
          <w:tcPr>
            <w:tcW w:w="905" w:type="pct"/>
            <w:noWrap w:val="0"/>
            <w:vAlign w:val="center"/>
          </w:tcPr>
          <w:p w14:paraId="41FE3EF9">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169" w:type="pct"/>
            <w:noWrap w:val="0"/>
            <w:vAlign w:val="center"/>
          </w:tcPr>
          <w:p w14:paraId="24D39A75">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491" w:type="pct"/>
            <w:noWrap w:val="0"/>
            <w:vAlign w:val="center"/>
          </w:tcPr>
          <w:p w14:paraId="3D873206">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878" w:type="pct"/>
            <w:noWrap w:val="0"/>
            <w:vAlign w:val="center"/>
          </w:tcPr>
          <w:p w14:paraId="6961A0B0">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r>
      <w:tr w14:paraId="5A26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noWrap w:val="0"/>
            <w:vAlign w:val="center"/>
          </w:tcPr>
          <w:p w14:paraId="3F956E0C">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2</w:t>
            </w:r>
          </w:p>
        </w:tc>
        <w:tc>
          <w:tcPr>
            <w:tcW w:w="905" w:type="pct"/>
            <w:noWrap w:val="0"/>
            <w:vAlign w:val="center"/>
          </w:tcPr>
          <w:p w14:paraId="72084B17">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169" w:type="pct"/>
            <w:noWrap w:val="0"/>
            <w:vAlign w:val="center"/>
          </w:tcPr>
          <w:p w14:paraId="0B8DD4F5">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491" w:type="pct"/>
            <w:noWrap w:val="0"/>
            <w:vAlign w:val="center"/>
          </w:tcPr>
          <w:p w14:paraId="68A96232">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878" w:type="pct"/>
            <w:noWrap w:val="0"/>
            <w:vAlign w:val="center"/>
          </w:tcPr>
          <w:p w14:paraId="5D7CEB6C">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r>
      <w:tr w14:paraId="4645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noWrap w:val="0"/>
            <w:vAlign w:val="center"/>
          </w:tcPr>
          <w:p w14:paraId="3058CF4F">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3</w:t>
            </w:r>
          </w:p>
        </w:tc>
        <w:tc>
          <w:tcPr>
            <w:tcW w:w="905" w:type="pct"/>
            <w:noWrap w:val="0"/>
            <w:vAlign w:val="center"/>
          </w:tcPr>
          <w:p w14:paraId="36EA05AE">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169" w:type="pct"/>
            <w:noWrap w:val="0"/>
            <w:vAlign w:val="center"/>
          </w:tcPr>
          <w:p w14:paraId="54ABF45D">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491" w:type="pct"/>
            <w:noWrap w:val="0"/>
            <w:vAlign w:val="center"/>
          </w:tcPr>
          <w:p w14:paraId="7CB063A5">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878" w:type="pct"/>
            <w:noWrap w:val="0"/>
            <w:vAlign w:val="center"/>
          </w:tcPr>
          <w:p w14:paraId="735D8C4A">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r>
      <w:tr w14:paraId="5A78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noWrap w:val="0"/>
            <w:vAlign w:val="center"/>
          </w:tcPr>
          <w:p w14:paraId="498CDE7C">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4</w:t>
            </w:r>
          </w:p>
        </w:tc>
        <w:tc>
          <w:tcPr>
            <w:tcW w:w="905" w:type="pct"/>
            <w:noWrap w:val="0"/>
            <w:vAlign w:val="center"/>
          </w:tcPr>
          <w:p w14:paraId="7FE9EA14">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169" w:type="pct"/>
            <w:noWrap w:val="0"/>
            <w:vAlign w:val="center"/>
          </w:tcPr>
          <w:p w14:paraId="5915132A">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491" w:type="pct"/>
            <w:noWrap w:val="0"/>
            <w:vAlign w:val="center"/>
          </w:tcPr>
          <w:p w14:paraId="123FCCE1">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878" w:type="pct"/>
            <w:noWrap w:val="0"/>
            <w:vAlign w:val="center"/>
          </w:tcPr>
          <w:p w14:paraId="0FACEDCC">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r>
      <w:tr w14:paraId="6E61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noWrap w:val="0"/>
            <w:vAlign w:val="center"/>
          </w:tcPr>
          <w:p w14:paraId="1E696D84">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5</w:t>
            </w:r>
          </w:p>
        </w:tc>
        <w:tc>
          <w:tcPr>
            <w:tcW w:w="905" w:type="pct"/>
            <w:noWrap w:val="0"/>
            <w:vAlign w:val="center"/>
          </w:tcPr>
          <w:p w14:paraId="5F594851">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169" w:type="pct"/>
            <w:noWrap w:val="0"/>
            <w:vAlign w:val="center"/>
          </w:tcPr>
          <w:p w14:paraId="44F98F34">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491" w:type="pct"/>
            <w:noWrap w:val="0"/>
            <w:vAlign w:val="center"/>
          </w:tcPr>
          <w:p w14:paraId="0119F1A5">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878" w:type="pct"/>
            <w:noWrap w:val="0"/>
            <w:vAlign w:val="center"/>
          </w:tcPr>
          <w:p w14:paraId="60484426">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r>
      <w:tr w14:paraId="637F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7" w:type="pct"/>
            <w:noWrap w:val="0"/>
            <w:vAlign w:val="center"/>
          </w:tcPr>
          <w:p w14:paraId="33EF12F1">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t>...</w:t>
            </w:r>
          </w:p>
        </w:tc>
        <w:tc>
          <w:tcPr>
            <w:tcW w:w="905" w:type="pct"/>
            <w:noWrap w:val="0"/>
            <w:vAlign w:val="center"/>
          </w:tcPr>
          <w:p w14:paraId="665ED2A4">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169" w:type="pct"/>
            <w:noWrap w:val="0"/>
            <w:vAlign w:val="center"/>
          </w:tcPr>
          <w:p w14:paraId="4E87BA6A">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1491" w:type="pct"/>
            <w:noWrap w:val="0"/>
            <w:vAlign w:val="center"/>
          </w:tcPr>
          <w:p w14:paraId="40C02612">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c>
          <w:tcPr>
            <w:tcW w:w="878" w:type="pct"/>
            <w:noWrap w:val="0"/>
            <w:vAlign w:val="center"/>
          </w:tcPr>
          <w:p w14:paraId="12B34BCF">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szCs w:val="21"/>
              </w:rPr>
            </w:pPr>
          </w:p>
        </w:tc>
      </w:tr>
    </w:tbl>
    <w:p w14:paraId="5F02BBC0">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1" w:firstLineChars="10"/>
        <w:textAlignment w:val="auto"/>
        <w:rPr>
          <w:rFonts w:hint="eastAsia" w:ascii="宋体" w:hAnsi="宋体" w:eastAsia="宋体" w:cs="宋体"/>
        </w:rPr>
      </w:pPr>
      <w:r>
        <w:rPr>
          <w:rFonts w:hint="eastAsia" w:ascii="宋体" w:hAnsi="宋体" w:eastAsia="宋体" w:cs="宋体"/>
        </w:rPr>
        <w:t>注：1.</w:t>
      </w:r>
      <w:r>
        <w:rPr>
          <w:rFonts w:hint="eastAsia" w:ascii="宋体" w:hAnsi="宋体" w:eastAsia="宋体" w:cs="宋体"/>
          <w:kern w:val="0"/>
          <w:szCs w:val="28"/>
        </w:rPr>
        <w:t xml:space="preserve"> 主要管理人员</w:t>
      </w:r>
      <w:r>
        <w:rPr>
          <w:rFonts w:hint="eastAsia" w:ascii="宋体" w:hAnsi="宋体" w:eastAsia="宋体" w:cs="宋体"/>
        </w:rPr>
        <w:t>必须列入本表并明确，否则在评审中不予认可。</w:t>
      </w:r>
    </w:p>
    <w:p w14:paraId="6C531E6C">
      <w:pPr>
        <w:keepNext w:val="0"/>
        <w:keepLines w:val="0"/>
        <w:pageBreakBefore w:val="0"/>
        <w:widowControl w:val="0"/>
        <w:kinsoku/>
        <w:wordWrap/>
        <w:overflowPunct/>
        <w:topLinePunct w:val="0"/>
        <w:autoSpaceDE/>
        <w:autoSpaceDN/>
        <w:bidi w:val="0"/>
        <w:adjustRightInd/>
        <w:spacing w:line="400" w:lineRule="exact"/>
        <w:ind w:left="924" w:leftChars="0" w:right="0" w:rightChars="0" w:hanging="924" w:hangingChars="440"/>
        <w:textAlignment w:val="auto"/>
        <w:rPr>
          <w:rFonts w:hint="eastAsia" w:ascii="宋体" w:hAnsi="宋体" w:eastAsia="宋体" w:cs="宋体"/>
        </w:rPr>
      </w:pPr>
      <w:r>
        <w:rPr>
          <w:rFonts w:hint="eastAsia" w:ascii="宋体" w:hAnsi="宋体" w:eastAsia="宋体" w:cs="宋体"/>
        </w:rPr>
        <w:t>2.职称或执业资格证书等个人能力证明材料的复印件后附。</w:t>
      </w:r>
    </w:p>
    <w:p w14:paraId="78ED88F6">
      <w:pPr>
        <w:keepNext w:val="0"/>
        <w:keepLines w:val="0"/>
        <w:pageBreakBefore w:val="0"/>
        <w:widowControl w:val="0"/>
        <w:kinsoku/>
        <w:wordWrap/>
        <w:overflowPunct/>
        <w:topLinePunct w:val="0"/>
        <w:autoSpaceDE/>
        <w:autoSpaceDN/>
        <w:bidi w:val="0"/>
        <w:adjustRightInd/>
        <w:spacing w:line="400" w:lineRule="exact"/>
        <w:ind w:left="928" w:leftChars="0" w:right="0" w:rightChars="0" w:hanging="928" w:hangingChars="440"/>
        <w:textAlignment w:val="auto"/>
        <w:rPr>
          <w:rFonts w:hint="eastAsia" w:ascii="宋体" w:hAnsi="宋体" w:eastAsia="宋体" w:cs="宋体"/>
          <w:b/>
        </w:rPr>
      </w:pPr>
      <w:r>
        <w:rPr>
          <w:rFonts w:hint="eastAsia" w:ascii="宋体" w:hAnsi="宋体" w:eastAsia="宋体" w:cs="宋体"/>
          <w:b/>
        </w:rPr>
        <w:t>3.响应文件内提供评分标准要求的证明材料，未提供佐证能力等证书证件复印件的将不被认定。</w:t>
      </w:r>
    </w:p>
    <w:p w14:paraId="13E2D381">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0" w:firstLineChars="200"/>
        <w:textAlignment w:val="auto"/>
        <w:rPr>
          <w:rFonts w:hint="eastAsia" w:ascii="宋体" w:hAnsi="宋体" w:eastAsia="宋体" w:cs="宋体"/>
          <w:szCs w:val="21"/>
        </w:rPr>
      </w:pPr>
    </w:p>
    <w:p w14:paraId="01546C1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___    （填写全称并加盖公章)___________</w:t>
      </w:r>
    </w:p>
    <w:p w14:paraId="6B565BC3">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日  期：</w:t>
      </w:r>
    </w:p>
    <w:p w14:paraId="2CA34FEF">
      <w:pPr>
        <w:pStyle w:val="9"/>
        <w:keepNext w:val="0"/>
        <w:keepLines w:val="0"/>
        <w:pageBreakBefore w:val="0"/>
        <w:widowControl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 w:val="21"/>
          <w:szCs w:val="21"/>
        </w:rPr>
        <w:t>（7）类似项目业绩一览表</w:t>
      </w:r>
    </w:p>
    <w:tbl>
      <w:tblPr>
        <w:tblStyle w:val="15"/>
        <w:tblW w:w="8969" w:type="dxa"/>
        <w:tblInd w:w="-7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268"/>
        <w:gridCol w:w="1701"/>
        <w:gridCol w:w="2693"/>
      </w:tblGrid>
      <w:tr w14:paraId="296F25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7" w:type="dxa"/>
            <w:noWrap w:val="0"/>
            <w:vAlign w:val="center"/>
          </w:tcPr>
          <w:p w14:paraId="5F7A049E">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序号</w:t>
            </w:r>
          </w:p>
        </w:tc>
        <w:tc>
          <w:tcPr>
            <w:tcW w:w="1560" w:type="dxa"/>
            <w:noWrap w:val="0"/>
            <w:vAlign w:val="center"/>
          </w:tcPr>
          <w:p w14:paraId="402536B2">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项目名称</w:t>
            </w:r>
          </w:p>
        </w:tc>
        <w:tc>
          <w:tcPr>
            <w:tcW w:w="2268" w:type="dxa"/>
            <w:tcBorders>
              <w:right w:val="single" w:color="auto" w:sz="4" w:space="0"/>
            </w:tcBorders>
            <w:noWrap w:val="0"/>
            <w:vAlign w:val="center"/>
          </w:tcPr>
          <w:p w14:paraId="31D7B396">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项目内容</w:t>
            </w:r>
          </w:p>
        </w:tc>
        <w:tc>
          <w:tcPr>
            <w:tcW w:w="1701" w:type="dxa"/>
            <w:tcBorders>
              <w:left w:val="single" w:color="auto" w:sz="4" w:space="0"/>
            </w:tcBorders>
            <w:noWrap w:val="0"/>
            <w:vAlign w:val="center"/>
          </w:tcPr>
          <w:p w14:paraId="4155D7D8">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合同金额</w:t>
            </w:r>
          </w:p>
        </w:tc>
        <w:tc>
          <w:tcPr>
            <w:tcW w:w="2693" w:type="dxa"/>
            <w:tcBorders>
              <w:right w:val="single" w:color="auto" w:sz="4" w:space="0"/>
            </w:tcBorders>
            <w:noWrap w:val="0"/>
            <w:vAlign w:val="center"/>
          </w:tcPr>
          <w:p w14:paraId="3F8DEF69">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用户联系人及其联系电话</w:t>
            </w:r>
          </w:p>
        </w:tc>
      </w:tr>
      <w:tr w14:paraId="479404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7" w:type="dxa"/>
            <w:noWrap w:val="0"/>
            <w:vAlign w:val="center"/>
          </w:tcPr>
          <w:p w14:paraId="0DD6B545">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1</w:t>
            </w:r>
          </w:p>
        </w:tc>
        <w:tc>
          <w:tcPr>
            <w:tcW w:w="1560" w:type="dxa"/>
            <w:noWrap w:val="0"/>
            <w:vAlign w:val="center"/>
          </w:tcPr>
          <w:p w14:paraId="5DD5E58A">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268" w:type="dxa"/>
            <w:tcBorders>
              <w:right w:val="single" w:color="auto" w:sz="4" w:space="0"/>
            </w:tcBorders>
            <w:noWrap w:val="0"/>
            <w:vAlign w:val="center"/>
          </w:tcPr>
          <w:p w14:paraId="7B46F4F3">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tcBorders>
              <w:left w:val="single" w:color="auto" w:sz="4" w:space="0"/>
            </w:tcBorders>
            <w:noWrap w:val="0"/>
            <w:vAlign w:val="center"/>
          </w:tcPr>
          <w:p w14:paraId="66F1B76F">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693" w:type="dxa"/>
            <w:tcBorders>
              <w:right w:val="single" w:color="auto" w:sz="4" w:space="0"/>
            </w:tcBorders>
            <w:noWrap w:val="0"/>
            <w:vAlign w:val="center"/>
          </w:tcPr>
          <w:p w14:paraId="264C2751">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21D26E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7" w:type="dxa"/>
            <w:noWrap w:val="0"/>
            <w:vAlign w:val="center"/>
          </w:tcPr>
          <w:p w14:paraId="46811E81">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2</w:t>
            </w:r>
          </w:p>
        </w:tc>
        <w:tc>
          <w:tcPr>
            <w:tcW w:w="1560" w:type="dxa"/>
            <w:noWrap w:val="0"/>
            <w:vAlign w:val="center"/>
          </w:tcPr>
          <w:p w14:paraId="726186A7">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268" w:type="dxa"/>
            <w:tcBorders>
              <w:right w:val="single" w:color="auto" w:sz="4" w:space="0"/>
            </w:tcBorders>
            <w:noWrap w:val="0"/>
            <w:vAlign w:val="center"/>
          </w:tcPr>
          <w:p w14:paraId="090BE431">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tcBorders>
              <w:left w:val="single" w:color="auto" w:sz="4" w:space="0"/>
            </w:tcBorders>
            <w:noWrap w:val="0"/>
            <w:vAlign w:val="center"/>
          </w:tcPr>
          <w:p w14:paraId="0F320496">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693" w:type="dxa"/>
            <w:tcBorders>
              <w:right w:val="single" w:color="auto" w:sz="4" w:space="0"/>
            </w:tcBorders>
            <w:noWrap w:val="0"/>
            <w:vAlign w:val="center"/>
          </w:tcPr>
          <w:p w14:paraId="21C79C0A">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13581A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7" w:type="dxa"/>
            <w:noWrap w:val="0"/>
            <w:vAlign w:val="center"/>
          </w:tcPr>
          <w:p w14:paraId="64BD89FC">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3</w:t>
            </w:r>
          </w:p>
        </w:tc>
        <w:tc>
          <w:tcPr>
            <w:tcW w:w="1560" w:type="dxa"/>
            <w:noWrap w:val="0"/>
            <w:vAlign w:val="center"/>
          </w:tcPr>
          <w:p w14:paraId="5ED65862">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268" w:type="dxa"/>
            <w:tcBorders>
              <w:right w:val="single" w:color="auto" w:sz="4" w:space="0"/>
            </w:tcBorders>
            <w:noWrap w:val="0"/>
            <w:vAlign w:val="center"/>
          </w:tcPr>
          <w:p w14:paraId="08F77165">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tcBorders>
              <w:left w:val="single" w:color="auto" w:sz="4" w:space="0"/>
            </w:tcBorders>
            <w:noWrap w:val="0"/>
            <w:vAlign w:val="center"/>
          </w:tcPr>
          <w:p w14:paraId="25D27B2D">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693" w:type="dxa"/>
            <w:tcBorders>
              <w:right w:val="single" w:color="auto" w:sz="4" w:space="0"/>
            </w:tcBorders>
            <w:noWrap w:val="0"/>
            <w:vAlign w:val="center"/>
          </w:tcPr>
          <w:p w14:paraId="73F46B92">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03BC8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7" w:type="dxa"/>
            <w:noWrap w:val="0"/>
            <w:vAlign w:val="center"/>
          </w:tcPr>
          <w:p w14:paraId="43AEDB3B">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4</w:t>
            </w:r>
          </w:p>
        </w:tc>
        <w:tc>
          <w:tcPr>
            <w:tcW w:w="1560" w:type="dxa"/>
            <w:noWrap w:val="0"/>
            <w:vAlign w:val="center"/>
          </w:tcPr>
          <w:p w14:paraId="23E8D92F">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268" w:type="dxa"/>
            <w:tcBorders>
              <w:right w:val="single" w:color="auto" w:sz="4" w:space="0"/>
            </w:tcBorders>
            <w:noWrap w:val="0"/>
            <w:vAlign w:val="center"/>
          </w:tcPr>
          <w:p w14:paraId="160A0764">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tcBorders>
              <w:left w:val="single" w:color="auto" w:sz="4" w:space="0"/>
            </w:tcBorders>
            <w:noWrap w:val="0"/>
            <w:vAlign w:val="center"/>
          </w:tcPr>
          <w:p w14:paraId="7161C67D">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693" w:type="dxa"/>
            <w:tcBorders>
              <w:right w:val="single" w:color="auto" w:sz="4" w:space="0"/>
            </w:tcBorders>
            <w:noWrap w:val="0"/>
            <w:vAlign w:val="center"/>
          </w:tcPr>
          <w:p w14:paraId="2E67B9CF">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151C46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7" w:type="dxa"/>
            <w:noWrap w:val="0"/>
            <w:vAlign w:val="center"/>
          </w:tcPr>
          <w:p w14:paraId="61AA9D0E">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5</w:t>
            </w:r>
          </w:p>
        </w:tc>
        <w:tc>
          <w:tcPr>
            <w:tcW w:w="1560" w:type="dxa"/>
            <w:noWrap w:val="0"/>
            <w:vAlign w:val="center"/>
          </w:tcPr>
          <w:p w14:paraId="094F83C6">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268" w:type="dxa"/>
            <w:tcBorders>
              <w:right w:val="single" w:color="auto" w:sz="4" w:space="0"/>
            </w:tcBorders>
            <w:noWrap w:val="0"/>
            <w:vAlign w:val="center"/>
          </w:tcPr>
          <w:p w14:paraId="21D373D8">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tcBorders>
              <w:left w:val="single" w:color="auto" w:sz="4" w:space="0"/>
            </w:tcBorders>
            <w:noWrap w:val="0"/>
            <w:vAlign w:val="center"/>
          </w:tcPr>
          <w:p w14:paraId="793F45C0">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693" w:type="dxa"/>
            <w:tcBorders>
              <w:right w:val="single" w:color="auto" w:sz="4" w:space="0"/>
            </w:tcBorders>
            <w:noWrap w:val="0"/>
            <w:vAlign w:val="center"/>
          </w:tcPr>
          <w:p w14:paraId="3B157AE8">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r w14:paraId="46CAF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47" w:type="dxa"/>
            <w:noWrap w:val="0"/>
            <w:vAlign w:val="center"/>
          </w:tcPr>
          <w:p w14:paraId="3E469A30">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zCs w:val="21"/>
              </w:rPr>
            </w:pPr>
            <w:r>
              <w:rPr>
                <w:rFonts w:hint="eastAsia" w:ascii="宋体" w:hAnsi="宋体" w:eastAsia="宋体" w:cs="宋体"/>
                <w:bCs/>
                <w:szCs w:val="21"/>
              </w:rPr>
              <w:t>...</w:t>
            </w:r>
          </w:p>
        </w:tc>
        <w:tc>
          <w:tcPr>
            <w:tcW w:w="1560" w:type="dxa"/>
            <w:noWrap w:val="0"/>
            <w:vAlign w:val="center"/>
          </w:tcPr>
          <w:p w14:paraId="4D056A9B">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268" w:type="dxa"/>
            <w:tcBorders>
              <w:right w:val="single" w:color="auto" w:sz="4" w:space="0"/>
            </w:tcBorders>
            <w:noWrap w:val="0"/>
            <w:vAlign w:val="center"/>
          </w:tcPr>
          <w:p w14:paraId="0EFB29D5">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1701" w:type="dxa"/>
            <w:tcBorders>
              <w:left w:val="single" w:color="auto" w:sz="4" w:space="0"/>
            </w:tcBorders>
            <w:noWrap w:val="0"/>
            <w:vAlign w:val="center"/>
          </w:tcPr>
          <w:p w14:paraId="141BBACA">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c>
          <w:tcPr>
            <w:tcW w:w="2693" w:type="dxa"/>
            <w:tcBorders>
              <w:right w:val="single" w:color="auto" w:sz="4" w:space="0"/>
            </w:tcBorders>
            <w:noWrap w:val="0"/>
            <w:vAlign w:val="center"/>
          </w:tcPr>
          <w:p w14:paraId="5DFA36CF">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szCs w:val="21"/>
              </w:rPr>
            </w:pPr>
          </w:p>
        </w:tc>
      </w:tr>
    </w:tbl>
    <w:p w14:paraId="71C0D713">
      <w:pPr>
        <w:keepNext w:val="0"/>
        <w:keepLines w:val="0"/>
        <w:pageBreakBefore w:val="0"/>
        <w:widowControl w:val="0"/>
        <w:kinsoku/>
        <w:wordWrap/>
        <w:overflowPunct/>
        <w:topLinePunct w:val="0"/>
        <w:autoSpaceDE/>
        <w:autoSpaceDN/>
        <w:bidi w:val="0"/>
        <w:adjustRightInd/>
        <w:spacing w:line="400" w:lineRule="exact"/>
        <w:ind w:left="924" w:leftChars="0" w:right="0" w:rightChars="0" w:hanging="924" w:hangingChars="440"/>
        <w:textAlignment w:val="auto"/>
        <w:rPr>
          <w:rFonts w:hint="eastAsia" w:ascii="宋体" w:hAnsi="宋体" w:eastAsia="宋体" w:cs="宋体"/>
        </w:rPr>
      </w:pPr>
      <w:r>
        <w:rPr>
          <w:rFonts w:hint="eastAsia" w:ascii="宋体" w:hAnsi="宋体" w:eastAsia="宋体" w:cs="宋体"/>
          <w:bCs/>
          <w:szCs w:val="21"/>
        </w:rPr>
        <w:t>注：根据评委打分表的要求提供证明材料</w:t>
      </w:r>
      <w:r>
        <w:rPr>
          <w:rFonts w:hint="eastAsia" w:ascii="宋体" w:hAnsi="宋体" w:eastAsia="宋体" w:cs="宋体"/>
          <w:szCs w:val="21"/>
        </w:rPr>
        <w:t>。</w:t>
      </w:r>
    </w:p>
    <w:p w14:paraId="1C5A4ADF">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0" w:firstLineChars="200"/>
        <w:textAlignment w:val="auto"/>
        <w:rPr>
          <w:rFonts w:hint="eastAsia" w:ascii="宋体" w:hAnsi="宋体" w:eastAsia="宋体" w:cs="宋体"/>
          <w:szCs w:val="21"/>
        </w:rPr>
      </w:pPr>
    </w:p>
    <w:p w14:paraId="1E08770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___    （填写全称并加盖公章)___________</w:t>
      </w:r>
    </w:p>
    <w:p w14:paraId="36F7A0B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日  期：</w:t>
      </w:r>
    </w:p>
    <w:p w14:paraId="0CD151B3">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1" w:firstLineChars="10"/>
        <w:jc w:val="left"/>
        <w:textAlignment w:val="auto"/>
        <w:rPr>
          <w:rFonts w:hint="eastAsia" w:ascii="宋体" w:hAnsi="宋体" w:eastAsia="宋体" w:cs="宋体"/>
          <w:b/>
        </w:rPr>
      </w:pPr>
      <w:r>
        <w:rPr>
          <w:rFonts w:hint="eastAsia" w:ascii="宋体" w:hAnsi="宋体" w:eastAsia="宋体" w:cs="宋体"/>
          <w:b/>
          <w:szCs w:val="21"/>
        </w:rPr>
        <w:br w:type="page"/>
      </w:r>
      <w:r>
        <w:rPr>
          <w:rFonts w:hint="eastAsia" w:ascii="宋体" w:hAnsi="宋体" w:eastAsia="宋体" w:cs="宋体"/>
          <w:b/>
        </w:rPr>
        <w:t>3</w:t>
      </w:r>
      <w:r>
        <w:rPr>
          <w:rFonts w:hint="eastAsia" w:ascii="宋体" w:hAnsi="宋体" w:cs="宋体"/>
          <w:b/>
          <w:lang w:val="en-US" w:eastAsia="zh-CN"/>
        </w:rPr>
        <w:t>.</w:t>
      </w:r>
      <w:r>
        <w:rPr>
          <w:rFonts w:hint="eastAsia" w:ascii="宋体" w:hAnsi="宋体" w:eastAsia="宋体" w:cs="宋体"/>
          <w:b/>
        </w:rPr>
        <w:t>报价要求响应文件的有关格式</w:t>
      </w:r>
    </w:p>
    <w:p w14:paraId="48E3FA20">
      <w:pPr>
        <w:pStyle w:val="9"/>
        <w:keepNext w:val="0"/>
        <w:keepLines w:val="0"/>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cs="宋体"/>
          <w:b/>
          <w:sz w:val="21"/>
          <w:szCs w:val="21"/>
          <w:lang w:eastAsia="zh-CN"/>
        </w:rPr>
        <w:t>开标一览表</w:t>
      </w:r>
    </w:p>
    <w:tbl>
      <w:tblPr>
        <w:tblStyle w:val="1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14:paraId="7248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tcBorders>
              <w:top w:val="single" w:color="auto" w:sz="4" w:space="0"/>
              <w:left w:val="single" w:color="auto" w:sz="4" w:space="0"/>
              <w:bottom w:val="single" w:color="auto" w:sz="4" w:space="0"/>
              <w:right w:val="single" w:color="auto" w:sz="4" w:space="0"/>
            </w:tcBorders>
            <w:noWrap w:val="0"/>
            <w:vAlign w:val="center"/>
          </w:tcPr>
          <w:p w14:paraId="336AE4B0">
            <w:pPr>
              <w:pStyle w:val="9"/>
              <w:keepNext w:val="0"/>
              <w:keepLines w:val="0"/>
              <w:pageBreakBefore w:val="0"/>
              <w:kinsoku/>
              <w:wordWrap/>
              <w:overflowPunct/>
              <w:topLinePunct w:val="0"/>
              <w:autoSpaceDE/>
              <w:autoSpaceDN/>
              <w:bidi w:val="0"/>
              <w:adjustRightInd/>
              <w:spacing w:after="0" w:line="400" w:lineRule="exact"/>
              <w:ind w:left="457" w:leftChars="0" w:right="0" w:rightChars="0" w:hanging="457" w:hangingChars="218"/>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406A13C3">
            <w:pPr>
              <w:pStyle w:val="9"/>
              <w:keepNext w:val="0"/>
              <w:keepLines w:val="0"/>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kern w:val="2"/>
                <w:sz w:val="21"/>
                <w:szCs w:val="21"/>
                <w:lang w:eastAsia="zh-CN"/>
              </w:rPr>
            </w:pPr>
            <w:r>
              <w:rPr>
                <w:rFonts w:hint="eastAsia" w:ascii="宋体" w:hAnsi="宋体" w:cs="宋体"/>
                <w:kern w:val="2"/>
                <w:sz w:val="21"/>
                <w:szCs w:val="21"/>
                <w:lang w:eastAsia="zh-CN"/>
              </w:rPr>
              <w:t>2025年中国品牌日·宁波品牌宣传活动暨走近品牌计划项目</w:t>
            </w:r>
          </w:p>
        </w:tc>
      </w:tr>
      <w:tr w14:paraId="142D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tcBorders>
              <w:top w:val="single" w:color="auto" w:sz="4" w:space="0"/>
              <w:left w:val="single" w:color="auto" w:sz="4" w:space="0"/>
              <w:bottom w:val="single" w:color="auto" w:sz="4" w:space="0"/>
              <w:right w:val="single" w:color="auto" w:sz="4" w:space="0"/>
            </w:tcBorders>
            <w:noWrap w:val="0"/>
            <w:vAlign w:val="center"/>
          </w:tcPr>
          <w:p w14:paraId="7C85F579">
            <w:pPr>
              <w:pStyle w:val="9"/>
              <w:keepNext w:val="0"/>
              <w:keepLines w:val="0"/>
              <w:pageBreakBefore w:val="0"/>
              <w:kinsoku/>
              <w:wordWrap/>
              <w:overflowPunct/>
              <w:topLinePunct w:val="0"/>
              <w:autoSpaceDE/>
              <w:autoSpaceDN/>
              <w:bidi w:val="0"/>
              <w:adjustRightInd/>
              <w:spacing w:after="0" w:line="400" w:lineRule="exact"/>
              <w:ind w:left="457" w:leftChars="0" w:right="0" w:rightChars="0" w:hanging="457" w:hangingChars="218"/>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标项号</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72BBC62A">
            <w:pPr>
              <w:pStyle w:val="9"/>
              <w:keepNext w:val="0"/>
              <w:keepLines w:val="0"/>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r>
      <w:tr w14:paraId="3E26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tcBorders>
              <w:top w:val="single" w:color="auto" w:sz="4" w:space="0"/>
              <w:left w:val="single" w:color="auto" w:sz="4" w:space="0"/>
              <w:right w:val="single" w:color="auto" w:sz="4" w:space="0"/>
            </w:tcBorders>
            <w:noWrap w:val="0"/>
            <w:vAlign w:val="center"/>
          </w:tcPr>
          <w:p w14:paraId="2CF47B9A">
            <w:pPr>
              <w:pStyle w:val="9"/>
              <w:keepNext w:val="0"/>
              <w:keepLines w:val="0"/>
              <w:pageBreakBefore w:val="0"/>
              <w:kinsoku/>
              <w:wordWrap/>
              <w:overflowPunct/>
              <w:topLinePunct w:val="0"/>
              <w:autoSpaceDE/>
              <w:autoSpaceDN/>
              <w:bidi w:val="0"/>
              <w:adjustRightInd/>
              <w:spacing w:after="0" w:line="400" w:lineRule="exact"/>
              <w:ind w:left="457" w:leftChars="0" w:right="0" w:rightChars="0" w:hanging="457" w:hangingChars="218"/>
              <w:jc w:val="center"/>
              <w:textAlignment w:val="auto"/>
              <w:rPr>
                <w:rFonts w:hint="eastAsia" w:ascii="宋体" w:hAnsi="宋体" w:eastAsia="宋体" w:cs="宋体"/>
                <w:sz w:val="21"/>
                <w:szCs w:val="21"/>
              </w:rPr>
            </w:pPr>
            <w:r>
              <w:rPr>
                <w:rFonts w:hint="eastAsia" w:ascii="宋体" w:hAnsi="宋体" w:eastAsia="宋体" w:cs="宋体"/>
                <w:kern w:val="2"/>
                <w:sz w:val="21"/>
                <w:szCs w:val="21"/>
              </w:rPr>
              <w:t>项目编号</w:t>
            </w:r>
          </w:p>
        </w:tc>
        <w:tc>
          <w:tcPr>
            <w:tcW w:w="5954" w:type="dxa"/>
            <w:tcBorders>
              <w:top w:val="single" w:color="auto" w:sz="4" w:space="0"/>
              <w:left w:val="single" w:color="auto" w:sz="4" w:space="0"/>
              <w:right w:val="single" w:color="auto" w:sz="4" w:space="0"/>
            </w:tcBorders>
            <w:noWrap w:val="0"/>
            <w:vAlign w:val="center"/>
          </w:tcPr>
          <w:p w14:paraId="1E91498A">
            <w:pPr>
              <w:pStyle w:val="9"/>
              <w:keepNext w:val="0"/>
              <w:keepLines w:val="0"/>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NBITC-</w:t>
            </w:r>
            <w:r>
              <w:rPr>
                <w:rFonts w:hint="eastAsia" w:ascii="宋体" w:hAnsi="宋体" w:eastAsia="宋体" w:cs="宋体"/>
                <w:kern w:val="2"/>
                <w:sz w:val="21"/>
                <w:szCs w:val="21"/>
                <w:lang w:eastAsia="zh-CN"/>
              </w:rPr>
              <w:t>202530796GC</w:t>
            </w:r>
          </w:p>
        </w:tc>
      </w:tr>
      <w:tr w14:paraId="63D9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tcBorders>
              <w:top w:val="single" w:color="auto" w:sz="4" w:space="0"/>
              <w:left w:val="single" w:color="auto" w:sz="4" w:space="0"/>
              <w:right w:val="single" w:color="auto" w:sz="4" w:space="0"/>
            </w:tcBorders>
            <w:noWrap w:val="0"/>
            <w:vAlign w:val="center"/>
          </w:tcPr>
          <w:p w14:paraId="3952BBDA">
            <w:pPr>
              <w:pStyle w:val="9"/>
              <w:keepNext w:val="0"/>
              <w:keepLines w:val="0"/>
              <w:pageBreakBefore w:val="0"/>
              <w:kinsoku/>
              <w:wordWrap/>
              <w:overflowPunct/>
              <w:topLinePunct w:val="0"/>
              <w:autoSpaceDE/>
              <w:autoSpaceDN/>
              <w:bidi w:val="0"/>
              <w:adjustRightInd/>
              <w:spacing w:after="0" w:line="400" w:lineRule="exact"/>
              <w:ind w:left="457" w:leftChars="0" w:right="0" w:rightChars="0" w:hanging="457" w:hangingChars="218"/>
              <w:jc w:val="center"/>
              <w:textAlignment w:val="auto"/>
              <w:rPr>
                <w:rFonts w:hint="eastAsia" w:ascii="宋体" w:hAnsi="宋体" w:eastAsia="宋体" w:cs="宋体"/>
                <w:sz w:val="21"/>
                <w:szCs w:val="21"/>
              </w:rPr>
            </w:pPr>
            <w:r>
              <w:rPr>
                <w:rFonts w:hint="eastAsia" w:ascii="宋体" w:hAnsi="宋体" w:cs="宋体"/>
                <w:kern w:val="2"/>
                <w:sz w:val="21"/>
                <w:szCs w:val="21"/>
                <w:lang w:val="en-US" w:eastAsia="zh-CN"/>
              </w:rPr>
              <w:t>磋商</w:t>
            </w:r>
            <w:r>
              <w:rPr>
                <w:rFonts w:hint="eastAsia" w:ascii="宋体" w:hAnsi="宋体" w:eastAsia="宋体" w:cs="宋体"/>
                <w:kern w:val="2"/>
                <w:sz w:val="21"/>
                <w:szCs w:val="21"/>
              </w:rPr>
              <w:t>报价（元）</w:t>
            </w:r>
          </w:p>
        </w:tc>
        <w:tc>
          <w:tcPr>
            <w:tcW w:w="5954" w:type="dxa"/>
            <w:tcBorders>
              <w:top w:val="single" w:color="auto" w:sz="4" w:space="0"/>
              <w:left w:val="single" w:color="auto" w:sz="4" w:space="0"/>
              <w:right w:val="single" w:color="auto" w:sz="4" w:space="0"/>
            </w:tcBorders>
            <w:noWrap w:val="0"/>
            <w:vAlign w:val="center"/>
          </w:tcPr>
          <w:p w14:paraId="6A883BBD">
            <w:pPr>
              <w:pStyle w:val="9"/>
              <w:keepNext w:val="0"/>
              <w:keepLines w:val="0"/>
              <w:pageBreakBefore w:val="0"/>
              <w:kinsoku/>
              <w:wordWrap/>
              <w:overflowPunct/>
              <w:topLinePunct w:val="0"/>
              <w:autoSpaceDE/>
              <w:autoSpaceDN/>
              <w:bidi w:val="0"/>
              <w:adjustRightInd/>
              <w:spacing w:after="0" w:line="400" w:lineRule="exact"/>
              <w:ind w:left="457" w:leftChars="0" w:right="0" w:rightChars="0" w:hanging="457" w:hangingChars="218"/>
              <w:jc w:val="left"/>
              <w:textAlignment w:val="auto"/>
              <w:rPr>
                <w:rFonts w:hint="eastAsia" w:ascii="宋体" w:hAnsi="宋体" w:eastAsia="宋体" w:cs="宋体"/>
                <w:sz w:val="21"/>
                <w:szCs w:val="21"/>
              </w:rPr>
            </w:pPr>
            <w:r>
              <w:rPr>
                <w:rFonts w:hint="eastAsia" w:ascii="宋体" w:hAnsi="宋体" w:eastAsia="宋体" w:cs="宋体"/>
                <w:kern w:val="2"/>
                <w:sz w:val="21"/>
                <w:szCs w:val="21"/>
              </w:rPr>
              <w:t>小写：</w:t>
            </w:r>
          </w:p>
          <w:p w14:paraId="40A55E64">
            <w:pPr>
              <w:pStyle w:val="9"/>
              <w:keepNext w:val="0"/>
              <w:keepLines w:val="0"/>
              <w:pageBreakBefore w:val="0"/>
              <w:kinsoku/>
              <w:wordWrap/>
              <w:overflowPunct/>
              <w:topLinePunct w:val="0"/>
              <w:autoSpaceDE/>
              <w:autoSpaceDN/>
              <w:bidi w:val="0"/>
              <w:adjustRightInd/>
              <w:spacing w:after="0" w:line="400" w:lineRule="exact"/>
              <w:ind w:left="457" w:leftChars="0" w:right="0" w:rightChars="0" w:hanging="457" w:hangingChars="218"/>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rPr>
              <w:t>大写：</w:t>
            </w:r>
          </w:p>
        </w:tc>
      </w:tr>
    </w:tbl>
    <w:p w14:paraId="3BC3B407">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textAlignment w:val="auto"/>
        <w:rPr>
          <w:rFonts w:hint="eastAsia" w:ascii="宋体" w:hAnsi="宋体" w:eastAsia="宋体" w:cs="宋体"/>
          <w:bCs/>
          <w:szCs w:val="21"/>
        </w:rPr>
      </w:pPr>
      <w:r>
        <w:rPr>
          <w:rFonts w:hint="eastAsia" w:ascii="宋体" w:hAnsi="宋体" w:eastAsia="宋体" w:cs="宋体"/>
          <w:bCs/>
          <w:szCs w:val="21"/>
        </w:rPr>
        <w:t>注</w:t>
      </w:r>
      <w:r>
        <w:rPr>
          <w:rFonts w:hint="eastAsia" w:ascii="宋体" w:hAnsi="宋体" w:cs="宋体"/>
          <w:bCs/>
          <w:szCs w:val="21"/>
          <w:lang w:eastAsia="zh-CN"/>
        </w:rPr>
        <w:t>：</w:t>
      </w:r>
      <w:r>
        <w:rPr>
          <w:rFonts w:hint="eastAsia" w:ascii="宋体" w:hAnsi="宋体" w:eastAsia="宋体" w:cs="宋体"/>
          <w:bCs/>
          <w:szCs w:val="21"/>
        </w:rPr>
        <w:t>报价一经涂改，应在涂改处加盖单位公章或由法定代表人或其授权代表签字，否则磋商小组将不接受该修改内容。</w:t>
      </w:r>
    </w:p>
    <w:p w14:paraId="1478DC3B">
      <w:pPr>
        <w:keepNext w:val="0"/>
        <w:keepLines w:val="0"/>
        <w:pageBreakBefore w:val="0"/>
        <w:kinsoku/>
        <w:wordWrap/>
        <w:overflowPunct/>
        <w:topLinePunct w:val="0"/>
        <w:autoSpaceDE/>
        <w:autoSpaceDN/>
        <w:bidi w:val="0"/>
        <w:adjustRightInd/>
        <w:spacing w:line="400" w:lineRule="exact"/>
        <w:ind w:left="0" w:leftChars="0" w:right="0" w:rightChars="0" w:firstLine="420" w:firstLineChars="200"/>
        <w:textAlignment w:val="auto"/>
        <w:rPr>
          <w:rFonts w:hint="eastAsia" w:ascii="宋体" w:hAnsi="宋体" w:eastAsia="宋体" w:cs="宋体"/>
          <w:szCs w:val="21"/>
        </w:rPr>
      </w:pPr>
    </w:p>
    <w:p w14:paraId="1B3AD830">
      <w:pPr>
        <w:keepNext w:val="0"/>
        <w:keepLines w:val="0"/>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___    （填写全称并加盖公章)___________</w:t>
      </w:r>
    </w:p>
    <w:p w14:paraId="3897182F">
      <w:pPr>
        <w:keepNext w:val="0"/>
        <w:keepLines w:val="0"/>
        <w:pageBreakBefore w:val="0"/>
        <w:kinsoku/>
        <w:wordWrap/>
        <w:overflowPunct/>
        <w:topLinePunct w:val="0"/>
        <w:autoSpaceDE/>
        <w:autoSpaceDN/>
        <w:bidi w:val="0"/>
        <w:adjustRightInd/>
        <w:snapToGrid w:val="0"/>
        <w:spacing w:line="400" w:lineRule="exact"/>
        <w:ind w:left="0" w:leftChars="0" w:right="0" w:rightChars="0" w:firstLine="3685" w:firstLineChars="1755"/>
        <w:textAlignment w:val="auto"/>
        <w:rPr>
          <w:rFonts w:hint="eastAsia" w:ascii="宋体" w:hAnsi="宋体" w:eastAsia="宋体" w:cs="宋体"/>
          <w:szCs w:val="21"/>
        </w:rPr>
      </w:pPr>
      <w:r>
        <w:rPr>
          <w:rFonts w:hint="eastAsia" w:ascii="宋体" w:hAnsi="宋体" w:eastAsia="宋体" w:cs="宋体"/>
          <w:szCs w:val="21"/>
        </w:rPr>
        <w:t>日  期：</w:t>
      </w:r>
    </w:p>
    <w:p w14:paraId="579730E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
          <w:bCs/>
          <w:szCs w:val="21"/>
        </w:rPr>
      </w:pPr>
      <w:r>
        <w:rPr>
          <w:rFonts w:hint="eastAsia" w:ascii="宋体" w:hAnsi="宋体" w:eastAsia="宋体" w:cs="宋体"/>
          <w:szCs w:val="21"/>
        </w:rPr>
        <w:br w:type="page"/>
      </w:r>
      <w:r>
        <w:rPr>
          <w:rFonts w:hint="eastAsia" w:ascii="宋体" w:hAnsi="宋体" w:eastAsia="宋体" w:cs="宋体"/>
          <w:b/>
          <w:bCs/>
          <w:szCs w:val="21"/>
        </w:rPr>
        <w:t>（2）分项报价表</w:t>
      </w:r>
    </w:p>
    <w:p w14:paraId="73B5DA21">
      <w:pPr>
        <w:pStyle w:val="9"/>
        <w:keepNext w:val="0"/>
        <w:keepLines w:val="0"/>
        <w:pageBreakBefore w:val="0"/>
        <w:kinsoku/>
        <w:wordWrap/>
        <w:overflowPunct/>
        <w:topLinePunct w:val="0"/>
        <w:autoSpaceDE/>
        <w:autoSpaceDN/>
        <w:bidi w:val="0"/>
        <w:adjustRightInd/>
        <w:spacing w:after="0" w:line="400" w:lineRule="exact"/>
        <w:ind w:left="0" w:leftChars="0"/>
        <w:textAlignment w:val="auto"/>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cs="宋体"/>
          <w:kern w:val="2"/>
          <w:sz w:val="21"/>
          <w:szCs w:val="21"/>
          <w:lang w:eastAsia="zh-CN"/>
        </w:rPr>
        <w:t>2025年中国品牌日·宁波品牌宣传活动暨走近品牌计划项目</w:t>
      </w:r>
    </w:p>
    <w:p w14:paraId="7D682B35">
      <w:pPr>
        <w:pStyle w:val="9"/>
        <w:keepNext w:val="0"/>
        <w:keepLines w:val="0"/>
        <w:pageBreakBefore w:val="0"/>
        <w:kinsoku/>
        <w:wordWrap/>
        <w:overflowPunct/>
        <w:topLinePunct w:val="0"/>
        <w:autoSpaceDE/>
        <w:autoSpaceDN/>
        <w:bidi w:val="0"/>
        <w:adjustRightInd/>
        <w:spacing w:after="0" w:line="400" w:lineRule="exact"/>
        <w:ind w:left="0" w:leftChars="0"/>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u w:val="single"/>
        </w:rPr>
        <w:t>NBITC-</w:t>
      </w:r>
      <w:r>
        <w:rPr>
          <w:rFonts w:hint="eastAsia" w:ascii="宋体" w:hAnsi="宋体" w:eastAsia="宋体" w:cs="宋体"/>
          <w:sz w:val="21"/>
          <w:szCs w:val="21"/>
          <w:u w:val="single"/>
          <w:lang w:eastAsia="zh-CN"/>
        </w:rPr>
        <w:t>202530796GC</w:t>
      </w:r>
    </w:p>
    <w:p w14:paraId="2F51A428">
      <w:pPr>
        <w:pStyle w:val="9"/>
        <w:keepNext w:val="0"/>
        <w:keepLines w:val="0"/>
        <w:pageBreakBefore w:val="0"/>
        <w:kinsoku/>
        <w:wordWrap/>
        <w:overflowPunct/>
        <w:topLinePunct w:val="0"/>
        <w:autoSpaceDE/>
        <w:autoSpaceDN/>
        <w:bidi w:val="0"/>
        <w:adjustRightInd/>
        <w:spacing w:after="0"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标项：1</w:t>
      </w:r>
    </w:p>
    <w:p w14:paraId="0CAE21F5">
      <w:pPr>
        <w:pStyle w:val="9"/>
        <w:keepNext w:val="0"/>
        <w:keepLines w:val="0"/>
        <w:pageBreakBefore w:val="0"/>
        <w:kinsoku/>
        <w:wordWrap/>
        <w:overflowPunct/>
        <w:topLinePunct w:val="0"/>
        <w:autoSpaceDE/>
        <w:autoSpaceDN/>
        <w:bidi w:val="0"/>
        <w:adjustRightInd/>
        <w:spacing w:after="0"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货币单位：人民币元</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862"/>
        <w:gridCol w:w="3915"/>
        <w:gridCol w:w="1526"/>
      </w:tblGrid>
      <w:tr w14:paraId="7D01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pct"/>
            <w:noWrap w:val="0"/>
            <w:vAlign w:val="center"/>
          </w:tcPr>
          <w:p w14:paraId="2DDB6A4B">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559" w:type="pct"/>
            <w:noWrap w:val="0"/>
            <w:vAlign w:val="center"/>
          </w:tcPr>
          <w:p w14:paraId="3BA1EC16">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服务内容</w:t>
            </w:r>
          </w:p>
        </w:tc>
        <w:tc>
          <w:tcPr>
            <w:tcW w:w="2134" w:type="pct"/>
            <w:noWrap w:val="0"/>
            <w:vAlign w:val="center"/>
          </w:tcPr>
          <w:p w14:paraId="3FF237A6">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单价</w:t>
            </w:r>
            <w:r>
              <w:rPr>
                <w:rFonts w:hint="eastAsia" w:ascii="宋体" w:hAnsi="宋体" w:eastAsia="宋体" w:cs="宋体"/>
                <w:sz w:val="21"/>
                <w:szCs w:val="21"/>
              </w:rPr>
              <w:t>报价</w:t>
            </w:r>
          </w:p>
        </w:tc>
        <w:tc>
          <w:tcPr>
            <w:tcW w:w="831" w:type="pct"/>
            <w:noWrap w:val="0"/>
            <w:vAlign w:val="center"/>
          </w:tcPr>
          <w:p w14:paraId="646CDF84">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备注  </w:t>
            </w:r>
          </w:p>
        </w:tc>
      </w:tr>
      <w:tr w14:paraId="0637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pct"/>
            <w:noWrap w:val="0"/>
            <w:vAlign w:val="center"/>
          </w:tcPr>
          <w:p w14:paraId="05E6D7AE">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559" w:type="pct"/>
            <w:noWrap w:val="0"/>
            <w:vAlign w:val="center"/>
          </w:tcPr>
          <w:p w14:paraId="3B992C34">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2134" w:type="pct"/>
            <w:noWrap w:val="0"/>
            <w:vAlign w:val="center"/>
          </w:tcPr>
          <w:p w14:paraId="631F0007">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831" w:type="pct"/>
            <w:noWrap w:val="0"/>
            <w:vAlign w:val="center"/>
          </w:tcPr>
          <w:p w14:paraId="42503E06">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r>
      <w:tr w14:paraId="32A0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pct"/>
            <w:noWrap w:val="0"/>
            <w:vAlign w:val="center"/>
          </w:tcPr>
          <w:p w14:paraId="4179C33D">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559" w:type="pct"/>
            <w:noWrap w:val="0"/>
            <w:vAlign w:val="center"/>
          </w:tcPr>
          <w:p w14:paraId="766B91CC">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2134" w:type="pct"/>
            <w:noWrap w:val="0"/>
            <w:vAlign w:val="center"/>
          </w:tcPr>
          <w:p w14:paraId="3F14D7EF">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831" w:type="pct"/>
            <w:noWrap w:val="0"/>
            <w:vAlign w:val="center"/>
          </w:tcPr>
          <w:p w14:paraId="177E3AE6">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r>
      <w:tr w14:paraId="0CFC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pct"/>
            <w:noWrap w:val="0"/>
            <w:vAlign w:val="center"/>
          </w:tcPr>
          <w:p w14:paraId="2CA17DE6">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559" w:type="pct"/>
            <w:noWrap w:val="0"/>
            <w:vAlign w:val="center"/>
          </w:tcPr>
          <w:p w14:paraId="4F7F37E7">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2134" w:type="pct"/>
            <w:noWrap w:val="0"/>
            <w:vAlign w:val="center"/>
          </w:tcPr>
          <w:p w14:paraId="41C705C7">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831" w:type="pct"/>
            <w:noWrap w:val="0"/>
            <w:vAlign w:val="center"/>
          </w:tcPr>
          <w:p w14:paraId="38110301">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r>
      <w:tr w14:paraId="72BF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pct"/>
            <w:noWrap w:val="0"/>
            <w:vAlign w:val="center"/>
          </w:tcPr>
          <w:p w14:paraId="1545FA02">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559" w:type="pct"/>
            <w:noWrap w:val="0"/>
            <w:vAlign w:val="center"/>
          </w:tcPr>
          <w:p w14:paraId="7E2127F4">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2134" w:type="pct"/>
            <w:noWrap w:val="0"/>
            <w:vAlign w:val="center"/>
          </w:tcPr>
          <w:p w14:paraId="16A0F73A">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831" w:type="pct"/>
            <w:noWrap w:val="0"/>
            <w:vAlign w:val="center"/>
          </w:tcPr>
          <w:p w14:paraId="6D6608F3">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r>
      <w:tr w14:paraId="140D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pct"/>
            <w:noWrap w:val="0"/>
            <w:vAlign w:val="center"/>
          </w:tcPr>
          <w:p w14:paraId="14BBAB46">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559" w:type="pct"/>
            <w:noWrap w:val="0"/>
            <w:vAlign w:val="center"/>
          </w:tcPr>
          <w:p w14:paraId="56F6AA84">
            <w:pPr>
              <w:pStyle w:val="10"/>
              <w:keepNext w:val="0"/>
              <w:keepLines w:val="0"/>
              <w:pageBreakBefore w:val="0"/>
              <w:kinsoku/>
              <w:wordWrap/>
              <w:overflowPunct/>
              <w:topLinePunct w:val="0"/>
              <w:autoSpaceDE/>
              <w:autoSpaceDN/>
              <w:bidi w:val="0"/>
              <w:adjustRightInd/>
              <w:spacing w:beforeLines="0" w:afterLines="0" w:line="400" w:lineRule="exact"/>
              <w:ind w:left="0" w:leftChars="0"/>
              <w:jc w:val="both"/>
              <w:textAlignment w:val="auto"/>
              <w:rPr>
                <w:rFonts w:hint="eastAsia" w:ascii="宋体" w:hAnsi="宋体" w:eastAsia="宋体" w:cs="宋体"/>
                <w:sz w:val="21"/>
                <w:szCs w:val="21"/>
                <w:lang w:val="en-US" w:eastAsia="zh-CN"/>
              </w:rPr>
            </w:pPr>
          </w:p>
        </w:tc>
        <w:tc>
          <w:tcPr>
            <w:tcW w:w="2134" w:type="pct"/>
            <w:noWrap w:val="0"/>
            <w:vAlign w:val="center"/>
          </w:tcPr>
          <w:p w14:paraId="240D0C2A">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c>
          <w:tcPr>
            <w:tcW w:w="831" w:type="pct"/>
            <w:noWrap w:val="0"/>
            <w:vAlign w:val="center"/>
          </w:tcPr>
          <w:p w14:paraId="227CA211">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p>
        </w:tc>
      </w:tr>
      <w:tr w14:paraId="7BB3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pct"/>
            <w:gridSpan w:val="2"/>
            <w:noWrap w:val="0"/>
            <w:vAlign w:val="center"/>
          </w:tcPr>
          <w:p w14:paraId="2F33C3A0">
            <w:pPr>
              <w:pStyle w:val="10"/>
              <w:keepNext w:val="0"/>
              <w:keepLines w:val="0"/>
              <w:pageBreakBefore w:val="0"/>
              <w:kinsoku/>
              <w:wordWrap/>
              <w:overflowPunct/>
              <w:topLinePunct w:val="0"/>
              <w:autoSpaceDE/>
              <w:autoSpaceDN/>
              <w:bidi w:val="0"/>
              <w:adjustRightInd/>
              <w:spacing w:beforeLines="0" w:afterLines="0" w:line="400" w:lineRule="exact"/>
              <w:ind w:left="0" w:leftChars="0"/>
              <w:jc w:val="center"/>
              <w:textAlignment w:val="auto"/>
              <w:rPr>
                <w:rFonts w:hint="eastAsia" w:ascii="宋体" w:hAnsi="宋体" w:eastAsia="宋体" w:cs="宋体"/>
                <w:sz w:val="21"/>
                <w:szCs w:val="21"/>
              </w:rPr>
            </w:pPr>
            <w:r>
              <w:rPr>
                <w:rFonts w:hint="eastAsia" w:hAnsi="宋体" w:cs="宋体"/>
                <w:sz w:val="21"/>
                <w:szCs w:val="21"/>
                <w:lang w:val="en-US" w:eastAsia="zh-CN"/>
              </w:rPr>
              <w:t>磋商</w:t>
            </w:r>
            <w:r>
              <w:rPr>
                <w:rFonts w:hint="eastAsia" w:ascii="宋体" w:hAnsi="宋体" w:eastAsia="宋体" w:cs="宋体"/>
                <w:sz w:val="21"/>
                <w:szCs w:val="21"/>
              </w:rPr>
              <w:t>报价</w:t>
            </w:r>
          </w:p>
        </w:tc>
        <w:tc>
          <w:tcPr>
            <w:tcW w:w="2966" w:type="pct"/>
            <w:gridSpan w:val="2"/>
            <w:noWrap w:val="0"/>
            <w:vAlign w:val="center"/>
          </w:tcPr>
          <w:p w14:paraId="1411FE4E">
            <w:pPr>
              <w:pStyle w:val="10"/>
              <w:keepNext w:val="0"/>
              <w:keepLines w:val="0"/>
              <w:pageBreakBefore w:val="0"/>
              <w:kinsoku/>
              <w:wordWrap/>
              <w:overflowPunct/>
              <w:topLinePunct w:val="0"/>
              <w:autoSpaceDE/>
              <w:autoSpaceDN/>
              <w:bidi w:val="0"/>
              <w:adjustRightInd/>
              <w:spacing w:beforeLines="0" w:afterLines="0"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大写：人民币____________________元</w:t>
            </w:r>
          </w:p>
          <w:p w14:paraId="781813EE">
            <w:pPr>
              <w:pStyle w:val="10"/>
              <w:keepNext w:val="0"/>
              <w:keepLines w:val="0"/>
              <w:pageBreakBefore w:val="0"/>
              <w:kinsoku/>
              <w:wordWrap/>
              <w:overflowPunct/>
              <w:topLinePunct w:val="0"/>
              <w:autoSpaceDE/>
              <w:autoSpaceDN/>
              <w:bidi w:val="0"/>
              <w:adjustRightInd/>
              <w:spacing w:beforeLines="0" w:afterLines="0"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小写：￥____________________</w:t>
            </w:r>
          </w:p>
        </w:tc>
      </w:tr>
    </w:tbl>
    <w:p w14:paraId="757D8BD7">
      <w:pPr>
        <w:pStyle w:val="9"/>
        <w:keepNext w:val="0"/>
        <w:keepLines w:val="0"/>
        <w:pageBreakBefore w:val="0"/>
        <w:kinsoku/>
        <w:wordWrap/>
        <w:overflowPunct/>
        <w:topLinePunct w:val="0"/>
        <w:autoSpaceDE/>
        <w:autoSpaceDN/>
        <w:bidi w:val="0"/>
        <w:adjustRightInd/>
        <w:spacing w:after="0"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注：报价不允许为0元（即赠送），报价中不允许出现0元的单项报价，否则视同赠送，采购人不予接受，按照响应无效处理。</w:t>
      </w:r>
    </w:p>
    <w:p w14:paraId="44705331">
      <w:pPr>
        <w:pStyle w:val="9"/>
        <w:keepNext w:val="0"/>
        <w:keepLines w:val="0"/>
        <w:pageBreakBefore w:val="0"/>
        <w:kinsoku/>
        <w:wordWrap/>
        <w:overflowPunct/>
        <w:topLinePunct w:val="0"/>
        <w:autoSpaceDE/>
        <w:autoSpaceDN/>
        <w:bidi w:val="0"/>
        <w:adjustRightInd/>
        <w:spacing w:after="0" w:line="400" w:lineRule="exact"/>
        <w:ind w:left="0" w:leftChars="0"/>
        <w:textAlignment w:val="auto"/>
        <w:rPr>
          <w:rFonts w:hint="eastAsia" w:ascii="宋体" w:hAnsi="宋体" w:eastAsia="宋体" w:cs="宋体"/>
          <w:sz w:val="21"/>
          <w:szCs w:val="21"/>
        </w:rPr>
      </w:pPr>
    </w:p>
    <w:p w14:paraId="1CA5260B">
      <w:pPr>
        <w:keepNext w:val="0"/>
        <w:keepLines w:val="0"/>
        <w:pageBreakBefore w:val="0"/>
        <w:kinsoku/>
        <w:wordWrap/>
        <w:overflowPunct/>
        <w:topLinePunct w:val="0"/>
        <w:autoSpaceDE/>
        <w:autoSpaceDN/>
        <w:bidi w:val="0"/>
        <w:adjustRightInd/>
        <w:snapToGrid w:val="0"/>
        <w:spacing w:line="400" w:lineRule="exact"/>
        <w:ind w:left="0" w:leftChars="0" w:firstLine="3685" w:firstLineChars="1755"/>
        <w:textAlignment w:val="auto"/>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___    （填写全称并加盖公章)___________</w:t>
      </w:r>
    </w:p>
    <w:p w14:paraId="59EFE075">
      <w:pPr>
        <w:keepNext w:val="0"/>
        <w:keepLines w:val="0"/>
        <w:pageBreakBefore w:val="0"/>
        <w:widowControl/>
        <w:kinsoku/>
        <w:wordWrap/>
        <w:overflowPunct/>
        <w:topLinePunct w:val="0"/>
        <w:autoSpaceDE/>
        <w:autoSpaceDN/>
        <w:bidi w:val="0"/>
        <w:adjustRightInd/>
        <w:spacing w:line="400" w:lineRule="exact"/>
        <w:ind w:left="0" w:leftChars="0" w:firstLine="3675" w:firstLineChars="1750"/>
        <w:jc w:val="left"/>
        <w:textAlignment w:val="auto"/>
        <w:rPr>
          <w:rFonts w:hint="eastAsia" w:ascii="宋体" w:hAnsi="宋体" w:eastAsia="宋体" w:cs="宋体"/>
          <w:szCs w:val="21"/>
        </w:rPr>
      </w:pPr>
      <w:r>
        <w:rPr>
          <w:rFonts w:hint="eastAsia" w:ascii="宋体" w:hAnsi="宋体" w:eastAsia="宋体" w:cs="宋体"/>
          <w:szCs w:val="21"/>
        </w:rPr>
        <w:t>日  期：</w:t>
      </w:r>
    </w:p>
    <w:p w14:paraId="295DACF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rPr>
        <w:t>（3）中小企业声明函</w:t>
      </w:r>
    </w:p>
    <w:p w14:paraId="63C48922">
      <w:pPr>
        <w:keepNext w:val="0"/>
        <w:keepLines w:val="0"/>
        <w:pageBreakBefore w:val="0"/>
        <w:kinsoku/>
        <w:wordWrap/>
        <w:overflowPunct/>
        <w:topLinePunct w:val="0"/>
        <w:autoSpaceDE/>
        <w:autoSpaceDN/>
        <w:bidi w:val="0"/>
        <w:adjustRightInd/>
        <w:spacing w:line="400" w:lineRule="exact"/>
        <w:ind w:left="0" w:leftChars="0" w:right="0" w:rightChars="0" w:firstLine="420" w:firstLineChars="200"/>
        <w:jc w:val="left"/>
        <w:textAlignment w:val="auto"/>
        <w:rPr>
          <w:rFonts w:hint="eastAsia" w:ascii="宋体" w:hAnsi="宋体" w:eastAsia="宋体" w:cs="宋体"/>
        </w:rPr>
      </w:pPr>
      <w:r>
        <w:rPr>
          <w:rFonts w:hint="eastAsia" w:ascii="宋体" w:hAnsi="宋体" w:eastAsia="宋体" w:cs="宋体"/>
        </w:rPr>
        <w:t>本公司（联合体）郑重声明，根据《政府采购促进中小企业发展管理办法》（财库﹝2020﹞46号）的规定，本公司（联合体）参加</w:t>
      </w:r>
      <w:r>
        <w:rPr>
          <w:rFonts w:hint="eastAsia" w:ascii="宋体" w:hAnsi="宋体" w:eastAsia="宋体" w:cs="宋体"/>
          <w:u w:val="single"/>
          <w:lang w:eastAsia="zh-CN"/>
        </w:rPr>
        <w:t>宁波市发展和改革委员会</w:t>
      </w:r>
      <w:r>
        <w:rPr>
          <w:rFonts w:hint="eastAsia" w:ascii="宋体" w:hAnsi="宋体" w:eastAsia="宋体" w:cs="宋体"/>
        </w:rPr>
        <w:t>的</w:t>
      </w:r>
      <w:r>
        <w:rPr>
          <w:rFonts w:hint="eastAsia" w:ascii="宋体" w:hAnsi="宋体" w:cs="宋体"/>
          <w:u w:val="single"/>
          <w:lang w:eastAsia="zh-CN"/>
        </w:rPr>
        <w:t>2025年中国品牌日·宁波品牌宣传活动暨走近品牌计划项目</w:t>
      </w:r>
      <w:r>
        <w:rPr>
          <w:rFonts w:hint="eastAsia" w:ascii="宋体" w:hAnsi="宋体" w:eastAsia="宋体" w:cs="宋体"/>
        </w:rPr>
        <w:t>采购活动，服务全部由符合政策要求的中小企业承接。相关企业（含联合体中的中小企业、签订分包意向协议的中小企业）的具体情况如下：</w:t>
      </w:r>
    </w:p>
    <w:p w14:paraId="6A517CC0">
      <w:pPr>
        <w:keepNext w:val="0"/>
        <w:keepLines w:val="0"/>
        <w:pageBreakBefore w:val="0"/>
        <w:kinsoku/>
        <w:wordWrap/>
        <w:overflowPunct/>
        <w:topLinePunct w:val="0"/>
        <w:autoSpaceDE/>
        <w:autoSpaceDN/>
        <w:bidi w:val="0"/>
        <w:adjustRightInd/>
        <w:spacing w:line="400" w:lineRule="exact"/>
        <w:ind w:left="0" w:leftChars="0" w:right="0" w:rightChars="0" w:firstLine="420" w:firstLineChars="200"/>
        <w:jc w:val="left"/>
        <w:textAlignment w:val="auto"/>
        <w:rPr>
          <w:rFonts w:hint="eastAsia" w:ascii="宋体" w:hAnsi="宋体" w:eastAsia="宋体" w:cs="宋体"/>
          <w:i w:val="0"/>
          <w:iCs w:val="0"/>
        </w:rPr>
      </w:pPr>
      <w:r>
        <w:rPr>
          <w:rFonts w:hint="eastAsia" w:ascii="宋体" w:hAnsi="宋体" w:eastAsia="宋体" w:cs="宋体"/>
          <w:i w:val="0"/>
          <w:iCs w:val="0"/>
        </w:rPr>
        <w:t>1.</w:t>
      </w:r>
      <w:r>
        <w:rPr>
          <w:rFonts w:hint="eastAsia" w:ascii="宋体" w:hAnsi="宋体" w:cs="宋体"/>
          <w:i w:val="0"/>
          <w:iCs w:val="0"/>
          <w:u w:val="single"/>
          <w:lang w:eastAsia="zh-CN"/>
        </w:rPr>
        <w:t>2025年中国品牌日·宁波品牌宣传活动暨走近品牌计划项目</w:t>
      </w:r>
      <w:r>
        <w:rPr>
          <w:rFonts w:hint="eastAsia" w:ascii="宋体" w:hAnsi="宋体" w:eastAsia="宋体" w:cs="宋体"/>
          <w:i w:val="0"/>
          <w:iCs w:val="0"/>
        </w:rPr>
        <w:t>，属于</w:t>
      </w:r>
      <w:r>
        <w:rPr>
          <w:rFonts w:hint="eastAsia" w:ascii="宋体" w:hAnsi="宋体" w:eastAsia="宋体" w:cs="宋体"/>
          <w:i w:val="0"/>
          <w:iCs w:val="0"/>
          <w:u w:val="single"/>
        </w:rPr>
        <w:t>租赁和商务服务业</w:t>
      </w:r>
      <w:r>
        <w:rPr>
          <w:rFonts w:hint="eastAsia" w:ascii="宋体" w:hAnsi="宋体" w:eastAsia="宋体" w:cs="宋体"/>
          <w:i w:val="0"/>
          <w:iCs w:val="0"/>
        </w:rPr>
        <w:t>；承接企业为</w:t>
      </w:r>
      <w:r>
        <w:rPr>
          <w:rFonts w:hint="eastAsia" w:ascii="宋体" w:hAnsi="宋体" w:eastAsia="宋体" w:cs="宋体"/>
          <w:i w:val="0"/>
          <w:iCs w:val="0"/>
          <w:u w:val="single"/>
        </w:rPr>
        <w:t>（企业名称）</w:t>
      </w:r>
      <w:r>
        <w:rPr>
          <w:rFonts w:hint="eastAsia" w:ascii="宋体" w:hAnsi="宋体" w:eastAsia="宋体" w:cs="宋体"/>
          <w:i w:val="0"/>
          <w:iCs w:val="0"/>
        </w:rPr>
        <w:t>，从业人员__人，营业收入为__万元，资产总额为__万元，属于</w:t>
      </w:r>
      <w:r>
        <w:rPr>
          <w:rFonts w:hint="eastAsia" w:ascii="宋体" w:hAnsi="宋体" w:eastAsia="宋体" w:cs="宋体"/>
          <w:i w:val="0"/>
          <w:iCs w:val="0"/>
          <w:u w:val="single"/>
        </w:rPr>
        <w:t>（中型企业、小型企业、微型企业）</w:t>
      </w:r>
      <w:r>
        <w:rPr>
          <w:rFonts w:hint="eastAsia" w:ascii="宋体" w:hAnsi="宋体" w:eastAsia="宋体" w:cs="宋体"/>
          <w:i w:val="0"/>
          <w:iCs w:val="0"/>
        </w:rPr>
        <w:t>；</w:t>
      </w:r>
    </w:p>
    <w:p w14:paraId="4FCB386C">
      <w:pPr>
        <w:keepNext w:val="0"/>
        <w:keepLines w:val="0"/>
        <w:pageBreakBefore w:val="0"/>
        <w:kinsoku/>
        <w:wordWrap/>
        <w:overflowPunct/>
        <w:topLinePunct w:val="0"/>
        <w:autoSpaceDE/>
        <w:autoSpaceDN/>
        <w:bidi w:val="0"/>
        <w:adjustRightInd/>
        <w:spacing w:line="400" w:lineRule="exact"/>
        <w:ind w:left="0" w:leftChars="0" w:right="0" w:rightChars="0" w:firstLine="420" w:firstLineChars="200"/>
        <w:jc w:val="left"/>
        <w:textAlignment w:val="auto"/>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8DE662F">
      <w:pPr>
        <w:keepNext w:val="0"/>
        <w:keepLines w:val="0"/>
        <w:pageBreakBefore w:val="0"/>
        <w:kinsoku/>
        <w:wordWrap/>
        <w:overflowPunct/>
        <w:topLinePunct w:val="0"/>
        <w:autoSpaceDE/>
        <w:autoSpaceDN/>
        <w:bidi w:val="0"/>
        <w:adjustRightInd/>
        <w:spacing w:line="400" w:lineRule="exact"/>
        <w:ind w:left="0" w:leftChars="0" w:right="0" w:rightChars="0" w:firstLine="420" w:firstLineChars="200"/>
        <w:jc w:val="left"/>
        <w:textAlignment w:val="auto"/>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791CD715">
      <w:pPr>
        <w:keepNext w:val="0"/>
        <w:keepLines w:val="0"/>
        <w:pageBreakBefore w:val="0"/>
        <w:kinsoku/>
        <w:wordWrap/>
        <w:overflowPunct/>
        <w:topLinePunct w:val="0"/>
        <w:autoSpaceDE/>
        <w:autoSpaceDN/>
        <w:bidi w:val="0"/>
        <w:adjustRightInd/>
        <w:spacing w:line="400" w:lineRule="exact"/>
        <w:ind w:left="0" w:leftChars="0" w:right="0" w:rightChars="0" w:firstLine="420" w:firstLineChars="200"/>
        <w:jc w:val="left"/>
        <w:textAlignment w:val="auto"/>
        <w:rPr>
          <w:rFonts w:hint="eastAsia" w:ascii="宋体" w:hAnsi="宋体" w:eastAsia="宋体" w:cs="宋体"/>
        </w:rPr>
      </w:pPr>
    </w:p>
    <w:p w14:paraId="1200B0BA">
      <w:pPr>
        <w:keepNext w:val="0"/>
        <w:keepLines w:val="0"/>
        <w:pageBreakBefore w:val="0"/>
        <w:kinsoku/>
        <w:wordWrap/>
        <w:overflowPunct/>
        <w:topLinePunct w:val="0"/>
        <w:autoSpaceDE/>
        <w:autoSpaceDN/>
        <w:bidi w:val="0"/>
        <w:adjustRightInd/>
        <w:spacing w:line="400" w:lineRule="exact"/>
        <w:ind w:left="0" w:leftChars="0" w:right="0" w:rightChars="0" w:firstLine="4676" w:firstLineChars="2227"/>
        <w:jc w:val="left"/>
        <w:textAlignment w:val="auto"/>
        <w:rPr>
          <w:rFonts w:hint="eastAsia" w:ascii="宋体" w:hAnsi="宋体" w:eastAsia="宋体" w:cs="宋体"/>
        </w:rPr>
      </w:pPr>
      <w:r>
        <w:rPr>
          <w:rFonts w:hint="eastAsia" w:ascii="宋体" w:hAnsi="宋体" w:eastAsia="宋体" w:cs="宋体"/>
        </w:rPr>
        <w:t>企业名称（盖章）：</w:t>
      </w:r>
    </w:p>
    <w:p w14:paraId="7DFDB1BE">
      <w:pPr>
        <w:keepNext w:val="0"/>
        <w:keepLines w:val="0"/>
        <w:pageBreakBefore w:val="0"/>
        <w:kinsoku/>
        <w:wordWrap/>
        <w:overflowPunct/>
        <w:topLinePunct w:val="0"/>
        <w:autoSpaceDE/>
        <w:autoSpaceDN/>
        <w:bidi w:val="0"/>
        <w:adjustRightInd/>
        <w:spacing w:line="400" w:lineRule="exact"/>
        <w:ind w:left="0" w:leftChars="0" w:right="0" w:rightChars="0" w:firstLine="4676" w:firstLineChars="2227"/>
        <w:jc w:val="left"/>
        <w:textAlignment w:val="auto"/>
        <w:rPr>
          <w:rFonts w:hint="eastAsia" w:ascii="宋体" w:hAnsi="宋体" w:eastAsia="宋体" w:cs="宋体"/>
        </w:rPr>
      </w:pPr>
      <w:r>
        <w:rPr>
          <w:rFonts w:hint="eastAsia" w:ascii="宋体" w:hAnsi="宋体" w:eastAsia="宋体" w:cs="宋体"/>
        </w:rPr>
        <w:t>日 期：</w:t>
      </w:r>
    </w:p>
    <w:p w14:paraId="27B8076E">
      <w:pPr>
        <w:keepNext w:val="0"/>
        <w:keepLines w:val="0"/>
        <w:pageBreakBefore w:val="0"/>
        <w:kinsoku/>
        <w:wordWrap/>
        <w:overflowPunct/>
        <w:topLinePunct w:val="0"/>
        <w:autoSpaceDE/>
        <w:autoSpaceDN/>
        <w:bidi w:val="0"/>
        <w:adjustRightInd/>
        <w:snapToGrid w:val="0"/>
        <w:spacing w:line="400" w:lineRule="exact"/>
        <w:ind w:right="0" w:rightChars="0"/>
        <w:jc w:val="left"/>
        <w:textAlignment w:val="auto"/>
        <w:rPr>
          <w:rFonts w:hint="eastAsia" w:ascii="宋体" w:hAnsi="宋体" w:eastAsia="宋体" w:cs="宋体"/>
        </w:rPr>
      </w:pPr>
    </w:p>
    <w:p w14:paraId="47D196B0">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jc w:val="left"/>
        <w:textAlignment w:val="auto"/>
        <w:rPr>
          <w:rFonts w:hint="eastAsia" w:ascii="宋体" w:hAnsi="宋体" w:eastAsia="宋体" w:cs="宋体"/>
          <w:b/>
        </w:rPr>
      </w:pPr>
      <w:r>
        <w:rPr>
          <w:rFonts w:hint="eastAsia" w:ascii="宋体" w:hAnsi="宋体" w:eastAsia="宋体" w:cs="宋体"/>
          <w:b/>
        </w:rPr>
        <w:t>填写说明：</w:t>
      </w:r>
    </w:p>
    <w:p w14:paraId="384FB66C">
      <w:pPr>
        <w:keepNext w:val="0"/>
        <w:keepLines w:val="0"/>
        <w:pageBreakBefore w:val="0"/>
        <w:kinsoku/>
        <w:wordWrap/>
        <w:overflowPunct/>
        <w:topLinePunct w:val="0"/>
        <w:autoSpaceDE/>
        <w:autoSpaceDN/>
        <w:bidi w:val="0"/>
        <w:adjustRightInd/>
        <w:snapToGrid w:val="0"/>
        <w:spacing w:line="400" w:lineRule="exact"/>
        <w:ind w:left="0" w:leftChars="0" w:right="0" w:rightChars="0"/>
        <w:jc w:val="left"/>
        <w:textAlignment w:val="auto"/>
        <w:rPr>
          <w:rFonts w:hint="eastAsia" w:ascii="宋体" w:hAnsi="宋体" w:eastAsia="宋体" w:cs="宋体"/>
          <w:b/>
        </w:rPr>
      </w:pPr>
      <w:r>
        <w:rPr>
          <w:rFonts w:hint="eastAsia" w:ascii="宋体" w:hAnsi="宋体" w:eastAsia="宋体" w:cs="宋体"/>
          <w:b/>
        </w:rPr>
        <w:t>1.从业人员、营业收入、资产总额填报上一年度数据，无上一年度数据的新成立企业可不填报。</w:t>
      </w:r>
    </w:p>
    <w:p w14:paraId="0E0FE027">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jc w:val="left"/>
        <w:textAlignment w:val="auto"/>
        <w:rPr>
          <w:rFonts w:hint="eastAsia" w:ascii="宋体" w:hAnsi="宋体" w:eastAsia="宋体" w:cs="宋体"/>
          <w:b/>
        </w:rPr>
      </w:pPr>
      <w:r>
        <w:rPr>
          <w:rFonts w:hint="eastAsia" w:ascii="宋体" w:hAnsi="宋体" w:eastAsia="宋体" w:cs="宋体"/>
          <w:b/>
        </w:rPr>
        <w:t>2.供应商应当对其出具的《中小企业声明函》真实性负责，出具的《中小企业声明函》内容不实的，属于提供虚假材料。</w:t>
      </w:r>
    </w:p>
    <w:p w14:paraId="76B1E6BE">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jc w:val="left"/>
        <w:textAlignment w:val="auto"/>
        <w:rPr>
          <w:rFonts w:hint="eastAsia" w:ascii="宋体" w:hAnsi="宋体" w:eastAsia="宋体" w:cs="宋体"/>
          <w:b/>
        </w:rPr>
      </w:pPr>
      <w:r>
        <w:rPr>
          <w:rFonts w:hint="eastAsia" w:ascii="宋体" w:hAnsi="宋体" w:eastAsia="宋体" w:cs="宋体"/>
          <w:b/>
        </w:rPr>
        <w:t>3.事业单位不属于企业不应提交本声明函，其他组织形式的供应商参与本项目并提交本声明函前请仔细阅读相关政策文件。</w:t>
      </w:r>
    </w:p>
    <w:p w14:paraId="36CE37D9">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jc w:val="left"/>
        <w:textAlignment w:val="auto"/>
        <w:rPr>
          <w:rFonts w:hint="eastAsia" w:ascii="宋体" w:hAnsi="宋体" w:eastAsia="宋体" w:cs="宋体"/>
          <w:b/>
        </w:rPr>
      </w:pPr>
    </w:p>
    <w:p w14:paraId="3D98DE15">
      <w:pPr>
        <w:spacing w:line="360" w:lineRule="auto"/>
        <w:ind w:firstLine="420" w:firstLineChars="200"/>
        <w:jc w:val="left"/>
        <w:rPr>
          <w:rFonts w:hint="eastAsia" w:ascii="宋体" w:hAnsi="宋体" w:eastAsia="宋体" w:cs="宋体"/>
          <w:szCs w:val="21"/>
        </w:rPr>
      </w:pPr>
    </w:p>
    <w:p w14:paraId="0F75FA78">
      <w:pPr>
        <w:pStyle w:val="9"/>
        <w:keepNext w:val="0"/>
        <w:keepLines w:val="0"/>
        <w:pageBreakBefore w:val="0"/>
        <w:kinsoku/>
        <w:wordWrap/>
        <w:overflowPunct/>
        <w:topLinePunct w:val="0"/>
        <w:autoSpaceDE/>
        <w:autoSpaceDN/>
        <w:bidi w:val="0"/>
        <w:adjustRightInd/>
        <w:spacing w:after="0" w:line="400" w:lineRule="exact"/>
        <w:ind w:left="0" w:leftChars="0" w:right="0" w:rightChars="0"/>
        <w:jc w:val="center"/>
        <w:textAlignment w:val="auto"/>
        <w:rPr>
          <w:rFonts w:hint="eastAsia" w:ascii="宋体" w:hAnsi="宋体" w:eastAsia="宋体" w:cs="宋体"/>
          <w:b/>
          <w:spacing w:val="6"/>
          <w:szCs w:val="21"/>
        </w:rPr>
      </w:pPr>
      <w:r>
        <w:rPr>
          <w:rFonts w:hint="eastAsia" w:ascii="宋体" w:hAnsi="宋体" w:eastAsia="宋体" w:cs="宋体"/>
          <w:szCs w:val="21"/>
        </w:rPr>
        <w:br w:type="page"/>
      </w:r>
      <w:r>
        <w:rPr>
          <w:rFonts w:hint="eastAsia" w:ascii="宋体" w:hAnsi="宋体" w:eastAsia="宋体" w:cs="宋体"/>
          <w:b/>
          <w:sz w:val="21"/>
          <w:szCs w:val="21"/>
        </w:rPr>
        <w:t>（4）残疾人福利性单位声明函</w:t>
      </w:r>
    </w:p>
    <w:p w14:paraId="30E4BF00">
      <w:pPr>
        <w:keepNext w:val="0"/>
        <w:keepLines w:val="0"/>
        <w:pageBreakBefore w:val="0"/>
        <w:kinsoku/>
        <w:wordWrap/>
        <w:overflowPunct/>
        <w:topLinePunct w:val="0"/>
        <w:autoSpaceDE/>
        <w:autoSpaceDN/>
        <w:bidi w:val="0"/>
        <w:adjustRightInd/>
        <w:spacing w:line="400" w:lineRule="exact"/>
        <w:ind w:left="0" w:leftChars="0" w:right="0" w:rightChars="0" w:firstLine="444" w:firstLineChars="200"/>
        <w:textAlignment w:val="auto"/>
        <w:rPr>
          <w:rFonts w:hint="eastAsia" w:ascii="宋体" w:hAnsi="宋体" w:eastAsia="宋体" w:cs="宋体"/>
          <w:spacing w:val="6"/>
        </w:rPr>
      </w:pPr>
      <w:r>
        <w:rPr>
          <w:rFonts w:hint="eastAsia" w:ascii="宋体" w:hAnsi="宋体" w:eastAsia="宋体" w:cs="宋体"/>
          <w:spacing w:val="6"/>
        </w:rPr>
        <w:t>本单位郑重声明，根据《财政部 民政部 中国残疾人联合会关于促进残疾人就业政府采购政策的通知》（财库</w:t>
      </w:r>
      <w:r>
        <w:rPr>
          <w:rFonts w:hint="eastAsia" w:ascii="宋体" w:hAnsi="宋体" w:eastAsia="宋体" w:cs="宋体"/>
        </w:rPr>
        <w:t>〔2017〕 141</w:t>
      </w:r>
      <w:r>
        <w:rPr>
          <w:rFonts w:hint="eastAsia" w:ascii="宋体" w:hAnsi="宋体" w:eastAsia="宋体" w:cs="宋体"/>
          <w:spacing w:val="6"/>
        </w:rPr>
        <w:t>号）的规定，本单位为符合条件的残疾人福利性单位，且本单位参加</w:t>
      </w:r>
      <w:r>
        <w:rPr>
          <w:rFonts w:hint="eastAsia" w:ascii="宋体" w:hAnsi="宋体" w:eastAsia="宋体" w:cs="宋体"/>
          <w:spacing w:val="6"/>
          <w:u w:val="single"/>
        </w:rPr>
        <w:t xml:space="preserve">   （填采购人名称）      </w:t>
      </w:r>
      <w:r>
        <w:rPr>
          <w:rFonts w:hint="eastAsia" w:ascii="宋体" w:hAnsi="宋体" w:eastAsia="宋体" w:cs="宋体"/>
          <w:spacing w:val="6"/>
        </w:rPr>
        <w:t>单位的</w:t>
      </w:r>
      <w:r>
        <w:rPr>
          <w:rFonts w:hint="eastAsia" w:ascii="宋体" w:hAnsi="宋体" w:eastAsia="宋体" w:cs="宋体"/>
          <w:spacing w:val="6"/>
          <w:u w:val="single"/>
        </w:rPr>
        <w:t xml:space="preserve">     （填项目名称）       </w:t>
      </w:r>
      <w:r>
        <w:rPr>
          <w:rFonts w:hint="eastAsia" w:ascii="宋体" w:hAnsi="宋体" w:eastAsia="宋体" w:cs="宋体"/>
          <w:spacing w:val="6"/>
        </w:rPr>
        <w:t>项目采购活动提供本单位制造的货物（由本单位承担工程/提供服务），或者提供其他残疾人福利性单位制造的货物（不包括使用非残疾人福利性单位注册商标的货物）。</w:t>
      </w:r>
    </w:p>
    <w:p w14:paraId="71EB1C49">
      <w:pPr>
        <w:keepNext w:val="0"/>
        <w:keepLines w:val="0"/>
        <w:pageBreakBefore w:val="0"/>
        <w:kinsoku/>
        <w:wordWrap/>
        <w:overflowPunct/>
        <w:topLinePunct w:val="0"/>
        <w:autoSpaceDE/>
        <w:autoSpaceDN/>
        <w:bidi w:val="0"/>
        <w:adjustRightInd/>
        <w:spacing w:line="400" w:lineRule="exact"/>
        <w:ind w:left="0" w:leftChars="0" w:right="0" w:rightChars="0" w:firstLine="444" w:firstLineChars="200"/>
        <w:textAlignment w:val="auto"/>
        <w:rPr>
          <w:rFonts w:hint="eastAsia" w:ascii="宋体" w:hAnsi="宋体" w:eastAsia="宋体" w:cs="宋体"/>
          <w:spacing w:val="6"/>
        </w:rPr>
      </w:pPr>
      <w:r>
        <w:rPr>
          <w:rFonts w:hint="eastAsia" w:ascii="宋体" w:hAnsi="宋体" w:eastAsia="宋体" w:cs="宋体"/>
          <w:spacing w:val="6"/>
        </w:rPr>
        <w:t>本单位对上述声明的真实性负责。如有虚假，将依法承担相应责任。</w:t>
      </w:r>
    </w:p>
    <w:p w14:paraId="34E736E2">
      <w:pPr>
        <w:keepNext w:val="0"/>
        <w:keepLines w:val="0"/>
        <w:pageBreakBefore w:val="0"/>
        <w:kinsoku/>
        <w:wordWrap/>
        <w:overflowPunct/>
        <w:topLinePunct w:val="0"/>
        <w:autoSpaceDE/>
        <w:autoSpaceDN/>
        <w:bidi w:val="0"/>
        <w:adjustRightInd/>
        <w:spacing w:line="400" w:lineRule="exact"/>
        <w:ind w:left="0" w:leftChars="0" w:right="0" w:rightChars="0" w:firstLine="444" w:firstLineChars="200"/>
        <w:textAlignment w:val="auto"/>
        <w:rPr>
          <w:rFonts w:hint="eastAsia" w:ascii="宋体" w:hAnsi="宋体" w:eastAsia="宋体" w:cs="宋体"/>
          <w:spacing w:val="6"/>
        </w:rPr>
      </w:pPr>
    </w:p>
    <w:p w14:paraId="20F044C1">
      <w:pPr>
        <w:keepNext w:val="0"/>
        <w:keepLines w:val="0"/>
        <w:pageBreakBefore w:val="0"/>
        <w:tabs>
          <w:tab w:val="left" w:pos="4860"/>
        </w:tabs>
        <w:kinsoku/>
        <w:wordWrap/>
        <w:overflowPunct/>
        <w:topLinePunct w:val="0"/>
        <w:autoSpaceDE/>
        <w:autoSpaceDN/>
        <w:bidi w:val="0"/>
        <w:adjustRightInd/>
        <w:spacing w:line="400" w:lineRule="exact"/>
        <w:ind w:left="0" w:leftChars="0" w:right="0" w:rightChars="0" w:firstLine="444" w:firstLineChars="200"/>
        <w:jc w:val="center"/>
        <w:textAlignment w:val="auto"/>
        <w:rPr>
          <w:rFonts w:hint="eastAsia" w:ascii="宋体" w:hAnsi="宋体" w:eastAsia="宋体" w:cs="宋体"/>
          <w:spacing w:val="6"/>
        </w:rPr>
      </w:pPr>
      <w:r>
        <w:rPr>
          <w:rFonts w:hint="eastAsia" w:ascii="宋体" w:hAnsi="宋体" w:eastAsia="宋体" w:cs="宋体"/>
          <w:spacing w:val="6"/>
        </w:rPr>
        <w:t>单位名称（盖章）：</w:t>
      </w:r>
    </w:p>
    <w:p w14:paraId="0A3BCAD0">
      <w:pPr>
        <w:keepNext w:val="0"/>
        <w:keepLines w:val="0"/>
        <w:pageBreakBefore w:val="0"/>
        <w:tabs>
          <w:tab w:val="left" w:pos="4860"/>
        </w:tabs>
        <w:kinsoku/>
        <w:wordWrap/>
        <w:overflowPunct/>
        <w:topLinePunct w:val="0"/>
        <w:autoSpaceDE/>
        <w:autoSpaceDN/>
        <w:bidi w:val="0"/>
        <w:adjustRightInd/>
        <w:spacing w:line="400" w:lineRule="exact"/>
        <w:ind w:left="0" w:leftChars="0" w:right="0" w:rightChars="0" w:firstLine="444" w:firstLineChars="200"/>
        <w:jc w:val="center"/>
        <w:textAlignment w:val="auto"/>
        <w:rPr>
          <w:rFonts w:hint="eastAsia" w:ascii="宋体" w:hAnsi="宋体" w:eastAsia="宋体" w:cs="宋体"/>
          <w:spacing w:val="6"/>
        </w:rPr>
      </w:pPr>
      <w:r>
        <w:rPr>
          <w:rFonts w:hint="eastAsia" w:ascii="宋体" w:hAnsi="宋体" w:eastAsia="宋体" w:cs="宋体"/>
          <w:spacing w:val="6"/>
        </w:rPr>
        <w:t>日  期：</w:t>
      </w:r>
    </w:p>
    <w:p w14:paraId="7BB47D13">
      <w:pPr>
        <w:keepNext w:val="0"/>
        <w:keepLines w:val="0"/>
        <w:pageBreakBefore w:val="0"/>
        <w:kinsoku/>
        <w:wordWrap/>
        <w:overflowPunct/>
        <w:topLinePunct w:val="0"/>
        <w:autoSpaceDE/>
        <w:autoSpaceDN/>
        <w:bidi w:val="0"/>
        <w:adjustRightInd/>
        <w:spacing w:line="400" w:lineRule="exact"/>
        <w:ind w:left="0" w:leftChars="0" w:right="0" w:rightChars="0"/>
        <w:textAlignment w:val="auto"/>
        <w:rPr>
          <w:rFonts w:hint="eastAsia" w:ascii="宋体" w:hAnsi="宋体" w:eastAsia="宋体" w:cs="宋体"/>
          <w:b/>
          <w:szCs w:val="21"/>
        </w:rPr>
      </w:pPr>
    </w:p>
    <w:p w14:paraId="0A2DCB12">
      <w:pPr>
        <w:keepNext w:val="0"/>
        <w:keepLines w:val="0"/>
        <w:pageBreakBefore w:val="0"/>
        <w:kinsoku/>
        <w:wordWrap/>
        <w:overflowPunct/>
        <w:topLinePunct w:val="0"/>
        <w:autoSpaceDE/>
        <w:autoSpaceDN/>
        <w:bidi w:val="0"/>
        <w:adjustRightInd/>
        <w:snapToGrid w:val="0"/>
        <w:spacing w:line="400" w:lineRule="exact"/>
        <w:ind w:left="0" w:leftChars="0" w:right="0" w:rightChars="0" w:firstLine="21" w:firstLineChars="10"/>
        <w:jc w:val="left"/>
        <w:textAlignment w:val="auto"/>
        <w:rPr>
          <w:rFonts w:hint="eastAsia" w:ascii="宋体" w:hAnsi="宋体" w:eastAsia="宋体" w:cs="宋体"/>
          <w:b/>
          <w:bCs/>
          <w:kern w:val="44"/>
          <w:sz w:val="24"/>
          <w:szCs w:val="44"/>
        </w:rPr>
      </w:pPr>
      <w:r>
        <w:rPr>
          <w:rFonts w:hint="eastAsia" w:ascii="宋体" w:hAnsi="宋体" w:eastAsia="宋体" w:cs="宋体"/>
          <w:b/>
        </w:rPr>
        <w:t>填写说明：</w:t>
      </w:r>
      <w:r>
        <w:rPr>
          <w:rFonts w:hint="eastAsia" w:ascii="宋体" w:hAnsi="宋体" w:eastAsia="宋体" w:cs="宋体"/>
          <w:b/>
          <w:szCs w:val="21"/>
        </w:rPr>
        <w:t>供应商不属于残疾人福利性单位无需且不应当提供本声明函，否则自行承担相应的责任。</w:t>
      </w:r>
      <w:bookmarkStart w:id="86" w:name="_Toc60582631"/>
    </w:p>
    <w:p w14:paraId="2C4B99EA">
      <w:pPr>
        <w:pStyle w:val="3"/>
        <w:pageBreakBefore w:val="0"/>
        <w:kinsoku/>
        <w:wordWrap/>
        <w:overflowPunct/>
        <w:topLinePunct w:val="0"/>
        <w:autoSpaceDE/>
        <w:autoSpaceDN/>
        <w:bidi w:val="0"/>
        <w:spacing w:line="400" w:lineRule="exact"/>
        <w:textAlignment w:val="auto"/>
        <w:rPr>
          <w:rFonts w:hint="eastAsia" w:ascii="宋体" w:hAnsi="宋体" w:eastAsia="宋体" w:cs="宋体"/>
          <w:sz w:val="30"/>
          <w:szCs w:val="30"/>
        </w:rPr>
      </w:pPr>
      <w:r>
        <w:rPr>
          <w:rFonts w:hint="eastAsia" w:ascii="宋体" w:hAnsi="宋体" w:eastAsia="宋体" w:cs="宋体"/>
        </w:rPr>
        <w:br w:type="page"/>
      </w:r>
      <w:bookmarkStart w:id="87" w:name="_Toc8507"/>
      <w:r>
        <w:rPr>
          <w:rFonts w:hint="eastAsia" w:ascii="宋体" w:hAnsi="宋体" w:eastAsia="宋体" w:cs="宋体"/>
          <w:sz w:val="30"/>
          <w:szCs w:val="30"/>
        </w:rPr>
        <w:t>第七章</w:t>
      </w:r>
      <w:r>
        <w:rPr>
          <w:rFonts w:hint="eastAsia" w:ascii="宋体" w:hAnsi="宋体" w:cs="宋体"/>
          <w:sz w:val="30"/>
          <w:szCs w:val="30"/>
          <w:lang w:val="en-US" w:eastAsia="zh-CN"/>
        </w:rPr>
        <w:t xml:space="preserve">  </w:t>
      </w:r>
      <w:r>
        <w:rPr>
          <w:rFonts w:hint="eastAsia" w:ascii="宋体" w:hAnsi="宋体" w:eastAsia="宋体" w:cs="宋体"/>
          <w:sz w:val="30"/>
          <w:szCs w:val="30"/>
        </w:rPr>
        <w:t>政府采购供应商质疑函及投诉书</w:t>
      </w:r>
      <w:bookmarkEnd w:id="86"/>
      <w:r>
        <w:rPr>
          <w:rFonts w:hint="eastAsia" w:ascii="宋体" w:hAnsi="宋体" w:eastAsia="宋体" w:cs="宋体"/>
          <w:sz w:val="30"/>
          <w:szCs w:val="30"/>
        </w:rPr>
        <w:t>范本</w:t>
      </w:r>
      <w:bookmarkEnd w:id="87"/>
    </w:p>
    <w:p w14:paraId="75AC76A0">
      <w:pPr>
        <w:pageBreakBefore w:val="0"/>
        <w:kinsoku/>
        <w:wordWrap/>
        <w:overflowPunct/>
        <w:topLinePunct w:val="0"/>
        <w:autoSpaceDE/>
        <w:autoSpaceDN/>
        <w:bidi w:val="0"/>
        <w:spacing w:line="400" w:lineRule="exact"/>
        <w:jc w:val="center"/>
        <w:textAlignment w:val="auto"/>
        <w:rPr>
          <w:rFonts w:hint="eastAsia" w:ascii="宋体" w:hAnsi="宋体" w:eastAsia="宋体" w:cs="宋体"/>
          <w:b/>
          <w:bCs/>
          <w:sz w:val="28"/>
          <w:szCs w:val="44"/>
        </w:rPr>
      </w:pPr>
      <w:r>
        <w:rPr>
          <w:rFonts w:hint="eastAsia" w:ascii="宋体" w:hAnsi="宋体" w:eastAsia="宋体" w:cs="宋体"/>
          <w:b/>
          <w:bCs/>
          <w:sz w:val="28"/>
          <w:szCs w:val="44"/>
        </w:rPr>
        <w:t>质疑函</w:t>
      </w:r>
    </w:p>
    <w:p w14:paraId="31BB0FF5">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sz w:val="22"/>
        </w:rPr>
      </w:pPr>
      <w:r>
        <w:rPr>
          <w:rFonts w:hint="eastAsia" w:ascii="宋体" w:hAnsi="宋体" w:eastAsia="宋体" w:cs="宋体"/>
          <w:bCs/>
          <w:sz w:val="22"/>
        </w:rPr>
        <w:t>一、质疑供应商基本信息</w:t>
      </w:r>
    </w:p>
    <w:p w14:paraId="3D5A7845">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质疑供应商：</w:t>
      </w:r>
    </w:p>
    <w:p w14:paraId="7DA2DE29">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地址：邮编：</w:t>
      </w:r>
    </w:p>
    <w:p w14:paraId="797FF938">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联系人：联系电话：</w:t>
      </w:r>
    </w:p>
    <w:p w14:paraId="27C38E6F">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授权代表：</w:t>
      </w:r>
    </w:p>
    <w:p w14:paraId="5F4CF0D5">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联系电话：</w:t>
      </w:r>
    </w:p>
    <w:p w14:paraId="16236DEA">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地址：邮编：</w:t>
      </w:r>
    </w:p>
    <w:p w14:paraId="5486BD86">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sz w:val="22"/>
        </w:rPr>
      </w:pPr>
      <w:r>
        <w:rPr>
          <w:rFonts w:hint="eastAsia" w:ascii="宋体" w:hAnsi="宋体" w:eastAsia="宋体" w:cs="宋体"/>
          <w:b/>
          <w:sz w:val="22"/>
        </w:rPr>
        <w:t>质疑函补正文书、质疑回复送达方式确认，按质疑供应商确认的送达方式进行文书送达视同送达。</w:t>
      </w:r>
    </w:p>
    <w:p w14:paraId="78E0A038">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确认电子邮件送达：或</w:t>
      </w:r>
    </w:p>
    <w:p w14:paraId="4FF60CEB">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确认传真送达：或</w:t>
      </w:r>
    </w:p>
    <w:p w14:paraId="364D42FB">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其他方式：</w:t>
      </w:r>
    </w:p>
    <w:p w14:paraId="33D00B8C">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sz w:val="22"/>
        </w:rPr>
      </w:pPr>
      <w:r>
        <w:rPr>
          <w:rFonts w:hint="eastAsia" w:ascii="宋体" w:hAnsi="宋体" w:eastAsia="宋体" w:cs="宋体"/>
          <w:bCs/>
          <w:sz w:val="22"/>
        </w:rPr>
        <w:t>二、质疑项目基本情况</w:t>
      </w:r>
    </w:p>
    <w:p w14:paraId="5C6D80DF">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质疑项目的名称：</w:t>
      </w:r>
    </w:p>
    <w:p w14:paraId="4E1BC438">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质疑项目的编号：包号：</w:t>
      </w:r>
    </w:p>
    <w:p w14:paraId="176DCB7B">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采购人名称：</w:t>
      </w:r>
    </w:p>
    <w:p w14:paraId="720D39F6">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采购文件获取日期：</w:t>
      </w:r>
    </w:p>
    <w:p w14:paraId="601D4FF8">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sz w:val="22"/>
        </w:rPr>
      </w:pPr>
      <w:r>
        <w:rPr>
          <w:rFonts w:hint="eastAsia" w:ascii="宋体" w:hAnsi="宋体" w:eastAsia="宋体" w:cs="宋体"/>
          <w:bCs/>
          <w:sz w:val="22"/>
        </w:rPr>
        <w:t>三、质疑事项具体内容</w:t>
      </w:r>
    </w:p>
    <w:p w14:paraId="203001F3">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质疑事项1：</w:t>
      </w:r>
    </w:p>
    <w:p w14:paraId="4B171512">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事实依据：</w:t>
      </w:r>
    </w:p>
    <w:p w14:paraId="74D51285">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p>
    <w:p w14:paraId="6ED2E6C4">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法律依据：</w:t>
      </w:r>
    </w:p>
    <w:p w14:paraId="55BFA899">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p>
    <w:p w14:paraId="6D701665">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质疑事项2</w:t>
      </w:r>
    </w:p>
    <w:p w14:paraId="0574B661">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w:t>
      </w:r>
    </w:p>
    <w:p w14:paraId="56032ED1">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sz w:val="22"/>
        </w:rPr>
      </w:pPr>
    </w:p>
    <w:p w14:paraId="6F9D2640">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sz w:val="22"/>
        </w:rPr>
      </w:pPr>
      <w:r>
        <w:rPr>
          <w:rFonts w:hint="eastAsia" w:ascii="宋体" w:hAnsi="宋体" w:eastAsia="宋体" w:cs="宋体"/>
          <w:bCs/>
          <w:sz w:val="22"/>
        </w:rPr>
        <w:t>四、与质疑事项相关的质疑请求</w:t>
      </w:r>
    </w:p>
    <w:p w14:paraId="796F97D0">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请求：</w:t>
      </w:r>
    </w:p>
    <w:p w14:paraId="614AB078">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 xml:space="preserve">签字(签章)：                   公章：                      </w:t>
      </w:r>
    </w:p>
    <w:p w14:paraId="03AE0372">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 xml:space="preserve">日期：    </w:t>
      </w:r>
    </w:p>
    <w:p w14:paraId="6986F965">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rPr>
      </w:pPr>
    </w:p>
    <w:p w14:paraId="421512F7">
      <w:pPr>
        <w:pageBreakBefore w:val="0"/>
        <w:kinsoku/>
        <w:wordWrap/>
        <w:overflowPunct/>
        <w:topLinePunct w:val="0"/>
        <w:autoSpaceDE/>
        <w:autoSpaceDN/>
        <w:bidi w:val="0"/>
        <w:spacing w:line="400" w:lineRule="exact"/>
        <w:textAlignment w:val="auto"/>
        <w:rPr>
          <w:rFonts w:hint="eastAsia" w:ascii="宋体" w:hAnsi="宋体" w:eastAsia="宋体" w:cs="宋体"/>
          <w:b/>
        </w:rPr>
      </w:pPr>
      <w:r>
        <w:rPr>
          <w:rFonts w:hint="eastAsia" w:ascii="宋体" w:hAnsi="宋体" w:eastAsia="宋体" w:cs="宋体"/>
          <w:b/>
        </w:rPr>
        <w:br w:type="page"/>
      </w:r>
      <w:r>
        <w:rPr>
          <w:rFonts w:hint="eastAsia" w:ascii="宋体" w:hAnsi="宋体" w:eastAsia="宋体" w:cs="宋体"/>
          <w:b/>
        </w:rPr>
        <w:t>质疑函制作说明：</w:t>
      </w:r>
    </w:p>
    <w:p w14:paraId="0A47278F">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1.供应商提出质疑时，应提交质疑函及质疑函电子文档和必要的证明材料。</w:t>
      </w:r>
    </w:p>
    <w:p w14:paraId="0224DC36">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2.质疑供应商若委托代理人进行质疑的，质疑函应按要求列明“授权代表”的有关内容，并在附件中提交由质疑</w:t>
      </w:r>
      <w:r>
        <w:rPr>
          <w:rFonts w:hint="eastAsia" w:ascii="宋体" w:hAnsi="宋体" w:eastAsia="宋体" w:cs="宋体"/>
          <w:kern w:val="0"/>
        </w:rPr>
        <w:t>供应商签署的授权委托书。授权委托书应载明代理人的姓名或者名称、代理事项、具体权限、期限和相关事项。</w:t>
      </w:r>
    </w:p>
    <w:p w14:paraId="745B7F95">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3.质疑供应商若对项目的某一分包进行质疑，质疑函中应列明具体分包号。</w:t>
      </w:r>
    </w:p>
    <w:p w14:paraId="1294CEE0">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4.质疑函的质疑事项应具体、明确，并有必要的事实依据和法律依据。</w:t>
      </w:r>
    </w:p>
    <w:p w14:paraId="4CF72CBD">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5.质疑函的质疑请求应与质疑事项相关。</w:t>
      </w:r>
    </w:p>
    <w:p w14:paraId="622214DF">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szCs w:val="21"/>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14:paraId="5BECC868">
      <w:pPr>
        <w:pageBreakBefore w:val="0"/>
        <w:kinsoku/>
        <w:wordWrap/>
        <w:overflowPunct/>
        <w:topLinePunct w:val="0"/>
        <w:autoSpaceDE/>
        <w:autoSpaceDN/>
        <w:bidi w:val="0"/>
        <w:spacing w:line="400" w:lineRule="exact"/>
        <w:jc w:val="center"/>
        <w:textAlignment w:val="auto"/>
        <w:rPr>
          <w:rFonts w:hint="eastAsia" w:ascii="宋体" w:hAnsi="宋体" w:eastAsia="宋体" w:cs="宋体"/>
          <w:b/>
          <w:bCs/>
          <w:sz w:val="28"/>
          <w:szCs w:val="44"/>
        </w:rPr>
      </w:pPr>
      <w:r>
        <w:rPr>
          <w:rFonts w:hint="eastAsia" w:ascii="宋体" w:hAnsi="宋体" w:eastAsia="宋体" w:cs="宋体"/>
          <w:b/>
          <w:bCs/>
          <w:sz w:val="28"/>
          <w:szCs w:val="44"/>
        </w:rPr>
        <w:br w:type="page"/>
      </w:r>
      <w:r>
        <w:rPr>
          <w:rFonts w:hint="eastAsia" w:ascii="宋体" w:hAnsi="宋体" w:eastAsia="宋体" w:cs="宋体"/>
          <w:b/>
          <w:bCs/>
          <w:sz w:val="28"/>
          <w:szCs w:val="44"/>
        </w:rPr>
        <w:t>投诉书</w:t>
      </w:r>
    </w:p>
    <w:p w14:paraId="56521A23">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一、投诉相关主体基本情况</w:t>
      </w:r>
    </w:p>
    <w:p w14:paraId="63DB8C6A">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r>
        <w:rPr>
          <w:rFonts w:hint="eastAsia" w:ascii="宋体" w:hAnsi="宋体" w:eastAsia="宋体" w:cs="宋体"/>
          <w:sz w:val="22"/>
        </w:rPr>
        <w:t>投诉人：</w:t>
      </w:r>
    </w:p>
    <w:p w14:paraId="7D06BA66">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地     址：邮编：</w:t>
      </w:r>
    </w:p>
    <w:p w14:paraId="784FDAB6">
      <w:pPr>
        <w:pageBreakBefore w:val="0"/>
        <w:tabs>
          <w:tab w:val="left" w:pos="6510"/>
        </w:tabs>
        <w:kinsoku/>
        <w:wordWrap/>
        <w:overflowPunct/>
        <w:topLinePunct w:val="0"/>
        <w:autoSpaceDE/>
        <w:autoSpaceDN/>
        <w:bidi w:val="0"/>
        <w:spacing w:line="400" w:lineRule="exact"/>
        <w:jc w:val="left"/>
        <w:textAlignment w:val="auto"/>
        <w:rPr>
          <w:rFonts w:hint="eastAsia" w:ascii="宋体" w:hAnsi="宋体" w:eastAsia="宋体" w:cs="宋体"/>
          <w:sz w:val="22"/>
        </w:rPr>
      </w:pPr>
      <w:r>
        <w:rPr>
          <w:rFonts w:hint="eastAsia" w:ascii="宋体" w:hAnsi="宋体" w:eastAsia="宋体" w:cs="宋体"/>
          <w:sz w:val="22"/>
        </w:rPr>
        <w:t>法定代表人/主要负责人：</w:t>
      </w:r>
    </w:p>
    <w:p w14:paraId="307724F2">
      <w:pPr>
        <w:pageBreakBefore w:val="0"/>
        <w:tabs>
          <w:tab w:val="left" w:pos="6510"/>
        </w:tabs>
        <w:kinsoku/>
        <w:wordWrap/>
        <w:overflowPunct/>
        <w:topLinePunct w:val="0"/>
        <w:autoSpaceDE/>
        <w:autoSpaceDN/>
        <w:bidi w:val="0"/>
        <w:spacing w:line="400" w:lineRule="exact"/>
        <w:textAlignment w:val="auto"/>
        <w:rPr>
          <w:rFonts w:hint="eastAsia" w:ascii="宋体" w:hAnsi="宋体" w:eastAsia="宋体" w:cs="宋体"/>
          <w:sz w:val="22"/>
          <w:u w:val="dotted"/>
        </w:rPr>
      </w:pPr>
      <w:r>
        <w:rPr>
          <w:rFonts w:hint="eastAsia" w:ascii="宋体" w:hAnsi="宋体" w:eastAsia="宋体" w:cs="宋体"/>
          <w:sz w:val="22"/>
        </w:rPr>
        <w:t>联系电话：</w:t>
      </w:r>
    </w:p>
    <w:p w14:paraId="39860635">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r>
        <w:rPr>
          <w:rFonts w:hint="eastAsia" w:ascii="宋体" w:hAnsi="宋体" w:eastAsia="宋体" w:cs="宋体"/>
          <w:sz w:val="22"/>
        </w:rPr>
        <w:t>授权代表：联系电话</w:t>
      </w:r>
      <w:r>
        <w:rPr>
          <w:rFonts w:hint="eastAsia" w:ascii="宋体" w:hAnsi="宋体" w:eastAsia="宋体" w:cs="宋体"/>
          <w:sz w:val="22"/>
          <w:u w:val="dotted"/>
        </w:rPr>
        <w:t xml:space="preserve">：                  </w:t>
      </w:r>
    </w:p>
    <w:p w14:paraId="3D605A92">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r>
        <w:rPr>
          <w:rFonts w:hint="eastAsia" w:ascii="宋体" w:hAnsi="宋体" w:eastAsia="宋体" w:cs="宋体"/>
          <w:sz w:val="22"/>
        </w:rPr>
        <w:t>地     址：邮编：</w:t>
      </w:r>
    </w:p>
    <w:p w14:paraId="0F8D69A1">
      <w:pPr>
        <w:pageBreakBefore w:val="0"/>
        <w:kinsoku/>
        <w:wordWrap/>
        <w:overflowPunct/>
        <w:topLinePunct w:val="0"/>
        <w:autoSpaceDE/>
        <w:autoSpaceDN/>
        <w:bidi w:val="0"/>
        <w:spacing w:line="400" w:lineRule="exact"/>
        <w:textAlignment w:val="auto"/>
        <w:rPr>
          <w:rFonts w:hint="eastAsia" w:ascii="宋体" w:hAnsi="宋体" w:eastAsia="宋体" w:cs="宋体"/>
          <w:b/>
          <w:sz w:val="22"/>
        </w:rPr>
      </w:pPr>
      <w:r>
        <w:rPr>
          <w:rFonts w:hint="eastAsia" w:ascii="宋体" w:hAnsi="宋体" w:eastAsia="宋体" w:cs="宋体"/>
          <w:b/>
          <w:sz w:val="22"/>
        </w:rPr>
        <w:t>投诉补正通知书、投诉受理通知书、投诉不予受理通知书、投诉调查函的送达方式确认，按投诉供应商确认的送达方式进行上述文书送达视同送达。</w:t>
      </w:r>
    </w:p>
    <w:p w14:paraId="4B4A4C96">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确认电子邮件送达：或</w:t>
      </w:r>
    </w:p>
    <w:p w14:paraId="6B13A69E">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u w:val="dotted"/>
        </w:rPr>
      </w:pPr>
      <w:r>
        <w:rPr>
          <w:rFonts w:hint="eastAsia" w:ascii="宋体" w:hAnsi="宋体" w:eastAsia="宋体" w:cs="宋体"/>
          <w:sz w:val="22"/>
        </w:rPr>
        <w:t>确认传真送达：或</w:t>
      </w:r>
    </w:p>
    <w:p w14:paraId="66F6C2E9">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rPr>
      </w:pPr>
      <w:r>
        <w:rPr>
          <w:rFonts w:hint="eastAsia" w:ascii="宋体" w:hAnsi="宋体" w:eastAsia="宋体" w:cs="宋体"/>
          <w:sz w:val="22"/>
        </w:rPr>
        <w:t>其他方式：</w:t>
      </w:r>
    </w:p>
    <w:p w14:paraId="46BD2AA6">
      <w:pPr>
        <w:pageBreakBefore w:val="0"/>
        <w:kinsoku/>
        <w:wordWrap/>
        <w:overflowPunct/>
        <w:topLinePunct w:val="0"/>
        <w:autoSpaceDE/>
        <w:autoSpaceDN/>
        <w:bidi w:val="0"/>
        <w:spacing w:line="400" w:lineRule="exact"/>
        <w:textAlignment w:val="auto"/>
        <w:rPr>
          <w:rFonts w:hint="eastAsia" w:ascii="宋体" w:hAnsi="宋体" w:eastAsia="宋体" w:cs="宋体"/>
          <w:sz w:val="22"/>
        </w:rPr>
      </w:pPr>
    </w:p>
    <w:p w14:paraId="11C224D7">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被投诉人1：</w:t>
      </w:r>
    </w:p>
    <w:p w14:paraId="5DF86DAD">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地     址：邮编：</w:t>
      </w:r>
    </w:p>
    <w:p w14:paraId="0C50CD3E">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联系人：联系电话：</w:t>
      </w:r>
    </w:p>
    <w:p w14:paraId="11568191">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被投诉人2</w:t>
      </w:r>
    </w:p>
    <w:p w14:paraId="77B13F5E">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r>
        <w:rPr>
          <w:rFonts w:hint="eastAsia" w:ascii="宋体" w:hAnsi="宋体" w:eastAsia="宋体" w:cs="宋体"/>
          <w:sz w:val="22"/>
        </w:rPr>
        <w:t>……</w:t>
      </w:r>
    </w:p>
    <w:p w14:paraId="21AFA8BB">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相关供应商（或其他第三人）：</w:t>
      </w:r>
    </w:p>
    <w:p w14:paraId="50733B03">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地     址：邮编：</w:t>
      </w:r>
    </w:p>
    <w:p w14:paraId="22B4A87C">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联系人：联系电话：</w:t>
      </w:r>
    </w:p>
    <w:p w14:paraId="1FE8B867">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二、投诉项目基本情况</w:t>
      </w:r>
    </w:p>
    <w:p w14:paraId="10D95DA2">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r>
        <w:rPr>
          <w:rFonts w:hint="eastAsia" w:ascii="宋体" w:hAnsi="宋体" w:eastAsia="宋体" w:cs="宋体"/>
          <w:sz w:val="22"/>
        </w:rPr>
        <w:t>采购项目名称：</w:t>
      </w:r>
    </w:p>
    <w:p w14:paraId="4617692B">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采购项目编号：包号：</w:t>
      </w:r>
    </w:p>
    <w:p w14:paraId="3D57D95C">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采购人名称：</w:t>
      </w:r>
    </w:p>
    <w:p w14:paraId="2C652422">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代理机构名称：</w:t>
      </w:r>
    </w:p>
    <w:p w14:paraId="06472E50">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r>
        <w:rPr>
          <w:rFonts w:hint="eastAsia" w:ascii="宋体" w:hAnsi="宋体" w:eastAsia="宋体" w:cs="宋体"/>
          <w:sz w:val="22"/>
        </w:rPr>
        <w:t>采购文件公告:</w:t>
      </w:r>
      <w:r>
        <w:rPr>
          <w:rFonts w:hint="eastAsia" w:ascii="宋体" w:hAnsi="宋体" w:eastAsia="宋体" w:cs="宋体"/>
          <w:sz w:val="22"/>
          <w:u w:val="dotted"/>
        </w:rPr>
        <w:t xml:space="preserve">是/否 </w:t>
      </w:r>
      <w:r>
        <w:rPr>
          <w:rFonts w:hint="eastAsia" w:ascii="宋体" w:hAnsi="宋体" w:eastAsia="宋体" w:cs="宋体"/>
          <w:sz w:val="22"/>
        </w:rPr>
        <w:t>公告期限：</w:t>
      </w:r>
    </w:p>
    <w:p w14:paraId="021067D9">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采购结果公告:</w:t>
      </w:r>
      <w:r>
        <w:rPr>
          <w:rFonts w:hint="eastAsia" w:ascii="宋体" w:hAnsi="宋体" w:eastAsia="宋体" w:cs="宋体"/>
          <w:sz w:val="22"/>
          <w:u w:val="dotted"/>
        </w:rPr>
        <w:t xml:space="preserve">是/否 </w:t>
      </w:r>
      <w:r>
        <w:rPr>
          <w:rFonts w:hint="eastAsia" w:ascii="宋体" w:hAnsi="宋体" w:eastAsia="宋体" w:cs="宋体"/>
          <w:sz w:val="22"/>
        </w:rPr>
        <w:t>公告期限：</w:t>
      </w:r>
    </w:p>
    <w:p w14:paraId="04427B80">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三、质疑基本情况</w:t>
      </w:r>
    </w:p>
    <w:p w14:paraId="069DA38A">
      <w:pPr>
        <w:pageBreakBefore w:val="0"/>
        <w:kinsoku/>
        <w:wordWrap/>
        <w:overflowPunct/>
        <w:topLinePunct w:val="0"/>
        <w:autoSpaceDE/>
        <w:autoSpaceDN/>
        <w:bidi w:val="0"/>
        <w:spacing w:line="400" w:lineRule="exact"/>
        <w:ind w:firstLine="440" w:firstLineChars="200"/>
        <w:textAlignment w:val="auto"/>
        <w:rPr>
          <w:rFonts w:hint="eastAsia" w:ascii="宋体" w:hAnsi="宋体" w:eastAsia="宋体" w:cs="宋体"/>
          <w:sz w:val="22"/>
          <w:u w:val="dotted"/>
        </w:rPr>
      </w:pPr>
      <w:r>
        <w:rPr>
          <w:rFonts w:hint="eastAsia" w:ascii="宋体" w:hAnsi="宋体" w:eastAsia="宋体" w:cs="宋体"/>
          <w:sz w:val="22"/>
        </w:rPr>
        <w:t>投诉人于年月日,向提出质疑，质疑事项为：</w:t>
      </w:r>
    </w:p>
    <w:p w14:paraId="0C5FA9F4">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p>
    <w:p w14:paraId="21F1873C">
      <w:pPr>
        <w:pageBreakBefore w:val="0"/>
        <w:kinsoku/>
        <w:wordWrap/>
        <w:overflowPunct/>
        <w:topLinePunct w:val="0"/>
        <w:autoSpaceDE/>
        <w:autoSpaceDN/>
        <w:bidi w:val="0"/>
        <w:spacing w:line="400" w:lineRule="exact"/>
        <w:ind w:firstLine="330" w:firstLineChars="150"/>
        <w:textAlignment w:val="auto"/>
        <w:rPr>
          <w:rFonts w:hint="eastAsia" w:ascii="宋体" w:hAnsi="宋体" w:eastAsia="宋体" w:cs="宋体"/>
          <w:sz w:val="22"/>
        </w:rPr>
      </w:pPr>
      <w:r>
        <w:rPr>
          <w:rFonts w:hint="eastAsia" w:ascii="宋体" w:hAnsi="宋体" w:eastAsia="宋体" w:cs="宋体"/>
          <w:sz w:val="22"/>
          <w:u w:val="dotted"/>
        </w:rPr>
        <w:t>采购人/代理机构</w:t>
      </w:r>
      <w:r>
        <w:rPr>
          <w:rFonts w:hint="eastAsia" w:ascii="宋体" w:hAnsi="宋体" w:eastAsia="宋体" w:cs="宋体"/>
          <w:sz w:val="22"/>
        </w:rPr>
        <w:t>于年月日,就质疑事项作出了答复/没有在法定期限内作出答复。</w:t>
      </w:r>
    </w:p>
    <w:p w14:paraId="11B601C4">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四、投诉事项具体内容</w:t>
      </w:r>
    </w:p>
    <w:p w14:paraId="003B241B">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投诉事项 1：</w:t>
      </w:r>
    </w:p>
    <w:p w14:paraId="2A5684FE">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事实依据：</w:t>
      </w:r>
    </w:p>
    <w:p w14:paraId="34BA2EA7">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p>
    <w:p w14:paraId="498EC035">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r>
        <w:rPr>
          <w:rFonts w:hint="eastAsia" w:ascii="宋体" w:hAnsi="宋体" w:eastAsia="宋体" w:cs="宋体"/>
          <w:sz w:val="22"/>
        </w:rPr>
        <w:t>法律依据：</w:t>
      </w:r>
    </w:p>
    <w:p w14:paraId="393FA292">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p>
    <w:p w14:paraId="222FD06B">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投诉事项2</w:t>
      </w:r>
    </w:p>
    <w:p w14:paraId="4B0CEE8D">
      <w:pPr>
        <w:pageBreakBefore w:val="0"/>
        <w:kinsoku/>
        <w:wordWrap/>
        <w:overflowPunct/>
        <w:topLinePunct w:val="0"/>
        <w:autoSpaceDE/>
        <w:autoSpaceDN/>
        <w:bidi w:val="0"/>
        <w:spacing w:line="400" w:lineRule="exact"/>
        <w:textAlignment w:val="auto"/>
        <w:rPr>
          <w:rFonts w:hint="eastAsia" w:ascii="宋体" w:hAnsi="宋体" w:eastAsia="宋体" w:cs="宋体"/>
          <w:sz w:val="22"/>
          <w:u w:val="dotted"/>
        </w:rPr>
      </w:pPr>
      <w:r>
        <w:rPr>
          <w:rFonts w:hint="eastAsia" w:ascii="宋体" w:hAnsi="宋体" w:eastAsia="宋体" w:cs="宋体"/>
          <w:sz w:val="22"/>
        </w:rPr>
        <w:t>……</w:t>
      </w:r>
    </w:p>
    <w:p w14:paraId="70251515">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五、与投诉事项相关的投诉请求</w:t>
      </w:r>
    </w:p>
    <w:p w14:paraId="069680C2">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请求：</w:t>
      </w:r>
    </w:p>
    <w:p w14:paraId="397623D9">
      <w:pPr>
        <w:pageBreakBefore w:val="0"/>
        <w:kinsoku/>
        <w:wordWrap/>
        <w:overflowPunct/>
        <w:topLinePunct w:val="0"/>
        <w:autoSpaceDE/>
        <w:autoSpaceDN/>
        <w:bidi w:val="0"/>
        <w:spacing w:line="400" w:lineRule="exact"/>
        <w:textAlignment w:val="auto"/>
        <w:rPr>
          <w:rFonts w:hint="eastAsia" w:ascii="宋体" w:hAnsi="宋体" w:eastAsia="宋体" w:cs="宋体"/>
          <w:sz w:val="22"/>
          <w:u w:val="single"/>
        </w:rPr>
      </w:pPr>
    </w:p>
    <w:p w14:paraId="7D73A52A">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签字(签章)：                   公章：</w:t>
      </w:r>
    </w:p>
    <w:p w14:paraId="015595E6">
      <w:pPr>
        <w:pageBreakBefore w:val="0"/>
        <w:kinsoku/>
        <w:wordWrap/>
        <w:overflowPunct/>
        <w:topLinePunct w:val="0"/>
        <w:autoSpaceDE/>
        <w:autoSpaceDN/>
        <w:bidi w:val="0"/>
        <w:spacing w:line="400" w:lineRule="exact"/>
        <w:textAlignment w:val="auto"/>
        <w:rPr>
          <w:rFonts w:hint="eastAsia" w:ascii="宋体" w:hAnsi="宋体" w:eastAsia="宋体" w:cs="宋体"/>
          <w:sz w:val="22"/>
        </w:rPr>
      </w:pPr>
      <w:r>
        <w:rPr>
          <w:rFonts w:hint="eastAsia" w:ascii="宋体" w:hAnsi="宋体" w:eastAsia="宋体" w:cs="宋体"/>
          <w:sz w:val="22"/>
        </w:rPr>
        <w:t>日期：</w:t>
      </w:r>
    </w:p>
    <w:p w14:paraId="7D56B12A">
      <w:pPr>
        <w:pageBreakBefore w:val="0"/>
        <w:kinsoku/>
        <w:wordWrap/>
        <w:overflowPunct/>
        <w:topLinePunct w:val="0"/>
        <w:autoSpaceDE/>
        <w:autoSpaceDN/>
        <w:bidi w:val="0"/>
        <w:spacing w:line="400" w:lineRule="exact"/>
        <w:textAlignment w:val="auto"/>
        <w:rPr>
          <w:rFonts w:hint="eastAsia" w:ascii="宋体" w:hAnsi="宋体" w:eastAsia="宋体" w:cs="宋体"/>
          <w:b/>
          <w:sz w:val="24"/>
        </w:rPr>
      </w:pPr>
    </w:p>
    <w:p w14:paraId="4AA9693A">
      <w:pPr>
        <w:pageBreakBefore w:val="0"/>
        <w:kinsoku/>
        <w:wordWrap/>
        <w:overflowPunct/>
        <w:topLinePunct w:val="0"/>
        <w:autoSpaceDE/>
        <w:autoSpaceDN/>
        <w:bidi w:val="0"/>
        <w:spacing w:line="400" w:lineRule="exact"/>
        <w:textAlignment w:val="auto"/>
        <w:rPr>
          <w:rFonts w:hint="eastAsia" w:ascii="宋体" w:hAnsi="宋体" w:eastAsia="宋体" w:cs="宋体"/>
          <w:b/>
        </w:rPr>
      </w:pPr>
      <w:r>
        <w:rPr>
          <w:rFonts w:hint="eastAsia" w:ascii="宋体" w:hAnsi="宋体" w:eastAsia="宋体" w:cs="宋体"/>
          <w:b/>
        </w:rPr>
        <w:br w:type="page"/>
      </w:r>
      <w:r>
        <w:rPr>
          <w:rFonts w:hint="eastAsia" w:ascii="宋体" w:hAnsi="宋体" w:eastAsia="宋体" w:cs="宋体"/>
          <w:b/>
        </w:rPr>
        <w:t>投诉书制作说明：</w:t>
      </w:r>
    </w:p>
    <w:p w14:paraId="7652199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宋体"/>
          <w:kern w:val="0"/>
        </w:rPr>
      </w:pPr>
      <w:r>
        <w:rPr>
          <w:rFonts w:hint="eastAsia" w:ascii="宋体" w:hAnsi="宋体" w:eastAsia="宋体" w:cs="宋体"/>
        </w:rPr>
        <w:t>1.投诉人提起投诉时，应当提交投诉书及投诉书电子文档和必要的证明材料，并按照被投诉人和与投诉事项有关的供应商数量提供投诉书副本。</w:t>
      </w:r>
    </w:p>
    <w:p w14:paraId="097389CA">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kern w:val="0"/>
        </w:rPr>
      </w:pPr>
      <w:r>
        <w:rPr>
          <w:rFonts w:hint="eastAsia" w:ascii="宋体" w:hAnsi="宋体" w:eastAsia="宋体" w:cs="宋体"/>
        </w:rPr>
        <w:t>2.投诉人若委托代理人进行投诉的，投诉书应按照要求列明“授权代表”的有关内容，并在附件中提交由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14:paraId="565355FC">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3.投诉人若对项目的某一分包进行投诉，投诉书应列明具体分包号。</w:t>
      </w:r>
    </w:p>
    <w:p w14:paraId="56B3E506">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4.投诉书应简要列明质疑事项，质疑函、质疑答复等作为附件材料提供。</w:t>
      </w:r>
    </w:p>
    <w:p w14:paraId="02F65148">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5.投诉书的投诉事项应具体、明确，并有必要的事实依据和法律依据。</w:t>
      </w:r>
    </w:p>
    <w:p w14:paraId="3A69D159">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pPr>
      <w:r>
        <w:rPr>
          <w:rFonts w:hint="eastAsia" w:ascii="宋体" w:hAnsi="宋体" w:eastAsia="宋体" w:cs="宋体"/>
        </w:rPr>
        <w:t>6.投诉书的投诉请求应与投诉事项相关。</w:t>
      </w:r>
    </w:p>
    <w:p w14:paraId="2C649239">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rPr>
        <w:sectPr>
          <w:headerReference r:id="rId9" w:type="default"/>
          <w:footerReference r:id="rId10" w:type="default"/>
          <w:footerReference r:id="rId11" w:type="even"/>
          <w:pgSz w:w="11906" w:h="16838"/>
          <w:pgMar w:top="1474" w:right="1474" w:bottom="1474" w:left="1474" w:header="907" w:footer="851"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eastAsia="宋体" w:cs="宋体"/>
        </w:rPr>
        <w:t>7.投诉人为自然人的，投诉书应当由本人签字；投诉人为法人或者其他组织的，投诉书应当由法定代表人、主要负责人，或者其授权代表签字或者盖章，并加盖公章。</w:t>
      </w:r>
    </w:p>
    <w:tbl>
      <w:tblPr>
        <w:tblStyle w:val="15"/>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3F702C79">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0"/>
            <w:vAlign w:val="bottom"/>
          </w:tcPr>
          <w:p w14:paraId="638481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32"/>
                <w:szCs w:val="32"/>
              </w:rPr>
            </w:pPr>
            <w:r>
              <w:rPr>
                <w:rFonts w:hint="eastAsia" w:ascii="宋体" w:hAnsi="宋体" w:eastAsia="宋体" w:cs="宋体"/>
                <w:b/>
                <w:bCs/>
                <w:kern w:val="0"/>
                <w:sz w:val="24"/>
              </w:rPr>
              <w:t>中小微行业划型标准规定（根据工信部联企业〔2011〕300号制定）</w:t>
            </w:r>
          </w:p>
        </w:tc>
      </w:tr>
      <w:tr w14:paraId="72D88B52">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14:paraId="5DE7AF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14:paraId="51E937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14:paraId="0FAB85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14:paraId="393681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微型企业</w:t>
            </w:r>
          </w:p>
        </w:tc>
      </w:tr>
      <w:tr w14:paraId="22E16377">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14:paraId="30E0DD94">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rPr>
            </w:pPr>
          </w:p>
        </w:tc>
        <w:tc>
          <w:tcPr>
            <w:tcW w:w="1512" w:type="dxa"/>
            <w:tcBorders>
              <w:top w:val="nil"/>
              <w:left w:val="nil"/>
              <w:bottom w:val="single" w:color="auto" w:sz="4" w:space="0"/>
              <w:right w:val="single" w:color="auto" w:sz="4" w:space="0"/>
            </w:tcBorders>
            <w:noWrap w:val="0"/>
            <w:vAlign w:val="bottom"/>
          </w:tcPr>
          <w:p w14:paraId="5B23BA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从业人员X（人）</w:t>
            </w:r>
          </w:p>
        </w:tc>
        <w:tc>
          <w:tcPr>
            <w:tcW w:w="1779" w:type="dxa"/>
            <w:tcBorders>
              <w:top w:val="nil"/>
              <w:left w:val="nil"/>
              <w:bottom w:val="single" w:color="auto" w:sz="4" w:space="0"/>
              <w:right w:val="single" w:color="auto" w:sz="4" w:space="0"/>
            </w:tcBorders>
            <w:noWrap w:val="0"/>
            <w:vAlign w:val="bottom"/>
          </w:tcPr>
          <w:p w14:paraId="3B4A61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营业收入Y</w:t>
            </w:r>
          </w:p>
          <w:p w14:paraId="7EF938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（万元）</w:t>
            </w:r>
          </w:p>
        </w:tc>
        <w:tc>
          <w:tcPr>
            <w:tcW w:w="1677" w:type="dxa"/>
            <w:tcBorders>
              <w:top w:val="nil"/>
              <w:left w:val="nil"/>
              <w:bottom w:val="single" w:color="auto" w:sz="4" w:space="0"/>
              <w:right w:val="single" w:color="auto" w:sz="8" w:space="0"/>
            </w:tcBorders>
            <w:noWrap w:val="0"/>
            <w:vAlign w:val="bottom"/>
          </w:tcPr>
          <w:p w14:paraId="7699BD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资产总额Z</w:t>
            </w:r>
          </w:p>
          <w:p w14:paraId="328C5B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（万元）</w:t>
            </w:r>
          </w:p>
        </w:tc>
        <w:tc>
          <w:tcPr>
            <w:tcW w:w="1252" w:type="dxa"/>
            <w:tcBorders>
              <w:top w:val="nil"/>
              <w:left w:val="nil"/>
              <w:bottom w:val="single" w:color="auto" w:sz="4" w:space="0"/>
              <w:right w:val="single" w:color="auto" w:sz="4" w:space="0"/>
            </w:tcBorders>
            <w:noWrap w:val="0"/>
            <w:vAlign w:val="bottom"/>
          </w:tcPr>
          <w:p w14:paraId="051EC1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从业人员X（人）</w:t>
            </w:r>
          </w:p>
        </w:tc>
        <w:tc>
          <w:tcPr>
            <w:tcW w:w="1494" w:type="dxa"/>
            <w:tcBorders>
              <w:top w:val="nil"/>
              <w:left w:val="nil"/>
              <w:bottom w:val="single" w:color="auto" w:sz="4" w:space="0"/>
              <w:right w:val="single" w:color="auto" w:sz="4" w:space="0"/>
            </w:tcBorders>
            <w:noWrap w:val="0"/>
            <w:vAlign w:val="bottom"/>
          </w:tcPr>
          <w:p w14:paraId="048BBA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营业收入Y</w:t>
            </w:r>
          </w:p>
          <w:p w14:paraId="33FDF5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（万元）</w:t>
            </w:r>
          </w:p>
        </w:tc>
        <w:tc>
          <w:tcPr>
            <w:tcW w:w="1536" w:type="dxa"/>
            <w:tcBorders>
              <w:top w:val="nil"/>
              <w:left w:val="nil"/>
              <w:bottom w:val="single" w:color="auto" w:sz="4" w:space="0"/>
              <w:right w:val="single" w:color="auto" w:sz="8" w:space="0"/>
            </w:tcBorders>
            <w:noWrap w:val="0"/>
            <w:vAlign w:val="bottom"/>
          </w:tcPr>
          <w:p w14:paraId="764C8A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资产总额Z</w:t>
            </w:r>
          </w:p>
          <w:p w14:paraId="055E9D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（万元）</w:t>
            </w:r>
          </w:p>
        </w:tc>
        <w:tc>
          <w:tcPr>
            <w:tcW w:w="1297" w:type="dxa"/>
            <w:tcBorders>
              <w:top w:val="nil"/>
              <w:left w:val="nil"/>
              <w:bottom w:val="single" w:color="auto" w:sz="4" w:space="0"/>
              <w:right w:val="single" w:color="auto" w:sz="4" w:space="0"/>
            </w:tcBorders>
            <w:noWrap w:val="0"/>
            <w:vAlign w:val="bottom"/>
          </w:tcPr>
          <w:p w14:paraId="2F4767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从业人员X（人）</w:t>
            </w:r>
          </w:p>
        </w:tc>
        <w:tc>
          <w:tcPr>
            <w:tcW w:w="1287" w:type="dxa"/>
            <w:tcBorders>
              <w:top w:val="nil"/>
              <w:left w:val="nil"/>
              <w:bottom w:val="single" w:color="auto" w:sz="4" w:space="0"/>
              <w:right w:val="single" w:color="auto" w:sz="4" w:space="0"/>
            </w:tcBorders>
            <w:noWrap w:val="0"/>
            <w:vAlign w:val="bottom"/>
          </w:tcPr>
          <w:p w14:paraId="1AE86F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营业收入Y（万元）</w:t>
            </w:r>
          </w:p>
        </w:tc>
        <w:tc>
          <w:tcPr>
            <w:tcW w:w="1234" w:type="dxa"/>
            <w:tcBorders>
              <w:top w:val="nil"/>
              <w:left w:val="nil"/>
              <w:bottom w:val="single" w:color="auto" w:sz="4" w:space="0"/>
              <w:right w:val="single" w:color="auto" w:sz="8" w:space="0"/>
            </w:tcBorders>
            <w:noWrap w:val="0"/>
            <w:vAlign w:val="bottom"/>
          </w:tcPr>
          <w:p w14:paraId="0FCD26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0"/>
              </w:rPr>
            </w:pPr>
            <w:r>
              <w:rPr>
                <w:rFonts w:hint="eastAsia" w:ascii="宋体" w:hAnsi="宋体" w:eastAsia="宋体" w:cs="宋体"/>
                <w:kern w:val="0"/>
                <w:sz w:val="20"/>
              </w:rPr>
              <w:t>资产总额Z（万元）</w:t>
            </w:r>
          </w:p>
        </w:tc>
      </w:tr>
      <w:tr w14:paraId="7180489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29922CB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1</w:t>
            </w:r>
            <w:r>
              <w:rPr>
                <w:rFonts w:hint="eastAsia" w:ascii="宋体" w:hAnsi="宋体" w:cs="宋体"/>
                <w:kern w:val="0"/>
                <w:sz w:val="20"/>
                <w:lang w:eastAsia="zh-CN"/>
              </w:rPr>
              <w:t>.</w:t>
            </w:r>
            <w:r>
              <w:rPr>
                <w:rFonts w:hint="eastAsia" w:ascii="宋体" w:hAnsi="宋体" w:eastAsia="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14:paraId="7E5B645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noWrap w:val="0"/>
            <w:vAlign w:val="center"/>
          </w:tcPr>
          <w:p w14:paraId="08B43D4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500≤Y＜20000</w:t>
            </w:r>
          </w:p>
        </w:tc>
        <w:tc>
          <w:tcPr>
            <w:tcW w:w="1677" w:type="dxa"/>
            <w:tcBorders>
              <w:top w:val="nil"/>
              <w:left w:val="nil"/>
              <w:bottom w:val="single" w:color="auto" w:sz="4" w:space="0"/>
              <w:right w:val="single" w:color="auto" w:sz="8" w:space="0"/>
            </w:tcBorders>
            <w:noWrap w:val="0"/>
            <w:vAlign w:val="center"/>
          </w:tcPr>
          <w:p w14:paraId="5C4D98D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161098A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noWrap w:val="0"/>
            <w:vAlign w:val="center"/>
          </w:tcPr>
          <w:p w14:paraId="4CD7701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50≤Y＜500</w:t>
            </w:r>
          </w:p>
        </w:tc>
        <w:tc>
          <w:tcPr>
            <w:tcW w:w="1536" w:type="dxa"/>
            <w:tcBorders>
              <w:top w:val="nil"/>
              <w:left w:val="nil"/>
              <w:bottom w:val="single" w:color="auto" w:sz="4" w:space="0"/>
              <w:right w:val="single" w:color="auto" w:sz="8" w:space="0"/>
            </w:tcBorders>
            <w:noWrap w:val="0"/>
            <w:vAlign w:val="center"/>
          </w:tcPr>
          <w:p w14:paraId="76EBA01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00F23AD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noWrap w:val="0"/>
            <w:vAlign w:val="center"/>
          </w:tcPr>
          <w:p w14:paraId="369D7FE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Y＜50</w:t>
            </w:r>
          </w:p>
        </w:tc>
        <w:tc>
          <w:tcPr>
            <w:tcW w:w="1234" w:type="dxa"/>
            <w:tcBorders>
              <w:top w:val="nil"/>
              <w:left w:val="nil"/>
              <w:bottom w:val="single" w:color="auto" w:sz="4" w:space="0"/>
              <w:right w:val="single" w:color="auto" w:sz="8" w:space="0"/>
            </w:tcBorders>
            <w:noWrap w:val="0"/>
            <w:vAlign w:val="center"/>
          </w:tcPr>
          <w:p w14:paraId="693A0CC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51CF923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7CDA0A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2</w:t>
            </w:r>
            <w:r>
              <w:rPr>
                <w:rFonts w:hint="eastAsia" w:ascii="宋体" w:hAnsi="宋体" w:cs="宋体"/>
                <w:kern w:val="0"/>
                <w:sz w:val="20"/>
                <w:lang w:eastAsia="zh-CN"/>
              </w:rPr>
              <w:t>.</w:t>
            </w:r>
            <w:r>
              <w:rPr>
                <w:rFonts w:hint="eastAsia" w:ascii="宋体" w:hAnsi="宋体" w:eastAsia="宋体" w:cs="宋体"/>
                <w:kern w:val="0"/>
                <w:sz w:val="20"/>
              </w:rPr>
              <w:t>工业</w:t>
            </w:r>
          </w:p>
        </w:tc>
        <w:tc>
          <w:tcPr>
            <w:tcW w:w="1512" w:type="dxa"/>
            <w:tcBorders>
              <w:top w:val="nil"/>
              <w:left w:val="nil"/>
              <w:bottom w:val="single" w:color="auto" w:sz="4" w:space="0"/>
              <w:right w:val="single" w:color="auto" w:sz="4" w:space="0"/>
            </w:tcBorders>
            <w:noWrap w:val="0"/>
            <w:vAlign w:val="center"/>
          </w:tcPr>
          <w:p w14:paraId="37B126D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300≤X＜1000</w:t>
            </w:r>
          </w:p>
        </w:tc>
        <w:tc>
          <w:tcPr>
            <w:tcW w:w="1779" w:type="dxa"/>
            <w:tcBorders>
              <w:top w:val="nil"/>
              <w:left w:val="nil"/>
              <w:bottom w:val="single" w:color="auto" w:sz="4" w:space="0"/>
              <w:right w:val="single" w:color="auto" w:sz="4" w:space="0"/>
            </w:tcBorders>
            <w:noWrap w:val="0"/>
            <w:vAlign w:val="center"/>
          </w:tcPr>
          <w:p w14:paraId="7404F8A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2000≤Y＜40000</w:t>
            </w:r>
          </w:p>
        </w:tc>
        <w:tc>
          <w:tcPr>
            <w:tcW w:w="1677" w:type="dxa"/>
            <w:tcBorders>
              <w:top w:val="nil"/>
              <w:left w:val="nil"/>
              <w:bottom w:val="single" w:color="auto" w:sz="4" w:space="0"/>
              <w:right w:val="single" w:color="auto" w:sz="8" w:space="0"/>
            </w:tcBorders>
            <w:noWrap w:val="0"/>
            <w:vAlign w:val="center"/>
          </w:tcPr>
          <w:p w14:paraId="6E81285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324C1F7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20≤X＜300</w:t>
            </w:r>
          </w:p>
        </w:tc>
        <w:tc>
          <w:tcPr>
            <w:tcW w:w="1494" w:type="dxa"/>
            <w:tcBorders>
              <w:top w:val="nil"/>
              <w:left w:val="nil"/>
              <w:bottom w:val="single" w:color="auto" w:sz="4" w:space="0"/>
              <w:right w:val="single" w:color="auto" w:sz="4" w:space="0"/>
            </w:tcBorders>
            <w:noWrap w:val="0"/>
            <w:vAlign w:val="center"/>
          </w:tcPr>
          <w:p w14:paraId="165B78B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300≤Y＜2000</w:t>
            </w:r>
          </w:p>
        </w:tc>
        <w:tc>
          <w:tcPr>
            <w:tcW w:w="1536" w:type="dxa"/>
            <w:tcBorders>
              <w:top w:val="nil"/>
              <w:left w:val="nil"/>
              <w:bottom w:val="single" w:color="auto" w:sz="4" w:space="0"/>
              <w:right w:val="single" w:color="auto" w:sz="8" w:space="0"/>
            </w:tcBorders>
            <w:noWrap w:val="0"/>
            <w:vAlign w:val="center"/>
          </w:tcPr>
          <w:p w14:paraId="4C41A44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497E6BD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X＜20</w:t>
            </w:r>
          </w:p>
        </w:tc>
        <w:tc>
          <w:tcPr>
            <w:tcW w:w="1287" w:type="dxa"/>
            <w:tcBorders>
              <w:top w:val="nil"/>
              <w:left w:val="nil"/>
              <w:bottom w:val="single" w:color="auto" w:sz="4" w:space="0"/>
              <w:right w:val="single" w:color="auto" w:sz="4" w:space="0"/>
            </w:tcBorders>
            <w:noWrap w:val="0"/>
            <w:vAlign w:val="center"/>
          </w:tcPr>
          <w:p w14:paraId="422F3E1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Y＜300</w:t>
            </w:r>
          </w:p>
        </w:tc>
        <w:tc>
          <w:tcPr>
            <w:tcW w:w="1234" w:type="dxa"/>
            <w:tcBorders>
              <w:top w:val="nil"/>
              <w:left w:val="nil"/>
              <w:bottom w:val="single" w:color="auto" w:sz="4" w:space="0"/>
              <w:right w:val="single" w:color="auto" w:sz="8" w:space="0"/>
            </w:tcBorders>
            <w:noWrap w:val="0"/>
            <w:vAlign w:val="center"/>
          </w:tcPr>
          <w:p w14:paraId="735FF9E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047AFAB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210634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3</w:t>
            </w:r>
            <w:r>
              <w:rPr>
                <w:rFonts w:hint="eastAsia" w:ascii="宋体" w:hAnsi="宋体" w:cs="宋体"/>
                <w:kern w:val="0"/>
                <w:sz w:val="20"/>
                <w:lang w:eastAsia="zh-CN"/>
              </w:rPr>
              <w:t>.</w:t>
            </w:r>
            <w:r>
              <w:rPr>
                <w:rFonts w:hint="eastAsia" w:ascii="宋体" w:hAnsi="宋体" w:eastAsia="宋体" w:cs="宋体"/>
                <w:kern w:val="0"/>
                <w:sz w:val="20"/>
              </w:rPr>
              <w:t>建筑业</w:t>
            </w:r>
          </w:p>
        </w:tc>
        <w:tc>
          <w:tcPr>
            <w:tcW w:w="1512" w:type="dxa"/>
            <w:tcBorders>
              <w:top w:val="nil"/>
              <w:left w:val="nil"/>
              <w:bottom w:val="single" w:color="auto" w:sz="4" w:space="0"/>
              <w:right w:val="single" w:color="auto" w:sz="4" w:space="0"/>
            </w:tcBorders>
            <w:noWrap w:val="0"/>
            <w:vAlign w:val="center"/>
          </w:tcPr>
          <w:p w14:paraId="2CCDA0C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noWrap w:val="0"/>
            <w:vAlign w:val="center"/>
          </w:tcPr>
          <w:p w14:paraId="43EA48F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9400≤Y＜80000</w:t>
            </w:r>
          </w:p>
        </w:tc>
        <w:tc>
          <w:tcPr>
            <w:tcW w:w="1677" w:type="dxa"/>
            <w:tcBorders>
              <w:top w:val="nil"/>
              <w:left w:val="nil"/>
              <w:bottom w:val="single" w:color="auto" w:sz="4" w:space="0"/>
              <w:right w:val="single" w:color="auto" w:sz="8" w:space="0"/>
            </w:tcBorders>
            <w:noWrap w:val="0"/>
            <w:vAlign w:val="center"/>
          </w:tcPr>
          <w:p w14:paraId="2AD96DA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5000≤Z＜80000</w:t>
            </w:r>
          </w:p>
        </w:tc>
        <w:tc>
          <w:tcPr>
            <w:tcW w:w="1252" w:type="dxa"/>
            <w:tcBorders>
              <w:top w:val="nil"/>
              <w:left w:val="nil"/>
              <w:bottom w:val="single" w:color="auto" w:sz="4" w:space="0"/>
              <w:right w:val="single" w:color="auto" w:sz="4" w:space="0"/>
            </w:tcBorders>
            <w:noWrap w:val="0"/>
            <w:vAlign w:val="center"/>
          </w:tcPr>
          <w:p w14:paraId="696D90A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noWrap w:val="0"/>
            <w:vAlign w:val="center"/>
          </w:tcPr>
          <w:p w14:paraId="65FF87F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300≤Y＜9400</w:t>
            </w:r>
          </w:p>
        </w:tc>
        <w:tc>
          <w:tcPr>
            <w:tcW w:w="1536" w:type="dxa"/>
            <w:tcBorders>
              <w:top w:val="nil"/>
              <w:left w:val="nil"/>
              <w:bottom w:val="single" w:color="auto" w:sz="4" w:space="0"/>
              <w:right w:val="single" w:color="auto" w:sz="8" w:space="0"/>
            </w:tcBorders>
            <w:noWrap w:val="0"/>
            <w:vAlign w:val="center"/>
          </w:tcPr>
          <w:p w14:paraId="08C9C4E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300≤Z＜5000</w:t>
            </w:r>
          </w:p>
        </w:tc>
        <w:tc>
          <w:tcPr>
            <w:tcW w:w="1297" w:type="dxa"/>
            <w:tcBorders>
              <w:top w:val="nil"/>
              <w:left w:val="nil"/>
              <w:bottom w:val="single" w:color="auto" w:sz="4" w:space="0"/>
              <w:right w:val="single" w:color="auto" w:sz="4" w:space="0"/>
            </w:tcBorders>
            <w:noWrap w:val="0"/>
            <w:vAlign w:val="center"/>
          </w:tcPr>
          <w:p w14:paraId="4B692B5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noWrap w:val="0"/>
            <w:vAlign w:val="center"/>
          </w:tcPr>
          <w:p w14:paraId="324EE98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Y＜300</w:t>
            </w:r>
          </w:p>
        </w:tc>
        <w:tc>
          <w:tcPr>
            <w:tcW w:w="1234" w:type="dxa"/>
            <w:tcBorders>
              <w:top w:val="nil"/>
              <w:left w:val="nil"/>
              <w:bottom w:val="single" w:color="auto" w:sz="4" w:space="0"/>
              <w:right w:val="single" w:color="auto" w:sz="8" w:space="0"/>
            </w:tcBorders>
            <w:noWrap w:val="0"/>
            <w:vAlign w:val="center"/>
          </w:tcPr>
          <w:p w14:paraId="1AC7C26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Z＜300</w:t>
            </w:r>
          </w:p>
        </w:tc>
      </w:tr>
      <w:tr w14:paraId="2472C3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19E4960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4</w:t>
            </w:r>
            <w:r>
              <w:rPr>
                <w:rFonts w:hint="eastAsia" w:ascii="宋体" w:hAnsi="宋体" w:cs="宋体"/>
                <w:kern w:val="0"/>
                <w:sz w:val="20"/>
                <w:lang w:eastAsia="zh-CN"/>
              </w:rPr>
              <w:t>.</w:t>
            </w:r>
            <w:r>
              <w:rPr>
                <w:rFonts w:hint="eastAsia" w:ascii="宋体" w:hAnsi="宋体" w:eastAsia="宋体" w:cs="宋体"/>
                <w:kern w:val="0"/>
                <w:sz w:val="20"/>
              </w:rPr>
              <w:t>批发业</w:t>
            </w:r>
          </w:p>
        </w:tc>
        <w:tc>
          <w:tcPr>
            <w:tcW w:w="1512" w:type="dxa"/>
            <w:tcBorders>
              <w:top w:val="nil"/>
              <w:left w:val="nil"/>
              <w:bottom w:val="single" w:color="auto" w:sz="4" w:space="0"/>
              <w:right w:val="single" w:color="auto" w:sz="4" w:space="0"/>
            </w:tcBorders>
            <w:noWrap w:val="0"/>
            <w:vAlign w:val="center"/>
          </w:tcPr>
          <w:p w14:paraId="1E3E341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20≤X＜200</w:t>
            </w:r>
          </w:p>
        </w:tc>
        <w:tc>
          <w:tcPr>
            <w:tcW w:w="1779" w:type="dxa"/>
            <w:tcBorders>
              <w:top w:val="nil"/>
              <w:left w:val="nil"/>
              <w:bottom w:val="single" w:color="auto" w:sz="4" w:space="0"/>
              <w:right w:val="single" w:color="auto" w:sz="4" w:space="0"/>
            </w:tcBorders>
            <w:noWrap w:val="0"/>
            <w:vAlign w:val="center"/>
          </w:tcPr>
          <w:p w14:paraId="19D1C45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5000≤Y＜40000</w:t>
            </w:r>
          </w:p>
        </w:tc>
        <w:tc>
          <w:tcPr>
            <w:tcW w:w="1677" w:type="dxa"/>
            <w:tcBorders>
              <w:top w:val="nil"/>
              <w:left w:val="nil"/>
              <w:bottom w:val="single" w:color="auto" w:sz="4" w:space="0"/>
              <w:right w:val="single" w:color="auto" w:sz="8" w:space="0"/>
            </w:tcBorders>
            <w:noWrap w:val="0"/>
            <w:vAlign w:val="center"/>
          </w:tcPr>
          <w:p w14:paraId="1138727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556D4F6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5≤X＜20</w:t>
            </w:r>
          </w:p>
        </w:tc>
        <w:tc>
          <w:tcPr>
            <w:tcW w:w="1494" w:type="dxa"/>
            <w:tcBorders>
              <w:top w:val="nil"/>
              <w:left w:val="nil"/>
              <w:bottom w:val="single" w:color="auto" w:sz="4" w:space="0"/>
              <w:right w:val="single" w:color="auto" w:sz="4" w:space="0"/>
            </w:tcBorders>
            <w:noWrap w:val="0"/>
            <w:vAlign w:val="center"/>
          </w:tcPr>
          <w:p w14:paraId="2243BBC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1000≤Y＜5000</w:t>
            </w:r>
          </w:p>
        </w:tc>
        <w:tc>
          <w:tcPr>
            <w:tcW w:w="1536" w:type="dxa"/>
            <w:tcBorders>
              <w:top w:val="nil"/>
              <w:left w:val="nil"/>
              <w:bottom w:val="single" w:color="auto" w:sz="4" w:space="0"/>
              <w:right w:val="single" w:color="auto" w:sz="8" w:space="0"/>
            </w:tcBorders>
            <w:noWrap w:val="0"/>
            <w:vAlign w:val="center"/>
          </w:tcPr>
          <w:p w14:paraId="691607D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5E19680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X＜5</w:t>
            </w:r>
          </w:p>
        </w:tc>
        <w:tc>
          <w:tcPr>
            <w:tcW w:w="1287" w:type="dxa"/>
            <w:tcBorders>
              <w:top w:val="nil"/>
              <w:left w:val="nil"/>
              <w:bottom w:val="single" w:color="auto" w:sz="4" w:space="0"/>
              <w:right w:val="single" w:color="auto" w:sz="4" w:space="0"/>
            </w:tcBorders>
            <w:noWrap w:val="0"/>
            <w:vAlign w:val="center"/>
          </w:tcPr>
          <w:p w14:paraId="3288890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Y＜1000</w:t>
            </w:r>
          </w:p>
        </w:tc>
        <w:tc>
          <w:tcPr>
            <w:tcW w:w="1234" w:type="dxa"/>
            <w:tcBorders>
              <w:top w:val="nil"/>
              <w:left w:val="nil"/>
              <w:bottom w:val="single" w:color="auto" w:sz="4" w:space="0"/>
              <w:right w:val="single" w:color="auto" w:sz="8" w:space="0"/>
            </w:tcBorders>
            <w:noWrap w:val="0"/>
            <w:vAlign w:val="center"/>
          </w:tcPr>
          <w:p w14:paraId="5110F02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3AF2F84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6B3A16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5</w:t>
            </w:r>
            <w:r>
              <w:rPr>
                <w:rFonts w:hint="eastAsia" w:ascii="宋体" w:hAnsi="宋体" w:cs="宋体"/>
                <w:kern w:val="0"/>
                <w:sz w:val="20"/>
                <w:lang w:eastAsia="zh-CN"/>
              </w:rPr>
              <w:t>.</w:t>
            </w:r>
            <w:r>
              <w:rPr>
                <w:rFonts w:hint="eastAsia" w:ascii="宋体" w:hAnsi="宋体" w:eastAsia="宋体" w:cs="宋体"/>
                <w:kern w:val="0"/>
                <w:sz w:val="20"/>
              </w:rPr>
              <w:t>零售业</w:t>
            </w:r>
          </w:p>
        </w:tc>
        <w:tc>
          <w:tcPr>
            <w:tcW w:w="1512" w:type="dxa"/>
            <w:tcBorders>
              <w:top w:val="nil"/>
              <w:left w:val="nil"/>
              <w:bottom w:val="single" w:color="auto" w:sz="4" w:space="0"/>
              <w:right w:val="single" w:color="auto" w:sz="4" w:space="0"/>
            </w:tcBorders>
            <w:noWrap w:val="0"/>
            <w:vAlign w:val="center"/>
          </w:tcPr>
          <w:p w14:paraId="56549ED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50≤X＜300</w:t>
            </w:r>
          </w:p>
        </w:tc>
        <w:tc>
          <w:tcPr>
            <w:tcW w:w="1779" w:type="dxa"/>
            <w:tcBorders>
              <w:top w:val="nil"/>
              <w:left w:val="nil"/>
              <w:bottom w:val="single" w:color="auto" w:sz="4" w:space="0"/>
              <w:right w:val="single" w:color="auto" w:sz="4" w:space="0"/>
            </w:tcBorders>
            <w:noWrap w:val="0"/>
            <w:vAlign w:val="center"/>
          </w:tcPr>
          <w:p w14:paraId="4C3C9E7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500≤Y＜20000</w:t>
            </w:r>
          </w:p>
        </w:tc>
        <w:tc>
          <w:tcPr>
            <w:tcW w:w="1677" w:type="dxa"/>
            <w:tcBorders>
              <w:top w:val="nil"/>
              <w:left w:val="nil"/>
              <w:bottom w:val="single" w:color="auto" w:sz="4" w:space="0"/>
              <w:right w:val="single" w:color="auto" w:sz="8" w:space="0"/>
            </w:tcBorders>
            <w:noWrap w:val="0"/>
            <w:vAlign w:val="center"/>
          </w:tcPr>
          <w:p w14:paraId="270AE30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5DF5772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10≤X＜50</w:t>
            </w:r>
          </w:p>
        </w:tc>
        <w:tc>
          <w:tcPr>
            <w:tcW w:w="1494" w:type="dxa"/>
            <w:tcBorders>
              <w:top w:val="nil"/>
              <w:left w:val="nil"/>
              <w:bottom w:val="single" w:color="auto" w:sz="4" w:space="0"/>
              <w:right w:val="single" w:color="auto" w:sz="4" w:space="0"/>
            </w:tcBorders>
            <w:noWrap w:val="0"/>
            <w:vAlign w:val="center"/>
          </w:tcPr>
          <w:p w14:paraId="1EBB174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100≤Y＜500</w:t>
            </w:r>
          </w:p>
        </w:tc>
        <w:tc>
          <w:tcPr>
            <w:tcW w:w="1536" w:type="dxa"/>
            <w:tcBorders>
              <w:top w:val="nil"/>
              <w:left w:val="nil"/>
              <w:bottom w:val="single" w:color="auto" w:sz="4" w:space="0"/>
              <w:right w:val="single" w:color="auto" w:sz="8" w:space="0"/>
            </w:tcBorders>
            <w:noWrap w:val="0"/>
            <w:vAlign w:val="center"/>
          </w:tcPr>
          <w:p w14:paraId="5E7F7DB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4BE7E3E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noWrap w:val="0"/>
            <w:vAlign w:val="center"/>
          </w:tcPr>
          <w:p w14:paraId="5BAFBA5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noWrap w:val="0"/>
            <w:vAlign w:val="center"/>
          </w:tcPr>
          <w:p w14:paraId="4E35024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4B0DD74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6ED2EE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6</w:t>
            </w:r>
            <w:r>
              <w:rPr>
                <w:rFonts w:hint="eastAsia" w:ascii="宋体" w:hAnsi="宋体" w:cs="宋体"/>
                <w:kern w:val="0"/>
                <w:sz w:val="20"/>
                <w:lang w:eastAsia="zh-CN"/>
              </w:rPr>
              <w:t>.</w:t>
            </w:r>
            <w:r>
              <w:rPr>
                <w:rFonts w:hint="eastAsia" w:ascii="宋体" w:hAnsi="宋体" w:eastAsia="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14:paraId="621451F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300≤X＜1000</w:t>
            </w:r>
          </w:p>
        </w:tc>
        <w:tc>
          <w:tcPr>
            <w:tcW w:w="1779" w:type="dxa"/>
            <w:tcBorders>
              <w:top w:val="nil"/>
              <w:left w:val="nil"/>
              <w:bottom w:val="single" w:color="auto" w:sz="4" w:space="0"/>
              <w:right w:val="single" w:color="auto" w:sz="4" w:space="0"/>
            </w:tcBorders>
            <w:noWrap w:val="0"/>
            <w:vAlign w:val="center"/>
          </w:tcPr>
          <w:p w14:paraId="490E44D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3000≤Y＜30000</w:t>
            </w:r>
          </w:p>
        </w:tc>
        <w:tc>
          <w:tcPr>
            <w:tcW w:w="1677" w:type="dxa"/>
            <w:tcBorders>
              <w:top w:val="nil"/>
              <w:left w:val="nil"/>
              <w:bottom w:val="single" w:color="auto" w:sz="4" w:space="0"/>
              <w:right w:val="single" w:color="auto" w:sz="8" w:space="0"/>
            </w:tcBorders>
            <w:noWrap w:val="0"/>
            <w:vAlign w:val="center"/>
          </w:tcPr>
          <w:p w14:paraId="05A2929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1417C41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20≤X＜300</w:t>
            </w:r>
          </w:p>
        </w:tc>
        <w:tc>
          <w:tcPr>
            <w:tcW w:w="1494" w:type="dxa"/>
            <w:tcBorders>
              <w:top w:val="nil"/>
              <w:left w:val="nil"/>
              <w:bottom w:val="single" w:color="auto" w:sz="4" w:space="0"/>
              <w:right w:val="single" w:color="auto" w:sz="4" w:space="0"/>
            </w:tcBorders>
            <w:noWrap w:val="0"/>
            <w:vAlign w:val="center"/>
          </w:tcPr>
          <w:p w14:paraId="033BD7D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200≤Y＜3000</w:t>
            </w:r>
          </w:p>
        </w:tc>
        <w:tc>
          <w:tcPr>
            <w:tcW w:w="1536" w:type="dxa"/>
            <w:tcBorders>
              <w:top w:val="nil"/>
              <w:left w:val="nil"/>
              <w:bottom w:val="single" w:color="auto" w:sz="4" w:space="0"/>
              <w:right w:val="single" w:color="auto" w:sz="8" w:space="0"/>
            </w:tcBorders>
            <w:noWrap w:val="0"/>
            <w:vAlign w:val="center"/>
          </w:tcPr>
          <w:p w14:paraId="42771B1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361BCC8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X＜20</w:t>
            </w:r>
          </w:p>
        </w:tc>
        <w:tc>
          <w:tcPr>
            <w:tcW w:w="1287" w:type="dxa"/>
            <w:tcBorders>
              <w:top w:val="nil"/>
              <w:left w:val="nil"/>
              <w:bottom w:val="single" w:color="auto" w:sz="4" w:space="0"/>
              <w:right w:val="single" w:color="auto" w:sz="4" w:space="0"/>
            </w:tcBorders>
            <w:noWrap w:val="0"/>
            <w:vAlign w:val="center"/>
          </w:tcPr>
          <w:p w14:paraId="2AA0133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V＜200</w:t>
            </w:r>
          </w:p>
        </w:tc>
        <w:tc>
          <w:tcPr>
            <w:tcW w:w="1234" w:type="dxa"/>
            <w:tcBorders>
              <w:top w:val="nil"/>
              <w:left w:val="nil"/>
              <w:bottom w:val="single" w:color="auto" w:sz="4" w:space="0"/>
              <w:right w:val="single" w:color="auto" w:sz="8" w:space="0"/>
            </w:tcBorders>
            <w:noWrap w:val="0"/>
            <w:vAlign w:val="center"/>
          </w:tcPr>
          <w:p w14:paraId="11E1F88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3C5A394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5F7745D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7</w:t>
            </w:r>
            <w:r>
              <w:rPr>
                <w:rFonts w:hint="eastAsia" w:ascii="宋体" w:hAnsi="宋体" w:cs="宋体"/>
                <w:kern w:val="0"/>
                <w:sz w:val="20"/>
                <w:lang w:eastAsia="zh-CN"/>
              </w:rPr>
              <w:t>.</w:t>
            </w:r>
            <w:r>
              <w:rPr>
                <w:rFonts w:hint="eastAsia" w:ascii="宋体" w:hAnsi="宋体" w:eastAsia="宋体" w:cs="宋体"/>
                <w:kern w:val="0"/>
                <w:sz w:val="20"/>
              </w:rPr>
              <w:t>仓储业</w:t>
            </w:r>
          </w:p>
        </w:tc>
        <w:tc>
          <w:tcPr>
            <w:tcW w:w="1512" w:type="dxa"/>
            <w:tcBorders>
              <w:top w:val="nil"/>
              <w:left w:val="nil"/>
              <w:bottom w:val="single" w:color="auto" w:sz="4" w:space="0"/>
              <w:right w:val="single" w:color="auto" w:sz="4" w:space="0"/>
            </w:tcBorders>
            <w:noWrap w:val="0"/>
            <w:vAlign w:val="center"/>
          </w:tcPr>
          <w:p w14:paraId="4A979A6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100≤X＜200</w:t>
            </w:r>
          </w:p>
        </w:tc>
        <w:tc>
          <w:tcPr>
            <w:tcW w:w="1779" w:type="dxa"/>
            <w:tcBorders>
              <w:top w:val="nil"/>
              <w:left w:val="nil"/>
              <w:bottom w:val="single" w:color="auto" w:sz="4" w:space="0"/>
              <w:right w:val="single" w:color="auto" w:sz="4" w:space="0"/>
            </w:tcBorders>
            <w:noWrap w:val="0"/>
            <w:vAlign w:val="center"/>
          </w:tcPr>
          <w:p w14:paraId="7DB36D7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1000≤Y＜30000</w:t>
            </w:r>
          </w:p>
        </w:tc>
        <w:tc>
          <w:tcPr>
            <w:tcW w:w="1677" w:type="dxa"/>
            <w:tcBorders>
              <w:top w:val="nil"/>
              <w:left w:val="nil"/>
              <w:bottom w:val="single" w:color="auto" w:sz="4" w:space="0"/>
              <w:right w:val="single" w:color="auto" w:sz="8" w:space="0"/>
            </w:tcBorders>
            <w:noWrap w:val="0"/>
            <w:vAlign w:val="center"/>
          </w:tcPr>
          <w:p w14:paraId="3315629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7D19B83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20≤X＜100</w:t>
            </w:r>
          </w:p>
        </w:tc>
        <w:tc>
          <w:tcPr>
            <w:tcW w:w="1494" w:type="dxa"/>
            <w:tcBorders>
              <w:top w:val="nil"/>
              <w:left w:val="nil"/>
              <w:bottom w:val="single" w:color="auto" w:sz="4" w:space="0"/>
              <w:right w:val="single" w:color="auto" w:sz="4" w:space="0"/>
            </w:tcBorders>
            <w:noWrap w:val="0"/>
            <w:vAlign w:val="center"/>
          </w:tcPr>
          <w:p w14:paraId="3F5D247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100≤Y＜1000</w:t>
            </w:r>
          </w:p>
        </w:tc>
        <w:tc>
          <w:tcPr>
            <w:tcW w:w="1536" w:type="dxa"/>
            <w:tcBorders>
              <w:top w:val="nil"/>
              <w:left w:val="nil"/>
              <w:bottom w:val="single" w:color="auto" w:sz="4" w:space="0"/>
              <w:right w:val="single" w:color="auto" w:sz="8" w:space="0"/>
            </w:tcBorders>
            <w:noWrap w:val="0"/>
            <w:vAlign w:val="center"/>
          </w:tcPr>
          <w:p w14:paraId="2EF4224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02A5B73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X＜20</w:t>
            </w:r>
          </w:p>
        </w:tc>
        <w:tc>
          <w:tcPr>
            <w:tcW w:w="1287" w:type="dxa"/>
            <w:tcBorders>
              <w:top w:val="nil"/>
              <w:left w:val="nil"/>
              <w:bottom w:val="single" w:color="auto" w:sz="4" w:space="0"/>
              <w:right w:val="single" w:color="auto" w:sz="4" w:space="0"/>
            </w:tcBorders>
            <w:noWrap w:val="0"/>
            <w:vAlign w:val="center"/>
          </w:tcPr>
          <w:p w14:paraId="756D3D4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noWrap w:val="0"/>
            <w:vAlign w:val="center"/>
          </w:tcPr>
          <w:p w14:paraId="2994B1B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4CB3CF1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00FF4F1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8</w:t>
            </w:r>
            <w:r>
              <w:rPr>
                <w:rFonts w:hint="eastAsia" w:ascii="宋体" w:hAnsi="宋体" w:cs="宋体"/>
                <w:kern w:val="0"/>
                <w:sz w:val="20"/>
                <w:lang w:eastAsia="zh-CN"/>
              </w:rPr>
              <w:t>.</w:t>
            </w:r>
            <w:r>
              <w:rPr>
                <w:rFonts w:hint="eastAsia" w:ascii="宋体" w:hAnsi="宋体" w:eastAsia="宋体" w:cs="宋体"/>
                <w:kern w:val="0"/>
                <w:sz w:val="20"/>
              </w:rPr>
              <w:t>邮政业</w:t>
            </w:r>
          </w:p>
        </w:tc>
        <w:tc>
          <w:tcPr>
            <w:tcW w:w="1512" w:type="dxa"/>
            <w:tcBorders>
              <w:top w:val="nil"/>
              <w:left w:val="nil"/>
              <w:bottom w:val="single" w:color="auto" w:sz="4" w:space="0"/>
              <w:right w:val="single" w:color="auto" w:sz="4" w:space="0"/>
            </w:tcBorders>
            <w:noWrap w:val="0"/>
            <w:vAlign w:val="center"/>
          </w:tcPr>
          <w:p w14:paraId="501293A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300≤X＜1000</w:t>
            </w:r>
          </w:p>
        </w:tc>
        <w:tc>
          <w:tcPr>
            <w:tcW w:w="1779" w:type="dxa"/>
            <w:tcBorders>
              <w:top w:val="nil"/>
              <w:left w:val="nil"/>
              <w:bottom w:val="single" w:color="auto" w:sz="4" w:space="0"/>
              <w:right w:val="single" w:color="auto" w:sz="4" w:space="0"/>
            </w:tcBorders>
            <w:noWrap w:val="0"/>
            <w:vAlign w:val="center"/>
          </w:tcPr>
          <w:p w14:paraId="7CFFB07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2000≤Y＜30000</w:t>
            </w:r>
          </w:p>
        </w:tc>
        <w:tc>
          <w:tcPr>
            <w:tcW w:w="1677" w:type="dxa"/>
            <w:tcBorders>
              <w:top w:val="nil"/>
              <w:left w:val="nil"/>
              <w:bottom w:val="single" w:color="auto" w:sz="4" w:space="0"/>
              <w:right w:val="single" w:color="auto" w:sz="8" w:space="0"/>
            </w:tcBorders>
            <w:noWrap w:val="0"/>
            <w:vAlign w:val="center"/>
          </w:tcPr>
          <w:p w14:paraId="089560D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6CFC8B0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20≤X＜300</w:t>
            </w:r>
          </w:p>
        </w:tc>
        <w:tc>
          <w:tcPr>
            <w:tcW w:w="1494" w:type="dxa"/>
            <w:tcBorders>
              <w:top w:val="nil"/>
              <w:left w:val="nil"/>
              <w:bottom w:val="single" w:color="auto" w:sz="4" w:space="0"/>
              <w:right w:val="single" w:color="auto" w:sz="4" w:space="0"/>
            </w:tcBorders>
            <w:noWrap w:val="0"/>
            <w:vAlign w:val="center"/>
          </w:tcPr>
          <w:p w14:paraId="1BA07B6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100≤Y＜2000</w:t>
            </w:r>
          </w:p>
        </w:tc>
        <w:tc>
          <w:tcPr>
            <w:tcW w:w="1536" w:type="dxa"/>
            <w:tcBorders>
              <w:top w:val="nil"/>
              <w:left w:val="nil"/>
              <w:bottom w:val="single" w:color="auto" w:sz="4" w:space="0"/>
              <w:right w:val="single" w:color="auto" w:sz="8" w:space="0"/>
            </w:tcBorders>
            <w:noWrap w:val="0"/>
            <w:vAlign w:val="center"/>
          </w:tcPr>
          <w:p w14:paraId="2D3E493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17FA173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X＜20</w:t>
            </w:r>
          </w:p>
        </w:tc>
        <w:tc>
          <w:tcPr>
            <w:tcW w:w="1287" w:type="dxa"/>
            <w:tcBorders>
              <w:top w:val="nil"/>
              <w:left w:val="nil"/>
              <w:bottom w:val="single" w:color="auto" w:sz="4" w:space="0"/>
              <w:right w:val="single" w:color="auto" w:sz="4" w:space="0"/>
            </w:tcBorders>
            <w:noWrap w:val="0"/>
            <w:vAlign w:val="center"/>
          </w:tcPr>
          <w:p w14:paraId="538144D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noWrap w:val="0"/>
            <w:vAlign w:val="center"/>
          </w:tcPr>
          <w:p w14:paraId="2432841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73D37FF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68960CE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9</w:t>
            </w:r>
            <w:r>
              <w:rPr>
                <w:rFonts w:hint="eastAsia" w:ascii="宋体" w:hAnsi="宋体" w:cs="宋体"/>
                <w:kern w:val="0"/>
                <w:sz w:val="20"/>
                <w:lang w:eastAsia="zh-CN"/>
              </w:rPr>
              <w:t>.</w:t>
            </w:r>
            <w:r>
              <w:rPr>
                <w:rFonts w:hint="eastAsia" w:ascii="宋体" w:hAnsi="宋体" w:eastAsia="宋体" w:cs="宋体"/>
                <w:kern w:val="0"/>
                <w:sz w:val="20"/>
              </w:rPr>
              <w:t>住宿业</w:t>
            </w:r>
          </w:p>
        </w:tc>
        <w:tc>
          <w:tcPr>
            <w:tcW w:w="1512" w:type="dxa"/>
            <w:tcBorders>
              <w:top w:val="nil"/>
              <w:left w:val="nil"/>
              <w:bottom w:val="single" w:color="auto" w:sz="4" w:space="0"/>
              <w:right w:val="single" w:color="auto" w:sz="4" w:space="0"/>
            </w:tcBorders>
            <w:noWrap w:val="0"/>
            <w:vAlign w:val="center"/>
          </w:tcPr>
          <w:p w14:paraId="272A8A0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4" w:space="0"/>
              <w:right w:val="single" w:color="auto" w:sz="4" w:space="0"/>
            </w:tcBorders>
            <w:noWrap w:val="0"/>
            <w:vAlign w:val="center"/>
          </w:tcPr>
          <w:p w14:paraId="283FEED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2000≤Y＜10000</w:t>
            </w:r>
          </w:p>
        </w:tc>
        <w:tc>
          <w:tcPr>
            <w:tcW w:w="1677" w:type="dxa"/>
            <w:tcBorders>
              <w:top w:val="nil"/>
              <w:left w:val="nil"/>
              <w:bottom w:val="single" w:color="auto" w:sz="4" w:space="0"/>
              <w:right w:val="single" w:color="auto" w:sz="8" w:space="0"/>
            </w:tcBorders>
            <w:noWrap w:val="0"/>
            <w:vAlign w:val="center"/>
          </w:tcPr>
          <w:p w14:paraId="35ABEB8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1C63FED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noWrap w:val="0"/>
            <w:vAlign w:val="center"/>
          </w:tcPr>
          <w:p w14:paraId="7B6260D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100≤Y＜2000</w:t>
            </w:r>
          </w:p>
        </w:tc>
        <w:tc>
          <w:tcPr>
            <w:tcW w:w="1536" w:type="dxa"/>
            <w:tcBorders>
              <w:top w:val="nil"/>
              <w:left w:val="nil"/>
              <w:bottom w:val="single" w:color="auto" w:sz="4" w:space="0"/>
              <w:right w:val="single" w:color="auto" w:sz="8" w:space="0"/>
            </w:tcBorders>
            <w:noWrap w:val="0"/>
            <w:vAlign w:val="center"/>
          </w:tcPr>
          <w:p w14:paraId="66758C5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41A7610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noWrap w:val="0"/>
            <w:vAlign w:val="center"/>
          </w:tcPr>
          <w:p w14:paraId="18EEF85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noWrap w:val="0"/>
            <w:vAlign w:val="center"/>
          </w:tcPr>
          <w:p w14:paraId="2137B1F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6632CD6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683F362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10</w:t>
            </w:r>
            <w:r>
              <w:rPr>
                <w:rFonts w:hint="eastAsia" w:ascii="宋体" w:hAnsi="宋体" w:cs="宋体"/>
                <w:kern w:val="0"/>
                <w:sz w:val="20"/>
                <w:lang w:eastAsia="zh-CN"/>
              </w:rPr>
              <w:t>.</w:t>
            </w:r>
            <w:r>
              <w:rPr>
                <w:rFonts w:hint="eastAsia" w:ascii="宋体" w:hAnsi="宋体" w:eastAsia="宋体" w:cs="宋体"/>
                <w:kern w:val="0"/>
                <w:sz w:val="20"/>
              </w:rPr>
              <w:t>餐饮业</w:t>
            </w:r>
          </w:p>
        </w:tc>
        <w:tc>
          <w:tcPr>
            <w:tcW w:w="1512" w:type="dxa"/>
            <w:tcBorders>
              <w:top w:val="nil"/>
              <w:left w:val="nil"/>
              <w:bottom w:val="single" w:color="auto" w:sz="4" w:space="0"/>
              <w:right w:val="single" w:color="auto" w:sz="4" w:space="0"/>
            </w:tcBorders>
            <w:noWrap w:val="0"/>
            <w:vAlign w:val="center"/>
          </w:tcPr>
          <w:p w14:paraId="75C9D25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4" w:space="0"/>
              <w:right w:val="single" w:color="auto" w:sz="4" w:space="0"/>
            </w:tcBorders>
            <w:noWrap w:val="0"/>
            <w:vAlign w:val="center"/>
          </w:tcPr>
          <w:p w14:paraId="6968418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2000≤Y＜10000</w:t>
            </w:r>
          </w:p>
        </w:tc>
        <w:tc>
          <w:tcPr>
            <w:tcW w:w="1677" w:type="dxa"/>
            <w:tcBorders>
              <w:top w:val="nil"/>
              <w:left w:val="nil"/>
              <w:bottom w:val="single" w:color="auto" w:sz="4" w:space="0"/>
              <w:right w:val="single" w:color="auto" w:sz="8" w:space="0"/>
            </w:tcBorders>
            <w:noWrap w:val="0"/>
            <w:vAlign w:val="center"/>
          </w:tcPr>
          <w:p w14:paraId="49A8C3E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08CE08A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noWrap w:val="0"/>
            <w:vAlign w:val="center"/>
          </w:tcPr>
          <w:p w14:paraId="64D2B25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100≤Y＜2000</w:t>
            </w:r>
          </w:p>
        </w:tc>
        <w:tc>
          <w:tcPr>
            <w:tcW w:w="1536" w:type="dxa"/>
            <w:tcBorders>
              <w:top w:val="nil"/>
              <w:left w:val="nil"/>
              <w:bottom w:val="single" w:color="auto" w:sz="4" w:space="0"/>
              <w:right w:val="single" w:color="auto" w:sz="8" w:space="0"/>
            </w:tcBorders>
            <w:noWrap w:val="0"/>
            <w:vAlign w:val="center"/>
          </w:tcPr>
          <w:p w14:paraId="4C9C94B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44B571D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noWrap w:val="0"/>
            <w:vAlign w:val="center"/>
          </w:tcPr>
          <w:p w14:paraId="086BD6F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V＜100</w:t>
            </w:r>
          </w:p>
        </w:tc>
        <w:tc>
          <w:tcPr>
            <w:tcW w:w="1234" w:type="dxa"/>
            <w:tcBorders>
              <w:top w:val="nil"/>
              <w:left w:val="nil"/>
              <w:bottom w:val="single" w:color="auto" w:sz="4" w:space="0"/>
              <w:right w:val="single" w:color="auto" w:sz="8" w:space="0"/>
            </w:tcBorders>
            <w:noWrap w:val="0"/>
            <w:vAlign w:val="center"/>
          </w:tcPr>
          <w:p w14:paraId="453BECE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0051159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2CBBD0F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11</w:t>
            </w:r>
            <w:r>
              <w:rPr>
                <w:rFonts w:hint="eastAsia" w:ascii="宋体" w:hAnsi="宋体" w:cs="宋体"/>
                <w:kern w:val="0"/>
                <w:sz w:val="20"/>
                <w:lang w:eastAsia="zh-CN"/>
              </w:rPr>
              <w:t>.</w:t>
            </w:r>
            <w:r>
              <w:rPr>
                <w:rFonts w:hint="eastAsia" w:ascii="宋体" w:hAnsi="宋体" w:eastAsia="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14:paraId="02ED0BB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100≤X＜2000</w:t>
            </w:r>
          </w:p>
        </w:tc>
        <w:tc>
          <w:tcPr>
            <w:tcW w:w="1779" w:type="dxa"/>
            <w:tcBorders>
              <w:top w:val="nil"/>
              <w:left w:val="nil"/>
              <w:bottom w:val="single" w:color="auto" w:sz="4" w:space="0"/>
              <w:right w:val="single" w:color="auto" w:sz="4" w:space="0"/>
            </w:tcBorders>
            <w:noWrap w:val="0"/>
            <w:vAlign w:val="center"/>
          </w:tcPr>
          <w:p w14:paraId="65063EB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1000≤Y＜100000</w:t>
            </w:r>
          </w:p>
        </w:tc>
        <w:tc>
          <w:tcPr>
            <w:tcW w:w="1677" w:type="dxa"/>
            <w:tcBorders>
              <w:top w:val="nil"/>
              <w:left w:val="nil"/>
              <w:bottom w:val="single" w:color="auto" w:sz="4" w:space="0"/>
              <w:right w:val="single" w:color="auto" w:sz="8" w:space="0"/>
            </w:tcBorders>
            <w:noWrap w:val="0"/>
            <w:vAlign w:val="center"/>
          </w:tcPr>
          <w:p w14:paraId="101233B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6786063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noWrap w:val="0"/>
            <w:vAlign w:val="center"/>
          </w:tcPr>
          <w:p w14:paraId="50EFBD0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100≤Y＜1000</w:t>
            </w:r>
          </w:p>
        </w:tc>
        <w:tc>
          <w:tcPr>
            <w:tcW w:w="1536" w:type="dxa"/>
            <w:tcBorders>
              <w:top w:val="nil"/>
              <w:left w:val="nil"/>
              <w:bottom w:val="single" w:color="auto" w:sz="4" w:space="0"/>
              <w:right w:val="single" w:color="auto" w:sz="8" w:space="0"/>
            </w:tcBorders>
            <w:noWrap w:val="0"/>
            <w:vAlign w:val="center"/>
          </w:tcPr>
          <w:p w14:paraId="311C2F1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6150398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noWrap w:val="0"/>
            <w:vAlign w:val="center"/>
          </w:tcPr>
          <w:p w14:paraId="7CCAA91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noWrap w:val="0"/>
            <w:vAlign w:val="center"/>
          </w:tcPr>
          <w:p w14:paraId="0F1186D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56B2287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1E04ED4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12</w:t>
            </w:r>
            <w:r>
              <w:rPr>
                <w:rFonts w:hint="eastAsia" w:ascii="宋体" w:hAnsi="宋体" w:cs="宋体"/>
                <w:kern w:val="0"/>
                <w:sz w:val="20"/>
                <w:lang w:eastAsia="zh-CN"/>
              </w:rPr>
              <w:t>.</w:t>
            </w:r>
            <w:r>
              <w:rPr>
                <w:rFonts w:hint="eastAsia" w:ascii="宋体" w:hAnsi="宋体" w:eastAsia="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14:paraId="63FB704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4" w:space="0"/>
              <w:right w:val="single" w:color="auto" w:sz="4" w:space="0"/>
            </w:tcBorders>
            <w:noWrap w:val="0"/>
            <w:vAlign w:val="center"/>
          </w:tcPr>
          <w:p w14:paraId="0F0E121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1000≤Y＜10000</w:t>
            </w:r>
          </w:p>
        </w:tc>
        <w:tc>
          <w:tcPr>
            <w:tcW w:w="1677" w:type="dxa"/>
            <w:tcBorders>
              <w:top w:val="nil"/>
              <w:left w:val="nil"/>
              <w:bottom w:val="single" w:color="auto" w:sz="4" w:space="0"/>
              <w:right w:val="single" w:color="auto" w:sz="8" w:space="0"/>
            </w:tcBorders>
            <w:noWrap w:val="0"/>
            <w:vAlign w:val="center"/>
          </w:tcPr>
          <w:p w14:paraId="500E509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62F77F8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noWrap w:val="0"/>
            <w:vAlign w:val="center"/>
          </w:tcPr>
          <w:p w14:paraId="2889531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50≤Y＜1000</w:t>
            </w:r>
          </w:p>
        </w:tc>
        <w:tc>
          <w:tcPr>
            <w:tcW w:w="1536" w:type="dxa"/>
            <w:tcBorders>
              <w:top w:val="nil"/>
              <w:left w:val="nil"/>
              <w:bottom w:val="single" w:color="auto" w:sz="4" w:space="0"/>
              <w:right w:val="single" w:color="auto" w:sz="8" w:space="0"/>
            </w:tcBorders>
            <w:noWrap w:val="0"/>
            <w:vAlign w:val="center"/>
          </w:tcPr>
          <w:p w14:paraId="7542872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174EFBA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noWrap w:val="0"/>
            <w:vAlign w:val="center"/>
          </w:tcPr>
          <w:p w14:paraId="41CDA81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Y＜50</w:t>
            </w:r>
          </w:p>
        </w:tc>
        <w:tc>
          <w:tcPr>
            <w:tcW w:w="1234" w:type="dxa"/>
            <w:tcBorders>
              <w:top w:val="nil"/>
              <w:left w:val="nil"/>
              <w:bottom w:val="single" w:color="auto" w:sz="4" w:space="0"/>
              <w:right w:val="single" w:color="auto" w:sz="8" w:space="0"/>
            </w:tcBorders>
            <w:noWrap w:val="0"/>
            <w:vAlign w:val="center"/>
          </w:tcPr>
          <w:p w14:paraId="6927FAB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14DC0B4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02F284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13</w:t>
            </w:r>
            <w:r>
              <w:rPr>
                <w:rFonts w:hint="eastAsia" w:ascii="宋体" w:hAnsi="宋体" w:cs="宋体"/>
                <w:kern w:val="0"/>
                <w:sz w:val="20"/>
                <w:lang w:eastAsia="zh-CN"/>
              </w:rPr>
              <w:t>.</w:t>
            </w:r>
            <w:r>
              <w:rPr>
                <w:rFonts w:hint="eastAsia" w:ascii="宋体" w:hAnsi="宋体" w:eastAsia="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14:paraId="71A3CDD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779" w:type="dxa"/>
            <w:tcBorders>
              <w:top w:val="nil"/>
              <w:left w:val="nil"/>
              <w:bottom w:val="single" w:color="auto" w:sz="4" w:space="0"/>
              <w:right w:val="single" w:color="auto" w:sz="4" w:space="0"/>
            </w:tcBorders>
            <w:noWrap w:val="0"/>
            <w:vAlign w:val="center"/>
          </w:tcPr>
          <w:p w14:paraId="363EF4D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1000≤Y＜200000</w:t>
            </w:r>
          </w:p>
        </w:tc>
        <w:tc>
          <w:tcPr>
            <w:tcW w:w="1677" w:type="dxa"/>
            <w:tcBorders>
              <w:top w:val="nil"/>
              <w:left w:val="nil"/>
              <w:bottom w:val="single" w:color="auto" w:sz="4" w:space="0"/>
              <w:right w:val="single" w:color="auto" w:sz="8" w:space="0"/>
            </w:tcBorders>
            <w:noWrap w:val="0"/>
            <w:vAlign w:val="center"/>
          </w:tcPr>
          <w:p w14:paraId="6C14EFC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5000≤Z＜10000</w:t>
            </w:r>
          </w:p>
        </w:tc>
        <w:tc>
          <w:tcPr>
            <w:tcW w:w="1252" w:type="dxa"/>
            <w:tcBorders>
              <w:top w:val="nil"/>
              <w:left w:val="nil"/>
              <w:bottom w:val="single" w:color="auto" w:sz="4" w:space="0"/>
              <w:right w:val="single" w:color="auto" w:sz="4" w:space="0"/>
            </w:tcBorders>
            <w:noWrap w:val="0"/>
            <w:vAlign w:val="center"/>
          </w:tcPr>
          <w:p w14:paraId="1938F4F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494" w:type="dxa"/>
            <w:tcBorders>
              <w:top w:val="nil"/>
              <w:left w:val="nil"/>
              <w:bottom w:val="single" w:color="auto" w:sz="4" w:space="0"/>
              <w:right w:val="single" w:color="auto" w:sz="4" w:space="0"/>
            </w:tcBorders>
            <w:noWrap w:val="0"/>
            <w:vAlign w:val="center"/>
          </w:tcPr>
          <w:p w14:paraId="03925FF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100≤Y＜1000</w:t>
            </w:r>
          </w:p>
        </w:tc>
        <w:tc>
          <w:tcPr>
            <w:tcW w:w="1536" w:type="dxa"/>
            <w:tcBorders>
              <w:top w:val="nil"/>
              <w:left w:val="nil"/>
              <w:bottom w:val="single" w:color="auto" w:sz="4" w:space="0"/>
              <w:right w:val="single" w:color="auto" w:sz="8" w:space="0"/>
            </w:tcBorders>
            <w:noWrap w:val="0"/>
            <w:vAlign w:val="center"/>
          </w:tcPr>
          <w:p w14:paraId="4AE57FA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2000≤Z＜5000</w:t>
            </w:r>
          </w:p>
        </w:tc>
        <w:tc>
          <w:tcPr>
            <w:tcW w:w="1297" w:type="dxa"/>
            <w:tcBorders>
              <w:top w:val="nil"/>
              <w:left w:val="nil"/>
              <w:bottom w:val="single" w:color="auto" w:sz="4" w:space="0"/>
              <w:right w:val="single" w:color="auto" w:sz="4" w:space="0"/>
            </w:tcBorders>
            <w:noWrap w:val="0"/>
            <w:vAlign w:val="center"/>
          </w:tcPr>
          <w:p w14:paraId="2C473FA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87" w:type="dxa"/>
            <w:tcBorders>
              <w:top w:val="nil"/>
              <w:left w:val="nil"/>
              <w:bottom w:val="single" w:color="auto" w:sz="4" w:space="0"/>
              <w:right w:val="single" w:color="auto" w:sz="4" w:space="0"/>
            </w:tcBorders>
            <w:noWrap w:val="0"/>
            <w:vAlign w:val="center"/>
          </w:tcPr>
          <w:p w14:paraId="0455CAD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Y＜100</w:t>
            </w:r>
          </w:p>
        </w:tc>
        <w:tc>
          <w:tcPr>
            <w:tcW w:w="1234" w:type="dxa"/>
            <w:tcBorders>
              <w:top w:val="nil"/>
              <w:left w:val="nil"/>
              <w:bottom w:val="single" w:color="auto" w:sz="4" w:space="0"/>
              <w:right w:val="single" w:color="auto" w:sz="8" w:space="0"/>
            </w:tcBorders>
            <w:noWrap w:val="0"/>
            <w:vAlign w:val="center"/>
          </w:tcPr>
          <w:p w14:paraId="7F78CAE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Z＜2000</w:t>
            </w:r>
          </w:p>
        </w:tc>
      </w:tr>
      <w:tr w14:paraId="68B3F18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221568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14</w:t>
            </w:r>
            <w:r>
              <w:rPr>
                <w:rFonts w:hint="eastAsia" w:ascii="宋体" w:hAnsi="宋体" w:cs="宋体"/>
                <w:kern w:val="0"/>
                <w:sz w:val="20"/>
                <w:lang w:eastAsia="zh-CN"/>
              </w:rPr>
              <w:t>.</w:t>
            </w:r>
            <w:r>
              <w:rPr>
                <w:rFonts w:hint="eastAsia" w:ascii="宋体" w:hAnsi="宋体" w:eastAsia="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14:paraId="4E5AA84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300≤X＜1000</w:t>
            </w:r>
          </w:p>
        </w:tc>
        <w:tc>
          <w:tcPr>
            <w:tcW w:w="1779" w:type="dxa"/>
            <w:tcBorders>
              <w:top w:val="nil"/>
              <w:left w:val="nil"/>
              <w:bottom w:val="single" w:color="auto" w:sz="4" w:space="0"/>
              <w:right w:val="single" w:color="auto" w:sz="4" w:space="0"/>
            </w:tcBorders>
            <w:noWrap w:val="0"/>
            <w:vAlign w:val="center"/>
          </w:tcPr>
          <w:p w14:paraId="592D36E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1000≤Y＜5000</w:t>
            </w:r>
          </w:p>
        </w:tc>
        <w:tc>
          <w:tcPr>
            <w:tcW w:w="1677" w:type="dxa"/>
            <w:tcBorders>
              <w:top w:val="nil"/>
              <w:left w:val="nil"/>
              <w:bottom w:val="single" w:color="auto" w:sz="4" w:space="0"/>
              <w:right w:val="single" w:color="auto" w:sz="8" w:space="0"/>
            </w:tcBorders>
            <w:noWrap w:val="0"/>
            <w:vAlign w:val="center"/>
          </w:tcPr>
          <w:p w14:paraId="6A05BF5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4" w:space="0"/>
              <w:right w:val="single" w:color="auto" w:sz="4" w:space="0"/>
            </w:tcBorders>
            <w:noWrap w:val="0"/>
            <w:vAlign w:val="center"/>
          </w:tcPr>
          <w:p w14:paraId="30480FF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100≤X＜300</w:t>
            </w:r>
          </w:p>
        </w:tc>
        <w:tc>
          <w:tcPr>
            <w:tcW w:w="1494" w:type="dxa"/>
            <w:tcBorders>
              <w:top w:val="nil"/>
              <w:left w:val="nil"/>
              <w:bottom w:val="single" w:color="auto" w:sz="4" w:space="0"/>
              <w:right w:val="single" w:color="auto" w:sz="4" w:space="0"/>
            </w:tcBorders>
            <w:noWrap w:val="0"/>
            <w:vAlign w:val="center"/>
          </w:tcPr>
          <w:p w14:paraId="122688E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500≤Y＜1000</w:t>
            </w:r>
          </w:p>
        </w:tc>
        <w:tc>
          <w:tcPr>
            <w:tcW w:w="1536" w:type="dxa"/>
            <w:tcBorders>
              <w:top w:val="nil"/>
              <w:left w:val="nil"/>
              <w:bottom w:val="single" w:color="auto" w:sz="4" w:space="0"/>
              <w:right w:val="single" w:color="auto" w:sz="8" w:space="0"/>
            </w:tcBorders>
            <w:noWrap w:val="0"/>
            <w:vAlign w:val="center"/>
          </w:tcPr>
          <w:p w14:paraId="11D0F1F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4" w:space="0"/>
              <w:right w:val="single" w:color="auto" w:sz="4" w:space="0"/>
            </w:tcBorders>
            <w:noWrap w:val="0"/>
            <w:vAlign w:val="center"/>
          </w:tcPr>
          <w:p w14:paraId="7BEFCB4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X＜100</w:t>
            </w:r>
          </w:p>
        </w:tc>
        <w:tc>
          <w:tcPr>
            <w:tcW w:w="1287" w:type="dxa"/>
            <w:tcBorders>
              <w:top w:val="nil"/>
              <w:left w:val="nil"/>
              <w:bottom w:val="single" w:color="auto" w:sz="4" w:space="0"/>
              <w:right w:val="single" w:color="auto" w:sz="4" w:space="0"/>
            </w:tcBorders>
            <w:noWrap w:val="0"/>
            <w:vAlign w:val="center"/>
          </w:tcPr>
          <w:p w14:paraId="2CFF7F9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Y＜500</w:t>
            </w:r>
          </w:p>
        </w:tc>
        <w:tc>
          <w:tcPr>
            <w:tcW w:w="1234" w:type="dxa"/>
            <w:tcBorders>
              <w:top w:val="nil"/>
              <w:left w:val="nil"/>
              <w:bottom w:val="single" w:color="auto" w:sz="4" w:space="0"/>
              <w:right w:val="single" w:color="auto" w:sz="8" w:space="0"/>
            </w:tcBorders>
            <w:noWrap w:val="0"/>
            <w:vAlign w:val="center"/>
          </w:tcPr>
          <w:p w14:paraId="3A03CDF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78FB5A8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center"/>
          </w:tcPr>
          <w:p w14:paraId="7BF211E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15</w:t>
            </w:r>
            <w:r>
              <w:rPr>
                <w:rFonts w:hint="eastAsia" w:ascii="宋体" w:hAnsi="宋体" w:cs="宋体"/>
                <w:kern w:val="0"/>
                <w:sz w:val="20"/>
                <w:lang w:eastAsia="zh-CN"/>
              </w:rPr>
              <w:t>.</w:t>
            </w:r>
            <w:r>
              <w:rPr>
                <w:rFonts w:hint="eastAsia" w:ascii="宋体" w:hAnsi="宋体" w:eastAsia="宋体" w:cs="宋体"/>
                <w:kern w:val="0"/>
                <w:sz w:val="20"/>
              </w:rPr>
              <w:t>租赁和商务服务业</w:t>
            </w:r>
          </w:p>
        </w:tc>
        <w:tc>
          <w:tcPr>
            <w:tcW w:w="1512" w:type="dxa"/>
            <w:tcBorders>
              <w:top w:val="nil"/>
              <w:left w:val="nil"/>
              <w:bottom w:val="single" w:color="auto" w:sz="4" w:space="0"/>
              <w:right w:val="single" w:color="auto" w:sz="4" w:space="0"/>
            </w:tcBorders>
            <w:noWrap w:val="0"/>
            <w:vAlign w:val="center"/>
          </w:tcPr>
          <w:p w14:paraId="1E45A0C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4" w:space="0"/>
              <w:right w:val="single" w:color="auto" w:sz="4" w:space="0"/>
            </w:tcBorders>
            <w:noWrap w:val="0"/>
            <w:vAlign w:val="center"/>
          </w:tcPr>
          <w:p w14:paraId="458B041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p>
        </w:tc>
        <w:tc>
          <w:tcPr>
            <w:tcW w:w="1677" w:type="dxa"/>
            <w:tcBorders>
              <w:top w:val="nil"/>
              <w:left w:val="nil"/>
              <w:bottom w:val="single" w:color="auto" w:sz="4" w:space="0"/>
              <w:right w:val="single" w:color="auto" w:sz="8" w:space="0"/>
            </w:tcBorders>
            <w:noWrap w:val="0"/>
            <w:vAlign w:val="center"/>
          </w:tcPr>
          <w:p w14:paraId="645C55C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8000≤Z＜120000</w:t>
            </w:r>
          </w:p>
        </w:tc>
        <w:tc>
          <w:tcPr>
            <w:tcW w:w="1252" w:type="dxa"/>
            <w:tcBorders>
              <w:top w:val="nil"/>
              <w:left w:val="nil"/>
              <w:bottom w:val="single" w:color="auto" w:sz="4" w:space="0"/>
              <w:right w:val="single" w:color="auto" w:sz="4" w:space="0"/>
            </w:tcBorders>
            <w:noWrap w:val="0"/>
            <w:vAlign w:val="center"/>
          </w:tcPr>
          <w:p w14:paraId="6A26DB4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4" w:space="0"/>
              <w:right w:val="single" w:color="auto" w:sz="4" w:space="0"/>
            </w:tcBorders>
            <w:noWrap w:val="0"/>
            <w:vAlign w:val="center"/>
          </w:tcPr>
          <w:p w14:paraId="5251D21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536" w:type="dxa"/>
            <w:tcBorders>
              <w:top w:val="nil"/>
              <w:left w:val="nil"/>
              <w:bottom w:val="single" w:color="auto" w:sz="4" w:space="0"/>
              <w:right w:val="single" w:color="auto" w:sz="8" w:space="0"/>
            </w:tcBorders>
            <w:noWrap w:val="0"/>
            <w:vAlign w:val="center"/>
          </w:tcPr>
          <w:p w14:paraId="54C0ACA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100≤Z＜8000</w:t>
            </w:r>
          </w:p>
        </w:tc>
        <w:tc>
          <w:tcPr>
            <w:tcW w:w="1297" w:type="dxa"/>
            <w:tcBorders>
              <w:top w:val="nil"/>
              <w:left w:val="nil"/>
              <w:bottom w:val="single" w:color="auto" w:sz="4" w:space="0"/>
              <w:right w:val="single" w:color="auto" w:sz="4" w:space="0"/>
            </w:tcBorders>
            <w:noWrap w:val="0"/>
            <w:vAlign w:val="center"/>
          </w:tcPr>
          <w:p w14:paraId="479FE37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4" w:space="0"/>
              <w:right w:val="single" w:color="auto" w:sz="4" w:space="0"/>
            </w:tcBorders>
            <w:noWrap w:val="0"/>
            <w:vAlign w:val="center"/>
          </w:tcPr>
          <w:p w14:paraId="7FB4C27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34" w:type="dxa"/>
            <w:tcBorders>
              <w:top w:val="nil"/>
              <w:left w:val="nil"/>
              <w:bottom w:val="single" w:color="auto" w:sz="4" w:space="0"/>
              <w:right w:val="single" w:color="auto" w:sz="8" w:space="0"/>
            </w:tcBorders>
            <w:noWrap w:val="0"/>
            <w:vAlign w:val="center"/>
          </w:tcPr>
          <w:p w14:paraId="0442E30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Z＜100</w:t>
            </w:r>
          </w:p>
        </w:tc>
      </w:tr>
      <w:tr w14:paraId="09BE666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center"/>
          </w:tcPr>
          <w:p w14:paraId="5E53394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 w:val="20"/>
              </w:rPr>
            </w:pPr>
            <w:r>
              <w:rPr>
                <w:rFonts w:hint="eastAsia" w:ascii="宋体" w:hAnsi="宋体" w:eastAsia="宋体" w:cs="宋体"/>
                <w:kern w:val="0"/>
                <w:sz w:val="20"/>
              </w:rPr>
              <w:t>16</w:t>
            </w:r>
            <w:r>
              <w:rPr>
                <w:rFonts w:hint="eastAsia" w:ascii="宋体" w:hAnsi="宋体" w:cs="宋体"/>
                <w:kern w:val="0"/>
                <w:sz w:val="20"/>
                <w:lang w:eastAsia="zh-CN"/>
              </w:rPr>
              <w:t>.</w:t>
            </w:r>
            <w:r>
              <w:rPr>
                <w:rFonts w:hint="eastAsia" w:ascii="宋体" w:hAnsi="宋体" w:eastAsia="宋体" w:cs="宋体"/>
                <w:kern w:val="0"/>
                <w:sz w:val="20"/>
              </w:rPr>
              <w:t>其他未列明行业</w:t>
            </w:r>
          </w:p>
        </w:tc>
        <w:tc>
          <w:tcPr>
            <w:tcW w:w="1512" w:type="dxa"/>
            <w:tcBorders>
              <w:top w:val="nil"/>
              <w:left w:val="nil"/>
              <w:bottom w:val="single" w:color="auto" w:sz="8" w:space="0"/>
              <w:right w:val="single" w:color="auto" w:sz="4" w:space="0"/>
            </w:tcBorders>
            <w:noWrap w:val="0"/>
            <w:vAlign w:val="center"/>
          </w:tcPr>
          <w:p w14:paraId="5665139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100≤X＜300</w:t>
            </w:r>
          </w:p>
        </w:tc>
        <w:tc>
          <w:tcPr>
            <w:tcW w:w="1779" w:type="dxa"/>
            <w:tcBorders>
              <w:top w:val="nil"/>
              <w:left w:val="nil"/>
              <w:bottom w:val="single" w:color="auto" w:sz="8" w:space="0"/>
              <w:right w:val="single" w:color="auto" w:sz="4" w:space="0"/>
            </w:tcBorders>
            <w:noWrap w:val="0"/>
            <w:vAlign w:val="center"/>
          </w:tcPr>
          <w:p w14:paraId="0EDA93C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677" w:type="dxa"/>
            <w:tcBorders>
              <w:top w:val="nil"/>
              <w:left w:val="nil"/>
              <w:bottom w:val="single" w:color="auto" w:sz="8" w:space="0"/>
              <w:right w:val="single" w:color="auto" w:sz="8" w:space="0"/>
            </w:tcBorders>
            <w:noWrap w:val="0"/>
            <w:vAlign w:val="center"/>
          </w:tcPr>
          <w:p w14:paraId="68E908D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52" w:type="dxa"/>
            <w:tcBorders>
              <w:top w:val="nil"/>
              <w:left w:val="nil"/>
              <w:bottom w:val="single" w:color="auto" w:sz="8" w:space="0"/>
              <w:right w:val="single" w:color="auto" w:sz="4" w:space="0"/>
            </w:tcBorders>
            <w:noWrap w:val="0"/>
            <w:vAlign w:val="center"/>
          </w:tcPr>
          <w:p w14:paraId="73C1307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10≤X＜100</w:t>
            </w:r>
          </w:p>
        </w:tc>
        <w:tc>
          <w:tcPr>
            <w:tcW w:w="1494" w:type="dxa"/>
            <w:tcBorders>
              <w:top w:val="nil"/>
              <w:left w:val="nil"/>
              <w:bottom w:val="single" w:color="auto" w:sz="8" w:space="0"/>
              <w:right w:val="single" w:color="auto" w:sz="4" w:space="0"/>
            </w:tcBorders>
            <w:noWrap w:val="0"/>
            <w:vAlign w:val="center"/>
          </w:tcPr>
          <w:p w14:paraId="52EE503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536" w:type="dxa"/>
            <w:tcBorders>
              <w:top w:val="nil"/>
              <w:left w:val="nil"/>
              <w:bottom w:val="single" w:color="auto" w:sz="8" w:space="0"/>
              <w:right w:val="single" w:color="auto" w:sz="8" w:space="0"/>
            </w:tcBorders>
            <w:noWrap w:val="0"/>
            <w:vAlign w:val="center"/>
          </w:tcPr>
          <w:p w14:paraId="327FF4A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97" w:type="dxa"/>
            <w:tcBorders>
              <w:top w:val="nil"/>
              <w:left w:val="nil"/>
              <w:bottom w:val="single" w:color="auto" w:sz="8" w:space="0"/>
              <w:right w:val="single" w:color="auto" w:sz="4" w:space="0"/>
            </w:tcBorders>
            <w:noWrap w:val="0"/>
            <w:vAlign w:val="center"/>
          </w:tcPr>
          <w:p w14:paraId="7A2F2CB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X＜10</w:t>
            </w:r>
          </w:p>
        </w:tc>
        <w:tc>
          <w:tcPr>
            <w:tcW w:w="1287" w:type="dxa"/>
            <w:tcBorders>
              <w:top w:val="nil"/>
              <w:left w:val="nil"/>
              <w:bottom w:val="single" w:color="auto" w:sz="8" w:space="0"/>
              <w:right w:val="single" w:color="auto" w:sz="4" w:space="0"/>
            </w:tcBorders>
            <w:noWrap w:val="0"/>
            <w:vAlign w:val="center"/>
          </w:tcPr>
          <w:p w14:paraId="1EEF710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c>
          <w:tcPr>
            <w:tcW w:w="1234" w:type="dxa"/>
            <w:tcBorders>
              <w:top w:val="nil"/>
              <w:left w:val="nil"/>
              <w:bottom w:val="single" w:color="auto" w:sz="8" w:space="0"/>
              <w:right w:val="single" w:color="auto" w:sz="8" w:space="0"/>
            </w:tcBorders>
            <w:noWrap w:val="0"/>
            <w:vAlign w:val="center"/>
          </w:tcPr>
          <w:p w14:paraId="376AEFE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kern w:val="0"/>
                <w:sz w:val="20"/>
              </w:rPr>
            </w:pPr>
            <w:r>
              <w:rPr>
                <w:rFonts w:hint="eastAsia" w:ascii="宋体" w:hAnsi="宋体" w:eastAsia="宋体" w:cs="宋体"/>
                <w:kern w:val="0"/>
                <w:sz w:val="20"/>
              </w:rPr>
              <w:t>　</w:t>
            </w:r>
          </w:p>
        </w:tc>
      </w:tr>
      <w:tr w14:paraId="35DF50B0">
        <w:tblPrEx>
          <w:tblCellMar>
            <w:top w:w="0" w:type="dxa"/>
            <w:left w:w="108" w:type="dxa"/>
            <w:bottom w:w="0" w:type="dxa"/>
            <w:right w:w="108" w:type="dxa"/>
          </w:tblCellMar>
        </w:tblPrEx>
        <w:trPr>
          <w:trHeight w:val="454" w:hRule="atLeast"/>
        </w:trPr>
        <w:tc>
          <w:tcPr>
            <w:tcW w:w="15077" w:type="dxa"/>
            <w:gridSpan w:val="11"/>
            <w:tcBorders>
              <w:top w:val="nil"/>
              <w:left w:val="nil"/>
              <w:bottom w:val="nil"/>
              <w:right w:val="nil"/>
            </w:tcBorders>
            <w:noWrap w:val="0"/>
            <w:vAlign w:val="bottom"/>
          </w:tcPr>
          <w:p w14:paraId="2441BF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rPr>
            </w:pPr>
            <w:r>
              <w:rPr>
                <w:rFonts w:hint="eastAsia" w:ascii="宋体" w:hAnsi="宋体" w:eastAsia="宋体" w:cs="宋体"/>
                <w:kern w:val="0"/>
                <w:sz w:val="20"/>
              </w:rPr>
              <w:t>说明　1</w:t>
            </w:r>
            <w:r>
              <w:rPr>
                <w:rFonts w:hint="eastAsia" w:ascii="宋体" w:hAnsi="宋体" w:cs="宋体"/>
                <w:kern w:val="0"/>
                <w:sz w:val="20"/>
                <w:lang w:val="en-US" w:eastAsia="zh-CN"/>
              </w:rPr>
              <w:t>.</w:t>
            </w:r>
            <w:r>
              <w:rPr>
                <w:rFonts w:hint="eastAsia" w:ascii="宋体" w:hAnsi="宋体" w:eastAsia="宋体" w:cs="宋体"/>
                <w:kern w:val="0"/>
                <w:sz w:val="20"/>
              </w:rPr>
              <w:t>企业类型的划分以统计部门的统计数据为依据。</w:t>
            </w:r>
          </w:p>
          <w:p w14:paraId="5E248521">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宋体" w:hAnsi="宋体" w:eastAsia="宋体" w:cs="宋体"/>
                <w:kern w:val="0"/>
                <w:sz w:val="20"/>
              </w:rPr>
            </w:pPr>
            <w:r>
              <w:rPr>
                <w:rFonts w:hint="eastAsia" w:ascii="宋体" w:hAnsi="宋体" w:eastAsia="宋体" w:cs="宋体"/>
                <w:kern w:val="0"/>
                <w:sz w:val="20"/>
              </w:rPr>
              <w:t>2</w:t>
            </w:r>
            <w:r>
              <w:rPr>
                <w:rFonts w:hint="eastAsia" w:ascii="宋体" w:hAnsi="宋体" w:cs="宋体"/>
                <w:kern w:val="0"/>
                <w:sz w:val="20"/>
                <w:lang w:val="en-US" w:eastAsia="zh-CN"/>
              </w:rPr>
              <w:t>.</w:t>
            </w:r>
            <w:r>
              <w:rPr>
                <w:rFonts w:hint="eastAsia" w:ascii="宋体" w:hAnsi="宋体" w:eastAsia="宋体" w:cs="宋体"/>
                <w:kern w:val="0"/>
                <w:sz w:val="20"/>
              </w:rPr>
              <w:t>个体工商户和本规定以外的行业，参照本规定进行划型。</w:t>
            </w:r>
          </w:p>
          <w:p w14:paraId="09231FE0">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宋体" w:hAnsi="宋体" w:eastAsia="宋体" w:cs="宋体"/>
                <w:kern w:val="0"/>
                <w:sz w:val="20"/>
              </w:rPr>
            </w:pPr>
            <w:r>
              <w:rPr>
                <w:rFonts w:hint="eastAsia" w:ascii="宋体" w:hAnsi="宋体" w:eastAsia="宋体" w:cs="宋体"/>
                <w:kern w:val="0"/>
                <w:sz w:val="20"/>
              </w:rPr>
              <w:t>3</w:t>
            </w:r>
            <w:r>
              <w:rPr>
                <w:rFonts w:hint="eastAsia" w:ascii="宋体" w:hAnsi="宋体" w:cs="宋体"/>
                <w:kern w:val="0"/>
                <w:sz w:val="20"/>
                <w:lang w:val="en-US" w:eastAsia="zh-CN"/>
              </w:rPr>
              <w:t>.</w:t>
            </w:r>
            <w:r>
              <w:rPr>
                <w:rFonts w:hint="eastAsia" w:ascii="宋体" w:hAnsi="宋体" w:eastAsia="宋体" w:cs="宋体"/>
                <w:kern w:val="0"/>
                <w:sz w:val="20"/>
              </w:rPr>
              <w:t>本规定的中型企业标准上限即为大型企业标准的下限。</w:t>
            </w:r>
          </w:p>
        </w:tc>
      </w:tr>
    </w:tbl>
    <w:p w14:paraId="0314DE95">
      <w:pPr>
        <w:rPr>
          <w:rFonts w:hint="eastAsia" w:ascii="宋体" w:hAnsi="宋体" w:eastAsia="宋体" w:cs="宋体"/>
        </w:rPr>
      </w:pPr>
    </w:p>
    <w:sectPr>
      <w:footerReference r:id="rId12" w:type="default"/>
      <w:pgSz w:w="16838" w:h="11906" w:orient="landscape"/>
      <w:pgMar w:top="1474" w:right="1474" w:bottom="1474" w:left="1474" w:header="907"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modern"/>
    <w:pitch w:val="default"/>
    <w:sig w:usb0="00000000" w:usb1="00000000" w:usb2="00000030" w:usb3="00000000" w:csb0="4008009F" w:csb1="DFD70000"/>
  </w:font>
  <w:font w:name="MS P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8CD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969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CE9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ffectLst/>
                    </wps:spPr>
                    <wps:txbx>
                      <w:txbxContent>
                        <w:p w14:paraId="2614FC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dblS0AAAAAUBAAAPAAAAAAAAAAEAIAAAACIAAABkcnMvZG93bnJldi54bWxQ&#10;SwECFAAUAAAACACHTuJAH0c/LP8BAAAFBAAADgAAAAAAAAABACAAAAAfAQAAZHJzL2Uyb0RvYy54&#10;bWxQSwUGAAAAAAYABgBZAQAAkAUAAAAA&#10;">
              <v:fill on="f" focussize="0,0"/>
              <v:stroke on="f"/>
              <v:imagedata o:title=""/>
              <o:lock v:ext="edit" aspectratio="f"/>
              <v:textbox inset="0mm,0mm,0mm,0mm" style="mso-fit-shape-to-text:t;">
                <w:txbxContent>
                  <w:p w14:paraId="2614FC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7FB1">
    <w:pPr>
      <w:pStyle w:val="11"/>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7</w:t>
    </w:r>
    <w:r>
      <w:rPr>
        <w:rFonts w:ascii="宋体" w:hAnsi="宋体"/>
        <w:sz w:val="21"/>
        <w:szCs w:val="21"/>
      </w:rPr>
      <w:fldChar w:fldCharType="end"/>
    </w:r>
    <w:r>
      <w:rPr>
        <w:rFonts w:hint="eastAsia" w:ascii="宋体" w:hAnsi="宋体"/>
        <w:sz w:val="21"/>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CF539">
    <w:pPr>
      <w:pStyle w:val="11"/>
      <w:framePr w:wrap="around" w:vAnchor="text" w:hAnchor="margin" w:xAlign="outside" w:y="1"/>
      <w:rPr>
        <w:rStyle w:val="17"/>
      </w:rPr>
    </w:pPr>
    <w:r>
      <w:fldChar w:fldCharType="begin"/>
    </w:r>
    <w:r>
      <w:rPr>
        <w:rStyle w:val="17"/>
      </w:rPr>
      <w:instrText xml:space="preserve">PAGE  </w:instrText>
    </w:r>
    <w:r>
      <w:fldChar w:fldCharType="end"/>
    </w:r>
  </w:p>
  <w:p w14:paraId="6960C9B9">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F3D7">
    <w:pPr>
      <w:pStyle w:val="11"/>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46</w:t>
    </w:r>
    <w:r>
      <w:rPr>
        <w:rFonts w:ascii="宋体" w:hAnsi="宋体"/>
        <w:sz w:val="21"/>
        <w:szCs w:val="21"/>
      </w:rPr>
      <w:fldChar w:fldCharType="end"/>
    </w:r>
    <w:r>
      <w:rPr>
        <w:rFonts w:hint="eastAsia" w:ascii="宋体" w:hAnsi="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D69F">
    <w:pPr>
      <w:pStyle w:val="12"/>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2"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lang w:val="en-US" w:eastAsia="zh-CN"/>
      </w:rPr>
      <w:t xml:space="preserve">                                     </w:t>
    </w:r>
    <w:r>
      <w:rPr>
        <w:rFonts w:hint="eastAsia" w:ascii="宋体" w:hAnsi="宋体" w:cs="宋体"/>
        <w:b/>
        <w:sz w:val="28"/>
        <w:szCs w:val="28"/>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AF9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8852">
    <w:pPr>
      <w:pStyle w:val="12"/>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3"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lang w:val="en-US" w:eastAsia="zh-CN"/>
      </w:rPr>
      <w:t xml:space="preserve">                                     </w:t>
    </w:r>
    <w:r>
      <w:rPr>
        <w:rFonts w:hint="eastAsia" w:ascii="宋体" w:hAnsi="宋体" w:cs="宋体"/>
        <w:b/>
        <w:sz w:val="28"/>
        <w:szCs w:val="28"/>
        <w:lang w:eastAsia="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15A6">
    <w:pPr>
      <w:pStyle w:val="12"/>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4" name="图片 3"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lang w:val="en-US" w:eastAsia="zh-CN"/>
      </w:rPr>
      <w:t xml:space="preserve">                                     </w:t>
    </w:r>
    <w:r>
      <w:rPr>
        <w:rFonts w:hint="eastAsia" w:ascii="宋体" w:hAnsi="宋体" w:cs="宋体"/>
        <w:b/>
        <w:sz w:val="28"/>
        <w:szCs w:val="28"/>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FF7E"/>
    <w:multiLevelType w:val="singleLevel"/>
    <w:tmpl w:val="59B7FF7E"/>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F2866"/>
    <w:rsid w:val="097338C4"/>
    <w:rsid w:val="0E4610F4"/>
    <w:rsid w:val="15E63867"/>
    <w:rsid w:val="1D1F4CC2"/>
    <w:rsid w:val="21F46E37"/>
    <w:rsid w:val="274719E5"/>
    <w:rsid w:val="2CFF2866"/>
    <w:rsid w:val="2D241E80"/>
    <w:rsid w:val="2E312AA7"/>
    <w:rsid w:val="351021C3"/>
    <w:rsid w:val="35102D9E"/>
    <w:rsid w:val="4457407E"/>
    <w:rsid w:val="44925532"/>
    <w:rsid w:val="47261733"/>
    <w:rsid w:val="498A0EE5"/>
    <w:rsid w:val="4CCE27E9"/>
    <w:rsid w:val="4F4E3061"/>
    <w:rsid w:val="574F75BF"/>
    <w:rsid w:val="5ADA71D9"/>
    <w:rsid w:val="5CBA3AE4"/>
    <w:rsid w:val="5EC073AC"/>
    <w:rsid w:val="5EF62DCD"/>
    <w:rsid w:val="5F096FA4"/>
    <w:rsid w:val="6578453C"/>
    <w:rsid w:val="67EC1211"/>
    <w:rsid w:val="6DB14A8F"/>
    <w:rsid w:val="6F8B7727"/>
    <w:rsid w:val="76676F02"/>
    <w:rsid w:val="7C7927C7"/>
    <w:rsid w:val="E7F6B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line="360" w:lineRule="auto"/>
      <w:jc w:val="center"/>
      <w:outlineLvl w:val="0"/>
    </w:pPr>
    <w:rPr>
      <w:b/>
      <w:bCs/>
      <w:kern w:val="44"/>
      <w:sz w:val="24"/>
      <w:szCs w:val="44"/>
    </w:rPr>
  </w:style>
  <w:style w:type="paragraph" w:styleId="4">
    <w:name w:val="heading 2"/>
    <w:basedOn w:val="1"/>
    <w:next w:val="1"/>
    <w:qFormat/>
    <w:uiPriority w:val="1"/>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Cambria"/>
      <w:b/>
      <w:sz w:val="32"/>
      <w:szCs w:val="32"/>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rFonts w:ascii="Calibri" w:hAnsi="Calibri"/>
      <w:szCs w:val="22"/>
    </w:rPr>
  </w:style>
  <w:style w:type="paragraph" w:styleId="7">
    <w:name w:val="Body Text"/>
    <w:basedOn w:val="1"/>
    <w:next w:val="8"/>
    <w:qFormat/>
    <w:uiPriority w:val="99"/>
    <w:pPr>
      <w:spacing w:after="120"/>
    </w:pPr>
    <w:rPr>
      <w:rFonts w:ascii="Calibri" w:hAnsi="Calibri"/>
      <w:kern w:val="0"/>
      <w:sz w:val="28"/>
    </w:rPr>
  </w:style>
  <w:style w:type="paragraph" w:styleId="8">
    <w:name w:val="Body Text First Indent"/>
    <w:basedOn w:val="7"/>
    <w:next w:val="1"/>
    <w:qFormat/>
    <w:uiPriority w:val="0"/>
    <w:pPr>
      <w:spacing w:after="120"/>
      <w:ind w:firstLine="100" w:firstLineChars="100"/>
    </w:pPr>
    <w:rPr>
      <w:i/>
      <w:kern w:val="2"/>
      <w:sz w:val="24"/>
    </w:rPr>
  </w:style>
  <w:style w:type="paragraph" w:styleId="9">
    <w:name w:val="Body Text Indent"/>
    <w:basedOn w:val="1"/>
    <w:unhideWhenUsed/>
    <w:qFormat/>
    <w:uiPriority w:val="99"/>
    <w:pPr>
      <w:spacing w:after="120"/>
      <w:ind w:left="420" w:leftChars="200"/>
    </w:pPr>
    <w:rPr>
      <w:kern w:val="0"/>
      <w:sz w:val="20"/>
    </w:rPr>
  </w:style>
  <w:style w:type="paragraph" w:styleId="10">
    <w:name w:val="Plain Text"/>
    <w:basedOn w:val="1"/>
    <w:qFormat/>
    <w:uiPriority w:val="99"/>
    <w:pPr>
      <w:spacing w:beforeLines="50" w:afterLines="50" w:line="400" w:lineRule="exact"/>
    </w:pPr>
    <w:rPr>
      <w:rFonts w:ascii="宋体" w:hAnsi="Courier New"/>
      <w:kern w:val="0"/>
      <w:sz w:val="24"/>
    </w:rPr>
  </w:style>
  <w:style w:type="paragraph" w:styleId="11">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39"/>
  </w:style>
  <w:style w:type="paragraph" w:styleId="14">
    <w:name w:val="toc 2"/>
    <w:basedOn w:val="1"/>
    <w:next w:val="1"/>
    <w:unhideWhenUsed/>
    <w:qFormat/>
    <w:uiPriority w:val="39"/>
    <w:pPr>
      <w:ind w:left="420" w:leftChars="200"/>
    </w:p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正文1"/>
    <w:basedOn w:val="1"/>
    <w:qFormat/>
    <w:uiPriority w:val="0"/>
    <w:pPr>
      <w:adjustRightInd w:val="0"/>
      <w:spacing w:line="318" w:lineRule="atLeast"/>
      <w:ind w:left="369" w:firstLine="369"/>
      <w:textAlignment w:val="baseline"/>
    </w:pPr>
    <w:rPr>
      <w:rFonts w:ascii="宋体"/>
      <w:szCs w:val="20"/>
    </w:rPr>
  </w:style>
  <w:style w:type="paragraph" w:customStyle="1" w:styleId="20">
    <w:name w:val="TOC 标题1"/>
    <w:basedOn w:val="3"/>
    <w:next w:val="1"/>
    <w:qFormat/>
    <w:uiPriority w:val="39"/>
    <w:pPr>
      <w:outlineLvl w:val="9"/>
    </w:pPr>
  </w:style>
  <w:style w:type="character" w:customStyle="1" w:styleId="21">
    <w:name w:val="fontstyle01"/>
    <w:qFormat/>
    <w:uiPriority w:val="0"/>
    <w:rPr>
      <w:rFonts w:hint="eastAsia" w:ascii="宋体" w:hAnsi="宋体" w:eastAsia="宋体"/>
      <w:color w:val="000000"/>
      <w:sz w:val="22"/>
      <w:szCs w:val="22"/>
    </w:rPr>
  </w:style>
  <w:style w:type="paragraph" w:customStyle="1" w:styleId="22">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23">
    <w:name w:val="正文段"/>
    <w:basedOn w:val="1"/>
    <w:qFormat/>
    <w:uiPriority w:val="0"/>
    <w:pPr>
      <w:widowControl/>
      <w:snapToGrid w:val="0"/>
      <w:spacing w:afterLines="50"/>
      <w:ind w:firstLine="200" w:firstLineChars="200"/>
    </w:pPr>
    <w:rPr>
      <w:kern w:val="0"/>
      <w:sz w:val="24"/>
      <w:szCs w:val="20"/>
    </w:rPr>
  </w:style>
  <w:style w:type="paragraph" w:customStyle="1" w:styleId="24">
    <w:name w:val="D&amp;L"/>
    <w:basedOn w:val="12"/>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3351</Words>
  <Characters>3786</Characters>
  <Lines>0</Lines>
  <Paragraphs>0</Paragraphs>
  <TotalTime>12</TotalTime>
  <ScaleCrop>false</ScaleCrop>
  <LinksUpToDate>false</LinksUpToDate>
  <CharactersWithSpaces>4008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2025-07-03T18:23:00Z</dcterms:created>
  <dc:creator>uos</dc:creator>
  <cp:lastModifiedBy>admin</cp:lastModifiedBy>
  <dcterms:modified xsi:type="dcterms:W3CDTF">2025-07-11T01:53:26Z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A3EA3D711D234FC58ED3EFE820DCDA99_13</vt:lpwstr>
  </property>
  <property fmtid="{D5CDD505-2E9C-101B-9397-08002B2CF9AE}" pid="4" name="KSOTemplateDocerSaveRecord">
    <vt:lpwstr>eyJoZGlkIjoiNDg2YzdlMjAxYTVlMWZlNWY4NmIzNWY0ODU4N2M3NDEifQ==</vt:lpwstr>
  </property>
</Properties>
</file>