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DEF0A">
      <w:pPr>
        <w:pStyle w:val="46"/>
        <w:spacing w:before="0" w:beforeAutospacing="0" w:after="0" w:afterAutospacing="0" w:line="400" w:lineRule="exact"/>
        <w:ind w:firstLine="420" w:firstLineChars="200"/>
        <w:rPr>
          <w:rFonts w:hAnsi="宋体"/>
          <w:color w:val="auto"/>
          <w:sz w:val="21"/>
          <w:szCs w:val="21"/>
          <w:highlight w:val="none"/>
        </w:rPr>
      </w:pPr>
    </w:p>
    <w:p w14:paraId="01F71E79">
      <w:pPr>
        <w:pStyle w:val="46"/>
        <w:spacing w:before="0" w:beforeAutospacing="0" w:after="0" w:afterAutospacing="0" w:line="400" w:lineRule="exact"/>
        <w:ind w:firstLine="420" w:firstLineChars="200"/>
        <w:rPr>
          <w:rFonts w:hAnsi="宋体"/>
          <w:color w:val="auto"/>
          <w:sz w:val="21"/>
          <w:szCs w:val="21"/>
          <w:highlight w:val="none"/>
        </w:rPr>
      </w:pPr>
    </w:p>
    <w:p w14:paraId="7FF1A663">
      <w:pPr>
        <w:spacing w:after="120" w:line="900" w:lineRule="exact"/>
        <w:jc w:val="center"/>
        <w:rPr>
          <w:rFonts w:hint="eastAsia" w:ascii="宋体" w:hAnsi="宋体" w:eastAsia="宋体" w:cs="宋体"/>
          <w:b/>
          <w:color w:val="auto"/>
          <w:sz w:val="40"/>
          <w:szCs w:val="40"/>
          <w:highlight w:val="none"/>
          <w:lang w:eastAsia="zh-CN"/>
        </w:rPr>
      </w:pPr>
      <w:r>
        <w:rPr>
          <w:rFonts w:hint="eastAsia" w:ascii="宋体" w:hAnsi="宋体" w:cs="宋体"/>
          <w:b/>
          <w:color w:val="auto"/>
          <w:sz w:val="40"/>
          <w:szCs w:val="40"/>
          <w:highlight w:val="none"/>
          <w:lang w:eastAsia="zh-CN"/>
        </w:rPr>
        <w:t>宁波大学校医院信息一体化平台服务项目</w:t>
      </w:r>
    </w:p>
    <w:p w14:paraId="1A2208E8">
      <w:pPr>
        <w:pStyle w:val="46"/>
        <w:spacing w:before="0" w:beforeAutospacing="0" w:after="0" w:afterAutospacing="0" w:line="400" w:lineRule="exact"/>
        <w:ind w:firstLine="420" w:firstLineChars="200"/>
        <w:rPr>
          <w:rFonts w:hAnsi="宋体"/>
          <w:color w:val="auto"/>
          <w:sz w:val="21"/>
          <w:szCs w:val="21"/>
          <w:highlight w:val="none"/>
        </w:rPr>
      </w:pPr>
    </w:p>
    <w:p w14:paraId="5B7ECAAF">
      <w:pPr>
        <w:pStyle w:val="46"/>
        <w:spacing w:before="0" w:beforeAutospacing="0" w:after="0" w:afterAutospacing="0" w:line="400" w:lineRule="exact"/>
        <w:ind w:firstLine="420" w:firstLineChars="200"/>
        <w:rPr>
          <w:rFonts w:hAnsi="宋体"/>
          <w:color w:val="auto"/>
          <w:sz w:val="21"/>
          <w:szCs w:val="21"/>
          <w:highlight w:val="none"/>
        </w:rPr>
      </w:pPr>
    </w:p>
    <w:p w14:paraId="3B509D39">
      <w:pPr>
        <w:spacing w:after="120" w:line="900" w:lineRule="exact"/>
        <w:jc w:val="center"/>
        <w:rPr>
          <w:rFonts w:ascii="宋体" w:hAnsi="宋体" w:cs="宋体"/>
          <w:b/>
          <w:color w:val="auto"/>
          <w:sz w:val="40"/>
          <w:szCs w:val="40"/>
          <w:highlight w:val="none"/>
        </w:rPr>
      </w:pPr>
      <w:r>
        <w:rPr>
          <w:rFonts w:hint="eastAsia" w:ascii="宋体" w:hAnsi="宋体" w:cs="宋体"/>
          <w:b/>
          <w:color w:val="auto"/>
          <w:sz w:val="40"/>
          <w:szCs w:val="40"/>
          <w:highlight w:val="none"/>
        </w:rPr>
        <w:t>政府采购</w:t>
      </w:r>
    </w:p>
    <w:p w14:paraId="58718B5C">
      <w:pPr>
        <w:pStyle w:val="46"/>
        <w:spacing w:before="0" w:beforeAutospacing="0" w:after="0" w:afterAutospacing="0" w:line="400" w:lineRule="exact"/>
        <w:ind w:firstLine="800" w:firstLineChars="200"/>
        <w:rPr>
          <w:rFonts w:hAnsi="宋体"/>
          <w:color w:val="auto"/>
          <w:sz w:val="40"/>
          <w:szCs w:val="40"/>
          <w:highlight w:val="none"/>
        </w:rPr>
      </w:pPr>
    </w:p>
    <w:p w14:paraId="6576411B">
      <w:pPr>
        <w:spacing w:after="120" w:line="800" w:lineRule="exact"/>
        <w:jc w:val="center"/>
        <w:rPr>
          <w:rFonts w:ascii="宋体" w:hAnsi="宋体" w:cs="宋体"/>
          <w:b/>
          <w:color w:val="auto"/>
          <w:sz w:val="40"/>
          <w:szCs w:val="40"/>
          <w:highlight w:val="none"/>
        </w:rPr>
      </w:pPr>
      <w:r>
        <w:rPr>
          <w:rFonts w:hint="eastAsia" w:ascii="宋体" w:hAnsi="宋体" w:cs="宋体"/>
          <w:b/>
          <w:color w:val="auto"/>
          <w:sz w:val="40"/>
          <w:szCs w:val="40"/>
          <w:highlight w:val="none"/>
        </w:rPr>
        <w:t>公</w:t>
      </w:r>
    </w:p>
    <w:p w14:paraId="3DD7891C">
      <w:pPr>
        <w:spacing w:after="120" w:line="800" w:lineRule="exact"/>
        <w:jc w:val="center"/>
        <w:rPr>
          <w:rFonts w:ascii="宋体" w:hAnsi="宋体" w:cs="宋体"/>
          <w:b/>
          <w:color w:val="auto"/>
          <w:sz w:val="40"/>
          <w:szCs w:val="40"/>
          <w:highlight w:val="none"/>
        </w:rPr>
      </w:pPr>
      <w:r>
        <w:rPr>
          <w:rFonts w:hint="eastAsia" w:ascii="宋体" w:hAnsi="宋体" w:cs="宋体"/>
          <w:b/>
          <w:color w:val="auto"/>
          <w:sz w:val="40"/>
          <w:szCs w:val="40"/>
          <w:highlight w:val="none"/>
        </w:rPr>
        <w:t>开</w:t>
      </w:r>
    </w:p>
    <w:p w14:paraId="3472003B">
      <w:pPr>
        <w:spacing w:after="120" w:line="800" w:lineRule="exact"/>
        <w:jc w:val="center"/>
        <w:rPr>
          <w:rFonts w:ascii="宋体" w:hAnsi="宋体" w:cs="宋体"/>
          <w:b/>
          <w:color w:val="auto"/>
          <w:sz w:val="40"/>
          <w:szCs w:val="40"/>
          <w:highlight w:val="none"/>
        </w:rPr>
      </w:pPr>
      <w:r>
        <w:rPr>
          <w:rFonts w:hint="eastAsia" w:ascii="宋体" w:hAnsi="宋体" w:cs="宋体"/>
          <w:b/>
          <w:color w:val="auto"/>
          <w:sz w:val="40"/>
          <w:szCs w:val="40"/>
          <w:highlight w:val="none"/>
        </w:rPr>
        <w:t>招</w:t>
      </w:r>
    </w:p>
    <w:p w14:paraId="37BF3C6A">
      <w:pPr>
        <w:spacing w:after="120" w:line="800" w:lineRule="exact"/>
        <w:jc w:val="center"/>
        <w:rPr>
          <w:rFonts w:ascii="宋体" w:hAnsi="宋体" w:cs="宋体"/>
          <w:b/>
          <w:color w:val="auto"/>
          <w:sz w:val="40"/>
          <w:szCs w:val="40"/>
          <w:highlight w:val="none"/>
        </w:rPr>
      </w:pPr>
      <w:r>
        <w:rPr>
          <w:rFonts w:hint="eastAsia" w:ascii="宋体" w:hAnsi="宋体" w:cs="宋体"/>
          <w:b/>
          <w:color w:val="auto"/>
          <w:sz w:val="40"/>
          <w:szCs w:val="40"/>
          <w:highlight w:val="none"/>
        </w:rPr>
        <w:t>标</w:t>
      </w:r>
    </w:p>
    <w:p w14:paraId="1315BEA7">
      <w:pPr>
        <w:spacing w:after="120" w:line="800" w:lineRule="exact"/>
        <w:jc w:val="center"/>
        <w:rPr>
          <w:rFonts w:ascii="宋体" w:hAnsi="宋体" w:cs="宋体"/>
          <w:b/>
          <w:color w:val="auto"/>
          <w:sz w:val="40"/>
          <w:szCs w:val="40"/>
          <w:highlight w:val="none"/>
        </w:rPr>
      </w:pPr>
      <w:r>
        <w:rPr>
          <w:rFonts w:hint="eastAsia" w:ascii="宋体" w:hAnsi="宋体" w:cs="宋体"/>
          <w:b/>
          <w:color w:val="auto"/>
          <w:sz w:val="40"/>
          <w:szCs w:val="40"/>
          <w:highlight w:val="none"/>
        </w:rPr>
        <w:t>文</w:t>
      </w:r>
    </w:p>
    <w:p w14:paraId="04B4CC70">
      <w:pPr>
        <w:spacing w:after="120" w:line="800" w:lineRule="exact"/>
        <w:jc w:val="center"/>
        <w:rPr>
          <w:rFonts w:ascii="宋体" w:hAnsi="宋体" w:cs="宋体"/>
          <w:b/>
          <w:color w:val="auto"/>
          <w:sz w:val="48"/>
          <w:szCs w:val="48"/>
          <w:highlight w:val="none"/>
        </w:rPr>
      </w:pPr>
      <w:r>
        <w:rPr>
          <w:rFonts w:hint="eastAsia" w:ascii="宋体" w:hAnsi="宋体" w:cs="宋体"/>
          <w:b/>
          <w:color w:val="auto"/>
          <w:sz w:val="40"/>
          <w:szCs w:val="40"/>
          <w:highlight w:val="none"/>
        </w:rPr>
        <w:t>件</w:t>
      </w:r>
    </w:p>
    <w:p w14:paraId="52418664">
      <w:pPr>
        <w:pStyle w:val="46"/>
        <w:spacing w:before="0" w:beforeAutospacing="0" w:after="0" w:afterAutospacing="0" w:line="400" w:lineRule="exact"/>
        <w:ind w:firstLine="420" w:firstLineChars="200"/>
        <w:rPr>
          <w:rFonts w:hAnsi="宋体"/>
          <w:color w:val="auto"/>
          <w:sz w:val="21"/>
          <w:szCs w:val="21"/>
          <w:highlight w:val="none"/>
        </w:rPr>
      </w:pPr>
    </w:p>
    <w:p w14:paraId="3FEFD571">
      <w:pPr>
        <w:spacing w:line="600" w:lineRule="exact"/>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rPr>
        <w:t>项目编号：</w:t>
      </w:r>
      <w:r>
        <w:rPr>
          <w:rFonts w:hint="eastAsia" w:ascii="宋体" w:hAnsi="宋体" w:cs="宋体"/>
          <w:b/>
          <w:color w:val="auto"/>
          <w:sz w:val="28"/>
          <w:szCs w:val="28"/>
          <w:highlight w:val="none"/>
          <w:lang w:eastAsia="zh-CN"/>
        </w:rPr>
        <w:t>NBITC-202530430G</w:t>
      </w:r>
    </w:p>
    <w:p w14:paraId="5FB4F2BD">
      <w:pPr>
        <w:spacing w:line="600" w:lineRule="exact"/>
        <w:ind w:left="1405" w:hanging="1405" w:hangingChars="500"/>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lang w:eastAsia="zh-CN"/>
        </w:rPr>
        <w:t>采</w:t>
      </w:r>
      <w:r>
        <w:rPr>
          <w:rFonts w:hint="eastAsia" w:ascii="宋体" w:hAnsi="宋体" w:cs="宋体"/>
          <w:b/>
          <w:color w:val="auto"/>
          <w:sz w:val="28"/>
          <w:szCs w:val="28"/>
          <w:highlight w:val="none"/>
          <w:lang w:val="en-US" w:eastAsia="zh-CN"/>
        </w:rPr>
        <w:t xml:space="preserve"> </w:t>
      </w:r>
      <w:r>
        <w:rPr>
          <w:rFonts w:hint="eastAsia" w:ascii="宋体" w:hAnsi="宋体" w:cs="宋体"/>
          <w:b/>
          <w:color w:val="auto"/>
          <w:sz w:val="28"/>
          <w:szCs w:val="28"/>
          <w:highlight w:val="none"/>
          <w:lang w:eastAsia="zh-CN"/>
        </w:rPr>
        <w:t>购</w:t>
      </w:r>
      <w:r>
        <w:rPr>
          <w:rFonts w:hint="eastAsia" w:ascii="宋体" w:hAnsi="宋体" w:cs="宋体"/>
          <w:b/>
          <w:color w:val="auto"/>
          <w:sz w:val="28"/>
          <w:szCs w:val="28"/>
          <w:highlight w:val="none"/>
        </w:rPr>
        <w:t xml:space="preserve"> 人：</w:t>
      </w:r>
      <w:r>
        <w:rPr>
          <w:rFonts w:hint="eastAsia" w:ascii="宋体" w:hAnsi="宋体" w:cs="宋体"/>
          <w:b/>
          <w:color w:val="auto"/>
          <w:sz w:val="28"/>
          <w:szCs w:val="28"/>
          <w:highlight w:val="none"/>
          <w:lang w:eastAsia="zh-CN"/>
        </w:rPr>
        <w:t>宁波大学</w:t>
      </w:r>
    </w:p>
    <w:p w14:paraId="240530C2">
      <w:pPr>
        <w:spacing w:line="600" w:lineRule="exact"/>
        <w:rPr>
          <w:rFonts w:ascii="宋体" w:hAnsi="宋体" w:cs="宋体"/>
          <w:b/>
          <w:color w:val="auto"/>
          <w:sz w:val="28"/>
          <w:szCs w:val="28"/>
          <w:highlight w:val="none"/>
        </w:rPr>
      </w:pPr>
      <w:r>
        <w:rPr>
          <w:rFonts w:hint="eastAsia" w:ascii="宋体" w:hAnsi="宋体" w:cs="宋体"/>
          <w:b/>
          <w:color w:val="auto"/>
          <w:sz w:val="28"/>
          <w:szCs w:val="28"/>
          <w:highlight w:val="none"/>
        </w:rPr>
        <w:t>代理机构：宁波市国际招标有限公司</w:t>
      </w:r>
    </w:p>
    <w:p w14:paraId="565EB506">
      <w:pPr>
        <w:spacing w:line="600" w:lineRule="exact"/>
        <w:rPr>
          <w:rFonts w:ascii="宋体" w:hAnsi="宋体" w:cs="宋体"/>
          <w:b/>
          <w:color w:val="auto"/>
          <w:sz w:val="28"/>
          <w:szCs w:val="28"/>
          <w:highlight w:val="none"/>
        </w:rPr>
      </w:pPr>
      <w:r>
        <w:rPr>
          <w:rFonts w:hint="eastAsia" w:ascii="宋体" w:hAnsi="宋体" w:cs="宋体"/>
          <w:b/>
          <w:color w:val="auto"/>
          <w:sz w:val="28"/>
          <w:szCs w:val="28"/>
          <w:highlight w:val="none"/>
        </w:rPr>
        <w:t>编制日期：</w:t>
      </w:r>
      <w:r>
        <w:rPr>
          <w:rFonts w:hint="eastAsia" w:ascii="宋体" w:hAnsi="宋体" w:cs="宋体"/>
          <w:b/>
          <w:color w:val="auto"/>
          <w:sz w:val="28"/>
          <w:szCs w:val="28"/>
          <w:highlight w:val="none"/>
          <w:lang w:val="en-US" w:eastAsia="zh-CN"/>
        </w:rPr>
        <w:t>2025</w:t>
      </w:r>
      <w:r>
        <w:rPr>
          <w:rFonts w:hint="eastAsia" w:ascii="宋体" w:hAnsi="宋体" w:cs="宋体"/>
          <w:b/>
          <w:color w:val="auto"/>
          <w:sz w:val="28"/>
          <w:szCs w:val="28"/>
          <w:highlight w:val="none"/>
        </w:rPr>
        <w:t>年</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月</w:t>
      </w:r>
    </w:p>
    <w:p w14:paraId="2AE46C12">
      <w:pPr>
        <w:spacing w:line="400" w:lineRule="exact"/>
        <w:jc w:val="center"/>
        <w:rPr>
          <w:rFonts w:ascii="宋体" w:hAnsi="宋体" w:cs="宋体"/>
          <w:b/>
          <w:color w:val="auto"/>
          <w:sz w:val="28"/>
          <w:szCs w:val="28"/>
          <w:highlight w:val="none"/>
        </w:rPr>
        <w:sectPr>
          <w:headerReference r:id="rId3" w:type="default"/>
          <w:footerReference r:id="rId4" w:type="default"/>
          <w:footerReference r:id="rId5" w:type="even"/>
          <w:type w:val="nextColumn"/>
          <w:pgSz w:w="11905" w:h="16838"/>
          <w:pgMar w:top="1474" w:right="1474" w:bottom="1474" w:left="1474" w:header="907" w:footer="850" w:gutter="0"/>
          <w:pgBorders>
            <w:top w:val="none" w:sz="0" w:space="0"/>
            <w:left w:val="none" w:sz="0" w:space="0"/>
            <w:bottom w:val="none" w:sz="0" w:space="0"/>
            <w:right w:val="none" w:sz="0" w:space="0"/>
          </w:pgBorders>
          <w:pgNumType w:fmt="decimal" w:start="1"/>
          <w:cols w:space="0" w:num="1"/>
          <w:docGrid w:type="lines" w:linePitch="289" w:charSpace="0"/>
        </w:sectPr>
      </w:pPr>
    </w:p>
    <w:p w14:paraId="1AB00154">
      <w:pPr>
        <w:spacing w:line="480" w:lineRule="auto"/>
        <w:jc w:val="center"/>
        <w:rPr>
          <w:rFonts w:ascii="宋体" w:hAnsi="宋体" w:cs="宋体"/>
          <w:b/>
          <w:color w:val="auto"/>
          <w:sz w:val="52"/>
          <w:szCs w:val="52"/>
          <w:highlight w:val="none"/>
        </w:rPr>
      </w:pPr>
    </w:p>
    <w:p w14:paraId="16D11EFD">
      <w:pPr>
        <w:spacing w:line="1200" w:lineRule="exact"/>
        <w:jc w:val="center"/>
        <w:rPr>
          <w:rFonts w:ascii="宋体" w:hAnsi="宋体" w:cs="宋体"/>
          <w:b/>
          <w:color w:val="auto"/>
          <w:sz w:val="56"/>
          <w:szCs w:val="56"/>
          <w:highlight w:val="none"/>
        </w:rPr>
      </w:pPr>
      <w:r>
        <w:rPr>
          <w:rFonts w:hint="eastAsia" w:ascii="宋体" w:hAnsi="宋体" w:cs="宋体"/>
          <w:b/>
          <w:color w:val="auto"/>
          <w:sz w:val="56"/>
          <w:szCs w:val="56"/>
          <w:highlight w:val="none"/>
        </w:rPr>
        <w:t>温馨提醒</w:t>
      </w:r>
    </w:p>
    <w:p w14:paraId="510913BF">
      <w:pPr>
        <w:spacing w:line="1000" w:lineRule="exact"/>
        <w:jc w:val="left"/>
        <w:rPr>
          <w:rFonts w:ascii="宋体" w:hAnsi="宋体" w:cs="宋体"/>
          <w:b/>
          <w:color w:val="auto"/>
          <w:sz w:val="30"/>
          <w:szCs w:val="30"/>
          <w:highlight w:val="none"/>
        </w:rPr>
      </w:pPr>
      <w:r>
        <w:rPr>
          <w:rFonts w:hint="eastAsia" w:ascii="宋体" w:hAnsi="宋体" w:cs="宋体"/>
          <w:b/>
          <w:color w:val="auto"/>
          <w:sz w:val="30"/>
          <w:szCs w:val="30"/>
          <w:highlight w:val="none"/>
        </w:rPr>
        <w:t>1</w:t>
      </w:r>
      <w:r>
        <w:rPr>
          <w:rFonts w:hint="eastAsia" w:ascii="宋体" w:hAnsi="宋体" w:cs="宋体"/>
          <w:b/>
          <w:color w:val="auto"/>
          <w:sz w:val="30"/>
          <w:szCs w:val="30"/>
          <w:highlight w:val="none"/>
          <w:lang w:val="en-US" w:eastAsia="zh-CN"/>
        </w:rPr>
        <w:t>.</w:t>
      </w:r>
      <w:r>
        <w:rPr>
          <w:rFonts w:hint="eastAsia" w:ascii="宋体" w:hAnsi="宋体" w:cs="宋体"/>
          <w:b/>
          <w:color w:val="auto"/>
          <w:sz w:val="30"/>
          <w:szCs w:val="30"/>
          <w:highlight w:val="none"/>
        </w:rPr>
        <w:t>投标文件应按招标文件要求将“资格文件”、“商务和技术文件”、“报价文件”分别编制。</w:t>
      </w:r>
    </w:p>
    <w:p w14:paraId="1154F28E">
      <w:pPr>
        <w:spacing w:line="1000" w:lineRule="exact"/>
        <w:jc w:val="left"/>
        <w:rPr>
          <w:rFonts w:ascii="宋体" w:hAnsi="宋体" w:cs="宋体"/>
          <w:b/>
          <w:color w:val="auto"/>
          <w:sz w:val="30"/>
          <w:szCs w:val="30"/>
          <w:highlight w:val="none"/>
        </w:rPr>
      </w:pPr>
      <w:r>
        <w:rPr>
          <w:rFonts w:hint="eastAsia" w:ascii="宋体" w:hAnsi="宋体" w:cs="宋体"/>
          <w:b/>
          <w:color w:val="auto"/>
          <w:sz w:val="30"/>
          <w:szCs w:val="30"/>
          <w:highlight w:val="none"/>
        </w:rPr>
        <w:t>2</w:t>
      </w:r>
      <w:r>
        <w:rPr>
          <w:rFonts w:hint="eastAsia" w:ascii="宋体" w:hAnsi="宋体" w:cs="宋体"/>
          <w:b/>
          <w:color w:val="auto"/>
          <w:sz w:val="30"/>
          <w:szCs w:val="30"/>
          <w:highlight w:val="none"/>
          <w:lang w:val="en-US" w:eastAsia="zh-CN"/>
        </w:rPr>
        <w:t>.</w:t>
      </w:r>
      <w:r>
        <w:rPr>
          <w:rFonts w:hint="eastAsia" w:ascii="宋体" w:hAnsi="宋体" w:cs="宋体"/>
          <w:b/>
          <w:color w:val="auto"/>
          <w:sz w:val="30"/>
          <w:szCs w:val="30"/>
          <w:highlight w:val="none"/>
          <w:lang w:eastAsia="zh-CN"/>
        </w:rPr>
        <w:t>采购人</w:t>
      </w:r>
      <w:r>
        <w:rPr>
          <w:rFonts w:hint="eastAsia" w:ascii="宋体" w:hAnsi="宋体" w:cs="宋体"/>
          <w:b/>
          <w:color w:val="auto"/>
          <w:sz w:val="30"/>
          <w:szCs w:val="30"/>
          <w:highlight w:val="none"/>
        </w:rPr>
        <w:t>可以对已发出的招标文件进行必要的澄清或者修改，将以“更正公告”的形式发布在政采云平台，供应商应及时登录政采云平台，进行浏览并下载，未及时浏览下载的责任自负。</w:t>
      </w:r>
    </w:p>
    <w:p w14:paraId="40D4D6A0">
      <w:pPr>
        <w:pStyle w:val="46"/>
        <w:spacing w:before="0" w:beforeAutospacing="0" w:after="0" w:afterAutospacing="0" w:line="400" w:lineRule="exact"/>
        <w:ind w:firstLine="420" w:firstLineChars="200"/>
        <w:rPr>
          <w:rFonts w:hAnsi="宋体"/>
          <w:color w:val="auto"/>
          <w:sz w:val="21"/>
          <w:szCs w:val="21"/>
          <w:highlight w:val="none"/>
        </w:rPr>
      </w:pPr>
    </w:p>
    <w:p w14:paraId="2F0F8F17">
      <w:pPr>
        <w:tabs>
          <w:tab w:val="center" w:pos="4365"/>
        </w:tabs>
        <w:spacing w:line="480" w:lineRule="auto"/>
        <w:jc w:val="center"/>
        <w:rPr>
          <w:rFonts w:ascii="宋体" w:hAnsi="宋体" w:cs="宋体"/>
          <w:b/>
          <w:color w:val="auto"/>
          <w:sz w:val="48"/>
          <w:szCs w:val="48"/>
          <w:highlight w:val="none"/>
        </w:rPr>
        <w:sectPr>
          <w:headerReference r:id="rId6" w:type="default"/>
          <w:footerReference r:id="rId7" w:type="default"/>
          <w:type w:val="nextColumn"/>
          <w:pgSz w:w="11905" w:h="16838"/>
          <w:pgMar w:top="1474" w:right="1474" w:bottom="1474" w:left="1474" w:header="907" w:footer="850" w:gutter="0"/>
          <w:pgBorders>
            <w:top w:val="none" w:sz="0" w:space="0"/>
            <w:left w:val="none" w:sz="0" w:space="0"/>
            <w:bottom w:val="none" w:sz="0" w:space="0"/>
            <w:right w:val="none" w:sz="0" w:space="0"/>
          </w:pgBorders>
          <w:pgNumType w:fmt="decimal" w:start="1"/>
          <w:cols w:space="0" w:num="1"/>
          <w:docGrid w:type="lines" w:linePitch="289" w:charSpace="0"/>
        </w:sectPr>
      </w:pPr>
    </w:p>
    <w:p w14:paraId="41BFBCA3">
      <w:pPr>
        <w:pStyle w:val="24"/>
      </w:pPr>
    </w:p>
    <w:p w14:paraId="10BC8E3D">
      <w:pPr>
        <w:tabs>
          <w:tab w:val="center" w:pos="4365"/>
        </w:tabs>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目  录</w:t>
      </w:r>
    </w:p>
    <w:p w14:paraId="3A28065A">
      <w:pPr>
        <w:pStyle w:val="34"/>
        <w:tabs>
          <w:tab w:val="right" w:leader="dot" w:pos="8957"/>
          <w:tab w:val="clear" w:pos="8721"/>
        </w:tabs>
        <w:spacing w:line="360" w:lineRule="auto"/>
        <w:rPr>
          <w:sz w:val="28"/>
          <w:szCs w:val="28"/>
        </w:rPr>
      </w:pPr>
      <w:r>
        <w:rPr>
          <w:rFonts w:hint="eastAsia" w:hAnsi="宋体" w:cs="宋体"/>
          <w:color w:val="auto"/>
          <w:sz w:val="28"/>
          <w:szCs w:val="28"/>
          <w:highlight w:val="none"/>
        </w:rPr>
        <w:fldChar w:fldCharType="begin"/>
      </w:r>
      <w:r>
        <w:rPr>
          <w:rFonts w:hint="eastAsia" w:hAnsi="宋体" w:cs="宋体"/>
          <w:color w:val="auto"/>
          <w:sz w:val="28"/>
          <w:szCs w:val="28"/>
          <w:highlight w:val="none"/>
        </w:rPr>
        <w:instrText xml:space="preserve"> TOC \o "1-3" \h \z \u </w:instrText>
      </w:r>
      <w:r>
        <w:rPr>
          <w:rFonts w:hint="eastAsia" w:hAnsi="宋体" w:cs="宋体"/>
          <w:color w:val="auto"/>
          <w:sz w:val="28"/>
          <w:szCs w:val="28"/>
          <w:highlight w:val="none"/>
        </w:rPr>
        <w:fldChar w:fldCharType="separate"/>
      </w:r>
      <w:r>
        <w:rPr>
          <w:rFonts w:hint="eastAsia" w:hAnsi="宋体" w:cs="宋体"/>
          <w:color w:val="auto"/>
          <w:sz w:val="28"/>
          <w:szCs w:val="28"/>
          <w:highlight w:val="none"/>
        </w:rPr>
        <w:fldChar w:fldCharType="begin"/>
      </w:r>
      <w:r>
        <w:rPr>
          <w:rFonts w:hint="eastAsia" w:hAnsi="宋体" w:cs="宋体"/>
          <w:sz w:val="28"/>
          <w:szCs w:val="28"/>
          <w:highlight w:val="none"/>
        </w:rPr>
        <w:instrText xml:space="preserve"> HYPERLINK \l _Toc9538 </w:instrText>
      </w:r>
      <w:r>
        <w:rPr>
          <w:rFonts w:hint="eastAsia" w:hAnsi="宋体" w:cs="宋体"/>
          <w:sz w:val="28"/>
          <w:szCs w:val="28"/>
          <w:highlight w:val="none"/>
        </w:rPr>
        <w:fldChar w:fldCharType="separate"/>
      </w:r>
      <w:r>
        <w:rPr>
          <w:rFonts w:hint="eastAsia" w:ascii="宋体" w:hAnsi="宋体" w:cs="宋体"/>
          <w:sz w:val="28"/>
          <w:szCs w:val="28"/>
          <w:highlight w:val="none"/>
        </w:rPr>
        <w:t xml:space="preserve">第一章  </w:t>
      </w:r>
      <w:r>
        <w:rPr>
          <w:rFonts w:hint="eastAsia" w:ascii="宋体" w:hAnsi="宋体" w:cs="宋体"/>
          <w:sz w:val="28"/>
          <w:szCs w:val="28"/>
          <w:highlight w:val="none"/>
          <w:lang w:eastAsia="zh-CN"/>
        </w:rPr>
        <w:t>采购公告</w:t>
      </w:r>
      <w:r>
        <w:rPr>
          <w:sz w:val="28"/>
          <w:szCs w:val="28"/>
        </w:rPr>
        <w:tab/>
      </w:r>
      <w:r>
        <w:rPr>
          <w:sz w:val="28"/>
          <w:szCs w:val="28"/>
        </w:rPr>
        <w:fldChar w:fldCharType="begin"/>
      </w:r>
      <w:r>
        <w:rPr>
          <w:sz w:val="28"/>
          <w:szCs w:val="28"/>
        </w:rPr>
        <w:instrText xml:space="preserve"> PAGEREF _Toc9538 \h </w:instrText>
      </w:r>
      <w:r>
        <w:rPr>
          <w:sz w:val="28"/>
          <w:szCs w:val="28"/>
        </w:rPr>
        <w:fldChar w:fldCharType="separate"/>
      </w:r>
      <w:r>
        <w:rPr>
          <w:sz w:val="28"/>
          <w:szCs w:val="28"/>
        </w:rPr>
        <w:t>1</w:t>
      </w:r>
      <w:r>
        <w:rPr>
          <w:sz w:val="28"/>
          <w:szCs w:val="28"/>
        </w:rPr>
        <w:fldChar w:fldCharType="end"/>
      </w:r>
      <w:r>
        <w:rPr>
          <w:rFonts w:hint="eastAsia" w:hAnsi="宋体" w:cs="宋体"/>
          <w:color w:val="auto"/>
          <w:sz w:val="28"/>
          <w:szCs w:val="28"/>
          <w:highlight w:val="none"/>
        </w:rPr>
        <w:fldChar w:fldCharType="end"/>
      </w:r>
    </w:p>
    <w:p w14:paraId="70879724">
      <w:pPr>
        <w:pStyle w:val="34"/>
        <w:tabs>
          <w:tab w:val="right" w:leader="dot" w:pos="8957"/>
          <w:tab w:val="clear" w:pos="8721"/>
        </w:tabs>
        <w:spacing w:line="360" w:lineRule="auto"/>
        <w:rPr>
          <w:sz w:val="28"/>
          <w:szCs w:val="28"/>
        </w:rPr>
      </w:pPr>
      <w:r>
        <w:rPr>
          <w:rFonts w:hint="eastAsia" w:ascii="宋体" w:hAnsi="宋体" w:cs="宋体"/>
          <w:color w:val="auto"/>
          <w:sz w:val="28"/>
          <w:szCs w:val="28"/>
          <w:highlight w:val="none"/>
        </w:rPr>
        <w:fldChar w:fldCharType="begin"/>
      </w:r>
      <w:r>
        <w:rPr>
          <w:rFonts w:hint="eastAsia" w:ascii="宋体" w:hAnsi="宋体" w:cs="宋体"/>
          <w:sz w:val="28"/>
          <w:szCs w:val="28"/>
          <w:highlight w:val="none"/>
        </w:rPr>
        <w:instrText xml:space="preserve"> HYPERLINK \l _Toc15028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第二章  投标须知</w:t>
      </w:r>
      <w:r>
        <w:rPr>
          <w:sz w:val="28"/>
          <w:szCs w:val="28"/>
        </w:rPr>
        <w:tab/>
      </w:r>
      <w:r>
        <w:rPr>
          <w:sz w:val="28"/>
          <w:szCs w:val="28"/>
        </w:rPr>
        <w:fldChar w:fldCharType="begin"/>
      </w:r>
      <w:r>
        <w:rPr>
          <w:sz w:val="28"/>
          <w:szCs w:val="28"/>
        </w:rPr>
        <w:instrText xml:space="preserve"> PAGEREF _Toc15028 \h </w:instrText>
      </w:r>
      <w:r>
        <w:rPr>
          <w:sz w:val="28"/>
          <w:szCs w:val="28"/>
        </w:rPr>
        <w:fldChar w:fldCharType="separate"/>
      </w:r>
      <w:r>
        <w:rPr>
          <w:sz w:val="28"/>
          <w:szCs w:val="28"/>
        </w:rPr>
        <w:t>5</w:t>
      </w:r>
      <w:r>
        <w:rPr>
          <w:sz w:val="28"/>
          <w:szCs w:val="28"/>
        </w:rPr>
        <w:fldChar w:fldCharType="end"/>
      </w:r>
      <w:r>
        <w:rPr>
          <w:rFonts w:hint="eastAsia" w:ascii="宋体" w:hAnsi="宋体" w:cs="宋体"/>
          <w:color w:val="auto"/>
          <w:sz w:val="28"/>
          <w:szCs w:val="28"/>
          <w:highlight w:val="none"/>
        </w:rPr>
        <w:fldChar w:fldCharType="end"/>
      </w:r>
    </w:p>
    <w:p w14:paraId="30CC33FB">
      <w:pPr>
        <w:pStyle w:val="34"/>
        <w:tabs>
          <w:tab w:val="right" w:leader="dot" w:pos="8957"/>
          <w:tab w:val="clear" w:pos="8721"/>
        </w:tabs>
        <w:spacing w:line="360" w:lineRule="auto"/>
        <w:rPr>
          <w:sz w:val="28"/>
          <w:szCs w:val="28"/>
        </w:rPr>
      </w:pPr>
      <w:r>
        <w:rPr>
          <w:rFonts w:hint="eastAsia" w:ascii="宋体" w:hAnsi="宋体" w:cs="宋体"/>
          <w:color w:val="auto"/>
          <w:sz w:val="28"/>
          <w:szCs w:val="28"/>
          <w:highlight w:val="none"/>
        </w:rPr>
        <w:fldChar w:fldCharType="begin"/>
      </w:r>
      <w:r>
        <w:rPr>
          <w:rFonts w:hint="eastAsia" w:ascii="宋体" w:hAnsi="宋体" w:cs="宋体"/>
          <w:sz w:val="28"/>
          <w:szCs w:val="28"/>
          <w:highlight w:val="none"/>
        </w:rPr>
        <w:instrText xml:space="preserve"> HYPERLINK \l _Toc5555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第三章  招标内容与服务需求</w:t>
      </w:r>
      <w:r>
        <w:rPr>
          <w:sz w:val="28"/>
          <w:szCs w:val="28"/>
        </w:rPr>
        <w:tab/>
      </w:r>
      <w:r>
        <w:rPr>
          <w:sz w:val="28"/>
          <w:szCs w:val="28"/>
        </w:rPr>
        <w:fldChar w:fldCharType="begin"/>
      </w:r>
      <w:r>
        <w:rPr>
          <w:sz w:val="28"/>
          <w:szCs w:val="28"/>
        </w:rPr>
        <w:instrText xml:space="preserve"> PAGEREF _Toc5555 \h </w:instrText>
      </w:r>
      <w:r>
        <w:rPr>
          <w:sz w:val="28"/>
          <w:szCs w:val="28"/>
        </w:rPr>
        <w:fldChar w:fldCharType="separate"/>
      </w:r>
      <w:r>
        <w:rPr>
          <w:sz w:val="28"/>
          <w:szCs w:val="28"/>
        </w:rPr>
        <w:t>19</w:t>
      </w:r>
      <w:r>
        <w:rPr>
          <w:sz w:val="28"/>
          <w:szCs w:val="28"/>
        </w:rPr>
        <w:fldChar w:fldCharType="end"/>
      </w:r>
      <w:r>
        <w:rPr>
          <w:rFonts w:hint="eastAsia" w:ascii="宋体" w:hAnsi="宋体" w:cs="宋体"/>
          <w:color w:val="auto"/>
          <w:sz w:val="28"/>
          <w:szCs w:val="28"/>
          <w:highlight w:val="none"/>
        </w:rPr>
        <w:fldChar w:fldCharType="end"/>
      </w:r>
    </w:p>
    <w:p w14:paraId="2FAC6EB3">
      <w:pPr>
        <w:pStyle w:val="34"/>
        <w:tabs>
          <w:tab w:val="right" w:leader="dot" w:pos="8957"/>
          <w:tab w:val="clear" w:pos="8721"/>
        </w:tabs>
        <w:spacing w:line="360" w:lineRule="auto"/>
        <w:rPr>
          <w:sz w:val="28"/>
          <w:szCs w:val="28"/>
        </w:rPr>
      </w:pPr>
      <w:r>
        <w:rPr>
          <w:rFonts w:hint="eastAsia" w:ascii="宋体" w:hAnsi="宋体" w:cs="宋体"/>
          <w:color w:val="auto"/>
          <w:sz w:val="28"/>
          <w:szCs w:val="28"/>
          <w:highlight w:val="none"/>
        </w:rPr>
        <w:fldChar w:fldCharType="begin"/>
      </w:r>
      <w:r>
        <w:rPr>
          <w:rFonts w:hint="eastAsia" w:ascii="宋体" w:hAnsi="宋体" w:cs="宋体"/>
          <w:sz w:val="28"/>
          <w:szCs w:val="28"/>
          <w:highlight w:val="none"/>
        </w:rPr>
        <w:instrText xml:space="preserve"> HYPERLINK \l _Toc17445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第四章  商务条款</w:t>
      </w:r>
      <w:r>
        <w:rPr>
          <w:sz w:val="28"/>
          <w:szCs w:val="28"/>
        </w:rPr>
        <w:tab/>
      </w:r>
      <w:r>
        <w:rPr>
          <w:sz w:val="28"/>
          <w:szCs w:val="28"/>
        </w:rPr>
        <w:fldChar w:fldCharType="begin"/>
      </w:r>
      <w:r>
        <w:rPr>
          <w:sz w:val="28"/>
          <w:szCs w:val="28"/>
        </w:rPr>
        <w:instrText xml:space="preserve"> PAGEREF _Toc17445 \h </w:instrText>
      </w:r>
      <w:r>
        <w:rPr>
          <w:sz w:val="28"/>
          <w:szCs w:val="28"/>
        </w:rPr>
        <w:fldChar w:fldCharType="separate"/>
      </w:r>
      <w:r>
        <w:rPr>
          <w:sz w:val="28"/>
          <w:szCs w:val="28"/>
        </w:rPr>
        <w:t>27</w:t>
      </w:r>
      <w:r>
        <w:rPr>
          <w:sz w:val="28"/>
          <w:szCs w:val="28"/>
        </w:rPr>
        <w:fldChar w:fldCharType="end"/>
      </w:r>
      <w:r>
        <w:rPr>
          <w:rFonts w:hint="eastAsia" w:ascii="宋体" w:hAnsi="宋体" w:cs="宋体"/>
          <w:color w:val="auto"/>
          <w:sz w:val="28"/>
          <w:szCs w:val="28"/>
          <w:highlight w:val="none"/>
        </w:rPr>
        <w:fldChar w:fldCharType="end"/>
      </w:r>
    </w:p>
    <w:p w14:paraId="1AF9FAF7">
      <w:pPr>
        <w:pStyle w:val="34"/>
        <w:tabs>
          <w:tab w:val="right" w:leader="dot" w:pos="8957"/>
          <w:tab w:val="clear" w:pos="8721"/>
        </w:tabs>
        <w:spacing w:line="360" w:lineRule="auto"/>
        <w:rPr>
          <w:sz w:val="28"/>
          <w:szCs w:val="28"/>
        </w:rPr>
      </w:pPr>
      <w:r>
        <w:rPr>
          <w:rFonts w:hint="eastAsia" w:ascii="宋体" w:hAnsi="宋体" w:cs="宋体"/>
          <w:color w:val="auto"/>
          <w:sz w:val="28"/>
          <w:szCs w:val="28"/>
          <w:highlight w:val="none"/>
        </w:rPr>
        <w:fldChar w:fldCharType="begin"/>
      </w:r>
      <w:r>
        <w:rPr>
          <w:rFonts w:hint="eastAsia" w:ascii="宋体" w:hAnsi="宋体" w:cs="宋体"/>
          <w:sz w:val="28"/>
          <w:szCs w:val="28"/>
          <w:highlight w:val="none"/>
        </w:rPr>
        <w:instrText xml:space="preserve"> HYPERLINK \l _Toc1584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第五章  评标办法及标准</w:t>
      </w:r>
      <w:r>
        <w:rPr>
          <w:sz w:val="28"/>
          <w:szCs w:val="28"/>
        </w:rPr>
        <w:tab/>
      </w:r>
      <w:r>
        <w:rPr>
          <w:sz w:val="28"/>
          <w:szCs w:val="28"/>
        </w:rPr>
        <w:fldChar w:fldCharType="begin"/>
      </w:r>
      <w:r>
        <w:rPr>
          <w:sz w:val="28"/>
          <w:szCs w:val="28"/>
        </w:rPr>
        <w:instrText xml:space="preserve"> PAGEREF _Toc1584 \h </w:instrText>
      </w:r>
      <w:r>
        <w:rPr>
          <w:sz w:val="28"/>
          <w:szCs w:val="28"/>
        </w:rPr>
        <w:fldChar w:fldCharType="separate"/>
      </w:r>
      <w:r>
        <w:rPr>
          <w:sz w:val="28"/>
          <w:szCs w:val="28"/>
        </w:rPr>
        <w:t>28</w:t>
      </w:r>
      <w:r>
        <w:rPr>
          <w:sz w:val="28"/>
          <w:szCs w:val="28"/>
        </w:rPr>
        <w:fldChar w:fldCharType="end"/>
      </w:r>
      <w:r>
        <w:rPr>
          <w:rFonts w:hint="eastAsia" w:ascii="宋体" w:hAnsi="宋体" w:cs="宋体"/>
          <w:color w:val="auto"/>
          <w:sz w:val="28"/>
          <w:szCs w:val="28"/>
          <w:highlight w:val="none"/>
        </w:rPr>
        <w:fldChar w:fldCharType="end"/>
      </w:r>
    </w:p>
    <w:p w14:paraId="122F8D8B">
      <w:pPr>
        <w:pStyle w:val="34"/>
        <w:tabs>
          <w:tab w:val="right" w:leader="dot" w:pos="8957"/>
          <w:tab w:val="clear" w:pos="8721"/>
        </w:tabs>
        <w:spacing w:line="360" w:lineRule="auto"/>
        <w:rPr>
          <w:sz w:val="28"/>
          <w:szCs w:val="28"/>
        </w:rPr>
      </w:pPr>
      <w:r>
        <w:rPr>
          <w:rFonts w:hint="eastAsia" w:ascii="宋体" w:hAnsi="宋体" w:cs="宋体"/>
          <w:color w:val="auto"/>
          <w:sz w:val="28"/>
          <w:szCs w:val="28"/>
          <w:highlight w:val="none"/>
        </w:rPr>
        <w:fldChar w:fldCharType="begin"/>
      </w:r>
      <w:r>
        <w:rPr>
          <w:rFonts w:hint="eastAsia" w:ascii="宋体" w:hAnsi="宋体" w:cs="宋体"/>
          <w:sz w:val="28"/>
          <w:szCs w:val="28"/>
          <w:highlight w:val="none"/>
        </w:rPr>
        <w:instrText xml:space="preserve"> HYPERLINK \l _Toc29913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第六章  采购合同样本</w:t>
      </w:r>
      <w:r>
        <w:rPr>
          <w:sz w:val="28"/>
          <w:szCs w:val="28"/>
        </w:rPr>
        <w:tab/>
      </w:r>
      <w:r>
        <w:rPr>
          <w:sz w:val="28"/>
          <w:szCs w:val="28"/>
        </w:rPr>
        <w:fldChar w:fldCharType="begin"/>
      </w:r>
      <w:r>
        <w:rPr>
          <w:sz w:val="28"/>
          <w:szCs w:val="28"/>
        </w:rPr>
        <w:instrText xml:space="preserve"> PAGEREF _Toc29913 \h </w:instrText>
      </w:r>
      <w:r>
        <w:rPr>
          <w:sz w:val="28"/>
          <w:szCs w:val="28"/>
        </w:rPr>
        <w:fldChar w:fldCharType="separate"/>
      </w:r>
      <w:r>
        <w:rPr>
          <w:sz w:val="28"/>
          <w:szCs w:val="28"/>
        </w:rPr>
        <w:t>41</w:t>
      </w:r>
      <w:r>
        <w:rPr>
          <w:sz w:val="28"/>
          <w:szCs w:val="28"/>
        </w:rPr>
        <w:fldChar w:fldCharType="end"/>
      </w:r>
      <w:r>
        <w:rPr>
          <w:rFonts w:hint="eastAsia" w:ascii="宋体" w:hAnsi="宋体" w:cs="宋体"/>
          <w:color w:val="auto"/>
          <w:sz w:val="28"/>
          <w:szCs w:val="28"/>
          <w:highlight w:val="none"/>
        </w:rPr>
        <w:fldChar w:fldCharType="end"/>
      </w:r>
    </w:p>
    <w:p w14:paraId="5074B956">
      <w:pPr>
        <w:pStyle w:val="34"/>
        <w:tabs>
          <w:tab w:val="right" w:leader="dot" w:pos="8957"/>
          <w:tab w:val="clear" w:pos="8721"/>
        </w:tabs>
        <w:spacing w:line="360" w:lineRule="auto"/>
        <w:rPr>
          <w:sz w:val="28"/>
          <w:szCs w:val="28"/>
        </w:rPr>
      </w:pPr>
      <w:r>
        <w:rPr>
          <w:rFonts w:hint="eastAsia" w:ascii="宋体" w:hAnsi="宋体" w:cs="宋体"/>
          <w:color w:val="auto"/>
          <w:sz w:val="28"/>
          <w:szCs w:val="28"/>
          <w:highlight w:val="none"/>
        </w:rPr>
        <w:fldChar w:fldCharType="begin"/>
      </w:r>
      <w:r>
        <w:rPr>
          <w:rFonts w:hint="eastAsia" w:ascii="宋体" w:hAnsi="宋体" w:cs="宋体"/>
          <w:sz w:val="28"/>
          <w:szCs w:val="28"/>
          <w:highlight w:val="none"/>
        </w:rPr>
        <w:instrText xml:space="preserve"> HYPERLINK \l _Toc29621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第七章  附件</w:t>
      </w:r>
      <w:r>
        <w:rPr>
          <w:sz w:val="28"/>
          <w:szCs w:val="28"/>
        </w:rPr>
        <w:tab/>
      </w:r>
      <w:r>
        <w:rPr>
          <w:sz w:val="28"/>
          <w:szCs w:val="28"/>
        </w:rPr>
        <w:fldChar w:fldCharType="begin"/>
      </w:r>
      <w:r>
        <w:rPr>
          <w:sz w:val="28"/>
          <w:szCs w:val="28"/>
        </w:rPr>
        <w:instrText xml:space="preserve"> PAGEREF _Toc29621 \h </w:instrText>
      </w:r>
      <w:r>
        <w:rPr>
          <w:sz w:val="28"/>
          <w:szCs w:val="28"/>
        </w:rPr>
        <w:fldChar w:fldCharType="separate"/>
      </w:r>
      <w:r>
        <w:rPr>
          <w:sz w:val="28"/>
          <w:szCs w:val="28"/>
        </w:rPr>
        <w:t>44</w:t>
      </w:r>
      <w:r>
        <w:rPr>
          <w:sz w:val="28"/>
          <w:szCs w:val="28"/>
        </w:rPr>
        <w:fldChar w:fldCharType="end"/>
      </w:r>
      <w:r>
        <w:rPr>
          <w:rFonts w:hint="eastAsia" w:ascii="宋体" w:hAnsi="宋体" w:cs="宋体"/>
          <w:color w:val="auto"/>
          <w:sz w:val="28"/>
          <w:szCs w:val="28"/>
          <w:highlight w:val="none"/>
        </w:rPr>
        <w:fldChar w:fldCharType="end"/>
      </w:r>
    </w:p>
    <w:p w14:paraId="6D345718">
      <w:pPr>
        <w:spacing w:line="360" w:lineRule="auto"/>
        <w:jc w:val="center"/>
        <w:rPr>
          <w:rFonts w:ascii="宋体" w:hAnsi="宋体" w:cs="宋体"/>
          <w:b/>
          <w:color w:val="auto"/>
          <w:sz w:val="32"/>
          <w:highlight w:val="none"/>
        </w:rPr>
      </w:pPr>
      <w:r>
        <w:rPr>
          <w:rFonts w:hint="eastAsia" w:ascii="宋体" w:hAnsi="宋体" w:cs="宋体"/>
          <w:color w:val="auto"/>
          <w:sz w:val="28"/>
          <w:szCs w:val="28"/>
          <w:highlight w:val="none"/>
        </w:rPr>
        <w:fldChar w:fldCharType="end"/>
      </w:r>
    </w:p>
    <w:p w14:paraId="659EE83D">
      <w:pPr>
        <w:spacing w:line="400" w:lineRule="exact"/>
        <w:jc w:val="center"/>
        <w:rPr>
          <w:rFonts w:ascii="宋体" w:hAnsi="宋体" w:cs="宋体"/>
          <w:b/>
          <w:color w:val="auto"/>
          <w:sz w:val="32"/>
          <w:highlight w:val="none"/>
        </w:rPr>
        <w:sectPr>
          <w:footerReference r:id="rId8" w:type="default"/>
          <w:pgSz w:w="11905" w:h="16838"/>
          <w:pgMar w:top="1474" w:right="1474" w:bottom="1474" w:left="1474" w:header="907" w:footer="850" w:gutter="0"/>
          <w:pgBorders>
            <w:top w:val="none" w:sz="0" w:space="0"/>
            <w:left w:val="none" w:sz="0" w:space="0"/>
            <w:bottom w:val="none" w:sz="0" w:space="0"/>
            <w:right w:val="none" w:sz="0" w:space="0"/>
          </w:pgBorders>
          <w:pgNumType w:fmt="decimal" w:start="1"/>
          <w:cols w:space="0" w:num="1"/>
          <w:docGrid w:type="lines" w:linePitch="289" w:charSpace="0"/>
        </w:sectPr>
      </w:pPr>
    </w:p>
    <w:p w14:paraId="2868086B">
      <w:pPr>
        <w:keepNext w:val="0"/>
        <w:keepLines w:val="0"/>
        <w:pageBreakBefore w:val="0"/>
        <w:kinsoku/>
        <w:wordWrap/>
        <w:overflowPunct/>
        <w:topLinePunct w:val="0"/>
        <w:autoSpaceDE/>
        <w:autoSpaceDN/>
        <w:bidi w:val="0"/>
        <w:adjustRightInd/>
        <w:snapToGrid/>
        <w:spacing w:line="400" w:lineRule="exact"/>
        <w:ind w:left="0" w:leftChars="0"/>
        <w:jc w:val="center"/>
        <w:textAlignment w:val="auto"/>
        <w:outlineLvl w:val="0"/>
        <w:rPr>
          <w:rFonts w:hint="eastAsia" w:ascii="宋体" w:hAnsi="宋体" w:eastAsia="宋体" w:cs="宋体"/>
          <w:b/>
          <w:color w:val="auto"/>
          <w:sz w:val="32"/>
          <w:highlight w:val="none"/>
          <w:lang w:eastAsia="zh-CN"/>
        </w:rPr>
      </w:pPr>
      <w:bookmarkStart w:id="0" w:name="_Toc9538"/>
      <w:r>
        <w:rPr>
          <w:rFonts w:hint="eastAsia" w:ascii="宋体" w:hAnsi="宋体" w:cs="宋体"/>
          <w:b/>
          <w:color w:val="auto"/>
          <w:sz w:val="32"/>
          <w:highlight w:val="none"/>
        </w:rPr>
        <w:t xml:space="preserve">第一章  </w:t>
      </w:r>
      <w:r>
        <w:rPr>
          <w:rFonts w:hint="eastAsia" w:ascii="宋体" w:hAnsi="宋体" w:cs="宋体"/>
          <w:b/>
          <w:color w:val="auto"/>
          <w:sz w:val="32"/>
          <w:highlight w:val="none"/>
          <w:lang w:eastAsia="zh-CN"/>
        </w:rPr>
        <w:t>采购公告</w:t>
      </w:r>
      <w:bookmarkEnd w:id="0"/>
    </w:p>
    <w:p w14:paraId="7EC5F531">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left"/>
        <w:textAlignment w:val="auto"/>
        <w:rPr>
          <w:rFonts w:hAnsi="宋体"/>
          <w:color w:val="auto"/>
          <w:sz w:val="21"/>
          <w:szCs w:val="21"/>
          <w:highlight w:val="none"/>
        </w:rPr>
      </w:pPr>
      <w:r>
        <w:rPr>
          <w:rFonts w:hint="eastAsia" w:hAnsi="宋体"/>
          <w:sz w:val="21"/>
          <w:szCs w:val="21"/>
        </w:rPr>
        <w:t>项目概况</w:t>
      </w:r>
    </w:p>
    <w:p w14:paraId="4F05AFD3">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lang w:eastAsia="zh-CN"/>
        </w:rPr>
        <w:t>宁波大学校医院信息一体化平台服务项目</w:t>
      </w:r>
      <w:r>
        <w:rPr>
          <w:rFonts w:hint="eastAsia" w:hAnsi="宋体"/>
          <w:color w:val="auto"/>
          <w:sz w:val="21"/>
          <w:szCs w:val="21"/>
          <w:highlight w:val="none"/>
        </w:rPr>
        <w:t>的潜在供应商应在政府采购云平台（</w:t>
      </w:r>
      <w:r>
        <w:rPr>
          <w:color w:val="auto"/>
          <w:highlight w:val="none"/>
        </w:rPr>
        <w:fldChar w:fldCharType="begin"/>
      </w:r>
      <w:r>
        <w:rPr>
          <w:color w:val="auto"/>
          <w:highlight w:val="none"/>
        </w:rPr>
        <w:instrText xml:space="preserve"> HYPERLINK "http://www.zcygov.cn）获取（下载）招标文件，并于2022年9月" </w:instrText>
      </w:r>
      <w:r>
        <w:rPr>
          <w:color w:val="auto"/>
          <w:highlight w:val="none"/>
        </w:rPr>
        <w:fldChar w:fldCharType="separate"/>
      </w:r>
      <w:r>
        <w:rPr>
          <w:rFonts w:hint="eastAsia" w:hAnsi="宋体"/>
          <w:color w:val="auto"/>
          <w:sz w:val="21"/>
          <w:szCs w:val="21"/>
          <w:highlight w:val="none"/>
        </w:rPr>
        <w:t>www.zcygov.cn）获取（下载）招标文件，并于202</w:t>
      </w:r>
      <w:r>
        <w:rPr>
          <w:rFonts w:hint="eastAsia" w:hAnsi="宋体"/>
          <w:color w:val="auto"/>
          <w:sz w:val="21"/>
          <w:szCs w:val="21"/>
          <w:highlight w:val="none"/>
          <w:lang w:val="en-US" w:eastAsia="zh-CN"/>
        </w:rPr>
        <w:t>5</w:t>
      </w:r>
      <w:r>
        <w:rPr>
          <w:rFonts w:hint="eastAsia" w:hAnsi="宋体"/>
          <w:color w:val="auto"/>
          <w:sz w:val="21"/>
          <w:szCs w:val="21"/>
          <w:highlight w:val="none"/>
        </w:rPr>
        <w:t>年</w:t>
      </w:r>
      <w:r>
        <w:rPr>
          <w:rFonts w:hint="eastAsia" w:hAnsi="宋体"/>
          <w:color w:val="auto"/>
          <w:sz w:val="21"/>
          <w:szCs w:val="21"/>
          <w:highlight w:val="none"/>
          <w:lang w:val="en-US" w:eastAsia="zh-CN"/>
        </w:rPr>
        <w:t>7</w:t>
      </w:r>
      <w:r>
        <w:rPr>
          <w:rFonts w:hint="eastAsia" w:hAnsi="宋体"/>
          <w:color w:val="auto"/>
          <w:sz w:val="21"/>
          <w:szCs w:val="21"/>
          <w:highlight w:val="none"/>
        </w:rPr>
        <w:t>月</w:t>
      </w:r>
      <w:r>
        <w:rPr>
          <w:rFonts w:hint="eastAsia" w:hAnsi="宋体"/>
          <w:color w:val="auto"/>
          <w:sz w:val="21"/>
          <w:szCs w:val="21"/>
          <w:highlight w:val="none"/>
        </w:rPr>
        <w:fldChar w:fldCharType="end"/>
      </w:r>
      <w:r>
        <w:rPr>
          <w:rFonts w:hint="eastAsia" w:hAnsi="宋体"/>
          <w:color w:val="auto"/>
          <w:sz w:val="21"/>
          <w:szCs w:val="21"/>
          <w:highlight w:val="none"/>
          <w:lang w:val="en-US" w:eastAsia="zh-CN"/>
        </w:rPr>
        <w:t>14</w:t>
      </w:r>
      <w:r>
        <w:rPr>
          <w:rFonts w:hint="eastAsia" w:hAnsi="宋体"/>
          <w:color w:val="auto"/>
          <w:sz w:val="21"/>
          <w:szCs w:val="21"/>
          <w:highlight w:val="none"/>
        </w:rPr>
        <w:t>日09:</w:t>
      </w:r>
      <w:r>
        <w:rPr>
          <w:rFonts w:hint="eastAsia" w:hAnsi="宋体"/>
          <w:color w:val="auto"/>
          <w:sz w:val="21"/>
          <w:szCs w:val="21"/>
          <w:highlight w:val="none"/>
          <w:lang w:val="en-US" w:eastAsia="zh-CN"/>
        </w:rPr>
        <w:t>30</w:t>
      </w:r>
      <w:r>
        <w:rPr>
          <w:rFonts w:hint="eastAsia" w:hAnsi="宋体"/>
          <w:color w:val="auto"/>
          <w:sz w:val="21"/>
          <w:szCs w:val="21"/>
          <w:highlight w:val="none"/>
        </w:rPr>
        <w:t>（北京时间）前递交（上传）投标文件。</w:t>
      </w:r>
    </w:p>
    <w:p w14:paraId="6E0D271E">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Style w:val="55"/>
          <w:rFonts w:hint="eastAsia" w:hAnsi="宋体"/>
          <w:color w:val="auto"/>
          <w:sz w:val="21"/>
          <w:szCs w:val="21"/>
          <w:highlight w:val="none"/>
        </w:rPr>
        <w:t>一、项目基本情况</w:t>
      </w:r>
    </w:p>
    <w:p w14:paraId="0B0DC334">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eastAsia="宋体"/>
          <w:color w:val="auto"/>
          <w:sz w:val="21"/>
          <w:szCs w:val="21"/>
          <w:highlight w:val="none"/>
          <w:lang w:eastAsia="zh-CN"/>
        </w:rPr>
      </w:pPr>
      <w:r>
        <w:rPr>
          <w:rFonts w:hint="eastAsia" w:hAnsi="宋体"/>
          <w:color w:val="auto"/>
          <w:sz w:val="21"/>
          <w:szCs w:val="21"/>
          <w:highlight w:val="none"/>
        </w:rPr>
        <w:t>项目编号：</w:t>
      </w:r>
      <w:r>
        <w:rPr>
          <w:rFonts w:hint="eastAsia" w:hAnsi="宋体"/>
          <w:color w:val="auto"/>
          <w:sz w:val="21"/>
          <w:szCs w:val="21"/>
          <w:highlight w:val="none"/>
          <w:lang w:eastAsia="zh-CN"/>
        </w:rPr>
        <w:t>NBITC-202530430G</w:t>
      </w:r>
    </w:p>
    <w:p w14:paraId="2F02C6E3">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eastAsia="宋体"/>
          <w:color w:val="auto"/>
          <w:sz w:val="21"/>
          <w:szCs w:val="21"/>
          <w:highlight w:val="none"/>
          <w:lang w:eastAsia="zh-CN"/>
        </w:rPr>
      </w:pPr>
      <w:r>
        <w:rPr>
          <w:rFonts w:hint="eastAsia" w:hAnsi="宋体"/>
          <w:color w:val="auto"/>
          <w:sz w:val="21"/>
          <w:szCs w:val="21"/>
          <w:highlight w:val="none"/>
        </w:rPr>
        <w:t>项目名称：</w:t>
      </w:r>
      <w:r>
        <w:rPr>
          <w:rFonts w:hint="eastAsia" w:hAnsi="宋体"/>
          <w:color w:val="auto"/>
          <w:sz w:val="21"/>
          <w:szCs w:val="21"/>
          <w:highlight w:val="none"/>
          <w:lang w:eastAsia="zh-CN"/>
        </w:rPr>
        <w:t>宁波大学校医院信息一体化平台服务项目</w:t>
      </w:r>
    </w:p>
    <w:p w14:paraId="0AE3BCF0">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eastAsia="宋体"/>
          <w:color w:val="auto"/>
          <w:sz w:val="21"/>
          <w:szCs w:val="21"/>
          <w:highlight w:val="none"/>
          <w:lang w:eastAsia="zh-CN"/>
        </w:rPr>
      </w:pPr>
      <w:r>
        <w:rPr>
          <w:rFonts w:hint="eastAsia" w:hAnsi="宋体"/>
          <w:color w:val="auto"/>
          <w:sz w:val="21"/>
          <w:szCs w:val="21"/>
          <w:highlight w:val="none"/>
        </w:rPr>
        <w:t>预算金额（元）：</w:t>
      </w:r>
      <w:r>
        <w:rPr>
          <w:rFonts w:hint="eastAsia" w:hAnsi="宋体"/>
          <w:color w:val="auto"/>
          <w:sz w:val="21"/>
          <w:szCs w:val="21"/>
          <w:highlight w:val="none"/>
          <w:lang w:eastAsia="zh-CN"/>
        </w:rPr>
        <w:t>1470000</w:t>
      </w:r>
    </w:p>
    <w:p w14:paraId="573492FF">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eastAsia="宋体"/>
          <w:color w:val="auto"/>
          <w:sz w:val="21"/>
          <w:szCs w:val="21"/>
          <w:highlight w:val="none"/>
          <w:lang w:eastAsia="zh-CN"/>
        </w:rPr>
      </w:pPr>
      <w:r>
        <w:rPr>
          <w:rFonts w:hint="eastAsia" w:hAnsi="宋体"/>
          <w:color w:val="auto"/>
          <w:sz w:val="21"/>
          <w:szCs w:val="21"/>
          <w:highlight w:val="none"/>
        </w:rPr>
        <w:t>最高限价（元）：</w:t>
      </w:r>
      <w:r>
        <w:rPr>
          <w:rFonts w:hint="eastAsia" w:hAnsi="宋体"/>
          <w:color w:val="auto"/>
          <w:sz w:val="21"/>
          <w:szCs w:val="21"/>
          <w:highlight w:val="none"/>
          <w:lang w:eastAsia="zh-CN"/>
        </w:rPr>
        <w:t>1470000</w:t>
      </w:r>
    </w:p>
    <w:p w14:paraId="479ED2D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采购需求：详见“第三章  招标内容与服务需求”。</w:t>
      </w:r>
    </w:p>
    <w:p w14:paraId="31962C1D">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标项一：</w:t>
      </w:r>
    </w:p>
    <w:p w14:paraId="0B9B7D14">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420" w:leftChars="200" w:firstLine="0" w:firstLineChars="0"/>
        <w:jc w:val="both"/>
        <w:textAlignment w:val="auto"/>
        <w:rPr>
          <w:rFonts w:hint="eastAsia" w:hAnsi="宋体"/>
          <w:color w:val="auto"/>
          <w:sz w:val="21"/>
          <w:szCs w:val="21"/>
          <w:highlight w:val="none"/>
        </w:rPr>
      </w:pPr>
      <w:r>
        <w:rPr>
          <w:rFonts w:hint="eastAsia" w:hAnsi="宋体"/>
          <w:color w:val="auto"/>
          <w:sz w:val="21"/>
          <w:szCs w:val="21"/>
          <w:highlight w:val="none"/>
        </w:rPr>
        <w:t>标项名称：</w:t>
      </w:r>
      <w:r>
        <w:rPr>
          <w:rFonts w:hint="eastAsia" w:hAnsi="宋体"/>
          <w:color w:val="auto"/>
          <w:sz w:val="21"/>
          <w:szCs w:val="21"/>
          <w:highlight w:val="none"/>
          <w:lang w:eastAsia="zh-CN"/>
        </w:rPr>
        <w:t>宁波大学校医院信息一体化平台服务</w:t>
      </w:r>
      <w:r>
        <w:rPr>
          <w:rFonts w:hint="eastAsia" w:hAnsi="宋体"/>
          <w:color w:val="auto"/>
          <w:sz w:val="21"/>
          <w:szCs w:val="21"/>
          <w:highlight w:val="none"/>
        </w:rPr>
        <w:br w:type="textWrapping"/>
      </w:r>
      <w:r>
        <w:rPr>
          <w:rFonts w:hint="eastAsia" w:hAnsi="宋体"/>
          <w:color w:val="auto"/>
          <w:sz w:val="21"/>
          <w:szCs w:val="21"/>
          <w:highlight w:val="none"/>
        </w:rPr>
        <w:t>数量：1</w:t>
      </w:r>
    </w:p>
    <w:p w14:paraId="535559FE">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eastAsia" w:hAnsi="宋体" w:eastAsia="宋体"/>
          <w:color w:val="auto"/>
          <w:sz w:val="21"/>
          <w:szCs w:val="21"/>
          <w:highlight w:val="none"/>
          <w:lang w:eastAsia="zh-CN"/>
        </w:rPr>
      </w:pPr>
      <w:r>
        <w:rPr>
          <w:rFonts w:hint="eastAsia" w:hAnsi="宋体"/>
          <w:color w:val="auto"/>
          <w:sz w:val="21"/>
          <w:szCs w:val="21"/>
          <w:highlight w:val="none"/>
        </w:rPr>
        <w:t>预算金额（元）：</w:t>
      </w:r>
      <w:r>
        <w:rPr>
          <w:rFonts w:hint="eastAsia" w:hAnsi="宋体"/>
          <w:color w:val="auto"/>
          <w:sz w:val="21"/>
          <w:szCs w:val="21"/>
          <w:highlight w:val="none"/>
          <w:lang w:eastAsia="zh-CN"/>
        </w:rPr>
        <w:t>1470000</w:t>
      </w:r>
    </w:p>
    <w:p w14:paraId="778BE7CB">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Ansi="宋体"/>
          <w:color w:val="auto"/>
          <w:sz w:val="21"/>
          <w:szCs w:val="21"/>
          <w:highlight w:val="none"/>
        </w:rPr>
      </w:pPr>
      <w:r>
        <w:rPr>
          <w:rFonts w:hint="eastAsia" w:hAnsi="宋体"/>
          <w:color w:val="auto"/>
          <w:sz w:val="21"/>
          <w:szCs w:val="21"/>
          <w:highlight w:val="none"/>
        </w:rPr>
        <w:t>简要规格描述或项目基本概况介绍、用途：详见招标文件“第三章  招标内容与服务需求”。</w:t>
      </w:r>
    </w:p>
    <w:p w14:paraId="70F294E7">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备注：详细招标内容与服务需求详见</w:t>
      </w:r>
      <w:r>
        <w:rPr>
          <w:rFonts w:hint="eastAsia" w:hAnsi="宋体"/>
          <w:color w:val="auto"/>
          <w:sz w:val="21"/>
          <w:szCs w:val="21"/>
          <w:highlight w:val="none"/>
          <w:lang w:eastAsia="zh-CN"/>
        </w:rPr>
        <w:t>招标文件</w:t>
      </w:r>
      <w:r>
        <w:rPr>
          <w:rFonts w:hint="eastAsia" w:hAnsi="宋体"/>
          <w:color w:val="auto"/>
          <w:sz w:val="21"/>
          <w:szCs w:val="21"/>
          <w:highlight w:val="none"/>
        </w:rPr>
        <w:t>“第三章  招标内容与服务需求”。</w:t>
      </w:r>
    </w:p>
    <w:p w14:paraId="416121F5">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合同履约期限：</w:t>
      </w:r>
      <w:r>
        <w:rPr>
          <w:rFonts w:hint="eastAsia" w:hAnsi="宋体"/>
          <w:color w:val="auto"/>
          <w:sz w:val="21"/>
          <w:szCs w:val="21"/>
          <w:highlight w:val="none"/>
          <w:lang w:eastAsia="zh-CN"/>
        </w:rPr>
        <w:t>自合同签订之日起三年（其中，第一年为提供各类系统服务，第二年、第三年为服务的延续与保障）</w:t>
      </w:r>
      <w:r>
        <w:rPr>
          <w:rFonts w:hint="eastAsia" w:hAnsi="宋体"/>
          <w:color w:val="auto"/>
          <w:sz w:val="21"/>
          <w:szCs w:val="21"/>
          <w:highlight w:val="none"/>
        </w:rPr>
        <w:t>。</w:t>
      </w:r>
    </w:p>
    <w:p w14:paraId="01EF27CB">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本项目（否）接受联合体投标。</w:t>
      </w:r>
    </w:p>
    <w:p w14:paraId="4C56D418">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Style w:val="55"/>
          <w:rFonts w:hint="eastAsia" w:hAnsi="宋体"/>
          <w:color w:val="auto"/>
          <w:sz w:val="21"/>
          <w:szCs w:val="21"/>
          <w:highlight w:val="none"/>
        </w:rPr>
        <w:t>二、申请人的资格要求</w:t>
      </w:r>
    </w:p>
    <w:p w14:paraId="4CB88CCD">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1.满足《中华人民共和国政府采购法》第二十二条规定；未被“信用中国”（www.creditchina.gov.cn)、中国政府采购网（www.ccgp.gov.cn）列入失信被执行人、</w:t>
      </w:r>
      <w:r>
        <w:rPr>
          <w:rFonts w:hint="eastAsia" w:hAnsi="宋体"/>
          <w:color w:val="auto"/>
          <w:sz w:val="21"/>
          <w:szCs w:val="21"/>
          <w:highlight w:val="none"/>
          <w:lang w:eastAsia="zh-CN"/>
        </w:rPr>
        <w:t>重大税收违法失信主体</w:t>
      </w:r>
      <w:r>
        <w:rPr>
          <w:rFonts w:hint="eastAsia" w:hAnsi="宋体"/>
          <w:color w:val="auto"/>
          <w:sz w:val="21"/>
          <w:szCs w:val="21"/>
          <w:highlight w:val="none"/>
        </w:rPr>
        <w:t>、政府采购严重违法失信行为记录名单。</w:t>
      </w:r>
    </w:p>
    <w:p w14:paraId="4E5EC7DA">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yellow"/>
        </w:rPr>
      </w:pPr>
      <w:r>
        <w:rPr>
          <w:rFonts w:hint="eastAsia" w:hAnsi="宋体"/>
          <w:color w:val="auto"/>
          <w:sz w:val="21"/>
          <w:szCs w:val="21"/>
          <w:highlight w:val="none"/>
        </w:rPr>
        <w:t>2.落实政府采购政策需满足的资格要求：</w:t>
      </w:r>
      <w:r>
        <w:rPr>
          <w:rFonts w:hint="eastAsia" w:hAnsi="宋体"/>
          <w:color w:val="auto"/>
          <w:sz w:val="21"/>
          <w:szCs w:val="21"/>
          <w:highlight w:val="none"/>
          <w:lang w:eastAsia="zh-CN"/>
        </w:rPr>
        <w:t>标项</w:t>
      </w:r>
      <w:r>
        <w:rPr>
          <w:rFonts w:hint="eastAsia" w:hAnsi="宋体"/>
          <w:color w:val="auto"/>
          <w:sz w:val="21"/>
          <w:szCs w:val="21"/>
          <w:highlight w:val="none"/>
          <w:lang w:val="en-US" w:eastAsia="zh-CN"/>
        </w:rPr>
        <w:t>1：</w:t>
      </w:r>
      <w:r>
        <w:rPr>
          <w:rFonts w:hint="eastAsia" w:hAnsi="宋体"/>
          <w:color w:val="auto"/>
          <w:sz w:val="21"/>
          <w:szCs w:val="21"/>
          <w:highlight w:val="none"/>
        </w:rPr>
        <w:t>专门面向中小企业</w:t>
      </w:r>
      <w:r>
        <w:rPr>
          <w:rFonts w:hint="eastAsia" w:hAnsi="宋体"/>
          <w:color w:val="auto"/>
          <w:sz w:val="21"/>
          <w:szCs w:val="21"/>
          <w:highlight w:val="none"/>
          <w:lang w:eastAsia="zh-CN"/>
        </w:rPr>
        <w:t>，服务承接企业均应为中小企业</w:t>
      </w:r>
      <w:r>
        <w:rPr>
          <w:rFonts w:hint="eastAsia" w:hAnsi="宋体"/>
          <w:color w:val="auto"/>
          <w:sz w:val="21"/>
          <w:szCs w:val="21"/>
          <w:highlight w:val="none"/>
        </w:rPr>
        <w:t>（其中，小微企业包括视同为小型、微型企业的监狱企业、残疾人福利性单位）。</w:t>
      </w:r>
    </w:p>
    <w:p w14:paraId="58420A4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3.本项目的特定资格要求：无。</w:t>
      </w:r>
    </w:p>
    <w:p w14:paraId="0230EE6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Style w:val="55"/>
          <w:rFonts w:hint="eastAsia" w:hAnsi="宋体"/>
          <w:color w:val="auto"/>
          <w:sz w:val="21"/>
          <w:szCs w:val="21"/>
          <w:highlight w:val="none"/>
        </w:rPr>
        <w:t>三、获取招标文件</w:t>
      </w:r>
    </w:p>
    <w:p w14:paraId="42A86737">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时间：202</w:t>
      </w:r>
      <w:r>
        <w:rPr>
          <w:rFonts w:hint="eastAsia" w:hAnsi="宋体"/>
          <w:color w:val="auto"/>
          <w:sz w:val="21"/>
          <w:szCs w:val="21"/>
          <w:highlight w:val="none"/>
          <w:lang w:val="en-US" w:eastAsia="zh-CN"/>
        </w:rPr>
        <w:t>5</w:t>
      </w:r>
      <w:r>
        <w:rPr>
          <w:rFonts w:hint="eastAsia" w:hAnsi="宋体"/>
          <w:color w:val="auto"/>
          <w:sz w:val="21"/>
          <w:szCs w:val="21"/>
          <w:highlight w:val="none"/>
        </w:rPr>
        <w:t>年</w:t>
      </w:r>
      <w:r>
        <w:rPr>
          <w:rFonts w:hint="eastAsia" w:hAnsi="宋体"/>
          <w:color w:val="auto"/>
          <w:sz w:val="21"/>
          <w:szCs w:val="21"/>
          <w:highlight w:val="none"/>
          <w:lang w:val="en-US" w:eastAsia="zh-CN"/>
        </w:rPr>
        <w:t>6</w:t>
      </w:r>
      <w:r>
        <w:rPr>
          <w:rFonts w:hint="eastAsia" w:hAnsi="宋体"/>
          <w:color w:val="auto"/>
          <w:sz w:val="21"/>
          <w:szCs w:val="21"/>
          <w:highlight w:val="none"/>
        </w:rPr>
        <w:t>月</w:t>
      </w:r>
      <w:r>
        <w:rPr>
          <w:rFonts w:hint="eastAsia" w:hAnsi="宋体"/>
          <w:color w:val="auto"/>
          <w:sz w:val="21"/>
          <w:szCs w:val="21"/>
          <w:highlight w:val="none"/>
          <w:lang w:val="en-US" w:eastAsia="zh-CN"/>
        </w:rPr>
        <w:t>24</w:t>
      </w:r>
      <w:r>
        <w:rPr>
          <w:rFonts w:hint="eastAsia" w:hAnsi="宋体"/>
          <w:color w:val="auto"/>
          <w:sz w:val="21"/>
          <w:szCs w:val="21"/>
          <w:highlight w:val="none"/>
        </w:rPr>
        <w:t>日至202</w:t>
      </w:r>
      <w:r>
        <w:rPr>
          <w:rFonts w:hint="eastAsia" w:hAnsi="宋体"/>
          <w:color w:val="auto"/>
          <w:sz w:val="21"/>
          <w:szCs w:val="21"/>
          <w:highlight w:val="none"/>
          <w:lang w:val="en-US" w:eastAsia="zh-CN"/>
        </w:rPr>
        <w:t>5</w:t>
      </w:r>
      <w:r>
        <w:rPr>
          <w:rFonts w:hint="eastAsia" w:hAnsi="宋体"/>
          <w:color w:val="auto"/>
          <w:sz w:val="21"/>
          <w:szCs w:val="21"/>
          <w:highlight w:val="none"/>
        </w:rPr>
        <w:t>年</w:t>
      </w:r>
      <w:r>
        <w:rPr>
          <w:rFonts w:hint="eastAsia" w:hAnsi="宋体"/>
          <w:color w:val="auto"/>
          <w:sz w:val="21"/>
          <w:szCs w:val="21"/>
          <w:highlight w:val="none"/>
          <w:lang w:val="en-US" w:eastAsia="zh-CN"/>
        </w:rPr>
        <w:t>7</w:t>
      </w:r>
      <w:r>
        <w:rPr>
          <w:rFonts w:hint="eastAsia" w:hAnsi="宋体"/>
          <w:color w:val="auto"/>
          <w:sz w:val="21"/>
          <w:szCs w:val="21"/>
          <w:highlight w:val="none"/>
        </w:rPr>
        <w:t>月</w:t>
      </w:r>
      <w:r>
        <w:rPr>
          <w:rFonts w:hint="eastAsia" w:hAnsi="宋体"/>
          <w:color w:val="auto"/>
          <w:sz w:val="21"/>
          <w:szCs w:val="21"/>
          <w:highlight w:val="none"/>
          <w:lang w:val="en-US" w:eastAsia="zh-CN"/>
        </w:rPr>
        <w:t>1</w:t>
      </w:r>
      <w:r>
        <w:rPr>
          <w:rFonts w:hint="eastAsia" w:hAnsi="宋体"/>
          <w:color w:val="auto"/>
          <w:sz w:val="21"/>
          <w:szCs w:val="21"/>
          <w:highlight w:val="none"/>
        </w:rPr>
        <w:t>日，每天上午00:00至12:00，下午12:00至23:59（北京时间，线上获取法定节假日均可，线下获取文件法定节假日除外）</w:t>
      </w:r>
    </w:p>
    <w:p w14:paraId="77254081">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地点（网址）：政府采购云平台（www.zcygov.cn）</w:t>
      </w:r>
    </w:p>
    <w:p w14:paraId="6553A4B9">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方式：供应商登录政府采购云平台（www.zcygov.cn）的注册账号后，进入政采云系统“项目采购”模块“获取招标文件”菜单，进行网上获取招标文件。如有疑问请及时咨询网站客服，咨询电话：95763。获取招标文件前，供应商应按照《浙江省政府采购供应商注册及诚信管理暂行办法》的规定在“浙江政府采购网（zfcg.czt.zj.gov.cn）”上进行供应商注册申请，并通过财政部门的终审后登记加入到“浙江省政府采购供应商库”。中标供应商必须注册并登记加入“浙江省政府采购供应商库”。具体要求及注册申请流程详见《浙江省政府采购供应商注册及诚信管理暂行办法》（浙财采监字{2009}28号）和浙江政府采购网“网上办事指南”的“供应商注册申请”。注册咨询电话：95763，如未注册的供应商，请注意注册所需时间。本</w:t>
      </w:r>
      <w:r>
        <w:rPr>
          <w:rFonts w:hint="eastAsia" w:hAnsi="宋体"/>
          <w:color w:val="auto"/>
          <w:sz w:val="21"/>
          <w:szCs w:val="21"/>
          <w:highlight w:val="none"/>
          <w:lang w:eastAsia="zh-CN"/>
        </w:rPr>
        <w:t>采购公告</w:t>
      </w:r>
      <w:r>
        <w:rPr>
          <w:rFonts w:hint="eastAsia" w:hAnsi="宋体"/>
          <w:color w:val="auto"/>
          <w:sz w:val="21"/>
          <w:szCs w:val="21"/>
          <w:highlight w:val="none"/>
        </w:rPr>
        <w:t>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14:paraId="5B228CEB">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售价（元）：0</w:t>
      </w:r>
    </w:p>
    <w:p w14:paraId="57E677A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Style w:val="55"/>
          <w:rFonts w:hint="eastAsia" w:hAnsi="宋体"/>
          <w:color w:val="auto"/>
          <w:sz w:val="21"/>
          <w:szCs w:val="21"/>
          <w:highlight w:val="none"/>
        </w:rPr>
        <w:t>四、提交投标文件截止时间、开标时间和地点</w:t>
      </w:r>
    </w:p>
    <w:p w14:paraId="1E65B24E">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提交投标文件截止时间：202</w:t>
      </w:r>
      <w:r>
        <w:rPr>
          <w:rFonts w:hint="eastAsia" w:hAnsi="宋体"/>
          <w:color w:val="auto"/>
          <w:sz w:val="21"/>
          <w:szCs w:val="21"/>
          <w:highlight w:val="none"/>
          <w:lang w:val="en-US" w:eastAsia="zh-CN"/>
        </w:rPr>
        <w:t>5</w:t>
      </w:r>
      <w:r>
        <w:rPr>
          <w:rFonts w:hint="eastAsia" w:hAnsi="宋体"/>
          <w:color w:val="auto"/>
          <w:sz w:val="21"/>
          <w:szCs w:val="21"/>
          <w:highlight w:val="none"/>
        </w:rPr>
        <w:t>年</w:t>
      </w:r>
      <w:r>
        <w:rPr>
          <w:rFonts w:hint="eastAsia" w:hAnsi="宋体"/>
          <w:color w:val="auto"/>
          <w:sz w:val="21"/>
          <w:szCs w:val="21"/>
          <w:highlight w:val="none"/>
          <w:lang w:val="en-US" w:eastAsia="zh-CN"/>
        </w:rPr>
        <w:t>7</w:t>
      </w:r>
      <w:r>
        <w:rPr>
          <w:rFonts w:hint="eastAsia" w:hAnsi="宋体"/>
          <w:color w:val="auto"/>
          <w:sz w:val="21"/>
          <w:szCs w:val="21"/>
          <w:highlight w:val="none"/>
        </w:rPr>
        <w:t>月</w:t>
      </w:r>
      <w:r>
        <w:rPr>
          <w:rFonts w:hint="eastAsia" w:hAnsi="宋体"/>
          <w:color w:val="auto"/>
          <w:sz w:val="21"/>
          <w:szCs w:val="21"/>
          <w:highlight w:val="none"/>
          <w:lang w:val="en-US" w:eastAsia="zh-CN"/>
        </w:rPr>
        <w:t>14</w:t>
      </w:r>
      <w:r>
        <w:rPr>
          <w:rFonts w:hint="eastAsia" w:hAnsi="宋体"/>
          <w:color w:val="auto"/>
          <w:sz w:val="21"/>
          <w:szCs w:val="21"/>
          <w:highlight w:val="none"/>
        </w:rPr>
        <w:t>日09:</w:t>
      </w:r>
      <w:r>
        <w:rPr>
          <w:rFonts w:hint="eastAsia" w:hAnsi="宋体"/>
          <w:color w:val="auto"/>
          <w:sz w:val="21"/>
          <w:szCs w:val="21"/>
          <w:highlight w:val="none"/>
          <w:lang w:val="en-US" w:eastAsia="zh-CN"/>
        </w:rPr>
        <w:t>3</w:t>
      </w:r>
      <w:r>
        <w:rPr>
          <w:rFonts w:hint="eastAsia" w:hAnsi="宋体"/>
          <w:color w:val="auto"/>
          <w:sz w:val="21"/>
          <w:szCs w:val="21"/>
          <w:highlight w:val="none"/>
        </w:rPr>
        <w:t>0（北京时间）</w:t>
      </w:r>
    </w:p>
    <w:p w14:paraId="5CBA4A60">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投标地点（网址）：政府采购云平台（http://www.zcygov.cn/）</w:t>
      </w:r>
    </w:p>
    <w:p w14:paraId="599BD635">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开标时间：202</w:t>
      </w:r>
      <w:r>
        <w:rPr>
          <w:rFonts w:hint="eastAsia" w:hAnsi="宋体"/>
          <w:color w:val="auto"/>
          <w:sz w:val="21"/>
          <w:szCs w:val="21"/>
          <w:highlight w:val="none"/>
          <w:lang w:val="en-US" w:eastAsia="zh-CN"/>
        </w:rPr>
        <w:t>5</w:t>
      </w:r>
      <w:r>
        <w:rPr>
          <w:rFonts w:hint="eastAsia" w:hAnsi="宋体"/>
          <w:color w:val="auto"/>
          <w:sz w:val="21"/>
          <w:szCs w:val="21"/>
          <w:highlight w:val="none"/>
        </w:rPr>
        <w:t>年</w:t>
      </w:r>
      <w:r>
        <w:rPr>
          <w:rFonts w:hint="eastAsia" w:hAnsi="宋体"/>
          <w:color w:val="auto"/>
          <w:sz w:val="21"/>
          <w:szCs w:val="21"/>
          <w:highlight w:val="none"/>
          <w:lang w:val="en-US" w:eastAsia="zh-CN"/>
        </w:rPr>
        <w:t>7</w:t>
      </w:r>
      <w:r>
        <w:rPr>
          <w:rFonts w:hint="eastAsia" w:hAnsi="宋体"/>
          <w:color w:val="auto"/>
          <w:sz w:val="21"/>
          <w:szCs w:val="21"/>
          <w:highlight w:val="none"/>
        </w:rPr>
        <w:t>月</w:t>
      </w:r>
      <w:r>
        <w:rPr>
          <w:rFonts w:hint="eastAsia" w:hAnsi="宋体"/>
          <w:color w:val="auto"/>
          <w:sz w:val="21"/>
          <w:szCs w:val="21"/>
          <w:highlight w:val="none"/>
          <w:lang w:val="en-US" w:eastAsia="zh-CN"/>
        </w:rPr>
        <w:t>14</w:t>
      </w:r>
      <w:r>
        <w:rPr>
          <w:rFonts w:hint="eastAsia" w:hAnsi="宋体"/>
          <w:color w:val="auto"/>
          <w:sz w:val="21"/>
          <w:szCs w:val="21"/>
          <w:highlight w:val="none"/>
        </w:rPr>
        <w:t>日09:</w:t>
      </w:r>
      <w:r>
        <w:rPr>
          <w:rFonts w:hint="eastAsia" w:hAnsi="宋体"/>
          <w:color w:val="auto"/>
          <w:sz w:val="21"/>
          <w:szCs w:val="21"/>
          <w:highlight w:val="none"/>
          <w:lang w:val="en-US" w:eastAsia="zh-CN"/>
        </w:rPr>
        <w:t>3</w:t>
      </w:r>
      <w:r>
        <w:rPr>
          <w:rFonts w:hint="eastAsia" w:hAnsi="宋体"/>
          <w:color w:val="auto"/>
          <w:sz w:val="21"/>
          <w:szCs w:val="21"/>
          <w:highlight w:val="none"/>
        </w:rPr>
        <w:t>0（北京时间）</w:t>
      </w:r>
    </w:p>
    <w:p w14:paraId="14C72470">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开标地点（网址）：政府采购云平台（http://www.zcygov.cn/）</w:t>
      </w:r>
    </w:p>
    <w:p w14:paraId="006BA6D2">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Style w:val="55"/>
          <w:rFonts w:hint="eastAsia" w:hAnsi="宋体"/>
          <w:color w:val="auto"/>
          <w:sz w:val="21"/>
          <w:szCs w:val="21"/>
          <w:highlight w:val="none"/>
        </w:rPr>
        <w:t>五、公告期限</w:t>
      </w:r>
    </w:p>
    <w:p w14:paraId="61AEB7A6">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自本公告发布之日起5个工作日。</w:t>
      </w:r>
    </w:p>
    <w:p w14:paraId="217C1BD6">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Style w:val="55"/>
          <w:rFonts w:hint="eastAsia" w:hAnsi="宋体"/>
          <w:color w:val="auto"/>
          <w:sz w:val="21"/>
          <w:szCs w:val="21"/>
          <w:highlight w:val="none"/>
        </w:rPr>
        <w:t>六、其他补充事宜</w:t>
      </w:r>
    </w:p>
    <w:p w14:paraId="1D58B87A">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5D126E0">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BAE1B3">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3.供应商认为招标文件使自己的权益受到损害的，可以自获取招标文件之日或者招标文件公告期限届满之日（公告期限届满后获取招标文件的，以公告期限届满之日为准）起7个工作日内，对招标文件需求的以书面形式向</w:t>
      </w:r>
      <w:r>
        <w:rPr>
          <w:rFonts w:hint="eastAsia" w:hAnsi="宋体"/>
          <w:color w:val="auto"/>
          <w:sz w:val="21"/>
          <w:szCs w:val="21"/>
          <w:highlight w:val="none"/>
          <w:lang w:eastAsia="zh-CN"/>
        </w:rPr>
        <w:t>采购人</w:t>
      </w:r>
      <w:r>
        <w:rPr>
          <w:rFonts w:hint="eastAsia" w:hAnsi="宋体"/>
          <w:color w:val="auto"/>
          <w:sz w:val="21"/>
          <w:szCs w:val="21"/>
          <w:highlight w:val="none"/>
        </w:rPr>
        <w:t>提出质疑，对其他内容的以书面形式向</w:t>
      </w:r>
      <w:r>
        <w:rPr>
          <w:rFonts w:hint="eastAsia" w:hAnsi="宋体"/>
          <w:color w:val="auto"/>
          <w:sz w:val="21"/>
          <w:szCs w:val="21"/>
          <w:highlight w:val="none"/>
          <w:lang w:eastAsia="zh-CN"/>
        </w:rPr>
        <w:t>采购人</w:t>
      </w:r>
      <w:r>
        <w:rPr>
          <w:rFonts w:hint="eastAsia" w:hAnsi="宋体"/>
          <w:color w:val="auto"/>
          <w:sz w:val="21"/>
          <w:szCs w:val="21"/>
          <w:highlight w:val="none"/>
        </w:rPr>
        <w:t>和采购代理机构提出质疑。质疑供应商对</w:t>
      </w:r>
      <w:r>
        <w:rPr>
          <w:rFonts w:hint="eastAsia" w:hAnsi="宋体"/>
          <w:color w:val="auto"/>
          <w:sz w:val="21"/>
          <w:szCs w:val="21"/>
          <w:highlight w:val="none"/>
          <w:lang w:eastAsia="zh-CN"/>
        </w:rPr>
        <w:t>采购人</w:t>
      </w:r>
      <w:r>
        <w:rPr>
          <w:rFonts w:hint="eastAsia" w:hAnsi="宋体"/>
          <w:color w:val="auto"/>
          <w:sz w:val="21"/>
          <w:szCs w:val="21"/>
          <w:highlight w:val="none"/>
        </w:rPr>
        <w:t>、采购代理机构的答复不满意或者</w:t>
      </w:r>
      <w:r>
        <w:rPr>
          <w:rFonts w:hint="eastAsia" w:hAnsi="宋体"/>
          <w:color w:val="auto"/>
          <w:sz w:val="21"/>
          <w:szCs w:val="21"/>
          <w:highlight w:val="none"/>
          <w:lang w:eastAsia="zh-CN"/>
        </w:rPr>
        <w:t>采购人</w:t>
      </w:r>
      <w:r>
        <w:rPr>
          <w:rFonts w:hint="eastAsia" w:hAnsi="宋体"/>
          <w:color w:val="auto"/>
          <w:sz w:val="21"/>
          <w:szCs w:val="21"/>
          <w:highlight w:val="none"/>
        </w:rPr>
        <w:t>、采购代理机构未在规定的时间内作出答复的，可以在答复期满后十五个工作日内向同级政府采购监督管理部门投诉。质疑函范本、投诉书范本请到浙江政府采购网下载专区下载。</w:t>
      </w:r>
    </w:p>
    <w:p w14:paraId="02E35FD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4.其他事项：（1）本项目实行网上投标，采用电子投标文件。若供应商参与投标，自行承担投标一切费用。（2）标前准备：各供应商应在投标截止时间前确保成为浙江政府采购网正式注册入库供应商，并完成CA数字证书办理。因未注册入库、未办理CA数字证书等原因造成无法投标或投标失败等后果由供应商自行承担（供应商CA申领操作指南：https://help.zcygov.cn/web/site_2/2018/11-29/2452.html，完成CA数字证书办理预计一周左右，请供应商自行把握时间）。（3）单位负责人为同一人或者存在直接控股、管理关系的不同供应商，不得参加同一标项号的投标。（4）为本项目提供整体设计、规范编制或者项目管理、监理、检测等服务的供应商，不得再参加本项目的投标。（5）落实的政策：《政府采购促进中小企业发展管理办法》（财库〔2020〕46号）、《关于促进残疾人就业政府采购政策的通知》（财库[2017]141号）、《关于政府采购支持监狱企业发展有关问题的通知》(财库[2014]68号)、《关于环境标志产品政府采购实施的意见》（财库〔2006〕90号、《节能产品政府采购实施意见》的通知（财库〔2004〕185号）。</w:t>
      </w:r>
    </w:p>
    <w:p w14:paraId="5A2BEF2A">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Style w:val="55"/>
          <w:rFonts w:hint="eastAsia" w:hAnsi="宋体"/>
          <w:color w:val="auto"/>
          <w:sz w:val="21"/>
          <w:szCs w:val="21"/>
          <w:highlight w:val="none"/>
        </w:rPr>
        <w:t>七、对本次采购提出询问、质疑、投诉，请按以下方式联系</w:t>
      </w:r>
    </w:p>
    <w:p w14:paraId="0BA026F4">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1.</w:t>
      </w:r>
      <w:r>
        <w:rPr>
          <w:rFonts w:hint="eastAsia" w:hAnsi="宋体"/>
          <w:color w:val="auto"/>
          <w:sz w:val="21"/>
          <w:szCs w:val="21"/>
          <w:highlight w:val="none"/>
          <w:lang w:eastAsia="zh-CN"/>
        </w:rPr>
        <w:t>采购人</w:t>
      </w:r>
      <w:r>
        <w:rPr>
          <w:rFonts w:hint="eastAsia" w:hAnsi="宋体"/>
          <w:color w:val="auto"/>
          <w:sz w:val="21"/>
          <w:szCs w:val="21"/>
          <w:highlight w:val="none"/>
        </w:rPr>
        <w:t>信息</w:t>
      </w:r>
    </w:p>
    <w:p w14:paraId="5E2BD6D5">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名    称：宁波大学</w:t>
      </w:r>
    </w:p>
    <w:p w14:paraId="45592A2D">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地    址：宁波市江北区风华路818号</w:t>
      </w:r>
    </w:p>
    <w:p w14:paraId="6779551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传    真：/</w:t>
      </w:r>
    </w:p>
    <w:p w14:paraId="08B9DE84">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项目联系人（询问）：陆老师</w:t>
      </w:r>
    </w:p>
    <w:p w14:paraId="5F0FC180">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项目联系方式（询问）：0574-87600082</w:t>
      </w:r>
    </w:p>
    <w:p w14:paraId="007C8A0F">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质疑联系人：丁老师</w:t>
      </w:r>
    </w:p>
    <w:p w14:paraId="37737136">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质疑联系方式：0574-87609011</w:t>
      </w:r>
    </w:p>
    <w:p w14:paraId="561C8034">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Fonts w:hint="eastAsia" w:hAnsi="宋体"/>
          <w:color w:val="auto"/>
          <w:sz w:val="21"/>
          <w:szCs w:val="21"/>
          <w:highlight w:val="none"/>
        </w:rPr>
        <w:t xml:space="preserve">   </w:t>
      </w:r>
    </w:p>
    <w:p w14:paraId="63155DD9">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Fonts w:hint="eastAsia" w:hAnsi="宋体"/>
          <w:color w:val="auto"/>
          <w:sz w:val="21"/>
          <w:szCs w:val="21"/>
          <w:highlight w:val="none"/>
        </w:rPr>
        <w:t xml:space="preserve">    2.采购代理机构信息</w:t>
      </w:r>
    </w:p>
    <w:p w14:paraId="353B58EB">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名    称：宁波市国际招标有限公司</w:t>
      </w:r>
    </w:p>
    <w:p w14:paraId="6F7BD66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地    址：浙江省宁波市江北区环城北路西段207弄19号世茂茂悦商业中心1号楼8楼</w:t>
      </w:r>
    </w:p>
    <w:p w14:paraId="03254692">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传    真：0574-87388460</w:t>
      </w:r>
    </w:p>
    <w:p w14:paraId="78259141">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项目联系人（询问）：陈洋、房逸楠、严锋、张敏恒、曹晓琪</w:t>
      </w:r>
    </w:p>
    <w:p w14:paraId="675CCEC0">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项目联系方式（询问）：0574-87295348、0574-87629230</w:t>
      </w:r>
    </w:p>
    <w:p w14:paraId="70D57F6B">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int="eastAsia" w:hAnsi="宋体"/>
          <w:color w:val="auto"/>
          <w:sz w:val="21"/>
          <w:szCs w:val="21"/>
          <w:highlight w:val="none"/>
        </w:rPr>
      </w:pPr>
      <w:r>
        <w:rPr>
          <w:rFonts w:hint="eastAsia" w:hAnsi="宋体"/>
          <w:color w:val="auto"/>
          <w:sz w:val="21"/>
          <w:szCs w:val="21"/>
          <w:highlight w:val="none"/>
        </w:rPr>
        <w:t>质疑联系人：夏伟立</w:t>
      </w:r>
    </w:p>
    <w:p w14:paraId="2AEC72C9">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质疑联系方式：0574-87128864</w:t>
      </w:r>
    </w:p>
    <w:p w14:paraId="7B199CA2">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jc w:val="both"/>
        <w:textAlignment w:val="auto"/>
        <w:rPr>
          <w:rFonts w:hAnsi="宋体"/>
          <w:color w:val="auto"/>
          <w:sz w:val="21"/>
          <w:szCs w:val="21"/>
          <w:highlight w:val="none"/>
        </w:rPr>
      </w:pPr>
      <w:r>
        <w:rPr>
          <w:rFonts w:hint="eastAsia" w:hAnsi="宋体"/>
          <w:color w:val="auto"/>
          <w:sz w:val="21"/>
          <w:szCs w:val="21"/>
          <w:highlight w:val="none"/>
        </w:rPr>
        <w:t xml:space="preserve">   </w:t>
      </w:r>
    </w:p>
    <w:p w14:paraId="7B6BA5A5">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 xml:space="preserve">3.同级政府采购监督管理部门            </w:t>
      </w:r>
    </w:p>
    <w:p w14:paraId="3BA188FC">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名    称：</w:t>
      </w:r>
      <w:r>
        <w:rPr>
          <w:rFonts w:hint="eastAsia" w:hAnsi="宋体"/>
          <w:color w:val="auto"/>
          <w:sz w:val="21"/>
          <w:szCs w:val="21"/>
          <w:highlight w:val="none"/>
          <w:lang w:eastAsia="zh-CN"/>
        </w:rPr>
        <w:t>宁波市财政局政府采购监管处</w:t>
      </w:r>
      <w:r>
        <w:rPr>
          <w:rFonts w:hint="eastAsia" w:hAnsi="宋体"/>
          <w:color w:val="auto"/>
          <w:sz w:val="21"/>
          <w:szCs w:val="21"/>
          <w:highlight w:val="none"/>
        </w:rPr>
        <w:t xml:space="preserve">             </w:t>
      </w:r>
    </w:p>
    <w:p w14:paraId="2F451F33">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 xml:space="preserve">地    址：宁波市海曙区中山西路19号             </w:t>
      </w:r>
    </w:p>
    <w:p w14:paraId="11C627A5">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 xml:space="preserve">传    真：/             </w:t>
      </w:r>
    </w:p>
    <w:p w14:paraId="125098F6">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 xml:space="preserve">联 系 人：李老师             </w:t>
      </w:r>
    </w:p>
    <w:p w14:paraId="6AEDA584">
      <w:pPr>
        <w:pStyle w:val="46"/>
        <w:keepNext w:val="0"/>
        <w:keepLines w:val="0"/>
        <w:pageBreakBefore w:val="0"/>
        <w:kinsoku/>
        <w:wordWrap/>
        <w:overflowPunct/>
        <w:topLinePunct w:val="0"/>
        <w:autoSpaceDE/>
        <w:autoSpaceDN/>
        <w:bidi w:val="0"/>
        <w:adjustRightInd/>
        <w:snapToGrid/>
        <w:spacing w:before="0" w:beforeAutospacing="0" w:after="0" w:afterAutospacing="0" w:line="400" w:lineRule="exact"/>
        <w:ind w:left="0" w:leftChars="0" w:firstLine="420" w:firstLineChars="200"/>
        <w:jc w:val="both"/>
        <w:textAlignment w:val="auto"/>
        <w:rPr>
          <w:rFonts w:hAnsi="宋体"/>
          <w:color w:val="auto"/>
          <w:sz w:val="21"/>
          <w:szCs w:val="21"/>
          <w:highlight w:val="none"/>
        </w:rPr>
      </w:pPr>
      <w:r>
        <w:rPr>
          <w:rFonts w:hint="eastAsia" w:hAnsi="宋体"/>
          <w:color w:val="auto"/>
          <w:sz w:val="21"/>
          <w:szCs w:val="21"/>
          <w:highlight w:val="none"/>
        </w:rPr>
        <w:t>监督投诉电话：0574-89388042</w:t>
      </w:r>
    </w:p>
    <w:p w14:paraId="3C594A62">
      <w:pPr>
        <w:keepNext w:val="0"/>
        <w:keepLines w:val="0"/>
        <w:pageBreakBefore w:val="0"/>
        <w:widowControl/>
        <w:kinsoku/>
        <w:wordWrap/>
        <w:overflowPunct/>
        <w:topLinePunct w:val="0"/>
        <w:autoSpaceDE/>
        <w:autoSpaceDN/>
        <w:bidi w:val="0"/>
        <w:adjustRightInd/>
        <w:snapToGrid/>
        <w:spacing w:line="400" w:lineRule="exact"/>
        <w:ind w:left="0" w:leftChars="0"/>
        <w:jc w:val="both"/>
        <w:textAlignment w:val="auto"/>
        <w:rPr>
          <w:rFonts w:ascii="宋体" w:hAnsi="宋体" w:cs="宋体"/>
          <w:color w:val="auto"/>
          <w:szCs w:val="21"/>
          <w:highlight w:val="none"/>
        </w:rPr>
      </w:pPr>
    </w:p>
    <w:p w14:paraId="7509058B">
      <w:pPr>
        <w:keepNext w:val="0"/>
        <w:keepLines w:val="0"/>
        <w:pageBreakBefore w:val="0"/>
        <w:widowControl/>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若对项目采购电子交易系统操作有疑问，可登录政采云（https://www.zcygov.cn/），点击右侧咨询小采，获取采小蜜智能服务管家帮助，或拨打政采云服务热线95763获取热线服务帮助。</w:t>
      </w:r>
    </w:p>
    <w:p w14:paraId="60A3DB86">
      <w:pPr>
        <w:keepNext w:val="0"/>
        <w:keepLines w:val="0"/>
        <w:pageBreakBefore w:val="0"/>
        <w:widowControl/>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CA问题联系电话（人工）：汇信CA400-888-4636；天谷CA400-087-8198。</w:t>
      </w:r>
    </w:p>
    <w:p w14:paraId="4251C3B0">
      <w:pPr>
        <w:widowControl/>
        <w:spacing w:line="400" w:lineRule="exact"/>
        <w:ind w:firstLine="420" w:firstLineChars="200"/>
        <w:jc w:val="both"/>
        <w:rPr>
          <w:rFonts w:ascii="宋体" w:hAnsi="宋体" w:cs="宋体"/>
          <w:color w:val="auto"/>
          <w:kern w:val="0"/>
          <w:szCs w:val="21"/>
          <w:highlight w:val="none"/>
        </w:rPr>
      </w:pPr>
    </w:p>
    <w:p w14:paraId="12DA6890">
      <w:pPr>
        <w:widowControl/>
        <w:spacing w:line="400" w:lineRule="exact"/>
        <w:ind w:firstLine="420" w:firstLineChars="200"/>
        <w:jc w:val="both"/>
        <w:rPr>
          <w:rFonts w:ascii="宋体" w:hAnsi="宋体" w:cs="宋体"/>
          <w:color w:val="auto"/>
          <w:kern w:val="0"/>
          <w:szCs w:val="21"/>
          <w:highlight w:val="none"/>
        </w:rPr>
        <w:sectPr>
          <w:footerReference r:id="rId9" w:type="default"/>
          <w:pgSz w:w="11905" w:h="16838"/>
          <w:pgMar w:top="1474" w:right="1474" w:bottom="1474" w:left="1474" w:header="907" w:footer="850" w:gutter="0"/>
          <w:pgBorders>
            <w:top w:val="none" w:sz="0" w:space="0"/>
            <w:left w:val="none" w:sz="0" w:space="0"/>
            <w:bottom w:val="none" w:sz="0" w:space="0"/>
            <w:right w:val="none" w:sz="0" w:space="0"/>
          </w:pgBorders>
          <w:pgNumType w:fmt="decimal" w:start="1"/>
          <w:cols w:space="0" w:num="1"/>
          <w:docGrid w:type="lines" w:linePitch="289" w:charSpace="0"/>
        </w:sectPr>
      </w:pPr>
    </w:p>
    <w:p w14:paraId="227EA142">
      <w:pPr>
        <w:keepNext w:val="0"/>
        <w:keepLines w:val="0"/>
        <w:pageBreakBefore w:val="0"/>
        <w:widowControl w:val="0"/>
        <w:kinsoku/>
        <w:wordWrap/>
        <w:overflowPunct/>
        <w:topLinePunct w:val="0"/>
        <w:bidi w:val="0"/>
        <w:adjustRightInd/>
        <w:snapToGrid/>
        <w:spacing w:line="400" w:lineRule="exact"/>
        <w:jc w:val="center"/>
        <w:outlineLvl w:val="0"/>
        <w:rPr>
          <w:rFonts w:ascii="宋体" w:hAnsi="宋体" w:cs="宋体"/>
          <w:b/>
          <w:color w:val="auto"/>
          <w:sz w:val="32"/>
          <w:highlight w:val="none"/>
        </w:rPr>
      </w:pPr>
      <w:bookmarkStart w:id="1" w:name="_Toc15028"/>
      <w:r>
        <w:rPr>
          <w:rFonts w:hint="eastAsia" w:ascii="宋体" w:hAnsi="宋体" w:cs="宋体"/>
          <w:b/>
          <w:color w:val="auto"/>
          <w:sz w:val="32"/>
          <w:highlight w:val="none"/>
        </w:rPr>
        <w:t>第二章  投标须知</w:t>
      </w:r>
      <w:bookmarkEnd w:id="1"/>
    </w:p>
    <w:p w14:paraId="0C691EC6">
      <w:pPr>
        <w:keepNext w:val="0"/>
        <w:keepLines w:val="0"/>
        <w:pageBreakBefore w:val="0"/>
        <w:widowControl w:val="0"/>
        <w:kinsoku/>
        <w:wordWrap/>
        <w:overflowPunct/>
        <w:topLinePunct w:val="0"/>
        <w:bidi w:val="0"/>
        <w:adjustRightInd/>
        <w:snapToGrid/>
        <w:spacing w:line="400" w:lineRule="exact"/>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前附表</w:t>
      </w:r>
    </w:p>
    <w:p w14:paraId="4DD725E1">
      <w:pPr>
        <w:keepNext w:val="0"/>
        <w:keepLines w:val="0"/>
        <w:pageBreakBefore w:val="0"/>
        <w:widowControl w:val="0"/>
        <w:kinsoku/>
        <w:wordWrap/>
        <w:overflowPunct/>
        <w:topLinePunct w:val="0"/>
        <w:bidi w:val="0"/>
        <w:adjustRightInd/>
        <w:snapToGrid/>
        <w:spacing w:line="400" w:lineRule="exact"/>
        <w:rPr>
          <w:rFonts w:ascii="宋体" w:hAnsi="宋体" w:cs="宋体"/>
          <w:b/>
          <w:bCs/>
          <w:color w:val="auto"/>
          <w:sz w:val="24"/>
          <w:szCs w:val="24"/>
          <w:highlight w:val="none"/>
        </w:rPr>
      </w:pPr>
      <w:r>
        <w:rPr>
          <w:rFonts w:hint="eastAsia" w:ascii="宋体" w:hAnsi="宋体" w:cs="宋体"/>
          <w:b/>
          <w:bCs/>
          <w:color w:val="auto"/>
          <w:sz w:val="21"/>
          <w:szCs w:val="21"/>
          <w:highlight w:val="none"/>
        </w:rPr>
        <w:t>本部分各条款是关于本次公开招标的具体说明和要求，如与招标文件</w:t>
      </w:r>
      <w:r>
        <w:rPr>
          <w:rFonts w:hint="eastAsia" w:ascii="宋体" w:hAnsi="宋体" w:cs="宋体"/>
          <w:b/>
          <w:bCs/>
          <w:color w:val="auto"/>
          <w:sz w:val="21"/>
          <w:szCs w:val="21"/>
          <w:highlight w:val="none"/>
          <w:lang w:eastAsia="zh-CN"/>
        </w:rPr>
        <w:t>其他部分</w:t>
      </w:r>
      <w:r>
        <w:rPr>
          <w:rFonts w:hint="eastAsia" w:ascii="宋体" w:hAnsi="宋体" w:cs="宋体"/>
          <w:b/>
          <w:bCs/>
          <w:color w:val="auto"/>
          <w:sz w:val="21"/>
          <w:szCs w:val="21"/>
          <w:highlight w:val="none"/>
        </w:rPr>
        <w:t>有矛盾的，应以此前附表为准。</w:t>
      </w:r>
    </w:p>
    <w:tbl>
      <w:tblPr>
        <w:tblStyle w:val="52"/>
        <w:tblW w:w="91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30"/>
        <w:gridCol w:w="8241"/>
      </w:tblGrid>
      <w:tr w14:paraId="25EE49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4301441A">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8241" w:type="dxa"/>
            <w:tcBorders>
              <w:top w:val="single" w:color="auto" w:sz="4" w:space="0"/>
              <w:left w:val="single" w:color="auto" w:sz="4" w:space="0"/>
              <w:bottom w:val="single" w:color="auto" w:sz="4" w:space="0"/>
              <w:right w:val="single" w:color="auto" w:sz="4" w:space="0"/>
            </w:tcBorders>
            <w:vAlign w:val="center"/>
          </w:tcPr>
          <w:p w14:paraId="3A319780">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内容、要求</w:t>
            </w:r>
          </w:p>
        </w:tc>
      </w:tr>
      <w:tr w14:paraId="53FF6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6DEA7540">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8241" w:type="dxa"/>
            <w:tcBorders>
              <w:top w:val="single" w:color="auto" w:sz="4" w:space="0"/>
              <w:left w:val="single" w:color="auto" w:sz="4" w:space="0"/>
              <w:bottom w:val="single" w:color="auto" w:sz="4" w:space="0"/>
              <w:right w:val="single" w:color="auto" w:sz="4" w:space="0"/>
            </w:tcBorders>
            <w:vAlign w:val="center"/>
          </w:tcPr>
          <w:p w14:paraId="0503325C">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lang w:eastAsia="zh-CN"/>
              </w:rPr>
              <w:t>采购人信息</w:t>
            </w:r>
            <w:r>
              <w:rPr>
                <w:rFonts w:hint="eastAsia" w:ascii="宋体" w:hAnsi="宋体" w:cs="宋体"/>
                <w:color w:val="auto"/>
                <w:szCs w:val="21"/>
                <w:highlight w:val="none"/>
              </w:rPr>
              <w:t>：</w:t>
            </w:r>
          </w:p>
          <w:p w14:paraId="7D76CFC4">
            <w:pPr>
              <w:keepNext w:val="0"/>
              <w:keepLines w:val="0"/>
              <w:pageBreakBefore w:val="0"/>
              <w:widowControl w:val="0"/>
              <w:kinsoku/>
              <w:wordWrap/>
              <w:overflowPunct/>
              <w:topLinePunct w:val="0"/>
              <w:bidi w:val="0"/>
              <w:adjustRightInd/>
              <w:snapToGrid/>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宁波大学</w:t>
            </w:r>
          </w:p>
          <w:p w14:paraId="27DE9F51">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地    址：宁波市江北区风华路818号</w:t>
            </w:r>
          </w:p>
          <w:p w14:paraId="07C8C27B">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传    真：/</w:t>
            </w:r>
          </w:p>
          <w:p w14:paraId="22C36C8D">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项目联系人（询问）：陆老师</w:t>
            </w:r>
          </w:p>
          <w:p w14:paraId="0D264549">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项目联系方式（询问）：0574-87600082</w:t>
            </w:r>
          </w:p>
          <w:p w14:paraId="05CAFA7D">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质疑联系人：丁老师</w:t>
            </w:r>
          </w:p>
          <w:p w14:paraId="29666BB0">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质疑联系方式：0574-87609011</w:t>
            </w:r>
          </w:p>
        </w:tc>
      </w:tr>
      <w:tr w14:paraId="0BC86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1C20CC4D">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8241" w:type="dxa"/>
            <w:tcBorders>
              <w:top w:val="single" w:color="auto" w:sz="4" w:space="0"/>
              <w:left w:val="single" w:color="auto" w:sz="4" w:space="0"/>
              <w:bottom w:val="single" w:color="auto" w:sz="4" w:space="0"/>
              <w:right w:val="single" w:color="auto" w:sz="4" w:space="0"/>
            </w:tcBorders>
            <w:vAlign w:val="center"/>
          </w:tcPr>
          <w:p w14:paraId="14748903">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采购代理机构</w:t>
            </w:r>
            <w:r>
              <w:rPr>
                <w:rFonts w:hint="eastAsia" w:ascii="宋体" w:hAnsi="宋体" w:cs="宋体"/>
                <w:color w:val="auto"/>
                <w:szCs w:val="21"/>
                <w:highlight w:val="none"/>
                <w:lang w:eastAsia="zh-CN"/>
              </w:rPr>
              <w:t>信息</w:t>
            </w:r>
            <w:r>
              <w:rPr>
                <w:rFonts w:hint="eastAsia" w:ascii="宋体" w:hAnsi="宋体" w:cs="宋体"/>
                <w:color w:val="auto"/>
                <w:szCs w:val="21"/>
                <w:highlight w:val="none"/>
              </w:rPr>
              <w:t>：</w:t>
            </w:r>
          </w:p>
          <w:p w14:paraId="26F74044">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名    称：宁波市国际招标有限公司</w:t>
            </w:r>
          </w:p>
          <w:p w14:paraId="0390F9E8">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地    址：浙江省宁波市江北区环城北路西段207弄19号世茂茂悦商业中心1号楼8楼</w:t>
            </w:r>
          </w:p>
          <w:p w14:paraId="6FBB5371">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传    真：0574-87388460</w:t>
            </w:r>
          </w:p>
          <w:p w14:paraId="4C6D1139">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项目联系人（询问）：陈洋、房逸楠、严锋、张敏恒、曹晓琪</w:t>
            </w:r>
          </w:p>
          <w:p w14:paraId="41D96EBE">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项目联系方式（询问）：0574-87295348、0574-87629230</w:t>
            </w:r>
          </w:p>
          <w:p w14:paraId="367A9790">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质疑联系人：夏伟立</w:t>
            </w:r>
          </w:p>
          <w:p w14:paraId="265C3DEE">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质疑联系方式：0574-87128864</w:t>
            </w:r>
          </w:p>
        </w:tc>
      </w:tr>
      <w:tr w14:paraId="50CFD7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002E2CC4">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8241" w:type="dxa"/>
            <w:tcBorders>
              <w:top w:val="single" w:color="auto" w:sz="4" w:space="0"/>
              <w:left w:val="single" w:color="auto" w:sz="4" w:space="0"/>
              <w:bottom w:val="single" w:color="auto" w:sz="4" w:space="0"/>
              <w:right w:val="single" w:color="auto" w:sz="4" w:space="0"/>
            </w:tcBorders>
            <w:vAlign w:val="center"/>
          </w:tcPr>
          <w:p w14:paraId="1E56B67F">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发布媒体：</w:t>
            </w:r>
          </w:p>
          <w:p w14:paraId="5463AF6A">
            <w:pPr>
              <w:spacing w:line="400" w:lineRule="exact"/>
              <w:rPr>
                <w:rFonts w:ascii="宋体" w:hAnsi="宋体" w:cs="宋体"/>
                <w:szCs w:val="21"/>
              </w:rPr>
            </w:pPr>
            <w:r>
              <w:rPr>
                <w:rFonts w:hint="eastAsia" w:ascii="宋体" w:hAnsi="宋体" w:cs="宋体"/>
                <w:szCs w:val="21"/>
              </w:rPr>
              <w:t>浙江政府采购网                    https://zfcg.czt.zj.gov.cn/</w:t>
            </w:r>
          </w:p>
          <w:p w14:paraId="0F4D4A7B">
            <w:pPr>
              <w:spacing w:line="400" w:lineRule="exact"/>
              <w:rPr>
                <w:rFonts w:ascii="宋体" w:hAnsi="宋体" w:cs="宋体"/>
                <w:szCs w:val="21"/>
              </w:rPr>
            </w:pPr>
            <w:r>
              <w:rPr>
                <w:rFonts w:hint="eastAsia" w:ascii="宋体" w:hAnsi="宋体" w:cs="宋体"/>
                <w:szCs w:val="21"/>
              </w:rPr>
              <w:t>宁波政府采购网                    https://zfcg.czj.ningbo.gov.cn/</w:t>
            </w:r>
          </w:p>
          <w:p w14:paraId="08E1E48B">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szCs w:val="21"/>
              </w:rPr>
              <w:t>宁波市国际招标有限公司网          http://www.nbbidding.com/</w:t>
            </w:r>
          </w:p>
        </w:tc>
      </w:tr>
      <w:tr w14:paraId="5C15B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2C1138F9">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b/>
                <w:color w:val="auto"/>
                <w:szCs w:val="21"/>
                <w:highlight w:val="none"/>
                <w:lang w:eastAsia="zh-CN"/>
              </w:rPr>
              <w:t>★</w:t>
            </w:r>
            <w:r>
              <w:rPr>
                <w:rFonts w:hint="eastAsia" w:ascii="宋体" w:hAnsi="宋体" w:cs="宋体"/>
                <w:color w:val="auto"/>
                <w:szCs w:val="21"/>
                <w:highlight w:val="none"/>
              </w:rPr>
              <w:t>4</w:t>
            </w:r>
          </w:p>
        </w:tc>
        <w:tc>
          <w:tcPr>
            <w:tcW w:w="8241" w:type="dxa"/>
            <w:tcBorders>
              <w:top w:val="single" w:color="auto" w:sz="4" w:space="0"/>
              <w:left w:val="single" w:color="auto" w:sz="4" w:space="0"/>
              <w:bottom w:val="single" w:color="auto" w:sz="4" w:space="0"/>
              <w:right w:val="single" w:color="auto" w:sz="4" w:space="0"/>
            </w:tcBorders>
            <w:vAlign w:val="center"/>
          </w:tcPr>
          <w:p w14:paraId="1A6753A6">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u w:val="single"/>
              </w:rPr>
            </w:pPr>
            <w:r>
              <w:rPr>
                <w:rFonts w:hint="eastAsia" w:ascii="宋体" w:hAnsi="宋体" w:cs="宋体"/>
                <w:b/>
                <w:bCs/>
                <w:color w:val="auto"/>
                <w:szCs w:val="21"/>
                <w:highlight w:val="none"/>
              </w:rPr>
              <w:t>合格的投标货物或服务</w:t>
            </w:r>
            <w:r>
              <w:rPr>
                <w:rFonts w:hint="eastAsia" w:ascii="宋体" w:hAnsi="宋体" w:cs="宋体"/>
                <w:b/>
                <w:bCs/>
                <w:color w:val="auto"/>
                <w:szCs w:val="21"/>
                <w:highlight w:val="none"/>
                <w:lang w:eastAsia="zh-CN"/>
              </w:rPr>
              <w:t>来源</w:t>
            </w:r>
            <w:r>
              <w:rPr>
                <w:rFonts w:hint="eastAsia" w:ascii="宋体" w:hAnsi="宋体" w:cs="宋体"/>
                <w:b/>
                <w:bCs/>
                <w:color w:val="auto"/>
                <w:szCs w:val="21"/>
                <w:highlight w:val="none"/>
              </w:rPr>
              <w:t>：应该是中国境内生产的货物或提供的服务。</w:t>
            </w:r>
          </w:p>
        </w:tc>
      </w:tr>
      <w:tr w14:paraId="06AAD7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D3D759D">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8241" w:type="dxa"/>
            <w:tcBorders>
              <w:top w:val="single" w:color="auto" w:sz="4" w:space="0"/>
              <w:left w:val="single" w:color="auto" w:sz="4" w:space="0"/>
              <w:bottom w:val="single" w:color="auto" w:sz="4" w:space="0"/>
              <w:right w:val="single" w:color="auto" w:sz="4" w:space="0"/>
            </w:tcBorders>
            <w:vAlign w:val="center"/>
          </w:tcPr>
          <w:p w14:paraId="05F1CBE7">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现场考察或开标前答疑会：不组织</w:t>
            </w:r>
          </w:p>
        </w:tc>
      </w:tr>
      <w:tr w14:paraId="32031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0AA49680">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8241" w:type="dxa"/>
            <w:tcBorders>
              <w:top w:val="single" w:color="auto" w:sz="4" w:space="0"/>
              <w:left w:val="single" w:color="auto" w:sz="4" w:space="0"/>
              <w:bottom w:val="single" w:color="auto" w:sz="4" w:space="0"/>
              <w:right w:val="single" w:color="auto" w:sz="4" w:space="0"/>
            </w:tcBorders>
            <w:vAlign w:val="center"/>
          </w:tcPr>
          <w:p w14:paraId="313425EF">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备选投标方案：</w:t>
            </w:r>
            <w:r>
              <w:rPr>
                <w:rFonts w:hint="eastAsia" w:ascii="宋体" w:hAnsi="宋体" w:cs="宋体"/>
                <w:iCs/>
                <w:color w:val="auto"/>
                <w:szCs w:val="21"/>
                <w:highlight w:val="none"/>
              </w:rPr>
              <w:t>不允许</w:t>
            </w:r>
          </w:p>
        </w:tc>
      </w:tr>
      <w:tr w14:paraId="1DD3DA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B95813B">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b/>
                <w:color w:val="auto"/>
                <w:szCs w:val="21"/>
                <w:highlight w:val="none"/>
                <w:lang w:eastAsia="zh-CN"/>
              </w:rPr>
              <w:t>★</w:t>
            </w:r>
            <w:r>
              <w:rPr>
                <w:rFonts w:hint="eastAsia" w:ascii="宋体" w:hAnsi="宋体" w:cs="宋体"/>
                <w:color w:val="auto"/>
                <w:szCs w:val="21"/>
                <w:highlight w:val="none"/>
              </w:rPr>
              <w:t>7</w:t>
            </w:r>
          </w:p>
        </w:tc>
        <w:tc>
          <w:tcPr>
            <w:tcW w:w="8241" w:type="dxa"/>
            <w:tcBorders>
              <w:top w:val="single" w:color="auto" w:sz="4" w:space="0"/>
              <w:left w:val="single" w:color="auto" w:sz="4" w:space="0"/>
              <w:bottom w:val="single" w:color="auto" w:sz="4" w:space="0"/>
              <w:right w:val="single" w:color="auto" w:sz="4" w:space="0"/>
            </w:tcBorders>
            <w:vAlign w:val="center"/>
          </w:tcPr>
          <w:p w14:paraId="7465B117">
            <w:pPr>
              <w:spacing w:line="400" w:lineRule="exact"/>
              <w:rPr>
                <w:rFonts w:ascii="宋体" w:hAnsi="宋体" w:cs="宋体"/>
                <w:szCs w:val="21"/>
              </w:rPr>
            </w:pPr>
            <w:r>
              <w:rPr>
                <w:rFonts w:hint="eastAsia" w:ascii="宋体" w:hAnsi="宋体" w:cs="宋体"/>
                <w:szCs w:val="21"/>
              </w:rPr>
              <w:t>本项目设有预算金额（最高限价），投标报价超过对应标项预算金额（最高限价）的投标将作为无效投标。</w:t>
            </w:r>
          </w:p>
          <w:p w14:paraId="507A2F5C">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u w:val="single"/>
              </w:rPr>
            </w:pPr>
            <w:r>
              <w:rPr>
                <w:rFonts w:hint="eastAsia" w:ascii="宋体" w:hAnsi="宋体" w:cs="宋体"/>
                <w:szCs w:val="21"/>
              </w:rPr>
              <w:t>本项目预算金额（最高限价）详见招标文件第一章“采购公告”。</w:t>
            </w:r>
          </w:p>
        </w:tc>
      </w:tr>
      <w:tr w14:paraId="1E3A4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2E08F40">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8241" w:type="dxa"/>
            <w:tcBorders>
              <w:top w:val="single" w:color="auto" w:sz="4" w:space="0"/>
              <w:left w:val="single" w:color="auto" w:sz="4" w:space="0"/>
              <w:bottom w:val="single" w:color="auto" w:sz="4" w:space="0"/>
              <w:right w:val="single" w:color="auto" w:sz="4" w:space="0"/>
            </w:tcBorders>
            <w:vAlign w:val="center"/>
          </w:tcPr>
          <w:p w14:paraId="12387820">
            <w:pPr>
              <w:keepNext w:val="0"/>
              <w:keepLines w:val="0"/>
              <w:pageBreakBefore w:val="0"/>
              <w:widowControl w:val="0"/>
              <w:kinsoku/>
              <w:wordWrap/>
              <w:overflowPunct/>
              <w:topLinePunct w:val="0"/>
              <w:bidi w:val="0"/>
              <w:adjustRightInd/>
              <w:snapToGrid/>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投标报价：</w:t>
            </w:r>
          </w:p>
          <w:p w14:paraId="57D3AC55">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本项目为固定总价方式。</w:t>
            </w:r>
          </w:p>
          <w:p w14:paraId="3A3BBDBC">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报价应包含按要求完成本项目采购内容的所有费用，包括人工费、运维、培训、供应商利润、税金及合同包含的所有风险、责任等与此有关的一切费用。</w:t>
            </w:r>
          </w:p>
          <w:p w14:paraId="6DCE9E4E">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供应商应承担其参加本采购活动自身所发生的费用。</w:t>
            </w:r>
          </w:p>
          <w:p w14:paraId="7374E536">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项目实施过程中可能发生的风险和费用均由中标</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承担。</w:t>
            </w:r>
          </w:p>
        </w:tc>
      </w:tr>
      <w:tr w14:paraId="0B39B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2AA28ED4">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8241" w:type="dxa"/>
            <w:tcBorders>
              <w:top w:val="single" w:color="auto" w:sz="4" w:space="0"/>
              <w:left w:val="single" w:color="auto" w:sz="4" w:space="0"/>
              <w:bottom w:val="single" w:color="auto" w:sz="4" w:space="0"/>
              <w:right w:val="single" w:color="auto" w:sz="4" w:space="0"/>
            </w:tcBorders>
            <w:vAlign w:val="center"/>
          </w:tcPr>
          <w:p w14:paraId="76F40B04">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投标有效期：</w:t>
            </w:r>
          </w:p>
          <w:p w14:paraId="63FB2B74">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投标文件从开标之日起，投标有效期为90个日历日。投标有效期不能小于招标文件的要求。</w:t>
            </w:r>
          </w:p>
          <w:p w14:paraId="10B9FCF8">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特殊情况下，</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可与供应商协商</w:t>
            </w:r>
            <w:r>
              <w:rPr>
                <w:rFonts w:hint="eastAsia" w:ascii="宋体" w:hAnsi="宋体" w:cs="宋体"/>
                <w:color w:val="auto"/>
                <w:szCs w:val="21"/>
                <w:highlight w:val="none"/>
                <w:lang w:eastAsia="zh-CN"/>
              </w:rPr>
              <w:t>延长</w:t>
            </w:r>
            <w:r>
              <w:rPr>
                <w:rFonts w:hint="eastAsia" w:ascii="宋体" w:hAnsi="宋体" w:cs="宋体"/>
                <w:color w:val="auto"/>
                <w:szCs w:val="21"/>
                <w:highlight w:val="none"/>
              </w:rPr>
              <w:t>投标文件的有效期，这种要求和答复均以书面形式进行。</w:t>
            </w:r>
          </w:p>
          <w:p w14:paraId="6E7B4AFB">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供应商可拒绝接受延期要求。同意延长有效期的供应商不能修改投标文件。</w:t>
            </w:r>
          </w:p>
        </w:tc>
      </w:tr>
      <w:tr w14:paraId="298290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1A4AB4CE">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8241" w:type="dxa"/>
            <w:tcBorders>
              <w:top w:val="single" w:color="auto" w:sz="4" w:space="0"/>
              <w:left w:val="single" w:color="auto" w:sz="4" w:space="0"/>
              <w:bottom w:val="single" w:color="auto" w:sz="4" w:space="0"/>
              <w:right w:val="single" w:color="auto" w:sz="4" w:space="0"/>
            </w:tcBorders>
            <w:vAlign w:val="center"/>
          </w:tcPr>
          <w:p w14:paraId="0D3FF439">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投标文件组成：</w:t>
            </w:r>
          </w:p>
          <w:p w14:paraId="52A946B9">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b/>
                <w:bCs/>
                <w:color w:val="auto"/>
                <w:szCs w:val="21"/>
                <w:highlight w:val="none"/>
              </w:rPr>
              <w:t>A</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第一册：资格文件</w:t>
            </w:r>
          </w:p>
          <w:p w14:paraId="0CA7F913">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A1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关于资格的承诺函（格式见附件）；</w:t>
            </w:r>
          </w:p>
          <w:p w14:paraId="74AAD7C7">
            <w:pPr>
              <w:keepNext w:val="0"/>
              <w:keepLines w:val="0"/>
              <w:pageBreakBefore w:val="0"/>
              <w:widowControl w:val="0"/>
              <w:kinsoku/>
              <w:wordWrap/>
              <w:overflowPunct/>
              <w:topLinePunct w:val="0"/>
              <w:bidi w:val="0"/>
              <w:adjustRightInd/>
              <w:snapToGrid/>
              <w:spacing w:line="400" w:lineRule="exac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A2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营业执照副本（或事业法人登记证副本或其他登记证明材料）复印件并加盖供应商公章（供应商如果有名称变更的，应提供由行政主管部门出具的变更证明文件复印件并加盖供应商公章）；</w:t>
            </w:r>
          </w:p>
          <w:p w14:paraId="68DA3286">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A</w:t>
            </w: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.中小企业声明函（格式见附件）或A4.残疾人福利性单位声明函（如有，请提供，格式见附件）或A5.省级以上监狱管理局、戒毒管理局（含新疆生产建设兵团）出具的属于监狱企业的证明文件（如有，请提供）</w:t>
            </w:r>
            <w:r>
              <w:rPr>
                <w:rFonts w:hint="eastAsia" w:ascii="宋体" w:hAnsi="宋体" w:cs="宋体"/>
                <w:color w:val="auto"/>
                <w:szCs w:val="21"/>
                <w:highlight w:val="none"/>
              </w:rPr>
              <w:t>。</w:t>
            </w:r>
          </w:p>
          <w:p w14:paraId="1DB3B6FC">
            <w:pPr>
              <w:keepNext w:val="0"/>
              <w:keepLines w:val="0"/>
              <w:pageBreakBefore w:val="0"/>
              <w:widowControl w:val="0"/>
              <w:kinsoku/>
              <w:wordWrap/>
              <w:overflowPunct/>
              <w:topLinePunct w:val="0"/>
              <w:bidi w:val="0"/>
              <w:adjustRightInd/>
              <w:snapToGrid/>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B</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第二册：商务和技术文件</w:t>
            </w:r>
          </w:p>
          <w:p w14:paraId="0FA1A3DB">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B1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投标书（格式见附件）；</w:t>
            </w:r>
          </w:p>
          <w:p w14:paraId="72BA9C75">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B2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法定代表人身份证明（格式见附件）或B</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法定代表人授权书（投标文件由授权代表签字的须提供</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格式见附件）；</w:t>
            </w:r>
          </w:p>
          <w:p w14:paraId="5AF1EC0E">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供应商一般情况表（格式见附件）；</w:t>
            </w:r>
          </w:p>
          <w:p w14:paraId="3B21B24A">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技术需求响应表（格式见附件）；</w:t>
            </w:r>
          </w:p>
          <w:p w14:paraId="4E2CE101">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商务条款响应表（格式见附件）；</w:t>
            </w:r>
          </w:p>
          <w:p w14:paraId="6714B841">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企业实力的证明文件（自拟）；</w:t>
            </w:r>
          </w:p>
          <w:p w14:paraId="17E73BC2">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服务方案（自拟）</w:t>
            </w:r>
            <w:r>
              <w:rPr>
                <w:rFonts w:hint="eastAsia" w:ascii="宋体" w:hAnsi="宋体" w:cs="宋体"/>
                <w:color w:val="auto"/>
                <w:szCs w:val="21"/>
                <w:highlight w:val="none"/>
              </w:rPr>
              <w:t>；</w:t>
            </w:r>
          </w:p>
          <w:p w14:paraId="33D0B32A">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拟派项目人员的技术水平和力量及相关证明文件（格式见附件）；</w:t>
            </w:r>
          </w:p>
          <w:p w14:paraId="1D8AFF4D">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供应商与本项目类似的业绩情况（如有，自拟）；</w:t>
            </w:r>
          </w:p>
          <w:p w14:paraId="759D4689">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第五章“评标办法及标准”中评分标准（兼评委打分表）要求提供的资料（如有需提供）；</w:t>
            </w:r>
          </w:p>
          <w:p w14:paraId="30EF3742">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rPr>
              <w:t>B1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招标文件要求提供的和供应商认为需要的其他资料（如有需提供）。</w:t>
            </w:r>
          </w:p>
          <w:p w14:paraId="55F398EA">
            <w:pPr>
              <w:keepNext w:val="0"/>
              <w:keepLines w:val="0"/>
              <w:pageBreakBefore w:val="0"/>
              <w:widowControl w:val="0"/>
              <w:kinsoku/>
              <w:wordWrap/>
              <w:overflowPunct/>
              <w:topLinePunct w:val="0"/>
              <w:bidi w:val="0"/>
              <w:adjustRightInd/>
              <w:snapToGrid/>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C</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第三册：报价文件</w:t>
            </w:r>
          </w:p>
          <w:p w14:paraId="6D05CA75">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C1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开标一览表（格式见附件）；</w:t>
            </w:r>
          </w:p>
          <w:p w14:paraId="5306E3D9">
            <w:pPr>
              <w:keepNext w:val="0"/>
              <w:keepLines w:val="0"/>
              <w:pageBreakBefore w:val="0"/>
              <w:widowControl w:val="0"/>
              <w:kinsoku/>
              <w:wordWrap/>
              <w:overflowPunct/>
              <w:topLinePunct w:val="0"/>
              <w:bidi w:val="0"/>
              <w:adjustRightInd/>
              <w:snapToGrid/>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C2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分项报价表（格式见附件）</w:t>
            </w:r>
            <w:r>
              <w:rPr>
                <w:rFonts w:hint="eastAsia" w:ascii="宋体" w:hAnsi="宋体" w:cs="宋体"/>
                <w:color w:val="auto"/>
                <w:szCs w:val="21"/>
                <w:highlight w:val="none"/>
                <w:lang w:eastAsia="zh-CN"/>
              </w:rPr>
              <w:t>。</w:t>
            </w:r>
          </w:p>
          <w:p w14:paraId="7CBE8591">
            <w:pPr>
              <w:keepNext w:val="0"/>
              <w:keepLines w:val="0"/>
              <w:pageBreakBefore w:val="0"/>
              <w:widowControl w:val="0"/>
              <w:kinsoku/>
              <w:wordWrap/>
              <w:overflowPunct/>
              <w:topLinePunct w:val="0"/>
              <w:bidi w:val="0"/>
              <w:adjustRightInd/>
              <w:snapToGrid/>
              <w:spacing w:line="400" w:lineRule="exact"/>
              <w:rPr>
                <w:rFonts w:ascii="宋体" w:hAnsi="宋体" w:cs="宋体"/>
                <w:color w:val="auto"/>
                <w:szCs w:val="21"/>
                <w:highlight w:val="none"/>
              </w:rPr>
            </w:pPr>
            <w:r>
              <w:rPr>
                <w:rFonts w:hint="eastAsia" w:ascii="宋体" w:hAnsi="宋体" w:cs="宋体"/>
                <w:b/>
                <w:bCs/>
                <w:color w:val="auto"/>
                <w:szCs w:val="21"/>
                <w:highlight w:val="none"/>
              </w:rPr>
              <w:t>注：供应商应对投标文件编制目录和评分索引表以方便查询。</w:t>
            </w:r>
          </w:p>
        </w:tc>
      </w:tr>
      <w:tr w14:paraId="7316BE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4B40B9A">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8241" w:type="dxa"/>
            <w:tcBorders>
              <w:top w:val="single" w:color="auto" w:sz="4" w:space="0"/>
              <w:left w:val="single" w:color="auto" w:sz="4" w:space="0"/>
              <w:bottom w:val="single" w:color="auto" w:sz="4" w:space="0"/>
              <w:right w:val="single" w:color="auto" w:sz="4" w:space="0"/>
            </w:tcBorders>
            <w:vAlign w:val="center"/>
          </w:tcPr>
          <w:p w14:paraId="0ACA3C7D">
            <w:pPr>
              <w:keepNext w:val="0"/>
              <w:keepLines w:val="0"/>
              <w:pageBreakBefore w:val="0"/>
              <w:widowControl w:val="0"/>
              <w:kinsoku/>
              <w:wordWrap/>
              <w:overflowPunct/>
              <w:topLinePunct w:val="0"/>
              <w:bidi w:val="0"/>
              <w:adjustRightInd/>
              <w:snapToGrid/>
              <w:spacing w:line="400" w:lineRule="exact"/>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本项目实行网上投标，供应商应准备以下投标文件：</w:t>
            </w:r>
          </w:p>
          <w:p w14:paraId="49C2720C">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★1.上传到政府采购云平台的电子投标文件（含资格文件、商务和技术文件、报价文件）1份。</w:t>
            </w:r>
          </w:p>
          <w:p w14:paraId="7A8515A4">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2.以U盘存储的电子备份投标文件（含资格文件、商务和技术文件、报价文件）1份（自愿提供，用于异常处理）。</w:t>
            </w:r>
          </w:p>
          <w:p w14:paraId="2819A620">
            <w:pPr>
              <w:keepNext w:val="0"/>
              <w:keepLines w:val="0"/>
              <w:pageBreakBefore w:val="0"/>
              <w:widowControl w:val="0"/>
              <w:kinsoku/>
              <w:wordWrap/>
              <w:overflowPunct/>
              <w:topLinePunct w:val="0"/>
              <w:bidi w:val="0"/>
              <w:adjustRightInd/>
              <w:snapToGrid/>
              <w:spacing w:line="400" w:lineRule="exact"/>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中标供应商在中标结果公示期结束后3天内向代理公司提供投标文件打印装订成册的纸质投标文件一份（须与电子投标文件一致）。中标供应商可采用邮寄（含快递）方式或现场方式递交装订成册的纸质投标文件，送达地址：宁波市国际招标有限公司（宁波市江北区环城北路西段207弄19号世茂茂悦商业中心1号楼八楼012室），联系方式：陈洋，0574-87295348。</w:t>
            </w:r>
          </w:p>
        </w:tc>
      </w:tr>
      <w:tr w14:paraId="56FD8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142D3A74">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8241" w:type="dxa"/>
            <w:tcBorders>
              <w:top w:val="single" w:color="auto" w:sz="4" w:space="0"/>
              <w:left w:val="single" w:color="auto" w:sz="4" w:space="0"/>
              <w:bottom w:val="single" w:color="auto" w:sz="4" w:space="0"/>
              <w:right w:val="single" w:color="auto" w:sz="4" w:space="0"/>
            </w:tcBorders>
            <w:vAlign w:val="center"/>
          </w:tcPr>
          <w:p w14:paraId="7BF29EC7">
            <w:pPr>
              <w:keepNext w:val="0"/>
              <w:keepLines w:val="0"/>
              <w:pageBreakBefore w:val="0"/>
              <w:widowControl w:val="0"/>
              <w:kinsoku/>
              <w:wordWrap/>
              <w:overflowPunct/>
              <w:topLinePunct w:val="0"/>
              <w:bidi w:val="0"/>
              <w:adjustRightInd/>
              <w:snapToGrid/>
              <w:spacing w:line="400" w:lineRule="exact"/>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投标截止时间及地点：2025年7月</w:t>
            </w:r>
            <w:r>
              <w:rPr>
                <w:rFonts w:hint="eastAsia" w:ascii="宋体" w:hAnsi="宋体" w:cs="宋体"/>
                <w:color w:val="auto"/>
                <w:kern w:val="2"/>
                <w:sz w:val="21"/>
                <w:szCs w:val="21"/>
                <w:highlight w:val="none"/>
                <w:lang w:val="en-US" w:eastAsia="zh-CN" w:bidi="ar-SA"/>
              </w:rPr>
              <w:t>14</w:t>
            </w:r>
            <w:r>
              <w:rPr>
                <w:rFonts w:hint="eastAsia" w:ascii="宋体" w:hAnsi="宋体" w:eastAsia="宋体" w:cs="宋体"/>
                <w:color w:val="auto"/>
                <w:kern w:val="2"/>
                <w:sz w:val="21"/>
                <w:szCs w:val="21"/>
                <w:highlight w:val="none"/>
                <w:lang w:val="en-US" w:eastAsia="zh-CN" w:bidi="ar-SA"/>
              </w:rPr>
              <w:t>日09:30（北京时间）</w:t>
            </w:r>
          </w:p>
          <w:p w14:paraId="13D9196B">
            <w:pPr>
              <w:keepNext w:val="0"/>
              <w:keepLines w:val="0"/>
              <w:pageBreakBefore w:val="0"/>
              <w:widowControl w:val="0"/>
              <w:kinsoku/>
              <w:wordWrap/>
              <w:overflowPunct/>
              <w:topLinePunct w:val="0"/>
              <w:bidi w:val="0"/>
              <w:adjustRightInd/>
              <w:snapToGrid/>
              <w:spacing w:line="400" w:lineRule="exact"/>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宁波市国际招标有限公司开标大厅（</w:t>
            </w:r>
            <w:r>
              <w:rPr>
                <w:rFonts w:hint="eastAsia" w:ascii="宋体" w:hAnsi="宋体" w:cs="宋体"/>
                <w:color w:val="auto"/>
                <w:kern w:val="2"/>
                <w:sz w:val="21"/>
                <w:szCs w:val="21"/>
                <w:highlight w:val="none"/>
                <w:lang w:val="en-US" w:eastAsia="zh-CN" w:bidi="ar-SA"/>
              </w:rPr>
              <w:t>一</w:t>
            </w:r>
            <w:r>
              <w:rPr>
                <w:rFonts w:hint="eastAsia" w:ascii="宋体" w:hAnsi="宋体" w:eastAsia="宋体" w:cs="宋体"/>
                <w:color w:val="auto"/>
                <w:kern w:val="2"/>
                <w:sz w:val="21"/>
                <w:szCs w:val="21"/>
                <w:highlight w:val="none"/>
                <w:lang w:val="en-US" w:eastAsia="zh-CN" w:bidi="ar-SA"/>
              </w:rPr>
              <w:t>）（宁波市江北区环城北路西段207弄19号世茂茂悦商业中心1号楼七楼招投标会议中心），本项目通过“政府采购云平台（www.zcygov.cn）”实行在线制作并提交投标文件（电子投标）。</w:t>
            </w:r>
          </w:p>
        </w:tc>
      </w:tr>
      <w:tr w14:paraId="0FEB66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5A94D79">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8241" w:type="dxa"/>
            <w:tcBorders>
              <w:top w:val="single" w:color="auto" w:sz="4" w:space="0"/>
              <w:left w:val="single" w:color="auto" w:sz="4" w:space="0"/>
              <w:bottom w:val="single" w:color="auto" w:sz="4" w:space="0"/>
              <w:right w:val="single" w:color="auto" w:sz="4" w:space="0"/>
            </w:tcBorders>
            <w:vAlign w:val="center"/>
          </w:tcPr>
          <w:p w14:paraId="6B9D409D">
            <w:pPr>
              <w:keepNext w:val="0"/>
              <w:keepLines w:val="0"/>
              <w:pageBreakBefore w:val="0"/>
              <w:widowControl w:val="0"/>
              <w:kinsoku/>
              <w:wordWrap/>
              <w:overflowPunct/>
              <w:topLinePunct w:val="0"/>
              <w:bidi w:val="0"/>
              <w:adjustRightInd/>
              <w:snapToGrid/>
              <w:spacing w:line="400" w:lineRule="exact"/>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开标时间及地点：2025年7月</w:t>
            </w:r>
            <w:r>
              <w:rPr>
                <w:rFonts w:hint="eastAsia" w:ascii="宋体" w:hAnsi="宋体" w:cs="宋体"/>
                <w:color w:val="auto"/>
                <w:kern w:val="2"/>
                <w:sz w:val="21"/>
                <w:szCs w:val="21"/>
                <w:highlight w:val="none"/>
                <w:lang w:val="en-US" w:eastAsia="zh-CN" w:bidi="ar-SA"/>
              </w:rPr>
              <w:t>14</w:t>
            </w:r>
            <w:r>
              <w:rPr>
                <w:rFonts w:hint="eastAsia" w:ascii="宋体" w:hAnsi="宋体" w:eastAsia="宋体" w:cs="宋体"/>
                <w:color w:val="auto"/>
                <w:kern w:val="2"/>
                <w:sz w:val="21"/>
                <w:szCs w:val="21"/>
                <w:highlight w:val="none"/>
                <w:lang w:val="en-US" w:eastAsia="zh-CN" w:bidi="ar-SA"/>
              </w:rPr>
              <w:t>日09:30（北京时间）</w:t>
            </w:r>
          </w:p>
          <w:p w14:paraId="3007219D">
            <w:pPr>
              <w:keepNext w:val="0"/>
              <w:keepLines w:val="0"/>
              <w:pageBreakBefore w:val="0"/>
              <w:widowControl w:val="0"/>
              <w:kinsoku/>
              <w:wordWrap/>
              <w:overflowPunct/>
              <w:topLinePunct w:val="0"/>
              <w:bidi w:val="0"/>
              <w:adjustRightInd/>
              <w:snapToGrid/>
              <w:spacing w:line="400" w:lineRule="exact"/>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宁波市国际招标有限公司开标大厅（</w:t>
            </w:r>
            <w:r>
              <w:rPr>
                <w:rFonts w:hint="eastAsia" w:ascii="宋体" w:hAnsi="宋体" w:cs="宋体"/>
                <w:color w:val="auto"/>
                <w:kern w:val="2"/>
                <w:sz w:val="21"/>
                <w:szCs w:val="21"/>
                <w:highlight w:val="none"/>
                <w:lang w:val="en-US" w:eastAsia="zh-CN" w:bidi="ar-SA"/>
              </w:rPr>
              <w:t>一</w:t>
            </w:r>
            <w:bookmarkStart w:id="99" w:name="_GoBack"/>
            <w:bookmarkEnd w:id="99"/>
            <w:r>
              <w:rPr>
                <w:rFonts w:hint="eastAsia" w:ascii="宋体" w:hAnsi="宋体" w:eastAsia="宋体" w:cs="宋体"/>
                <w:color w:val="auto"/>
                <w:kern w:val="2"/>
                <w:sz w:val="21"/>
                <w:szCs w:val="21"/>
                <w:highlight w:val="none"/>
                <w:lang w:val="en-US" w:eastAsia="zh-CN" w:bidi="ar-SA"/>
              </w:rPr>
              <w:t>）（宁波市江北区环城北路西段207弄19号世茂茂悦商业中心1号楼七楼招投标会议中心），本项目通过“政府采购云平台（www.zcygov.cn）”实行在线开标。</w:t>
            </w:r>
          </w:p>
        </w:tc>
      </w:tr>
      <w:tr w14:paraId="5CBFB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3AE1C34E">
            <w:pPr>
              <w:keepNext w:val="0"/>
              <w:keepLines w:val="0"/>
              <w:pageBreakBefore w:val="0"/>
              <w:widowControl w:val="0"/>
              <w:kinsoku/>
              <w:wordWrap/>
              <w:overflowPunct/>
              <w:topLinePunct w:val="0"/>
              <w:bidi w:val="0"/>
              <w:adjustRightInd/>
              <w:snapToGrid/>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w:t>
            </w:r>
          </w:p>
        </w:tc>
        <w:tc>
          <w:tcPr>
            <w:tcW w:w="8241" w:type="dxa"/>
            <w:tcBorders>
              <w:top w:val="single" w:color="auto" w:sz="4" w:space="0"/>
              <w:left w:val="single" w:color="auto" w:sz="4" w:space="0"/>
              <w:bottom w:val="single" w:color="auto" w:sz="4" w:space="0"/>
              <w:right w:val="single" w:color="auto" w:sz="4" w:space="0"/>
            </w:tcBorders>
            <w:vAlign w:val="center"/>
          </w:tcPr>
          <w:p w14:paraId="0947FAF6">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服务期限：自合同签订之日起三年（其中，第一年为提供各类系统服务，第二年、第三年为服务的延续与保障）。</w:t>
            </w:r>
          </w:p>
        </w:tc>
      </w:tr>
      <w:tr w14:paraId="0C1F9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2D617164">
            <w:pPr>
              <w:spacing w:line="400" w:lineRule="exact"/>
              <w:jc w:val="center"/>
              <w:rPr>
                <w:rFonts w:hint="eastAsia" w:ascii="宋体" w:hAnsi="宋体" w:cs="宋体"/>
                <w:color w:val="auto"/>
                <w:szCs w:val="21"/>
                <w:highlight w:val="none"/>
                <w:lang w:val="en-US" w:eastAsia="zh-CN"/>
              </w:rPr>
            </w:pPr>
            <w:r>
              <w:rPr>
                <w:rFonts w:hint="eastAsia" w:ascii="宋体" w:hAnsi="宋体" w:cs="宋体"/>
                <w:szCs w:val="21"/>
              </w:rPr>
              <w:t>★15</w:t>
            </w:r>
          </w:p>
        </w:tc>
        <w:tc>
          <w:tcPr>
            <w:tcW w:w="8241" w:type="dxa"/>
            <w:tcBorders>
              <w:top w:val="single" w:color="auto" w:sz="4" w:space="0"/>
              <w:left w:val="single" w:color="auto" w:sz="4" w:space="0"/>
              <w:bottom w:val="single" w:color="auto" w:sz="4" w:space="0"/>
              <w:right w:val="single" w:color="auto" w:sz="4" w:space="0"/>
            </w:tcBorders>
            <w:vAlign w:val="center"/>
          </w:tcPr>
          <w:p w14:paraId="47138219">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服务地点：宁波大学校医医院（具体以采购人要求为准）。</w:t>
            </w:r>
          </w:p>
        </w:tc>
      </w:tr>
      <w:tr w14:paraId="62B6C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06E65463">
            <w:pPr>
              <w:keepNext w:val="0"/>
              <w:keepLines w:val="0"/>
              <w:pageBreakBefore w:val="0"/>
              <w:widowControl w:val="0"/>
              <w:kinsoku/>
              <w:wordWrap/>
              <w:overflowPunct/>
              <w:topLinePunct w:val="0"/>
              <w:bidi w:val="0"/>
              <w:adjustRightInd/>
              <w:snapToGrid/>
              <w:spacing w:line="40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★16</w:t>
            </w:r>
          </w:p>
        </w:tc>
        <w:tc>
          <w:tcPr>
            <w:tcW w:w="8241" w:type="dxa"/>
            <w:tcBorders>
              <w:top w:val="single" w:color="auto" w:sz="4" w:space="0"/>
              <w:left w:val="single" w:color="auto" w:sz="4" w:space="0"/>
              <w:bottom w:val="single" w:color="auto" w:sz="4" w:space="0"/>
              <w:right w:val="single" w:color="auto" w:sz="4" w:space="0"/>
            </w:tcBorders>
            <w:shd w:val="clear" w:color="auto" w:fill="auto"/>
            <w:vAlign w:val="center"/>
          </w:tcPr>
          <w:p w14:paraId="6F987964">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付款方式：合同签订生效且具备实施条件后7个工作日内，采购人向中标供应商支付合同总价的40%，第一年服务期满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7个工作日内向中标供应商支付合同总价的30%，第二年服务期满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7个工作日内向中标供应商支付合同总价的15%，第三年服务期满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7个工作日内向中标供应商支付合同总价的15%。</w:t>
            </w:r>
          </w:p>
        </w:tc>
      </w:tr>
      <w:tr w14:paraId="60E58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53719320">
            <w:pPr>
              <w:keepNext w:val="0"/>
              <w:keepLines w:val="0"/>
              <w:pageBreakBefore w:val="0"/>
              <w:widowControl w:val="0"/>
              <w:kinsoku/>
              <w:wordWrap/>
              <w:overflowPunct/>
              <w:topLinePunct w:val="0"/>
              <w:bidi w:val="0"/>
              <w:adjustRightInd/>
              <w:snapToGrid/>
              <w:spacing w:line="40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17</w:t>
            </w:r>
          </w:p>
        </w:tc>
        <w:tc>
          <w:tcPr>
            <w:tcW w:w="8241" w:type="dxa"/>
            <w:tcBorders>
              <w:top w:val="single" w:color="auto" w:sz="4" w:space="0"/>
              <w:left w:val="single" w:color="auto" w:sz="4" w:space="0"/>
              <w:bottom w:val="single" w:color="auto" w:sz="4" w:space="0"/>
              <w:right w:val="single" w:color="auto" w:sz="4" w:space="0"/>
            </w:tcBorders>
            <w:shd w:val="clear" w:color="auto" w:fill="auto"/>
            <w:vAlign w:val="center"/>
          </w:tcPr>
          <w:p w14:paraId="270DCB32">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履约保证金：无</w:t>
            </w:r>
          </w:p>
        </w:tc>
      </w:tr>
      <w:tr w14:paraId="0F2CE8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026A31E">
            <w:pPr>
              <w:keepNext w:val="0"/>
              <w:keepLines w:val="0"/>
              <w:pageBreakBefore w:val="0"/>
              <w:widowControl w:val="0"/>
              <w:kinsoku/>
              <w:wordWrap/>
              <w:overflowPunct/>
              <w:topLinePunct w:val="0"/>
              <w:bidi w:val="0"/>
              <w:adjustRightInd/>
              <w:snapToGrid/>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8241" w:type="dxa"/>
            <w:tcBorders>
              <w:top w:val="single" w:color="auto" w:sz="4" w:space="0"/>
              <w:left w:val="single" w:color="auto" w:sz="4" w:space="0"/>
              <w:bottom w:val="single" w:color="auto" w:sz="4" w:space="0"/>
              <w:right w:val="single" w:color="auto" w:sz="4" w:space="0"/>
            </w:tcBorders>
            <w:vAlign w:val="center"/>
          </w:tcPr>
          <w:p w14:paraId="4E8C59FE">
            <w:pPr>
              <w:keepNext w:val="0"/>
              <w:keepLines w:val="0"/>
              <w:pageBreakBefore w:val="0"/>
              <w:widowControl w:val="0"/>
              <w:kinsoku/>
              <w:wordWrap/>
              <w:overflowPunct/>
              <w:topLinePunct w:val="0"/>
              <w:autoSpaceDE w:val="0"/>
              <w:autoSpaceDN w:val="0"/>
              <w:bidi w:val="0"/>
              <w:adjustRightInd/>
              <w:snapToGrid/>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签订合同时间：中标通知书发出之日起</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日内。</w:t>
            </w:r>
          </w:p>
        </w:tc>
      </w:tr>
      <w:tr w14:paraId="2D5A2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EFD02B3">
            <w:pPr>
              <w:keepNext w:val="0"/>
              <w:keepLines w:val="0"/>
              <w:pageBreakBefore w:val="0"/>
              <w:widowControl w:val="0"/>
              <w:kinsoku/>
              <w:wordWrap/>
              <w:overflowPunct/>
              <w:topLinePunct w:val="0"/>
              <w:bidi w:val="0"/>
              <w:adjustRightInd/>
              <w:snapToGrid/>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8241" w:type="dxa"/>
            <w:tcBorders>
              <w:top w:val="single" w:color="auto" w:sz="4" w:space="0"/>
              <w:left w:val="single" w:color="auto" w:sz="4" w:space="0"/>
              <w:bottom w:val="single" w:color="auto" w:sz="4" w:space="0"/>
              <w:right w:val="single" w:color="auto" w:sz="4" w:space="0"/>
            </w:tcBorders>
            <w:vAlign w:val="center"/>
          </w:tcPr>
          <w:p w14:paraId="68CCA3B5">
            <w:pPr>
              <w:keepNext w:val="0"/>
              <w:keepLines w:val="0"/>
              <w:pageBreakBefore w:val="0"/>
              <w:widowControl w:val="0"/>
              <w:kinsoku/>
              <w:wordWrap/>
              <w:overflowPunct/>
              <w:topLinePunct w:val="0"/>
              <w:autoSpaceDE w:val="0"/>
              <w:autoSpaceDN w:val="0"/>
              <w:bidi w:val="0"/>
              <w:adjustRightInd/>
              <w:snapToGrid/>
              <w:spacing w:line="400" w:lineRule="exact"/>
              <w:textAlignment w:val="bottom"/>
              <w:rPr>
                <w:rFonts w:ascii="宋体" w:hAnsi="宋体" w:cs="宋体"/>
                <w:color w:val="auto"/>
                <w:szCs w:val="21"/>
                <w:highlight w:val="none"/>
              </w:rPr>
            </w:pPr>
            <w:r>
              <w:rPr>
                <w:rFonts w:hint="eastAsia" w:ascii="宋体" w:hAnsi="宋体" w:cs="宋体"/>
                <w:color w:val="auto"/>
                <w:szCs w:val="21"/>
                <w:highlight w:val="none"/>
              </w:rPr>
              <w:t>招标代理服务费：</w:t>
            </w:r>
          </w:p>
          <w:p w14:paraId="1040A7C9">
            <w:pPr>
              <w:keepNext w:val="0"/>
              <w:keepLines w:val="0"/>
              <w:pageBreakBefore w:val="0"/>
              <w:widowControl w:val="0"/>
              <w:kinsoku/>
              <w:wordWrap/>
              <w:overflowPunct/>
              <w:topLinePunct w:val="0"/>
              <w:bidi w:val="0"/>
              <w:adjustRightInd/>
              <w:snapToGrid/>
              <w:spacing w:line="4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本招标代理公司根据国家发改委发改办价格[2003]857号通知和原国家计委计价格[2002]1980号文件规定的招标代理服务收费标准下浮20%，按照中标总金额，向中标供应商收取招标服务费。本项目收费类型为</w:t>
            </w:r>
            <w:r>
              <w:rPr>
                <w:rFonts w:hint="eastAsia" w:ascii="宋体" w:hAnsi="宋体" w:cs="宋体"/>
                <w:b/>
                <w:bCs/>
                <w:color w:val="auto"/>
                <w:szCs w:val="21"/>
                <w:highlight w:val="none"/>
              </w:rPr>
              <w:t>服务</w:t>
            </w:r>
            <w:r>
              <w:rPr>
                <w:rFonts w:hint="eastAsia" w:ascii="宋体" w:hAnsi="宋体" w:cs="宋体"/>
                <w:color w:val="auto"/>
                <w:szCs w:val="21"/>
                <w:highlight w:val="none"/>
              </w:rPr>
              <w:t>。</w:t>
            </w:r>
          </w:p>
          <w:tbl>
            <w:tblPr>
              <w:tblStyle w:val="5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8"/>
              <w:gridCol w:w="1891"/>
              <w:gridCol w:w="1891"/>
              <w:gridCol w:w="1892"/>
            </w:tblGrid>
            <w:tr w14:paraId="2049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459" w:type="pct"/>
                  <w:vAlign w:val="center"/>
                </w:tcPr>
                <w:p w14:paraId="1AF2AC29">
                  <w:pPr>
                    <w:keepNext w:val="0"/>
                    <w:keepLines w:val="0"/>
                    <w:pageBreakBefore w:val="0"/>
                    <w:widowControl w:val="0"/>
                    <w:kinsoku/>
                    <w:wordWrap/>
                    <w:overflowPunct/>
                    <w:topLinePunct w:val="0"/>
                    <w:bidi w:val="0"/>
                    <w:adjustRightInd/>
                    <w:snapToGrid/>
                    <w:spacing w:line="400" w:lineRule="exact"/>
                    <w:jc w:val="right"/>
                    <w:rPr>
                      <w:rFonts w:ascii="宋体" w:hAnsi="宋体" w:cs="宋体"/>
                      <w:b/>
                      <w:color w:val="auto"/>
                      <w:sz w:val="21"/>
                      <w:szCs w:val="21"/>
                      <w:highlight w:val="none"/>
                    </w:rPr>
                  </w:pPr>
                  <w:r>
                    <w:rPr>
                      <w:rFonts w:hint="eastAsia" w:ascii="宋体" w:hAnsi="宋体" w:cs="宋体"/>
                      <w:b/>
                      <w:color w:val="auto"/>
                      <w:sz w:val="21"/>
                      <w:szCs w:val="21"/>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uR&#10;037VAAAACQEAAA8AAAAAAAAAAQAgAAAAIgAAAGRycy9kb3ducmV2LnhtbFBLAQIUABQAAAAIAIdO&#10;4kD0pOcI7QEAAOIDAAAOAAAAAAAAAAEAIAAAACQBAABkcnMvZTJvRG9jLnhtbFBLBQYAAAAABgAG&#10;AFkBAACDBQAAAAA=&#10;">
                            <v:fill on="f" focussize="0,0"/>
                            <v:stroke color="#000000" joinstyle="round"/>
                            <v:imagedata o:title=""/>
                            <o:lock v:ext="edit" aspectratio="f"/>
                          </v:line>
                        </w:pict>
                      </mc:Fallback>
                    </mc:AlternateContent>
                  </w:r>
                  <w:r>
                    <w:rPr>
                      <w:rFonts w:hint="eastAsia" w:ascii="宋体" w:hAnsi="宋体" w:cs="宋体"/>
                      <w:b/>
                      <w:color w:val="auto"/>
                      <w:sz w:val="21"/>
                      <w:szCs w:val="21"/>
                      <w:highlight w:val="none"/>
                    </w:rPr>
                    <w:t>服务类型费率</w:t>
                  </w:r>
                </w:p>
                <w:p w14:paraId="1129D3A3">
                  <w:pPr>
                    <w:keepNext w:val="0"/>
                    <w:keepLines w:val="0"/>
                    <w:pageBreakBefore w:val="0"/>
                    <w:widowControl w:val="0"/>
                    <w:kinsoku/>
                    <w:wordWrap/>
                    <w:overflowPunct/>
                    <w:topLinePunct w:val="0"/>
                    <w:bidi w:val="0"/>
                    <w:adjustRightInd/>
                    <w:snapToGrid/>
                    <w:spacing w:line="400" w:lineRule="exact"/>
                    <w:rPr>
                      <w:rFonts w:ascii="宋体" w:hAnsi="宋体" w:cs="宋体"/>
                      <w:b/>
                      <w:color w:val="auto"/>
                      <w:sz w:val="21"/>
                      <w:szCs w:val="21"/>
                      <w:highlight w:val="none"/>
                    </w:rPr>
                  </w:pPr>
                  <w:r>
                    <w:rPr>
                      <w:rFonts w:hint="eastAsia" w:ascii="宋体" w:hAnsi="宋体" w:cs="宋体"/>
                      <w:b/>
                      <w:color w:val="auto"/>
                      <w:sz w:val="21"/>
                      <w:szCs w:val="21"/>
                      <w:highlight w:val="none"/>
                    </w:rPr>
                    <w:t>中标金额（万元）</w:t>
                  </w:r>
                </w:p>
              </w:tc>
              <w:tc>
                <w:tcPr>
                  <w:tcW w:w="1180" w:type="pct"/>
                  <w:vAlign w:val="center"/>
                </w:tcPr>
                <w:p w14:paraId="5C362E6B">
                  <w:pPr>
                    <w:keepNext w:val="0"/>
                    <w:keepLines w:val="0"/>
                    <w:pageBreakBefore w:val="0"/>
                    <w:widowControl w:val="0"/>
                    <w:kinsoku/>
                    <w:wordWrap/>
                    <w:overflowPunct/>
                    <w:topLinePunct w:val="0"/>
                    <w:bidi w:val="0"/>
                    <w:adjustRightInd/>
                    <w:snapToGrid/>
                    <w:spacing w:line="400" w:lineRule="exact"/>
                    <w:jc w:val="center"/>
                    <w:rPr>
                      <w:rFonts w:ascii="宋体" w:hAnsi="宋体" w:cs="宋体"/>
                      <w:b/>
                      <w:color w:val="auto"/>
                      <w:sz w:val="21"/>
                      <w:szCs w:val="21"/>
                      <w:highlight w:val="none"/>
                    </w:rPr>
                  </w:pPr>
                  <w:r>
                    <w:rPr>
                      <w:rFonts w:hint="eastAsia" w:ascii="宋体" w:hAnsi="宋体" w:cs="宋体"/>
                      <w:b/>
                      <w:color w:val="auto"/>
                      <w:sz w:val="21"/>
                      <w:szCs w:val="21"/>
                      <w:highlight w:val="none"/>
                    </w:rPr>
                    <w:t>货物招标</w:t>
                  </w:r>
                </w:p>
              </w:tc>
              <w:tc>
                <w:tcPr>
                  <w:tcW w:w="1180" w:type="pct"/>
                  <w:vAlign w:val="center"/>
                </w:tcPr>
                <w:p w14:paraId="09263BD1">
                  <w:pPr>
                    <w:keepNext w:val="0"/>
                    <w:keepLines w:val="0"/>
                    <w:pageBreakBefore w:val="0"/>
                    <w:widowControl w:val="0"/>
                    <w:kinsoku/>
                    <w:wordWrap/>
                    <w:overflowPunct/>
                    <w:topLinePunct w:val="0"/>
                    <w:bidi w:val="0"/>
                    <w:adjustRightInd/>
                    <w:snapToGrid/>
                    <w:spacing w:line="400" w:lineRule="exact"/>
                    <w:jc w:val="center"/>
                    <w:rPr>
                      <w:rFonts w:ascii="宋体" w:hAnsi="宋体" w:cs="宋体"/>
                      <w:b/>
                      <w:color w:val="auto"/>
                      <w:sz w:val="21"/>
                      <w:szCs w:val="21"/>
                      <w:highlight w:val="none"/>
                    </w:rPr>
                  </w:pPr>
                  <w:r>
                    <w:rPr>
                      <w:rFonts w:hint="eastAsia" w:ascii="宋体" w:hAnsi="宋体" w:cs="宋体"/>
                      <w:b/>
                      <w:color w:val="auto"/>
                      <w:sz w:val="21"/>
                      <w:szCs w:val="21"/>
                      <w:highlight w:val="none"/>
                    </w:rPr>
                    <w:t>服务招标</w:t>
                  </w:r>
                </w:p>
              </w:tc>
              <w:tc>
                <w:tcPr>
                  <w:tcW w:w="1180" w:type="pct"/>
                  <w:vAlign w:val="center"/>
                </w:tcPr>
                <w:p w14:paraId="1CC0F56E">
                  <w:pPr>
                    <w:keepNext w:val="0"/>
                    <w:keepLines w:val="0"/>
                    <w:pageBreakBefore w:val="0"/>
                    <w:widowControl w:val="0"/>
                    <w:kinsoku/>
                    <w:wordWrap/>
                    <w:overflowPunct/>
                    <w:topLinePunct w:val="0"/>
                    <w:bidi w:val="0"/>
                    <w:adjustRightInd/>
                    <w:snapToGrid/>
                    <w:spacing w:line="400" w:lineRule="exact"/>
                    <w:jc w:val="center"/>
                    <w:rPr>
                      <w:rFonts w:ascii="宋体" w:hAnsi="宋体" w:cs="宋体"/>
                      <w:b/>
                      <w:color w:val="auto"/>
                      <w:sz w:val="21"/>
                      <w:szCs w:val="21"/>
                      <w:highlight w:val="none"/>
                    </w:rPr>
                  </w:pPr>
                  <w:r>
                    <w:rPr>
                      <w:rFonts w:hint="eastAsia" w:ascii="宋体" w:hAnsi="宋体" w:cs="宋体"/>
                      <w:b/>
                      <w:color w:val="auto"/>
                      <w:sz w:val="21"/>
                      <w:szCs w:val="21"/>
                      <w:highlight w:val="none"/>
                    </w:rPr>
                    <w:t>工程招标</w:t>
                  </w:r>
                </w:p>
              </w:tc>
            </w:tr>
            <w:tr w14:paraId="4D25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59" w:type="pct"/>
                  <w:vAlign w:val="center"/>
                </w:tcPr>
                <w:p w14:paraId="282F784E">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100以下</w:t>
                  </w:r>
                </w:p>
              </w:tc>
              <w:tc>
                <w:tcPr>
                  <w:tcW w:w="1180" w:type="pct"/>
                  <w:vAlign w:val="center"/>
                </w:tcPr>
                <w:p w14:paraId="5AAD0E4F">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1.5%</w:t>
                  </w:r>
                </w:p>
              </w:tc>
              <w:tc>
                <w:tcPr>
                  <w:tcW w:w="1180" w:type="pct"/>
                  <w:vAlign w:val="center"/>
                </w:tcPr>
                <w:p w14:paraId="425FFC0C">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1.5%</w:t>
                  </w:r>
                </w:p>
              </w:tc>
              <w:tc>
                <w:tcPr>
                  <w:tcW w:w="1180" w:type="pct"/>
                  <w:vAlign w:val="center"/>
                </w:tcPr>
                <w:p w14:paraId="6BC5D666">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1.0%</w:t>
                  </w:r>
                </w:p>
              </w:tc>
            </w:tr>
            <w:tr w14:paraId="713F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59" w:type="pct"/>
                  <w:vAlign w:val="center"/>
                </w:tcPr>
                <w:p w14:paraId="032AF621">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100-500</w:t>
                  </w:r>
                </w:p>
              </w:tc>
              <w:tc>
                <w:tcPr>
                  <w:tcW w:w="1180" w:type="pct"/>
                  <w:vAlign w:val="center"/>
                </w:tcPr>
                <w:p w14:paraId="14377A94">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1.1%</w:t>
                  </w:r>
                </w:p>
              </w:tc>
              <w:tc>
                <w:tcPr>
                  <w:tcW w:w="1180" w:type="pct"/>
                  <w:vAlign w:val="center"/>
                </w:tcPr>
                <w:p w14:paraId="1CEF67B1">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0.8%</w:t>
                  </w:r>
                </w:p>
              </w:tc>
              <w:tc>
                <w:tcPr>
                  <w:tcW w:w="1180" w:type="pct"/>
                  <w:vAlign w:val="center"/>
                </w:tcPr>
                <w:p w14:paraId="2AF23A45">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0.7%</w:t>
                  </w:r>
                </w:p>
              </w:tc>
            </w:tr>
            <w:tr w14:paraId="0474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59" w:type="pct"/>
                  <w:vAlign w:val="center"/>
                </w:tcPr>
                <w:p w14:paraId="20587D6A">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500-1000</w:t>
                  </w:r>
                </w:p>
              </w:tc>
              <w:tc>
                <w:tcPr>
                  <w:tcW w:w="1180" w:type="pct"/>
                  <w:vAlign w:val="center"/>
                </w:tcPr>
                <w:p w14:paraId="4600AE31">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0.8%</w:t>
                  </w:r>
                </w:p>
              </w:tc>
              <w:tc>
                <w:tcPr>
                  <w:tcW w:w="1180" w:type="pct"/>
                  <w:vAlign w:val="center"/>
                </w:tcPr>
                <w:p w14:paraId="571D2B49">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0.45%</w:t>
                  </w:r>
                </w:p>
              </w:tc>
              <w:tc>
                <w:tcPr>
                  <w:tcW w:w="1180" w:type="pct"/>
                  <w:vAlign w:val="center"/>
                </w:tcPr>
                <w:p w14:paraId="0B450FE4">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0.55%</w:t>
                  </w:r>
                </w:p>
              </w:tc>
            </w:tr>
            <w:tr w14:paraId="7A35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59" w:type="pct"/>
                  <w:vAlign w:val="center"/>
                </w:tcPr>
                <w:p w14:paraId="595CF566">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1000-5000</w:t>
                  </w:r>
                </w:p>
              </w:tc>
              <w:tc>
                <w:tcPr>
                  <w:tcW w:w="1180" w:type="pct"/>
                  <w:vAlign w:val="center"/>
                </w:tcPr>
                <w:p w14:paraId="188957A8">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0.5%</w:t>
                  </w:r>
                </w:p>
              </w:tc>
              <w:tc>
                <w:tcPr>
                  <w:tcW w:w="1180" w:type="pct"/>
                  <w:vAlign w:val="center"/>
                </w:tcPr>
                <w:p w14:paraId="5F6CCF26">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0.25%</w:t>
                  </w:r>
                </w:p>
              </w:tc>
              <w:tc>
                <w:tcPr>
                  <w:tcW w:w="1180" w:type="pct"/>
                  <w:vAlign w:val="center"/>
                </w:tcPr>
                <w:p w14:paraId="2ADC58D9">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0.35%</w:t>
                  </w:r>
                </w:p>
              </w:tc>
            </w:tr>
            <w:tr w14:paraId="255E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59" w:type="pct"/>
                  <w:vAlign w:val="center"/>
                </w:tcPr>
                <w:p w14:paraId="6F7965D5">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5000-10000</w:t>
                  </w:r>
                </w:p>
              </w:tc>
              <w:tc>
                <w:tcPr>
                  <w:tcW w:w="1180" w:type="pct"/>
                  <w:vAlign w:val="center"/>
                </w:tcPr>
                <w:p w14:paraId="5A76EA88">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0.25%</w:t>
                  </w:r>
                </w:p>
              </w:tc>
              <w:tc>
                <w:tcPr>
                  <w:tcW w:w="1180" w:type="pct"/>
                  <w:vAlign w:val="center"/>
                </w:tcPr>
                <w:p w14:paraId="1A1BC5CC">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0.1%</w:t>
                  </w:r>
                </w:p>
              </w:tc>
              <w:tc>
                <w:tcPr>
                  <w:tcW w:w="1180" w:type="pct"/>
                  <w:vAlign w:val="center"/>
                </w:tcPr>
                <w:p w14:paraId="4C9E74A4">
                  <w:pPr>
                    <w:keepNext w:val="0"/>
                    <w:keepLines w:val="0"/>
                    <w:pageBreakBefore w:val="0"/>
                    <w:widowControl w:val="0"/>
                    <w:kinsoku/>
                    <w:wordWrap/>
                    <w:overflowPunct/>
                    <w:topLinePunct w:val="0"/>
                    <w:bidi w:val="0"/>
                    <w:adjustRightInd/>
                    <w:snapToGrid/>
                    <w:spacing w:line="40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0.2%</w:t>
                  </w:r>
                </w:p>
              </w:tc>
            </w:tr>
          </w:tbl>
          <w:p w14:paraId="20A09CEE">
            <w:pPr>
              <w:keepNext w:val="0"/>
              <w:keepLines w:val="0"/>
              <w:pageBreakBefore w:val="0"/>
              <w:widowControl w:val="0"/>
              <w:kinsoku/>
              <w:wordWrap/>
              <w:overflowPunct/>
              <w:topLinePunct w:val="0"/>
              <w:bidi w:val="0"/>
              <w:adjustRightInd/>
              <w:snapToGrid/>
              <w:spacing w:line="400" w:lineRule="exact"/>
              <w:jc w:val="left"/>
              <w:rPr>
                <w:rFonts w:ascii="宋体" w:hAnsi="宋体" w:cs="宋体"/>
                <w:color w:val="auto"/>
                <w:szCs w:val="21"/>
                <w:highlight w:val="none"/>
              </w:rPr>
            </w:pPr>
            <w:r>
              <w:rPr>
                <w:rFonts w:hint="eastAsia" w:ascii="宋体" w:hAnsi="宋体" w:cs="宋体"/>
                <w:color w:val="auto"/>
                <w:szCs w:val="21"/>
                <w:highlight w:val="none"/>
              </w:rPr>
              <w:t>收费采用差额定率累进计费方式，以中标金额为计算基数，分段累加。</w:t>
            </w:r>
          </w:p>
          <w:p w14:paraId="2DCF48B6">
            <w:pPr>
              <w:keepNext w:val="0"/>
              <w:keepLines w:val="0"/>
              <w:pageBreakBefore w:val="0"/>
              <w:widowControl w:val="0"/>
              <w:kinsoku/>
              <w:wordWrap/>
              <w:overflowPunct/>
              <w:topLinePunct w:val="0"/>
              <w:bidi w:val="0"/>
              <w:adjustRightInd/>
              <w:snapToGrid/>
              <w:spacing w:line="4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中标供应商应在代理机构发出中标通知书5个工作日内向本代理机构支付招标代理服务费。</w:t>
            </w:r>
          </w:p>
          <w:p w14:paraId="17FC12FD">
            <w:pPr>
              <w:keepNext w:val="0"/>
              <w:keepLines w:val="0"/>
              <w:pageBreakBefore w:val="0"/>
              <w:widowControl w:val="0"/>
              <w:kinsoku/>
              <w:wordWrap/>
              <w:overflowPunct/>
              <w:topLinePunct w:val="0"/>
              <w:bidi w:val="0"/>
              <w:adjustRightInd/>
              <w:snapToGrid/>
              <w:spacing w:line="400" w:lineRule="exact"/>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招标代理服务费收取银行票汇款、电汇款。</w:t>
            </w:r>
          </w:p>
          <w:p w14:paraId="69940223">
            <w:pPr>
              <w:keepNext w:val="0"/>
              <w:keepLines w:val="0"/>
              <w:pageBreakBefore w:val="0"/>
              <w:widowControl w:val="0"/>
              <w:kinsoku/>
              <w:wordWrap/>
              <w:overflowPunct/>
              <w:topLinePunct w:val="0"/>
              <w:bidi w:val="0"/>
              <w:adjustRightInd/>
              <w:snapToGrid/>
              <w:spacing w:line="400" w:lineRule="exact"/>
              <w:jc w:val="left"/>
              <w:rPr>
                <w:rFonts w:ascii="宋体" w:hAnsi="宋体" w:cs="宋体"/>
                <w:color w:val="auto"/>
                <w:szCs w:val="21"/>
                <w:highlight w:val="none"/>
              </w:rPr>
            </w:pPr>
            <w:r>
              <w:rPr>
                <w:rFonts w:hint="eastAsia" w:ascii="宋体" w:hAnsi="宋体" w:cs="宋体"/>
                <w:color w:val="auto"/>
                <w:szCs w:val="21"/>
                <w:highlight w:val="none"/>
              </w:rPr>
              <w:t>账户名称：宁波市国际招标有限公司</w:t>
            </w:r>
          </w:p>
          <w:p w14:paraId="1428FBE2">
            <w:pPr>
              <w:keepNext w:val="0"/>
              <w:keepLines w:val="0"/>
              <w:pageBreakBefore w:val="0"/>
              <w:widowControl w:val="0"/>
              <w:kinsoku/>
              <w:wordWrap/>
              <w:overflowPunct/>
              <w:topLinePunct w:val="0"/>
              <w:bidi w:val="0"/>
              <w:adjustRightInd/>
              <w:snapToGrid/>
              <w:spacing w:line="400" w:lineRule="exact"/>
              <w:jc w:val="left"/>
              <w:rPr>
                <w:rFonts w:ascii="宋体" w:hAnsi="宋体" w:cs="宋体"/>
                <w:color w:val="auto"/>
                <w:szCs w:val="21"/>
                <w:highlight w:val="none"/>
              </w:rPr>
            </w:pPr>
            <w:r>
              <w:rPr>
                <w:rFonts w:hint="eastAsia" w:ascii="宋体" w:hAnsi="宋体" w:cs="宋体"/>
                <w:color w:val="auto"/>
                <w:szCs w:val="21"/>
                <w:highlight w:val="none"/>
              </w:rPr>
              <w:t>开户银行：上海浦东发展银行宁波分行江北支行</w:t>
            </w:r>
          </w:p>
          <w:p w14:paraId="3700CE47">
            <w:pPr>
              <w:keepNext w:val="0"/>
              <w:keepLines w:val="0"/>
              <w:pageBreakBefore w:val="0"/>
              <w:widowControl w:val="0"/>
              <w:kinsoku/>
              <w:wordWrap/>
              <w:overflowPunct/>
              <w:topLinePunct w:val="0"/>
              <w:bidi w:val="0"/>
              <w:adjustRightInd/>
              <w:snapToGrid/>
              <w:spacing w:line="400" w:lineRule="exact"/>
              <w:jc w:val="left"/>
              <w:rPr>
                <w:rFonts w:ascii="宋体" w:hAnsi="宋体" w:cs="宋体"/>
                <w:color w:val="auto"/>
                <w:szCs w:val="21"/>
                <w:highlight w:val="none"/>
              </w:rPr>
            </w:pPr>
            <w:r>
              <w:rPr>
                <w:rFonts w:hint="eastAsia" w:ascii="宋体" w:hAnsi="宋体" w:cs="宋体"/>
                <w:color w:val="auto"/>
                <w:szCs w:val="21"/>
                <w:highlight w:val="none"/>
              </w:rPr>
              <w:t>银行账号：94090154800000191</w:t>
            </w:r>
          </w:p>
        </w:tc>
      </w:tr>
      <w:tr w14:paraId="132467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14:paraId="77FB4175">
            <w:pPr>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szCs w:val="21"/>
              </w:rPr>
              <w:t>2</w:t>
            </w:r>
            <w:r>
              <w:rPr>
                <w:rFonts w:hint="eastAsia" w:ascii="宋体" w:hAnsi="宋体" w:cs="宋体"/>
                <w:szCs w:val="21"/>
                <w:lang w:val="en-US" w:eastAsia="zh-CN"/>
              </w:rPr>
              <w:t>0</w:t>
            </w:r>
          </w:p>
        </w:tc>
        <w:tc>
          <w:tcPr>
            <w:tcW w:w="8241" w:type="dxa"/>
            <w:tcBorders>
              <w:top w:val="single" w:color="auto" w:sz="4" w:space="0"/>
              <w:left w:val="single" w:color="auto" w:sz="4" w:space="0"/>
              <w:bottom w:val="single" w:color="auto" w:sz="4" w:space="0"/>
              <w:right w:val="single" w:color="auto" w:sz="4" w:space="0"/>
            </w:tcBorders>
            <w:vAlign w:val="center"/>
          </w:tcPr>
          <w:p w14:paraId="6ACB7C21">
            <w:pPr>
              <w:spacing w:line="400" w:lineRule="exact"/>
              <w:jc w:val="left"/>
              <w:rPr>
                <w:rFonts w:ascii="宋体" w:hAnsi="宋体" w:cs="宋体"/>
                <w:szCs w:val="21"/>
              </w:rPr>
            </w:pPr>
            <w:r>
              <w:rPr>
                <w:rFonts w:hint="eastAsia" w:ascii="宋体" w:hAnsi="宋体" w:cs="宋体"/>
                <w:szCs w:val="21"/>
              </w:rPr>
              <w:t>其他注意事项：</w:t>
            </w:r>
          </w:p>
          <w:p w14:paraId="7432EF8E">
            <w:pPr>
              <w:spacing w:line="400" w:lineRule="exact"/>
              <w:jc w:val="left"/>
              <w:rPr>
                <w:rFonts w:ascii="宋体" w:hAnsi="宋体" w:cs="宋体"/>
                <w:szCs w:val="21"/>
              </w:rPr>
            </w:pPr>
            <w:r>
              <w:rPr>
                <w:rFonts w:hint="eastAsia" w:ascii="宋体" w:hAnsi="宋体" w:cs="宋体"/>
                <w:szCs w:val="21"/>
              </w:rPr>
              <w:t>供应商应遵循诚实信用原则在投标（响应）文件中提供真实材料。供应商应事先在公开官网查询、核对相关证书和报告内容，确保投标（响应）文件资料准确无误。</w:t>
            </w:r>
          </w:p>
          <w:p w14:paraId="43367772">
            <w:pPr>
              <w:spacing w:line="400" w:lineRule="exact"/>
              <w:jc w:val="left"/>
              <w:rPr>
                <w:rFonts w:hint="eastAsia" w:ascii="宋体" w:hAnsi="宋体" w:cs="宋体"/>
                <w:color w:val="auto"/>
                <w:szCs w:val="21"/>
                <w:highlight w:val="none"/>
              </w:rPr>
            </w:pPr>
            <w:r>
              <w:rPr>
                <w:rFonts w:hint="eastAsia" w:ascii="宋体" w:hAnsi="宋体" w:cs="宋体"/>
                <w:szCs w:val="21"/>
              </w:rPr>
              <w:t>在评审结束后、合同签订前，采购人、采购代理机构将通过网站查询、原件核对等方式对中标（成交）供应商在投标（响应）文件中涉及客观分评审内容的检测报告、认证证书等资料的真实性进行复核。发现供应商提供虚假材料的，将及时书面报告本级财政部门，由财政部门依法进行处理。</w:t>
            </w:r>
          </w:p>
        </w:tc>
      </w:tr>
    </w:tbl>
    <w:p w14:paraId="1C2ACC2A">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auto"/>
        <w:rPr>
          <w:rFonts w:ascii="宋体" w:hAnsi="宋体" w:cs="宋体"/>
          <w:b/>
          <w:color w:val="auto"/>
          <w:sz w:val="30"/>
          <w:szCs w:val="30"/>
          <w:highlight w:val="none"/>
        </w:rPr>
      </w:pPr>
      <w:r>
        <w:rPr>
          <w:rFonts w:hint="eastAsia" w:ascii="宋体" w:hAnsi="宋体" w:cs="宋体"/>
          <w:b/>
          <w:color w:val="auto"/>
          <w:szCs w:val="21"/>
          <w:highlight w:val="none"/>
        </w:rPr>
        <w:br w:type="page"/>
      </w:r>
      <w:r>
        <w:rPr>
          <w:rFonts w:hint="eastAsia" w:ascii="宋体" w:hAnsi="宋体" w:cs="宋体"/>
          <w:b/>
          <w:color w:val="auto"/>
          <w:sz w:val="30"/>
          <w:szCs w:val="30"/>
          <w:highlight w:val="none"/>
        </w:rPr>
        <w:t>供应商须知正文</w:t>
      </w:r>
    </w:p>
    <w:p w14:paraId="1A7BA321">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auto"/>
        <w:rPr>
          <w:rFonts w:ascii="宋体" w:hAnsi="宋体" w:cs="宋体"/>
          <w:b/>
          <w:color w:val="auto"/>
          <w:szCs w:val="21"/>
          <w:highlight w:val="none"/>
        </w:rPr>
      </w:pPr>
      <w:r>
        <w:rPr>
          <w:rFonts w:hint="eastAsia" w:ascii="宋体" w:hAnsi="宋体" w:cs="宋体"/>
          <w:b/>
          <w:color w:val="auto"/>
          <w:szCs w:val="21"/>
          <w:highlight w:val="none"/>
        </w:rPr>
        <w:t>一、适用范围</w:t>
      </w:r>
    </w:p>
    <w:p w14:paraId="57C8748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本招标文件仅适用于本采购项目所叙述的货物和服务的招标、评标、定标、验收、合同履约、付款等（法律、法规另有规定的，从其规定）。</w:t>
      </w:r>
    </w:p>
    <w:p w14:paraId="34514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二、定义</w:t>
      </w:r>
    </w:p>
    <w:p w14:paraId="68F9A6E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”系指</w:t>
      </w:r>
      <w:r>
        <w:rPr>
          <w:rFonts w:hint="eastAsia" w:ascii="宋体" w:hAnsi="宋体" w:cs="宋体"/>
          <w:color w:val="auto"/>
          <w:szCs w:val="21"/>
          <w:highlight w:val="none"/>
          <w:lang w:eastAsia="zh-CN"/>
        </w:rPr>
        <w:t>宁波大学</w:t>
      </w:r>
      <w:r>
        <w:rPr>
          <w:rFonts w:hint="eastAsia" w:ascii="宋体" w:hAnsi="宋体" w:cs="宋体"/>
          <w:color w:val="auto"/>
          <w:szCs w:val="21"/>
          <w:highlight w:val="none"/>
        </w:rPr>
        <w:t>。</w:t>
      </w:r>
    </w:p>
    <w:p w14:paraId="3325ADC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“代理机构”系指宁波市国际招标有限公司。</w:t>
      </w:r>
    </w:p>
    <w:p w14:paraId="501668D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“供应商”系指向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提交投标文件的供应商。</w:t>
      </w:r>
    </w:p>
    <w:p w14:paraId="182A94D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“服务”系指招标文件规定供应商</w:t>
      </w:r>
      <w:r>
        <w:rPr>
          <w:rFonts w:hint="eastAsia" w:ascii="宋体" w:hAnsi="宋体" w:cs="宋体"/>
          <w:color w:val="auto"/>
          <w:highlight w:val="none"/>
        </w:rPr>
        <w:t>须承担的</w:t>
      </w:r>
      <w:r>
        <w:rPr>
          <w:rFonts w:hint="eastAsia" w:ascii="宋体" w:hAnsi="宋体" w:cs="宋体"/>
          <w:color w:val="auto"/>
          <w:highlight w:val="none"/>
          <w:lang w:eastAsia="zh-CN"/>
        </w:rPr>
        <w:t>宁波大学校医院信息一体化平台服务项目</w:t>
      </w:r>
      <w:r>
        <w:rPr>
          <w:rFonts w:hint="eastAsia" w:ascii="宋体" w:hAnsi="宋体" w:cs="宋体"/>
          <w:color w:val="auto"/>
          <w:highlight w:val="none"/>
        </w:rPr>
        <w:t>的义务。</w:t>
      </w:r>
    </w:p>
    <w:p w14:paraId="3592F13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“同级政府采购监管部门”系指</w:t>
      </w:r>
      <w:r>
        <w:rPr>
          <w:rFonts w:hint="eastAsia" w:ascii="宋体" w:hAnsi="宋体" w:cs="宋体"/>
          <w:color w:val="auto"/>
          <w:kern w:val="10"/>
          <w:szCs w:val="21"/>
          <w:highlight w:val="none"/>
          <w:lang w:val="zh-CN"/>
        </w:rPr>
        <w:t>宁波市财政局政府采购监管处。</w:t>
      </w:r>
    </w:p>
    <w:p w14:paraId="1B1445F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rPr>
        <w:t>”系指实质性响应条款。</w:t>
      </w:r>
    </w:p>
    <w:p w14:paraId="4B545CD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合格的投标货物或服务：</w:t>
      </w:r>
    </w:p>
    <w:p w14:paraId="2416D77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（1）应该是中国境内生产的货物或提供的服务。</w:t>
      </w:r>
    </w:p>
    <w:p w14:paraId="3DEDEF0E">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若投标货物或服务是国家实行许可证制度或生产注册证制度的产品或服务，则应具备相应有效的证书。</w:t>
      </w:r>
    </w:p>
    <w:p w14:paraId="0162912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招标文件允许采购进口产品的，若投标货物是进口产品，供应商应保证所投产品为可履行合法报通关手续进入中国关境内、在中国海关完税的可合法销售的货物。</w:t>
      </w:r>
    </w:p>
    <w:p w14:paraId="66D84FE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（2）国家规定有标准及规范的，投标货物或服务应按有效的标准及规范执行，应符合国家及招标文件提出的有关技术、质量、安全标准。</w:t>
      </w:r>
    </w:p>
    <w:p w14:paraId="4BAFE6E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（3）供应商应保证所提供的产品或服务免受第三方提出侵犯其知识产权（专利权、商标权、工业设计权及使用权等）的索赔或起诉，否则，由此可能产生的一切法律责任和经济责任均由供应商承担。</w:t>
      </w:r>
    </w:p>
    <w:p w14:paraId="74EBBDA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b/>
          <w:color w:val="auto"/>
          <w:szCs w:val="21"/>
          <w:highlight w:val="none"/>
        </w:rPr>
        <w:t>三、供应商的资格要求</w:t>
      </w:r>
    </w:p>
    <w:p w14:paraId="65089C5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详见</w:t>
      </w:r>
      <w:r>
        <w:rPr>
          <w:rFonts w:hint="eastAsia" w:ascii="宋体" w:hAnsi="宋体" w:cs="宋体"/>
          <w:color w:val="auto"/>
          <w:szCs w:val="21"/>
          <w:highlight w:val="none"/>
          <w:lang w:eastAsia="zh-CN"/>
        </w:rPr>
        <w:t>“第一章  采购公告”</w:t>
      </w:r>
      <w:r>
        <w:rPr>
          <w:rFonts w:hint="eastAsia" w:ascii="宋体" w:hAnsi="宋体" w:cs="宋体"/>
          <w:color w:val="auto"/>
          <w:szCs w:val="21"/>
          <w:highlight w:val="none"/>
        </w:rPr>
        <w:t>。</w:t>
      </w:r>
    </w:p>
    <w:p w14:paraId="3157726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四、投标费用</w:t>
      </w:r>
    </w:p>
    <w:p w14:paraId="0F24B0C7">
      <w:pPr>
        <w:wordWrap w:val="0"/>
        <w:spacing w:line="400" w:lineRule="exact"/>
        <w:ind w:firstLine="422" w:firstLineChars="200"/>
        <w:jc w:val="left"/>
        <w:rPr>
          <w:rFonts w:ascii="宋体" w:hAnsi="宋体" w:cs="宋体"/>
          <w:b/>
          <w:szCs w:val="21"/>
        </w:rPr>
      </w:pPr>
      <w:r>
        <w:rPr>
          <w:rFonts w:hint="eastAsia" w:ascii="宋体" w:hAnsi="宋体" w:cs="宋体"/>
          <w:b/>
          <w:szCs w:val="21"/>
        </w:rPr>
        <w:t>（一）投标费用</w:t>
      </w:r>
    </w:p>
    <w:p w14:paraId="0D9E7566">
      <w:pPr>
        <w:wordWrap w:val="0"/>
        <w:spacing w:line="400" w:lineRule="exact"/>
        <w:ind w:firstLine="420" w:firstLineChars="200"/>
        <w:jc w:val="left"/>
        <w:rPr>
          <w:rFonts w:ascii="宋体" w:hAnsi="宋体" w:cs="宋体"/>
          <w:szCs w:val="21"/>
        </w:rPr>
      </w:pPr>
      <w:r>
        <w:rPr>
          <w:rFonts w:hint="eastAsia" w:ascii="宋体" w:hAnsi="宋体" w:cs="宋体"/>
          <w:szCs w:val="21"/>
        </w:rPr>
        <w:t>无论投标过程和结果如何，供应商自行承担与投标有关的全部费用。</w:t>
      </w:r>
    </w:p>
    <w:p w14:paraId="130A78E3">
      <w:pPr>
        <w:wordWrap w:val="0"/>
        <w:spacing w:line="400" w:lineRule="exact"/>
        <w:ind w:firstLine="422" w:firstLineChars="200"/>
        <w:jc w:val="left"/>
        <w:rPr>
          <w:rFonts w:ascii="宋体" w:hAnsi="宋体" w:cs="宋体"/>
          <w:b/>
          <w:szCs w:val="21"/>
        </w:rPr>
      </w:pPr>
      <w:r>
        <w:rPr>
          <w:rFonts w:hint="eastAsia" w:ascii="宋体" w:hAnsi="宋体" w:cs="宋体"/>
          <w:b/>
          <w:szCs w:val="21"/>
        </w:rPr>
        <w:t>（二）关于分公司投标</w:t>
      </w:r>
    </w:p>
    <w:p w14:paraId="13CC6419">
      <w:pPr>
        <w:wordWrap w:val="0"/>
        <w:spacing w:line="400" w:lineRule="exact"/>
        <w:ind w:firstLine="420" w:firstLineChars="200"/>
        <w:jc w:val="left"/>
        <w:rPr>
          <w:rFonts w:ascii="宋体" w:hAnsi="宋体" w:cs="宋体"/>
          <w:szCs w:val="21"/>
        </w:rPr>
      </w:pPr>
      <w:r>
        <w:rPr>
          <w:rFonts w:hint="eastAsia" w:ascii="宋体" w:hAnsi="宋体" w:cs="宋体"/>
          <w:szCs w:val="21"/>
        </w:rPr>
        <w:t>仅允许银行、保险、石油石化、电力、电信、移动、联通等行业分公司进行投标，分公司投标的，需提供具有法人资格的总公司的营业执照原件扫描件及授权书，授权书须加盖总公司公章。</w:t>
      </w:r>
    </w:p>
    <w:p w14:paraId="2328DF70">
      <w:pPr>
        <w:wordWrap w:val="0"/>
        <w:spacing w:line="400" w:lineRule="exact"/>
        <w:ind w:firstLine="422" w:firstLineChars="200"/>
        <w:jc w:val="left"/>
        <w:rPr>
          <w:rFonts w:ascii="宋体" w:hAnsi="宋体" w:cs="宋体"/>
          <w:b/>
          <w:szCs w:val="21"/>
        </w:rPr>
      </w:pPr>
      <w:bookmarkStart w:id="2" w:name="_Toc460857903"/>
      <w:bookmarkStart w:id="3" w:name="_Toc17707916"/>
      <w:bookmarkStart w:id="4" w:name="_Toc23497307"/>
      <w:r>
        <w:rPr>
          <w:rFonts w:hint="eastAsia" w:ascii="宋体" w:hAnsi="宋体" w:cs="宋体"/>
          <w:b/>
          <w:szCs w:val="21"/>
        </w:rPr>
        <w:t>（三）联合体投标</w:t>
      </w:r>
      <w:bookmarkEnd w:id="2"/>
      <w:bookmarkEnd w:id="3"/>
      <w:bookmarkEnd w:id="4"/>
    </w:p>
    <w:p w14:paraId="721082AF">
      <w:pPr>
        <w:wordWrap w:val="0"/>
        <w:spacing w:line="400" w:lineRule="exact"/>
        <w:ind w:firstLine="420" w:firstLineChars="200"/>
        <w:jc w:val="left"/>
        <w:rPr>
          <w:rFonts w:ascii="宋体" w:hAnsi="宋体" w:cs="宋体"/>
          <w:szCs w:val="21"/>
        </w:rPr>
      </w:pPr>
      <w:r>
        <w:rPr>
          <w:rFonts w:hint="eastAsia" w:ascii="宋体" w:hAnsi="宋体" w:cs="宋体"/>
          <w:szCs w:val="21"/>
        </w:rPr>
        <w:t>本项目不接受联合体投标。</w:t>
      </w:r>
    </w:p>
    <w:p w14:paraId="7E7259D9">
      <w:pPr>
        <w:wordWrap w:val="0"/>
        <w:spacing w:line="400" w:lineRule="exact"/>
        <w:ind w:firstLine="422" w:firstLineChars="200"/>
        <w:jc w:val="left"/>
        <w:rPr>
          <w:rFonts w:ascii="宋体" w:hAnsi="宋体" w:cs="宋体"/>
          <w:b/>
          <w:szCs w:val="21"/>
        </w:rPr>
      </w:pPr>
      <w:bookmarkStart w:id="5" w:name="_Toc460857904"/>
      <w:bookmarkStart w:id="6" w:name="_Toc23497308"/>
      <w:bookmarkStart w:id="7" w:name="_Toc17707917"/>
      <w:r>
        <w:rPr>
          <w:rFonts w:hint="eastAsia" w:ascii="宋体" w:hAnsi="宋体" w:cs="宋体"/>
          <w:b/>
          <w:szCs w:val="21"/>
        </w:rPr>
        <w:t>（四）转包与分包</w:t>
      </w:r>
      <w:bookmarkEnd w:id="5"/>
      <w:bookmarkEnd w:id="6"/>
      <w:bookmarkEnd w:id="7"/>
    </w:p>
    <w:p w14:paraId="03EDD7CA">
      <w:pPr>
        <w:wordWrap w:val="0"/>
        <w:spacing w:line="400" w:lineRule="exact"/>
        <w:ind w:firstLine="420" w:firstLineChars="200"/>
        <w:jc w:val="left"/>
        <w:rPr>
          <w:rFonts w:ascii="宋体" w:hAnsi="宋体" w:cs="宋体"/>
          <w:szCs w:val="21"/>
        </w:rPr>
      </w:pPr>
      <w:r>
        <w:rPr>
          <w:rFonts w:hint="eastAsia" w:ascii="宋体" w:hAnsi="宋体" w:cs="宋体"/>
          <w:szCs w:val="21"/>
        </w:rPr>
        <w:t>本项目不允许转包，未经采购人同意，不允许分包。</w:t>
      </w:r>
    </w:p>
    <w:p w14:paraId="567C20E5">
      <w:pPr>
        <w:wordWrap w:val="0"/>
        <w:spacing w:line="400" w:lineRule="exact"/>
        <w:ind w:firstLine="422" w:firstLineChars="200"/>
        <w:jc w:val="left"/>
        <w:rPr>
          <w:rFonts w:ascii="宋体" w:hAnsi="宋体" w:cs="宋体"/>
          <w:b/>
          <w:szCs w:val="21"/>
        </w:rPr>
      </w:pPr>
      <w:bookmarkStart w:id="8" w:name="_Toc460857905"/>
      <w:bookmarkStart w:id="9" w:name="_Toc23497309"/>
      <w:bookmarkStart w:id="10" w:name="_Toc460416601"/>
      <w:bookmarkStart w:id="11" w:name="_Toc460416650"/>
      <w:bookmarkStart w:id="12" w:name="_Toc17707918"/>
      <w:bookmarkStart w:id="13" w:name="_Toc460416345"/>
      <w:r>
        <w:rPr>
          <w:rFonts w:hint="eastAsia" w:ascii="宋体" w:hAnsi="宋体" w:cs="宋体"/>
          <w:b/>
          <w:szCs w:val="21"/>
        </w:rPr>
        <w:t>（五）特别说明</w:t>
      </w:r>
      <w:bookmarkEnd w:id="8"/>
      <w:bookmarkEnd w:id="9"/>
      <w:bookmarkEnd w:id="10"/>
      <w:bookmarkEnd w:id="11"/>
      <w:bookmarkEnd w:id="12"/>
      <w:bookmarkEnd w:id="13"/>
    </w:p>
    <w:p w14:paraId="7306DA17">
      <w:pPr>
        <w:wordWrap w:val="0"/>
        <w:spacing w:line="400" w:lineRule="exact"/>
        <w:ind w:firstLine="420" w:firstLineChars="200"/>
        <w:jc w:val="left"/>
        <w:rPr>
          <w:rFonts w:ascii="宋体" w:hAnsi="宋体" w:cs="宋体"/>
          <w:szCs w:val="21"/>
        </w:rPr>
      </w:pPr>
      <w:r>
        <w:rPr>
          <w:rFonts w:hint="eastAsia" w:ascii="宋体" w:hAnsi="宋体" w:cs="宋体"/>
          <w:szCs w:val="21"/>
        </w:rPr>
        <w:t>1.供应商应仔细阅读招标文件的所有内容，按照招标文件的要求提交投标文件，并对所提供的全部资料的真实性承担法律责任。</w:t>
      </w:r>
    </w:p>
    <w:p w14:paraId="3FFE447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szCs w:val="21"/>
        </w:rPr>
        <w:t>2.供应商在投标活动中提供任何虚假材料，其投标无效，并报监管部门查处；中标后发现的,中标供应商须依照《中华人民共和国消费者权益保护法》第55条之规定赔偿采购人，且民事赔偿并不免除违法供应商的行政与刑事责任。</w:t>
      </w:r>
    </w:p>
    <w:p w14:paraId="53ADD01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五、投标报价</w:t>
      </w:r>
    </w:p>
    <w:p w14:paraId="3D3EAB1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投标报价以人民币为结算货币，投标报价应包含按要求完成本项目采购内容的所有费用，包括人工费、运维、培训、供应商利润、税金及合同包含的所有风险、责任等与此有关的一切费用</w:t>
      </w:r>
      <w:r>
        <w:rPr>
          <w:rFonts w:hint="eastAsia" w:ascii="宋体" w:hAnsi="宋体" w:cs="宋体"/>
          <w:color w:val="auto"/>
          <w:highlight w:val="none"/>
        </w:rPr>
        <w:t>。供应商在报价时应考虑到所有报价项目，如果有遗漏，自行承担风险，</w:t>
      </w:r>
      <w:r>
        <w:rPr>
          <w:rFonts w:hint="eastAsia" w:ascii="宋体" w:hAnsi="宋体" w:cs="宋体"/>
          <w:color w:val="auto"/>
          <w:highlight w:val="none"/>
          <w:lang w:eastAsia="zh-CN"/>
        </w:rPr>
        <w:t>采购人</w:t>
      </w:r>
      <w:r>
        <w:rPr>
          <w:rFonts w:hint="eastAsia" w:ascii="宋体" w:hAnsi="宋体" w:cs="宋体"/>
          <w:color w:val="auto"/>
          <w:highlight w:val="none"/>
        </w:rPr>
        <w:t>不再支付</w:t>
      </w:r>
      <w:r>
        <w:rPr>
          <w:rFonts w:hint="eastAsia" w:ascii="宋体" w:hAnsi="宋体" w:cs="宋体"/>
          <w:color w:val="auto"/>
          <w:highlight w:val="none"/>
          <w:lang w:eastAsia="zh-CN"/>
        </w:rPr>
        <w:t>其他费用</w:t>
      </w:r>
      <w:r>
        <w:rPr>
          <w:rFonts w:hint="eastAsia" w:ascii="宋体" w:hAnsi="宋体" w:cs="宋体"/>
          <w:color w:val="auto"/>
          <w:highlight w:val="none"/>
        </w:rPr>
        <w:t>。</w:t>
      </w:r>
    </w:p>
    <w:p w14:paraId="77329CF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b/>
          <w:bCs/>
          <w:color w:val="auto"/>
          <w:szCs w:val="21"/>
          <w:highlight w:val="none"/>
        </w:rPr>
      </w:pPr>
      <w:r>
        <w:rPr>
          <w:rFonts w:hint="eastAsia" w:ascii="宋体" w:hAnsi="宋体" w:cs="宋体"/>
          <w:color w:val="auto"/>
          <w:szCs w:val="21"/>
          <w:highlight w:val="none"/>
        </w:rPr>
        <w:t>投标报价为最终报价，除非因特殊原因并经双方协商同意，供应商不得再要求追加任何费用。同时，除非合同条款中另有规定，否则，供应商所报价格在合同实施期间不因市场变化和政策因素而变动。</w:t>
      </w:r>
      <w:r>
        <w:rPr>
          <w:rFonts w:hint="eastAsia" w:ascii="宋体" w:hAnsi="宋体" w:cs="宋体"/>
          <w:b/>
          <w:bCs/>
          <w:color w:val="auto"/>
          <w:szCs w:val="21"/>
          <w:highlight w:val="none"/>
        </w:rPr>
        <w:t>凡影响投标报价的所有相关费用应列入本次报价中。中标后，不得以不完全了解招标文件、建设现场和周围环境等情况为借口，而提出额外补偿或降低服务质量等的要求。</w:t>
      </w:r>
    </w:p>
    <w:p w14:paraId="494D4BC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供应商应按招标文件要求认真填写“开标一览表”和“分项报价表”。</w:t>
      </w:r>
    </w:p>
    <w:p w14:paraId="12311B8A">
      <w:pPr>
        <w:keepNext w:val="0"/>
        <w:keepLines w:val="0"/>
        <w:pageBreakBefore w:val="0"/>
        <w:widowControl w:val="0"/>
        <w:kinsoku/>
        <w:wordWrap/>
        <w:overflowPunct/>
        <w:topLinePunct w:val="0"/>
        <w:autoSpaceDE/>
        <w:autoSpaceDN/>
        <w:bidi w:val="0"/>
        <w:adjustRightInd/>
        <w:snapToGrid/>
        <w:spacing w:line="400" w:lineRule="exact"/>
        <w:ind w:left="0" w:leftChars="0"/>
        <w:jc w:val="both"/>
        <w:textAlignment w:val="auto"/>
        <w:rPr>
          <w:rFonts w:ascii="宋体" w:hAnsi="宋体" w:cs="宋体"/>
          <w:b/>
          <w:color w:val="auto"/>
          <w:szCs w:val="21"/>
          <w:highlight w:val="none"/>
        </w:rPr>
      </w:pPr>
      <w:r>
        <w:rPr>
          <w:rFonts w:hint="eastAsia" w:ascii="宋体" w:hAnsi="宋体" w:cs="宋体"/>
          <w:b/>
          <w:color w:val="auto"/>
          <w:szCs w:val="21"/>
          <w:highlight w:val="none"/>
        </w:rPr>
        <w:t>六、投标有效期</w:t>
      </w:r>
    </w:p>
    <w:p w14:paraId="1219940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投标文件从开标之日起，投标有效期为90个日历日。投标有效期不能小于招标文件的要求。</w:t>
      </w:r>
    </w:p>
    <w:p w14:paraId="79F8A383">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b/>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特殊情况下，</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可与供应商协商</w:t>
      </w:r>
      <w:r>
        <w:rPr>
          <w:rFonts w:hint="eastAsia" w:ascii="宋体" w:hAnsi="宋体" w:cs="宋体"/>
          <w:color w:val="auto"/>
          <w:szCs w:val="21"/>
          <w:highlight w:val="none"/>
          <w:lang w:eastAsia="zh-CN"/>
        </w:rPr>
        <w:t>延长</w:t>
      </w:r>
      <w:r>
        <w:rPr>
          <w:rFonts w:hint="eastAsia" w:ascii="宋体" w:hAnsi="宋体" w:cs="宋体"/>
          <w:color w:val="auto"/>
          <w:szCs w:val="21"/>
          <w:highlight w:val="none"/>
        </w:rPr>
        <w:t>投标文件的有效期，这种要求和答复均以书面形式进行。</w:t>
      </w:r>
    </w:p>
    <w:p w14:paraId="1326C21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供应商可拒绝接受延期要求。同意延长有效期的供应商不能修改投标文件。</w:t>
      </w:r>
    </w:p>
    <w:p w14:paraId="022AEC9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七、投标文件的形式和效力</w:t>
      </w:r>
    </w:p>
    <w:p w14:paraId="7BFE7C1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投标文件分为电子投标文件以及备份投标文件，备份投标文件为以</w:t>
      </w:r>
      <w:r>
        <w:rPr>
          <w:rFonts w:hint="eastAsia" w:ascii="宋体" w:hAnsi="宋体" w:cs="宋体"/>
          <w:color w:val="auto"/>
          <w:kern w:val="0"/>
          <w:szCs w:val="21"/>
          <w:highlight w:val="none"/>
        </w:rPr>
        <w:t>U盘存储的电子</w:t>
      </w:r>
      <w:r>
        <w:rPr>
          <w:rFonts w:hint="eastAsia" w:ascii="宋体" w:hAnsi="宋体" w:cs="宋体"/>
          <w:color w:val="auto"/>
          <w:szCs w:val="21"/>
          <w:highlight w:val="none"/>
        </w:rPr>
        <w:t>备份投标文件。</w:t>
      </w:r>
    </w:p>
    <w:p w14:paraId="0A48729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电子投标文件，按“项目采购-电子招投标操作指南”及本招标文件要求制作，并加密。</w:t>
      </w:r>
    </w:p>
    <w:p w14:paraId="3036948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投标文件制作说明：</w:t>
      </w:r>
    </w:p>
    <w:p w14:paraId="171D38B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（1）应按照本项目招标文件和政府采购云平台的要求编制、加密并递交投标文件。供应商在使用系统进行投标的过程中遇到涉及平台使用的任何问题，可致电政府采购云平台技术支持热线咨询，联系方式：95763。</w:t>
      </w:r>
    </w:p>
    <w:p w14:paraId="707C435E">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（2）供应商通过政府采购云平台电子投标工具制作投标文件。电子投标工具请供应商自行前往浙江政府采购网下载并安装http://zfcg.czt.zj.gov.cn/bidClientTemplate/2019-05-27/12946.html）。</w:t>
      </w:r>
    </w:p>
    <w:p w14:paraId="7525BB0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供应商投标文件制作及电子交易操作指南详见：</w:t>
      </w:r>
    </w:p>
    <w:p w14:paraId="0DA9CCB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①政府采购项目电子交易管理操作指南（视频）https://service.zcygov.cn/#/knowledges/CW1EtGwBFdiHxlNd6I3m/7GyLXW0BXgMSmLUuYuPM（电脑登录账号观看）；</w:t>
      </w:r>
    </w:p>
    <w:p w14:paraId="15E7192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②政府采购项目电子交易管理操作指南（文本）https://service.zcygov.cn/#/knowledges/CW1EtGwBFdiHxlNd6I3m/6IMVAG0BFdiHxlNdQ8Na（电脑登录账号浏览）。</w:t>
      </w:r>
    </w:p>
    <w:p w14:paraId="36B5A96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（3）以U盘存储的电子备份投标文件1份，即按“项目采购-电子招投标操作指南”制作的电子备份文件，以用于异常情况处理。</w:t>
      </w:r>
    </w:p>
    <w:p w14:paraId="76CD0DC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投标文件填写字迹必须清楚、工整，对不同文字文本投标文件的解释发生异议的，以中文文本为准。</w:t>
      </w:r>
    </w:p>
    <w:p w14:paraId="1A02143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投标文件的效力</w:t>
      </w:r>
    </w:p>
    <w:p w14:paraId="16D0027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投标文件的启用，按先后顺位分别为电子投标文件、以U盘存储的电子备份投标文件。在下一顺位的投标文件启用时，前一顺位的投标文件自动失效。</w:t>
      </w:r>
    </w:p>
    <w:p w14:paraId="7DF4096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电子投标文件未能按时解密，供应商提供了电子备份投标文件的，以电子备份投标文件作为依据，否则视为投标文件撤回。电子投标文件已按时解密的，电子备份投标文件自动失效。</w:t>
      </w:r>
      <w:bookmarkStart w:id="14" w:name="_Hlk23147633"/>
      <w:bookmarkStart w:id="15" w:name="_Hlk23150950"/>
    </w:p>
    <w:p w14:paraId="4DD987A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ascii="宋体" w:hAnsi="宋体" w:cs="宋体"/>
          <w:b/>
          <w:bCs/>
          <w:color w:val="auto"/>
          <w:szCs w:val="21"/>
          <w:highlight w:val="none"/>
        </w:rPr>
      </w:pPr>
      <w:r>
        <w:rPr>
          <w:rFonts w:hint="eastAsia" w:ascii="宋体" w:hAnsi="宋体" w:cs="宋体"/>
          <w:b/>
          <w:bCs/>
          <w:color w:val="auto"/>
          <w:szCs w:val="21"/>
          <w:highlight w:val="none"/>
          <w:lang w:eastAsia="zh-CN"/>
        </w:rPr>
        <w:t>八、</w:t>
      </w:r>
      <w:r>
        <w:rPr>
          <w:rFonts w:hint="eastAsia" w:ascii="宋体" w:hAnsi="宋体" w:cs="宋体"/>
          <w:b/>
          <w:bCs/>
          <w:color w:val="auto"/>
          <w:szCs w:val="21"/>
          <w:highlight w:val="none"/>
        </w:rPr>
        <w:t>投标文件的组成和制作</w:t>
      </w:r>
    </w:p>
    <w:p w14:paraId="426A1823">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投标文件的组成：</w:t>
      </w:r>
    </w:p>
    <w:bookmarkEnd w:id="14"/>
    <w:p w14:paraId="2A7A458A">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both"/>
        <w:textAlignment w:val="auto"/>
        <w:rPr>
          <w:rFonts w:ascii="宋体" w:hAnsi="宋体" w:cs="宋体"/>
          <w:b/>
          <w:color w:val="auto"/>
          <w:szCs w:val="21"/>
          <w:highlight w:val="none"/>
        </w:rPr>
      </w:pPr>
      <w:r>
        <w:rPr>
          <w:rFonts w:hint="eastAsia" w:ascii="宋体" w:hAnsi="宋体" w:cs="宋体"/>
          <w:b/>
          <w:color w:val="auto"/>
          <w:szCs w:val="21"/>
          <w:highlight w:val="none"/>
        </w:rPr>
        <w:t>详见投标须知前附表。</w:t>
      </w:r>
    </w:p>
    <w:p w14:paraId="354F870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bCs/>
          <w:color w:val="auto"/>
          <w:szCs w:val="21"/>
          <w:highlight w:val="none"/>
        </w:rPr>
        <w:t>投标文件制作：</w:t>
      </w:r>
    </w:p>
    <w:p w14:paraId="5AE2456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（1）应按照本项目招标文件和政府采购云平台的要求编制、加密并递交投标文件。供应商在使用系统进行投标的过程中遇到涉及平台使用的任何问题，可致电政府采购云平台技术支持热线咨询，联系方式：95763。</w:t>
      </w:r>
    </w:p>
    <w:p w14:paraId="2219C49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（2）供应商通过政府采购云平台电子投标工具制作投标文件。电子投标工具请供应商自行前往浙江政府采购网下载并安装。</w:t>
      </w:r>
    </w:p>
    <w:p w14:paraId="5D92885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（3）以U盘存储的电子备份投标文件1份，即按“项目采购-电子招投标操作指南”制作的电子备份文件，以用于异常情况处理。</w:t>
      </w:r>
    </w:p>
    <w:p w14:paraId="5E2B7D6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4）开标前准备：各供应商应在投标截止时间前确保成为浙江政府采购网正式注册入库供应商，并完成CA数字证书办理。因未注册入库、未办理CA数字证书等原因造成无法投标或投标失败等后果由供应商自行承担。</w:t>
      </w:r>
      <w:r>
        <w:rPr>
          <w:rFonts w:hint="eastAsia" w:ascii="宋体" w:hAnsi="宋体" w:cs="宋体"/>
          <w:b/>
          <w:bCs/>
          <w:color w:val="auto"/>
          <w:szCs w:val="21"/>
          <w:highlight w:val="none"/>
        </w:rPr>
        <w:t>完成CA数字证书办理预计一周左右，请供应商自行把握时间。</w:t>
      </w:r>
    </w:p>
    <w:bookmarkEnd w:id="15"/>
    <w:p w14:paraId="3514736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lang w:eastAsia="zh-CN"/>
        </w:rPr>
        <w:t>★</w:t>
      </w:r>
      <w:r>
        <w:rPr>
          <w:rFonts w:hint="eastAsia" w:ascii="宋体" w:hAnsi="宋体" w:cs="宋体"/>
          <w:b/>
          <w:color w:val="auto"/>
          <w:szCs w:val="21"/>
          <w:highlight w:val="none"/>
        </w:rPr>
        <w:t>九、投标文件的签署盖章</w:t>
      </w:r>
    </w:p>
    <w:p w14:paraId="1861FA9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szCs w:val="21"/>
        </w:rPr>
        <w:t>招标文件第七章“附件”中标明加盖公章或签字的，加盖公章部分可采用CA签章，也可采用加盖鲜章后扫描上传，签字部分由法定代表人或授权代表加盖CA签章，也可采用签字后扫描上传。授权代表签字的，还应附法定代表人签署的法定代表人授权书</w:t>
      </w:r>
      <w:r>
        <w:rPr>
          <w:rFonts w:hint="eastAsia" w:ascii="宋体" w:hAnsi="宋体" w:cs="宋体"/>
          <w:color w:val="auto"/>
          <w:szCs w:val="21"/>
          <w:highlight w:val="none"/>
        </w:rPr>
        <w:t>。</w:t>
      </w:r>
    </w:p>
    <w:p w14:paraId="140FFB5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十、投标文件的密封和标记</w:t>
      </w:r>
    </w:p>
    <w:p w14:paraId="129BEA43">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电子投标文件：供应商应根据“项目采购-电子招投标操作指南”及本招标文件规定的格式和顺序编制电子投标文件并进行关联定位。</w:t>
      </w:r>
    </w:p>
    <w:p w14:paraId="25780E1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kern w:val="0"/>
          <w:szCs w:val="21"/>
          <w:highlight w:val="none"/>
        </w:rPr>
        <w:t>以U盘存储的电子备份投标文件</w:t>
      </w:r>
      <w:r>
        <w:rPr>
          <w:rFonts w:hint="eastAsia" w:ascii="宋体" w:hAnsi="宋体" w:cs="宋体"/>
          <w:b/>
          <w:color w:val="auto"/>
          <w:szCs w:val="21"/>
          <w:highlight w:val="none"/>
        </w:rPr>
        <w:t>用</w:t>
      </w:r>
      <w:r>
        <w:rPr>
          <w:rFonts w:hint="eastAsia" w:ascii="宋体" w:hAnsi="宋体" w:cs="宋体"/>
          <w:b/>
          <w:color w:val="auto"/>
          <w:szCs w:val="21"/>
          <w:highlight w:val="none"/>
          <w:lang w:eastAsia="zh-CN"/>
        </w:rPr>
        <w:t>密</w:t>
      </w:r>
      <w:r>
        <w:rPr>
          <w:rFonts w:hint="eastAsia" w:ascii="宋体" w:hAnsi="宋体" w:cs="宋体"/>
          <w:b/>
          <w:color w:val="auto"/>
          <w:szCs w:val="21"/>
          <w:highlight w:val="none"/>
        </w:rPr>
        <w:t>封袋密封后递交。</w:t>
      </w:r>
    </w:p>
    <w:p w14:paraId="7A9BCA9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kern w:val="0"/>
          <w:szCs w:val="21"/>
          <w:highlight w:val="none"/>
        </w:rPr>
        <w:t>电子备份投标文件须在</w:t>
      </w:r>
      <w:r>
        <w:rPr>
          <w:rFonts w:hint="eastAsia" w:ascii="宋体" w:hAnsi="宋体" w:cs="宋体"/>
          <w:color w:val="auto"/>
          <w:szCs w:val="21"/>
          <w:highlight w:val="none"/>
        </w:rPr>
        <w:t>封袋上分别注明：</w:t>
      </w:r>
    </w:p>
    <w:p w14:paraId="29470A5E">
      <w:pPr>
        <w:keepNext w:val="0"/>
        <w:keepLines w:val="0"/>
        <w:pageBreakBefore w:val="0"/>
        <w:widowControl w:val="0"/>
        <w:tabs>
          <w:tab w:val="left" w:pos="900"/>
        </w:tabs>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u w:val="single"/>
        </w:rPr>
      </w:pPr>
      <w:r>
        <w:rPr>
          <w:rFonts w:hint="eastAsia" w:ascii="宋体" w:hAnsi="宋体" w:cs="宋体"/>
          <w:color w:val="auto"/>
          <w:szCs w:val="21"/>
          <w:highlight w:val="none"/>
        </w:rPr>
        <w:t>（1）注    明：</w:t>
      </w:r>
      <w:r>
        <w:rPr>
          <w:rFonts w:hint="eastAsia" w:ascii="宋体" w:hAnsi="宋体" w:cs="宋体"/>
          <w:color w:val="auto"/>
          <w:szCs w:val="21"/>
          <w:highlight w:val="none"/>
          <w:u w:val="single"/>
        </w:rPr>
        <w:t xml:space="preserve"> “电子备份投标文件” </w:t>
      </w:r>
      <w:r>
        <w:rPr>
          <w:rFonts w:hint="eastAsia" w:ascii="宋体" w:hAnsi="宋体" w:cs="宋体"/>
          <w:color w:val="auto"/>
          <w:szCs w:val="21"/>
          <w:highlight w:val="none"/>
        </w:rPr>
        <w:t>；</w:t>
      </w:r>
    </w:p>
    <w:p w14:paraId="555EB712">
      <w:pPr>
        <w:keepNext w:val="0"/>
        <w:keepLines w:val="0"/>
        <w:pageBreakBefore w:val="0"/>
        <w:widowControl w:val="0"/>
        <w:tabs>
          <w:tab w:val="left" w:pos="900"/>
        </w:tabs>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NBITC-202530430G</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000A730">
      <w:pPr>
        <w:keepNext w:val="0"/>
        <w:keepLines w:val="0"/>
        <w:pageBreakBefore w:val="0"/>
        <w:widowControl w:val="0"/>
        <w:tabs>
          <w:tab w:val="left" w:pos="900"/>
        </w:tabs>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宁波大学校医院信息一体化平台服务项目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F481BA5">
      <w:pPr>
        <w:keepNext w:val="0"/>
        <w:keepLines w:val="0"/>
        <w:pageBreakBefore w:val="0"/>
        <w:widowControl w:val="0"/>
        <w:tabs>
          <w:tab w:val="left" w:pos="900"/>
        </w:tabs>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（4）所投标项（如有多个标项须填写）：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11F3E5">
      <w:pPr>
        <w:keepNext w:val="0"/>
        <w:keepLines w:val="0"/>
        <w:pageBreakBefore w:val="0"/>
        <w:widowControl w:val="0"/>
        <w:tabs>
          <w:tab w:val="left" w:pos="900"/>
        </w:tabs>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（5）在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日（规定的开标日期和时间）前不准启封；</w:t>
      </w:r>
    </w:p>
    <w:p w14:paraId="37ECA1E1">
      <w:pPr>
        <w:keepNext w:val="0"/>
        <w:keepLines w:val="0"/>
        <w:pageBreakBefore w:val="0"/>
        <w:widowControl w:val="0"/>
        <w:tabs>
          <w:tab w:val="left" w:pos="900"/>
        </w:tabs>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（6）供应商的名称：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308B01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供应商须在包封上加盖供应商公章或由其法定代表人（或授权代表）签字。</w:t>
      </w:r>
    </w:p>
    <w:p w14:paraId="4A2BB5A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供应商未按上述要求标记的，</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（代理机构）不承担错放或提前开封的责任。</w:t>
      </w:r>
    </w:p>
    <w:p w14:paraId="729C203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十一、投标文件的递交</w:t>
      </w:r>
    </w:p>
    <w:p w14:paraId="371DC97A">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both"/>
        <w:textAlignment w:val="auto"/>
        <w:rPr>
          <w:rFonts w:ascii="宋体" w:hAnsi="宋体" w:cs="宋体"/>
          <w:color w:val="auto"/>
          <w:kern w:val="0"/>
          <w:szCs w:val="21"/>
          <w:highlight w:val="none"/>
        </w:rPr>
      </w:pP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1</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电子投标文件：</w:t>
      </w:r>
      <w:r>
        <w:rPr>
          <w:rFonts w:hint="eastAsia" w:ascii="宋体" w:hAnsi="宋体" w:cs="宋体"/>
          <w:color w:val="auto"/>
          <w:szCs w:val="21"/>
          <w:highlight w:val="none"/>
        </w:rPr>
        <w:t>供应商应于提交投标文件截止时间前将电子投标文件（含资格文件、商务和技术文件、报价文件）上传到政府采购云平台（www.zcygov.cn）。</w:t>
      </w:r>
    </w:p>
    <w:p w14:paraId="1FD7BDAB">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both"/>
        <w:textAlignment w:val="auto"/>
        <w:rPr>
          <w:rFonts w:ascii="宋体" w:hAnsi="宋体" w:cs="宋体"/>
          <w:color w:val="auto"/>
          <w:kern w:val="0"/>
          <w:szCs w:val="21"/>
          <w:highlight w:val="none"/>
        </w:rPr>
      </w:pPr>
      <w:r>
        <w:rPr>
          <w:rFonts w:hint="eastAsia" w:ascii="宋体" w:hAnsi="宋体" w:cs="宋体"/>
          <w:b/>
          <w:bCs/>
          <w:color w:val="auto"/>
          <w:kern w:val="0"/>
          <w:szCs w:val="21"/>
          <w:highlight w:val="none"/>
        </w:rPr>
        <w:t>2</w:t>
      </w:r>
      <w:r>
        <w:rPr>
          <w:rFonts w:hint="eastAsia" w:ascii="宋体" w:hAnsi="宋体" w:cs="宋体"/>
          <w:b/>
          <w:bCs/>
          <w:color w:val="auto"/>
          <w:kern w:val="0"/>
          <w:szCs w:val="21"/>
          <w:highlight w:val="none"/>
          <w:lang w:val="en-US" w:eastAsia="zh-CN"/>
        </w:rPr>
        <w:t>.</w:t>
      </w:r>
      <w:r>
        <w:rPr>
          <w:rFonts w:hint="eastAsia" w:ascii="宋体" w:hAnsi="宋体" w:cs="宋体"/>
          <w:b/>
          <w:bCs/>
          <w:color w:val="auto"/>
          <w:kern w:val="0"/>
          <w:szCs w:val="21"/>
          <w:highlight w:val="none"/>
        </w:rPr>
        <w:t>电子备份投标文件：</w:t>
      </w:r>
      <w:r>
        <w:rPr>
          <w:rFonts w:hint="eastAsia" w:ascii="宋体" w:hAnsi="宋体" w:cs="宋体"/>
          <w:color w:val="auto"/>
          <w:kern w:val="0"/>
          <w:szCs w:val="21"/>
          <w:highlight w:val="none"/>
        </w:rPr>
        <w:t>以U盘存储的电子备份投标文件（含资格文件、商务和技术文件、报价文件）1份（自愿提供，用于异常处理）。</w:t>
      </w:r>
    </w:p>
    <w:p w14:paraId="68F426A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供应商可采用邮寄（含快递）方式或现场方式递交电子备份投标文件：</w:t>
      </w:r>
    </w:p>
    <w:p w14:paraId="2AE2AD7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供应商于提交投标文件截止时间前，将以U盘存储的电子备份投标文件（1份，含资格文件、商务和技术文件、报价文件）密封后通过EMS等邮寄或现场递交方式送达，送达地址：宁波市国际招标有限公司（宁波市江北区环城北路西段207弄19号世茂茂悦商业中心1号楼八楼012室），联系方式：陈洋，0574-87295348。供应商邮寄后须将邮件单号、联系电话发送至代理机构电子邮箱（电子邮箱：nbitc@126.com），并致电采购代理机构，以便采购代理机构查询物流记录。各供应商应当确保电子备份投标文件的密封包装在邮寄过</w:t>
      </w:r>
      <w:r>
        <w:rPr>
          <w:rFonts w:hint="eastAsia" w:ascii="宋体" w:hAnsi="宋体" w:cs="宋体"/>
          <w:color w:val="auto"/>
          <w:kern w:val="0"/>
          <w:szCs w:val="21"/>
          <w:highlight w:val="none"/>
          <w:lang w:eastAsia="zh-CN"/>
        </w:rPr>
        <w:t>程中</w:t>
      </w:r>
      <w:r>
        <w:rPr>
          <w:rFonts w:hint="eastAsia" w:ascii="宋体" w:hAnsi="宋体" w:cs="宋体"/>
          <w:color w:val="auto"/>
          <w:kern w:val="0"/>
          <w:szCs w:val="21"/>
          <w:highlight w:val="none"/>
        </w:rPr>
        <w:t>保持完好，并在邮寄包裹上注明项目名称、项目编号。</w:t>
      </w:r>
    </w:p>
    <w:p w14:paraId="09BDF8F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电子备份投标文件密封破损而不符合招标文件对电子备份投标文件的密封要求的</w:t>
      </w:r>
      <w:r>
        <w:rPr>
          <w:rFonts w:hint="eastAsia" w:ascii="宋体" w:hAnsi="宋体" w:cs="宋体"/>
          <w:color w:val="auto"/>
          <w:kern w:val="0"/>
          <w:szCs w:val="21"/>
          <w:highlight w:val="none"/>
          <w:lang w:eastAsia="zh-CN"/>
        </w:rPr>
        <w:t>或</w:t>
      </w:r>
      <w:r>
        <w:rPr>
          <w:rFonts w:hint="eastAsia" w:ascii="宋体" w:hAnsi="宋体" w:cs="宋体"/>
          <w:color w:val="auto"/>
          <w:kern w:val="0"/>
          <w:szCs w:val="21"/>
          <w:highlight w:val="none"/>
        </w:rPr>
        <w:t>电子备份投标文件未能在投标截止时间前送达的，代理机构将拒绝其电子备份投标文件。供应商自行考虑邮寄在途时间，电子备份投标文件送达时间以代理机构工作人员实际签收时间为准。</w:t>
      </w:r>
    </w:p>
    <w:p w14:paraId="7D6C1B3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b/>
          <w:bCs/>
          <w:color w:val="auto"/>
          <w:kern w:val="0"/>
          <w:szCs w:val="21"/>
          <w:highlight w:val="none"/>
        </w:rPr>
      </w:pPr>
      <w:r>
        <w:rPr>
          <w:rFonts w:hint="eastAsia" w:ascii="宋体" w:hAnsi="宋体" w:cs="宋体"/>
          <w:color w:val="auto"/>
          <w:kern w:val="0"/>
          <w:szCs w:val="21"/>
          <w:highlight w:val="none"/>
        </w:rPr>
        <w:t>电子备份投标文件不强制要求提交，但因电子投标文件未能按时解密或解密失败，供应商又未提交电子备份投标文件的，将被视为投标文件撤回，投标无效。</w:t>
      </w:r>
    </w:p>
    <w:p w14:paraId="11E42AD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逾期送达的或者未送达指定地点的</w:t>
      </w:r>
      <w:r>
        <w:rPr>
          <w:rFonts w:hint="eastAsia" w:ascii="宋体" w:hAnsi="宋体" w:cs="宋体"/>
          <w:b/>
          <w:bCs/>
          <w:color w:val="auto"/>
          <w:kern w:val="0"/>
          <w:szCs w:val="21"/>
          <w:highlight w:val="none"/>
        </w:rPr>
        <w:t>电子备份投标文件</w:t>
      </w:r>
      <w:r>
        <w:rPr>
          <w:rFonts w:hint="eastAsia" w:ascii="宋体" w:hAnsi="宋体" w:cs="宋体"/>
          <w:color w:val="auto"/>
          <w:szCs w:val="21"/>
          <w:highlight w:val="none"/>
        </w:rPr>
        <w:t>，代理机构不予受理。</w:t>
      </w:r>
    </w:p>
    <w:p w14:paraId="52D837B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投标文件的补充、修改</w:t>
      </w:r>
    </w:p>
    <w:p w14:paraId="3EC9AC3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投标截止时间前，供应商可以对递交的投标文件进行补充、修改，</w:t>
      </w:r>
      <w:r>
        <w:rPr>
          <w:rFonts w:hint="eastAsia" w:ascii="宋体" w:hAnsi="宋体" w:cs="宋体"/>
          <w:color w:val="auto"/>
          <w:szCs w:val="21"/>
          <w:highlight w:val="none"/>
          <w:lang w:val="en"/>
        </w:rPr>
        <w:t>补充、修改</w:t>
      </w:r>
      <w:r>
        <w:rPr>
          <w:rFonts w:hint="eastAsia" w:ascii="宋体" w:hAnsi="宋体" w:cs="宋体"/>
          <w:color w:val="auto"/>
          <w:szCs w:val="21"/>
          <w:highlight w:val="none"/>
        </w:rPr>
        <w:t>电子投标文件</w:t>
      </w:r>
      <w:r>
        <w:rPr>
          <w:rFonts w:hint="eastAsia" w:ascii="宋体" w:hAnsi="宋体" w:cs="宋体"/>
          <w:color w:val="auto"/>
          <w:szCs w:val="21"/>
          <w:highlight w:val="none"/>
          <w:lang w:val="en"/>
        </w:rPr>
        <w:t>的，应当先行撤回原文件，补充、修改后重新上传，电子备份投标文件也应重新制作。</w:t>
      </w:r>
      <w:r>
        <w:rPr>
          <w:rFonts w:hint="eastAsia" w:ascii="宋体" w:hAnsi="宋体" w:cs="宋体"/>
          <w:color w:val="auto"/>
          <w:szCs w:val="21"/>
          <w:highlight w:val="none"/>
        </w:rPr>
        <w:t>在投标截止时间之后，供应商不得对其投标文件进行补充、修改。投标截止时间之后供应商要求撤销投标文件的，应向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提交正式文件。</w:t>
      </w:r>
    </w:p>
    <w:p w14:paraId="34D1F5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十二、开标</w:t>
      </w:r>
    </w:p>
    <w:p w14:paraId="0258731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代理机构在招标文件规定的时间在政采云网站开启投标文件，并邀请所有供应商的法定代表人（或授权代表）准时参加。供应商的法定代表人（或授权代表）不参加开标的或迟到参加开标的，视同该供应商默认开标记录，不得事后对开标过程提出任何异议。</w:t>
      </w:r>
    </w:p>
    <w:p w14:paraId="2C76657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电子投标开标及评审程序：同时开启所有供应商的“资格文件”、“商务和技术文件”、“报价文件”。</w:t>
      </w:r>
    </w:p>
    <w:p w14:paraId="486D3C63">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（1）宣布开标</w:t>
      </w:r>
      <w:r>
        <w:rPr>
          <w:rFonts w:hint="eastAsia" w:ascii="宋体" w:hAnsi="宋体" w:cs="宋体"/>
          <w:color w:val="auto"/>
          <w:szCs w:val="21"/>
          <w:highlight w:val="none"/>
          <w:lang w:eastAsia="zh-CN"/>
        </w:rPr>
        <w:t>。</w:t>
      </w:r>
    </w:p>
    <w:p w14:paraId="4E05E85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本项目实行网上投标，采用电子投标文件。投标截止时间后，供应商登录政府采购云平台，用“项目采购-开标评标”功能对电子投标文件进行在线解密，在线解密电子投标文件时间为开标时间后半小时内。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w:t>
      </w:r>
      <w:r>
        <w:rPr>
          <w:rFonts w:hint="eastAsia" w:ascii="宋体" w:hAnsi="宋体" w:cs="宋体"/>
          <w:color w:val="auto"/>
          <w:szCs w:val="21"/>
          <w:highlight w:val="none"/>
          <w:lang w:eastAsia="zh-CN"/>
        </w:rPr>
        <w:t>视为投标文件撤回</w:t>
      </w:r>
      <w:r>
        <w:rPr>
          <w:rFonts w:hint="eastAsia" w:ascii="宋体" w:hAnsi="宋体" w:cs="宋体"/>
          <w:color w:val="auto"/>
          <w:szCs w:val="21"/>
          <w:highlight w:val="none"/>
        </w:rPr>
        <w:t>）。无论是否启用备份电子投标文件，备份电子投标文件均不退还供应商。若供应商在规定时间内无法解密或解密失败且未提供备份电子投标文件或所提供的备份电子投标文件无法读取的，视为投标文件撤回。</w:t>
      </w:r>
    </w:p>
    <w:p w14:paraId="3955333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cs="宋体"/>
          <w:color w:val="auto"/>
          <w:szCs w:val="21"/>
          <w:highlight w:val="none"/>
        </w:rPr>
      </w:pPr>
      <w:r>
        <w:rPr>
          <w:rFonts w:hint="eastAsia" w:ascii="宋体" w:hAnsi="宋体" w:cs="宋体"/>
          <w:color w:val="auto"/>
          <w:szCs w:val="21"/>
          <w:highlight w:val="none"/>
        </w:rPr>
        <w:t>（3）介绍开标现场的人员情况。</w:t>
      </w:r>
    </w:p>
    <w:p w14:paraId="71BEE20E">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cs="宋体"/>
          <w:color w:val="auto"/>
          <w:szCs w:val="21"/>
          <w:highlight w:val="none"/>
        </w:rPr>
      </w:pPr>
      <w:r>
        <w:rPr>
          <w:rFonts w:hint="eastAsia" w:ascii="宋体" w:hAnsi="宋体" w:cs="宋体"/>
          <w:color w:val="auto"/>
          <w:szCs w:val="21"/>
          <w:highlight w:val="none"/>
        </w:rPr>
        <w:t>（4）宣读递交投标文件的供应商名单、开标纪律、应当回避的情形等注意事项。</w:t>
      </w:r>
    </w:p>
    <w:p w14:paraId="288F621A">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cs="宋体"/>
          <w:color w:val="auto"/>
          <w:szCs w:val="21"/>
          <w:highlight w:val="none"/>
        </w:rPr>
      </w:pPr>
      <w:r>
        <w:rPr>
          <w:rFonts w:hint="eastAsia" w:ascii="宋体" w:hAnsi="宋体" w:cs="宋体"/>
          <w:color w:val="auto"/>
          <w:szCs w:val="21"/>
          <w:highlight w:val="none"/>
        </w:rPr>
        <w:t>（5）供应商签署不存在影响公平竞争的《政府采购活动现场确认声明书》。</w:t>
      </w:r>
    </w:p>
    <w:p w14:paraId="6FC40C3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cs="宋体"/>
          <w:color w:val="auto"/>
          <w:szCs w:val="21"/>
          <w:highlight w:val="none"/>
        </w:rPr>
      </w:pPr>
      <w:r>
        <w:rPr>
          <w:rFonts w:hint="eastAsia" w:ascii="宋体" w:hAnsi="宋体" w:cs="宋体"/>
          <w:color w:val="auto"/>
          <w:szCs w:val="21"/>
          <w:highlight w:val="none"/>
        </w:rPr>
        <w:t>（6）在政府采购云平台开启供应商解密后的“资格文件”、“商务和技术文件”、“报价文件”，宣读供应商名称、报价文件中“开标一览表”内容，以及采购人认为必要的其他内容与记录，并做开标记录。</w:t>
      </w:r>
    </w:p>
    <w:p w14:paraId="4470277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cs="宋体"/>
          <w:color w:val="auto"/>
          <w:szCs w:val="21"/>
          <w:highlight w:val="none"/>
        </w:rPr>
      </w:pPr>
      <w:r>
        <w:rPr>
          <w:rFonts w:hint="eastAsia" w:ascii="宋体" w:hAnsi="宋体" w:cs="宋体"/>
          <w:color w:val="auto"/>
          <w:szCs w:val="21"/>
          <w:highlight w:val="none"/>
        </w:rPr>
        <w:t>（7）开标记录在政采云网站确认。</w:t>
      </w:r>
    </w:p>
    <w:p w14:paraId="05BA0A9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cs="宋体"/>
          <w:color w:val="auto"/>
          <w:szCs w:val="21"/>
          <w:highlight w:val="none"/>
        </w:rPr>
      </w:pPr>
      <w:r>
        <w:rPr>
          <w:rFonts w:hint="eastAsia" w:ascii="宋体" w:hAnsi="宋体" w:cs="宋体"/>
          <w:color w:val="auto"/>
          <w:szCs w:val="21"/>
          <w:highlight w:val="none"/>
        </w:rPr>
        <w:t>（8）开标结束。休会，评标委员会对“资格文件”、“商务和技术文件”、“报价文件”进行评审。</w:t>
      </w:r>
    </w:p>
    <w:p w14:paraId="20D78E1A">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（9）在政府采购云平台公布中标候选供应商名单及采购人最终确定中标供应商名单的时间和公告方式等。</w:t>
      </w:r>
    </w:p>
    <w:p w14:paraId="77FDE62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特别说明：政府采购云平台如对电子化开标及评审程序有调整的，按调整后的程序操作。</w:t>
      </w:r>
    </w:p>
    <w:p w14:paraId="635F976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本项目原则上采用政采云电子投标开标及评审程序，但</w:t>
      </w:r>
      <w:r>
        <w:rPr>
          <w:rFonts w:hint="eastAsia" w:ascii="宋体" w:hAnsi="宋体" w:cs="宋体"/>
          <w:color w:val="auto"/>
          <w:szCs w:val="21"/>
          <w:highlight w:val="none"/>
          <w:lang w:eastAsia="zh-CN"/>
        </w:rPr>
        <w:t>有以</w:t>
      </w:r>
      <w:r>
        <w:rPr>
          <w:rFonts w:hint="eastAsia" w:ascii="宋体" w:hAnsi="宋体" w:cs="宋体"/>
          <w:color w:val="auto"/>
          <w:szCs w:val="21"/>
          <w:highlight w:val="none"/>
        </w:rPr>
        <w:t>下情形之一的，按以下情况处理：</w:t>
      </w:r>
    </w:p>
    <w:p w14:paraId="0CE3E08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（1）若供应商在规定时间内无法解密或解密失败，代理机构将开启上述供应商递交的以U盘存储的电子备份投标文件，上传至政采云平台项目采购模块，以完成开标，电子投标文件自动失效。</w:t>
      </w:r>
    </w:p>
    <w:p w14:paraId="3E8FC88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（2）采购过程中出现以下情形，导致电子交易平台无法正常运行，或者无法保证电子交易的公平、公正和安全时，</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（或代理机构）可中止电子交易活动：</w:t>
      </w:r>
    </w:p>
    <w:p w14:paraId="584D0F5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①电子交易平台发生故障而无法登录访问的；</w:t>
      </w:r>
    </w:p>
    <w:p w14:paraId="2026662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②电子交易平台应用或数据库出现错误，不能进行正常操作的；</w:t>
      </w:r>
    </w:p>
    <w:p w14:paraId="3003950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③电子交易平台发现严重安全漏洞，有潜在泄密危险的；</w:t>
      </w:r>
    </w:p>
    <w:p w14:paraId="2D1EBEE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 xml:space="preserve">④病毒发作导致不能进行正常操作的； </w:t>
      </w:r>
    </w:p>
    <w:p w14:paraId="405610E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⑤其他无法保证电子交易的公平、公正和安全的情况。</w:t>
      </w:r>
    </w:p>
    <w:p w14:paraId="1C15DB5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出现前款规定情形，不影响采购公平、公正性的，</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（或代理机构）可以待上述情形消除后继续组织电子交易活动。</w:t>
      </w:r>
    </w:p>
    <w:p w14:paraId="2CA7638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十三、评标</w:t>
      </w:r>
    </w:p>
    <w:p w14:paraId="2CE13DA7">
      <w:pPr>
        <w:wordWrap w:val="0"/>
        <w:spacing w:line="400" w:lineRule="exact"/>
        <w:ind w:firstLine="422" w:firstLineChars="200"/>
        <w:jc w:val="left"/>
        <w:rPr>
          <w:rFonts w:ascii="宋体" w:hAnsi="宋体" w:cs="宋体"/>
          <w:b/>
          <w:szCs w:val="21"/>
        </w:rPr>
      </w:pPr>
      <w:bookmarkStart w:id="16" w:name="_Toc17884841"/>
      <w:bookmarkStart w:id="17" w:name="_Toc460857925"/>
      <w:r>
        <w:rPr>
          <w:rFonts w:hint="eastAsia" w:ascii="宋体" w:hAnsi="宋体" w:cs="宋体"/>
          <w:b/>
          <w:szCs w:val="21"/>
        </w:rPr>
        <w:t>（一）组建评标委员会</w:t>
      </w:r>
      <w:bookmarkEnd w:id="16"/>
      <w:bookmarkEnd w:id="17"/>
    </w:p>
    <w:p w14:paraId="580702EA">
      <w:pPr>
        <w:pStyle w:val="26"/>
        <w:wordWrap w:val="0"/>
        <w:snapToGrid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采购人依据《中华人民共和国政府采购法》、《中华人民共和国政府采购法实施条例》等有关规定组建评标委员会。评标委员会由采购人代表和专家组成，负责本项目的评标工作。</w:t>
      </w:r>
    </w:p>
    <w:p w14:paraId="20079D48">
      <w:pPr>
        <w:wordWrap w:val="0"/>
        <w:spacing w:line="400" w:lineRule="exact"/>
        <w:ind w:firstLine="422" w:firstLineChars="200"/>
        <w:jc w:val="left"/>
        <w:rPr>
          <w:rFonts w:ascii="宋体" w:hAnsi="宋体" w:cs="宋体"/>
          <w:b/>
          <w:szCs w:val="21"/>
        </w:rPr>
      </w:pPr>
      <w:bookmarkStart w:id="18" w:name="_Toc460857926"/>
      <w:bookmarkStart w:id="19" w:name="_Toc17884842"/>
      <w:r>
        <w:rPr>
          <w:rFonts w:hint="eastAsia" w:ascii="宋体" w:hAnsi="宋体" w:cs="宋体"/>
          <w:b/>
          <w:szCs w:val="21"/>
        </w:rPr>
        <w:t>（二）评标的方式</w:t>
      </w:r>
      <w:bookmarkEnd w:id="18"/>
      <w:bookmarkEnd w:id="19"/>
    </w:p>
    <w:p w14:paraId="5F299790">
      <w:pPr>
        <w:pStyle w:val="26"/>
        <w:wordWrap w:val="0"/>
        <w:snapToGrid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本项目采用不公开方式评标，评标的依据为招标文件和投标文件。评标活动遵循公开、公平、公正、科学和择优的原则。</w:t>
      </w:r>
    </w:p>
    <w:p w14:paraId="59A8694B">
      <w:pPr>
        <w:wordWrap w:val="0"/>
        <w:spacing w:line="400" w:lineRule="exact"/>
        <w:ind w:firstLine="422" w:firstLineChars="200"/>
        <w:jc w:val="left"/>
        <w:rPr>
          <w:rFonts w:ascii="宋体" w:hAnsi="宋体" w:cs="宋体"/>
          <w:b/>
          <w:szCs w:val="21"/>
        </w:rPr>
      </w:pPr>
      <w:bookmarkStart w:id="20" w:name="_Toc460857927"/>
      <w:bookmarkStart w:id="21" w:name="_Toc17884843"/>
      <w:r>
        <w:rPr>
          <w:rFonts w:hint="eastAsia" w:ascii="宋体" w:hAnsi="宋体" w:cs="宋体"/>
          <w:b/>
          <w:szCs w:val="21"/>
        </w:rPr>
        <w:t>（三）评标程序</w:t>
      </w:r>
      <w:bookmarkEnd w:id="20"/>
      <w:bookmarkEnd w:id="21"/>
    </w:p>
    <w:p w14:paraId="2CDC575C">
      <w:pPr>
        <w:wordWrap w:val="0"/>
        <w:snapToGrid w:val="0"/>
        <w:spacing w:line="400" w:lineRule="exact"/>
        <w:ind w:firstLine="413" w:firstLineChars="196"/>
        <w:jc w:val="left"/>
        <w:rPr>
          <w:rFonts w:ascii="宋体" w:hAnsi="宋体" w:cs="宋体"/>
          <w:b/>
          <w:bCs/>
          <w:szCs w:val="21"/>
        </w:rPr>
      </w:pPr>
      <w:r>
        <w:rPr>
          <w:rFonts w:hint="eastAsia" w:ascii="宋体" w:hAnsi="宋体" w:cs="宋体"/>
          <w:b/>
          <w:bCs/>
          <w:szCs w:val="21"/>
        </w:rPr>
        <w:t>1.资格审查</w:t>
      </w:r>
    </w:p>
    <w:p w14:paraId="1C103A98">
      <w:pPr>
        <w:wordWrap w:val="0"/>
        <w:snapToGrid w:val="0"/>
        <w:spacing w:line="400" w:lineRule="exact"/>
        <w:ind w:firstLine="420" w:firstLineChars="200"/>
        <w:rPr>
          <w:rFonts w:ascii="宋体" w:hAnsi="宋体" w:cs="宋体"/>
          <w:b/>
          <w:szCs w:val="21"/>
        </w:rPr>
      </w:pPr>
      <w:r>
        <w:rPr>
          <w:rFonts w:hint="eastAsia" w:ascii="宋体" w:hAnsi="宋体" w:cs="宋体"/>
          <w:szCs w:val="21"/>
        </w:rPr>
        <w:t>招标代理机构工作人员对供应商的资格进行审查。</w:t>
      </w:r>
    </w:p>
    <w:p w14:paraId="35A48859">
      <w:pPr>
        <w:wordWrap w:val="0"/>
        <w:snapToGrid w:val="0"/>
        <w:spacing w:line="400" w:lineRule="exact"/>
        <w:ind w:firstLine="413" w:firstLineChars="196"/>
        <w:jc w:val="left"/>
        <w:rPr>
          <w:rFonts w:ascii="宋体" w:hAnsi="宋体" w:cs="宋体"/>
          <w:b/>
          <w:bCs/>
          <w:szCs w:val="21"/>
        </w:rPr>
      </w:pPr>
      <w:r>
        <w:rPr>
          <w:rFonts w:hint="eastAsia" w:ascii="宋体" w:hAnsi="宋体" w:cs="宋体"/>
          <w:b/>
          <w:bCs/>
          <w:szCs w:val="21"/>
        </w:rPr>
        <w:t>2.符合性审查与比较</w:t>
      </w:r>
    </w:p>
    <w:p w14:paraId="040FA1D7">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（1）评标委员会审查投标文件的实质性内容是否符合招标文件的实质性要求。</w:t>
      </w:r>
    </w:p>
    <w:p w14:paraId="66C070F9">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（2）评标委员会将根据供应商的投标文件进行审查、核对，如有疑问，将对供应商进行询标，供应商要向评标委员会澄清有关问题，并最终在政采云平台上进行答复。</w:t>
      </w:r>
    </w:p>
    <w:p w14:paraId="7FBADF50">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供应商代表未到场或者拒绝澄清或者澄清的内容改变了投标文件的实质性内容的，评标委员会有权对该投标文件作出不利于供应商的评判。</w:t>
      </w:r>
    </w:p>
    <w:p w14:paraId="3F15FE9E">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（3）各供应商的技术商务报价得分为所有评委的有效评分的算术平均数，由指定专人进行计算复核。</w:t>
      </w:r>
    </w:p>
    <w:p w14:paraId="49D5C54B">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（4）招标代理机构工作人员协助评标委员会根据本项目的评分标准计算各供应商的报价得分。</w:t>
      </w:r>
    </w:p>
    <w:p w14:paraId="28FEBC8B">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（5）评标委员会完成评标后，评委对各部分得分汇总，计算出本项目最终得分。评标委员会按评标原则推荐中标候选供应商同时起草评标报告。</w:t>
      </w:r>
    </w:p>
    <w:p w14:paraId="4F93E25C">
      <w:pPr>
        <w:wordWrap w:val="0"/>
        <w:spacing w:line="400" w:lineRule="exact"/>
        <w:ind w:firstLine="422" w:firstLineChars="200"/>
        <w:jc w:val="left"/>
        <w:rPr>
          <w:rFonts w:ascii="宋体" w:hAnsi="宋体" w:cs="宋体"/>
          <w:b/>
          <w:szCs w:val="21"/>
        </w:rPr>
      </w:pPr>
      <w:bookmarkStart w:id="22" w:name="_Toc17884844"/>
      <w:bookmarkStart w:id="23" w:name="_Toc460857928"/>
      <w:r>
        <w:rPr>
          <w:rFonts w:hint="eastAsia" w:ascii="宋体" w:hAnsi="宋体" w:cs="宋体"/>
          <w:b/>
          <w:szCs w:val="21"/>
        </w:rPr>
        <w:t>（四）澄清问题的形式</w:t>
      </w:r>
      <w:bookmarkEnd w:id="22"/>
      <w:bookmarkEnd w:id="23"/>
    </w:p>
    <w:p w14:paraId="775FB04C">
      <w:pPr>
        <w:widowControl/>
        <w:wordWrap w:val="0"/>
        <w:spacing w:line="400" w:lineRule="exact"/>
        <w:ind w:firstLine="420" w:firstLineChars="200"/>
        <w:jc w:val="left"/>
        <w:rPr>
          <w:rFonts w:ascii="宋体" w:hAnsi="宋体" w:cs="宋体"/>
          <w:szCs w:val="21"/>
        </w:rPr>
      </w:pPr>
      <w:bookmarkStart w:id="24" w:name="_Toc497898868"/>
      <w:bookmarkStart w:id="25" w:name="_Toc460857930"/>
      <w:bookmarkStart w:id="26" w:name="_Toc17884845"/>
      <w:r>
        <w:rPr>
          <w:rFonts w:hint="eastAsia" w:ascii="宋体" w:hAnsi="宋体" w:cs="宋体"/>
          <w:szCs w:val="21"/>
        </w:rPr>
        <w:t>对于投标文件中含义不明确、同类问题表述不一致或者有明显文字和计算错误的内容，评标委员会可要求供应商以询标形式作出必要的澄清、说明或者补正。</w:t>
      </w:r>
      <w:bookmarkEnd w:id="24"/>
    </w:p>
    <w:p w14:paraId="2CFB3B63">
      <w:pPr>
        <w:widowControl/>
        <w:wordWrap w:val="0"/>
        <w:spacing w:line="400" w:lineRule="exact"/>
        <w:ind w:firstLine="420" w:firstLineChars="200"/>
        <w:jc w:val="left"/>
        <w:rPr>
          <w:rFonts w:ascii="宋体" w:hAnsi="宋体" w:cs="宋体"/>
          <w:szCs w:val="21"/>
        </w:rPr>
      </w:pPr>
      <w:bookmarkStart w:id="27" w:name="_Toc497898869"/>
      <w:r>
        <w:rPr>
          <w:rFonts w:hint="eastAsia" w:ascii="宋体" w:hAnsi="宋体" w:cs="宋体"/>
          <w:szCs w:val="21"/>
        </w:rPr>
        <w:t>供应商的澄清、说明或者补正应当在政采云平台进行答复，并加盖公章，或者由法定代表人或其授权代表签字确认，供应商的澄清、说明或者补正不得超出投标文件的范围或者改变投标文件的实质性内容。</w:t>
      </w:r>
      <w:bookmarkEnd w:id="27"/>
    </w:p>
    <w:p w14:paraId="3D220E78">
      <w:pPr>
        <w:wordWrap w:val="0"/>
        <w:spacing w:line="400" w:lineRule="exact"/>
        <w:ind w:firstLine="422" w:firstLineChars="200"/>
        <w:jc w:val="left"/>
        <w:rPr>
          <w:rFonts w:ascii="宋体" w:hAnsi="宋体" w:cs="宋体"/>
          <w:b/>
          <w:szCs w:val="21"/>
        </w:rPr>
      </w:pPr>
      <w:bookmarkStart w:id="28" w:name="_Toc497898870"/>
      <w:r>
        <w:rPr>
          <w:rFonts w:hint="eastAsia" w:ascii="宋体" w:hAnsi="宋体" w:cs="宋体"/>
          <w:b/>
          <w:szCs w:val="21"/>
        </w:rPr>
        <w:t>（五）错误修正</w:t>
      </w:r>
      <w:bookmarkEnd w:id="28"/>
    </w:p>
    <w:p w14:paraId="5E91F2B3">
      <w:pPr>
        <w:pStyle w:val="347"/>
        <w:widowControl/>
        <w:wordWrap w:val="0"/>
        <w:spacing w:line="400" w:lineRule="exact"/>
        <w:ind w:left="689" w:leftChars="228" w:hanging="210" w:hangingChars="100"/>
        <w:jc w:val="left"/>
        <w:rPr>
          <w:rFonts w:hAnsi="宋体" w:cs="宋体"/>
          <w:szCs w:val="21"/>
        </w:rPr>
      </w:pPr>
      <w:r>
        <w:rPr>
          <w:rFonts w:hint="eastAsia" w:hAnsi="宋体" w:cs="宋体"/>
          <w:szCs w:val="21"/>
        </w:rPr>
        <w:t>投标文件报价出现前后不一致的，除招标文件另有规定外，按照下列规定修正：</w:t>
      </w:r>
    </w:p>
    <w:p w14:paraId="2018A674">
      <w:pPr>
        <w:pStyle w:val="347"/>
        <w:widowControl/>
        <w:wordWrap w:val="0"/>
        <w:spacing w:line="400" w:lineRule="exact"/>
        <w:ind w:firstLine="420" w:firstLineChars="200"/>
        <w:jc w:val="left"/>
        <w:rPr>
          <w:rFonts w:hAnsi="宋体" w:cs="宋体"/>
          <w:kern w:val="0"/>
          <w:szCs w:val="21"/>
        </w:rPr>
      </w:pPr>
      <w:r>
        <w:rPr>
          <w:rFonts w:hint="eastAsia" w:hAnsi="宋体" w:cs="宋体"/>
          <w:kern w:val="0"/>
          <w:szCs w:val="21"/>
        </w:rPr>
        <w:t>（1）投标文件中开标一览表内容与投标文件中分项报价表内容不一致的，以开标一览表为准。</w:t>
      </w:r>
    </w:p>
    <w:p w14:paraId="6CB6796B">
      <w:pPr>
        <w:pStyle w:val="347"/>
        <w:widowControl/>
        <w:wordWrap w:val="0"/>
        <w:spacing w:line="400" w:lineRule="exact"/>
        <w:ind w:firstLine="420" w:firstLineChars="200"/>
        <w:jc w:val="left"/>
        <w:rPr>
          <w:rFonts w:hAnsi="宋体" w:cs="宋体"/>
          <w:kern w:val="0"/>
          <w:szCs w:val="21"/>
        </w:rPr>
      </w:pPr>
      <w:r>
        <w:rPr>
          <w:rFonts w:hint="eastAsia" w:hAnsi="宋体" w:cs="宋体"/>
          <w:kern w:val="0"/>
          <w:szCs w:val="21"/>
        </w:rPr>
        <w:t>（2）投标文件的大写金额和小写金额不一致的，以大写金额为准。</w:t>
      </w:r>
    </w:p>
    <w:p w14:paraId="2F5CF070">
      <w:pPr>
        <w:pStyle w:val="347"/>
        <w:widowControl/>
        <w:wordWrap w:val="0"/>
        <w:spacing w:line="400" w:lineRule="exact"/>
        <w:ind w:firstLine="420" w:firstLineChars="200"/>
        <w:jc w:val="left"/>
        <w:rPr>
          <w:rFonts w:hAnsi="宋体" w:cs="宋体"/>
          <w:kern w:val="0"/>
          <w:szCs w:val="21"/>
        </w:rPr>
      </w:pPr>
      <w:r>
        <w:rPr>
          <w:rFonts w:hint="eastAsia" w:hAnsi="宋体" w:cs="宋体"/>
          <w:kern w:val="0"/>
          <w:szCs w:val="21"/>
        </w:rPr>
        <w:t>（3）单价金额小数点或者百分比有明显错位的，以开标一览表的总价为准，并修改单价。</w:t>
      </w:r>
    </w:p>
    <w:p w14:paraId="1B80C830">
      <w:pPr>
        <w:pStyle w:val="347"/>
        <w:widowControl/>
        <w:wordWrap w:val="0"/>
        <w:spacing w:line="400" w:lineRule="exact"/>
        <w:ind w:firstLine="420" w:firstLineChars="200"/>
        <w:jc w:val="left"/>
        <w:rPr>
          <w:rFonts w:hAnsi="宋体" w:cs="宋体"/>
          <w:kern w:val="0"/>
          <w:szCs w:val="21"/>
        </w:rPr>
      </w:pPr>
      <w:r>
        <w:rPr>
          <w:rFonts w:hint="eastAsia" w:hAnsi="宋体" w:cs="宋体"/>
          <w:kern w:val="0"/>
          <w:szCs w:val="21"/>
        </w:rPr>
        <w:t>（4）总价金额与按单价汇总金额不一致的，以单价金额计算结果为准。</w:t>
      </w:r>
    </w:p>
    <w:p w14:paraId="368CA890">
      <w:pPr>
        <w:pStyle w:val="347"/>
        <w:widowControl/>
        <w:wordWrap w:val="0"/>
        <w:spacing w:line="400" w:lineRule="exact"/>
        <w:ind w:firstLine="422" w:firstLineChars="200"/>
        <w:jc w:val="left"/>
        <w:rPr>
          <w:rFonts w:hAnsi="宋体" w:cs="宋体"/>
          <w:b/>
          <w:bCs/>
          <w:szCs w:val="21"/>
        </w:rPr>
      </w:pPr>
      <w:r>
        <w:rPr>
          <w:rFonts w:hint="eastAsia" w:hAnsi="宋体" w:cs="宋体"/>
          <w:b/>
          <w:bCs/>
          <w:szCs w:val="21"/>
        </w:rPr>
        <w:t>同时出现两种以上不一致的，按照前款规定的顺序修正。修正后的报价经供应商确认后具有约束力，若供应商不确认的，则其投标无效。</w:t>
      </w:r>
    </w:p>
    <w:p w14:paraId="4D2B6EF5">
      <w:pPr>
        <w:pStyle w:val="347"/>
        <w:widowControl/>
        <w:wordWrap w:val="0"/>
        <w:spacing w:line="400" w:lineRule="exact"/>
        <w:ind w:firstLine="422" w:firstLineChars="200"/>
        <w:jc w:val="left"/>
        <w:rPr>
          <w:rFonts w:hAnsi="宋体" w:cs="宋体"/>
          <w:kern w:val="0"/>
          <w:szCs w:val="21"/>
        </w:rPr>
      </w:pPr>
      <w:r>
        <w:rPr>
          <w:rFonts w:hint="eastAsia" w:hAnsi="宋体" w:cs="宋体"/>
          <w:b/>
          <w:bCs/>
          <w:kern w:val="0"/>
          <w:szCs w:val="21"/>
        </w:rPr>
        <w:t>其他说明：投标文件中开标一览表内容与政采云系统“开标一览表”中录入的内容不一致的，以投标文件中开标一览表为准。</w:t>
      </w:r>
    </w:p>
    <w:p w14:paraId="164C9442">
      <w:pPr>
        <w:wordWrap w:val="0"/>
        <w:spacing w:line="400" w:lineRule="exact"/>
        <w:ind w:firstLine="422" w:firstLineChars="200"/>
        <w:jc w:val="left"/>
        <w:rPr>
          <w:rFonts w:ascii="宋体" w:hAnsi="宋体" w:cs="宋体"/>
          <w:b/>
          <w:szCs w:val="21"/>
        </w:rPr>
      </w:pPr>
      <w:r>
        <w:rPr>
          <w:rFonts w:hint="eastAsia" w:ascii="宋体" w:hAnsi="宋体" w:cs="宋体"/>
          <w:b/>
          <w:szCs w:val="21"/>
        </w:rPr>
        <w:t>（六）评标原则和评标办法</w:t>
      </w:r>
      <w:bookmarkEnd w:id="25"/>
      <w:bookmarkEnd w:id="26"/>
    </w:p>
    <w:p w14:paraId="12E066FF">
      <w:pPr>
        <w:pStyle w:val="26"/>
        <w:wordWrap w:val="0"/>
        <w:snapToGrid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1.评标原则。评标委员会必须公平、公正、客观，不带任何倾向性和启发性；不得向外界透露任何与评标有关的内容；任何单位和个人不得干扰、影响评标的正常进行；评标委员会及有关工作人员不得私下与供应商接触。</w:t>
      </w:r>
    </w:p>
    <w:p w14:paraId="45DBEEE5">
      <w:pPr>
        <w:spacing w:line="400" w:lineRule="exact"/>
        <w:ind w:firstLine="422" w:firstLineChars="200"/>
        <w:rPr>
          <w:rFonts w:ascii="宋体" w:hAnsi="宋体" w:cs="宋体"/>
          <w:szCs w:val="21"/>
        </w:rPr>
      </w:pPr>
      <w:r>
        <w:rPr>
          <w:rFonts w:hint="eastAsia" w:ascii="宋体" w:hAnsi="宋体" w:cs="宋体"/>
          <w:b/>
          <w:szCs w:val="21"/>
        </w:rPr>
        <w:t>2.评标办法。本项目评标办法是</w:t>
      </w:r>
      <w:r>
        <w:rPr>
          <w:rFonts w:hint="eastAsia" w:ascii="宋体" w:hAnsi="宋体" w:cs="宋体"/>
          <w:b/>
          <w:szCs w:val="21"/>
          <w:u w:val="single"/>
        </w:rPr>
        <w:t xml:space="preserve"> 综合评分法 </w:t>
      </w:r>
      <w:r>
        <w:rPr>
          <w:rFonts w:hint="eastAsia" w:ascii="宋体" w:hAnsi="宋体" w:cs="宋体"/>
          <w:b/>
          <w:szCs w:val="21"/>
        </w:rPr>
        <w:t>，具体评标内容及评分标准等详见“第五章 评标办法及评分标准”。</w:t>
      </w:r>
    </w:p>
    <w:p w14:paraId="2168B21E">
      <w:pPr>
        <w:wordWrap w:val="0"/>
        <w:spacing w:line="400" w:lineRule="exact"/>
        <w:rPr>
          <w:rFonts w:ascii="宋体" w:hAnsi="宋体" w:cs="宋体"/>
          <w:b/>
          <w:szCs w:val="21"/>
        </w:rPr>
      </w:pPr>
      <w:bookmarkStart w:id="29" w:name="_Toc460857931"/>
      <w:bookmarkStart w:id="30" w:name="_Toc17884846"/>
      <w:r>
        <w:rPr>
          <w:rFonts w:hint="eastAsia" w:ascii="宋体" w:hAnsi="宋体" w:cs="宋体"/>
          <w:b/>
          <w:szCs w:val="21"/>
        </w:rPr>
        <w:t>十四、</w:t>
      </w:r>
      <w:bookmarkEnd w:id="29"/>
      <w:bookmarkEnd w:id="30"/>
      <w:r>
        <w:rPr>
          <w:rFonts w:hint="eastAsia" w:ascii="宋体" w:hAnsi="宋体" w:cs="宋体"/>
          <w:b/>
          <w:szCs w:val="21"/>
        </w:rPr>
        <w:t>项目终止</w:t>
      </w:r>
    </w:p>
    <w:p w14:paraId="4885E417">
      <w:pPr>
        <w:wordWrap w:val="0"/>
        <w:snapToGrid w:val="0"/>
        <w:spacing w:line="400" w:lineRule="exact"/>
        <w:ind w:firstLine="420" w:firstLineChars="200"/>
        <w:jc w:val="left"/>
        <w:rPr>
          <w:rFonts w:ascii="宋体" w:hAnsi="宋体" w:cs="宋体"/>
          <w:szCs w:val="21"/>
        </w:rPr>
      </w:pPr>
      <w:bookmarkStart w:id="31" w:name="_Toc460857932"/>
      <w:r>
        <w:rPr>
          <w:rFonts w:hint="eastAsia" w:ascii="宋体" w:hAnsi="宋体" w:cs="宋体"/>
          <w:szCs w:val="21"/>
        </w:rPr>
        <w:t>政府采购的国内公开招标，采购响应截止时间或评审期间，出现参与采购响应或者对招标文件作出实质性响应的供应商不足3家的情况，本项目终止招标。</w:t>
      </w:r>
    </w:p>
    <w:p w14:paraId="538C333A">
      <w:pPr>
        <w:wordWrap w:val="0"/>
        <w:spacing w:line="400" w:lineRule="exact"/>
        <w:rPr>
          <w:rFonts w:ascii="宋体" w:hAnsi="宋体" w:cs="宋体"/>
          <w:b/>
          <w:szCs w:val="21"/>
        </w:rPr>
      </w:pPr>
      <w:bookmarkStart w:id="32" w:name="_Toc17884847"/>
      <w:r>
        <w:rPr>
          <w:rFonts w:hint="eastAsia" w:ascii="宋体" w:hAnsi="宋体" w:cs="宋体"/>
          <w:b/>
          <w:szCs w:val="21"/>
        </w:rPr>
        <w:t>十五、定标</w:t>
      </w:r>
      <w:bookmarkEnd w:id="31"/>
      <w:bookmarkEnd w:id="32"/>
    </w:p>
    <w:p w14:paraId="44960EFD">
      <w:pPr>
        <w:wordWrap w:val="0"/>
        <w:spacing w:line="400" w:lineRule="exact"/>
        <w:ind w:firstLine="422" w:firstLineChars="200"/>
        <w:rPr>
          <w:rFonts w:ascii="宋体" w:hAnsi="宋体" w:cs="宋体"/>
          <w:b/>
          <w:szCs w:val="21"/>
        </w:rPr>
      </w:pPr>
      <w:bookmarkStart w:id="33" w:name="_Toc17884848"/>
      <w:bookmarkStart w:id="34" w:name="_Toc460857933"/>
      <w:r>
        <w:rPr>
          <w:rFonts w:hint="eastAsia" w:ascii="宋体" w:hAnsi="宋体" w:cs="宋体"/>
          <w:b/>
          <w:szCs w:val="21"/>
        </w:rPr>
        <w:t>（一）确定</w:t>
      </w:r>
      <w:bookmarkEnd w:id="33"/>
      <w:bookmarkEnd w:id="34"/>
      <w:r>
        <w:rPr>
          <w:rFonts w:hint="eastAsia" w:ascii="宋体" w:hAnsi="宋体" w:cs="宋体"/>
          <w:b/>
          <w:szCs w:val="21"/>
        </w:rPr>
        <w:t>中标供应商</w:t>
      </w:r>
    </w:p>
    <w:p w14:paraId="4BC9CE5C">
      <w:pPr>
        <w:pStyle w:val="26"/>
        <w:wordWrap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1.确定中标供应商。本项目由评标委员会推荐中标候选供应商，采购人不得在评标委员会推荐的中标候选供应商以外确定中标供应商。</w:t>
      </w:r>
    </w:p>
    <w:p w14:paraId="17FE8015">
      <w:pPr>
        <w:pStyle w:val="26"/>
        <w:wordWrap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2.招标代理机构在评标结束后2个工作日内将评标报告交采购人确认，采购人在收到评标报告之日起5个工作日内在评标报告确定的中标候选供应商中按顺序确定中标供应商，采购人在收到评标报告之日起5个工作日内未按评标报告推荐的中标候选供应商排序确定中标供应商，又不能说明合法理由的，视同按评标报告推荐的顺序确定排名第一的中标候选供应商为中标供应商。</w:t>
      </w:r>
    </w:p>
    <w:p w14:paraId="1984653F">
      <w:pPr>
        <w:pStyle w:val="26"/>
        <w:wordWrap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3.招标代理机构自中标供应商确定之日起2个工作日内，在发布</w:t>
      </w:r>
      <w:r>
        <w:rPr>
          <w:rFonts w:hint="eastAsia" w:hAnsi="宋体" w:cs="宋体"/>
          <w:sz w:val="21"/>
          <w:szCs w:val="21"/>
          <w:lang w:eastAsia="zh-CN"/>
        </w:rPr>
        <w:t>采购公告</w:t>
      </w:r>
      <w:r>
        <w:rPr>
          <w:rFonts w:hint="eastAsia" w:hAnsi="宋体" w:cs="宋体"/>
          <w:sz w:val="21"/>
          <w:szCs w:val="21"/>
        </w:rPr>
        <w:t>的网站上对中标结果进行公示，中标结果公告期限为1个工作日。</w:t>
      </w:r>
    </w:p>
    <w:p w14:paraId="072CDD89">
      <w:pPr>
        <w:pStyle w:val="26"/>
        <w:wordWrap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中标通知书领取方式：</w:t>
      </w:r>
      <w:r>
        <w:fldChar w:fldCharType="begin"/>
      </w:r>
      <w:r>
        <w:instrText xml:space="preserve"> HYPERLINK "mailto:邮寄或现场领取；如需邮寄的，请把开票信息及邮寄地址发送至采购代理机构邮箱nbitc@126.com。" </w:instrText>
      </w:r>
      <w:r>
        <w:fldChar w:fldCharType="separate"/>
      </w:r>
      <w:r>
        <w:rPr>
          <w:rFonts w:hint="eastAsia" w:hAnsi="宋体" w:cs="宋体"/>
          <w:sz w:val="21"/>
          <w:szCs w:val="21"/>
        </w:rPr>
        <w:t>邮寄或现场领取；如需邮寄的，请把开票信息及邮寄地址发送至招标代理机构邮箱nbitc@126.com。</w:t>
      </w:r>
      <w:r>
        <w:rPr>
          <w:rFonts w:hint="eastAsia" w:hAnsi="宋体" w:cs="宋体"/>
          <w:sz w:val="21"/>
          <w:szCs w:val="21"/>
        </w:rPr>
        <w:fldChar w:fldCharType="end"/>
      </w:r>
    </w:p>
    <w:p w14:paraId="5F3B745C">
      <w:pPr>
        <w:pStyle w:val="26"/>
        <w:wordWrap w:val="0"/>
        <w:spacing w:before="0" w:beforeAutospacing="0" w:after="0" w:afterAutospacing="0" w:line="400" w:lineRule="exact"/>
        <w:ind w:firstLine="420" w:firstLineChars="200"/>
        <w:rPr>
          <w:rFonts w:hAnsi="宋体" w:cs="宋体"/>
          <w:sz w:val="21"/>
          <w:szCs w:val="21"/>
        </w:rPr>
      </w:pPr>
      <w:r>
        <w:rPr>
          <w:rFonts w:hint="eastAsia" w:hAnsi="宋体" w:cs="宋体"/>
          <w:sz w:val="21"/>
          <w:szCs w:val="21"/>
        </w:rPr>
        <w:t>4.凡发现中标供应商有下列行为之一的，将移交政府采购监督管理部门依法处理：</w:t>
      </w:r>
    </w:p>
    <w:p w14:paraId="06EBD1FB">
      <w:pPr>
        <w:numPr>
          <w:ilvl w:val="0"/>
          <w:numId w:val="0"/>
        </w:numPr>
        <w:wordWrap w:val="0"/>
        <w:spacing w:line="400" w:lineRule="exact"/>
        <w:ind w:left="400" w:leftChars="0"/>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rPr>
        <w:t>提供虚假材料谋取中标的；</w:t>
      </w:r>
    </w:p>
    <w:p w14:paraId="1FE33485">
      <w:pPr>
        <w:numPr>
          <w:ilvl w:val="0"/>
          <w:numId w:val="0"/>
        </w:numPr>
        <w:wordWrap w:val="0"/>
        <w:spacing w:line="400" w:lineRule="exact"/>
        <w:ind w:left="400" w:leftChars="0"/>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rPr>
        <w:t>采取不正当手段诋毁、排挤其他供应商的；</w:t>
      </w:r>
    </w:p>
    <w:p w14:paraId="6A629DD8">
      <w:pPr>
        <w:numPr>
          <w:ilvl w:val="0"/>
          <w:numId w:val="0"/>
        </w:numPr>
        <w:wordWrap w:val="0"/>
        <w:spacing w:line="400" w:lineRule="exact"/>
        <w:ind w:left="400" w:leftChars="0"/>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cs="宋体"/>
          <w:szCs w:val="21"/>
        </w:rPr>
        <w:t>与采购人、其他供应商或者招标代理机构工作人员恶意串通的；</w:t>
      </w:r>
    </w:p>
    <w:p w14:paraId="644E44E7">
      <w:pPr>
        <w:numPr>
          <w:ilvl w:val="0"/>
          <w:numId w:val="0"/>
        </w:numPr>
        <w:wordWrap w:val="0"/>
        <w:spacing w:line="400" w:lineRule="exact"/>
        <w:ind w:left="400" w:leftChars="0"/>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cs="宋体"/>
          <w:szCs w:val="21"/>
        </w:rPr>
        <w:t>向采购人或招标代理机构人员行贿或者提供其他不正当利益的；</w:t>
      </w:r>
    </w:p>
    <w:p w14:paraId="29B63F2A">
      <w:pPr>
        <w:numPr>
          <w:ilvl w:val="0"/>
          <w:numId w:val="0"/>
        </w:numPr>
        <w:wordWrap w:val="0"/>
        <w:spacing w:line="400" w:lineRule="exact"/>
        <w:ind w:left="400" w:leftChars="0"/>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5</w:t>
      </w:r>
      <w:r>
        <w:rPr>
          <w:rFonts w:hint="eastAsia" w:ascii="宋体" w:hAnsi="宋体" w:cs="宋体"/>
          <w:szCs w:val="21"/>
          <w:lang w:eastAsia="zh-CN"/>
        </w:rPr>
        <w:t>）</w:t>
      </w:r>
      <w:r>
        <w:rPr>
          <w:rFonts w:hint="eastAsia" w:ascii="宋体" w:hAnsi="宋体" w:cs="宋体"/>
          <w:szCs w:val="21"/>
        </w:rPr>
        <w:t>拒绝有关部门监督检查或者提供虚假情况的；</w:t>
      </w:r>
    </w:p>
    <w:p w14:paraId="4FA201A7">
      <w:pPr>
        <w:numPr>
          <w:ilvl w:val="0"/>
          <w:numId w:val="0"/>
        </w:numPr>
        <w:wordWrap w:val="0"/>
        <w:spacing w:line="400" w:lineRule="exact"/>
        <w:ind w:left="400" w:leftChars="0"/>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6</w:t>
      </w:r>
      <w:r>
        <w:rPr>
          <w:rFonts w:hint="eastAsia" w:ascii="宋体" w:hAnsi="宋体" w:cs="宋体"/>
          <w:szCs w:val="21"/>
          <w:lang w:eastAsia="zh-CN"/>
        </w:rPr>
        <w:t>）</w:t>
      </w:r>
      <w:r>
        <w:rPr>
          <w:rFonts w:hint="eastAsia" w:ascii="宋体" w:hAnsi="宋体" w:cs="宋体"/>
          <w:szCs w:val="21"/>
        </w:rPr>
        <w:t>有法律、法规规定的其他损害采购人利益和社会公共利益情形的。</w:t>
      </w:r>
    </w:p>
    <w:p w14:paraId="152643E1">
      <w:pPr>
        <w:widowControl/>
        <w:wordWrap w:val="0"/>
        <w:spacing w:line="400" w:lineRule="exact"/>
        <w:jc w:val="left"/>
        <w:rPr>
          <w:rFonts w:ascii="宋体" w:hAnsi="宋体" w:cs="宋体"/>
          <w:b/>
          <w:szCs w:val="21"/>
        </w:rPr>
      </w:pPr>
      <w:bookmarkStart w:id="35" w:name="_Toc497898872"/>
      <w:r>
        <w:rPr>
          <w:rFonts w:hint="eastAsia" w:ascii="宋体" w:hAnsi="宋体" w:cs="宋体"/>
          <w:b/>
          <w:szCs w:val="21"/>
        </w:rPr>
        <w:t>十六、评标过程的监控</w:t>
      </w:r>
      <w:bookmarkEnd w:id="35"/>
    </w:p>
    <w:p w14:paraId="699AF54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bookmarkStart w:id="36" w:name="_Toc497898873"/>
      <w:r>
        <w:rPr>
          <w:rFonts w:hint="eastAsia" w:ascii="宋体" w:hAnsi="宋体" w:cs="宋体"/>
          <w:szCs w:val="21"/>
        </w:rPr>
        <w:t>本项目评标过程实行全程录音</w:t>
      </w:r>
      <w:r>
        <w:rPr>
          <w:rFonts w:hint="eastAsia" w:ascii="宋体" w:hAnsi="宋体" w:cs="宋体"/>
          <w:bCs/>
          <w:szCs w:val="21"/>
        </w:rPr>
        <w:t>、录像监控，供应商在评标过程中所进行的试图影响评标结果的不公正活动，可能导致其投标被拒绝。</w:t>
      </w:r>
      <w:bookmarkEnd w:id="36"/>
    </w:p>
    <w:p w14:paraId="0AF8E81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、招标文件的澄清和修改</w:t>
      </w:r>
    </w:p>
    <w:p w14:paraId="06301234">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both"/>
        <w:textAlignment w:val="auto"/>
        <w:rPr>
          <w:rFonts w:ascii="宋体" w:hAnsi="宋体" w:cs="宋体"/>
          <w:color w:val="auto"/>
          <w:szCs w:val="21"/>
          <w:highlight w:val="none"/>
        </w:rPr>
      </w:pPr>
      <w:r>
        <w:rPr>
          <w:rFonts w:hint="eastAsia" w:ascii="宋体" w:hAnsi="宋体" w:cs="宋体"/>
          <w:b/>
          <w:bCs/>
          <w:color w:val="auto"/>
          <w:szCs w:val="21"/>
          <w:highlight w:val="none"/>
        </w:rPr>
        <w:t>1</w:t>
      </w:r>
      <w:r>
        <w:rPr>
          <w:rFonts w:hint="eastAsia" w:ascii="宋体" w:hAnsi="宋体" w:cs="宋体"/>
          <w:b/>
          <w:bCs/>
          <w:color w:val="auto"/>
          <w:szCs w:val="21"/>
          <w:highlight w:val="none"/>
          <w:lang w:val="en-US" w:eastAsia="zh-CN"/>
        </w:rPr>
        <w:t>.</w:t>
      </w:r>
      <w:r>
        <w:rPr>
          <w:rFonts w:hint="eastAsia" w:ascii="宋体" w:hAnsi="宋体" w:cs="宋体"/>
          <w:b/>
          <w:color w:val="auto"/>
          <w:szCs w:val="21"/>
          <w:highlight w:val="none"/>
          <w:lang w:eastAsia="zh-CN"/>
        </w:rPr>
        <w:t>采购人</w:t>
      </w:r>
      <w:r>
        <w:rPr>
          <w:rFonts w:hint="eastAsia" w:ascii="宋体" w:hAnsi="宋体" w:cs="宋体"/>
          <w:b/>
          <w:color w:val="auto"/>
          <w:szCs w:val="21"/>
          <w:highlight w:val="none"/>
        </w:rPr>
        <w:t>可以对已发出的招标文件进行必要的澄清或者修改，将以“更正公告”的形式发布在政采云平台，供应商应及时登录政采云平台，进行浏览并下载，未及时浏览下载的责任自负。</w:t>
      </w:r>
      <w:r>
        <w:rPr>
          <w:rFonts w:hint="eastAsia" w:ascii="宋体" w:hAnsi="宋体" w:cs="宋体"/>
          <w:color w:val="auto"/>
          <w:szCs w:val="21"/>
          <w:highlight w:val="none"/>
        </w:rPr>
        <w:t>澄清或者修改的内容可能影响投标文件编制的，</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应当在投标截止时间至少15日前，不足15日的，</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应当顺延提交投标文件的截止时间；澄清或者修改的内容不影响投标文件编制的，则不受15日的期限限制。澄清或者修改的内容为招标文件的组成部分，对所有供应商具有约束力。</w:t>
      </w:r>
    </w:p>
    <w:p w14:paraId="03E42C8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、质疑与投诉</w:t>
      </w:r>
    </w:p>
    <w:p w14:paraId="20083D6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供应商认为招标文件、采购过程、中标或者成交结果使自己的权益受到损害的，可以在知道或者应知其权益受到损害之日起7个工作日内，以书面形式向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、代理机构提出质疑。供应商应当在法定质疑期内一次性提出针对采购公告、招标文件、开标评标、采购结果等同一采购程序环节的质疑，第二次提出的质疑视为质疑无效，</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、代理机构将不予受理（对于</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、代理机构作出的澄清或者修改的内容提出质疑的除外）。</w:t>
      </w:r>
    </w:p>
    <w:p w14:paraId="2CF7EC1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提出质疑的供应商应当是参与所质疑项目采购活动的供应商。未依法获取招标文件的，不得就招标文件提出质疑；未提交投标文件的供应商，视为与采购结果没有利害关系，不得就采购响应截止时间后的采购过程、采购结果提出质疑。</w:t>
      </w:r>
    </w:p>
    <w:p w14:paraId="21838EA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提出质疑应当提交质疑函和必要的证明材料，质疑函应当以书面形式提出，质疑函格式和内容须符合财政部《质疑函范本》、《投诉书范本》要求，供应商可到中国政府采购网自行下载财政部《质疑函范本》、《投诉书范本》。</w:t>
      </w:r>
    </w:p>
    <w:p w14:paraId="4D2303B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14:paraId="5A140E1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、代理机构接收质疑函的方式：只接收供应商以当面递交、邮寄、传真或电子邮件方式提出的质疑函，以其他方式提出的质疑不予接收。</w:t>
      </w:r>
    </w:p>
    <w:p w14:paraId="5734A8CE">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采取邮寄方式的，提出质疑的时间为质疑函原件交邮的时间（以邮戳时间或快递收件时间为准）。</w:t>
      </w:r>
    </w:p>
    <w:p w14:paraId="684F4EC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采取传真、电子邮件方式的，供应商应当在传真、电子邮件发出后将质疑函原件邮寄给被质疑人，提出质疑的时间为质疑函原件交邮的时间（以邮戳时间或快递收件时间为准）。</w:t>
      </w:r>
    </w:p>
    <w:p w14:paraId="70919C6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、代理机构以实际收到质疑函原件之日作为收到质疑函的日期，将在收到质疑函后7个工作日内作出答复。</w:t>
      </w:r>
    </w:p>
    <w:p w14:paraId="118F712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、代理机构接收质疑函的联系人、联系电话和通讯地址等信息详见采购公告。</w:t>
      </w:r>
    </w:p>
    <w:p w14:paraId="29BF237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Cs w:val="21"/>
          <w:highlight w:val="none"/>
          <w:lang w:eastAsia="zh-CN"/>
        </w:rPr>
      </w:pPr>
      <w:r>
        <w:rPr>
          <w:rFonts w:hint="eastAsia" w:ascii="宋体" w:hAnsi="宋体" w:cs="宋体"/>
          <w:b/>
          <w:color w:val="auto"/>
          <w:szCs w:val="21"/>
          <w:highlight w:val="none"/>
          <w:lang w:eastAsia="zh-CN"/>
        </w:rPr>
        <w:t>★</w:t>
      </w:r>
      <w:r>
        <w:rPr>
          <w:rFonts w:hint="eastAsia" w:ascii="宋体" w:hAnsi="宋体" w:cs="宋体"/>
          <w:b/>
          <w:color w:val="auto"/>
          <w:szCs w:val="21"/>
          <w:highlight w:val="none"/>
        </w:rPr>
        <w:t>十</w:t>
      </w: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、预算</w:t>
      </w:r>
      <w:r>
        <w:rPr>
          <w:rFonts w:hint="eastAsia" w:ascii="宋体" w:hAnsi="宋体" w:cs="宋体"/>
          <w:b/>
          <w:color w:val="auto"/>
          <w:szCs w:val="21"/>
          <w:highlight w:val="none"/>
          <w:lang w:eastAsia="zh-CN"/>
        </w:rPr>
        <w:t>金额（最高限价）</w:t>
      </w:r>
    </w:p>
    <w:p w14:paraId="7179A416">
      <w:pPr>
        <w:spacing w:line="400" w:lineRule="exact"/>
        <w:ind w:firstLine="420" w:firstLineChars="200"/>
        <w:rPr>
          <w:rFonts w:ascii="宋体" w:hAnsi="宋体" w:cs="宋体"/>
          <w:szCs w:val="21"/>
        </w:rPr>
      </w:pPr>
      <w:bookmarkStart w:id="37" w:name="_Hlk37142004"/>
      <w:r>
        <w:rPr>
          <w:rFonts w:hint="eastAsia" w:ascii="宋体" w:hAnsi="宋体" w:cs="宋体"/>
          <w:szCs w:val="21"/>
        </w:rPr>
        <w:t>1.本次公开招标设有预算金额（最高限价），投标报价超过对应标项预算金额（最高限价）的投标将作为无效投标。</w:t>
      </w:r>
    </w:p>
    <w:p w14:paraId="499C26E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szCs w:val="21"/>
          <w:highlight w:val="none"/>
        </w:rPr>
      </w:pPr>
      <w:r>
        <w:rPr>
          <w:rFonts w:hint="eastAsia" w:ascii="宋体" w:hAnsi="宋体" w:cs="宋体"/>
          <w:szCs w:val="21"/>
        </w:rPr>
        <w:t>2.本项目预算金额（最高限价）详见招标文件第一章“采购公告”。</w:t>
      </w:r>
    </w:p>
    <w:p w14:paraId="2ECC89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lang w:eastAsia="zh-CN"/>
        </w:rPr>
        <w:t>二十</w:t>
      </w:r>
      <w:r>
        <w:rPr>
          <w:rFonts w:hint="eastAsia" w:ascii="宋体" w:hAnsi="宋体" w:cs="宋体"/>
          <w:b/>
          <w:color w:val="auto"/>
          <w:szCs w:val="21"/>
          <w:highlight w:val="none"/>
        </w:rPr>
        <w:t>、招标代理服务费</w:t>
      </w:r>
    </w:p>
    <w:p w14:paraId="0227E4CC">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both"/>
        <w:textAlignment w:val="auto"/>
        <w:rPr>
          <w:rFonts w:ascii="宋体" w:hAnsi="宋体" w:cs="宋体"/>
          <w:color w:val="auto"/>
          <w:szCs w:val="21"/>
          <w:highlight w:val="none"/>
        </w:rPr>
      </w:pPr>
      <w:r>
        <w:rPr>
          <w:rFonts w:hint="eastAsia" w:ascii="宋体" w:hAnsi="宋体" w:cs="宋体"/>
          <w:b/>
          <w:color w:val="auto"/>
          <w:szCs w:val="21"/>
          <w:highlight w:val="none"/>
        </w:rPr>
        <w:t>详见投标须知前附表。</w:t>
      </w:r>
    </w:p>
    <w:bookmarkEnd w:id="37"/>
    <w:p w14:paraId="338B093A">
      <w:pPr>
        <w:wordWrap w:val="0"/>
        <w:spacing w:line="400" w:lineRule="exact"/>
        <w:rPr>
          <w:rFonts w:ascii="宋体" w:hAnsi="宋体" w:cs="宋体"/>
          <w:b/>
          <w:szCs w:val="21"/>
        </w:rPr>
      </w:pPr>
      <w:r>
        <w:rPr>
          <w:rFonts w:hint="eastAsia" w:ascii="宋体" w:hAnsi="宋体" w:cs="宋体"/>
          <w:b/>
          <w:szCs w:val="21"/>
        </w:rPr>
        <w:t>二十一、合同授予</w:t>
      </w:r>
    </w:p>
    <w:p w14:paraId="77EDB7B4">
      <w:pPr>
        <w:wordWrap w:val="0"/>
        <w:spacing w:line="400" w:lineRule="exact"/>
        <w:ind w:firstLine="422" w:firstLineChars="200"/>
        <w:rPr>
          <w:rFonts w:ascii="宋体" w:hAnsi="宋体" w:cs="宋体"/>
          <w:b/>
          <w:szCs w:val="21"/>
        </w:rPr>
      </w:pPr>
      <w:bookmarkStart w:id="38" w:name="_Toc460857935"/>
      <w:bookmarkStart w:id="39" w:name="_Toc17884850"/>
      <w:r>
        <w:rPr>
          <w:rFonts w:hint="eastAsia" w:ascii="宋体" w:hAnsi="宋体" w:cs="宋体"/>
          <w:b/>
          <w:szCs w:val="21"/>
        </w:rPr>
        <w:t>（一）签订合同</w:t>
      </w:r>
      <w:bookmarkEnd w:id="38"/>
      <w:bookmarkEnd w:id="39"/>
    </w:p>
    <w:p w14:paraId="75AD7916">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1.采购人与中标供应商应当在中标通知书发出之日起</w:t>
      </w:r>
      <w:r>
        <w:rPr>
          <w:rFonts w:hint="eastAsia" w:ascii="宋体" w:hAnsi="宋体" w:cs="宋体"/>
          <w:szCs w:val="21"/>
          <w:u w:val="single"/>
        </w:rPr>
        <w:t xml:space="preserve"> </w:t>
      </w:r>
      <w:r>
        <w:rPr>
          <w:rFonts w:hint="eastAsia" w:ascii="宋体" w:hAnsi="宋体" w:cs="宋体"/>
          <w:b/>
          <w:szCs w:val="21"/>
          <w:u w:val="single"/>
        </w:rPr>
        <w:t xml:space="preserve">30 </w:t>
      </w:r>
      <w:r>
        <w:rPr>
          <w:rFonts w:hint="eastAsia" w:ascii="宋体" w:hAnsi="宋体" w:cs="宋体"/>
          <w:szCs w:val="21"/>
        </w:rPr>
        <w:t>日内签订政府采购合同。</w:t>
      </w:r>
    </w:p>
    <w:p w14:paraId="1B0B3535">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2.合同签订形式：允许中标供应商采购合同盖章后送达或邮寄。</w:t>
      </w:r>
    </w:p>
    <w:p w14:paraId="1805019B">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邮寄方式：</w:t>
      </w:r>
    </w:p>
    <w:p w14:paraId="131B5880">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收件人：陆老师    联系方式：0574-87600082</w:t>
      </w:r>
    </w:p>
    <w:p w14:paraId="1B1EDB07">
      <w:pPr>
        <w:wordWrap w:val="0"/>
        <w:snapToGrid w:val="0"/>
        <w:spacing w:line="400" w:lineRule="exact"/>
        <w:ind w:firstLine="420" w:firstLineChars="200"/>
        <w:jc w:val="left"/>
        <w:rPr>
          <w:rFonts w:ascii="宋体" w:hAnsi="宋体" w:cs="宋体"/>
          <w:szCs w:val="21"/>
        </w:rPr>
      </w:pPr>
      <w:r>
        <w:rPr>
          <w:rFonts w:hint="eastAsia" w:ascii="宋体" w:hAnsi="宋体" w:cs="宋体"/>
          <w:szCs w:val="21"/>
        </w:rPr>
        <w:t>地  址：宁波大学（宁波市江北区风华路818号）</w:t>
      </w:r>
    </w:p>
    <w:p w14:paraId="147E4FA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采购人应及时签订采购合同，并通过政采云平台录入公布合同信息，相关信息会自动同步到浙江政府采购网和宁波政府采购网，如有特殊原因，暂时无法签订采购合同的，可以在政采云平台提交合同缓签申请，经采购办审核确认后，该项目不列入“无感监测”统计范围（目前仍有效）。如有</w:t>
      </w:r>
      <w:r>
        <w:rPr>
          <w:rFonts w:hint="eastAsia" w:ascii="宋体" w:hAnsi="宋体" w:cs="宋体"/>
          <w:szCs w:val="21"/>
          <w:lang w:eastAsia="zh-CN"/>
        </w:rPr>
        <w:t>因</w:t>
      </w:r>
      <w:r>
        <w:rPr>
          <w:rFonts w:hint="eastAsia" w:ascii="宋体" w:hAnsi="宋体" w:cs="宋体"/>
          <w:szCs w:val="21"/>
        </w:rPr>
        <w:t>未按照招标文件和投标文件规定签订合同引发纠纷的，请第一时间联系政府采购监管部门。</w:t>
      </w:r>
    </w:p>
    <w:p w14:paraId="7053831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ascii="宋体" w:hAnsi="宋体" w:cs="宋体"/>
          <w:b/>
          <w:color w:val="auto"/>
          <w:szCs w:val="21"/>
          <w:highlight w:val="none"/>
        </w:rPr>
      </w:pPr>
      <w:r>
        <w:rPr>
          <w:rFonts w:hint="eastAsia" w:ascii="宋体" w:hAnsi="宋体" w:cs="宋体"/>
          <w:b/>
          <w:color w:val="auto"/>
          <w:szCs w:val="21"/>
          <w:highlight w:val="none"/>
          <w:lang w:eastAsia="zh-CN"/>
        </w:rPr>
        <w:t>二十二</w:t>
      </w:r>
      <w:r>
        <w:rPr>
          <w:rFonts w:hint="eastAsia" w:ascii="宋体" w:hAnsi="宋体" w:cs="宋体"/>
          <w:b/>
          <w:color w:val="auto"/>
          <w:szCs w:val="21"/>
          <w:highlight w:val="none"/>
        </w:rPr>
        <w:t>、特别说明</w:t>
      </w:r>
    </w:p>
    <w:p w14:paraId="7F10D0A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bookmarkStart w:id="40" w:name="_Toc25472"/>
      <w:bookmarkStart w:id="41" w:name="_Toc44162140"/>
      <w:bookmarkStart w:id="42" w:name="_Toc21541007"/>
      <w:bookmarkStart w:id="43" w:name="_Toc419729150"/>
      <w:bookmarkStart w:id="44" w:name="_Toc441316546"/>
      <w:bookmarkStart w:id="45" w:name="_Toc436408700"/>
      <w:r>
        <w:rPr>
          <w:rFonts w:hint="eastAsia" w:ascii="宋体" w:hAnsi="宋体" w:cs="宋体"/>
          <w:color w:val="auto"/>
          <w:highlight w:val="none"/>
        </w:rPr>
        <w:t>1</w:t>
      </w:r>
      <w:r>
        <w:rPr>
          <w:rFonts w:hint="eastAsia" w:ascii="宋体" w:hAnsi="宋体" w:cs="宋体"/>
          <w:color w:val="auto"/>
          <w:highlight w:val="none"/>
          <w:lang w:val="en-US" w:eastAsia="zh-CN"/>
        </w:rPr>
        <w:t>.执行财政部、工业和信息化部《政府采购促进中小企业发展管理办法》（财库〔2020〕46号）。政府采购活动中有关中小企业的相关规定如下</w:t>
      </w:r>
      <w:r>
        <w:rPr>
          <w:rFonts w:hint="eastAsia" w:ascii="宋体" w:hAnsi="宋体" w:cs="宋体"/>
          <w:color w:val="auto"/>
          <w:highlight w:val="none"/>
        </w:rPr>
        <w:t>：</w:t>
      </w:r>
      <w:bookmarkEnd w:id="40"/>
      <w:bookmarkEnd w:id="41"/>
      <w:bookmarkEnd w:id="42"/>
      <w:bookmarkEnd w:id="43"/>
      <w:bookmarkEnd w:id="44"/>
      <w:bookmarkEnd w:id="45"/>
    </w:p>
    <w:p w14:paraId="231A3D8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lang w:val="en-US" w:eastAsia="zh-CN"/>
        </w:rPr>
        <w:t>1.1</w:t>
      </w:r>
      <w:r>
        <w:rPr>
          <w:rFonts w:hint="eastAsia" w:ascii="宋体" w:hAnsi="宋体" w:cs="宋体"/>
          <w:color w:val="auto"/>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64973F0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符合中小企业划分标准的个体工商户，在政府采购活动中视同中小企业。</w:t>
      </w:r>
    </w:p>
    <w:p w14:paraId="6FCEA94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lang w:val="en-US" w:eastAsia="zh-CN"/>
        </w:rPr>
        <w:t>1.2</w:t>
      </w:r>
      <w:r>
        <w:rPr>
          <w:rFonts w:hint="eastAsia" w:ascii="宋体" w:hAnsi="宋体" w:cs="宋体"/>
          <w:color w:val="auto"/>
          <w:highlight w:val="none"/>
        </w:rPr>
        <w:t>在政府采购活动中，供应商提供的货物、工程或者服务符合下列情形的，享受《政府采购促进中小企业发展管理办法》规定的中小企业扶持政策：</w:t>
      </w:r>
    </w:p>
    <w:p w14:paraId="7571D82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lang w:eastAsia="zh-CN"/>
        </w:rPr>
        <w:t>）</w:t>
      </w:r>
      <w:r>
        <w:rPr>
          <w:rFonts w:hint="eastAsia" w:ascii="宋体" w:hAnsi="宋体" w:cs="宋体"/>
          <w:color w:val="auto"/>
          <w:highlight w:val="none"/>
        </w:rPr>
        <w:t>在货物采购项目中，货物由中小企业制造，即货物由中小企业生产且使用该中小企业商号或者注册商标；</w:t>
      </w:r>
    </w:p>
    <w:p w14:paraId="26E7B97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cs="宋体"/>
          <w:color w:val="auto"/>
          <w:highlight w:val="none"/>
        </w:rPr>
        <w:t>在工程采购项目中，工程由中小企业承建，即工程施工单位为中小企业；</w:t>
      </w:r>
    </w:p>
    <w:p w14:paraId="41B69DBA">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cs="宋体"/>
          <w:color w:val="auto"/>
          <w:highlight w:val="none"/>
        </w:rPr>
        <w:t>在服务采购项目中，服务由中小企业承接，即提供服务的人员为中小企业依照《中华人民共和国劳动民法典》订立劳动合同的从业人员。</w:t>
      </w:r>
    </w:p>
    <w:p w14:paraId="40DB42C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在货物采购项目中，供应商提供的货物既有中小企业制造货物，也有大型企业制造货物的，不享受《政府采购促进中小企业发展管理办法》规定的中小企业扶持政策。</w:t>
      </w:r>
    </w:p>
    <w:p w14:paraId="0A8E4A4E">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以联合体形式参加政府采购活动，联合体各方均为中小企业的，联合体视同中小企业。其中，联合体各方均为小微企业的，联合体视同小微企业。</w:t>
      </w:r>
    </w:p>
    <w:p w14:paraId="3D13BC4D">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1.3中小企业参加政府采购活动，应当出具《政府采购促进中小企业发展管理办法》规定的《中小企业声明函》（格式见本招标文件附件），否则不得享受相关中小企业扶持政策。</w:t>
      </w:r>
    </w:p>
    <w:p w14:paraId="32F9D2A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3A8B330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供应商提供声明函内容不实的，属于提供虚假材料谋取中标、成交，依照《中华人民共和国政府采购法》等国家有关规定追究相应责任。</w:t>
      </w:r>
    </w:p>
    <w:p w14:paraId="1BFCA9C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适用招标投标法的政府采购工程建设项目，供应商提供声明函内容不实的，属于弄虚作假骗取中标，依照《中华人民共和国招标投标法》等国家有关规定追究相应责任。</w:t>
      </w:r>
    </w:p>
    <w:p w14:paraId="4C71131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r>
        <w:rPr>
          <w:rFonts w:hint="eastAsia" w:ascii="宋体" w:hAnsi="宋体" w:cs="宋体"/>
          <w:color w:val="auto"/>
          <w:highlight w:val="none"/>
        </w:rPr>
        <w:t>1.5《中小企业声明函》由参加投标的供应商提交，如供应商为代理商，须自行采集制造商的中小企业划分类型信息填入相应栏目并对其真实性负责。</w:t>
      </w:r>
    </w:p>
    <w:p w14:paraId="45F643F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bookmarkStart w:id="46" w:name="_Toc21541015"/>
      <w:bookmarkStart w:id="47" w:name="_Toc495244277"/>
      <w:bookmarkStart w:id="48" w:name="_Toc26428"/>
      <w:bookmarkStart w:id="49" w:name="_Toc44162148"/>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46"/>
      <w:bookmarkEnd w:id="47"/>
      <w:bookmarkEnd w:id="48"/>
      <w:bookmarkEnd w:id="49"/>
    </w:p>
    <w:p w14:paraId="6F81F68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bookmarkStart w:id="50" w:name="_Toc44162149"/>
      <w:bookmarkStart w:id="51" w:name="_Toc22421"/>
      <w:bookmarkStart w:id="52" w:name="_Toc21541016"/>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bookmarkEnd w:id="50"/>
      <w:bookmarkEnd w:id="51"/>
      <w:bookmarkEnd w:id="52"/>
    </w:p>
    <w:p w14:paraId="2B654F9E">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bookmarkStart w:id="53" w:name="_Toc14131"/>
      <w:bookmarkStart w:id="54" w:name="_Toc21541017"/>
      <w:bookmarkStart w:id="55" w:name="_Toc44162150"/>
      <w:bookmarkStart w:id="56" w:name="_Toc419729158"/>
      <w:r>
        <w:rPr>
          <w:rFonts w:hint="eastAsia" w:ascii="宋体" w:hAnsi="宋体" w:cs="宋体"/>
          <w:color w:val="auto"/>
          <w:highlight w:val="none"/>
        </w:rPr>
        <w:t>4</w:t>
      </w:r>
      <w:r>
        <w:rPr>
          <w:rFonts w:hint="eastAsia" w:ascii="宋体" w:hAnsi="宋体" w:cs="宋体"/>
          <w:color w:val="auto"/>
          <w:highlight w:val="none"/>
          <w:lang w:val="en-US" w:eastAsia="zh-CN"/>
        </w:rPr>
        <w:t>.</w:t>
      </w:r>
      <w:r>
        <w:rPr>
          <w:rFonts w:hint="eastAsia" w:ascii="宋体" w:hAnsi="宋体" w:cs="宋体"/>
          <w:color w:val="auto"/>
          <w:highlight w:val="none"/>
        </w:rPr>
        <w:t>本项目不组织潜在供应商现场考察或者召开开标前答疑。</w:t>
      </w:r>
      <w:bookmarkEnd w:id="53"/>
      <w:bookmarkEnd w:id="54"/>
      <w:bookmarkEnd w:id="55"/>
    </w:p>
    <w:p w14:paraId="0FC1497B">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bookmarkStart w:id="57" w:name="_Toc21897"/>
      <w:bookmarkStart w:id="58" w:name="_Toc44162151"/>
      <w:bookmarkStart w:id="59" w:name="_Toc21541018"/>
      <w:r>
        <w:rPr>
          <w:rFonts w:hint="eastAsia" w:ascii="宋体" w:hAnsi="宋体" w:cs="宋体"/>
          <w:color w:val="auto"/>
          <w:highlight w:val="none"/>
        </w:rPr>
        <w:t>5</w:t>
      </w:r>
      <w:r>
        <w:rPr>
          <w:rFonts w:hint="eastAsia" w:ascii="宋体" w:hAnsi="宋体" w:cs="宋体"/>
          <w:color w:val="auto"/>
          <w:highlight w:val="none"/>
          <w:lang w:val="en-US" w:eastAsia="zh-CN"/>
        </w:rPr>
        <w:t>.</w:t>
      </w:r>
      <w:r>
        <w:rPr>
          <w:rFonts w:hint="eastAsia" w:ascii="宋体" w:hAnsi="宋体" w:cs="宋体"/>
          <w:color w:val="auto"/>
          <w:highlight w:val="none"/>
        </w:rPr>
        <w:t>本文件未及事项，在签订合同时供需及使用方友好商定。</w:t>
      </w:r>
      <w:bookmarkEnd w:id="56"/>
      <w:bookmarkEnd w:id="57"/>
      <w:bookmarkEnd w:id="58"/>
      <w:bookmarkEnd w:id="59"/>
    </w:p>
    <w:p w14:paraId="0B24626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ascii="宋体" w:hAnsi="宋体" w:cs="宋体"/>
          <w:color w:val="auto"/>
          <w:highlight w:val="none"/>
        </w:rPr>
      </w:pPr>
      <w:bookmarkStart w:id="60" w:name="_Toc419729159"/>
      <w:r>
        <w:rPr>
          <w:rFonts w:hint="eastAsia" w:ascii="宋体" w:hAnsi="宋体" w:cs="宋体"/>
          <w:color w:val="auto"/>
          <w:highlight w:val="none"/>
          <w:lang w:val="en-US" w:eastAsia="zh-CN"/>
        </w:rPr>
        <w:t>6.</w:t>
      </w:r>
      <w:r>
        <w:rPr>
          <w:rFonts w:hint="eastAsia" w:ascii="宋体" w:hAnsi="宋体" w:cs="宋体"/>
          <w:color w:val="auto"/>
          <w:highlight w:val="none"/>
        </w:rPr>
        <w:t>本招标文件解释权归</w:t>
      </w:r>
      <w:r>
        <w:rPr>
          <w:rFonts w:hint="eastAsia" w:ascii="宋体" w:hAnsi="宋体" w:cs="宋体"/>
          <w:color w:val="auto"/>
          <w:highlight w:val="none"/>
          <w:lang w:eastAsia="zh-CN"/>
        </w:rPr>
        <w:t>采购人</w:t>
      </w:r>
      <w:r>
        <w:rPr>
          <w:rFonts w:hint="eastAsia" w:ascii="宋体" w:hAnsi="宋体" w:cs="宋体"/>
          <w:color w:val="auto"/>
          <w:highlight w:val="none"/>
        </w:rPr>
        <w:t>。</w:t>
      </w:r>
      <w:bookmarkEnd w:id="60"/>
    </w:p>
    <w:p w14:paraId="0E9C3547">
      <w:pPr>
        <w:pageBreakBefore w:val="0"/>
        <w:kinsoku/>
        <w:wordWrap/>
        <w:overflowPunct/>
        <w:topLinePunct w:val="0"/>
        <w:autoSpaceDN/>
        <w:bidi w:val="0"/>
        <w:spacing w:line="400" w:lineRule="exact"/>
        <w:ind w:left="0" w:leftChars="0"/>
        <w:jc w:val="center"/>
        <w:outlineLvl w:val="0"/>
        <w:rPr>
          <w:rFonts w:ascii="宋体" w:hAnsi="宋体" w:cs="宋体"/>
          <w:b/>
          <w:color w:val="auto"/>
          <w:sz w:val="32"/>
          <w:highlight w:val="none"/>
        </w:rPr>
      </w:pPr>
      <w:r>
        <w:rPr>
          <w:rFonts w:hint="eastAsia" w:ascii="宋体" w:hAnsi="宋体" w:cs="宋体"/>
          <w:b/>
          <w:color w:val="auto"/>
          <w:sz w:val="32"/>
          <w:highlight w:val="none"/>
        </w:rPr>
        <w:br w:type="page"/>
      </w:r>
      <w:bookmarkStart w:id="61" w:name="_Toc5555"/>
      <w:r>
        <w:rPr>
          <w:rFonts w:hint="eastAsia" w:ascii="宋体" w:hAnsi="宋体" w:cs="宋体"/>
          <w:b/>
          <w:color w:val="auto"/>
          <w:sz w:val="32"/>
          <w:highlight w:val="none"/>
        </w:rPr>
        <w:t>第三章  招标内容与服务需求</w:t>
      </w:r>
      <w:bookmarkEnd w:id="61"/>
    </w:p>
    <w:p w14:paraId="0CF443F5">
      <w:pPr>
        <w:keepNext w:val="0"/>
        <w:keepLines w:val="0"/>
        <w:pageBreakBefore w:val="0"/>
        <w:widowControl w:val="0"/>
        <w:kinsoku/>
        <w:wordWrap/>
        <w:overflowPunct/>
        <w:topLinePunct w:val="0"/>
        <w:autoSpaceDE/>
        <w:autoSpaceDN/>
        <w:bidi w:val="0"/>
        <w:adjustRightInd/>
        <w:snapToGrid/>
        <w:spacing w:line="400" w:lineRule="exact"/>
        <w:ind w:left="0" w:leftChars="0"/>
        <w:jc w:val="left"/>
        <w:textAlignment w:val="auto"/>
        <w:outlineLvl w:val="9"/>
        <w:rPr>
          <w:rFonts w:hint="eastAsia" w:asciiTheme="minorEastAsia" w:hAnsiTheme="minorEastAsia" w:eastAsiaTheme="minorEastAsia" w:cstheme="minorEastAsia"/>
          <w:b/>
          <w:bCs/>
          <w:color w:val="auto"/>
          <w:sz w:val="21"/>
          <w:szCs w:val="21"/>
          <w:highlight w:val="none"/>
          <w:lang w:eastAsia="zh-CN"/>
        </w:rPr>
      </w:pPr>
      <w:bookmarkStart w:id="62" w:name="_Toc11620"/>
      <w:r>
        <w:rPr>
          <w:rFonts w:hint="eastAsia" w:asciiTheme="minorEastAsia" w:hAnsiTheme="minorEastAsia" w:eastAsiaTheme="minorEastAsia" w:cstheme="minorEastAsia"/>
          <w:b/>
          <w:bCs/>
          <w:color w:val="auto"/>
          <w:sz w:val="21"/>
          <w:szCs w:val="21"/>
          <w:highlight w:val="none"/>
        </w:rPr>
        <w:t>一、</w:t>
      </w:r>
      <w:bookmarkEnd w:id="62"/>
      <w:r>
        <w:rPr>
          <w:rFonts w:hint="eastAsia" w:asciiTheme="minorEastAsia" w:hAnsiTheme="minorEastAsia" w:eastAsiaTheme="minorEastAsia" w:cstheme="minorEastAsia"/>
          <w:b/>
          <w:bCs/>
          <w:color w:val="auto"/>
          <w:sz w:val="21"/>
          <w:szCs w:val="21"/>
          <w:highlight w:val="none"/>
          <w:lang w:eastAsia="zh-CN"/>
        </w:rPr>
        <w:t>总体思路</w:t>
      </w:r>
    </w:p>
    <w:p w14:paraId="1700A21C">
      <w:pPr>
        <w:pStyle w:val="18"/>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outlineLvl w:val="9"/>
        <w:rPr>
          <w:rFonts w:hint="eastAsia" w:ascii="宋体" w:hAnsi="宋体" w:eastAsia="宋体" w:cs="宋体"/>
          <w:sz w:val="21"/>
          <w:szCs w:val="21"/>
          <w:lang w:eastAsia="zh-CN"/>
        </w:rPr>
      </w:pPr>
      <w:bookmarkStart w:id="63" w:name="_Toc14746"/>
      <w:r>
        <w:rPr>
          <w:rFonts w:hint="eastAsia" w:ascii="宋体" w:hAnsi="宋体" w:eastAsia="宋体" w:cs="宋体"/>
          <w:sz w:val="21"/>
          <w:szCs w:val="21"/>
        </w:rPr>
        <w:t>总体思路包含标准规范、总体架构、技术路线、部署方式、运行推广等内容</w:t>
      </w:r>
      <w:r>
        <w:rPr>
          <w:rFonts w:hint="eastAsia" w:ascii="宋体" w:hAnsi="宋体" w:eastAsia="宋体" w:cs="宋体"/>
          <w:sz w:val="21"/>
          <w:szCs w:val="21"/>
          <w:lang w:eastAsia="zh-CN"/>
        </w:rPr>
        <w:t>。</w:t>
      </w:r>
    </w:p>
    <w:p w14:paraId="526C23D3">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总体思路依据目前宁波大学附属第一医院多院区医疗集团信息化建设的模式，采用“整体扩展”模式。遵循“一院多区、一套标准、一个平台、一个数据中心、一套业务应用”的设计思路，旨在优化医疗资源配置，统一各院区的业务信息系统、业务流程和数据标准，以实现“同质化医疗、垂直化管理、一体化运行”的目标。</w:t>
      </w:r>
    </w:p>
    <w:p w14:paraId="0D346433">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2" w:firstLineChars="200"/>
        <w:textAlignment w:val="auto"/>
        <w:outlineLvl w:val="9"/>
        <w:rPr>
          <w:rFonts w:hint="eastAsia" w:ascii="宋体" w:hAnsi="宋体" w:eastAsia="宋体" w:cs="宋体"/>
          <w:b/>
          <w:bCs/>
          <w:sz w:val="21"/>
          <w:szCs w:val="21"/>
        </w:rPr>
      </w:pPr>
      <w:r>
        <w:rPr>
          <w:rFonts w:hint="eastAsia" w:ascii="宋体" w:hAnsi="宋体" w:eastAsia="宋体" w:cs="宋体"/>
          <w:b/>
          <w:bCs/>
          <w:sz w:val="21"/>
          <w:szCs w:val="21"/>
          <w:lang w:eastAsia="zh-CN"/>
        </w:rPr>
        <w:t>（一）</w:t>
      </w:r>
      <w:r>
        <w:rPr>
          <w:rFonts w:hint="eastAsia" w:ascii="宋体" w:hAnsi="宋体" w:eastAsia="宋体" w:cs="宋体"/>
          <w:b/>
          <w:bCs/>
          <w:sz w:val="21"/>
          <w:szCs w:val="21"/>
        </w:rPr>
        <w:t>标准规范</w:t>
      </w:r>
    </w:p>
    <w:p w14:paraId="09DD3042">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参照宁波大学附属第一医院先进建设理念，本规划在《医院信息平台应用功能指引》明确医院信息化功能和《医院信息化建设应用技术指引》明确医院信息化技术的基础上，满足国家卫生健康委员会规划与信息司、统计信息中心正式对外发布的《全国医院信息化建设标准与规范（试行）》，有利于医院信息化建设在标准规范性、数据一致性、数据完整性、数据联通性、信息应用性、发展平衡性等方面进一步完善，确保各类诊疗资料有效地互联互通和务实应用，促进医院信息化的可持续发展和医疗大数据的可利用性，同时遵循国际、国内（行业）、国际相关规范标准包括不限于如下内容：</w:t>
      </w:r>
    </w:p>
    <w:p w14:paraId="64F48CBE">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《医院信息化建设应用技术指引（2017年）-发布稿》</w:t>
      </w:r>
    </w:p>
    <w:p w14:paraId="50BEA15E">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《电子病历共享文档规范》（2016年）</w:t>
      </w:r>
    </w:p>
    <w:p w14:paraId="62C466BA">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《卫生信息共享文档规范》（2016年）</w:t>
      </w:r>
    </w:p>
    <w:p w14:paraId="6E990045">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《基于电子病历的医院信息平台技术规范WS/T 447-2014》</w:t>
      </w:r>
    </w:p>
    <w:p w14:paraId="73D11C87">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《电子病历基本数据集》（2014年）</w:t>
      </w:r>
    </w:p>
    <w:p w14:paraId="7F162DD8">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《医疗机构病历管理规定》国卫医发〔2013〕31号</w:t>
      </w:r>
    </w:p>
    <w:p w14:paraId="452C0A20">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《卫生信息数据元值域代码》（2011年）</w:t>
      </w:r>
    </w:p>
    <w:p w14:paraId="40002BC3">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《病历书写基本规范》（卫医政发〔2010〕11号）</w:t>
      </w:r>
    </w:p>
    <w:p w14:paraId="3EB727DC">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《电子病历应用管理规范（试行）》（国卫办医发〔2017〕8号） </w:t>
      </w:r>
    </w:p>
    <w:p w14:paraId="118A5411">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《电子病历系统功能规范（试行）》（卫医政发〔2010〕114号）</w:t>
      </w:r>
    </w:p>
    <w:p w14:paraId="11F169C8">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《电子病历临床文档数据组与数据元标准（试行）》（2009年）</w:t>
      </w:r>
    </w:p>
    <w:p w14:paraId="164B4773">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《电子病历临床文档基础模板数据集标准（试行）》（2009年）</w:t>
      </w:r>
    </w:p>
    <w:p w14:paraId="12C96EB2">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《门诊诊疗基本数据集标准（试行）》（2009年）</w:t>
      </w:r>
    </w:p>
    <w:p w14:paraId="768A181F">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《卫生系统电子认证服务管理办法（试行）》（卫办发〔2009〕125号）</w:t>
      </w:r>
    </w:p>
    <w:p w14:paraId="469931FD">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《电子病历基本架构与数据标准（试行）》（卫办发〔2009〕130号）</w:t>
      </w:r>
    </w:p>
    <w:p w14:paraId="42197E91">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《SJ/T 11234-2001软件过程能力评估模型》 </w:t>
      </w:r>
    </w:p>
    <w:p w14:paraId="5ADBDDCC">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《SJ/T 11235-2001软件能力成熟度模型》</w:t>
      </w:r>
    </w:p>
    <w:p w14:paraId="7A2B9ECA">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国际疾病分类标准ICD10</w:t>
      </w:r>
    </w:p>
    <w:p w14:paraId="65C4D4F7">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临床医学术语标准SNOMED</w:t>
      </w:r>
    </w:p>
    <w:p w14:paraId="5F060EFF">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HL7 V3 RIM</w:t>
      </w:r>
    </w:p>
    <w:p w14:paraId="605DB5A5">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HL7 CDA</w:t>
      </w:r>
    </w:p>
    <w:p w14:paraId="2A7F41E7">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HL7 V3 RMIM</w:t>
      </w:r>
    </w:p>
    <w:p w14:paraId="204383BE">
      <w:pPr>
        <w:pStyle w:val="1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2" w:firstLineChars="200"/>
        <w:textAlignment w:val="auto"/>
        <w:outlineLvl w:val="9"/>
        <w:rPr>
          <w:rFonts w:hint="eastAsia" w:ascii="宋体" w:hAnsi="宋体" w:eastAsia="宋体" w:cs="宋体"/>
          <w:b/>
          <w:bCs/>
          <w:sz w:val="21"/>
          <w:szCs w:val="21"/>
        </w:rPr>
      </w:pPr>
      <w:r>
        <w:rPr>
          <w:rFonts w:hint="eastAsia" w:ascii="宋体" w:hAnsi="宋体" w:eastAsia="宋体" w:cs="宋体"/>
          <w:b/>
          <w:bCs/>
          <w:sz w:val="21"/>
          <w:szCs w:val="21"/>
          <w:lang w:eastAsia="zh-CN"/>
        </w:rPr>
        <w:t>（二）</w:t>
      </w:r>
      <w:r>
        <w:rPr>
          <w:rFonts w:hint="eastAsia" w:ascii="宋体" w:hAnsi="宋体" w:eastAsia="宋体" w:cs="宋体"/>
          <w:b/>
          <w:bCs/>
          <w:sz w:val="21"/>
          <w:szCs w:val="21"/>
        </w:rPr>
        <w:t>总体架构</w:t>
      </w:r>
    </w:p>
    <w:p w14:paraId="57163EAC">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基于宁波大学附属第一医院</w:t>
      </w:r>
      <w:r>
        <w:rPr>
          <w:rFonts w:hint="eastAsia" w:ascii="宋体" w:hAnsi="宋体" w:eastAsia="宋体" w:cs="宋体"/>
          <w:sz w:val="21"/>
          <w:szCs w:val="21"/>
          <w:lang w:val="en-US" w:eastAsia="zh-CN"/>
        </w:rPr>
        <w:t>提供系统服务</w:t>
      </w:r>
    </w:p>
    <w:p w14:paraId="5EAAFB9E">
      <w:pPr>
        <w:pStyle w:val="19"/>
        <w:keepNext w:val="0"/>
        <w:keepLines w:val="0"/>
        <w:pageBreakBefore w:val="0"/>
        <w:widowControl w:val="0"/>
        <w:kinsoku/>
        <w:wordWrap/>
        <w:overflowPunct/>
        <w:topLinePunct w:val="0"/>
        <w:autoSpaceDE/>
        <w:autoSpaceDN/>
        <w:bidi w:val="0"/>
        <w:adjustRightInd/>
        <w:snapToGrid/>
        <w:spacing w:line="240" w:lineRule="auto"/>
        <w:ind w:left="420" w:leftChars="0" w:hanging="420" w:hangingChars="200"/>
        <w:textAlignment w:val="auto"/>
        <w:outlineLvl w:val="9"/>
        <w:rPr>
          <w:rFonts w:hint="eastAsia" w:ascii="宋体" w:hAnsi="宋体" w:eastAsia="宋体" w:cs="宋体"/>
          <w:b/>
          <w:bCs/>
          <w:sz w:val="21"/>
          <w:szCs w:val="21"/>
        </w:rPr>
      </w:pPr>
      <w:r>
        <w:rPr>
          <w:rFonts w:hint="eastAsia" w:ascii="宋体" w:hAnsi="宋体" w:eastAsia="宋体" w:cs="宋体"/>
          <w:sz w:val="21"/>
          <w:szCs w:val="21"/>
        </w:rPr>
        <w:drawing>
          <wp:inline distT="0" distB="0" distL="114300" distR="114300">
            <wp:extent cx="5624830" cy="2667635"/>
            <wp:effectExtent l="0" t="0" r="1397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624830" cy="2667635"/>
                    </a:xfrm>
                    <a:prstGeom prst="rect">
                      <a:avLst/>
                    </a:prstGeom>
                    <a:noFill/>
                    <a:ln>
                      <a:noFill/>
                    </a:ln>
                  </pic:spPr>
                </pic:pic>
              </a:graphicData>
            </a:graphic>
          </wp:inline>
        </w:drawing>
      </w:r>
      <w:r>
        <w:rPr>
          <w:rFonts w:hint="eastAsia" w:ascii="宋体" w:hAnsi="宋体" w:eastAsia="宋体" w:cs="宋体"/>
          <w:b/>
          <w:bCs/>
          <w:sz w:val="21"/>
          <w:szCs w:val="21"/>
          <w:lang w:eastAsia="zh-CN"/>
        </w:rPr>
        <w:t>（三）</w:t>
      </w:r>
      <w:r>
        <w:rPr>
          <w:rFonts w:hint="eastAsia" w:ascii="宋体" w:hAnsi="宋体" w:eastAsia="宋体" w:cs="宋体"/>
          <w:b/>
          <w:bCs/>
          <w:sz w:val="21"/>
          <w:szCs w:val="21"/>
        </w:rPr>
        <w:t>技术路线</w:t>
      </w:r>
    </w:p>
    <w:p w14:paraId="594646FD">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基于宁波大学附属第一医院整体技术架构，如中台+微服务架构等。</w:t>
      </w:r>
    </w:p>
    <w:p w14:paraId="0C7F545C">
      <w:pPr>
        <w:pStyle w:val="18"/>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9"/>
        <w:rPr>
          <w:rFonts w:hint="eastAsia" w:ascii="宋体" w:hAnsi="宋体" w:eastAsia="宋体" w:cs="宋体"/>
          <w:b/>
          <w:bCs/>
          <w:sz w:val="21"/>
          <w:szCs w:val="21"/>
        </w:rPr>
      </w:pPr>
      <w:r>
        <w:rPr>
          <w:rFonts w:hint="eastAsia" w:ascii="宋体" w:hAnsi="宋体" w:eastAsia="宋体" w:cs="宋体"/>
          <w:b/>
          <w:bCs/>
          <w:sz w:val="21"/>
          <w:szCs w:val="21"/>
          <w:lang w:eastAsia="zh-CN"/>
        </w:rPr>
        <w:t>（四）</w:t>
      </w:r>
      <w:r>
        <w:rPr>
          <w:rFonts w:hint="eastAsia" w:ascii="宋体" w:hAnsi="宋体" w:eastAsia="宋体" w:cs="宋体"/>
          <w:b/>
          <w:bCs/>
          <w:sz w:val="21"/>
          <w:szCs w:val="21"/>
        </w:rPr>
        <w:t>部署方式</w:t>
      </w:r>
    </w:p>
    <w:p w14:paraId="4023976B">
      <w:pPr>
        <w:pStyle w:val="18"/>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本项目为</w:t>
      </w:r>
      <w:r>
        <w:rPr>
          <w:rFonts w:hint="eastAsia" w:hAnsi="宋体" w:cs="宋体"/>
          <w:sz w:val="21"/>
          <w:szCs w:val="21"/>
          <w:lang w:val="en-US" w:eastAsia="zh-CN"/>
        </w:rPr>
        <w:t>运营</w:t>
      </w:r>
      <w:r>
        <w:rPr>
          <w:rFonts w:hint="eastAsia" w:ascii="宋体" w:hAnsi="宋体" w:eastAsia="宋体" w:cs="宋体"/>
          <w:sz w:val="21"/>
          <w:szCs w:val="21"/>
          <w:lang w:val="en-US" w:eastAsia="zh-CN"/>
        </w:rPr>
        <w:t>托管，不涉及信息系统部署</w:t>
      </w:r>
      <w:r>
        <w:rPr>
          <w:rFonts w:hint="eastAsia" w:ascii="宋体" w:hAnsi="宋体" w:eastAsia="宋体" w:cs="宋体"/>
          <w:sz w:val="21"/>
          <w:szCs w:val="21"/>
        </w:rPr>
        <w:t>。</w:t>
      </w:r>
    </w:p>
    <w:p w14:paraId="783C40B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2" w:firstLineChars="200"/>
        <w:textAlignment w:val="auto"/>
        <w:outlineLvl w:val="9"/>
        <w:rPr>
          <w:rFonts w:hint="eastAsia" w:ascii="宋体" w:hAnsi="宋体" w:eastAsia="宋体" w:cs="宋体"/>
          <w:b/>
          <w:bCs/>
          <w:sz w:val="21"/>
          <w:szCs w:val="21"/>
        </w:rPr>
      </w:pPr>
      <w:r>
        <w:rPr>
          <w:rFonts w:hint="eastAsia" w:ascii="宋体" w:hAnsi="宋体" w:eastAsia="宋体" w:cs="宋体"/>
          <w:b/>
          <w:bCs/>
          <w:sz w:val="21"/>
          <w:szCs w:val="21"/>
          <w:lang w:eastAsia="zh-CN"/>
        </w:rPr>
        <w:t>（五）</w:t>
      </w:r>
      <w:r>
        <w:rPr>
          <w:rFonts w:hint="eastAsia" w:ascii="宋体" w:hAnsi="宋体" w:eastAsia="宋体" w:cs="宋体"/>
          <w:b/>
          <w:bCs/>
          <w:sz w:val="21"/>
          <w:szCs w:val="21"/>
        </w:rPr>
        <w:t>运行推广</w:t>
      </w:r>
    </w:p>
    <w:p w14:paraId="5D58538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sz w:val="21"/>
          <w:szCs w:val="21"/>
          <w:lang w:val="en-US" w:eastAsia="zh-CN"/>
        </w:rPr>
        <w:t>供应商</w:t>
      </w:r>
      <w:r>
        <w:rPr>
          <w:rFonts w:hint="eastAsia" w:ascii="宋体" w:hAnsi="宋体" w:eastAsia="宋体" w:cs="宋体"/>
          <w:sz w:val="21"/>
          <w:szCs w:val="21"/>
        </w:rPr>
        <w:t>将负责校医院的信息化日常运维管理，确保系统的</w:t>
      </w:r>
      <w:r>
        <w:rPr>
          <w:rFonts w:hint="eastAsia" w:ascii="宋体" w:hAnsi="宋体" w:eastAsia="宋体" w:cs="宋体"/>
          <w:sz w:val="21"/>
          <w:szCs w:val="21"/>
          <w:lang w:val="en-US" w:eastAsia="zh-CN"/>
        </w:rPr>
        <w:t>平稳运行</w:t>
      </w:r>
      <w:r>
        <w:rPr>
          <w:rFonts w:hint="eastAsia" w:ascii="宋体" w:hAnsi="宋体" w:eastAsia="宋体" w:cs="宋体"/>
          <w:sz w:val="21"/>
          <w:szCs w:val="21"/>
        </w:rPr>
        <w:t>。</w:t>
      </w:r>
    </w:p>
    <w:p w14:paraId="6D9CBA72">
      <w:pPr>
        <w:pageBreakBefore w:val="0"/>
        <w:kinsoku/>
        <w:wordWrap/>
        <w:overflowPunct/>
        <w:topLinePunct w:val="0"/>
        <w:autoSpaceDN/>
        <w:bidi w:val="0"/>
        <w:adjustRightInd/>
        <w:snapToGrid/>
        <w:spacing w:line="400" w:lineRule="exact"/>
        <w:ind w:left="0" w:leftChars="0"/>
        <w:jc w:val="left"/>
        <w:outlineLvl w:val="9"/>
        <w:rPr>
          <w:rFonts w:hint="eastAsia" w:asciiTheme="minorEastAsia" w:hAnsiTheme="minorEastAsia" w:eastAsiaTheme="minorEastAsia" w:cstheme="minorEastAsia"/>
          <w:b/>
          <w:bCs/>
          <w:color w:val="auto"/>
          <w:szCs w:val="21"/>
          <w:highlight w:val="none"/>
          <w:lang w:eastAsia="zh-CN"/>
        </w:rPr>
      </w:pPr>
      <w:r>
        <w:rPr>
          <w:rFonts w:hint="eastAsia" w:asciiTheme="minorEastAsia" w:hAnsiTheme="minorEastAsia" w:eastAsiaTheme="minorEastAsia" w:cstheme="minorEastAsia"/>
          <w:b/>
          <w:bCs/>
          <w:color w:val="auto"/>
          <w:szCs w:val="21"/>
          <w:highlight w:val="none"/>
        </w:rPr>
        <w:t>二、</w:t>
      </w:r>
      <w:bookmarkEnd w:id="63"/>
      <w:r>
        <w:rPr>
          <w:rFonts w:hint="eastAsia" w:asciiTheme="minorEastAsia" w:hAnsiTheme="minorEastAsia" w:eastAsiaTheme="minorEastAsia" w:cstheme="minorEastAsia"/>
          <w:b/>
          <w:bCs/>
          <w:color w:val="auto"/>
          <w:szCs w:val="21"/>
          <w:highlight w:val="none"/>
          <w:lang w:eastAsia="zh-CN"/>
        </w:rPr>
        <w:t>建设目标</w:t>
      </w:r>
    </w:p>
    <w:p w14:paraId="6065F7A7">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bookmarkStart w:id="64" w:name="_Toc27589"/>
      <w:r>
        <w:rPr>
          <w:rFonts w:hint="eastAsia" w:asciiTheme="minorEastAsia" w:hAnsiTheme="minorEastAsia" w:eastAsiaTheme="minorEastAsia" w:cstheme="minorEastAsia"/>
          <w:b w:val="0"/>
          <w:bCs w:val="0"/>
          <w:color w:val="auto"/>
          <w:szCs w:val="21"/>
          <w:highlight w:val="none"/>
        </w:rPr>
        <w:t>基于现代医院发展的要求，校医院信息化建设的目标应围绕提升医疗服务水平、优化管理效率、保障政策落实以及支持可持续发展等方面展开。以下是简要的建设目标：</w:t>
      </w:r>
    </w:p>
    <w:p w14:paraId="70C124B0">
      <w:pPr>
        <w:pageBreakBefore w:val="0"/>
        <w:kinsoku/>
        <w:wordWrap/>
        <w:overflowPunct/>
        <w:topLinePunct w:val="0"/>
        <w:autoSpaceDN/>
        <w:bidi w:val="0"/>
        <w:adjustRightInd/>
        <w:snapToGrid/>
        <w:spacing w:line="400" w:lineRule="exact"/>
        <w:ind w:left="0" w:leftChars="0" w:firstLine="422" w:firstLineChars="200"/>
        <w:jc w:val="left"/>
        <w:outlineLvl w:val="9"/>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1.实现全面信息化覆盖</w:t>
      </w:r>
    </w:p>
    <w:p w14:paraId="1A429C73">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功能模块完善：建设涵盖电子病历、集成平台、PACS、LIS、电子发票、外配处方系统、质量管理信息系统、市健康档案平台、省药械采购平台等在内的完整信息化系统，确保医院各项业务流程的信息化覆盖率达到100%。</w:t>
      </w:r>
    </w:p>
    <w:p w14:paraId="11A8E7E6">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系统互联互通：实现医院内部各系统之间的无缝对接，打破信息孤岛，同时与外部医疗平台、医保系统等实现数据共享和交互，提升医疗服务的协同性。</w:t>
      </w:r>
    </w:p>
    <w:p w14:paraId="2998EB79">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持续优化与升级：建立信息化系统的持续优化机制，定期对系统进行升级和维护，以适应医院业务发展和政策变化的需求。</w:t>
      </w:r>
    </w:p>
    <w:p w14:paraId="250FAC44">
      <w:pPr>
        <w:pageBreakBefore w:val="0"/>
        <w:kinsoku/>
        <w:wordWrap/>
        <w:overflowPunct/>
        <w:topLinePunct w:val="0"/>
        <w:autoSpaceDN/>
        <w:bidi w:val="0"/>
        <w:adjustRightInd/>
        <w:snapToGrid/>
        <w:spacing w:line="400" w:lineRule="exact"/>
        <w:ind w:left="0" w:leftChars="0" w:firstLine="422" w:firstLineChars="200"/>
        <w:jc w:val="left"/>
        <w:outlineLvl w:val="9"/>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2.提升患者就医体验</w:t>
      </w:r>
    </w:p>
    <w:p w14:paraId="3FAD9AB9">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便捷就医服务：引入排队叫号、预检分诊、预约挂号、健康档案推送等系统，优化患者就医流程，减少排队等待时间，提升患者满意度。</w:t>
      </w:r>
    </w:p>
    <w:p w14:paraId="0D93A0A6">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个性化健康管理：通过信息化手段为患者提供个性化的健康管理服务，如体检报告解读、健康建议推送等，增强患者对医院的信任和</w:t>
      </w:r>
      <w:r>
        <w:rPr>
          <w:rFonts w:hint="eastAsia" w:asciiTheme="minorEastAsia" w:hAnsiTheme="minorEastAsia" w:eastAsiaTheme="minorEastAsia" w:cstheme="minorEastAsia"/>
          <w:b w:val="0"/>
          <w:bCs w:val="0"/>
          <w:color w:val="auto"/>
          <w:szCs w:val="21"/>
          <w:highlight w:val="none"/>
          <w:lang w:eastAsia="zh-CN"/>
        </w:rPr>
        <w:t>黏性</w:t>
      </w:r>
      <w:r>
        <w:rPr>
          <w:rFonts w:hint="eastAsia" w:asciiTheme="minorEastAsia" w:hAnsiTheme="minorEastAsia" w:eastAsiaTheme="minorEastAsia" w:cstheme="minorEastAsia"/>
          <w:b w:val="0"/>
          <w:bCs w:val="0"/>
          <w:color w:val="auto"/>
          <w:szCs w:val="21"/>
          <w:highlight w:val="none"/>
        </w:rPr>
        <w:t>。</w:t>
      </w:r>
    </w:p>
    <w:p w14:paraId="53284DBF">
      <w:pPr>
        <w:pageBreakBefore w:val="0"/>
        <w:kinsoku/>
        <w:wordWrap/>
        <w:overflowPunct/>
        <w:topLinePunct w:val="0"/>
        <w:autoSpaceDN/>
        <w:bidi w:val="0"/>
        <w:adjustRightInd/>
        <w:snapToGrid/>
        <w:spacing w:line="400" w:lineRule="exact"/>
        <w:ind w:left="0" w:leftChars="0" w:firstLine="422" w:firstLineChars="200"/>
        <w:jc w:val="left"/>
        <w:outlineLvl w:val="9"/>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3</w:t>
      </w:r>
      <w:r>
        <w:rPr>
          <w:rFonts w:hint="eastAsia" w:asciiTheme="minorEastAsia" w:hAnsiTheme="minorEastAsia" w:eastAsiaTheme="minorEastAsia" w:cstheme="minorEastAsia"/>
          <w:b/>
          <w:bCs/>
          <w:color w:val="auto"/>
          <w:szCs w:val="21"/>
          <w:highlight w:val="none"/>
          <w:lang w:eastAsia="zh-CN"/>
        </w:rPr>
        <w:t>.</w:t>
      </w:r>
      <w:r>
        <w:rPr>
          <w:rFonts w:hint="eastAsia" w:asciiTheme="minorEastAsia" w:hAnsiTheme="minorEastAsia" w:eastAsiaTheme="minorEastAsia" w:cstheme="minorEastAsia"/>
          <w:b/>
          <w:bCs/>
          <w:color w:val="auto"/>
          <w:szCs w:val="21"/>
          <w:highlight w:val="none"/>
        </w:rPr>
        <w:t>优化医院运营管理</w:t>
      </w:r>
    </w:p>
    <w:p w14:paraId="2C0BAFA3">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医保管理精细化：完善医保维护和对账功能，实现医保数据的实时监控和精准对账，降低医保扣款风险，确保医保资金的合理使用。</w:t>
      </w:r>
    </w:p>
    <w:p w14:paraId="04B3B0FD">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物资管理智能化：引入智能化的药品及耗材管理系统，实时监控库存动态，避免因过期导致的盘亏，提升物资管理效率和成本控制能力。</w:t>
      </w:r>
    </w:p>
    <w:p w14:paraId="0380C0B2">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数据分析与决策支持：建立业务分析系统，对医院的运营数据进行实时分析，为管理层提供科学决策依据，支持医院的可持续发展。</w:t>
      </w:r>
    </w:p>
    <w:p w14:paraId="2DE8A52C">
      <w:pPr>
        <w:pageBreakBefore w:val="0"/>
        <w:kinsoku/>
        <w:wordWrap/>
        <w:overflowPunct/>
        <w:topLinePunct w:val="0"/>
        <w:autoSpaceDN/>
        <w:bidi w:val="0"/>
        <w:adjustRightInd/>
        <w:snapToGrid/>
        <w:spacing w:line="400" w:lineRule="exact"/>
        <w:ind w:left="0" w:leftChars="0" w:firstLine="422" w:firstLineChars="200"/>
        <w:jc w:val="left"/>
        <w:outlineLvl w:val="9"/>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4.保障信息安全与合规</w:t>
      </w:r>
    </w:p>
    <w:p w14:paraId="6CEC2FB3">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数据安全保障：建立完善的信息安全管理体系，确保患者信息和医院数据的安全性和保密性，防止数据泄露和网络攻击。</w:t>
      </w:r>
    </w:p>
    <w:p w14:paraId="4A8FD49C">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政策合规性：确保信息化建设符合国家医疗信息化政策要求，及时响应政策变化，避免因违规而面临整改或处罚。</w:t>
      </w:r>
    </w:p>
    <w:p w14:paraId="141EC536">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通过以上建设目标的实现，校医院将能够全面提升信息化水平，优化医疗服务，提高管理效率，保障政策落实，为医院的可持续发展奠定坚实基础。</w:t>
      </w:r>
    </w:p>
    <w:p w14:paraId="309D9331">
      <w:pPr>
        <w:pageBreakBefore w:val="0"/>
        <w:kinsoku/>
        <w:wordWrap/>
        <w:overflowPunct/>
        <w:topLinePunct w:val="0"/>
        <w:autoSpaceDN/>
        <w:bidi w:val="0"/>
        <w:adjustRightInd/>
        <w:snapToGrid/>
        <w:spacing w:line="400" w:lineRule="exact"/>
        <w:ind w:left="0" w:leftChars="0"/>
        <w:jc w:val="left"/>
        <w:outlineLvl w:val="9"/>
        <w:rPr>
          <w:rFonts w:hint="eastAsia" w:asciiTheme="minorEastAsia" w:hAnsiTheme="minorEastAsia" w:eastAsiaTheme="minorEastAsia" w:cstheme="minorEastAsia"/>
          <w:b/>
          <w:bCs/>
          <w:color w:val="auto"/>
          <w:szCs w:val="21"/>
          <w:highlight w:val="none"/>
          <w:lang w:eastAsia="zh-CN"/>
        </w:rPr>
      </w:pPr>
      <w:r>
        <w:rPr>
          <w:rFonts w:hint="eastAsia" w:asciiTheme="minorEastAsia" w:hAnsiTheme="minorEastAsia" w:eastAsiaTheme="minorEastAsia" w:cstheme="minorEastAsia"/>
          <w:b/>
          <w:bCs/>
          <w:color w:val="auto"/>
          <w:szCs w:val="21"/>
          <w:highlight w:val="none"/>
        </w:rPr>
        <w:t>三、</w:t>
      </w:r>
      <w:bookmarkEnd w:id="64"/>
      <w:r>
        <w:rPr>
          <w:rFonts w:hint="eastAsia" w:asciiTheme="minorEastAsia" w:hAnsiTheme="minorEastAsia" w:eastAsiaTheme="minorEastAsia" w:cstheme="minorEastAsia"/>
          <w:b/>
          <w:bCs/>
          <w:color w:val="auto"/>
          <w:szCs w:val="21"/>
          <w:highlight w:val="none"/>
          <w:lang w:eastAsia="zh-CN"/>
        </w:rPr>
        <w:t>服务内容</w:t>
      </w:r>
    </w:p>
    <w:p w14:paraId="25E9DD74">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vertAlign w:val="baseline"/>
          <w:lang w:eastAsia="zh-CN"/>
        </w:rPr>
      </w:pPr>
      <w:bookmarkStart w:id="65" w:name="_Toc105926977"/>
      <w:r>
        <w:rPr>
          <w:rFonts w:hint="eastAsia" w:asciiTheme="minorEastAsia" w:hAnsiTheme="minorEastAsia" w:eastAsiaTheme="minorEastAsia" w:cstheme="minorEastAsia"/>
          <w:b w:val="0"/>
          <w:bCs w:val="0"/>
          <w:color w:val="auto"/>
          <w:szCs w:val="21"/>
          <w:highlight w:val="none"/>
          <w:lang w:eastAsia="zh-CN"/>
        </w:rPr>
        <w:t>对宁波大学校医院提供系统服务：</w:t>
      </w:r>
    </w:p>
    <w:tbl>
      <w:tblPr>
        <w:tblStyle w:val="52"/>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93"/>
        <w:gridCol w:w="1157"/>
        <w:gridCol w:w="2370"/>
        <w:gridCol w:w="4946"/>
      </w:tblGrid>
      <w:tr w14:paraId="706119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49D39F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923" w:type="pct"/>
            <w:gridSpan w:val="2"/>
            <w:tcBorders>
              <w:tl2br w:val="nil"/>
              <w:tr2bl w:val="nil"/>
            </w:tcBorders>
            <w:shd w:val="clear" w:color="auto" w:fill="auto"/>
            <w:vAlign w:val="center"/>
          </w:tcPr>
          <w:p w14:paraId="0F1E7B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服务名称</w:t>
            </w:r>
          </w:p>
        </w:tc>
        <w:tc>
          <w:tcPr>
            <w:tcW w:w="2698" w:type="pct"/>
            <w:tcBorders>
              <w:tl2br w:val="nil"/>
              <w:tr2bl w:val="nil"/>
            </w:tcBorders>
            <w:shd w:val="clear" w:color="auto" w:fill="auto"/>
            <w:vAlign w:val="center"/>
          </w:tcPr>
          <w:p w14:paraId="56A070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内容</w:t>
            </w:r>
          </w:p>
        </w:tc>
      </w:tr>
      <w:tr w14:paraId="443492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shd w:val="clear" w:color="auto" w:fill="auto"/>
            <w:vAlign w:val="center"/>
          </w:tcPr>
          <w:p w14:paraId="1C4EC5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第一年</w:t>
            </w:r>
          </w:p>
        </w:tc>
      </w:tr>
      <w:tr w14:paraId="09AADE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8EA00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1</w:t>
            </w:r>
          </w:p>
        </w:tc>
        <w:tc>
          <w:tcPr>
            <w:tcW w:w="631" w:type="pct"/>
            <w:vMerge w:val="restart"/>
            <w:tcBorders>
              <w:tl2br w:val="nil"/>
              <w:tr2bl w:val="nil"/>
            </w:tcBorders>
            <w:shd w:val="clear" w:color="auto" w:fill="auto"/>
            <w:vAlign w:val="center"/>
          </w:tcPr>
          <w:p w14:paraId="376217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产品核心功能保障（HIS+CIS+集成平台系统服务）</w:t>
            </w:r>
          </w:p>
        </w:tc>
        <w:tc>
          <w:tcPr>
            <w:tcW w:w="1292" w:type="pct"/>
            <w:tcBorders>
              <w:tl2br w:val="nil"/>
              <w:tr2bl w:val="nil"/>
            </w:tcBorders>
            <w:shd w:val="clear" w:color="auto" w:fill="auto"/>
            <w:vAlign w:val="center"/>
          </w:tcPr>
          <w:p w14:paraId="4CAA8D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门诊挂号收费系统服务</w:t>
            </w:r>
          </w:p>
        </w:tc>
        <w:tc>
          <w:tcPr>
            <w:tcW w:w="2698" w:type="pct"/>
            <w:tcBorders>
              <w:tl2br w:val="nil"/>
              <w:tr2bl w:val="nil"/>
            </w:tcBorders>
            <w:shd w:val="clear" w:color="auto" w:fill="auto"/>
            <w:vAlign w:val="center"/>
          </w:tcPr>
          <w:p w14:paraId="6754DBE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根据业务需求提供门诊病人的基本信息的登记、修改和维护服务，包括建档、预约挂号、窗口挂号、收费结算、退号、退费、处理号表、统计等服务内容。</w:t>
            </w:r>
          </w:p>
        </w:tc>
      </w:tr>
      <w:tr w14:paraId="5E6DEC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5AB3E5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2</w:t>
            </w:r>
          </w:p>
        </w:tc>
        <w:tc>
          <w:tcPr>
            <w:tcW w:w="631" w:type="pct"/>
            <w:vMerge w:val="continue"/>
            <w:tcBorders>
              <w:tl2br w:val="nil"/>
              <w:tr2bl w:val="nil"/>
            </w:tcBorders>
            <w:shd w:val="clear" w:color="auto" w:fill="auto"/>
            <w:vAlign w:val="center"/>
          </w:tcPr>
          <w:p w14:paraId="2CC1076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5270B3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药房管理系统服务</w:t>
            </w:r>
          </w:p>
        </w:tc>
        <w:tc>
          <w:tcPr>
            <w:tcW w:w="2698" w:type="pct"/>
            <w:tcBorders>
              <w:tl2br w:val="nil"/>
              <w:tr2bl w:val="nil"/>
            </w:tcBorders>
            <w:shd w:val="clear" w:color="auto" w:fill="auto"/>
            <w:vAlign w:val="center"/>
          </w:tcPr>
          <w:p w14:paraId="6124249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根据业务需求提供审核发药、取消发药、退药、取消退药、已发药查询、未发药查询、药品出入库、发药、盘点和有效期管理、自动打印各类单据等服务内容。</w:t>
            </w:r>
          </w:p>
        </w:tc>
      </w:tr>
      <w:tr w14:paraId="06E620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55CF6C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3</w:t>
            </w:r>
          </w:p>
        </w:tc>
        <w:tc>
          <w:tcPr>
            <w:tcW w:w="631" w:type="pct"/>
            <w:vMerge w:val="continue"/>
            <w:tcBorders>
              <w:tl2br w:val="nil"/>
              <w:tr2bl w:val="nil"/>
            </w:tcBorders>
            <w:shd w:val="clear" w:color="auto" w:fill="auto"/>
            <w:vAlign w:val="center"/>
          </w:tcPr>
          <w:p w14:paraId="1C02889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621FDB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药库管理系统服务</w:t>
            </w:r>
          </w:p>
        </w:tc>
        <w:tc>
          <w:tcPr>
            <w:tcW w:w="2698" w:type="pct"/>
            <w:tcBorders>
              <w:tl2br w:val="nil"/>
              <w:tr2bl w:val="nil"/>
            </w:tcBorders>
            <w:shd w:val="clear" w:color="auto" w:fill="auto"/>
            <w:vAlign w:val="center"/>
          </w:tcPr>
          <w:p w14:paraId="2385956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根据业务需求提供药品的采购、入库、发放管理、药品信息维护、定价与调价、发放、退货、盘点、有效期和核算管理、各种数据查询等服务内容。</w:t>
            </w:r>
          </w:p>
        </w:tc>
      </w:tr>
      <w:tr w14:paraId="659A6F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7AD12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4</w:t>
            </w:r>
          </w:p>
        </w:tc>
        <w:tc>
          <w:tcPr>
            <w:tcW w:w="631" w:type="pct"/>
            <w:vMerge w:val="continue"/>
            <w:tcBorders>
              <w:tl2br w:val="nil"/>
              <w:tr2bl w:val="nil"/>
            </w:tcBorders>
            <w:shd w:val="clear" w:color="auto" w:fill="auto"/>
            <w:vAlign w:val="center"/>
          </w:tcPr>
          <w:p w14:paraId="351278D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2AEA3E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皮试输液系统服务</w:t>
            </w:r>
          </w:p>
        </w:tc>
        <w:tc>
          <w:tcPr>
            <w:tcW w:w="2698" w:type="pct"/>
            <w:tcBorders>
              <w:tl2br w:val="nil"/>
              <w:tr2bl w:val="nil"/>
            </w:tcBorders>
            <w:shd w:val="clear" w:color="auto" w:fill="auto"/>
            <w:vAlign w:val="center"/>
          </w:tcPr>
          <w:p w14:paraId="57A2251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根据业务需求提供输液、注射、皮试病人的管理及过程信息管理等服务内容。</w:t>
            </w:r>
          </w:p>
        </w:tc>
      </w:tr>
      <w:tr w14:paraId="73F6DC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5D99CA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5</w:t>
            </w:r>
          </w:p>
        </w:tc>
        <w:tc>
          <w:tcPr>
            <w:tcW w:w="631" w:type="pct"/>
            <w:vMerge w:val="continue"/>
            <w:tcBorders>
              <w:tl2br w:val="nil"/>
              <w:tr2bl w:val="nil"/>
            </w:tcBorders>
            <w:shd w:val="clear" w:color="auto" w:fill="auto"/>
            <w:vAlign w:val="center"/>
          </w:tcPr>
          <w:p w14:paraId="6BCC042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17773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医技管理系统服务</w:t>
            </w:r>
          </w:p>
        </w:tc>
        <w:tc>
          <w:tcPr>
            <w:tcW w:w="2698" w:type="pct"/>
            <w:tcBorders>
              <w:tl2br w:val="nil"/>
              <w:tr2bl w:val="nil"/>
            </w:tcBorders>
            <w:shd w:val="clear" w:color="auto" w:fill="auto"/>
            <w:vAlign w:val="center"/>
          </w:tcPr>
          <w:p w14:paraId="6B2968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根据业务需求提供医技科室接收医嘱、执行结果填写等服务内容。</w:t>
            </w:r>
          </w:p>
        </w:tc>
      </w:tr>
      <w:tr w14:paraId="0E2735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262CB2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6</w:t>
            </w:r>
          </w:p>
        </w:tc>
        <w:tc>
          <w:tcPr>
            <w:tcW w:w="631" w:type="pct"/>
            <w:vMerge w:val="continue"/>
            <w:tcBorders>
              <w:tl2br w:val="nil"/>
              <w:tr2bl w:val="nil"/>
            </w:tcBorders>
            <w:shd w:val="clear" w:color="auto" w:fill="auto"/>
            <w:vAlign w:val="center"/>
          </w:tcPr>
          <w:p w14:paraId="0103B40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51F264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医保工作站服务</w:t>
            </w:r>
          </w:p>
        </w:tc>
        <w:tc>
          <w:tcPr>
            <w:tcW w:w="2698" w:type="pct"/>
            <w:tcBorders>
              <w:tl2br w:val="nil"/>
              <w:tr2bl w:val="nil"/>
            </w:tcBorders>
            <w:shd w:val="clear" w:color="auto" w:fill="auto"/>
            <w:vAlign w:val="center"/>
          </w:tcPr>
          <w:p w14:paraId="40C24EF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根据业务需求提供医保目录下载、各类字典对照、医保对账查询等服务内容。</w:t>
            </w:r>
          </w:p>
        </w:tc>
      </w:tr>
      <w:tr w14:paraId="7583BD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4CECAE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7</w:t>
            </w:r>
          </w:p>
        </w:tc>
        <w:tc>
          <w:tcPr>
            <w:tcW w:w="631" w:type="pct"/>
            <w:vMerge w:val="continue"/>
            <w:tcBorders>
              <w:tl2br w:val="nil"/>
              <w:tr2bl w:val="nil"/>
            </w:tcBorders>
            <w:shd w:val="clear" w:color="auto" w:fill="auto"/>
            <w:vAlign w:val="center"/>
          </w:tcPr>
          <w:p w14:paraId="1FD6894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48042B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一体化门诊医生站服务</w:t>
            </w:r>
          </w:p>
        </w:tc>
        <w:tc>
          <w:tcPr>
            <w:tcW w:w="2698" w:type="pct"/>
            <w:tcBorders>
              <w:tl2br w:val="nil"/>
              <w:tr2bl w:val="nil"/>
            </w:tcBorders>
            <w:shd w:val="clear" w:color="auto" w:fill="auto"/>
            <w:vAlign w:val="center"/>
          </w:tcPr>
          <w:p w14:paraId="4607F1B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根据业务需求提供门诊记录、诊断、处方、检查、检验等服务内容。</w:t>
            </w:r>
          </w:p>
        </w:tc>
      </w:tr>
      <w:tr w14:paraId="591F96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632AD5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w:t>
            </w:r>
          </w:p>
        </w:tc>
        <w:tc>
          <w:tcPr>
            <w:tcW w:w="631" w:type="pct"/>
            <w:vMerge w:val="continue"/>
            <w:tcBorders>
              <w:tl2br w:val="nil"/>
              <w:tr2bl w:val="nil"/>
            </w:tcBorders>
            <w:shd w:val="clear" w:color="auto" w:fill="auto"/>
            <w:vAlign w:val="center"/>
          </w:tcPr>
          <w:p w14:paraId="7032B96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26AEDC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门诊服务台管理系统服务</w:t>
            </w:r>
          </w:p>
        </w:tc>
        <w:tc>
          <w:tcPr>
            <w:tcW w:w="2698" w:type="pct"/>
            <w:tcBorders>
              <w:tl2br w:val="nil"/>
              <w:tr2bl w:val="nil"/>
            </w:tcBorders>
            <w:shd w:val="clear" w:color="auto" w:fill="auto"/>
            <w:vAlign w:val="center"/>
          </w:tcPr>
          <w:p w14:paraId="063CD53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根据业务需求提供门诊分诊、导诊、门诊科室注射材料、药品、用品管理等服务内容。</w:t>
            </w:r>
          </w:p>
        </w:tc>
      </w:tr>
      <w:tr w14:paraId="2A28C5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9F338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p>
        </w:tc>
        <w:tc>
          <w:tcPr>
            <w:tcW w:w="631" w:type="pct"/>
            <w:vMerge w:val="continue"/>
            <w:tcBorders>
              <w:tl2br w:val="nil"/>
              <w:tr2bl w:val="nil"/>
            </w:tcBorders>
            <w:shd w:val="clear" w:color="auto" w:fill="auto"/>
            <w:vAlign w:val="center"/>
          </w:tcPr>
          <w:p w14:paraId="1903322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137B0F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会诊管理服务</w:t>
            </w:r>
          </w:p>
        </w:tc>
        <w:tc>
          <w:tcPr>
            <w:tcW w:w="2698" w:type="pct"/>
            <w:tcBorders>
              <w:tl2br w:val="nil"/>
              <w:tr2bl w:val="nil"/>
            </w:tcBorders>
            <w:shd w:val="clear" w:color="auto" w:fill="auto"/>
            <w:vAlign w:val="center"/>
          </w:tcPr>
          <w:p w14:paraId="64F9F1B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根据业务需求提供会诊排班、会诊申请、会诊接收、会诊关闭、会诊记录等服务内容。</w:t>
            </w:r>
          </w:p>
        </w:tc>
      </w:tr>
      <w:tr w14:paraId="069F57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3785CB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631" w:type="pct"/>
            <w:vMerge w:val="continue"/>
            <w:tcBorders>
              <w:tl2br w:val="nil"/>
              <w:tr2bl w:val="nil"/>
            </w:tcBorders>
            <w:shd w:val="clear" w:color="auto" w:fill="auto"/>
            <w:vAlign w:val="center"/>
          </w:tcPr>
          <w:p w14:paraId="5BB68BA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DA568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抗菌药物监控管理服务</w:t>
            </w:r>
          </w:p>
        </w:tc>
        <w:tc>
          <w:tcPr>
            <w:tcW w:w="2698" w:type="pct"/>
            <w:tcBorders>
              <w:tl2br w:val="nil"/>
              <w:tr2bl w:val="nil"/>
            </w:tcBorders>
            <w:shd w:val="clear" w:color="auto" w:fill="auto"/>
            <w:vAlign w:val="center"/>
          </w:tcPr>
          <w:p w14:paraId="73DD454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根据业务需求提供抗菌药物分级设置、抗菌处方权设置、抗菌药物权限控制等服务内容。</w:t>
            </w:r>
          </w:p>
        </w:tc>
      </w:tr>
      <w:tr w14:paraId="69C6BC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38298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631" w:type="pct"/>
            <w:vMerge w:val="continue"/>
            <w:tcBorders>
              <w:tl2br w:val="nil"/>
              <w:tr2bl w:val="nil"/>
            </w:tcBorders>
            <w:shd w:val="clear" w:color="auto" w:fill="auto"/>
            <w:vAlign w:val="center"/>
          </w:tcPr>
          <w:p w14:paraId="0931B1C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2B1C7C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疾病报卡管理系统服务</w:t>
            </w:r>
          </w:p>
        </w:tc>
        <w:tc>
          <w:tcPr>
            <w:tcW w:w="2698" w:type="pct"/>
            <w:tcBorders>
              <w:tl2br w:val="nil"/>
              <w:tr2bl w:val="nil"/>
            </w:tcBorders>
            <w:shd w:val="clear" w:color="auto" w:fill="auto"/>
            <w:vAlign w:val="center"/>
          </w:tcPr>
          <w:p w14:paraId="1F404BF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根据业务需求提供传染病、慢性病等疾病的快速上报等服务内容。</w:t>
            </w:r>
          </w:p>
        </w:tc>
      </w:tr>
      <w:tr w14:paraId="16208B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330A2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631" w:type="pct"/>
            <w:vMerge w:val="continue"/>
            <w:tcBorders>
              <w:tl2br w:val="nil"/>
              <w:tr2bl w:val="nil"/>
            </w:tcBorders>
            <w:shd w:val="clear" w:color="auto" w:fill="auto"/>
            <w:vAlign w:val="center"/>
          </w:tcPr>
          <w:p w14:paraId="19C8190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C44C1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门办管理系统服务</w:t>
            </w:r>
          </w:p>
        </w:tc>
        <w:tc>
          <w:tcPr>
            <w:tcW w:w="2698" w:type="pct"/>
            <w:tcBorders>
              <w:tl2br w:val="nil"/>
              <w:tr2bl w:val="nil"/>
            </w:tcBorders>
            <w:shd w:val="clear" w:color="auto" w:fill="auto"/>
            <w:vAlign w:val="center"/>
          </w:tcPr>
          <w:p w14:paraId="45F3697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根据业务需求提供排班管理、门诊管理、综合查询等服务内容。</w:t>
            </w:r>
          </w:p>
        </w:tc>
      </w:tr>
      <w:tr w14:paraId="446FE4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227C7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w:t>
            </w:r>
          </w:p>
        </w:tc>
        <w:tc>
          <w:tcPr>
            <w:tcW w:w="631" w:type="pct"/>
            <w:vMerge w:val="continue"/>
            <w:tcBorders>
              <w:tl2br w:val="nil"/>
              <w:tr2bl w:val="nil"/>
            </w:tcBorders>
            <w:shd w:val="clear" w:color="auto" w:fill="auto"/>
            <w:vAlign w:val="center"/>
          </w:tcPr>
          <w:p w14:paraId="6429912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ED408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治疗管理系统服务</w:t>
            </w:r>
          </w:p>
        </w:tc>
        <w:tc>
          <w:tcPr>
            <w:tcW w:w="2698" w:type="pct"/>
            <w:tcBorders>
              <w:tl2br w:val="nil"/>
              <w:tr2bl w:val="nil"/>
            </w:tcBorders>
            <w:shd w:val="clear" w:color="auto" w:fill="auto"/>
            <w:vAlign w:val="center"/>
          </w:tcPr>
          <w:p w14:paraId="3C21F82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根据业务需求提供治疗项目开单、预约、登记管理等服务内容。</w:t>
            </w:r>
          </w:p>
        </w:tc>
      </w:tr>
      <w:tr w14:paraId="0EACC4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9AA0F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631" w:type="pct"/>
            <w:vMerge w:val="continue"/>
            <w:tcBorders>
              <w:tl2br w:val="nil"/>
              <w:tr2bl w:val="nil"/>
            </w:tcBorders>
            <w:shd w:val="clear" w:color="auto" w:fill="auto"/>
            <w:vAlign w:val="center"/>
          </w:tcPr>
          <w:p w14:paraId="42AA920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C3E7B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门诊手术管理系统服务</w:t>
            </w:r>
          </w:p>
        </w:tc>
        <w:tc>
          <w:tcPr>
            <w:tcW w:w="2698" w:type="pct"/>
            <w:tcBorders>
              <w:tl2br w:val="nil"/>
              <w:tr2bl w:val="nil"/>
            </w:tcBorders>
            <w:shd w:val="clear" w:color="auto" w:fill="auto"/>
            <w:vAlign w:val="center"/>
          </w:tcPr>
          <w:p w14:paraId="1389F0F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根据业务需求提供简单门诊手术的申请、预约、消息通知、手术记录等服务内容。</w:t>
            </w:r>
          </w:p>
        </w:tc>
      </w:tr>
      <w:tr w14:paraId="4C96D7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D7456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631" w:type="pct"/>
            <w:vMerge w:val="continue"/>
            <w:tcBorders>
              <w:tl2br w:val="nil"/>
              <w:tr2bl w:val="nil"/>
            </w:tcBorders>
            <w:shd w:val="clear" w:color="auto" w:fill="auto"/>
            <w:vAlign w:val="center"/>
          </w:tcPr>
          <w:p w14:paraId="4DCCF6F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422F0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报表中心服务</w:t>
            </w:r>
          </w:p>
        </w:tc>
        <w:tc>
          <w:tcPr>
            <w:tcW w:w="2698" w:type="pct"/>
            <w:tcBorders>
              <w:tl2br w:val="nil"/>
              <w:tr2bl w:val="nil"/>
            </w:tcBorders>
            <w:shd w:val="clear" w:color="auto" w:fill="auto"/>
            <w:vAlign w:val="center"/>
          </w:tcPr>
          <w:p w14:paraId="679072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根据管理需求提供灵活的业务查询分析服务。</w:t>
            </w:r>
          </w:p>
        </w:tc>
      </w:tr>
      <w:tr w14:paraId="2862A6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32CE8E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16</w:t>
            </w:r>
          </w:p>
        </w:tc>
        <w:tc>
          <w:tcPr>
            <w:tcW w:w="631" w:type="pct"/>
            <w:vMerge w:val="continue"/>
            <w:tcBorders>
              <w:tl2br w:val="nil"/>
              <w:tr2bl w:val="nil"/>
            </w:tcBorders>
            <w:shd w:val="clear" w:color="auto" w:fill="auto"/>
            <w:vAlign w:val="center"/>
          </w:tcPr>
          <w:p w14:paraId="07AAC04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2C49A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运维服务平台服务</w:t>
            </w:r>
          </w:p>
        </w:tc>
        <w:tc>
          <w:tcPr>
            <w:tcW w:w="2698" w:type="pct"/>
            <w:tcBorders>
              <w:tl2br w:val="nil"/>
              <w:tr2bl w:val="nil"/>
            </w:tcBorders>
            <w:shd w:val="clear" w:color="auto" w:fill="auto"/>
            <w:vAlign w:val="center"/>
          </w:tcPr>
          <w:p w14:paraId="0D5F6A0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根据运维需求提供发布管理、监控管理、消息管理、日志管理、配置管理等服务内容。</w:t>
            </w:r>
          </w:p>
        </w:tc>
      </w:tr>
      <w:tr w14:paraId="1C73C3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54C463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w:t>
            </w:r>
          </w:p>
        </w:tc>
        <w:tc>
          <w:tcPr>
            <w:tcW w:w="631" w:type="pct"/>
            <w:vMerge w:val="continue"/>
            <w:tcBorders>
              <w:tl2br w:val="nil"/>
              <w:tr2bl w:val="nil"/>
            </w:tcBorders>
            <w:shd w:val="clear" w:color="auto" w:fill="auto"/>
            <w:vAlign w:val="center"/>
          </w:tcPr>
          <w:p w14:paraId="46461FA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79B8F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公用支持系统服务</w:t>
            </w:r>
          </w:p>
        </w:tc>
        <w:tc>
          <w:tcPr>
            <w:tcW w:w="2698" w:type="pct"/>
            <w:tcBorders>
              <w:tl2br w:val="nil"/>
              <w:tr2bl w:val="nil"/>
            </w:tcBorders>
            <w:shd w:val="clear" w:color="auto" w:fill="auto"/>
            <w:vAlign w:val="center"/>
          </w:tcPr>
          <w:p w14:paraId="47E17DF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根据运维需求提供功能、权限、用户、基础字典的维护查询等服务内容。</w:t>
            </w:r>
          </w:p>
        </w:tc>
      </w:tr>
      <w:tr w14:paraId="7B4399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F02B3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c>
          <w:tcPr>
            <w:tcW w:w="631" w:type="pct"/>
            <w:vMerge w:val="continue"/>
            <w:tcBorders>
              <w:tl2br w:val="nil"/>
              <w:tr2bl w:val="nil"/>
            </w:tcBorders>
            <w:shd w:val="clear" w:color="auto" w:fill="auto"/>
            <w:vAlign w:val="center"/>
          </w:tcPr>
          <w:p w14:paraId="0E36EBD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60CB35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统一支付平台服务</w:t>
            </w:r>
          </w:p>
        </w:tc>
        <w:tc>
          <w:tcPr>
            <w:tcW w:w="2698" w:type="pct"/>
            <w:tcBorders>
              <w:tl2br w:val="nil"/>
              <w:tr2bl w:val="nil"/>
            </w:tcBorders>
            <w:shd w:val="clear" w:color="auto" w:fill="auto"/>
            <w:vAlign w:val="center"/>
          </w:tcPr>
          <w:p w14:paraId="293853C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根据业务需求提供线下线上支付通道集成、对账等服务内容。</w:t>
            </w:r>
          </w:p>
        </w:tc>
      </w:tr>
      <w:tr w14:paraId="6B6E7B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D6518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w:t>
            </w:r>
          </w:p>
        </w:tc>
        <w:tc>
          <w:tcPr>
            <w:tcW w:w="631" w:type="pct"/>
            <w:vMerge w:val="continue"/>
            <w:tcBorders>
              <w:tl2br w:val="nil"/>
              <w:tr2bl w:val="nil"/>
            </w:tcBorders>
            <w:shd w:val="clear" w:color="auto" w:fill="auto"/>
            <w:vAlign w:val="center"/>
          </w:tcPr>
          <w:p w14:paraId="55CD56B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19511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数据中心服务</w:t>
            </w:r>
          </w:p>
        </w:tc>
        <w:tc>
          <w:tcPr>
            <w:tcW w:w="2698" w:type="pct"/>
            <w:tcBorders>
              <w:tl2br w:val="nil"/>
              <w:tr2bl w:val="nil"/>
            </w:tcBorders>
            <w:shd w:val="clear" w:color="auto" w:fill="auto"/>
            <w:vAlign w:val="center"/>
          </w:tcPr>
          <w:p w14:paraId="331FBBA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根据业务需求提供业务系统数据整合、细节查询等服务内容。</w:t>
            </w:r>
          </w:p>
        </w:tc>
      </w:tr>
      <w:tr w14:paraId="1800C5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9DC49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w:t>
            </w:r>
          </w:p>
        </w:tc>
        <w:tc>
          <w:tcPr>
            <w:tcW w:w="631" w:type="pct"/>
            <w:vMerge w:val="continue"/>
            <w:tcBorders>
              <w:tl2br w:val="nil"/>
              <w:tr2bl w:val="nil"/>
            </w:tcBorders>
            <w:shd w:val="clear" w:color="auto" w:fill="auto"/>
            <w:vAlign w:val="center"/>
          </w:tcPr>
          <w:p w14:paraId="03EBE91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D72B4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单点登录服务</w:t>
            </w:r>
          </w:p>
        </w:tc>
        <w:tc>
          <w:tcPr>
            <w:tcW w:w="2698" w:type="pct"/>
            <w:tcBorders>
              <w:tl2br w:val="nil"/>
              <w:tr2bl w:val="nil"/>
            </w:tcBorders>
            <w:shd w:val="clear" w:color="auto" w:fill="auto"/>
            <w:vAlign w:val="center"/>
          </w:tcPr>
          <w:p w14:paraId="1A1FE24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根据业务需求提供一站式单点登录服务。</w:t>
            </w:r>
          </w:p>
        </w:tc>
      </w:tr>
      <w:tr w14:paraId="409302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558153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w:t>
            </w:r>
          </w:p>
        </w:tc>
        <w:tc>
          <w:tcPr>
            <w:tcW w:w="631" w:type="pct"/>
            <w:vMerge w:val="continue"/>
            <w:tcBorders>
              <w:tl2br w:val="nil"/>
              <w:tr2bl w:val="nil"/>
            </w:tcBorders>
            <w:shd w:val="clear" w:color="auto" w:fill="auto"/>
            <w:vAlign w:val="center"/>
          </w:tcPr>
          <w:p w14:paraId="400BBDD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47EF42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患者主索引服务</w:t>
            </w:r>
          </w:p>
        </w:tc>
        <w:tc>
          <w:tcPr>
            <w:tcW w:w="2698" w:type="pct"/>
            <w:tcBorders>
              <w:tl2br w:val="nil"/>
              <w:tr2bl w:val="nil"/>
            </w:tcBorders>
            <w:shd w:val="clear" w:color="auto" w:fill="auto"/>
            <w:vAlign w:val="center"/>
          </w:tcPr>
          <w:p w14:paraId="6C17EFC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根据业务需求提供主索引管理、合并、统计等服务内容。</w:t>
            </w:r>
          </w:p>
        </w:tc>
      </w:tr>
      <w:tr w14:paraId="7B943E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F80D7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w:t>
            </w:r>
          </w:p>
        </w:tc>
        <w:tc>
          <w:tcPr>
            <w:tcW w:w="631" w:type="pct"/>
            <w:vMerge w:val="continue"/>
            <w:tcBorders>
              <w:tl2br w:val="nil"/>
              <w:tr2bl w:val="nil"/>
            </w:tcBorders>
            <w:shd w:val="clear" w:color="auto" w:fill="auto"/>
            <w:vAlign w:val="center"/>
          </w:tcPr>
          <w:p w14:paraId="4409BD9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2AEAE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患者360视图服务</w:t>
            </w:r>
          </w:p>
        </w:tc>
        <w:tc>
          <w:tcPr>
            <w:tcW w:w="2698" w:type="pct"/>
            <w:tcBorders>
              <w:tl2br w:val="nil"/>
              <w:tr2bl w:val="nil"/>
            </w:tcBorders>
            <w:shd w:val="clear" w:color="auto" w:fill="auto"/>
            <w:vAlign w:val="center"/>
          </w:tcPr>
          <w:p w14:paraId="775AE6A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根据业务需求提供病人资料整合展示、隐私管理等服务内容。</w:t>
            </w:r>
          </w:p>
        </w:tc>
      </w:tr>
      <w:tr w14:paraId="3B7545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1B5CD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23</w:t>
            </w:r>
          </w:p>
        </w:tc>
        <w:tc>
          <w:tcPr>
            <w:tcW w:w="631" w:type="pct"/>
            <w:vMerge w:val="continue"/>
            <w:tcBorders>
              <w:tl2br w:val="nil"/>
              <w:tr2bl w:val="nil"/>
            </w:tcBorders>
            <w:shd w:val="clear" w:color="auto" w:fill="auto"/>
            <w:vAlign w:val="center"/>
          </w:tcPr>
          <w:p w14:paraId="6DA7B73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1A69E6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智慧BI服务</w:t>
            </w:r>
          </w:p>
        </w:tc>
        <w:tc>
          <w:tcPr>
            <w:tcW w:w="2698" w:type="pct"/>
            <w:tcBorders>
              <w:tl2br w:val="nil"/>
              <w:tr2bl w:val="nil"/>
            </w:tcBorders>
            <w:shd w:val="clear" w:color="auto" w:fill="auto"/>
            <w:vAlign w:val="center"/>
          </w:tcPr>
          <w:p w14:paraId="2195532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根据管理需求提供各部门报表、分析服务，包括门诊业务分析、工作效率分析等服务内容。</w:t>
            </w:r>
          </w:p>
        </w:tc>
      </w:tr>
      <w:tr w14:paraId="70D92F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FFCA0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c>
          <w:tcPr>
            <w:tcW w:w="631" w:type="pct"/>
            <w:vMerge w:val="continue"/>
            <w:tcBorders>
              <w:tl2br w:val="nil"/>
              <w:tr2bl w:val="nil"/>
            </w:tcBorders>
            <w:shd w:val="clear" w:color="auto" w:fill="auto"/>
            <w:vAlign w:val="center"/>
          </w:tcPr>
          <w:p w14:paraId="78453A7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483F3A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移动BI服务</w:t>
            </w:r>
          </w:p>
        </w:tc>
        <w:tc>
          <w:tcPr>
            <w:tcW w:w="2698" w:type="pct"/>
            <w:tcBorders>
              <w:tl2br w:val="nil"/>
              <w:tr2bl w:val="nil"/>
            </w:tcBorders>
            <w:shd w:val="clear" w:color="auto" w:fill="auto"/>
            <w:vAlign w:val="center"/>
          </w:tcPr>
          <w:p w14:paraId="01C18D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根据管理需求提供移动端费用监控、医疗监控等服务内容。</w:t>
            </w:r>
          </w:p>
        </w:tc>
      </w:tr>
      <w:tr w14:paraId="1C0920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D5D07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25</w:t>
            </w:r>
          </w:p>
        </w:tc>
        <w:tc>
          <w:tcPr>
            <w:tcW w:w="631" w:type="pct"/>
            <w:vMerge w:val="restart"/>
            <w:tcBorders>
              <w:tl2br w:val="nil"/>
              <w:tr2bl w:val="nil"/>
            </w:tcBorders>
            <w:shd w:val="clear" w:color="auto" w:fill="auto"/>
            <w:vAlign w:val="center"/>
          </w:tcPr>
          <w:p w14:paraId="7FD35E1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产品核心功能保障（配套业务系统服务）</w:t>
            </w:r>
          </w:p>
        </w:tc>
        <w:tc>
          <w:tcPr>
            <w:tcW w:w="1292" w:type="pct"/>
            <w:tcBorders>
              <w:tl2br w:val="nil"/>
              <w:tr2bl w:val="nil"/>
            </w:tcBorders>
            <w:shd w:val="clear" w:color="auto" w:fill="auto"/>
            <w:vAlign w:val="center"/>
          </w:tcPr>
          <w:p w14:paraId="630DA2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LIS系统服务</w:t>
            </w:r>
          </w:p>
        </w:tc>
        <w:tc>
          <w:tcPr>
            <w:tcW w:w="2698" w:type="pct"/>
            <w:tcBorders>
              <w:tl2br w:val="nil"/>
              <w:tr2bl w:val="nil"/>
            </w:tcBorders>
            <w:shd w:val="clear" w:color="auto" w:fill="auto"/>
            <w:vAlign w:val="center"/>
          </w:tcPr>
          <w:p w14:paraId="5206B17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根据业务需求提供样本接收、审核、报告单发放等服务内容。</w:t>
            </w:r>
          </w:p>
        </w:tc>
      </w:tr>
      <w:tr w14:paraId="421C83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31E8A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26</w:t>
            </w:r>
          </w:p>
        </w:tc>
        <w:tc>
          <w:tcPr>
            <w:tcW w:w="631" w:type="pct"/>
            <w:vMerge w:val="continue"/>
            <w:tcBorders>
              <w:tl2br w:val="nil"/>
              <w:tr2bl w:val="nil"/>
            </w:tcBorders>
            <w:shd w:val="clear" w:color="auto" w:fill="auto"/>
            <w:vAlign w:val="center"/>
          </w:tcPr>
          <w:p w14:paraId="5ECE3A8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1CA01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PACS系统服务</w:t>
            </w:r>
          </w:p>
        </w:tc>
        <w:tc>
          <w:tcPr>
            <w:tcW w:w="2698" w:type="pct"/>
            <w:tcBorders>
              <w:tl2br w:val="nil"/>
              <w:tr2bl w:val="nil"/>
            </w:tcBorders>
            <w:shd w:val="clear" w:color="auto" w:fill="auto"/>
            <w:vAlign w:val="center"/>
          </w:tcPr>
          <w:p w14:paraId="6706CCC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根据业务需求提供影像统一归档、影像阅览、检查登记、报告书写等服务内容。</w:t>
            </w:r>
          </w:p>
        </w:tc>
      </w:tr>
      <w:tr w14:paraId="734FCB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6803F7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27</w:t>
            </w:r>
          </w:p>
        </w:tc>
        <w:tc>
          <w:tcPr>
            <w:tcW w:w="631" w:type="pct"/>
            <w:vMerge w:val="continue"/>
            <w:tcBorders>
              <w:tl2br w:val="nil"/>
              <w:tr2bl w:val="nil"/>
            </w:tcBorders>
            <w:shd w:val="clear" w:color="auto" w:fill="auto"/>
            <w:vAlign w:val="center"/>
          </w:tcPr>
          <w:p w14:paraId="33F081E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1FA4F7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心电管理系统服务</w:t>
            </w:r>
          </w:p>
        </w:tc>
        <w:tc>
          <w:tcPr>
            <w:tcW w:w="2698" w:type="pct"/>
            <w:tcBorders>
              <w:tl2br w:val="nil"/>
              <w:tr2bl w:val="nil"/>
            </w:tcBorders>
            <w:shd w:val="clear" w:color="auto" w:fill="auto"/>
            <w:vAlign w:val="center"/>
          </w:tcPr>
          <w:p w14:paraId="3E816AE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根据业务需求提供心电数据的统一归档、影像阅览、检查登记、报告书写等服务内容。</w:t>
            </w:r>
          </w:p>
        </w:tc>
      </w:tr>
      <w:tr w14:paraId="11BB3A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3357C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28</w:t>
            </w:r>
          </w:p>
        </w:tc>
        <w:tc>
          <w:tcPr>
            <w:tcW w:w="631" w:type="pct"/>
            <w:vMerge w:val="continue"/>
            <w:tcBorders>
              <w:tl2br w:val="nil"/>
              <w:tr2bl w:val="nil"/>
            </w:tcBorders>
            <w:shd w:val="clear" w:color="auto" w:fill="auto"/>
            <w:vAlign w:val="center"/>
          </w:tcPr>
          <w:p w14:paraId="4385FF3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22C9B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排队叫号系统服务</w:t>
            </w:r>
          </w:p>
        </w:tc>
        <w:tc>
          <w:tcPr>
            <w:tcW w:w="2698" w:type="pct"/>
            <w:tcBorders>
              <w:tl2br w:val="nil"/>
              <w:tr2bl w:val="nil"/>
            </w:tcBorders>
            <w:shd w:val="clear" w:color="auto" w:fill="auto"/>
            <w:vAlign w:val="center"/>
          </w:tcPr>
          <w:p w14:paraId="6FCDD9D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根据业务需求提供诊间分诊管理、医生管理、设备管理、实时叫号等服务内容。</w:t>
            </w:r>
          </w:p>
        </w:tc>
      </w:tr>
      <w:tr w14:paraId="167C87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2BF72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29</w:t>
            </w:r>
          </w:p>
        </w:tc>
        <w:tc>
          <w:tcPr>
            <w:tcW w:w="631" w:type="pct"/>
            <w:vMerge w:val="continue"/>
            <w:tcBorders>
              <w:tl2br w:val="nil"/>
              <w:tr2bl w:val="nil"/>
            </w:tcBorders>
            <w:shd w:val="clear" w:color="auto" w:fill="auto"/>
            <w:vAlign w:val="center"/>
          </w:tcPr>
          <w:p w14:paraId="12040E0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12C290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体检管理系统服务</w:t>
            </w:r>
          </w:p>
        </w:tc>
        <w:tc>
          <w:tcPr>
            <w:tcW w:w="2698" w:type="pct"/>
            <w:tcBorders>
              <w:tl2br w:val="nil"/>
              <w:tr2bl w:val="nil"/>
            </w:tcBorders>
            <w:shd w:val="clear" w:color="auto" w:fill="auto"/>
            <w:vAlign w:val="center"/>
          </w:tcPr>
          <w:p w14:paraId="23AC1FC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根据业务需求提供体检业务预约登记、收费、临床检查、体检报告等服务内容。</w:t>
            </w:r>
          </w:p>
        </w:tc>
      </w:tr>
      <w:tr w14:paraId="2C8956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C2293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w:t>
            </w:r>
          </w:p>
        </w:tc>
        <w:tc>
          <w:tcPr>
            <w:tcW w:w="631" w:type="pct"/>
            <w:vMerge w:val="continue"/>
            <w:tcBorders>
              <w:tl2br w:val="nil"/>
              <w:tr2bl w:val="nil"/>
            </w:tcBorders>
            <w:shd w:val="clear" w:color="auto" w:fill="auto"/>
            <w:vAlign w:val="center"/>
          </w:tcPr>
          <w:p w14:paraId="04E12E2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2CC3E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不良事件管理系统服务</w:t>
            </w:r>
          </w:p>
        </w:tc>
        <w:tc>
          <w:tcPr>
            <w:tcW w:w="2698" w:type="pct"/>
            <w:tcBorders>
              <w:tl2br w:val="nil"/>
              <w:tr2bl w:val="nil"/>
            </w:tcBorders>
            <w:shd w:val="clear" w:color="auto" w:fill="auto"/>
            <w:vAlign w:val="center"/>
          </w:tcPr>
          <w:p w14:paraId="3F5F26B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根据业务需求提供护理类、医疗类等不良事件的上报、审核、流程追踪、查询统计等服务内容。</w:t>
            </w:r>
          </w:p>
        </w:tc>
      </w:tr>
      <w:tr w14:paraId="3C28C7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051D7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31</w:t>
            </w:r>
          </w:p>
        </w:tc>
        <w:tc>
          <w:tcPr>
            <w:tcW w:w="631" w:type="pct"/>
            <w:vMerge w:val="continue"/>
            <w:tcBorders>
              <w:tl2br w:val="nil"/>
              <w:tr2bl w:val="nil"/>
            </w:tcBorders>
            <w:shd w:val="clear" w:color="auto" w:fill="auto"/>
            <w:vAlign w:val="center"/>
          </w:tcPr>
          <w:p w14:paraId="751DAA4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95191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自助服务系统服务</w:t>
            </w:r>
          </w:p>
        </w:tc>
        <w:tc>
          <w:tcPr>
            <w:tcW w:w="2698" w:type="pct"/>
            <w:tcBorders>
              <w:tl2br w:val="nil"/>
              <w:tr2bl w:val="nil"/>
            </w:tcBorders>
            <w:shd w:val="clear" w:color="auto" w:fill="auto"/>
            <w:vAlign w:val="center"/>
          </w:tcPr>
          <w:p w14:paraId="4870B39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根据业务需求提供自助机的挂号、缴费、报告打印等服务内容。</w:t>
            </w:r>
          </w:p>
        </w:tc>
      </w:tr>
      <w:tr w14:paraId="195793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29E48E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32</w:t>
            </w:r>
          </w:p>
        </w:tc>
        <w:tc>
          <w:tcPr>
            <w:tcW w:w="631" w:type="pct"/>
            <w:vMerge w:val="continue"/>
            <w:tcBorders>
              <w:tl2br w:val="nil"/>
              <w:tr2bl w:val="nil"/>
            </w:tcBorders>
            <w:shd w:val="clear" w:color="auto" w:fill="auto"/>
            <w:vAlign w:val="center"/>
          </w:tcPr>
          <w:p w14:paraId="1C06720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2A32AD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互联网医院系统服务</w:t>
            </w:r>
          </w:p>
        </w:tc>
        <w:tc>
          <w:tcPr>
            <w:tcW w:w="2698" w:type="pct"/>
            <w:tcBorders>
              <w:tl2br w:val="nil"/>
              <w:tr2bl w:val="nil"/>
            </w:tcBorders>
            <w:shd w:val="clear" w:color="auto" w:fill="auto"/>
            <w:vAlign w:val="center"/>
          </w:tcPr>
          <w:p w14:paraId="1941C7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根据业务需求提供互联网图文咨询、复诊配药等服务内容。</w:t>
            </w:r>
          </w:p>
        </w:tc>
      </w:tr>
      <w:tr w14:paraId="464171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7891F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33</w:t>
            </w:r>
          </w:p>
        </w:tc>
        <w:tc>
          <w:tcPr>
            <w:tcW w:w="631" w:type="pct"/>
            <w:vMerge w:val="continue"/>
            <w:tcBorders>
              <w:tl2br w:val="nil"/>
              <w:tr2bl w:val="nil"/>
            </w:tcBorders>
            <w:shd w:val="clear" w:color="auto" w:fill="auto"/>
            <w:vAlign w:val="center"/>
          </w:tcPr>
          <w:p w14:paraId="6673FE1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462E3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微信公众号系统服务</w:t>
            </w:r>
          </w:p>
        </w:tc>
        <w:tc>
          <w:tcPr>
            <w:tcW w:w="2698" w:type="pct"/>
            <w:tcBorders>
              <w:tl2br w:val="nil"/>
              <w:tr2bl w:val="nil"/>
            </w:tcBorders>
            <w:shd w:val="clear" w:color="auto" w:fill="auto"/>
            <w:vAlign w:val="center"/>
          </w:tcPr>
          <w:p w14:paraId="2D809B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根据业务需求提供微信公众号挂号、缴费、报告查询等服务内容。</w:t>
            </w:r>
          </w:p>
        </w:tc>
      </w:tr>
      <w:tr w14:paraId="084F24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3492D8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34</w:t>
            </w:r>
          </w:p>
        </w:tc>
        <w:tc>
          <w:tcPr>
            <w:tcW w:w="631" w:type="pct"/>
            <w:vMerge w:val="continue"/>
            <w:tcBorders>
              <w:tl2br w:val="nil"/>
              <w:tr2bl w:val="nil"/>
            </w:tcBorders>
            <w:shd w:val="clear" w:color="auto" w:fill="auto"/>
            <w:vAlign w:val="center"/>
          </w:tcPr>
          <w:p w14:paraId="746CDAD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85E54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合理用药系统服务</w:t>
            </w:r>
          </w:p>
        </w:tc>
        <w:tc>
          <w:tcPr>
            <w:tcW w:w="2698" w:type="pct"/>
            <w:tcBorders>
              <w:tl2br w:val="nil"/>
              <w:tr2bl w:val="nil"/>
            </w:tcBorders>
            <w:shd w:val="clear" w:color="auto" w:fill="auto"/>
            <w:vAlign w:val="center"/>
          </w:tcPr>
          <w:p w14:paraId="1B26EB3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根据业务需求提供处方医嘱用药审查、药品提示、统计分析等服务内容。</w:t>
            </w:r>
          </w:p>
        </w:tc>
      </w:tr>
      <w:tr w14:paraId="54B528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3AF58B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35</w:t>
            </w:r>
          </w:p>
        </w:tc>
        <w:tc>
          <w:tcPr>
            <w:tcW w:w="631" w:type="pct"/>
            <w:vMerge w:val="continue"/>
            <w:tcBorders>
              <w:tl2br w:val="nil"/>
              <w:tr2bl w:val="nil"/>
            </w:tcBorders>
            <w:shd w:val="clear" w:color="auto" w:fill="auto"/>
            <w:vAlign w:val="center"/>
          </w:tcPr>
          <w:p w14:paraId="400DFDC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778B9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钉钉办公系统服务</w:t>
            </w:r>
          </w:p>
        </w:tc>
        <w:tc>
          <w:tcPr>
            <w:tcW w:w="2698" w:type="pct"/>
            <w:tcBorders>
              <w:tl2br w:val="nil"/>
              <w:tr2bl w:val="nil"/>
            </w:tcBorders>
            <w:shd w:val="clear" w:color="auto" w:fill="auto"/>
            <w:vAlign w:val="center"/>
          </w:tcPr>
          <w:p w14:paraId="522647B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根据业务需求提供钉钉端电子审批流服务。</w:t>
            </w:r>
          </w:p>
        </w:tc>
      </w:tr>
      <w:tr w14:paraId="06464B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5C428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36</w:t>
            </w:r>
          </w:p>
        </w:tc>
        <w:tc>
          <w:tcPr>
            <w:tcW w:w="631" w:type="pct"/>
            <w:vMerge w:val="continue"/>
            <w:tcBorders>
              <w:tl2br w:val="nil"/>
              <w:tr2bl w:val="nil"/>
            </w:tcBorders>
            <w:shd w:val="clear" w:color="auto" w:fill="auto"/>
            <w:vAlign w:val="center"/>
          </w:tcPr>
          <w:p w14:paraId="5B0B57E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49C7ED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人事管理系统服务</w:t>
            </w:r>
          </w:p>
        </w:tc>
        <w:tc>
          <w:tcPr>
            <w:tcW w:w="2698" w:type="pct"/>
            <w:tcBorders>
              <w:tl2br w:val="nil"/>
              <w:tr2bl w:val="nil"/>
            </w:tcBorders>
            <w:shd w:val="clear" w:color="auto" w:fill="auto"/>
            <w:vAlign w:val="center"/>
          </w:tcPr>
          <w:p w14:paraId="38595E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根据业务需求提供人员档案管理、考勤排班管理、薪酬福利管理等服务内容。</w:t>
            </w:r>
          </w:p>
        </w:tc>
      </w:tr>
      <w:tr w14:paraId="67AE09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68E8FE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37</w:t>
            </w:r>
          </w:p>
        </w:tc>
        <w:tc>
          <w:tcPr>
            <w:tcW w:w="631" w:type="pct"/>
            <w:vMerge w:val="continue"/>
            <w:tcBorders>
              <w:tl2br w:val="nil"/>
              <w:tr2bl w:val="nil"/>
            </w:tcBorders>
            <w:shd w:val="clear" w:color="auto" w:fill="auto"/>
            <w:vAlign w:val="center"/>
          </w:tcPr>
          <w:p w14:paraId="0D49AA7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1D6859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资产管理系统服务</w:t>
            </w:r>
          </w:p>
        </w:tc>
        <w:tc>
          <w:tcPr>
            <w:tcW w:w="2698" w:type="pct"/>
            <w:tcBorders>
              <w:tl2br w:val="nil"/>
              <w:tr2bl w:val="nil"/>
            </w:tcBorders>
            <w:shd w:val="clear" w:color="auto" w:fill="auto"/>
            <w:vAlign w:val="center"/>
          </w:tcPr>
          <w:p w14:paraId="338848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根据业务需求提供各类固定资产的入库、出库、移库、报废、盘存等服务内容。</w:t>
            </w:r>
          </w:p>
        </w:tc>
      </w:tr>
      <w:tr w14:paraId="432738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05647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38</w:t>
            </w:r>
          </w:p>
        </w:tc>
        <w:tc>
          <w:tcPr>
            <w:tcW w:w="631" w:type="pct"/>
            <w:vMerge w:val="restart"/>
            <w:tcBorders>
              <w:tl2br w:val="nil"/>
              <w:tr2bl w:val="nil"/>
            </w:tcBorders>
            <w:shd w:val="clear" w:color="auto" w:fill="auto"/>
            <w:vAlign w:val="center"/>
          </w:tcPr>
          <w:p w14:paraId="1EDB48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产品功能优化</w:t>
            </w:r>
          </w:p>
        </w:tc>
        <w:tc>
          <w:tcPr>
            <w:tcW w:w="1292" w:type="pct"/>
            <w:tcBorders>
              <w:tl2br w:val="nil"/>
              <w:tr2bl w:val="nil"/>
            </w:tcBorders>
            <w:shd w:val="clear" w:color="auto" w:fill="auto"/>
            <w:vAlign w:val="center"/>
          </w:tcPr>
          <w:p w14:paraId="40C5C9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门诊医疗业务域优化</w:t>
            </w:r>
          </w:p>
        </w:tc>
        <w:tc>
          <w:tcPr>
            <w:tcW w:w="2698" w:type="pct"/>
            <w:tcBorders>
              <w:tl2br w:val="nil"/>
              <w:tr2bl w:val="nil"/>
            </w:tcBorders>
            <w:shd w:val="clear" w:color="auto" w:fill="auto"/>
            <w:vAlign w:val="center"/>
          </w:tcPr>
          <w:p w14:paraId="3539243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针对门诊医疗业务，根据门诊医生、门诊护士使用需求进行业务优化。</w:t>
            </w:r>
          </w:p>
        </w:tc>
      </w:tr>
      <w:tr w14:paraId="1EF11D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C96A1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39</w:t>
            </w:r>
          </w:p>
        </w:tc>
        <w:tc>
          <w:tcPr>
            <w:tcW w:w="631" w:type="pct"/>
            <w:vMerge w:val="continue"/>
            <w:tcBorders>
              <w:tl2br w:val="nil"/>
              <w:tr2bl w:val="nil"/>
            </w:tcBorders>
            <w:shd w:val="clear" w:color="auto" w:fill="auto"/>
            <w:vAlign w:val="center"/>
          </w:tcPr>
          <w:p w14:paraId="46C5A46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59C2EA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门办管理业务域优化</w:t>
            </w:r>
          </w:p>
        </w:tc>
        <w:tc>
          <w:tcPr>
            <w:tcW w:w="2698" w:type="pct"/>
            <w:tcBorders>
              <w:tl2br w:val="nil"/>
              <w:tr2bl w:val="nil"/>
            </w:tcBorders>
            <w:shd w:val="clear" w:color="auto" w:fill="auto"/>
            <w:vAlign w:val="center"/>
          </w:tcPr>
          <w:p w14:paraId="6FA5FFC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针对门办管理业务，根据门办管理人员使用需求进行业务优化。</w:t>
            </w:r>
          </w:p>
        </w:tc>
      </w:tr>
      <w:tr w14:paraId="026A3A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31746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40</w:t>
            </w:r>
          </w:p>
        </w:tc>
        <w:tc>
          <w:tcPr>
            <w:tcW w:w="631" w:type="pct"/>
            <w:vMerge w:val="continue"/>
            <w:tcBorders>
              <w:tl2br w:val="nil"/>
              <w:tr2bl w:val="nil"/>
            </w:tcBorders>
            <w:shd w:val="clear" w:color="auto" w:fill="auto"/>
            <w:vAlign w:val="center"/>
          </w:tcPr>
          <w:p w14:paraId="721AB34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5AEE93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治疗管理业务域优化</w:t>
            </w:r>
          </w:p>
        </w:tc>
        <w:tc>
          <w:tcPr>
            <w:tcW w:w="2698" w:type="pct"/>
            <w:tcBorders>
              <w:tl2br w:val="nil"/>
              <w:tr2bl w:val="nil"/>
            </w:tcBorders>
            <w:shd w:val="clear" w:color="auto" w:fill="auto"/>
            <w:vAlign w:val="center"/>
          </w:tcPr>
          <w:p w14:paraId="270ADB7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针对治疗管理业务，根据治疗师使用需求进行业务优化。</w:t>
            </w:r>
          </w:p>
        </w:tc>
      </w:tr>
      <w:tr w14:paraId="4AF1B8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5AB27B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41</w:t>
            </w:r>
          </w:p>
        </w:tc>
        <w:tc>
          <w:tcPr>
            <w:tcW w:w="631" w:type="pct"/>
            <w:vMerge w:val="continue"/>
            <w:tcBorders>
              <w:tl2br w:val="nil"/>
              <w:tr2bl w:val="nil"/>
            </w:tcBorders>
            <w:shd w:val="clear" w:color="auto" w:fill="auto"/>
            <w:vAlign w:val="center"/>
          </w:tcPr>
          <w:p w14:paraId="48ADBD1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4F2CE5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医学检验业务域优化</w:t>
            </w:r>
          </w:p>
        </w:tc>
        <w:tc>
          <w:tcPr>
            <w:tcW w:w="2698" w:type="pct"/>
            <w:tcBorders>
              <w:tl2br w:val="nil"/>
              <w:tr2bl w:val="nil"/>
            </w:tcBorders>
            <w:shd w:val="clear" w:color="auto" w:fill="auto"/>
            <w:vAlign w:val="center"/>
          </w:tcPr>
          <w:p w14:paraId="3A64A03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针对医学检验业务，根据检验科人员使用需求进行业务优化。</w:t>
            </w:r>
          </w:p>
        </w:tc>
      </w:tr>
      <w:tr w14:paraId="081988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647034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42</w:t>
            </w:r>
          </w:p>
        </w:tc>
        <w:tc>
          <w:tcPr>
            <w:tcW w:w="631" w:type="pct"/>
            <w:vMerge w:val="continue"/>
            <w:tcBorders>
              <w:tl2br w:val="nil"/>
              <w:tr2bl w:val="nil"/>
            </w:tcBorders>
            <w:shd w:val="clear" w:color="auto" w:fill="auto"/>
            <w:vAlign w:val="center"/>
          </w:tcPr>
          <w:p w14:paraId="29FBBAE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8A2EB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医学影像业务域优化</w:t>
            </w:r>
          </w:p>
        </w:tc>
        <w:tc>
          <w:tcPr>
            <w:tcW w:w="2698" w:type="pct"/>
            <w:tcBorders>
              <w:tl2br w:val="nil"/>
              <w:tr2bl w:val="nil"/>
            </w:tcBorders>
            <w:shd w:val="clear" w:color="auto" w:fill="auto"/>
            <w:vAlign w:val="center"/>
          </w:tcPr>
          <w:p w14:paraId="5942565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针对医学影像业务，根据检查科人员使用需求进行业务优化。</w:t>
            </w:r>
          </w:p>
        </w:tc>
      </w:tr>
      <w:tr w14:paraId="628909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2AC513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43</w:t>
            </w:r>
          </w:p>
        </w:tc>
        <w:tc>
          <w:tcPr>
            <w:tcW w:w="631" w:type="pct"/>
            <w:vMerge w:val="continue"/>
            <w:tcBorders>
              <w:tl2br w:val="nil"/>
              <w:tr2bl w:val="nil"/>
            </w:tcBorders>
            <w:shd w:val="clear" w:color="auto" w:fill="auto"/>
            <w:vAlign w:val="center"/>
          </w:tcPr>
          <w:p w14:paraId="5DA4BAF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D00A1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药事管理业务域优化</w:t>
            </w:r>
          </w:p>
        </w:tc>
        <w:tc>
          <w:tcPr>
            <w:tcW w:w="2698" w:type="pct"/>
            <w:tcBorders>
              <w:tl2br w:val="nil"/>
              <w:tr2bl w:val="nil"/>
            </w:tcBorders>
            <w:shd w:val="clear" w:color="auto" w:fill="auto"/>
            <w:vAlign w:val="center"/>
          </w:tcPr>
          <w:p w14:paraId="249F448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针对药事管理业务，根据药剂科人员使用需求进行业务优化。</w:t>
            </w:r>
          </w:p>
        </w:tc>
      </w:tr>
      <w:tr w14:paraId="0BCC13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4E003F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44</w:t>
            </w:r>
          </w:p>
        </w:tc>
        <w:tc>
          <w:tcPr>
            <w:tcW w:w="631" w:type="pct"/>
            <w:vMerge w:val="continue"/>
            <w:tcBorders>
              <w:tl2br w:val="nil"/>
              <w:tr2bl w:val="nil"/>
            </w:tcBorders>
            <w:shd w:val="clear" w:color="auto" w:fill="auto"/>
            <w:vAlign w:val="center"/>
          </w:tcPr>
          <w:p w14:paraId="083CEF1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FA8DA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健康体检业务域优化</w:t>
            </w:r>
          </w:p>
        </w:tc>
        <w:tc>
          <w:tcPr>
            <w:tcW w:w="2698" w:type="pct"/>
            <w:tcBorders>
              <w:tl2br w:val="nil"/>
              <w:tr2bl w:val="nil"/>
            </w:tcBorders>
            <w:shd w:val="clear" w:color="auto" w:fill="auto"/>
            <w:vAlign w:val="center"/>
          </w:tcPr>
          <w:p w14:paraId="2E4FFC2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针对健康体检业务，根据体检人员使用需求进行业务优化。</w:t>
            </w:r>
          </w:p>
        </w:tc>
      </w:tr>
      <w:tr w14:paraId="6F62BF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2FB12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45</w:t>
            </w:r>
          </w:p>
        </w:tc>
        <w:tc>
          <w:tcPr>
            <w:tcW w:w="631" w:type="pct"/>
            <w:vMerge w:val="continue"/>
            <w:tcBorders>
              <w:tl2br w:val="nil"/>
              <w:tr2bl w:val="nil"/>
            </w:tcBorders>
            <w:shd w:val="clear" w:color="auto" w:fill="auto"/>
            <w:vAlign w:val="center"/>
          </w:tcPr>
          <w:p w14:paraId="1651E07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AB1FC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人事管理业务域优化</w:t>
            </w:r>
          </w:p>
        </w:tc>
        <w:tc>
          <w:tcPr>
            <w:tcW w:w="2698" w:type="pct"/>
            <w:tcBorders>
              <w:tl2br w:val="nil"/>
              <w:tr2bl w:val="nil"/>
            </w:tcBorders>
            <w:shd w:val="clear" w:color="auto" w:fill="auto"/>
            <w:vAlign w:val="center"/>
          </w:tcPr>
          <w:p w14:paraId="7484B54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针对人事管理业务，根据人事科人员使用需求进行业务优化。</w:t>
            </w:r>
          </w:p>
        </w:tc>
      </w:tr>
      <w:tr w14:paraId="5FC55E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4E13E5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46</w:t>
            </w:r>
          </w:p>
        </w:tc>
        <w:tc>
          <w:tcPr>
            <w:tcW w:w="631" w:type="pct"/>
            <w:vMerge w:val="continue"/>
            <w:tcBorders>
              <w:tl2br w:val="nil"/>
              <w:tr2bl w:val="nil"/>
            </w:tcBorders>
            <w:shd w:val="clear" w:color="auto" w:fill="auto"/>
            <w:vAlign w:val="center"/>
          </w:tcPr>
          <w:p w14:paraId="5565FBD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E4A4A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医疗质量管理业务域优化</w:t>
            </w:r>
          </w:p>
        </w:tc>
        <w:tc>
          <w:tcPr>
            <w:tcW w:w="2698" w:type="pct"/>
            <w:tcBorders>
              <w:tl2br w:val="nil"/>
              <w:tr2bl w:val="nil"/>
            </w:tcBorders>
            <w:shd w:val="clear" w:color="auto" w:fill="auto"/>
            <w:vAlign w:val="center"/>
          </w:tcPr>
          <w:p w14:paraId="0D312E8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针对医疗质量业务，根据质管科人员使用需求进行业务优化。</w:t>
            </w:r>
          </w:p>
        </w:tc>
      </w:tr>
      <w:tr w14:paraId="11D71E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653238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47</w:t>
            </w:r>
          </w:p>
        </w:tc>
        <w:tc>
          <w:tcPr>
            <w:tcW w:w="631" w:type="pct"/>
            <w:vMerge w:val="continue"/>
            <w:tcBorders>
              <w:tl2br w:val="nil"/>
              <w:tr2bl w:val="nil"/>
            </w:tcBorders>
            <w:shd w:val="clear" w:color="auto" w:fill="auto"/>
            <w:vAlign w:val="center"/>
          </w:tcPr>
          <w:p w14:paraId="257949A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05EB39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资产管理业务域优化</w:t>
            </w:r>
          </w:p>
        </w:tc>
        <w:tc>
          <w:tcPr>
            <w:tcW w:w="2698" w:type="pct"/>
            <w:tcBorders>
              <w:tl2br w:val="nil"/>
              <w:tr2bl w:val="nil"/>
            </w:tcBorders>
            <w:shd w:val="clear" w:color="auto" w:fill="auto"/>
            <w:vAlign w:val="center"/>
          </w:tcPr>
          <w:p w14:paraId="2333EC5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针对资产管理业务，根据资产管理人员使用需求进行业务优化。</w:t>
            </w:r>
          </w:p>
        </w:tc>
      </w:tr>
      <w:tr w14:paraId="034912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220D6C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w:t>
            </w:r>
          </w:p>
        </w:tc>
        <w:tc>
          <w:tcPr>
            <w:tcW w:w="631" w:type="pct"/>
            <w:vMerge w:val="continue"/>
            <w:tcBorders>
              <w:tl2br w:val="nil"/>
              <w:tr2bl w:val="nil"/>
            </w:tcBorders>
            <w:shd w:val="clear" w:color="auto" w:fill="auto"/>
            <w:vAlign w:val="center"/>
          </w:tcPr>
          <w:p w14:paraId="167D28F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3C55D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运营管理业务域优化</w:t>
            </w:r>
          </w:p>
        </w:tc>
        <w:tc>
          <w:tcPr>
            <w:tcW w:w="2698" w:type="pct"/>
            <w:tcBorders>
              <w:tl2br w:val="nil"/>
              <w:tr2bl w:val="nil"/>
            </w:tcBorders>
            <w:shd w:val="clear" w:color="auto" w:fill="auto"/>
            <w:vAlign w:val="center"/>
          </w:tcPr>
          <w:p w14:paraId="053C49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针对运营管理业务，根据运营管理人员使用需求进行业务优化。</w:t>
            </w:r>
          </w:p>
        </w:tc>
      </w:tr>
      <w:tr w14:paraId="36B5D1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20116E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49</w:t>
            </w:r>
          </w:p>
        </w:tc>
        <w:tc>
          <w:tcPr>
            <w:tcW w:w="631" w:type="pct"/>
            <w:vMerge w:val="continue"/>
            <w:tcBorders>
              <w:tl2br w:val="nil"/>
              <w:tr2bl w:val="nil"/>
            </w:tcBorders>
            <w:shd w:val="clear" w:color="auto" w:fill="auto"/>
            <w:vAlign w:val="center"/>
          </w:tcPr>
          <w:p w14:paraId="35D28F0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63CDDA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患者管理业务域优化</w:t>
            </w:r>
          </w:p>
        </w:tc>
        <w:tc>
          <w:tcPr>
            <w:tcW w:w="2698" w:type="pct"/>
            <w:tcBorders>
              <w:tl2br w:val="nil"/>
              <w:tr2bl w:val="nil"/>
            </w:tcBorders>
            <w:shd w:val="clear" w:color="auto" w:fill="auto"/>
            <w:vAlign w:val="center"/>
          </w:tcPr>
          <w:p w14:paraId="6A55F43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针对患者管理业务，根据患者服务中心人员使用需求进行业务优化。</w:t>
            </w:r>
          </w:p>
        </w:tc>
      </w:tr>
      <w:tr w14:paraId="231DCD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2DF013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1"/>
                <w:szCs w:val="21"/>
                <w:u w:val="none"/>
                <w:shd w:val="clear" w:color="auto" w:fill="auto"/>
              </w:rPr>
            </w:pPr>
            <w:r>
              <w:rPr>
                <w:rFonts w:hint="eastAsia" w:ascii="宋体" w:hAnsi="宋体" w:eastAsia="宋体" w:cs="宋体"/>
                <w:b/>
                <w:bCs/>
                <w:i w:val="0"/>
                <w:iCs w:val="0"/>
                <w:color w:val="auto"/>
                <w:kern w:val="0"/>
                <w:sz w:val="21"/>
                <w:szCs w:val="21"/>
                <w:u w:val="none"/>
                <w:shd w:val="clear" w:color="auto" w:fill="auto"/>
                <w:lang w:val="en-US" w:eastAsia="zh-CN" w:bidi="ar"/>
              </w:rPr>
              <w:t>50</w:t>
            </w:r>
          </w:p>
        </w:tc>
        <w:tc>
          <w:tcPr>
            <w:tcW w:w="631" w:type="pct"/>
            <w:vMerge w:val="restart"/>
            <w:tcBorders>
              <w:tl2br w:val="nil"/>
              <w:tr2bl w:val="nil"/>
            </w:tcBorders>
            <w:shd w:val="clear" w:color="auto" w:fill="auto"/>
            <w:vAlign w:val="center"/>
          </w:tcPr>
          <w:p w14:paraId="186507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u w:val="none"/>
                <w:shd w:val="clear" w:color="auto" w:fill="auto"/>
              </w:rPr>
            </w:pPr>
            <w:r>
              <w:rPr>
                <w:rFonts w:hint="eastAsia" w:ascii="宋体" w:hAnsi="宋体" w:eastAsia="宋体" w:cs="宋体"/>
                <w:i w:val="0"/>
                <w:iCs w:val="0"/>
                <w:color w:val="auto"/>
                <w:kern w:val="0"/>
                <w:sz w:val="21"/>
                <w:szCs w:val="21"/>
                <w:u w:val="none"/>
                <w:shd w:val="clear" w:color="auto" w:fill="auto"/>
                <w:lang w:val="en-US" w:eastAsia="zh-CN" w:bidi="ar"/>
              </w:rPr>
              <w:t>基础运行环境保障</w:t>
            </w:r>
          </w:p>
        </w:tc>
        <w:tc>
          <w:tcPr>
            <w:tcW w:w="1292" w:type="pct"/>
            <w:tcBorders>
              <w:tl2br w:val="nil"/>
              <w:tr2bl w:val="nil"/>
            </w:tcBorders>
            <w:shd w:val="clear" w:color="auto" w:fill="auto"/>
            <w:vAlign w:val="center"/>
          </w:tcPr>
          <w:p w14:paraId="61F564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1"/>
                <w:szCs w:val="21"/>
                <w:u w:val="none"/>
                <w:shd w:val="clear" w:color="auto" w:fill="auto"/>
              </w:rPr>
            </w:pPr>
            <w:r>
              <w:rPr>
                <w:rFonts w:hint="eastAsia" w:ascii="宋体" w:hAnsi="宋体" w:eastAsia="宋体" w:cs="宋体"/>
                <w:i w:val="0"/>
                <w:iCs w:val="0"/>
                <w:color w:val="auto"/>
                <w:kern w:val="0"/>
                <w:sz w:val="21"/>
                <w:szCs w:val="21"/>
                <w:u w:val="none"/>
                <w:shd w:val="clear" w:color="auto" w:fill="auto"/>
                <w:lang w:val="en-US" w:eastAsia="zh-CN" w:bidi="ar"/>
              </w:rPr>
              <w:t>应用指导服务</w:t>
            </w:r>
          </w:p>
        </w:tc>
        <w:tc>
          <w:tcPr>
            <w:tcW w:w="2698" w:type="pct"/>
            <w:tcBorders>
              <w:tl2br w:val="nil"/>
              <w:tr2bl w:val="nil"/>
            </w:tcBorders>
            <w:shd w:val="clear" w:color="auto" w:fill="auto"/>
            <w:vAlign w:val="center"/>
          </w:tcPr>
          <w:p w14:paraId="490DB84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u w:val="none"/>
                <w:shd w:val="clear" w:color="auto" w:fill="auto"/>
              </w:rPr>
            </w:pPr>
            <w:r>
              <w:rPr>
                <w:rFonts w:hint="eastAsia" w:ascii="宋体" w:hAnsi="宋体" w:eastAsia="宋体" w:cs="宋体"/>
                <w:i w:val="0"/>
                <w:iCs w:val="0"/>
                <w:color w:val="auto"/>
                <w:kern w:val="0"/>
                <w:sz w:val="21"/>
                <w:szCs w:val="21"/>
                <w:u w:val="none"/>
                <w:shd w:val="clear" w:color="auto" w:fill="auto"/>
                <w:lang w:val="en-US" w:eastAsia="zh-CN" w:bidi="ar"/>
              </w:rPr>
              <w:t>提供应用指导服务，指导用户进行软件设置、功能操作（不包括业务流程实现），提升用户软件应用能力。</w:t>
            </w:r>
          </w:p>
        </w:tc>
      </w:tr>
      <w:tr w14:paraId="382AE4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F744F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51</w:t>
            </w:r>
          </w:p>
        </w:tc>
        <w:tc>
          <w:tcPr>
            <w:tcW w:w="631" w:type="pct"/>
            <w:vMerge w:val="continue"/>
            <w:tcBorders>
              <w:tl2br w:val="nil"/>
              <w:tr2bl w:val="nil"/>
            </w:tcBorders>
            <w:shd w:val="clear" w:color="auto" w:fill="auto"/>
            <w:vAlign w:val="center"/>
          </w:tcPr>
          <w:p w14:paraId="53E74C2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A5392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故障诊断服务</w:t>
            </w:r>
          </w:p>
        </w:tc>
        <w:tc>
          <w:tcPr>
            <w:tcW w:w="2698" w:type="pct"/>
            <w:tcBorders>
              <w:tl2br w:val="nil"/>
              <w:tr2bl w:val="nil"/>
            </w:tcBorders>
            <w:shd w:val="clear" w:color="auto" w:fill="auto"/>
            <w:vAlign w:val="center"/>
          </w:tcPr>
          <w:p w14:paraId="4E567E5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提供故障诊断服务，为用户诊断软件故障并提供处理建议，保障软件正常使用。</w:t>
            </w:r>
          </w:p>
        </w:tc>
      </w:tr>
      <w:tr w14:paraId="09A720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4E8EF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52</w:t>
            </w:r>
          </w:p>
        </w:tc>
        <w:tc>
          <w:tcPr>
            <w:tcW w:w="631" w:type="pct"/>
            <w:vMerge w:val="continue"/>
            <w:tcBorders>
              <w:tl2br w:val="nil"/>
              <w:tr2bl w:val="nil"/>
            </w:tcBorders>
            <w:shd w:val="clear" w:color="auto" w:fill="auto"/>
            <w:vAlign w:val="center"/>
          </w:tcPr>
          <w:p w14:paraId="697ED7F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92D93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数据错误修正服务</w:t>
            </w:r>
          </w:p>
        </w:tc>
        <w:tc>
          <w:tcPr>
            <w:tcW w:w="2698" w:type="pct"/>
            <w:tcBorders>
              <w:tl2br w:val="nil"/>
              <w:tr2bl w:val="nil"/>
            </w:tcBorders>
            <w:shd w:val="clear" w:color="auto" w:fill="auto"/>
            <w:vAlign w:val="center"/>
          </w:tcPr>
          <w:p w14:paraId="214AC7A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提供数据错误修正服务，在产品业务运行过程中,由于误操作、第三方等原因，造成了医院业务或费用数据出现错误，配合信息科对错误数据进行核对及修正，并保证修正后数据准确。</w:t>
            </w:r>
          </w:p>
        </w:tc>
      </w:tr>
      <w:tr w14:paraId="41DC0C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101915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53</w:t>
            </w:r>
          </w:p>
        </w:tc>
        <w:tc>
          <w:tcPr>
            <w:tcW w:w="631" w:type="pct"/>
            <w:vMerge w:val="continue"/>
            <w:tcBorders>
              <w:tl2br w:val="nil"/>
              <w:tr2bl w:val="nil"/>
            </w:tcBorders>
            <w:shd w:val="clear" w:color="auto" w:fill="auto"/>
            <w:vAlign w:val="center"/>
          </w:tcPr>
          <w:p w14:paraId="79CFFA5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5623C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常见问题共享服务</w:t>
            </w:r>
          </w:p>
        </w:tc>
        <w:tc>
          <w:tcPr>
            <w:tcW w:w="2698" w:type="pct"/>
            <w:tcBorders>
              <w:tl2br w:val="nil"/>
              <w:tr2bl w:val="nil"/>
            </w:tcBorders>
            <w:shd w:val="clear" w:color="auto" w:fill="auto"/>
            <w:vAlign w:val="center"/>
          </w:tcPr>
          <w:p w14:paraId="1664B75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提供常见问题共享服务，用户在使用系统时出现问题，可通过服务工程师提供的常见问题解决手册查询解决方案，降低时间成本。</w:t>
            </w:r>
          </w:p>
        </w:tc>
      </w:tr>
      <w:tr w14:paraId="0006FA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49A72C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54</w:t>
            </w:r>
          </w:p>
        </w:tc>
        <w:tc>
          <w:tcPr>
            <w:tcW w:w="631" w:type="pct"/>
            <w:vMerge w:val="continue"/>
            <w:tcBorders>
              <w:tl2br w:val="nil"/>
              <w:tr2bl w:val="nil"/>
            </w:tcBorders>
            <w:shd w:val="clear" w:color="auto" w:fill="auto"/>
            <w:vAlign w:val="center"/>
          </w:tcPr>
          <w:p w14:paraId="301C8C7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6713E2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需求反馈服务</w:t>
            </w:r>
          </w:p>
        </w:tc>
        <w:tc>
          <w:tcPr>
            <w:tcW w:w="2698" w:type="pct"/>
            <w:tcBorders>
              <w:tl2br w:val="nil"/>
              <w:tr2bl w:val="nil"/>
            </w:tcBorders>
            <w:shd w:val="clear" w:color="auto" w:fill="auto"/>
            <w:vAlign w:val="center"/>
          </w:tcPr>
          <w:p w14:paraId="12DEE08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提供需求反馈服务，用户在软件使用过程中提出需求或者建议，可在工作日通过多种途径联系服务工程师进行反馈。3个工作日内进行需求反馈。</w:t>
            </w:r>
          </w:p>
        </w:tc>
      </w:tr>
      <w:tr w14:paraId="461602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46AAD9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55</w:t>
            </w:r>
          </w:p>
        </w:tc>
        <w:tc>
          <w:tcPr>
            <w:tcW w:w="631" w:type="pct"/>
            <w:vMerge w:val="continue"/>
            <w:tcBorders>
              <w:tl2br w:val="nil"/>
              <w:tr2bl w:val="nil"/>
            </w:tcBorders>
            <w:shd w:val="clear" w:color="auto" w:fill="auto"/>
            <w:vAlign w:val="center"/>
          </w:tcPr>
          <w:p w14:paraId="6E67986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B25F6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程序更新服务</w:t>
            </w:r>
          </w:p>
        </w:tc>
        <w:tc>
          <w:tcPr>
            <w:tcW w:w="2698" w:type="pct"/>
            <w:tcBorders>
              <w:tl2br w:val="nil"/>
              <w:tr2bl w:val="nil"/>
            </w:tcBorders>
            <w:shd w:val="clear" w:color="auto" w:fill="auto"/>
            <w:vAlign w:val="center"/>
          </w:tcPr>
          <w:p w14:paraId="59C560C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提供程序更新服务，用户产品需要更新，可以通过FTP工具自行下载相关补丁或者联系服务工程师提供相关补丁。</w:t>
            </w:r>
          </w:p>
        </w:tc>
      </w:tr>
      <w:tr w14:paraId="6A680D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735810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56</w:t>
            </w:r>
          </w:p>
        </w:tc>
        <w:tc>
          <w:tcPr>
            <w:tcW w:w="631" w:type="pct"/>
            <w:vMerge w:val="continue"/>
            <w:tcBorders>
              <w:tl2br w:val="nil"/>
              <w:tr2bl w:val="nil"/>
            </w:tcBorders>
            <w:shd w:val="clear" w:color="auto" w:fill="auto"/>
            <w:vAlign w:val="center"/>
          </w:tcPr>
          <w:p w14:paraId="469D400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494B1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紧急救援服务</w:t>
            </w:r>
          </w:p>
        </w:tc>
        <w:tc>
          <w:tcPr>
            <w:tcW w:w="2698" w:type="pct"/>
            <w:tcBorders>
              <w:tl2br w:val="nil"/>
              <w:tr2bl w:val="nil"/>
            </w:tcBorders>
            <w:shd w:val="clear" w:color="auto" w:fill="auto"/>
            <w:vAlign w:val="center"/>
          </w:tcPr>
          <w:p w14:paraId="002D72D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提供紧急救援服务，客户在系统运行中出现紧急事件，例如宕机、业务中断等，联系客户服务经理，在30分钟内响应，并安排人员远程接入处理，必要时服务工程师需到达现场服务。</w:t>
            </w:r>
          </w:p>
        </w:tc>
      </w:tr>
      <w:tr w14:paraId="7D75BF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3200A3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57</w:t>
            </w:r>
          </w:p>
        </w:tc>
        <w:tc>
          <w:tcPr>
            <w:tcW w:w="631" w:type="pct"/>
            <w:vMerge w:val="restart"/>
            <w:tcBorders>
              <w:tl2br w:val="nil"/>
              <w:tr2bl w:val="nil"/>
            </w:tcBorders>
            <w:shd w:val="clear" w:color="auto" w:fill="auto"/>
            <w:vAlign w:val="center"/>
          </w:tcPr>
          <w:p w14:paraId="30A11B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产品运营服务保障</w:t>
            </w:r>
          </w:p>
        </w:tc>
        <w:tc>
          <w:tcPr>
            <w:tcW w:w="1292" w:type="pct"/>
            <w:tcBorders>
              <w:tl2br w:val="nil"/>
              <w:tr2bl w:val="nil"/>
            </w:tcBorders>
            <w:shd w:val="clear" w:color="auto" w:fill="auto"/>
            <w:vAlign w:val="center"/>
          </w:tcPr>
          <w:p w14:paraId="40DD37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周期人员计划</w:t>
            </w:r>
          </w:p>
        </w:tc>
        <w:tc>
          <w:tcPr>
            <w:tcW w:w="2698" w:type="pct"/>
            <w:tcBorders>
              <w:tl2br w:val="nil"/>
              <w:tr2bl w:val="nil"/>
            </w:tcBorders>
            <w:shd w:val="clear" w:color="auto" w:fill="auto"/>
            <w:vAlign w:val="center"/>
          </w:tcPr>
          <w:p w14:paraId="3FEA83E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提供周期人员计划服务，根据人员计划安排和协调项目人员，建设团队，制定激励和监督机制。</w:t>
            </w:r>
          </w:p>
        </w:tc>
      </w:tr>
      <w:tr w14:paraId="391B7D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5345E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58</w:t>
            </w:r>
          </w:p>
        </w:tc>
        <w:tc>
          <w:tcPr>
            <w:tcW w:w="631" w:type="pct"/>
            <w:vMerge w:val="continue"/>
            <w:tcBorders>
              <w:tl2br w:val="nil"/>
              <w:tr2bl w:val="nil"/>
            </w:tcBorders>
            <w:shd w:val="clear" w:color="auto" w:fill="auto"/>
            <w:vAlign w:val="center"/>
          </w:tcPr>
          <w:p w14:paraId="23CAB8E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33DC1F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运营对象计划</w:t>
            </w:r>
          </w:p>
        </w:tc>
        <w:tc>
          <w:tcPr>
            <w:tcW w:w="2698" w:type="pct"/>
            <w:tcBorders>
              <w:tl2br w:val="nil"/>
              <w:tr2bl w:val="nil"/>
            </w:tcBorders>
            <w:shd w:val="clear" w:color="auto" w:fill="auto"/>
            <w:vAlign w:val="center"/>
          </w:tcPr>
          <w:p w14:paraId="6976CD6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提供运营对象计划服务，运维的每一个固定周期内对项目进行规划或计划，保证项目的每一个运维环节都是有计划地进行。</w:t>
            </w:r>
          </w:p>
        </w:tc>
      </w:tr>
      <w:tr w14:paraId="55A12D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59975A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59</w:t>
            </w:r>
          </w:p>
        </w:tc>
        <w:tc>
          <w:tcPr>
            <w:tcW w:w="631" w:type="pct"/>
            <w:vMerge w:val="continue"/>
            <w:tcBorders>
              <w:tl2br w:val="nil"/>
              <w:tr2bl w:val="nil"/>
            </w:tcBorders>
            <w:shd w:val="clear" w:color="auto" w:fill="auto"/>
            <w:vAlign w:val="center"/>
          </w:tcPr>
          <w:p w14:paraId="4B013B4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4138A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运营管理</w:t>
            </w:r>
          </w:p>
        </w:tc>
        <w:tc>
          <w:tcPr>
            <w:tcW w:w="2698" w:type="pct"/>
            <w:tcBorders>
              <w:tl2br w:val="nil"/>
              <w:tr2bl w:val="nil"/>
            </w:tcBorders>
            <w:shd w:val="clear" w:color="auto" w:fill="auto"/>
            <w:vAlign w:val="center"/>
          </w:tcPr>
          <w:p w14:paraId="2345D3B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提供运营管理服务，与用户、上级管理层、项目组成员等项目干系人沟通项目相关信息、协调运维任务进行，解决运维过程中出现的相关冲突。</w:t>
            </w:r>
          </w:p>
        </w:tc>
      </w:tr>
      <w:tr w14:paraId="452180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69F8B2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w:t>
            </w:r>
          </w:p>
        </w:tc>
        <w:tc>
          <w:tcPr>
            <w:tcW w:w="631" w:type="pct"/>
            <w:vMerge w:val="continue"/>
            <w:tcBorders>
              <w:tl2br w:val="nil"/>
              <w:tr2bl w:val="nil"/>
            </w:tcBorders>
            <w:shd w:val="clear" w:color="auto" w:fill="auto"/>
            <w:vAlign w:val="center"/>
          </w:tcPr>
          <w:p w14:paraId="35206F8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677961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运营资料归档</w:t>
            </w:r>
          </w:p>
        </w:tc>
        <w:tc>
          <w:tcPr>
            <w:tcW w:w="2698" w:type="pct"/>
            <w:tcBorders>
              <w:tl2br w:val="nil"/>
              <w:tr2bl w:val="nil"/>
            </w:tcBorders>
            <w:shd w:val="clear" w:color="auto" w:fill="auto"/>
            <w:vAlign w:val="center"/>
          </w:tcPr>
          <w:p w14:paraId="24F991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提供运营资料归档服务，运维服务经理做好运维总结和文件、资料的整理归档工作。</w:t>
            </w:r>
          </w:p>
        </w:tc>
      </w:tr>
      <w:tr w14:paraId="24B676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8" w:type="pct"/>
            <w:tcBorders>
              <w:tl2br w:val="nil"/>
              <w:tr2bl w:val="nil"/>
            </w:tcBorders>
            <w:shd w:val="clear" w:color="auto" w:fill="auto"/>
            <w:vAlign w:val="center"/>
          </w:tcPr>
          <w:p w14:paraId="0776B0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61</w:t>
            </w:r>
          </w:p>
        </w:tc>
        <w:tc>
          <w:tcPr>
            <w:tcW w:w="631" w:type="pct"/>
            <w:vMerge w:val="continue"/>
            <w:tcBorders>
              <w:tl2br w:val="nil"/>
              <w:tr2bl w:val="nil"/>
            </w:tcBorders>
            <w:shd w:val="clear" w:color="auto" w:fill="auto"/>
            <w:vAlign w:val="center"/>
          </w:tcPr>
          <w:p w14:paraId="3DA8795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u w:val="none"/>
              </w:rPr>
            </w:pPr>
          </w:p>
        </w:tc>
        <w:tc>
          <w:tcPr>
            <w:tcW w:w="1292" w:type="pct"/>
            <w:tcBorders>
              <w:tl2br w:val="nil"/>
              <w:tr2bl w:val="nil"/>
            </w:tcBorders>
            <w:shd w:val="clear" w:color="auto" w:fill="auto"/>
            <w:vAlign w:val="center"/>
          </w:tcPr>
          <w:p w14:paraId="740E93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运营工作报告</w:t>
            </w:r>
          </w:p>
        </w:tc>
        <w:tc>
          <w:tcPr>
            <w:tcW w:w="2698" w:type="pct"/>
            <w:tcBorders>
              <w:tl2br w:val="nil"/>
              <w:tr2bl w:val="nil"/>
            </w:tcBorders>
            <w:shd w:val="clear" w:color="auto" w:fill="auto"/>
            <w:vAlign w:val="center"/>
          </w:tcPr>
          <w:p w14:paraId="20E111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提供运营工作报告服务，运维服务经理根据运营情况总结各类数据形成工作报告。</w:t>
            </w:r>
          </w:p>
        </w:tc>
      </w:tr>
      <w:tr w14:paraId="6218B0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shd w:val="clear" w:color="auto" w:fill="auto"/>
            <w:vAlign w:val="center"/>
          </w:tcPr>
          <w:p w14:paraId="229C4D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第二年</w:t>
            </w:r>
          </w:p>
        </w:tc>
      </w:tr>
      <w:tr w14:paraId="3A14AB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shd w:val="clear" w:color="auto" w:fill="auto"/>
            <w:vAlign w:val="center"/>
          </w:tcPr>
          <w:p w14:paraId="66CC02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项目运营平稳后第二年，提供持续的产品功能优化服务、基础运行环境保障服务及产品运营保障服务。</w:t>
            </w:r>
          </w:p>
        </w:tc>
      </w:tr>
      <w:tr w14:paraId="319890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shd w:val="clear" w:color="auto" w:fill="auto"/>
            <w:vAlign w:val="center"/>
          </w:tcPr>
          <w:p w14:paraId="363EBF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第三年</w:t>
            </w:r>
          </w:p>
        </w:tc>
      </w:tr>
      <w:tr w14:paraId="58459D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4"/>
            <w:tcBorders>
              <w:tl2br w:val="nil"/>
              <w:tr2bl w:val="nil"/>
            </w:tcBorders>
            <w:shd w:val="clear" w:color="auto" w:fill="auto"/>
            <w:vAlign w:val="center"/>
          </w:tcPr>
          <w:p w14:paraId="07F8FF3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项目运营平稳后第三年，提供持续的产品功能优化服务、基础运行环境保障服务及产品运营保障服务。</w:t>
            </w:r>
          </w:p>
        </w:tc>
      </w:tr>
    </w:tbl>
    <w:p w14:paraId="370B4E79">
      <w:pPr>
        <w:pageBreakBefore w:val="0"/>
        <w:kinsoku/>
        <w:wordWrap/>
        <w:overflowPunct/>
        <w:topLinePunct w:val="0"/>
        <w:autoSpaceDN/>
        <w:bidi w:val="0"/>
        <w:adjustRightInd/>
        <w:snapToGrid/>
        <w:spacing w:line="400" w:lineRule="exact"/>
        <w:jc w:val="left"/>
        <w:outlineLvl w:val="9"/>
        <w:rPr>
          <w:rFonts w:hint="eastAsia" w:asciiTheme="minorEastAsia" w:hAnsiTheme="minorEastAsia" w:eastAsiaTheme="minorEastAsia" w:cstheme="minorEastAsia"/>
          <w:b/>
          <w:bCs/>
          <w:color w:val="auto"/>
          <w:szCs w:val="21"/>
          <w:highlight w:val="none"/>
          <w:lang w:eastAsia="zh-CN"/>
        </w:rPr>
      </w:pPr>
      <w:r>
        <w:rPr>
          <w:rFonts w:hint="eastAsia" w:asciiTheme="minorEastAsia" w:hAnsiTheme="minorEastAsia" w:eastAsiaTheme="minorEastAsia" w:cstheme="minorEastAsia"/>
          <w:b/>
          <w:bCs/>
          <w:color w:val="auto"/>
          <w:szCs w:val="21"/>
          <w:highlight w:val="none"/>
          <w:lang w:eastAsia="zh-CN"/>
        </w:rPr>
        <w:t>四、建设方案</w:t>
      </w:r>
    </w:p>
    <w:p w14:paraId="0FB1CFAB">
      <w:pPr>
        <w:pageBreakBefore w:val="0"/>
        <w:kinsoku/>
        <w:wordWrap/>
        <w:overflowPunct/>
        <w:topLinePunct w:val="0"/>
        <w:autoSpaceDN/>
        <w:bidi w:val="0"/>
        <w:adjustRightInd/>
        <w:snapToGrid/>
        <w:spacing w:line="400" w:lineRule="exact"/>
        <w:ind w:left="0" w:leftChars="0" w:firstLine="422" w:firstLineChars="200"/>
        <w:jc w:val="left"/>
        <w:outlineLvl w:val="9"/>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1</w:t>
      </w:r>
      <w:r>
        <w:rPr>
          <w:rFonts w:hint="eastAsia" w:asciiTheme="minorEastAsia" w:hAnsiTheme="minorEastAsia" w:eastAsiaTheme="minorEastAsia" w:cstheme="minorEastAsia"/>
          <w:b/>
          <w:bCs/>
          <w:color w:val="auto"/>
          <w:szCs w:val="21"/>
          <w:highlight w:val="none"/>
          <w:lang w:eastAsia="zh-CN"/>
        </w:rPr>
        <w:t>.</w:t>
      </w:r>
      <w:r>
        <w:rPr>
          <w:rFonts w:hint="eastAsia" w:asciiTheme="minorEastAsia" w:hAnsiTheme="minorEastAsia" w:eastAsiaTheme="minorEastAsia" w:cstheme="minorEastAsia"/>
          <w:b/>
          <w:bCs/>
          <w:color w:val="auto"/>
          <w:szCs w:val="21"/>
          <w:highlight w:val="none"/>
        </w:rPr>
        <w:t>共享建设模式</w:t>
      </w:r>
    </w:p>
    <w:p w14:paraId="07D43F3C">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lang w:eastAsia="zh-CN"/>
        </w:rPr>
      </w:pPr>
      <w:r>
        <w:rPr>
          <w:rFonts w:hint="eastAsia" w:asciiTheme="minorEastAsia" w:hAnsiTheme="minorEastAsia" w:eastAsiaTheme="minorEastAsia" w:cstheme="minorEastAsia"/>
          <w:b w:val="0"/>
          <w:bCs w:val="0"/>
          <w:color w:val="auto"/>
          <w:szCs w:val="21"/>
          <w:highlight w:val="none"/>
        </w:rPr>
        <w:t>以宁波大学附属第一医院多院区</w:t>
      </w:r>
      <w:r>
        <w:rPr>
          <w:rFonts w:hint="eastAsia" w:asciiTheme="minorEastAsia" w:hAnsiTheme="minorEastAsia" w:eastAsiaTheme="minorEastAsia" w:cstheme="minorEastAsia"/>
          <w:b w:val="0"/>
          <w:bCs w:val="0"/>
          <w:color w:val="auto"/>
          <w:szCs w:val="21"/>
          <w:highlight w:val="none"/>
          <w:lang w:eastAsia="zh-CN"/>
        </w:rPr>
        <w:t>信</w:t>
      </w:r>
      <w:r>
        <w:rPr>
          <w:rFonts w:hint="eastAsia" w:asciiTheme="minorEastAsia" w:hAnsiTheme="minorEastAsia" w:eastAsiaTheme="minorEastAsia" w:cstheme="minorEastAsia"/>
          <w:b w:val="0"/>
          <w:bCs w:val="0"/>
          <w:color w:val="auto"/>
          <w:szCs w:val="21"/>
          <w:highlight w:val="none"/>
        </w:rPr>
        <w:t>息化建设模式为原型，即采用“整体扩展”模式。快速提升校医院的信息化建设水平，实现与总院在管理、医疗和服务上的深度融合</w:t>
      </w:r>
      <w:r>
        <w:rPr>
          <w:rFonts w:hint="eastAsia" w:asciiTheme="minorEastAsia" w:hAnsiTheme="minorEastAsia" w:eastAsiaTheme="minorEastAsia" w:cstheme="minorEastAsia"/>
          <w:b w:val="0"/>
          <w:bCs w:val="0"/>
          <w:color w:val="auto"/>
          <w:szCs w:val="21"/>
          <w:highlight w:val="none"/>
          <w:lang w:eastAsia="zh-CN"/>
        </w:rPr>
        <w:t>。</w:t>
      </w:r>
    </w:p>
    <w:p w14:paraId="2B9D4C26">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数据中心建设：利用宁波大学附属第一医院现有资源，无额外采购。</w:t>
      </w:r>
    </w:p>
    <w:p w14:paraId="28894F78">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信息安全：利用宁波大学附属第一医院现有资源，无额外采购。</w:t>
      </w:r>
    </w:p>
    <w:p w14:paraId="45D4AB08">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应用软件，共享使用医院现有的业务系统，包括HIS、CIS、集成平台、电子票据、PACS、LIS、排队叫号、自助化服务、互联网服务、超声内镜、合理用药、抗生素管理、皮试注射管理、人力资源管理、资材管理系统、智慧BI系统、钉钉移动办公、国家传染病报卡平台、决策支持平台、绩效管理等有可能用到的业务系统。</w:t>
      </w:r>
    </w:p>
    <w:p w14:paraId="17265ADF">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考虑到校医院是独立法人，本次建设方案采用“多机构”的方案，收费、医保、票据、支付、市健康档案、省药械采购平台、预约挂号、互联网服务、自助服务等业务数据作逻辑上的隔离，并进行多机构的业务模式的改造。</w:t>
      </w:r>
    </w:p>
    <w:p w14:paraId="7CDE9DA8">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项目分三期进行：</w:t>
      </w:r>
    </w:p>
    <w:p w14:paraId="69FFFA34">
      <w:pPr>
        <w:pageBreakBefore w:val="0"/>
        <w:kinsoku/>
        <w:wordWrap/>
        <w:overflowPunct/>
        <w:topLinePunct w:val="0"/>
        <w:autoSpaceDN/>
        <w:bidi w:val="0"/>
        <w:adjustRightInd/>
        <w:snapToGrid/>
        <w:spacing w:line="400" w:lineRule="exact"/>
        <w:ind w:left="0" w:leftChars="0" w:firstLine="420" w:firstLineChars="200"/>
        <w:jc w:val="left"/>
        <w:outlineLvl w:val="9"/>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第一年：项目本地化部署和各业务系统的多机构模式改造，主要构成：各业务系统本地化部署、各仪器对接、校园卡对接，学校支付平台对接，市健康档案平台对接、国家传染病平台对接、省药械采购平台对接及各业务系统多机构模式改造、信息安全及日常运维。</w:t>
      </w:r>
    </w:p>
    <w:p w14:paraId="002BC69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outlineLvl w:val="9"/>
        <w:rPr>
          <w:rFonts w:hint="eastAsia" w:asciiTheme="minorEastAsia" w:hAnsiTheme="minorEastAsia" w:eastAsiaTheme="minorEastAsia" w:cstheme="minorEastAsia"/>
          <w:b w:val="0"/>
          <w:bCs w:val="0"/>
          <w:color w:val="auto"/>
          <w:szCs w:val="21"/>
          <w:highlight w:val="none"/>
          <w:lang w:eastAsia="zh-CN"/>
        </w:rPr>
      </w:pPr>
      <w:r>
        <w:rPr>
          <w:rFonts w:hint="eastAsia" w:asciiTheme="minorEastAsia" w:hAnsiTheme="minorEastAsia" w:eastAsiaTheme="minorEastAsia" w:cstheme="minorEastAsia"/>
          <w:b w:val="0"/>
          <w:bCs w:val="0"/>
          <w:color w:val="auto"/>
          <w:szCs w:val="21"/>
          <w:highlight w:val="none"/>
        </w:rPr>
        <w:t>第二年：各类政策性任务改造、医院发展个性化需求、各软件功能迭代、信息安全及日常运维</w:t>
      </w:r>
      <w:r>
        <w:rPr>
          <w:rFonts w:hint="eastAsia" w:asciiTheme="minorEastAsia" w:hAnsiTheme="minorEastAsia" w:eastAsiaTheme="minorEastAsia" w:cstheme="minorEastAsia"/>
          <w:b w:val="0"/>
          <w:bCs w:val="0"/>
          <w:color w:val="auto"/>
          <w:szCs w:val="21"/>
          <w:highlight w:val="none"/>
          <w:lang w:eastAsia="zh-CN"/>
        </w:rPr>
        <w:t>。</w:t>
      </w:r>
    </w:p>
    <w:p w14:paraId="471A1924">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outlineLvl w:val="9"/>
        <w:rPr>
          <w:rFonts w:hint="eastAsia" w:asciiTheme="minorEastAsia" w:hAnsiTheme="minorEastAsia" w:eastAsiaTheme="minorEastAsia" w:cstheme="minorEastAsia"/>
          <w:b w:val="0"/>
          <w:bCs w:val="0"/>
          <w:color w:val="auto"/>
          <w:szCs w:val="21"/>
          <w:highlight w:val="none"/>
          <w:lang w:eastAsia="zh-CN"/>
        </w:rPr>
      </w:pPr>
      <w:r>
        <w:rPr>
          <w:rFonts w:hint="eastAsia" w:asciiTheme="minorEastAsia" w:hAnsiTheme="minorEastAsia" w:eastAsiaTheme="minorEastAsia" w:cstheme="minorEastAsia"/>
          <w:b w:val="0"/>
          <w:bCs w:val="0"/>
          <w:color w:val="auto"/>
          <w:szCs w:val="21"/>
          <w:highlight w:val="none"/>
        </w:rPr>
        <w:t>第三年：各类政策性任务改造、医院发展个性化需求、各软件功能迭代、信息安全及日常运维</w:t>
      </w:r>
      <w:r>
        <w:rPr>
          <w:rFonts w:hint="eastAsia" w:asciiTheme="minorEastAsia" w:hAnsiTheme="minorEastAsia" w:eastAsiaTheme="minorEastAsia" w:cstheme="minorEastAsia"/>
          <w:b w:val="0"/>
          <w:bCs w:val="0"/>
          <w:color w:val="auto"/>
          <w:szCs w:val="21"/>
          <w:highlight w:val="none"/>
          <w:lang w:eastAsia="zh-CN"/>
        </w:rPr>
        <w:t>。</w:t>
      </w:r>
    </w:p>
    <w:p w14:paraId="3315AED2">
      <w:pPr>
        <w:keepNext w:val="0"/>
        <w:keepLines w:val="0"/>
        <w:pageBreakBefore w:val="0"/>
        <w:widowControl w:val="0"/>
        <w:numPr>
          <w:ilvl w:val="0"/>
          <w:numId w:val="3"/>
        </w:numPr>
        <w:kinsoku/>
        <w:wordWrap/>
        <w:overflowPunct/>
        <w:topLinePunct w:val="0"/>
        <w:autoSpaceDE/>
        <w:autoSpaceDN/>
        <w:bidi w:val="0"/>
        <w:adjustRightInd/>
        <w:snapToGrid/>
        <w:spacing w:line="400" w:lineRule="exact"/>
        <w:jc w:val="left"/>
        <w:textAlignment w:val="auto"/>
        <w:outlineLvl w:val="9"/>
        <w:rPr>
          <w:rFonts w:hint="eastAsia" w:asciiTheme="minorEastAsia" w:hAnsiTheme="minorEastAsia" w:eastAsiaTheme="minorEastAsia" w:cstheme="minorEastAsia"/>
          <w:b/>
          <w:bCs/>
          <w:color w:val="auto"/>
          <w:szCs w:val="21"/>
          <w:highlight w:val="none"/>
          <w:lang w:val="en-US" w:eastAsia="zh-CN"/>
        </w:rPr>
      </w:pPr>
      <w:r>
        <w:rPr>
          <w:rFonts w:hint="eastAsia" w:asciiTheme="minorEastAsia" w:hAnsiTheme="minorEastAsia" w:eastAsiaTheme="minorEastAsia" w:cstheme="minorEastAsia"/>
          <w:b/>
          <w:bCs/>
          <w:color w:val="auto"/>
          <w:szCs w:val="21"/>
          <w:highlight w:val="none"/>
          <w:lang w:val="en-US" w:eastAsia="zh-CN"/>
        </w:rPr>
        <w:t>考核要求</w:t>
      </w:r>
    </w:p>
    <w:tbl>
      <w:tblPr>
        <w:tblStyle w:val="52"/>
        <w:tblW w:w="4998" w:type="pct"/>
        <w:tblInd w:w="0" w:type="dxa"/>
        <w:tblLayout w:type="fixed"/>
        <w:tblCellMar>
          <w:top w:w="0" w:type="dxa"/>
          <w:left w:w="108" w:type="dxa"/>
          <w:bottom w:w="0" w:type="dxa"/>
          <w:right w:w="108" w:type="dxa"/>
        </w:tblCellMar>
      </w:tblPr>
      <w:tblGrid>
        <w:gridCol w:w="3190"/>
        <w:gridCol w:w="1157"/>
        <w:gridCol w:w="1251"/>
        <w:gridCol w:w="1262"/>
        <w:gridCol w:w="1268"/>
        <w:gridCol w:w="1042"/>
      </w:tblGrid>
      <w:tr w14:paraId="7D9DD544">
        <w:tblPrEx>
          <w:tblCellMar>
            <w:top w:w="0" w:type="dxa"/>
            <w:left w:w="108" w:type="dxa"/>
            <w:bottom w:w="0" w:type="dxa"/>
            <w:right w:w="108" w:type="dxa"/>
          </w:tblCellMar>
        </w:tblPrEx>
        <w:trPr>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3CCD6914">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r>
              <w:rPr>
                <w:rFonts w:hint="eastAsia" w:ascii="宋体" w:hAnsi="宋体" w:cs="宋体"/>
                <w:color w:val="000000"/>
                <w:sz w:val="21"/>
                <w:szCs w:val="21"/>
              </w:rPr>
              <w:t>项目名称：</w:t>
            </w:r>
          </w:p>
        </w:tc>
        <w:tc>
          <w:tcPr>
            <w:tcW w:w="3260" w:type="pct"/>
            <w:gridSpan w:val="5"/>
            <w:tcBorders>
              <w:top w:val="single" w:color="auto" w:sz="4" w:space="0"/>
              <w:left w:val="single" w:color="auto" w:sz="4" w:space="0"/>
              <w:bottom w:val="single" w:color="auto" w:sz="4" w:space="0"/>
              <w:right w:val="single" w:color="auto" w:sz="4" w:space="0"/>
            </w:tcBorders>
            <w:noWrap/>
            <w:vAlign w:val="center"/>
          </w:tcPr>
          <w:p w14:paraId="7AEE96B5">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r>
              <w:rPr>
                <w:rFonts w:hint="eastAsia" w:ascii="宋体" w:hAnsi="宋体" w:cs="宋体"/>
                <w:color w:val="000000"/>
                <w:sz w:val="21"/>
                <w:szCs w:val="21"/>
              </w:rPr>
              <w:t>合同编号：</w:t>
            </w:r>
          </w:p>
        </w:tc>
      </w:tr>
      <w:tr w14:paraId="4D612B75">
        <w:tblPrEx>
          <w:tblCellMar>
            <w:top w:w="0" w:type="dxa"/>
            <w:left w:w="108" w:type="dxa"/>
            <w:bottom w:w="0" w:type="dxa"/>
            <w:right w:w="108" w:type="dxa"/>
          </w:tblCellMar>
        </w:tblPrEx>
        <w:trPr>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095902D1">
            <w:pPr>
              <w:pStyle w:val="397"/>
              <w:keepNext w:val="0"/>
              <w:keepLines w:val="0"/>
              <w:pageBreakBefore w:val="0"/>
              <w:widowControl w:val="0"/>
              <w:kinsoku/>
              <w:wordWrap/>
              <w:overflowPunct/>
              <w:topLinePunct w:val="0"/>
              <w:autoSpaceDE/>
              <w:autoSpaceDN/>
              <w:bidi w:val="0"/>
              <w:adjustRightInd/>
              <w:spacing w:line="400" w:lineRule="exact"/>
              <w:ind w:firstLine="0"/>
              <w:textAlignment w:val="auto"/>
              <w:rPr>
                <w:rFonts w:ascii="宋体" w:hAnsi="宋体" w:cs="宋体"/>
                <w:color w:val="000000"/>
                <w:sz w:val="21"/>
                <w:szCs w:val="21"/>
              </w:rPr>
            </w:pPr>
            <w:r>
              <w:rPr>
                <w:rFonts w:hint="eastAsia" w:ascii="宋体" w:hAnsi="宋体" w:cs="宋体"/>
                <w:color w:val="000000"/>
                <w:sz w:val="21"/>
                <w:szCs w:val="21"/>
              </w:rPr>
              <w:t>服务商名称：</w:t>
            </w:r>
          </w:p>
        </w:tc>
        <w:tc>
          <w:tcPr>
            <w:tcW w:w="3260" w:type="pct"/>
            <w:gridSpan w:val="5"/>
            <w:tcBorders>
              <w:top w:val="single" w:color="auto" w:sz="4" w:space="0"/>
              <w:left w:val="single" w:color="auto" w:sz="4" w:space="0"/>
              <w:bottom w:val="single" w:color="auto" w:sz="4" w:space="0"/>
              <w:right w:val="single" w:color="auto" w:sz="4" w:space="0"/>
            </w:tcBorders>
            <w:noWrap/>
            <w:vAlign w:val="center"/>
          </w:tcPr>
          <w:p w14:paraId="6ED023C3">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r>
              <w:rPr>
                <w:rFonts w:hint="eastAsia" w:ascii="宋体" w:hAnsi="宋体" w:cs="宋体"/>
                <w:color w:val="000000"/>
                <w:sz w:val="21"/>
                <w:szCs w:val="21"/>
              </w:rPr>
              <w:t>项目服务时间：202*年**月**日至202*年**月**日</w:t>
            </w:r>
          </w:p>
        </w:tc>
      </w:tr>
      <w:tr w14:paraId="3B9BD753">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483CE8E3">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考核描述</w:t>
            </w:r>
          </w:p>
        </w:tc>
        <w:tc>
          <w:tcPr>
            <w:tcW w:w="630" w:type="pct"/>
            <w:tcBorders>
              <w:top w:val="single" w:color="auto" w:sz="4" w:space="0"/>
              <w:left w:val="single" w:color="auto" w:sz="4" w:space="0"/>
              <w:bottom w:val="single" w:color="auto" w:sz="4" w:space="0"/>
              <w:right w:val="single" w:color="auto" w:sz="4" w:space="0"/>
            </w:tcBorders>
            <w:noWrap/>
            <w:vAlign w:val="center"/>
          </w:tcPr>
          <w:p w14:paraId="6028A62A">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标准分值</w:t>
            </w:r>
          </w:p>
        </w:tc>
        <w:tc>
          <w:tcPr>
            <w:tcW w:w="682" w:type="pct"/>
            <w:tcBorders>
              <w:top w:val="single" w:color="auto" w:sz="4" w:space="0"/>
              <w:left w:val="single" w:color="auto" w:sz="4" w:space="0"/>
              <w:bottom w:val="single" w:color="auto" w:sz="4" w:space="0"/>
              <w:right w:val="single" w:color="auto" w:sz="4" w:space="0"/>
            </w:tcBorders>
            <w:noWrap/>
            <w:vAlign w:val="center"/>
          </w:tcPr>
          <w:p w14:paraId="5C09FB8A">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考核评分1</w:t>
            </w:r>
          </w:p>
        </w:tc>
        <w:tc>
          <w:tcPr>
            <w:tcW w:w="688" w:type="pct"/>
            <w:tcBorders>
              <w:top w:val="single" w:color="auto" w:sz="4" w:space="0"/>
              <w:left w:val="single" w:color="auto" w:sz="4" w:space="0"/>
              <w:bottom w:val="single" w:color="auto" w:sz="4" w:space="0"/>
              <w:right w:val="single" w:color="auto" w:sz="4" w:space="0"/>
            </w:tcBorders>
            <w:noWrap/>
            <w:vAlign w:val="center"/>
          </w:tcPr>
          <w:p w14:paraId="72C3E42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考核评分2</w:t>
            </w:r>
          </w:p>
        </w:tc>
        <w:tc>
          <w:tcPr>
            <w:tcW w:w="691" w:type="pct"/>
            <w:tcBorders>
              <w:top w:val="single" w:color="auto" w:sz="4" w:space="0"/>
              <w:left w:val="single" w:color="auto" w:sz="4" w:space="0"/>
              <w:bottom w:val="single" w:color="auto" w:sz="4" w:space="0"/>
              <w:right w:val="single" w:color="auto" w:sz="4" w:space="0"/>
            </w:tcBorders>
            <w:noWrap/>
            <w:vAlign w:val="center"/>
          </w:tcPr>
          <w:p w14:paraId="4C78C09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考核评分3</w:t>
            </w:r>
          </w:p>
        </w:tc>
        <w:tc>
          <w:tcPr>
            <w:tcW w:w="568" w:type="pct"/>
            <w:tcBorders>
              <w:top w:val="single" w:color="auto" w:sz="4" w:space="0"/>
              <w:left w:val="single" w:color="auto" w:sz="4" w:space="0"/>
              <w:bottom w:val="single" w:color="auto" w:sz="4" w:space="0"/>
              <w:right w:val="single" w:color="auto" w:sz="4" w:space="0"/>
            </w:tcBorders>
            <w:noWrap/>
            <w:vAlign w:val="center"/>
          </w:tcPr>
          <w:p w14:paraId="4A14789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备注</w:t>
            </w:r>
          </w:p>
        </w:tc>
      </w:tr>
      <w:tr w14:paraId="5DDAF0D0">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0556243D">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000000"/>
                <w:sz w:val="21"/>
                <w:szCs w:val="21"/>
                <w:lang w:eastAsia="zh-CN"/>
              </w:rPr>
            </w:pPr>
            <w:r>
              <w:rPr>
                <w:rFonts w:hint="eastAsia" w:ascii="宋体" w:hAnsi="宋体" w:cs="宋体"/>
                <w:color w:val="000000"/>
                <w:sz w:val="21"/>
                <w:szCs w:val="21"/>
              </w:rPr>
              <w:t>完成合同约定的职责</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项目本地化部署及各业务系统的多机构模式改造、后续年份的各类政策性任务改造、软件功能迭代</w:t>
            </w:r>
            <w:r>
              <w:rPr>
                <w:rFonts w:hint="eastAsia" w:ascii="宋体" w:hAnsi="宋体" w:cs="宋体"/>
                <w:color w:val="000000"/>
                <w:sz w:val="21"/>
                <w:szCs w:val="21"/>
                <w:lang w:eastAsia="zh-CN"/>
              </w:rPr>
              <w:t>）</w:t>
            </w:r>
          </w:p>
        </w:tc>
        <w:tc>
          <w:tcPr>
            <w:tcW w:w="630" w:type="pct"/>
            <w:tcBorders>
              <w:top w:val="single" w:color="auto" w:sz="4" w:space="0"/>
              <w:left w:val="single" w:color="auto" w:sz="4" w:space="0"/>
              <w:bottom w:val="single" w:color="auto" w:sz="4" w:space="0"/>
              <w:right w:val="single" w:color="auto" w:sz="4" w:space="0"/>
            </w:tcBorders>
            <w:noWrap/>
            <w:vAlign w:val="center"/>
          </w:tcPr>
          <w:p w14:paraId="26788592">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40</w:t>
            </w:r>
          </w:p>
        </w:tc>
        <w:tc>
          <w:tcPr>
            <w:tcW w:w="682" w:type="pct"/>
            <w:tcBorders>
              <w:top w:val="single" w:color="auto" w:sz="4" w:space="0"/>
              <w:left w:val="single" w:color="auto" w:sz="4" w:space="0"/>
              <w:bottom w:val="single" w:color="auto" w:sz="4" w:space="0"/>
              <w:right w:val="single" w:color="auto" w:sz="4" w:space="0"/>
            </w:tcBorders>
            <w:noWrap/>
            <w:vAlign w:val="center"/>
          </w:tcPr>
          <w:p w14:paraId="3739371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88" w:type="pct"/>
            <w:tcBorders>
              <w:top w:val="single" w:color="auto" w:sz="4" w:space="0"/>
              <w:left w:val="single" w:color="auto" w:sz="4" w:space="0"/>
              <w:bottom w:val="single" w:color="auto" w:sz="4" w:space="0"/>
              <w:right w:val="single" w:color="auto" w:sz="4" w:space="0"/>
            </w:tcBorders>
            <w:noWrap/>
            <w:vAlign w:val="center"/>
          </w:tcPr>
          <w:p w14:paraId="5BB94B3F">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91" w:type="pct"/>
            <w:tcBorders>
              <w:top w:val="single" w:color="auto" w:sz="4" w:space="0"/>
              <w:left w:val="single" w:color="auto" w:sz="4" w:space="0"/>
              <w:bottom w:val="single" w:color="auto" w:sz="4" w:space="0"/>
              <w:right w:val="single" w:color="auto" w:sz="4" w:space="0"/>
            </w:tcBorders>
            <w:noWrap/>
            <w:vAlign w:val="center"/>
          </w:tcPr>
          <w:p w14:paraId="741AECEA">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568" w:type="pct"/>
            <w:vMerge w:val="restart"/>
            <w:tcBorders>
              <w:top w:val="single" w:color="auto" w:sz="4" w:space="0"/>
              <w:left w:val="single" w:color="auto" w:sz="4" w:space="0"/>
              <w:bottom w:val="single" w:color="auto" w:sz="4" w:space="0"/>
              <w:right w:val="single" w:color="auto" w:sz="4" w:space="0"/>
            </w:tcBorders>
            <w:noWrap/>
            <w:vAlign w:val="center"/>
          </w:tcPr>
          <w:p w14:paraId="5F60336B">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r w14:paraId="7C223CCE">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0B6F968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医院发展个性化需求满足情况</w:t>
            </w:r>
          </w:p>
        </w:tc>
        <w:tc>
          <w:tcPr>
            <w:tcW w:w="630" w:type="pct"/>
            <w:tcBorders>
              <w:top w:val="single" w:color="auto" w:sz="4" w:space="0"/>
              <w:left w:val="single" w:color="auto" w:sz="4" w:space="0"/>
              <w:bottom w:val="single" w:color="auto" w:sz="4" w:space="0"/>
              <w:right w:val="single" w:color="auto" w:sz="4" w:space="0"/>
            </w:tcBorders>
            <w:noWrap/>
            <w:vAlign w:val="center"/>
          </w:tcPr>
          <w:p w14:paraId="6104741E">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w:t>
            </w:r>
          </w:p>
        </w:tc>
        <w:tc>
          <w:tcPr>
            <w:tcW w:w="682" w:type="pct"/>
            <w:tcBorders>
              <w:top w:val="single" w:color="auto" w:sz="4" w:space="0"/>
              <w:left w:val="single" w:color="auto" w:sz="4" w:space="0"/>
              <w:bottom w:val="single" w:color="auto" w:sz="4" w:space="0"/>
              <w:right w:val="single" w:color="auto" w:sz="4" w:space="0"/>
            </w:tcBorders>
            <w:noWrap/>
            <w:vAlign w:val="center"/>
          </w:tcPr>
          <w:p w14:paraId="71572A9A">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88" w:type="pct"/>
            <w:tcBorders>
              <w:top w:val="single" w:color="auto" w:sz="4" w:space="0"/>
              <w:left w:val="single" w:color="auto" w:sz="4" w:space="0"/>
              <w:bottom w:val="single" w:color="auto" w:sz="4" w:space="0"/>
              <w:right w:val="single" w:color="auto" w:sz="4" w:space="0"/>
            </w:tcBorders>
            <w:noWrap/>
            <w:vAlign w:val="center"/>
          </w:tcPr>
          <w:p w14:paraId="3F489E57">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91" w:type="pct"/>
            <w:tcBorders>
              <w:top w:val="single" w:color="auto" w:sz="4" w:space="0"/>
              <w:left w:val="single" w:color="auto" w:sz="4" w:space="0"/>
              <w:bottom w:val="single" w:color="auto" w:sz="4" w:space="0"/>
              <w:right w:val="single" w:color="auto" w:sz="4" w:space="0"/>
            </w:tcBorders>
            <w:noWrap/>
            <w:vAlign w:val="center"/>
          </w:tcPr>
          <w:p w14:paraId="55B51D8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568" w:type="pct"/>
            <w:vMerge w:val="continue"/>
            <w:tcBorders>
              <w:top w:val="single" w:color="auto" w:sz="4" w:space="0"/>
              <w:left w:val="single" w:color="auto" w:sz="4" w:space="0"/>
              <w:bottom w:val="single" w:color="auto" w:sz="4" w:space="0"/>
              <w:right w:val="single" w:color="auto" w:sz="4" w:space="0"/>
            </w:tcBorders>
            <w:noWrap/>
            <w:vAlign w:val="center"/>
          </w:tcPr>
          <w:p w14:paraId="5AD5D30E">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r w14:paraId="01CCC8C4">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02BD3FD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信息化服务响应</w:t>
            </w:r>
          </w:p>
        </w:tc>
        <w:tc>
          <w:tcPr>
            <w:tcW w:w="630" w:type="pct"/>
            <w:tcBorders>
              <w:top w:val="single" w:color="auto" w:sz="4" w:space="0"/>
              <w:left w:val="single" w:color="auto" w:sz="4" w:space="0"/>
              <w:bottom w:val="single" w:color="auto" w:sz="4" w:space="0"/>
              <w:right w:val="single" w:color="auto" w:sz="4" w:space="0"/>
            </w:tcBorders>
            <w:noWrap/>
            <w:vAlign w:val="center"/>
          </w:tcPr>
          <w:p w14:paraId="67E8CD5F">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20</w:t>
            </w:r>
          </w:p>
        </w:tc>
        <w:tc>
          <w:tcPr>
            <w:tcW w:w="682" w:type="pct"/>
            <w:tcBorders>
              <w:top w:val="single" w:color="auto" w:sz="4" w:space="0"/>
              <w:left w:val="single" w:color="auto" w:sz="4" w:space="0"/>
              <w:bottom w:val="single" w:color="auto" w:sz="4" w:space="0"/>
              <w:right w:val="single" w:color="auto" w:sz="4" w:space="0"/>
            </w:tcBorders>
            <w:noWrap/>
            <w:vAlign w:val="center"/>
          </w:tcPr>
          <w:p w14:paraId="54C9D58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88" w:type="pct"/>
            <w:tcBorders>
              <w:top w:val="single" w:color="auto" w:sz="4" w:space="0"/>
              <w:left w:val="single" w:color="auto" w:sz="4" w:space="0"/>
              <w:bottom w:val="single" w:color="auto" w:sz="4" w:space="0"/>
              <w:right w:val="single" w:color="auto" w:sz="4" w:space="0"/>
            </w:tcBorders>
            <w:noWrap/>
            <w:vAlign w:val="center"/>
          </w:tcPr>
          <w:p w14:paraId="1C27350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91" w:type="pct"/>
            <w:tcBorders>
              <w:top w:val="single" w:color="auto" w:sz="4" w:space="0"/>
              <w:left w:val="single" w:color="auto" w:sz="4" w:space="0"/>
              <w:bottom w:val="single" w:color="auto" w:sz="4" w:space="0"/>
              <w:right w:val="single" w:color="auto" w:sz="4" w:space="0"/>
            </w:tcBorders>
            <w:noWrap/>
            <w:vAlign w:val="center"/>
          </w:tcPr>
          <w:p w14:paraId="1AA57F6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568" w:type="pct"/>
            <w:vMerge w:val="continue"/>
            <w:tcBorders>
              <w:top w:val="single" w:color="auto" w:sz="4" w:space="0"/>
              <w:left w:val="single" w:color="auto" w:sz="4" w:space="0"/>
              <w:bottom w:val="single" w:color="auto" w:sz="4" w:space="0"/>
              <w:right w:val="single" w:color="auto" w:sz="4" w:space="0"/>
            </w:tcBorders>
            <w:noWrap/>
            <w:vAlign w:val="center"/>
          </w:tcPr>
          <w:p w14:paraId="0B2D056D">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r w14:paraId="2C1A202A">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23BF38F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按</w:t>
            </w:r>
            <w:r>
              <w:rPr>
                <w:rFonts w:hint="eastAsia" w:ascii="宋体" w:hAnsi="宋体" w:cs="宋体"/>
                <w:color w:val="000000"/>
                <w:sz w:val="21"/>
                <w:szCs w:val="21"/>
                <w:lang w:eastAsia="zh-CN"/>
              </w:rPr>
              <w:t>招标人</w:t>
            </w:r>
            <w:r>
              <w:rPr>
                <w:rFonts w:hint="eastAsia" w:ascii="宋体" w:hAnsi="宋体" w:cs="宋体"/>
                <w:color w:val="000000"/>
                <w:sz w:val="21"/>
                <w:szCs w:val="21"/>
              </w:rPr>
              <w:t>要求进行服务</w:t>
            </w:r>
          </w:p>
        </w:tc>
        <w:tc>
          <w:tcPr>
            <w:tcW w:w="630" w:type="pct"/>
            <w:tcBorders>
              <w:top w:val="single" w:color="auto" w:sz="4" w:space="0"/>
              <w:left w:val="single" w:color="auto" w:sz="4" w:space="0"/>
              <w:bottom w:val="single" w:color="auto" w:sz="4" w:space="0"/>
              <w:right w:val="single" w:color="auto" w:sz="4" w:space="0"/>
            </w:tcBorders>
            <w:noWrap/>
            <w:vAlign w:val="center"/>
          </w:tcPr>
          <w:p w14:paraId="79BFC09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20</w:t>
            </w:r>
          </w:p>
        </w:tc>
        <w:tc>
          <w:tcPr>
            <w:tcW w:w="682" w:type="pct"/>
            <w:tcBorders>
              <w:top w:val="single" w:color="auto" w:sz="4" w:space="0"/>
              <w:left w:val="single" w:color="auto" w:sz="4" w:space="0"/>
              <w:bottom w:val="single" w:color="auto" w:sz="4" w:space="0"/>
              <w:right w:val="single" w:color="auto" w:sz="4" w:space="0"/>
            </w:tcBorders>
            <w:noWrap/>
            <w:vAlign w:val="center"/>
          </w:tcPr>
          <w:p w14:paraId="3443A8B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88" w:type="pct"/>
            <w:tcBorders>
              <w:top w:val="single" w:color="auto" w:sz="4" w:space="0"/>
              <w:left w:val="single" w:color="auto" w:sz="4" w:space="0"/>
              <w:bottom w:val="single" w:color="auto" w:sz="4" w:space="0"/>
              <w:right w:val="single" w:color="auto" w:sz="4" w:space="0"/>
            </w:tcBorders>
            <w:noWrap/>
            <w:vAlign w:val="center"/>
          </w:tcPr>
          <w:p w14:paraId="3254A41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91" w:type="pct"/>
            <w:tcBorders>
              <w:top w:val="single" w:color="auto" w:sz="4" w:space="0"/>
              <w:left w:val="single" w:color="auto" w:sz="4" w:space="0"/>
              <w:bottom w:val="single" w:color="auto" w:sz="4" w:space="0"/>
              <w:right w:val="single" w:color="auto" w:sz="4" w:space="0"/>
            </w:tcBorders>
            <w:noWrap/>
            <w:vAlign w:val="center"/>
          </w:tcPr>
          <w:p w14:paraId="4A56F617">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568" w:type="pct"/>
            <w:vMerge w:val="continue"/>
            <w:tcBorders>
              <w:top w:val="single" w:color="auto" w:sz="4" w:space="0"/>
              <w:left w:val="single" w:color="auto" w:sz="4" w:space="0"/>
              <w:bottom w:val="single" w:color="auto" w:sz="4" w:space="0"/>
              <w:right w:val="single" w:color="auto" w:sz="4" w:space="0"/>
            </w:tcBorders>
            <w:noWrap/>
            <w:vAlign w:val="center"/>
          </w:tcPr>
          <w:p w14:paraId="73D917D1">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r w14:paraId="39DE606D">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16BCD59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服务态度</w:t>
            </w:r>
          </w:p>
        </w:tc>
        <w:tc>
          <w:tcPr>
            <w:tcW w:w="630" w:type="pct"/>
            <w:tcBorders>
              <w:top w:val="single" w:color="auto" w:sz="4" w:space="0"/>
              <w:left w:val="single" w:color="auto" w:sz="4" w:space="0"/>
              <w:bottom w:val="single" w:color="auto" w:sz="4" w:space="0"/>
              <w:right w:val="single" w:color="auto" w:sz="4" w:space="0"/>
            </w:tcBorders>
            <w:noWrap/>
            <w:vAlign w:val="center"/>
          </w:tcPr>
          <w:p w14:paraId="1931EE5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10</w:t>
            </w:r>
          </w:p>
        </w:tc>
        <w:tc>
          <w:tcPr>
            <w:tcW w:w="682" w:type="pct"/>
            <w:tcBorders>
              <w:top w:val="single" w:color="auto" w:sz="4" w:space="0"/>
              <w:left w:val="single" w:color="auto" w:sz="4" w:space="0"/>
              <w:bottom w:val="single" w:color="auto" w:sz="4" w:space="0"/>
              <w:right w:val="single" w:color="auto" w:sz="4" w:space="0"/>
            </w:tcBorders>
            <w:noWrap/>
            <w:vAlign w:val="center"/>
          </w:tcPr>
          <w:p w14:paraId="2CDC270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88" w:type="pct"/>
            <w:tcBorders>
              <w:top w:val="single" w:color="auto" w:sz="4" w:space="0"/>
              <w:left w:val="single" w:color="auto" w:sz="4" w:space="0"/>
              <w:bottom w:val="single" w:color="auto" w:sz="4" w:space="0"/>
              <w:right w:val="single" w:color="auto" w:sz="4" w:space="0"/>
            </w:tcBorders>
            <w:noWrap/>
            <w:vAlign w:val="center"/>
          </w:tcPr>
          <w:p w14:paraId="2D1781F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691" w:type="pct"/>
            <w:tcBorders>
              <w:top w:val="single" w:color="auto" w:sz="4" w:space="0"/>
              <w:left w:val="single" w:color="auto" w:sz="4" w:space="0"/>
              <w:bottom w:val="single" w:color="auto" w:sz="4" w:space="0"/>
              <w:right w:val="single" w:color="auto" w:sz="4" w:space="0"/>
            </w:tcBorders>
            <w:noWrap/>
            <w:vAlign w:val="center"/>
          </w:tcPr>
          <w:p w14:paraId="2D1C06CF">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p>
        </w:tc>
        <w:tc>
          <w:tcPr>
            <w:tcW w:w="568" w:type="pct"/>
            <w:vMerge w:val="continue"/>
            <w:tcBorders>
              <w:top w:val="single" w:color="auto" w:sz="4" w:space="0"/>
              <w:left w:val="single" w:color="auto" w:sz="4" w:space="0"/>
              <w:bottom w:val="single" w:color="auto" w:sz="4" w:space="0"/>
              <w:right w:val="single" w:color="auto" w:sz="4" w:space="0"/>
            </w:tcBorders>
            <w:noWrap/>
            <w:vAlign w:val="center"/>
          </w:tcPr>
          <w:p w14:paraId="2B01B3BF">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r w14:paraId="14CC1410">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0DF005E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总分</w:t>
            </w:r>
          </w:p>
        </w:tc>
        <w:tc>
          <w:tcPr>
            <w:tcW w:w="630" w:type="pct"/>
            <w:tcBorders>
              <w:top w:val="single" w:color="auto" w:sz="4" w:space="0"/>
              <w:left w:val="single" w:color="auto" w:sz="4" w:space="0"/>
              <w:bottom w:val="single" w:color="auto" w:sz="4" w:space="0"/>
              <w:right w:val="single" w:color="auto" w:sz="4" w:space="0"/>
            </w:tcBorders>
            <w:noWrap/>
            <w:vAlign w:val="center"/>
          </w:tcPr>
          <w:p w14:paraId="69F9C6DB">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100分</w:t>
            </w:r>
          </w:p>
        </w:tc>
        <w:tc>
          <w:tcPr>
            <w:tcW w:w="682" w:type="pct"/>
            <w:tcBorders>
              <w:top w:val="single" w:color="auto" w:sz="4" w:space="0"/>
              <w:left w:val="single" w:color="auto" w:sz="4" w:space="0"/>
              <w:bottom w:val="single" w:color="auto" w:sz="4" w:space="0"/>
              <w:right w:val="single" w:color="auto" w:sz="4" w:space="0"/>
            </w:tcBorders>
            <w:noWrap/>
            <w:vAlign w:val="center"/>
          </w:tcPr>
          <w:p w14:paraId="0D841259">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c>
          <w:tcPr>
            <w:tcW w:w="688" w:type="pct"/>
            <w:tcBorders>
              <w:top w:val="single" w:color="auto" w:sz="4" w:space="0"/>
              <w:left w:val="single" w:color="auto" w:sz="4" w:space="0"/>
              <w:bottom w:val="single" w:color="auto" w:sz="4" w:space="0"/>
              <w:right w:val="single" w:color="auto" w:sz="4" w:space="0"/>
            </w:tcBorders>
            <w:noWrap/>
            <w:vAlign w:val="center"/>
          </w:tcPr>
          <w:p w14:paraId="6AF224E2">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c>
          <w:tcPr>
            <w:tcW w:w="691" w:type="pct"/>
            <w:tcBorders>
              <w:top w:val="single" w:color="auto" w:sz="4" w:space="0"/>
              <w:left w:val="single" w:color="auto" w:sz="4" w:space="0"/>
              <w:bottom w:val="single" w:color="auto" w:sz="4" w:space="0"/>
              <w:right w:val="single" w:color="auto" w:sz="4" w:space="0"/>
            </w:tcBorders>
            <w:noWrap/>
            <w:vAlign w:val="center"/>
          </w:tcPr>
          <w:p w14:paraId="341B976C">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c>
          <w:tcPr>
            <w:tcW w:w="568" w:type="pct"/>
            <w:vMerge w:val="continue"/>
            <w:tcBorders>
              <w:top w:val="single" w:color="auto" w:sz="4" w:space="0"/>
              <w:left w:val="single" w:color="auto" w:sz="4" w:space="0"/>
              <w:bottom w:val="single" w:color="auto" w:sz="4" w:space="0"/>
              <w:right w:val="single" w:color="auto" w:sz="4" w:space="0"/>
            </w:tcBorders>
            <w:noWrap/>
            <w:vAlign w:val="center"/>
          </w:tcPr>
          <w:p w14:paraId="7A525E15">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r w14:paraId="3349E540">
        <w:tblPrEx>
          <w:tblCellMar>
            <w:top w:w="0" w:type="dxa"/>
            <w:left w:w="108" w:type="dxa"/>
            <w:bottom w:w="0" w:type="dxa"/>
            <w:right w:w="108" w:type="dxa"/>
          </w:tblCellMar>
        </w:tblPrEx>
        <w:trPr>
          <w:cantSplit/>
          <w:trHeight w:val="454" w:hRule="atLeast"/>
        </w:trPr>
        <w:tc>
          <w:tcPr>
            <w:tcW w:w="1739" w:type="pct"/>
            <w:tcBorders>
              <w:top w:val="single" w:color="auto" w:sz="4" w:space="0"/>
              <w:left w:val="single" w:color="auto" w:sz="4" w:space="0"/>
              <w:bottom w:val="single" w:color="auto" w:sz="4" w:space="0"/>
              <w:right w:val="single" w:color="auto" w:sz="4" w:space="0"/>
            </w:tcBorders>
            <w:noWrap/>
            <w:vAlign w:val="center"/>
          </w:tcPr>
          <w:p w14:paraId="2FB318B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考核人员签名：</w:t>
            </w:r>
          </w:p>
        </w:tc>
        <w:tc>
          <w:tcPr>
            <w:tcW w:w="630" w:type="pct"/>
            <w:tcBorders>
              <w:top w:val="single" w:color="auto" w:sz="4" w:space="0"/>
              <w:left w:val="single" w:color="auto" w:sz="4" w:space="0"/>
              <w:bottom w:val="single" w:color="auto" w:sz="4" w:space="0"/>
              <w:right w:val="single" w:color="auto" w:sz="4" w:space="0"/>
            </w:tcBorders>
            <w:noWrap/>
            <w:vAlign w:val="center"/>
          </w:tcPr>
          <w:p w14:paraId="55CA4B11">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000000"/>
                <w:sz w:val="21"/>
                <w:szCs w:val="21"/>
              </w:rPr>
            </w:pPr>
            <w:r>
              <w:rPr>
                <w:rFonts w:hint="eastAsia" w:ascii="宋体" w:hAnsi="宋体" w:cs="宋体"/>
                <w:color w:val="000000"/>
                <w:sz w:val="21"/>
                <w:szCs w:val="21"/>
              </w:rPr>
              <w:t>/</w:t>
            </w:r>
          </w:p>
        </w:tc>
        <w:tc>
          <w:tcPr>
            <w:tcW w:w="682" w:type="pct"/>
            <w:tcBorders>
              <w:top w:val="single" w:color="auto" w:sz="4" w:space="0"/>
              <w:left w:val="single" w:color="auto" w:sz="4" w:space="0"/>
              <w:bottom w:val="single" w:color="auto" w:sz="4" w:space="0"/>
              <w:right w:val="single" w:color="auto" w:sz="4" w:space="0"/>
            </w:tcBorders>
            <w:noWrap/>
            <w:vAlign w:val="center"/>
          </w:tcPr>
          <w:p w14:paraId="7F613E07">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c>
          <w:tcPr>
            <w:tcW w:w="688" w:type="pct"/>
            <w:tcBorders>
              <w:top w:val="single" w:color="auto" w:sz="4" w:space="0"/>
              <w:left w:val="single" w:color="auto" w:sz="4" w:space="0"/>
              <w:bottom w:val="single" w:color="auto" w:sz="4" w:space="0"/>
              <w:right w:val="single" w:color="auto" w:sz="4" w:space="0"/>
            </w:tcBorders>
            <w:noWrap/>
            <w:vAlign w:val="center"/>
          </w:tcPr>
          <w:p w14:paraId="177C4EB1">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c>
          <w:tcPr>
            <w:tcW w:w="691" w:type="pct"/>
            <w:tcBorders>
              <w:top w:val="single" w:color="auto" w:sz="4" w:space="0"/>
              <w:left w:val="single" w:color="auto" w:sz="4" w:space="0"/>
              <w:bottom w:val="single" w:color="auto" w:sz="4" w:space="0"/>
              <w:right w:val="single" w:color="auto" w:sz="4" w:space="0"/>
            </w:tcBorders>
            <w:noWrap/>
            <w:vAlign w:val="center"/>
          </w:tcPr>
          <w:p w14:paraId="78462303">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c>
          <w:tcPr>
            <w:tcW w:w="568" w:type="pct"/>
            <w:vMerge w:val="continue"/>
            <w:tcBorders>
              <w:top w:val="single" w:color="auto" w:sz="4" w:space="0"/>
              <w:left w:val="single" w:color="auto" w:sz="4" w:space="0"/>
              <w:bottom w:val="single" w:color="auto" w:sz="4" w:space="0"/>
              <w:right w:val="single" w:color="auto" w:sz="4" w:space="0"/>
            </w:tcBorders>
            <w:noWrap/>
            <w:vAlign w:val="center"/>
          </w:tcPr>
          <w:p w14:paraId="645A11DC">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r w14:paraId="319E075B">
        <w:tblPrEx>
          <w:tblCellMar>
            <w:top w:w="0" w:type="dxa"/>
            <w:left w:w="108" w:type="dxa"/>
            <w:bottom w:w="0" w:type="dxa"/>
            <w:right w:w="108" w:type="dxa"/>
          </w:tblCellMar>
        </w:tblPrEx>
        <w:trPr>
          <w:cantSplit/>
          <w:trHeight w:val="454" w:hRule="atLeast"/>
        </w:trPr>
        <w:tc>
          <w:tcPr>
            <w:tcW w:w="4431" w:type="pct"/>
            <w:gridSpan w:val="5"/>
            <w:tcBorders>
              <w:top w:val="single" w:color="auto" w:sz="4" w:space="0"/>
              <w:left w:val="single" w:color="auto" w:sz="4" w:space="0"/>
              <w:bottom w:val="single" w:color="auto" w:sz="4" w:space="0"/>
              <w:right w:val="single" w:color="auto" w:sz="4" w:space="0"/>
            </w:tcBorders>
            <w:noWrap/>
          </w:tcPr>
          <w:p w14:paraId="2BFCBACC">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r>
              <w:rPr>
                <w:rFonts w:hint="eastAsia" w:ascii="宋体" w:hAnsi="宋体" w:cs="宋体"/>
                <w:color w:val="000000"/>
                <w:sz w:val="21"/>
                <w:szCs w:val="21"/>
              </w:rPr>
              <w:t>考核意见：</w:t>
            </w:r>
          </w:p>
          <w:p w14:paraId="090B644D">
            <w:pPr>
              <w:keepNext w:val="0"/>
              <w:keepLines w:val="0"/>
              <w:pageBreakBefore w:val="0"/>
              <w:widowControl w:val="0"/>
              <w:kinsoku/>
              <w:wordWrap/>
              <w:overflowPunct/>
              <w:topLinePunct w:val="0"/>
              <w:autoSpaceDE/>
              <w:autoSpaceDN/>
              <w:bidi w:val="0"/>
              <w:adjustRightInd/>
              <w:spacing w:line="400" w:lineRule="exact"/>
              <w:ind w:firstLine="630" w:firstLineChars="300"/>
              <w:textAlignment w:val="auto"/>
              <w:rPr>
                <w:rFonts w:ascii="宋体" w:hAnsi="宋体" w:cs="宋体"/>
                <w:color w:val="000000"/>
                <w:sz w:val="21"/>
                <w:szCs w:val="21"/>
              </w:rPr>
            </w:pPr>
          </w:p>
          <w:p w14:paraId="04549670">
            <w:pPr>
              <w:keepNext w:val="0"/>
              <w:keepLines w:val="0"/>
              <w:pageBreakBefore w:val="0"/>
              <w:widowControl w:val="0"/>
              <w:kinsoku/>
              <w:wordWrap/>
              <w:overflowPunct/>
              <w:topLinePunct w:val="0"/>
              <w:autoSpaceDE/>
              <w:autoSpaceDN/>
              <w:bidi w:val="0"/>
              <w:adjustRightInd/>
              <w:spacing w:line="400" w:lineRule="exact"/>
              <w:textAlignment w:val="auto"/>
              <w:rPr>
                <w:sz w:val="21"/>
                <w:szCs w:val="21"/>
              </w:rPr>
            </w:pPr>
          </w:p>
          <w:p w14:paraId="16DD4AFA">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c>
          <w:tcPr>
            <w:tcW w:w="568" w:type="pct"/>
            <w:tcBorders>
              <w:top w:val="single" w:color="auto" w:sz="4" w:space="0"/>
              <w:left w:val="single" w:color="auto" w:sz="4" w:space="0"/>
              <w:bottom w:val="single" w:color="auto" w:sz="4" w:space="0"/>
              <w:right w:val="single" w:color="auto" w:sz="4" w:space="0"/>
            </w:tcBorders>
            <w:noWrap/>
            <w:vAlign w:val="center"/>
          </w:tcPr>
          <w:p w14:paraId="28BB2970">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000000"/>
                <w:sz w:val="21"/>
                <w:szCs w:val="21"/>
              </w:rPr>
            </w:pPr>
          </w:p>
        </w:tc>
      </w:tr>
    </w:tbl>
    <w:p w14:paraId="35F25B85">
      <w:pPr>
        <w:rPr>
          <w:rFonts w:hint="eastAsia" w:ascii="宋体" w:hAnsi="宋体" w:cs="宋体"/>
          <w:b/>
          <w:color w:val="auto"/>
          <w:sz w:val="32"/>
          <w:highlight w:val="none"/>
        </w:rPr>
      </w:pPr>
      <w:r>
        <w:rPr>
          <w:rFonts w:hint="eastAsia" w:ascii="宋体" w:hAnsi="宋体" w:cs="宋体"/>
          <w:b/>
          <w:color w:val="auto"/>
          <w:sz w:val="32"/>
          <w:highlight w:val="none"/>
        </w:rPr>
        <w:br w:type="page"/>
      </w:r>
    </w:p>
    <w:p w14:paraId="5BD1F7EE">
      <w:pPr>
        <w:keepNext w:val="0"/>
        <w:keepLines w:val="0"/>
        <w:pageBreakBefore w:val="0"/>
        <w:widowControl w:val="0"/>
        <w:kinsoku/>
        <w:wordWrap/>
        <w:overflowPunct/>
        <w:topLinePunct w:val="0"/>
        <w:bidi w:val="0"/>
        <w:adjustRightInd/>
        <w:snapToGrid/>
        <w:spacing w:line="400" w:lineRule="exact"/>
        <w:jc w:val="center"/>
        <w:outlineLvl w:val="0"/>
        <w:rPr>
          <w:rFonts w:ascii="宋体" w:hAnsi="宋体" w:cs="宋体"/>
          <w:b/>
          <w:color w:val="auto"/>
          <w:highlight w:val="none"/>
        </w:rPr>
      </w:pPr>
      <w:bookmarkStart w:id="66" w:name="_Toc17445"/>
      <w:r>
        <w:rPr>
          <w:rFonts w:hint="eastAsia" w:ascii="宋体" w:hAnsi="宋体" w:cs="宋体"/>
          <w:b/>
          <w:color w:val="auto"/>
          <w:sz w:val="32"/>
          <w:highlight w:val="none"/>
        </w:rPr>
        <w:t>第四章  商务条款</w:t>
      </w:r>
      <w:bookmarkEnd w:id="65"/>
      <w:bookmarkEnd w:id="66"/>
    </w:p>
    <w:tbl>
      <w:tblPr>
        <w:tblStyle w:val="52"/>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18"/>
        <w:gridCol w:w="1497"/>
        <w:gridCol w:w="5287"/>
        <w:gridCol w:w="1464"/>
      </w:tblGrid>
      <w:tr w14:paraId="1FC1D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14:paraId="71E84A78">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序号</w:t>
            </w:r>
          </w:p>
        </w:tc>
        <w:tc>
          <w:tcPr>
            <w:tcW w:w="816" w:type="pct"/>
            <w:tcBorders>
              <w:top w:val="single" w:color="auto" w:sz="4" w:space="0"/>
              <w:left w:val="single" w:color="auto" w:sz="4" w:space="0"/>
              <w:bottom w:val="single" w:color="auto" w:sz="4" w:space="0"/>
              <w:right w:val="single" w:color="auto" w:sz="4" w:space="0"/>
            </w:tcBorders>
            <w:vAlign w:val="center"/>
          </w:tcPr>
          <w:p w14:paraId="70F05D07">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内容</w:t>
            </w:r>
          </w:p>
        </w:tc>
        <w:tc>
          <w:tcPr>
            <w:tcW w:w="2882" w:type="pct"/>
            <w:tcBorders>
              <w:top w:val="single" w:color="auto" w:sz="4" w:space="0"/>
              <w:left w:val="single" w:color="auto" w:sz="4" w:space="0"/>
              <w:bottom w:val="single" w:color="auto" w:sz="4" w:space="0"/>
              <w:right w:val="single" w:color="auto" w:sz="4" w:space="0"/>
            </w:tcBorders>
            <w:vAlign w:val="center"/>
          </w:tcPr>
          <w:p w14:paraId="73953C61">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商务条款要求</w:t>
            </w:r>
          </w:p>
        </w:tc>
        <w:tc>
          <w:tcPr>
            <w:tcW w:w="798" w:type="pct"/>
            <w:tcBorders>
              <w:top w:val="single" w:color="auto" w:sz="4" w:space="0"/>
              <w:left w:val="single" w:color="auto" w:sz="4" w:space="0"/>
              <w:bottom w:val="single" w:color="auto" w:sz="4" w:space="0"/>
              <w:right w:val="single" w:color="auto" w:sz="4" w:space="0"/>
            </w:tcBorders>
            <w:vAlign w:val="center"/>
          </w:tcPr>
          <w:p w14:paraId="63036268">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投标响应</w:t>
            </w:r>
          </w:p>
        </w:tc>
      </w:tr>
      <w:tr w14:paraId="61927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14:paraId="2F0CC079">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816" w:type="pct"/>
            <w:tcBorders>
              <w:top w:val="single" w:color="auto" w:sz="4" w:space="0"/>
              <w:left w:val="single" w:color="auto" w:sz="4" w:space="0"/>
              <w:bottom w:val="single" w:color="auto" w:sz="4" w:space="0"/>
              <w:right w:val="single" w:color="auto" w:sz="4" w:space="0"/>
            </w:tcBorders>
            <w:vAlign w:val="center"/>
          </w:tcPr>
          <w:p w14:paraId="360D8C8F">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lang w:eastAsia="zh-CN"/>
              </w:rPr>
              <w:t>服务期限</w:t>
            </w:r>
          </w:p>
        </w:tc>
        <w:tc>
          <w:tcPr>
            <w:tcW w:w="5287" w:type="dxa"/>
            <w:tcBorders>
              <w:top w:val="single" w:color="auto" w:sz="4" w:space="0"/>
              <w:left w:val="single" w:color="auto" w:sz="4" w:space="0"/>
              <w:bottom w:val="single" w:color="auto" w:sz="4" w:space="0"/>
              <w:right w:val="single" w:color="auto" w:sz="4" w:space="0"/>
            </w:tcBorders>
            <w:vAlign w:val="center"/>
          </w:tcPr>
          <w:p w14:paraId="1E2897D0">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SA"/>
              </w:rPr>
              <w:t>自合同签订之日起三年（其中，第一年为提供各类系统服务，第二年、第三年为服务的延续与保障）。</w:t>
            </w:r>
          </w:p>
        </w:tc>
        <w:tc>
          <w:tcPr>
            <w:tcW w:w="798" w:type="pct"/>
            <w:tcBorders>
              <w:top w:val="single" w:color="auto" w:sz="4" w:space="0"/>
              <w:left w:val="single" w:color="auto" w:sz="4" w:space="0"/>
              <w:bottom w:val="single" w:color="auto" w:sz="4" w:space="0"/>
              <w:right w:val="single" w:color="auto" w:sz="4" w:space="0"/>
            </w:tcBorders>
            <w:vAlign w:val="center"/>
          </w:tcPr>
          <w:p w14:paraId="2C306118">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p>
        </w:tc>
      </w:tr>
      <w:tr w14:paraId="701EC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14:paraId="4C9F0862">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816" w:type="pct"/>
            <w:tcBorders>
              <w:top w:val="single" w:color="auto" w:sz="4" w:space="0"/>
              <w:left w:val="single" w:color="auto" w:sz="4" w:space="0"/>
              <w:bottom w:val="single" w:color="auto" w:sz="4" w:space="0"/>
              <w:right w:val="single" w:color="auto" w:sz="4" w:space="0"/>
            </w:tcBorders>
            <w:vAlign w:val="center"/>
          </w:tcPr>
          <w:p w14:paraId="17D15A70">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服务地点</w:t>
            </w:r>
          </w:p>
        </w:tc>
        <w:tc>
          <w:tcPr>
            <w:tcW w:w="5287" w:type="dxa"/>
            <w:tcBorders>
              <w:top w:val="single" w:color="auto" w:sz="4" w:space="0"/>
              <w:left w:val="single" w:color="auto" w:sz="4" w:space="0"/>
              <w:bottom w:val="single" w:color="auto" w:sz="4" w:space="0"/>
              <w:right w:val="single" w:color="auto" w:sz="4" w:space="0"/>
            </w:tcBorders>
            <w:vAlign w:val="center"/>
          </w:tcPr>
          <w:p w14:paraId="2FF2BF3F">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lang w:eastAsia="zh-CN"/>
              </w:rPr>
            </w:pPr>
            <w:r>
              <w:rPr>
                <w:rFonts w:hint="eastAsia" w:ascii="宋体" w:hAnsi="宋体" w:eastAsia="宋体" w:cs="宋体"/>
                <w:color w:val="auto"/>
                <w:kern w:val="2"/>
                <w:sz w:val="21"/>
                <w:szCs w:val="21"/>
                <w:highlight w:val="none"/>
                <w:lang w:val="en-US" w:eastAsia="zh-CN" w:bidi="ar-SA"/>
              </w:rPr>
              <w:t>宁波大学校医医院（具体以采购人要求为准）。</w:t>
            </w:r>
          </w:p>
        </w:tc>
        <w:tc>
          <w:tcPr>
            <w:tcW w:w="798" w:type="pct"/>
            <w:tcBorders>
              <w:top w:val="single" w:color="auto" w:sz="4" w:space="0"/>
              <w:left w:val="single" w:color="auto" w:sz="4" w:space="0"/>
              <w:bottom w:val="single" w:color="auto" w:sz="4" w:space="0"/>
              <w:right w:val="single" w:color="auto" w:sz="4" w:space="0"/>
            </w:tcBorders>
            <w:vAlign w:val="center"/>
          </w:tcPr>
          <w:p w14:paraId="581AA733">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p>
        </w:tc>
      </w:tr>
      <w:tr w14:paraId="7DC37F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14:paraId="69F52702">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816" w:type="pct"/>
            <w:tcBorders>
              <w:top w:val="single" w:color="auto" w:sz="4" w:space="0"/>
              <w:left w:val="single" w:color="auto" w:sz="4" w:space="0"/>
              <w:bottom w:val="single" w:color="auto" w:sz="4" w:space="0"/>
              <w:right w:val="single" w:color="auto" w:sz="4" w:space="0"/>
            </w:tcBorders>
            <w:vAlign w:val="center"/>
          </w:tcPr>
          <w:p w14:paraId="57C3880C">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5287" w:type="dxa"/>
            <w:tcBorders>
              <w:top w:val="single" w:color="auto" w:sz="4" w:space="0"/>
              <w:left w:val="single" w:color="auto" w:sz="4" w:space="0"/>
              <w:bottom w:val="single" w:color="auto" w:sz="4" w:space="0"/>
              <w:right w:val="single" w:color="auto" w:sz="4" w:space="0"/>
            </w:tcBorders>
            <w:vAlign w:val="center"/>
          </w:tcPr>
          <w:p w14:paraId="08EBA2EF">
            <w:pPr>
              <w:keepNext w:val="0"/>
              <w:keepLines w:val="0"/>
              <w:pageBreakBefore w:val="0"/>
              <w:widowControl w:val="0"/>
              <w:kinsoku/>
              <w:wordWrap/>
              <w:overflowPunct/>
              <w:topLinePunct w:val="0"/>
              <w:bidi w:val="0"/>
              <w:adjustRightInd/>
              <w:snapToGrid/>
              <w:spacing w:line="4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合同签订生效且具备实施条件后7个工作日内，采购人向中标供应商支付合同总价的40%，第一年服务期满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7个工作日内向中标供应商支付合同总价的30%，第二年服务期满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7个工作日内向中标供应商支付合同总价的15%，第三年服务期满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7个工作日内向中标供应商支付合同总价的15%。</w:t>
            </w:r>
          </w:p>
        </w:tc>
        <w:tc>
          <w:tcPr>
            <w:tcW w:w="798" w:type="pct"/>
            <w:tcBorders>
              <w:top w:val="single" w:color="auto" w:sz="4" w:space="0"/>
              <w:left w:val="single" w:color="auto" w:sz="4" w:space="0"/>
              <w:bottom w:val="single" w:color="auto" w:sz="4" w:space="0"/>
              <w:right w:val="single" w:color="auto" w:sz="4" w:space="0"/>
            </w:tcBorders>
            <w:vAlign w:val="center"/>
          </w:tcPr>
          <w:p w14:paraId="6DD12D1B">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p>
        </w:tc>
      </w:tr>
      <w:tr w14:paraId="17691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14:paraId="3615B427">
            <w:pPr>
              <w:keepNext w:val="0"/>
              <w:keepLines w:val="0"/>
              <w:pageBreakBefore w:val="0"/>
              <w:widowControl w:val="0"/>
              <w:kinsoku/>
              <w:wordWrap/>
              <w:overflowPunct/>
              <w:topLinePunct w:val="0"/>
              <w:bidi w:val="0"/>
              <w:adjustRightInd/>
              <w:snapToGrid/>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816" w:type="pct"/>
            <w:tcBorders>
              <w:top w:val="single" w:color="auto" w:sz="4" w:space="0"/>
              <w:left w:val="single" w:color="auto" w:sz="4" w:space="0"/>
              <w:bottom w:val="single" w:color="auto" w:sz="4" w:space="0"/>
              <w:right w:val="single" w:color="auto" w:sz="4" w:space="0"/>
            </w:tcBorders>
            <w:vAlign w:val="center"/>
          </w:tcPr>
          <w:p w14:paraId="4D4B6EE7">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rPr>
              <w:t>履约保证金</w:t>
            </w:r>
          </w:p>
        </w:tc>
        <w:tc>
          <w:tcPr>
            <w:tcW w:w="2882" w:type="pct"/>
            <w:tcBorders>
              <w:top w:val="single" w:color="auto" w:sz="4" w:space="0"/>
              <w:left w:val="single" w:color="auto" w:sz="4" w:space="0"/>
              <w:bottom w:val="single" w:color="auto" w:sz="4" w:space="0"/>
              <w:right w:val="single" w:color="auto" w:sz="4" w:space="0"/>
            </w:tcBorders>
            <w:vAlign w:val="center"/>
          </w:tcPr>
          <w:p w14:paraId="10709CAA">
            <w:pPr>
              <w:keepNext w:val="0"/>
              <w:keepLines w:val="0"/>
              <w:pageBreakBefore w:val="0"/>
              <w:widowControl w:val="0"/>
              <w:kinsoku/>
              <w:wordWrap/>
              <w:overflowPunct/>
              <w:topLinePunct w:val="0"/>
              <w:autoSpaceDE w:val="0"/>
              <w:autoSpaceDN w:val="0"/>
              <w:bidi w:val="0"/>
              <w:adjustRightInd/>
              <w:snapToGrid/>
              <w:spacing w:line="400" w:lineRule="exact"/>
              <w:textAlignment w:val="bottom"/>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无</w:t>
            </w:r>
          </w:p>
        </w:tc>
        <w:tc>
          <w:tcPr>
            <w:tcW w:w="798" w:type="pct"/>
            <w:tcBorders>
              <w:top w:val="single" w:color="auto" w:sz="4" w:space="0"/>
              <w:left w:val="single" w:color="auto" w:sz="4" w:space="0"/>
              <w:bottom w:val="single" w:color="auto" w:sz="4" w:space="0"/>
              <w:right w:val="single" w:color="auto" w:sz="4" w:space="0"/>
            </w:tcBorders>
            <w:vAlign w:val="center"/>
          </w:tcPr>
          <w:p w14:paraId="6965B0D3">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rPr>
            </w:pPr>
          </w:p>
        </w:tc>
      </w:tr>
      <w:tr w14:paraId="028F68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1" w:type="pct"/>
            <w:tcBorders>
              <w:top w:val="single" w:color="auto" w:sz="4" w:space="0"/>
              <w:left w:val="single" w:color="auto" w:sz="4" w:space="0"/>
              <w:bottom w:val="single" w:color="auto" w:sz="4" w:space="0"/>
              <w:right w:val="single" w:color="auto" w:sz="4" w:space="0"/>
            </w:tcBorders>
            <w:vAlign w:val="center"/>
          </w:tcPr>
          <w:p w14:paraId="42945B4F">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816" w:type="pct"/>
            <w:tcBorders>
              <w:top w:val="single" w:color="auto" w:sz="4" w:space="0"/>
              <w:left w:val="single" w:color="auto" w:sz="4" w:space="0"/>
              <w:bottom w:val="single" w:color="auto" w:sz="4" w:space="0"/>
              <w:right w:val="single" w:color="auto" w:sz="4" w:space="0"/>
            </w:tcBorders>
            <w:vAlign w:val="center"/>
          </w:tcPr>
          <w:p w14:paraId="028D5F79">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签订合同时间</w:t>
            </w:r>
          </w:p>
        </w:tc>
        <w:tc>
          <w:tcPr>
            <w:tcW w:w="2882" w:type="pct"/>
            <w:tcBorders>
              <w:top w:val="single" w:color="auto" w:sz="4" w:space="0"/>
              <w:left w:val="single" w:color="auto" w:sz="4" w:space="0"/>
              <w:bottom w:val="single" w:color="auto" w:sz="4" w:space="0"/>
              <w:right w:val="single" w:color="auto" w:sz="4" w:space="0"/>
            </w:tcBorders>
            <w:vAlign w:val="center"/>
          </w:tcPr>
          <w:p w14:paraId="0895A77B">
            <w:pPr>
              <w:keepNext w:val="0"/>
              <w:keepLines w:val="0"/>
              <w:pageBreakBefore w:val="0"/>
              <w:widowControl w:val="0"/>
              <w:kinsoku/>
              <w:wordWrap/>
              <w:overflowPunct/>
              <w:topLinePunct w:val="0"/>
              <w:autoSpaceDE w:val="0"/>
              <w:autoSpaceDN w:val="0"/>
              <w:bidi w:val="0"/>
              <w:adjustRightInd/>
              <w:snapToGrid/>
              <w:spacing w:line="400" w:lineRule="exact"/>
              <w:textAlignment w:val="bottom"/>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中标通知书发出之日起</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日内。</w:t>
            </w:r>
          </w:p>
        </w:tc>
        <w:tc>
          <w:tcPr>
            <w:tcW w:w="798" w:type="pct"/>
            <w:tcBorders>
              <w:top w:val="single" w:color="auto" w:sz="4" w:space="0"/>
              <w:left w:val="single" w:color="auto" w:sz="4" w:space="0"/>
              <w:bottom w:val="single" w:color="auto" w:sz="4" w:space="0"/>
              <w:right w:val="single" w:color="auto" w:sz="4" w:space="0"/>
            </w:tcBorders>
            <w:vAlign w:val="center"/>
          </w:tcPr>
          <w:p w14:paraId="05921539">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lang w:val="en-US" w:eastAsia="zh-CN"/>
              </w:rPr>
            </w:pPr>
          </w:p>
        </w:tc>
      </w:tr>
    </w:tbl>
    <w:p w14:paraId="0FC4FA0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ascii="宋体" w:hAnsi="宋体" w:cs="宋体"/>
          <w:b/>
          <w:color w:val="auto"/>
          <w:sz w:val="32"/>
          <w:highlight w:val="none"/>
        </w:rPr>
      </w:pPr>
      <w:r>
        <w:rPr>
          <w:rFonts w:hint="eastAsia" w:ascii="宋体" w:hAnsi="宋体" w:cs="宋体"/>
          <w:b/>
          <w:color w:val="auto"/>
          <w:sz w:val="32"/>
          <w:highlight w:val="none"/>
        </w:rPr>
        <w:br w:type="page"/>
      </w:r>
      <w:bookmarkStart w:id="67" w:name="_Toc1584"/>
      <w:r>
        <w:rPr>
          <w:rFonts w:hint="eastAsia" w:ascii="宋体" w:hAnsi="宋体" w:cs="宋体"/>
          <w:b/>
          <w:color w:val="auto"/>
          <w:sz w:val="32"/>
          <w:highlight w:val="none"/>
        </w:rPr>
        <w:t>第五章  评标办法及标准</w:t>
      </w:r>
      <w:bookmarkEnd w:id="67"/>
    </w:p>
    <w:p w14:paraId="2276948B">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b/>
          <w:color w:val="auto"/>
          <w:szCs w:val="21"/>
          <w:highlight w:val="none"/>
        </w:rPr>
      </w:pPr>
      <w:r>
        <w:rPr>
          <w:rFonts w:hint="eastAsia" w:ascii="宋体" w:hAnsi="宋体" w:cs="宋体"/>
          <w:b/>
          <w:color w:val="auto"/>
          <w:szCs w:val="21"/>
          <w:highlight w:val="none"/>
        </w:rPr>
        <w:t>一、评标办法</w:t>
      </w:r>
    </w:p>
    <w:p w14:paraId="4F2D3B5A">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1.1本项目评标采用综合评分法。</w:t>
      </w:r>
    </w:p>
    <w:p w14:paraId="55C4F46D">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1.2综合评分法：采用百分制，总分100分。供应商的综合得分</w:t>
      </w:r>
      <w:r>
        <w:rPr>
          <w:rFonts w:hint="eastAsia" w:ascii="宋体" w:hAnsi="宋体" w:cs="宋体"/>
          <w:color w:val="auto"/>
          <w:szCs w:val="21"/>
          <w:highlight w:val="none"/>
          <w:lang w:eastAsia="zh-CN"/>
        </w:rPr>
        <w:t>为</w:t>
      </w:r>
      <w:r>
        <w:rPr>
          <w:rFonts w:hint="eastAsia" w:ascii="宋体" w:hAnsi="宋体" w:cs="宋体"/>
          <w:color w:val="auto"/>
          <w:szCs w:val="21"/>
          <w:highlight w:val="none"/>
        </w:rPr>
        <w:t>技术得分</w:t>
      </w:r>
      <w:r>
        <w:rPr>
          <w:rFonts w:hint="eastAsia" w:ascii="宋体" w:hAnsi="宋体" w:cs="宋体"/>
          <w:color w:val="auto"/>
          <w:szCs w:val="21"/>
          <w:highlight w:val="none"/>
          <w:lang w:eastAsia="zh-CN"/>
        </w:rPr>
        <w:t>、商务得分</w:t>
      </w:r>
      <w:r>
        <w:rPr>
          <w:rFonts w:hint="eastAsia" w:ascii="宋体" w:hAnsi="宋体" w:cs="宋体"/>
          <w:color w:val="auto"/>
          <w:szCs w:val="21"/>
          <w:highlight w:val="none"/>
        </w:rPr>
        <w:t>与报价得分之和。按综合得分由高到低</w:t>
      </w:r>
      <w:r>
        <w:rPr>
          <w:rFonts w:hint="eastAsia" w:ascii="宋体" w:hAnsi="宋体" w:cs="宋体"/>
          <w:color w:val="auto"/>
          <w:szCs w:val="21"/>
          <w:highlight w:val="none"/>
          <w:lang w:eastAsia="zh-CN"/>
        </w:rPr>
        <w:t>进行</w:t>
      </w:r>
      <w:r>
        <w:rPr>
          <w:rFonts w:hint="eastAsia" w:ascii="宋体" w:hAnsi="宋体" w:cs="宋体"/>
          <w:color w:val="auto"/>
          <w:szCs w:val="21"/>
          <w:highlight w:val="none"/>
        </w:rPr>
        <w:t>排序，推荐</w:t>
      </w:r>
      <w:r>
        <w:rPr>
          <w:rFonts w:hint="eastAsia" w:ascii="宋体" w:hAnsi="宋体" w:cs="宋体"/>
          <w:color w:val="auto"/>
          <w:szCs w:val="21"/>
          <w:highlight w:val="none"/>
          <w:lang w:eastAsia="zh-CN"/>
        </w:rPr>
        <w:t>中标候选供应商</w:t>
      </w:r>
      <w:r>
        <w:rPr>
          <w:rFonts w:hint="eastAsia" w:ascii="宋体" w:hAnsi="宋体" w:cs="宋体"/>
          <w:color w:val="auto"/>
          <w:szCs w:val="21"/>
          <w:highlight w:val="none"/>
        </w:rPr>
        <w:t>。若供应商的综合得分</w:t>
      </w:r>
      <w:r>
        <w:rPr>
          <w:rFonts w:hint="eastAsia" w:ascii="宋体" w:hAnsi="宋体" w:cs="宋体"/>
          <w:color w:val="auto"/>
          <w:szCs w:val="21"/>
          <w:highlight w:val="none"/>
          <w:lang w:eastAsia="zh-CN"/>
        </w:rPr>
        <w:t>相同</w:t>
      </w:r>
      <w:r>
        <w:rPr>
          <w:rFonts w:hint="eastAsia" w:ascii="宋体" w:hAnsi="宋体" w:cs="宋体"/>
          <w:color w:val="auto"/>
          <w:szCs w:val="21"/>
          <w:highlight w:val="none"/>
        </w:rPr>
        <w:t>，则投标报价低者列前；若投标报价也相同</w:t>
      </w:r>
      <w:r>
        <w:rPr>
          <w:rFonts w:hint="eastAsia" w:ascii="宋体" w:hAnsi="宋体" w:cs="宋体"/>
          <w:color w:val="auto"/>
          <w:szCs w:val="21"/>
          <w:highlight w:val="none"/>
          <w:lang w:eastAsia="zh-CN"/>
        </w:rPr>
        <w:t>时</w:t>
      </w:r>
      <w:r>
        <w:rPr>
          <w:rFonts w:hint="eastAsia" w:ascii="宋体" w:hAnsi="宋体" w:cs="宋体"/>
          <w:color w:val="auto"/>
          <w:szCs w:val="21"/>
          <w:highlight w:val="none"/>
        </w:rPr>
        <w:t>，</w:t>
      </w:r>
      <w:r>
        <w:rPr>
          <w:rFonts w:hint="eastAsia" w:ascii="宋体" w:hAnsi="宋体" w:cs="宋体"/>
          <w:color w:val="auto"/>
          <w:szCs w:val="21"/>
          <w:highlight w:val="none"/>
          <w:lang w:eastAsia="zh-CN"/>
        </w:rPr>
        <w:t>则</w:t>
      </w:r>
      <w:r>
        <w:rPr>
          <w:rFonts w:hint="eastAsia" w:ascii="宋体" w:hAnsi="宋体" w:cs="宋体"/>
          <w:color w:val="auto"/>
          <w:szCs w:val="21"/>
          <w:highlight w:val="none"/>
        </w:rPr>
        <w:t>采取随机抽签的方式确定排序</w:t>
      </w:r>
      <w:r>
        <w:rPr>
          <w:rFonts w:hint="eastAsia" w:ascii="宋体" w:hAnsi="宋体" w:cs="宋体"/>
          <w:color w:val="auto"/>
          <w:szCs w:val="21"/>
          <w:highlight w:val="none"/>
          <w:lang w:eastAsia="zh-CN"/>
        </w:rPr>
        <w:t>，先抽出的排序列前</w:t>
      </w:r>
      <w:r>
        <w:rPr>
          <w:rFonts w:hint="eastAsia" w:ascii="宋体" w:hAnsi="宋体" w:cs="宋体"/>
          <w:color w:val="auto"/>
          <w:szCs w:val="21"/>
          <w:highlight w:val="none"/>
        </w:rPr>
        <w:t>。</w:t>
      </w:r>
    </w:p>
    <w:p w14:paraId="0249384B">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w:t>
      </w:r>
      <w:r>
        <w:rPr>
          <w:rFonts w:hint="eastAsia" w:ascii="宋体" w:hAnsi="宋体" w:cs="宋体"/>
          <w:color w:val="auto"/>
          <w:highlight w:val="none"/>
        </w:rPr>
        <w:t>本项目需要落实的政府采购政策：</w:t>
      </w:r>
      <w:r>
        <w:rPr>
          <w:rFonts w:hint="eastAsia" w:ascii="宋体" w:hAnsi="宋体" w:cs="宋体"/>
          <w:color w:val="auto"/>
          <w:szCs w:val="21"/>
          <w:highlight w:val="none"/>
        </w:rPr>
        <w:t>促进中小企业发展等。</w:t>
      </w:r>
    </w:p>
    <w:p w14:paraId="39FA018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1.4</w:t>
      </w:r>
      <w:r>
        <w:rPr>
          <w:rFonts w:hint="eastAsia" w:ascii="宋体" w:hAnsi="宋体" w:cs="宋体"/>
          <w:color w:val="auto"/>
          <w:szCs w:val="21"/>
          <w:highlight w:val="none"/>
          <w:lang w:eastAsia="zh-CN"/>
        </w:rPr>
        <w:t>标项</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本次采购为专门面向中小企业，服务承接企业均应为中小企业（其中，小微企业包括视同为小型、微型企业的监狱企业、残疾人福利性单位）</w:t>
      </w:r>
      <w:r>
        <w:rPr>
          <w:rFonts w:hint="eastAsia" w:ascii="宋体" w:hAnsi="宋体" w:cs="宋体"/>
          <w:color w:val="auto"/>
          <w:szCs w:val="21"/>
          <w:highlight w:val="none"/>
          <w:lang w:eastAsia="zh-CN"/>
        </w:rPr>
        <w:t>，</w:t>
      </w:r>
      <w:r>
        <w:rPr>
          <w:rFonts w:hint="eastAsia" w:ascii="宋体" w:hAnsi="宋体" w:cs="宋体"/>
          <w:color w:val="auto"/>
          <w:szCs w:val="21"/>
          <w:highlight w:val="none"/>
        </w:rPr>
        <w:t>采购标的对应的中小企业划分标准所属行业为</w:t>
      </w:r>
      <w:r>
        <w:rPr>
          <w:rFonts w:hint="eastAsia" w:ascii="宋体" w:hAnsi="宋体" w:cs="宋体"/>
          <w:b/>
          <w:bCs/>
          <w:color w:val="auto"/>
          <w:szCs w:val="21"/>
          <w:highlight w:val="none"/>
          <w:u w:val="single"/>
        </w:rPr>
        <w:t>软件和信息技术服务业</w:t>
      </w:r>
      <w:r>
        <w:rPr>
          <w:rFonts w:hint="eastAsia" w:ascii="宋体" w:hAnsi="宋体" w:cs="宋体"/>
          <w:color w:val="auto"/>
          <w:szCs w:val="21"/>
          <w:highlight w:val="none"/>
        </w:rPr>
        <w:t>。</w:t>
      </w:r>
    </w:p>
    <w:p w14:paraId="41B7A8F9">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1.5本项目将对节能产品、环境标志产品给予政策性因素技术加分，投标产品如属于节能产品、环境标志产品的，供应商须提供由国家确定的认证机构出具的、处于有效期之内的节能产品、环境标志产品认证证书，未按要求提供认证证书或认证证书与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s="宋体"/>
          <w:color w:val="auto"/>
          <w:szCs w:val="21"/>
          <w:highlight w:val="none"/>
        </w:rPr>
        <w:t>www.ccgp.gov.cn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）节能产品、环境标志产品查询结果不相符的评标委员会将不予认可，不得享受技术加分。由多个产品集成的项目（标项），必须所有产品符合上述要求才能享受技术加分（本项目不适用）</w:t>
      </w:r>
      <w:r>
        <w:rPr>
          <w:rFonts w:hint="eastAsia" w:ascii="宋体" w:hAnsi="宋体" w:cs="宋体"/>
          <w:color w:val="auto"/>
          <w:szCs w:val="21"/>
          <w:highlight w:val="none"/>
          <w:lang w:eastAsia="zh-CN"/>
        </w:rPr>
        <w:t>。</w:t>
      </w:r>
    </w:p>
    <w:p w14:paraId="5CF9D956">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1.6评标委员会成员对需要共同认定的事项存在争议的，应当按照少数服从多数的原则作出结论。</w:t>
      </w:r>
    </w:p>
    <w:p w14:paraId="69BB1029">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二、评标程序</w:t>
      </w:r>
    </w:p>
    <w:p w14:paraId="669BE27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b/>
          <w:color w:val="auto"/>
          <w:szCs w:val="21"/>
          <w:highlight w:val="none"/>
        </w:rPr>
      </w:pPr>
      <w:r>
        <w:rPr>
          <w:rFonts w:hint="eastAsia" w:ascii="宋体" w:hAnsi="宋体" w:cs="宋体"/>
          <w:color w:val="auto"/>
          <w:szCs w:val="21"/>
          <w:highlight w:val="none"/>
        </w:rPr>
        <w:t>2.1初步审查：包含资格性审查和符合性审查。资格性审查是指</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或代理机构根据“附表1资格性审查表”的要求对投标文件逐一进行评审。符合性审查是指评标委员会根据“附表2符合性审查表”的要求对投标文件逐一进行评审。</w:t>
      </w:r>
      <w:r>
        <w:rPr>
          <w:rFonts w:hint="eastAsia" w:ascii="宋体" w:hAnsi="宋体" w:cs="宋体"/>
          <w:b/>
          <w:color w:val="auto"/>
          <w:szCs w:val="21"/>
          <w:highlight w:val="none"/>
        </w:rPr>
        <w:t>资格性审查和符合性审查中，有任意一项审查结论不合格的，作无效标处理。</w:t>
      </w:r>
    </w:p>
    <w:p w14:paraId="4288490B">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2.2</w:t>
      </w:r>
      <w:r>
        <w:rPr>
          <w:rFonts w:hint="eastAsia" w:ascii="宋体" w:hAnsi="宋体" w:cs="宋体"/>
          <w:color w:val="auto"/>
          <w:szCs w:val="21"/>
          <w:highlight w:val="none"/>
          <w:lang w:val="zh-CN"/>
        </w:rPr>
        <w:t>比较与评价：</w:t>
      </w:r>
      <w:r>
        <w:rPr>
          <w:rFonts w:hint="eastAsia" w:ascii="宋体" w:hAnsi="宋体" w:cs="宋体"/>
          <w:color w:val="auto"/>
          <w:szCs w:val="21"/>
          <w:highlight w:val="none"/>
        </w:rPr>
        <w:t>评标委员会根据“附表3评分标准（兼评委打分表）”的要求，</w:t>
      </w:r>
      <w:r>
        <w:rPr>
          <w:rFonts w:hint="eastAsia" w:ascii="宋体" w:hAnsi="宋体" w:cs="宋体"/>
          <w:color w:val="auto"/>
          <w:szCs w:val="21"/>
          <w:highlight w:val="none"/>
          <w:lang w:val="zh-CN"/>
        </w:rPr>
        <w:t>对照投标文件的应答进行比较，判定其偏差性质和程度，</w:t>
      </w:r>
      <w:r>
        <w:rPr>
          <w:rFonts w:hint="eastAsia" w:ascii="宋体" w:hAnsi="宋体" w:cs="宋体"/>
          <w:color w:val="auto"/>
          <w:szCs w:val="21"/>
          <w:highlight w:val="none"/>
        </w:rPr>
        <w:t>由评标委员会成员在分值范围内自行评分。供应商商务和技术得分为各评标委员会成员有效评分的算术平均值（小数点后保留二位数）。</w:t>
      </w:r>
    </w:p>
    <w:p w14:paraId="78CE0B8F">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2.3在评标过程中，发现的价格计算错误按下述原则修正：</w:t>
      </w:r>
    </w:p>
    <w:p w14:paraId="7BA5CCBA">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（1）投标文件中开标一览表内容与投标文件中相应内容不一致的，以开标一览表为准；</w:t>
      </w:r>
    </w:p>
    <w:p w14:paraId="0F05C46C">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256BAFEB">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（3）单价金额小数点或者百分比有明显错位的，以开标一览表的总价为准，并修改单价；</w:t>
      </w:r>
    </w:p>
    <w:p w14:paraId="6563C6F6">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3005B30F">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highlight w:val="none"/>
        </w:rPr>
      </w:pPr>
      <w:r>
        <w:rPr>
          <w:rFonts w:hint="eastAsia" w:ascii="宋体" w:hAnsi="宋体" w:cs="宋体"/>
          <w:color w:val="auto"/>
          <w:szCs w:val="21"/>
          <w:highlight w:val="none"/>
        </w:rPr>
        <w:t>同时出现两种以上不一致的，按照前款规定的顺序修正。修正后的报价经供应商确认后</w:t>
      </w:r>
      <w:r>
        <w:rPr>
          <w:rFonts w:hint="eastAsia" w:ascii="宋体" w:hAnsi="宋体" w:cs="宋体"/>
          <w:color w:val="auto"/>
          <w:szCs w:val="21"/>
          <w:highlight w:val="none"/>
          <w:lang w:eastAsia="zh-CN"/>
        </w:rPr>
        <w:t>具有</w:t>
      </w:r>
      <w:r>
        <w:rPr>
          <w:rFonts w:hint="eastAsia" w:ascii="宋体" w:hAnsi="宋体" w:cs="宋体"/>
          <w:color w:val="auto"/>
          <w:szCs w:val="21"/>
          <w:highlight w:val="none"/>
        </w:rPr>
        <w:t>约束力，</w:t>
      </w:r>
      <w:r>
        <w:rPr>
          <w:rFonts w:hint="eastAsia" w:ascii="宋体" w:hAnsi="宋体" w:cs="宋体"/>
          <w:color w:val="auto"/>
          <w:szCs w:val="21"/>
          <w:highlight w:val="none"/>
          <w:lang w:eastAsia="zh-CN"/>
        </w:rPr>
        <w:t>若</w:t>
      </w:r>
      <w:r>
        <w:rPr>
          <w:rFonts w:hint="eastAsia" w:ascii="宋体" w:hAnsi="宋体" w:cs="宋体"/>
          <w:color w:val="auto"/>
          <w:szCs w:val="21"/>
          <w:highlight w:val="none"/>
        </w:rPr>
        <w:t>供应商不确认的，</w:t>
      </w:r>
      <w:r>
        <w:rPr>
          <w:rFonts w:hint="eastAsia" w:ascii="宋体" w:hAnsi="宋体" w:cs="宋体"/>
          <w:color w:val="auto"/>
          <w:szCs w:val="21"/>
          <w:highlight w:val="none"/>
          <w:lang w:eastAsia="zh-CN"/>
        </w:rPr>
        <w:t>则</w:t>
      </w:r>
      <w:r>
        <w:rPr>
          <w:rFonts w:hint="eastAsia" w:ascii="宋体" w:hAnsi="宋体" w:cs="宋体"/>
          <w:color w:val="auto"/>
          <w:szCs w:val="21"/>
          <w:highlight w:val="none"/>
        </w:rPr>
        <w:t>其投标无效。</w:t>
      </w:r>
    </w:p>
    <w:p w14:paraId="676CC8AD">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rPr>
        <w:t>2.4</w:t>
      </w:r>
      <w:r>
        <w:rPr>
          <w:rFonts w:hint="eastAsia" w:ascii="宋体" w:hAnsi="宋体" w:cs="宋体"/>
          <w:color w:val="auto"/>
          <w:highlight w:val="none"/>
        </w:rPr>
        <w:t>提供相同品牌产品且通过资格性审查、符合性审查的不同供应商参加同一标项投标的，按一家供应商计算，评审后综合得分最高的同品牌供应商获得</w:t>
      </w:r>
      <w:r>
        <w:rPr>
          <w:rFonts w:hint="eastAsia" w:ascii="宋体" w:hAnsi="宋体" w:cs="宋体"/>
          <w:color w:val="auto"/>
          <w:highlight w:val="none"/>
          <w:lang w:eastAsia="zh-CN"/>
        </w:rPr>
        <w:t>中标候选供应商</w:t>
      </w:r>
      <w:r>
        <w:rPr>
          <w:rFonts w:hint="eastAsia" w:ascii="宋体" w:hAnsi="宋体" w:cs="宋体"/>
          <w:color w:val="auto"/>
          <w:highlight w:val="none"/>
        </w:rPr>
        <w:t>推荐资格；综合得分相同的，由评标委员会采取随机</w:t>
      </w:r>
      <w:r>
        <w:rPr>
          <w:rFonts w:hint="eastAsia" w:ascii="宋体" w:hAnsi="宋体" w:cs="宋体"/>
          <w:color w:val="auto"/>
          <w:highlight w:val="none"/>
          <w:lang w:eastAsia="zh-CN"/>
        </w:rPr>
        <w:t>抽签</w:t>
      </w:r>
      <w:r>
        <w:rPr>
          <w:rFonts w:hint="eastAsia" w:ascii="宋体" w:hAnsi="宋体" w:cs="宋体"/>
          <w:color w:val="auto"/>
          <w:highlight w:val="none"/>
        </w:rPr>
        <w:t>方式确定，</w:t>
      </w:r>
      <w:r>
        <w:rPr>
          <w:rFonts w:hint="eastAsia" w:ascii="宋体" w:hAnsi="宋体" w:cs="宋体"/>
          <w:color w:val="auto"/>
          <w:highlight w:val="none"/>
          <w:lang w:eastAsia="zh-CN"/>
        </w:rPr>
        <w:t>先抽出的获得中标候选供应商推荐资格，</w:t>
      </w:r>
      <w:r>
        <w:rPr>
          <w:rFonts w:hint="eastAsia" w:ascii="宋体" w:hAnsi="宋体" w:cs="宋体"/>
          <w:color w:val="auto"/>
          <w:highlight w:val="none"/>
        </w:rPr>
        <w:t>其他同品牌供应商不作为</w:t>
      </w:r>
      <w:r>
        <w:rPr>
          <w:rFonts w:hint="eastAsia" w:ascii="宋体" w:hAnsi="宋体" w:cs="宋体"/>
          <w:color w:val="auto"/>
          <w:highlight w:val="none"/>
          <w:lang w:eastAsia="zh-CN"/>
        </w:rPr>
        <w:t>中标候选供应商</w:t>
      </w:r>
      <w:r>
        <w:rPr>
          <w:rFonts w:hint="eastAsia" w:ascii="宋体" w:hAnsi="宋体" w:cs="宋体"/>
          <w:color w:val="auto"/>
          <w:highlight w:val="none"/>
        </w:rPr>
        <w:t>（本项目不适用）</w:t>
      </w:r>
      <w:r>
        <w:rPr>
          <w:rFonts w:hint="eastAsia" w:ascii="宋体" w:hAnsi="宋体" w:cs="宋体"/>
          <w:color w:val="auto"/>
          <w:highlight w:val="none"/>
          <w:lang w:eastAsia="zh-CN"/>
        </w:rPr>
        <w:t>。</w:t>
      </w:r>
    </w:p>
    <w:p w14:paraId="1F6E4C1C">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cs="宋体"/>
          <w:color w:val="auto"/>
          <w:highlight w:val="none"/>
        </w:rPr>
        <w:t>非单一产品采购项目，多家供应商提供的核心产品品牌相同的，按上述规定处理（本项目不适用）</w:t>
      </w:r>
      <w:r>
        <w:rPr>
          <w:rFonts w:hint="eastAsia" w:ascii="宋体" w:hAnsi="宋体" w:cs="宋体"/>
          <w:color w:val="auto"/>
          <w:highlight w:val="none"/>
          <w:lang w:eastAsia="zh-CN"/>
        </w:rPr>
        <w:t>。</w:t>
      </w:r>
    </w:p>
    <w:p w14:paraId="752FD0B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2.5综合评估：经过初步审查、比较，评标委员会成员按照评分标准（兼评委打分表）规定的内容和分值设置以记名方式独立评定打分，汇总各评委对各供应商的评分，取算术平均值（小数点后保留二位数）即为各供应商的综合得分。</w:t>
      </w:r>
    </w:p>
    <w:p w14:paraId="47E78401">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2.6推荐</w:t>
      </w:r>
      <w:r>
        <w:rPr>
          <w:rFonts w:hint="eastAsia" w:ascii="宋体" w:hAnsi="宋体" w:cs="宋体"/>
          <w:color w:val="auto"/>
          <w:szCs w:val="21"/>
          <w:highlight w:val="none"/>
          <w:lang w:eastAsia="zh-CN"/>
        </w:rPr>
        <w:t>中标候选供应商</w:t>
      </w:r>
      <w:r>
        <w:rPr>
          <w:rFonts w:hint="eastAsia" w:ascii="宋体" w:hAnsi="宋体" w:cs="宋体"/>
          <w:color w:val="auto"/>
          <w:szCs w:val="21"/>
          <w:highlight w:val="none"/>
        </w:rPr>
        <w:t>：按综合得分由高到低</w:t>
      </w:r>
      <w:r>
        <w:rPr>
          <w:rFonts w:hint="eastAsia" w:ascii="宋体" w:hAnsi="宋体" w:cs="宋体"/>
          <w:color w:val="auto"/>
          <w:szCs w:val="21"/>
          <w:highlight w:val="none"/>
          <w:lang w:eastAsia="zh-CN"/>
        </w:rPr>
        <w:t>进行</w:t>
      </w:r>
      <w:r>
        <w:rPr>
          <w:rFonts w:hint="eastAsia" w:ascii="宋体" w:hAnsi="宋体" w:cs="宋体"/>
          <w:color w:val="auto"/>
          <w:szCs w:val="21"/>
          <w:highlight w:val="none"/>
        </w:rPr>
        <w:t>排序，推荐</w:t>
      </w:r>
      <w:r>
        <w:rPr>
          <w:rFonts w:hint="eastAsia" w:ascii="宋体" w:hAnsi="宋体" w:cs="宋体"/>
          <w:color w:val="auto"/>
          <w:szCs w:val="21"/>
          <w:highlight w:val="none"/>
          <w:lang w:eastAsia="zh-CN"/>
        </w:rPr>
        <w:t>中标候选供应商</w:t>
      </w:r>
      <w:r>
        <w:rPr>
          <w:rFonts w:hint="eastAsia" w:ascii="宋体" w:hAnsi="宋体" w:cs="宋体"/>
          <w:color w:val="auto"/>
          <w:szCs w:val="21"/>
          <w:highlight w:val="none"/>
        </w:rPr>
        <w:t>。若供应商的综合得分相等，则投标报价低者列前；若投标报价也相同时，</w:t>
      </w:r>
      <w:r>
        <w:rPr>
          <w:rFonts w:hint="eastAsia" w:ascii="宋体" w:hAnsi="宋体" w:cs="宋体"/>
          <w:color w:val="auto"/>
          <w:szCs w:val="21"/>
          <w:highlight w:val="none"/>
          <w:lang w:eastAsia="zh-CN"/>
        </w:rPr>
        <w:t>则</w:t>
      </w:r>
      <w:r>
        <w:rPr>
          <w:rFonts w:hint="eastAsia" w:ascii="宋体" w:hAnsi="宋体" w:cs="宋体"/>
          <w:color w:val="auto"/>
          <w:szCs w:val="21"/>
          <w:highlight w:val="none"/>
        </w:rPr>
        <w:t>采取随机抽签的方式确定排序</w:t>
      </w:r>
      <w:r>
        <w:rPr>
          <w:rFonts w:hint="eastAsia" w:ascii="宋体" w:hAnsi="宋体" w:cs="宋体"/>
          <w:color w:val="auto"/>
          <w:szCs w:val="21"/>
          <w:highlight w:val="none"/>
          <w:lang w:eastAsia="zh-CN"/>
        </w:rPr>
        <w:t>，先抽出的排序列前</w:t>
      </w:r>
      <w:r>
        <w:rPr>
          <w:rFonts w:hint="eastAsia" w:ascii="宋体" w:hAnsi="宋体" w:cs="宋体"/>
          <w:color w:val="auto"/>
          <w:szCs w:val="21"/>
          <w:highlight w:val="none"/>
        </w:rPr>
        <w:t>。</w:t>
      </w:r>
    </w:p>
    <w:p w14:paraId="3CAAE318">
      <w:pPr>
        <w:keepNext w:val="0"/>
        <w:keepLines w:val="0"/>
        <w:pageBreakBefore w:val="0"/>
        <w:kinsoku/>
        <w:wordWrap/>
        <w:overflowPunct/>
        <w:topLinePunct w:val="0"/>
        <w:autoSpaceDE/>
        <w:autoSpaceDN/>
        <w:bidi w:val="0"/>
        <w:adjustRightInd/>
        <w:snapToGrid/>
        <w:spacing w:line="400" w:lineRule="exact"/>
        <w:ind w:firstLine="422" w:firstLineChars="200"/>
        <w:jc w:val="left"/>
        <w:textAlignment w:val="auto"/>
        <w:rPr>
          <w:rFonts w:ascii="宋体" w:hAnsi="宋体" w:cs="宋体"/>
          <w:b/>
          <w:color w:val="auto"/>
          <w:szCs w:val="21"/>
          <w:highlight w:val="none"/>
        </w:rPr>
      </w:pPr>
      <w:r>
        <w:rPr>
          <w:rFonts w:hint="eastAsia" w:ascii="宋体" w:hAnsi="宋体" w:cs="宋体"/>
          <w:b/>
          <w:color w:val="auto"/>
          <w:szCs w:val="21"/>
          <w:highlight w:val="none"/>
        </w:rPr>
        <w:t>2.3确定中标供应商</w:t>
      </w:r>
    </w:p>
    <w:p w14:paraId="54F20157">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评标委员会按综合得分由高到低</w:t>
      </w:r>
      <w:r>
        <w:rPr>
          <w:rFonts w:hint="eastAsia" w:ascii="宋体" w:hAnsi="宋体" w:cs="宋体"/>
          <w:color w:val="auto"/>
          <w:szCs w:val="21"/>
          <w:highlight w:val="none"/>
          <w:lang w:eastAsia="zh-CN"/>
        </w:rPr>
        <w:t>进行</w:t>
      </w:r>
      <w:r>
        <w:rPr>
          <w:rFonts w:hint="eastAsia" w:ascii="宋体" w:hAnsi="宋体" w:cs="宋体"/>
          <w:color w:val="auto"/>
          <w:szCs w:val="21"/>
          <w:highlight w:val="none"/>
        </w:rPr>
        <w:t>排序，向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推荐</w:t>
      </w:r>
      <w:r>
        <w:rPr>
          <w:rFonts w:hint="eastAsia" w:ascii="宋体" w:hAnsi="宋体" w:cs="宋体"/>
          <w:color w:val="auto"/>
          <w:szCs w:val="21"/>
          <w:highlight w:val="none"/>
          <w:lang w:eastAsia="zh-CN"/>
        </w:rPr>
        <w:t>中标候选供应商</w:t>
      </w:r>
      <w:r>
        <w:rPr>
          <w:rFonts w:hint="eastAsia" w:ascii="宋体" w:hAnsi="宋体" w:cs="宋体"/>
          <w:color w:val="auto"/>
          <w:szCs w:val="21"/>
          <w:highlight w:val="none"/>
        </w:rPr>
        <w:t>。代理机构应当自评审结束之日起2个工作日内将评审报告送交</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应当自收到评审报告之日起5个工作日内在评审报告推荐的</w:t>
      </w:r>
      <w:r>
        <w:rPr>
          <w:rFonts w:hint="eastAsia" w:ascii="宋体" w:hAnsi="宋体" w:cs="宋体"/>
          <w:color w:val="auto"/>
          <w:szCs w:val="21"/>
          <w:highlight w:val="none"/>
          <w:lang w:eastAsia="zh-CN"/>
        </w:rPr>
        <w:t>中标候选供应商</w:t>
      </w:r>
      <w:r>
        <w:rPr>
          <w:rFonts w:hint="eastAsia" w:ascii="宋体" w:hAnsi="宋体" w:cs="宋体"/>
          <w:color w:val="auto"/>
          <w:szCs w:val="21"/>
          <w:highlight w:val="none"/>
        </w:rPr>
        <w:t>中，按顺序确定1名中标供应商。中标供应商因不可抗力或者自身原因不能履行政府采购合同的，</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可以按照评审报告推荐的</w:t>
      </w:r>
      <w:r>
        <w:rPr>
          <w:rFonts w:hint="eastAsia" w:ascii="宋体" w:hAnsi="宋体" w:cs="宋体"/>
          <w:color w:val="auto"/>
          <w:szCs w:val="21"/>
          <w:highlight w:val="none"/>
          <w:lang w:eastAsia="zh-CN"/>
        </w:rPr>
        <w:t>中标候选供应商名单排序，确定</w:t>
      </w:r>
      <w:r>
        <w:rPr>
          <w:rFonts w:hint="eastAsia" w:ascii="宋体" w:hAnsi="宋体" w:cs="宋体"/>
          <w:color w:val="auto"/>
          <w:szCs w:val="21"/>
          <w:highlight w:val="none"/>
        </w:rPr>
        <w:t>下一</w:t>
      </w:r>
      <w:r>
        <w:rPr>
          <w:rFonts w:hint="eastAsia" w:ascii="宋体" w:hAnsi="宋体" w:cs="宋体"/>
          <w:color w:val="auto"/>
          <w:szCs w:val="21"/>
          <w:highlight w:val="none"/>
          <w:lang w:eastAsia="zh-CN"/>
        </w:rPr>
        <w:t>中标候选供应商</w:t>
      </w:r>
      <w:r>
        <w:rPr>
          <w:rFonts w:hint="eastAsia" w:ascii="宋体" w:hAnsi="宋体" w:cs="宋体"/>
          <w:color w:val="auto"/>
          <w:szCs w:val="21"/>
          <w:highlight w:val="none"/>
        </w:rPr>
        <w:t>为中标供应商</w:t>
      </w:r>
      <w:r>
        <w:rPr>
          <w:rFonts w:hint="eastAsia" w:ascii="宋体" w:hAnsi="宋体" w:cs="宋体"/>
          <w:color w:val="auto"/>
          <w:szCs w:val="21"/>
          <w:highlight w:val="none"/>
          <w:lang w:eastAsia="zh-CN"/>
        </w:rPr>
        <w:t>，也可以重新开展政府采购活动</w:t>
      </w:r>
      <w:r>
        <w:rPr>
          <w:rFonts w:hint="eastAsia" w:ascii="宋体" w:hAnsi="宋体" w:cs="宋体"/>
          <w:color w:val="auto"/>
          <w:szCs w:val="21"/>
          <w:highlight w:val="none"/>
        </w:rPr>
        <w:t>。</w:t>
      </w:r>
    </w:p>
    <w:p w14:paraId="5987CF9F">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b/>
          <w:color w:val="auto"/>
          <w:szCs w:val="21"/>
          <w:highlight w:val="none"/>
        </w:rPr>
      </w:pPr>
      <w:r>
        <w:rPr>
          <w:rFonts w:hint="eastAsia" w:ascii="宋体" w:hAnsi="宋体" w:cs="宋体"/>
          <w:b/>
          <w:color w:val="auto"/>
          <w:szCs w:val="21"/>
          <w:highlight w:val="none"/>
        </w:rPr>
        <w:t>三、投标的澄清</w:t>
      </w:r>
    </w:p>
    <w:p w14:paraId="6D6B8C3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3.1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14:paraId="0D8D8CB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3.2政采云具体操作如下：</w:t>
      </w:r>
    </w:p>
    <w:p w14:paraId="2713B2C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在评审过程中，如评标委员会对投标文件有疑问，由评标委员会组长将问题汇总后发函，或由采购代理机构代替发起。供应商在截止时间前，予以回复。此回复将作为投标文件内容的一部分，具有相应的法律效力。</w:t>
      </w:r>
    </w:p>
    <w:p w14:paraId="3DA62E8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路径：用户中心—项目采购—询标澄清</w:t>
      </w:r>
    </w:p>
    <w:p w14:paraId="79089DC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（1）政采云平台通过待办事项和短信提醒供应商在截止时间前完成澄清。</w:t>
      </w:r>
    </w:p>
    <w:p w14:paraId="6A89D86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（2）供应商在“询标澄清-待办理”标签页下选择状态为“待澄清”的项目，点击操作栏【澄清】。</w:t>
      </w:r>
    </w:p>
    <w:p w14:paraId="373C22F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（3）查看函内容，在澄清截止时间前上传澄清文件并对澄清文件进行签章（注：澄清文件必须以PDF格式上传，文件大小：50M）</w:t>
      </w:r>
      <w:r>
        <w:rPr>
          <w:rFonts w:hint="eastAsia" w:ascii="宋体" w:hAnsi="宋体" w:cs="宋体"/>
          <w:color w:val="auto"/>
          <w:highlight w:val="none"/>
          <w:lang w:eastAsia="zh-CN"/>
        </w:rPr>
        <w:t>。</w:t>
      </w:r>
    </w:p>
    <w:p w14:paraId="2304E82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（4）签章完成，文件名称处显示“已签章”，供应商可“撤回签章”修改澄清函和“查看文件”。</w:t>
      </w:r>
    </w:p>
    <w:p w14:paraId="0FFDC5D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5）确认澄清文件内容后，点击右上角【提交】（注：供应商未对澄清文件签章，提交时，弹框提醒“澄清文件未签章，请进行签章操作”，如遇CA突发情况无法签章，供应商可点击【放弃签章并提交】提交澄清文件；反之则签章后再提交）</w:t>
      </w:r>
      <w:r>
        <w:rPr>
          <w:rFonts w:hint="eastAsia" w:ascii="宋体" w:hAnsi="宋体" w:cs="宋体"/>
          <w:color w:val="auto"/>
          <w:highlight w:val="none"/>
          <w:lang w:eastAsia="zh-CN"/>
        </w:rPr>
        <w:t>。</w:t>
      </w:r>
    </w:p>
    <w:p w14:paraId="083F744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（6）完成状态：供应商澄清文件提交成功后，在“询标澄清-全部”标签页下显示状态为“已澄清”。</w:t>
      </w:r>
    </w:p>
    <w:p w14:paraId="0E5F3EE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3.3开标现场，供应商安排</w:t>
      </w:r>
      <w:r>
        <w:rPr>
          <w:rFonts w:hint="eastAsia" w:ascii="宋体" w:hAnsi="宋体" w:cs="宋体"/>
          <w:color w:val="auto"/>
          <w:szCs w:val="21"/>
          <w:highlight w:val="none"/>
        </w:rPr>
        <w:t>法定代表人或授权代表到场的，则由</w:t>
      </w:r>
      <w:r>
        <w:rPr>
          <w:rFonts w:hint="eastAsia" w:ascii="宋体" w:hAnsi="宋体" w:cs="宋体"/>
          <w:color w:val="auto"/>
          <w:highlight w:val="none"/>
        </w:rPr>
        <w:t>评标委员会组长将问题汇总后向供应商发出书面“</w:t>
      </w:r>
      <w:r>
        <w:rPr>
          <w:rFonts w:hint="eastAsia" w:ascii="宋体" w:hAnsi="宋体" w:cs="宋体"/>
          <w:color w:val="auto"/>
          <w:highlight w:val="none"/>
          <w:lang w:eastAsia="zh-CN"/>
        </w:rPr>
        <w:t>投标</w:t>
      </w:r>
      <w:r>
        <w:rPr>
          <w:rFonts w:hint="eastAsia" w:ascii="宋体" w:hAnsi="宋体" w:cs="宋体"/>
          <w:color w:val="auto"/>
          <w:highlight w:val="none"/>
        </w:rPr>
        <w:t>文件问题澄清通知”，供应商应对需要澄清的问题作</w:t>
      </w:r>
      <w:r>
        <w:rPr>
          <w:rFonts w:hint="eastAsia" w:ascii="宋体" w:hAnsi="宋体" w:cs="宋体"/>
          <w:color w:val="auto"/>
          <w:highlight w:val="none"/>
          <w:lang w:eastAsia="zh-CN"/>
        </w:rPr>
        <w:t>出</w:t>
      </w:r>
      <w:r>
        <w:rPr>
          <w:rFonts w:hint="eastAsia" w:ascii="宋体" w:hAnsi="宋体" w:cs="宋体"/>
          <w:color w:val="auto"/>
          <w:highlight w:val="none"/>
        </w:rPr>
        <w:t>书面回答，该书面澄清应当由</w:t>
      </w:r>
      <w:r>
        <w:rPr>
          <w:rFonts w:hint="eastAsia" w:ascii="宋体" w:hAnsi="宋体" w:cs="宋体"/>
          <w:color w:val="auto"/>
          <w:szCs w:val="21"/>
          <w:highlight w:val="none"/>
        </w:rPr>
        <w:t>供应商的法定代表人或授权代表签字</w:t>
      </w:r>
      <w:r>
        <w:rPr>
          <w:rFonts w:hint="eastAsia" w:ascii="宋体" w:hAnsi="宋体" w:cs="宋体"/>
          <w:color w:val="auto"/>
          <w:highlight w:val="none"/>
        </w:rPr>
        <w:t>或者加盖供应商公章。书面澄清将作为投标文件内容的一部分，具有相应的法律效力。</w:t>
      </w:r>
    </w:p>
    <w:p w14:paraId="268B1B7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highlight w:val="none"/>
        </w:rPr>
      </w:pPr>
      <w:r>
        <w:rPr>
          <w:rFonts w:hint="eastAsia" w:ascii="宋体" w:hAnsi="宋体" w:cs="宋体"/>
          <w:color w:val="auto"/>
          <w:highlight w:val="none"/>
        </w:rPr>
        <w:t>3.4供应商未在截止时间前完成澄清，将被视作自动放弃。</w:t>
      </w:r>
    </w:p>
    <w:p w14:paraId="50EB2430">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b/>
          <w:color w:val="auto"/>
          <w:szCs w:val="21"/>
          <w:highlight w:val="none"/>
        </w:rPr>
        <w:t>四、特别声明：价格是评标的重要因素之一，但最低价不是中标的唯一依据。</w:t>
      </w:r>
    </w:p>
    <w:p w14:paraId="1E598D3A">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b/>
          <w:color w:val="auto"/>
          <w:szCs w:val="21"/>
          <w:highlight w:val="none"/>
        </w:rPr>
      </w:pPr>
      <w:r>
        <w:rPr>
          <w:rFonts w:hint="eastAsia" w:ascii="宋体" w:hAnsi="宋体" w:cs="宋体"/>
          <w:b/>
          <w:color w:val="auto"/>
          <w:szCs w:val="21"/>
          <w:highlight w:val="none"/>
        </w:rPr>
        <w:t>五、重新招标</w:t>
      </w:r>
    </w:p>
    <w:p w14:paraId="324715B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有下列情形之一的，</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将重新招标：</w:t>
      </w:r>
    </w:p>
    <w:p w14:paraId="23B632C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5.1投标截止时间止，</w:t>
      </w:r>
      <w:r>
        <w:rPr>
          <w:rFonts w:hint="eastAsia" w:ascii="宋体" w:hAnsi="宋体" w:cs="宋体"/>
          <w:color w:val="auto"/>
          <w:szCs w:val="21"/>
          <w:highlight w:val="none"/>
          <w:lang w:eastAsia="zh-CN"/>
        </w:rPr>
        <w:t>单个标项</w:t>
      </w:r>
      <w:r>
        <w:rPr>
          <w:rFonts w:hint="eastAsia" w:ascii="宋体" w:hAnsi="宋体" w:cs="宋体"/>
          <w:color w:val="auto"/>
          <w:szCs w:val="21"/>
          <w:highlight w:val="none"/>
        </w:rPr>
        <w:t>供应商少于3个的；</w:t>
      </w:r>
    </w:p>
    <w:p w14:paraId="1BA528E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5.2评标委员会评标过程中，</w:t>
      </w:r>
      <w:r>
        <w:rPr>
          <w:rFonts w:hint="eastAsia" w:ascii="宋体" w:hAnsi="宋体" w:cs="宋体"/>
          <w:color w:val="auto"/>
          <w:szCs w:val="21"/>
          <w:highlight w:val="none"/>
          <w:lang w:eastAsia="zh-CN"/>
        </w:rPr>
        <w:t>单个标项</w:t>
      </w:r>
      <w:r>
        <w:rPr>
          <w:rFonts w:hint="eastAsia" w:ascii="宋体" w:hAnsi="宋体" w:cs="宋体"/>
          <w:color w:val="auto"/>
          <w:szCs w:val="21"/>
          <w:highlight w:val="none"/>
        </w:rPr>
        <w:t>有效供应商少于3个的；</w:t>
      </w:r>
    </w:p>
    <w:p w14:paraId="64188DCD">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5.3评标委员会发现招标文件存在歧义、重大缺陷导致评标工作无法进行，或者招标文件内容违反国家有关强制性规定的，应当停止评标工作，与</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或者代理机构沟通并作书面记录。</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或者代理机构确认后，应当修改招标文件，重新组织招标活动。</w:t>
      </w:r>
    </w:p>
    <w:p w14:paraId="06FA486F">
      <w:pPr>
        <w:keepNext w:val="0"/>
        <w:keepLines w:val="0"/>
        <w:pageBreakBefore w:val="0"/>
        <w:kinsoku/>
        <w:wordWrap/>
        <w:overflowPunct/>
        <w:topLinePunct w:val="0"/>
        <w:autoSpaceDE/>
        <w:autoSpaceDN/>
        <w:bidi w:val="0"/>
        <w:adjustRightInd/>
        <w:spacing w:line="400" w:lineRule="exact"/>
        <w:textAlignment w:val="auto"/>
        <w:rPr>
          <w:rFonts w:ascii="宋体" w:hAnsi="宋体" w:cs="宋体"/>
          <w:color w:val="auto"/>
          <w:szCs w:val="21"/>
          <w:highlight w:val="none"/>
        </w:rPr>
      </w:pPr>
      <w:r>
        <w:rPr>
          <w:rFonts w:hint="eastAsia" w:ascii="宋体" w:hAnsi="宋体" w:cs="宋体"/>
          <w:color w:val="auto"/>
          <w:sz w:val="24"/>
          <w:szCs w:val="24"/>
          <w:highlight w:val="none"/>
        </w:rPr>
        <w:br w:type="page"/>
      </w:r>
      <w:r>
        <w:rPr>
          <w:rFonts w:hint="eastAsia" w:ascii="宋体" w:hAnsi="宋体" w:cs="宋体"/>
          <w:color w:val="auto"/>
          <w:szCs w:val="21"/>
          <w:highlight w:val="none"/>
        </w:rPr>
        <w:t xml:space="preserve">附表1：                           </w:t>
      </w:r>
    </w:p>
    <w:p w14:paraId="0CA7ABFB">
      <w:pPr>
        <w:keepNext w:val="0"/>
        <w:keepLines w:val="0"/>
        <w:pageBreakBefore w:val="0"/>
        <w:kinsoku/>
        <w:wordWrap/>
        <w:overflowPunct/>
        <w:topLinePunct w:val="0"/>
        <w:autoSpaceDE/>
        <w:autoSpaceDN/>
        <w:bidi w:val="0"/>
        <w:adjustRightInd/>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资格性审查表</w:t>
      </w:r>
    </w:p>
    <w:tbl>
      <w:tblPr>
        <w:tblStyle w:val="5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752"/>
        <w:gridCol w:w="5750"/>
      </w:tblGrid>
      <w:tr w14:paraId="091F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tcBorders>
              <w:tl2br w:val="nil"/>
              <w:tr2bl w:val="nil"/>
            </w:tcBorders>
            <w:vAlign w:val="center"/>
          </w:tcPr>
          <w:p w14:paraId="470968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序号</w:t>
            </w:r>
          </w:p>
        </w:tc>
        <w:tc>
          <w:tcPr>
            <w:tcW w:w="1501" w:type="pct"/>
            <w:tcBorders>
              <w:tl2br w:val="nil"/>
              <w:tr2bl w:val="nil"/>
            </w:tcBorders>
            <w:vAlign w:val="center"/>
          </w:tcPr>
          <w:p w14:paraId="1D1A2F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要求说明</w:t>
            </w:r>
          </w:p>
        </w:tc>
        <w:tc>
          <w:tcPr>
            <w:tcW w:w="3135" w:type="pct"/>
            <w:tcBorders>
              <w:tl2br w:val="nil"/>
              <w:tr2bl w:val="nil"/>
            </w:tcBorders>
            <w:vAlign w:val="center"/>
          </w:tcPr>
          <w:p w14:paraId="010252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审查要求</w:t>
            </w:r>
          </w:p>
        </w:tc>
      </w:tr>
      <w:tr w14:paraId="1667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tcBorders>
              <w:tl2br w:val="nil"/>
              <w:tr2bl w:val="nil"/>
            </w:tcBorders>
            <w:vAlign w:val="center"/>
          </w:tcPr>
          <w:p w14:paraId="4853C2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1501" w:type="pct"/>
            <w:tcBorders>
              <w:tl2br w:val="nil"/>
              <w:tr2bl w:val="nil"/>
            </w:tcBorders>
            <w:vAlign w:val="center"/>
          </w:tcPr>
          <w:p w14:paraId="3681C8E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满足《中华人民共和国政府采购法》第二十二条规定；未被“信用中国”（www.creditchina.gov.cn)、中国政府采购网（www.ccgp.gov.cn）列入失信被执行人、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w:t>
            </w:r>
          </w:p>
        </w:tc>
        <w:tc>
          <w:tcPr>
            <w:tcW w:w="3135" w:type="pct"/>
            <w:tcBorders>
              <w:tl2br w:val="nil"/>
              <w:tr2bl w:val="nil"/>
            </w:tcBorders>
            <w:vAlign w:val="center"/>
          </w:tcPr>
          <w:p w14:paraId="07F55D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A1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关于资格的承诺函；</w:t>
            </w:r>
          </w:p>
          <w:p w14:paraId="29F24C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A2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营业执照副本（或事业法人登记证副本或其他登记证明材料）复印件并加盖供应商公章（供应商如果有名称变更的，应提供由行政主管部门出具的变更证明文件复印件并加盖供应商公章）；</w:t>
            </w:r>
          </w:p>
          <w:p w14:paraId="4DF232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代理机构将于开标当天通过“信用中国”网站查询供应商失信被执行人、</w:t>
            </w:r>
            <w:r>
              <w:rPr>
                <w:rFonts w:hint="eastAsia" w:ascii="宋体" w:hAnsi="宋体" w:cs="宋体"/>
                <w:b/>
                <w:bCs/>
                <w:color w:val="auto"/>
                <w:szCs w:val="21"/>
                <w:highlight w:val="none"/>
                <w:lang w:eastAsia="zh-CN"/>
              </w:rPr>
              <w:t>重大税收违法失信主体</w:t>
            </w:r>
            <w:r>
              <w:rPr>
                <w:rFonts w:hint="eastAsia" w:ascii="宋体" w:hAnsi="宋体" w:cs="宋体"/>
                <w:b/>
                <w:bCs/>
                <w:color w:val="auto"/>
                <w:szCs w:val="21"/>
                <w:highlight w:val="none"/>
              </w:rPr>
              <w:t>信用记录，通过中国政府采购网查询供应商政府采购严重违法失信行为信用记录。若供应商被列入失信被执行人、</w:t>
            </w:r>
            <w:r>
              <w:rPr>
                <w:rFonts w:hint="eastAsia" w:ascii="宋体" w:hAnsi="宋体" w:cs="宋体"/>
                <w:b/>
                <w:bCs/>
                <w:color w:val="auto"/>
                <w:szCs w:val="21"/>
                <w:highlight w:val="none"/>
                <w:lang w:eastAsia="zh-CN"/>
              </w:rPr>
              <w:t>重大税收违法失信主体</w:t>
            </w:r>
            <w:r>
              <w:rPr>
                <w:rFonts w:hint="eastAsia" w:ascii="宋体" w:hAnsi="宋体" w:cs="宋体"/>
                <w:b/>
                <w:bCs/>
                <w:color w:val="auto"/>
                <w:szCs w:val="21"/>
                <w:highlight w:val="none"/>
              </w:rPr>
              <w:t>、政府采购严重违法失信行为记录名单，其资格审查为不合格，其投标将被认定为无效投标。</w:t>
            </w:r>
          </w:p>
          <w:p w14:paraId="6C32C2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b/>
                <w:bCs/>
                <w:color w:val="auto"/>
                <w:szCs w:val="21"/>
                <w:highlight w:val="none"/>
              </w:rPr>
              <w:t>若在开标当天因不可抗力事件导致无法查询且一时无法恢复查询的，可在中标公示期间对</w:t>
            </w:r>
            <w:r>
              <w:rPr>
                <w:rFonts w:hint="eastAsia" w:ascii="宋体" w:hAnsi="宋体" w:cs="宋体"/>
                <w:b/>
                <w:bCs/>
                <w:color w:val="auto"/>
                <w:szCs w:val="21"/>
                <w:highlight w:val="none"/>
                <w:lang w:eastAsia="zh-CN"/>
              </w:rPr>
              <w:t>中标候选供应商</w:t>
            </w:r>
            <w:r>
              <w:rPr>
                <w:rFonts w:hint="eastAsia" w:ascii="宋体" w:hAnsi="宋体" w:cs="宋体"/>
                <w:b/>
                <w:bCs/>
                <w:color w:val="auto"/>
                <w:szCs w:val="21"/>
                <w:highlight w:val="none"/>
              </w:rPr>
              <w:t>进行事后查询。</w:t>
            </w:r>
            <w:r>
              <w:rPr>
                <w:rFonts w:hint="eastAsia" w:ascii="宋体" w:hAnsi="宋体" w:cs="宋体"/>
                <w:b/>
                <w:bCs/>
                <w:color w:val="auto"/>
                <w:szCs w:val="21"/>
                <w:highlight w:val="none"/>
                <w:lang w:eastAsia="zh-CN"/>
              </w:rPr>
              <w:t>中标候选供应商</w:t>
            </w:r>
            <w:r>
              <w:rPr>
                <w:rFonts w:hint="eastAsia" w:ascii="宋体" w:hAnsi="宋体" w:cs="宋体"/>
                <w:b/>
                <w:bCs/>
                <w:color w:val="auto"/>
                <w:szCs w:val="21"/>
                <w:highlight w:val="none"/>
              </w:rPr>
              <w:t>被列入失信被执行人、</w:t>
            </w:r>
            <w:r>
              <w:rPr>
                <w:rFonts w:hint="eastAsia" w:ascii="宋体" w:hAnsi="宋体" w:cs="宋体"/>
                <w:b/>
                <w:bCs/>
                <w:color w:val="auto"/>
                <w:szCs w:val="21"/>
                <w:highlight w:val="none"/>
                <w:lang w:eastAsia="zh-CN"/>
              </w:rPr>
              <w:t>重大税收违法失信主体</w:t>
            </w:r>
            <w:r>
              <w:rPr>
                <w:rFonts w:hint="eastAsia" w:ascii="宋体" w:hAnsi="宋体" w:cs="宋体"/>
                <w:b/>
                <w:bCs/>
                <w:color w:val="auto"/>
                <w:szCs w:val="21"/>
                <w:highlight w:val="none"/>
              </w:rPr>
              <w:t>、政府采购严重违法失信行为记录名单的，</w:t>
            </w:r>
            <w:r>
              <w:rPr>
                <w:rFonts w:hint="eastAsia" w:ascii="宋体" w:hAnsi="宋体" w:cs="宋体"/>
                <w:b/>
                <w:bCs/>
                <w:color w:val="auto"/>
                <w:szCs w:val="21"/>
                <w:highlight w:val="none"/>
                <w:lang w:eastAsia="zh-CN"/>
              </w:rPr>
              <w:t>采购人</w:t>
            </w:r>
            <w:r>
              <w:rPr>
                <w:rFonts w:hint="eastAsia" w:ascii="宋体" w:hAnsi="宋体" w:cs="宋体"/>
                <w:b/>
                <w:bCs/>
                <w:color w:val="auto"/>
                <w:szCs w:val="21"/>
                <w:highlight w:val="none"/>
              </w:rPr>
              <w:t>将依法取消其中标资格。</w:t>
            </w:r>
          </w:p>
        </w:tc>
      </w:tr>
      <w:tr w14:paraId="1455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tcBorders>
              <w:tl2br w:val="nil"/>
              <w:tr2bl w:val="nil"/>
            </w:tcBorders>
            <w:vAlign w:val="center"/>
          </w:tcPr>
          <w:p w14:paraId="4C8926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auto"/>
                <w:szCs w:val="21"/>
                <w:highlight w:val="none"/>
              </w:rPr>
            </w:pPr>
            <w:r>
              <w:rPr>
                <w:rFonts w:hint="eastAsia" w:ascii="宋体" w:hAnsi="宋体" w:cs="宋体"/>
                <w:szCs w:val="21"/>
                <w:lang w:val="en-US" w:eastAsia="zh-CN"/>
              </w:rPr>
              <w:t>2</w:t>
            </w:r>
          </w:p>
        </w:tc>
        <w:tc>
          <w:tcPr>
            <w:tcW w:w="2752" w:type="dxa"/>
            <w:tcBorders>
              <w:tl2br w:val="nil"/>
              <w:tr2bl w:val="nil"/>
            </w:tcBorders>
            <w:vAlign w:val="center"/>
          </w:tcPr>
          <w:p w14:paraId="3A1D910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rPr>
            </w:pPr>
            <w:r>
              <w:rPr>
                <w:rFonts w:hint="eastAsia" w:ascii="宋体" w:hAnsi="宋体" w:cs="宋体"/>
              </w:rPr>
              <w:t>落实政府采购政策需满足的资格要求：标项1：专门面向中小企业</w:t>
            </w:r>
            <w:r>
              <w:rPr>
                <w:rFonts w:hint="eastAsia" w:ascii="宋体" w:hAnsi="宋体" w:cs="宋体"/>
                <w:lang w:eastAsia="zh-CN"/>
              </w:rPr>
              <w:t>，服务承接企业均应为中小企业</w:t>
            </w:r>
            <w:r>
              <w:rPr>
                <w:rFonts w:hint="eastAsia" w:ascii="宋体" w:hAnsi="宋体" w:cs="宋体"/>
              </w:rPr>
              <w:t>（其中，小微企业包括视同为小型、微型企业的监狱企业、残疾人福利性单位）。</w:t>
            </w:r>
          </w:p>
        </w:tc>
        <w:tc>
          <w:tcPr>
            <w:tcW w:w="5750" w:type="dxa"/>
            <w:tcBorders>
              <w:tl2br w:val="nil"/>
              <w:tr2bl w:val="nil"/>
            </w:tcBorders>
            <w:vAlign w:val="center"/>
          </w:tcPr>
          <w:p w14:paraId="5904C9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cs="宋体"/>
                <w:b/>
                <w:bCs/>
                <w:color w:val="auto"/>
                <w:szCs w:val="21"/>
                <w:highlight w:val="none"/>
              </w:rPr>
            </w:pPr>
            <w:r>
              <w:rPr>
                <w:rFonts w:hint="eastAsia" w:ascii="宋体" w:hAnsi="宋体" w:cs="宋体"/>
                <w:szCs w:val="21"/>
                <w:lang w:val="en-US" w:eastAsia="zh-CN"/>
              </w:rPr>
              <w:t>A3.</w:t>
            </w:r>
            <w:r>
              <w:rPr>
                <w:rFonts w:hint="eastAsia" w:ascii="宋体" w:hAnsi="宋体" w:cs="宋体"/>
                <w:szCs w:val="21"/>
              </w:rPr>
              <w:t>中小企业声明函（格式见附件）或</w:t>
            </w:r>
            <w:r>
              <w:rPr>
                <w:rFonts w:hint="eastAsia" w:ascii="宋体" w:hAnsi="宋体" w:cs="宋体"/>
                <w:szCs w:val="21"/>
                <w:lang w:val="en-US" w:eastAsia="zh-CN"/>
              </w:rPr>
              <w:t>A4.</w:t>
            </w:r>
            <w:r>
              <w:rPr>
                <w:rFonts w:hint="eastAsia" w:ascii="宋体" w:hAnsi="宋体" w:cs="宋体"/>
                <w:szCs w:val="21"/>
                <w:lang w:eastAsia="zh-CN"/>
              </w:rPr>
              <w:t>残疾人福利性单位声明函</w:t>
            </w:r>
            <w:r>
              <w:rPr>
                <w:rFonts w:hint="eastAsia" w:ascii="宋体" w:hAnsi="宋体" w:cs="宋体"/>
                <w:szCs w:val="21"/>
              </w:rPr>
              <w:t>（</w:t>
            </w:r>
            <w:r>
              <w:rPr>
                <w:rFonts w:hint="eastAsia" w:ascii="宋体" w:hAnsi="宋体" w:cs="宋体"/>
                <w:szCs w:val="21"/>
                <w:lang w:eastAsia="zh-CN"/>
              </w:rPr>
              <w:t>如有，请提供</w:t>
            </w:r>
            <w:r>
              <w:rPr>
                <w:rFonts w:hint="eastAsia" w:ascii="宋体" w:hAnsi="宋体" w:cs="宋体"/>
                <w:szCs w:val="21"/>
              </w:rPr>
              <w:t>，格式见附件）或</w:t>
            </w:r>
            <w:r>
              <w:rPr>
                <w:rFonts w:hint="eastAsia" w:ascii="宋体" w:hAnsi="宋体" w:cs="宋体"/>
                <w:szCs w:val="21"/>
                <w:lang w:val="en-US" w:eastAsia="zh-CN"/>
              </w:rPr>
              <w:t>A5.</w:t>
            </w:r>
            <w:r>
              <w:rPr>
                <w:rFonts w:hint="eastAsia" w:ascii="宋体" w:hAnsi="宋体" w:cs="宋体"/>
                <w:szCs w:val="21"/>
              </w:rPr>
              <w:t>省级以上监狱管理局、戒毒管理局（含新疆生产建设兵团）出具的属于监狱企业的证明文件（</w:t>
            </w:r>
            <w:r>
              <w:rPr>
                <w:rFonts w:hint="eastAsia" w:ascii="宋体" w:hAnsi="宋体" w:cs="宋体"/>
                <w:szCs w:val="21"/>
                <w:lang w:eastAsia="zh-CN"/>
              </w:rPr>
              <w:t>如有，请提供</w:t>
            </w:r>
            <w:r>
              <w:rPr>
                <w:rFonts w:hint="eastAsia" w:ascii="宋体" w:hAnsi="宋体" w:cs="宋体"/>
                <w:szCs w:val="21"/>
              </w:rPr>
              <w:t>）</w:t>
            </w:r>
            <w:r>
              <w:rPr>
                <w:rFonts w:hint="eastAsia" w:ascii="宋体" w:hAnsi="宋体" w:cs="宋体"/>
                <w:szCs w:val="21"/>
                <w:lang w:eastAsia="zh-CN"/>
              </w:rPr>
              <w:t>。</w:t>
            </w:r>
          </w:p>
        </w:tc>
      </w:tr>
      <w:tr w14:paraId="6351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l2br w:val="nil"/>
              <w:tr2bl w:val="nil"/>
            </w:tcBorders>
            <w:vAlign w:val="center"/>
          </w:tcPr>
          <w:p w14:paraId="2CBF86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b/>
                <w:color w:val="auto"/>
                <w:szCs w:val="21"/>
                <w:highlight w:val="none"/>
              </w:rPr>
              <w:t>资格性审查结论</w:t>
            </w:r>
          </w:p>
        </w:tc>
      </w:tr>
    </w:tbl>
    <w:p w14:paraId="5DB26F5A">
      <w:pPr>
        <w:keepNext w:val="0"/>
        <w:keepLines w:val="0"/>
        <w:pageBreakBefore w:val="0"/>
        <w:kinsoku/>
        <w:wordWrap/>
        <w:overflowPunct/>
        <w:topLinePunct w:val="0"/>
        <w:autoSpaceDE/>
        <w:autoSpaceDN/>
        <w:bidi w:val="0"/>
        <w:adjustRightInd/>
        <w:spacing w:line="400" w:lineRule="exact"/>
        <w:textAlignment w:val="auto"/>
        <w:rPr>
          <w:rFonts w:ascii="宋体" w:hAnsi="宋体" w:cs="宋体"/>
          <w:b/>
          <w:color w:val="auto"/>
          <w:highlight w:val="none"/>
        </w:rPr>
      </w:pPr>
      <w:r>
        <w:rPr>
          <w:rFonts w:hint="eastAsia" w:ascii="宋体" w:hAnsi="宋体" w:cs="宋体"/>
          <w:b/>
          <w:color w:val="auto"/>
          <w:highlight w:val="none"/>
        </w:rPr>
        <w:t>注：1</w:t>
      </w:r>
      <w:r>
        <w:rPr>
          <w:rFonts w:hint="eastAsia" w:ascii="宋体" w:hAnsi="宋体" w:cs="宋体"/>
          <w:b/>
          <w:color w:val="auto"/>
          <w:highlight w:val="none"/>
          <w:lang w:val="en-US" w:eastAsia="zh-CN"/>
        </w:rPr>
        <w:t>.</w:t>
      </w:r>
      <w:r>
        <w:rPr>
          <w:rFonts w:hint="eastAsia" w:ascii="宋体" w:hAnsi="宋体" w:cs="宋体"/>
          <w:b/>
          <w:color w:val="auto"/>
          <w:highlight w:val="none"/>
        </w:rPr>
        <w:t>上述资格证明文件未按招标文件要求附入投标文件中的，资格性审查不合格。</w:t>
      </w:r>
    </w:p>
    <w:p w14:paraId="7BEBB173">
      <w:pPr>
        <w:keepNext w:val="0"/>
        <w:keepLines w:val="0"/>
        <w:pageBreakBefore w:val="0"/>
        <w:kinsoku/>
        <w:wordWrap/>
        <w:overflowPunct/>
        <w:topLinePunct w:val="0"/>
        <w:autoSpaceDE/>
        <w:autoSpaceDN/>
        <w:bidi w:val="0"/>
        <w:adjustRightInd/>
        <w:spacing w:line="400" w:lineRule="exact"/>
        <w:ind w:firstLine="422" w:firstLineChars="200"/>
        <w:textAlignment w:val="auto"/>
        <w:rPr>
          <w:rFonts w:ascii="宋体" w:hAnsi="宋体" w:cs="宋体"/>
          <w:color w:val="auto"/>
          <w:szCs w:val="21"/>
          <w:highlight w:val="none"/>
        </w:rPr>
      </w:pPr>
      <w:r>
        <w:rPr>
          <w:rFonts w:hint="eastAsia" w:ascii="宋体" w:hAnsi="宋体" w:cs="宋体"/>
          <w:b/>
          <w:color w:val="auto"/>
          <w:highlight w:val="none"/>
        </w:rPr>
        <w:t>2</w:t>
      </w:r>
      <w:r>
        <w:rPr>
          <w:rFonts w:hint="eastAsia" w:ascii="宋体" w:hAnsi="宋体" w:cs="宋体"/>
          <w:b/>
          <w:color w:val="auto"/>
          <w:highlight w:val="none"/>
          <w:lang w:val="en-US" w:eastAsia="zh-CN"/>
        </w:rPr>
        <w:t>.</w:t>
      </w:r>
      <w:r>
        <w:rPr>
          <w:rFonts w:hint="eastAsia" w:ascii="宋体" w:hAnsi="宋体" w:cs="宋体"/>
          <w:b/>
          <w:color w:val="auto"/>
          <w:highlight w:val="none"/>
        </w:rPr>
        <w:t>上述审查项目中，任意一项不符合的，资格性审查不合格。</w:t>
      </w:r>
      <w:r>
        <w:rPr>
          <w:rFonts w:hint="eastAsia" w:ascii="宋体" w:hAnsi="宋体" w:cs="宋体"/>
          <w:b/>
          <w:color w:val="auto"/>
          <w:szCs w:val="21"/>
          <w:highlight w:val="none"/>
        </w:rPr>
        <w:br w:type="page"/>
      </w:r>
    </w:p>
    <w:p w14:paraId="70AB48FA">
      <w:pPr>
        <w:keepNext w:val="0"/>
        <w:keepLines w:val="0"/>
        <w:pageBreakBefore w:val="0"/>
        <w:kinsoku/>
        <w:wordWrap/>
        <w:overflowPunct/>
        <w:topLinePunct w:val="0"/>
        <w:autoSpaceDE/>
        <w:autoSpaceDN/>
        <w:bidi w:val="0"/>
        <w:adjustRightIn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附表2：</w:t>
      </w:r>
    </w:p>
    <w:p w14:paraId="78F41CE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符合性审查表</w:t>
      </w:r>
    </w:p>
    <w:tbl>
      <w:tblPr>
        <w:tblStyle w:val="5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4132"/>
        <w:gridCol w:w="4335"/>
      </w:tblGrid>
      <w:tr w14:paraId="5905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tcPr>
          <w:p w14:paraId="22508E7C">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序号</w:t>
            </w:r>
          </w:p>
        </w:tc>
        <w:tc>
          <w:tcPr>
            <w:tcW w:w="2254" w:type="pct"/>
            <w:tcBorders>
              <w:tl2br w:val="nil"/>
              <w:tr2bl w:val="nil"/>
            </w:tcBorders>
            <w:vAlign w:val="center"/>
          </w:tcPr>
          <w:p w14:paraId="0069C740">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要求说明</w:t>
            </w:r>
          </w:p>
        </w:tc>
        <w:tc>
          <w:tcPr>
            <w:tcW w:w="2363" w:type="pct"/>
            <w:tcBorders>
              <w:tl2br w:val="nil"/>
              <w:tr2bl w:val="nil"/>
            </w:tcBorders>
            <w:vAlign w:val="center"/>
          </w:tcPr>
          <w:p w14:paraId="50818E68">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审查要求</w:t>
            </w:r>
          </w:p>
        </w:tc>
      </w:tr>
      <w:tr w14:paraId="144A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058422BA">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2254" w:type="pct"/>
            <w:tcBorders>
              <w:tl2br w:val="nil"/>
              <w:tr2bl w:val="nil"/>
            </w:tcBorders>
            <w:vAlign w:val="center"/>
          </w:tcPr>
          <w:p w14:paraId="7E8C90CE">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投标有效期：符合第二章“投标须知”第六、1条的要求。</w:t>
            </w:r>
          </w:p>
        </w:tc>
        <w:tc>
          <w:tcPr>
            <w:tcW w:w="2363" w:type="pct"/>
            <w:tcBorders>
              <w:tl2br w:val="nil"/>
              <w:tr2bl w:val="nil"/>
            </w:tcBorders>
            <w:vAlign w:val="center"/>
          </w:tcPr>
          <w:p w14:paraId="6BD7DB40">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提供“投标书”。</w:t>
            </w:r>
          </w:p>
        </w:tc>
      </w:tr>
      <w:tr w14:paraId="12F1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2B1F0226">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2</w:t>
            </w:r>
          </w:p>
        </w:tc>
        <w:tc>
          <w:tcPr>
            <w:tcW w:w="2254" w:type="pct"/>
            <w:tcBorders>
              <w:tl2br w:val="nil"/>
              <w:tr2bl w:val="nil"/>
            </w:tcBorders>
            <w:vAlign w:val="center"/>
          </w:tcPr>
          <w:p w14:paraId="2353BB37">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法定代表人身份证明、法定代表人授权书。</w:t>
            </w:r>
          </w:p>
        </w:tc>
        <w:tc>
          <w:tcPr>
            <w:tcW w:w="2363" w:type="pct"/>
            <w:tcBorders>
              <w:tl2br w:val="nil"/>
              <w:tr2bl w:val="nil"/>
            </w:tcBorders>
            <w:vAlign w:val="center"/>
          </w:tcPr>
          <w:p w14:paraId="2CFB7FF8">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（1）投标文件由法定代表人签字的，提供“法定代表人身份证明”。</w:t>
            </w:r>
          </w:p>
          <w:p w14:paraId="72D550D9">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u w:val="single"/>
              </w:rPr>
              <w:t>投标文件由授权代表签字的，提供“法定代表人身份证明”和“法定代表人授权书”。</w:t>
            </w:r>
          </w:p>
        </w:tc>
      </w:tr>
      <w:tr w14:paraId="5127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4FCE390E">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3</w:t>
            </w:r>
          </w:p>
        </w:tc>
        <w:tc>
          <w:tcPr>
            <w:tcW w:w="2254" w:type="pct"/>
            <w:tcBorders>
              <w:tl2br w:val="nil"/>
              <w:tr2bl w:val="nil"/>
            </w:tcBorders>
            <w:vAlign w:val="center"/>
          </w:tcPr>
          <w:p w14:paraId="58395775">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符合第二章“投标须知”第九、1条的要求。</w:t>
            </w:r>
          </w:p>
        </w:tc>
        <w:tc>
          <w:tcPr>
            <w:tcW w:w="2363" w:type="pct"/>
            <w:tcBorders>
              <w:tl2br w:val="nil"/>
              <w:tr2bl w:val="nil"/>
            </w:tcBorders>
            <w:vAlign w:val="center"/>
          </w:tcPr>
          <w:p w14:paraId="64C4974A">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投标文件的签署盖章。</w:t>
            </w:r>
          </w:p>
        </w:tc>
      </w:tr>
      <w:tr w14:paraId="6C1A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3A93D7FE">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4</w:t>
            </w:r>
          </w:p>
        </w:tc>
        <w:tc>
          <w:tcPr>
            <w:tcW w:w="2254" w:type="pct"/>
            <w:tcBorders>
              <w:tl2br w:val="nil"/>
              <w:tr2bl w:val="nil"/>
            </w:tcBorders>
            <w:vAlign w:val="center"/>
          </w:tcPr>
          <w:p w14:paraId="2253D37C">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对同个标项不允许提供两个投标方案。</w:t>
            </w:r>
          </w:p>
        </w:tc>
        <w:tc>
          <w:tcPr>
            <w:tcW w:w="2363" w:type="pct"/>
            <w:tcBorders>
              <w:tl2br w:val="nil"/>
              <w:tr2bl w:val="nil"/>
            </w:tcBorders>
            <w:vAlign w:val="center"/>
          </w:tcPr>
          <w:p w14:paraId="2FDC76A9">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是否有两个投标方案。</w:t>
            </w:r>
          </w:p>
        </w:tc>
      </w:tr>
      <w:tr w14:paraId="6414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7D027DAE">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5</w:t>
            </w:r>
          </w:p>
        </w:tc>
        <w:tc>
          <w:tcPr>
            <w:tcW w:w="2254" w:type="pct"/>
            <w:tcBorders>
              <w:tl2br w:val="nil"/>
              <w:tr2bl w:val="nil"/>
            </w:tcBorders>
            <w:vAlign w:val="center"/>
          </w:tcPr>
          <w:p w14:paraId="49A69AEB">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供应商不得在投标活动中提供任何虚假材料或从事其他违法活动的。</w:t>
            </w:r>
          </w:p>
        </w:tc>
        <w:tc>
          <w:tcPr>
            <w:tcW w:w="2363" w:type="pct"/>
            <w:tcBorders>
              <w:tl2br w:val="nil"/>
              <w:tr2bl w:val="nil"/>
            </w:tcBorders>
            <w:vAlign w:val="center"/>
          </w:tcPr>
          <w:p w14:paraId="18388290">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不得提供任何虚假材料或从事其他违法活动。</w:t>
            </w:r>
          </w:p>
        </w:tc>
      </w:tr>
      <w:tr w14:paraId="4177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3E067A0B">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6</w:t>
            </w:r>
          </w:p>
        </w:tc>
        <w:tc>
          <w:tcPr>
            <w:tcW w:w="2254" w:type="pct"/>
            <w:tcBorders>
              <w:tl2br w:val="nil"/>
              <w:tr2bl w:val="nil"/>
            </w:tcBorders>
            <w:vAlign w:val="center"/>
          </w:tcPr>
          <w:p w14:paraId="4BCCE943">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highlight w:val="none"/>
              </w:rPr>
            </w:pPr>
            <w:r>
              <w:rPr>
                <w:rFonts w:hint="eastAsia" w:ascii="宋体" w:hAnsi="宋体" w:cs="宋体"/>
                <w:color w:val="auto"/>
                <w:highlight w:val="none"/>
              </w:rPr>
              <w:t>评标委员会经过审查，认定供应商虚假应标、串通投标的，有下列情形之一的，视为供应商串通投标：</w:t>
            </w:r>
          </w:p>
          <w:p w14:paraId="433B9BC7">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highlight w:val="none"/>
              </w:rPr>
            </w:pPr>
            <w:r>
              <w:rPr>
                <w:rFonts w:hint="eastAsia" w:ascii="宋体" w:hAnsi="宋体" w:cs="宋体"/>
                <w:color w:val="auto"/>
                <w:highlight w:val="none"/>
              </w:rPr>
              <w:t>（1）不同供应商的投标文件由同一单位或者个人编制；</w:t>
            </w:r>
          </w:p>
          <w:p w14:paraId="44D0AD2B">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highlight w:val="none"/>
              </w:rPr>
            </w:pPr>
            <w:r>
              <w:rPr>
                <w:rFonts w:hint="eastAsia" w:ascii="宋体" w:hAnsi="宋体" w:cs="宋体"/>
                <w:color w:val="auto"/>
                <w:highlight w:val="none"/>
              </w:rPr>
              <w:t>（2）不同供应商委托同一单位或者个人办理投标事宜；</w:t>
            </w:r>
          </w:p>
          <w:p w14:paraId="49583130">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highlight w:val="none"/>
              </w:rPr>
            </w:pPr>
            <w:r>
              <w:rPr>
                <w:rFonts w:hint="eastAsia" w:ascii="宋体" w:hAnsi="宋体" w:cs="宋体"/>
                <w:color w:val="auto"/>
                <w:highlight w:val="none"/>
              </w:rPr>
              <w:t>（3）不同供应商的投标文件载明的项目管理成员或者联系人员为同一人；</w:t>
            </w:r>
          </w:p>
          <w:p w14:paraId="308B288C">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highlight w:val="none"/>
              </w:rPr>
            </w:pPr>
            <w:r>
              <w:rPr>
                <w:rFonts w:hint="eastAsia" w:ascii="宋体" w:hAnsi="宋体" w:cs="宋体"/>
                <w:color w:val="auto"/>
                <w:highlight w:val="none"/>
              </w:rPr>
              <w:t>（4）不同供应商的投标文件异常一致或者投标报价呈规律性差异；</w:t>
            </w:r>
          </w:p>
          <w:p w14:paraId="783C2BAC">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highlight w:val="none"/>
              </w:rPr>
            </w:pPr>
            <w:r>
              <w:rPr>
                <w:rFonts w:hint="eastAsia" w:ascii="宋体" w:hAnsi="宋体" w:cs="宋体"/>
                <w:color w:val="auto"/>
                <w:highlight w:val="none"/>
              </w:rPr>
              <w:t>（5）不同供应商的投标文件相互混装。</w:t>
            </w:r>
          </w:p>
        </w:tc>
        <w:tc>
          <w:tcPr>
            <w:tcW w:w="2363" w:type="pct"/>
            <w:tcBorders>
              <w:tl2br w:val="nil"/>
              <w:tr2bl w:val="nil"/>
            </w:tcBorders>
            <w:vAlign w:val="center"/>
          </w:tcPr>
          <w:p w14:paraId="76F27775">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不得有所述情形。</w:t>
            </w:r>
          </w:p>
        </w:tc>
      </w:tr>
      <w:tr w14:paraId="77A4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515011FF">
            <w:pPr>
              <w:keepNext w:val="0"/>
              <w:keepLines w:val="0"/>
              <w:pageBreakBefore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2254" w:type="pct"/>
            <w:tcBorders>
              <w:tl2br w:val="nil"/>
              <w:tr2bl w:val="nil"/>
            </w:tcBorders>
            <w:vAlign w:val="center"/>
          </w:tcPr>
          <w:p w14:paraId="271A2795">
            <w:pPr>
              <w:snapToGrid w:val="0"/>
              <w:spacing w:line="400" w:lineRule="exact"/>
              <w:rPr>
                <w:rFonts w:hint="eastAsia" w:ascii="宋体" w:hAnsi="宋体" w:cs="宋体"/>
                <w:color w:val="auto"/>
                <w:highlight w:val="none"/>
              </w:rPr>
            </w:pPr>
            <w:r>
              <w:rPr>
                <w:rFonts w:hint="eastAsia" w:ascii="宋体" w:hAnsi="宋体" w:cs="宋体"/>
              </w:rPr>
              <w:t>参与同一个采购包（标项）的供应商存在下列情形之一且无法合理解释的，其投标（响应）文件无效：</w:t>
            </w:r>
          </w:p>
        </w:tc>
        <w:tc>
          <w:tcPr>
            <w:tcW w:w="2363" w:type="pct"/>
            <w:tcBorders>
              <w:tl2br w:val="nil"/>
              <w:tr2bl w:val="nil"/>
            </w:tcBorders>
            <w:vAlign w:val="center"/>
          </w:tcPr>
          <w:p w14:paraId="4B032D8E">
            <w:pPr>
              <w:snapToGrid w:val="0"/>
              <w:spacing w:line="400" w:lineRule="exact"/>
              <w:rPr>
                <w:rFonts w:ascii="宋体" w:hAnsi="宋体" w:cs="宋体"/>
                <w:szCs w:val="21"/>
              </w:rPr>
            </w:pPr>
            <w:r>
              <w:rPr>
                <w:rFonts w:hint="eastAsia" w:ascii="宋体" w:hAnsi="宋体" w:cs="宋体"/>
                <w:szCs w:val="21"/>
              </w:rPr>
              <w:t>1.不同供应商的电子投标（响应）文件上传计算机的网卡MAC地址或硬盘序列号等硬件信息相同的；</w:t>
            </w:r>
          </w:p>
          <w:p w14:paraId="687A7D7C">
            <w:pPr>
              <w:snapToGrid w:val="0"/>
              <w:spacing w:line="400" w:lineRule="exact"/>
              <w:rPr>
                <w:rFonts w:ascii="宋体" w:hAnsi="宋体" w:cs="宋体"/>
                <w:szCs w:val="21"/>
              </w:rPr>
            </w:pPr>
            <w:r>
              <w:rPr>
                <w:rFonts w:hint="eastAsia" w:ascii="宋体" w:hAnsi="宋体" w:cs="宋体"/>
                <w:szCs w:val="21"/>
              </w:rPr>
              <w:t>2.上传的电子投标（响应）文件若出现使用本项目其他投标（响应）供应商的数字证书加密的，或者加盖本项目其他投标（响应）供应商的电子印章的；</w:t>
            </w:r>
          </w:p>
          <w:p w14:paraId="121E3ACF">
            <w:pPr>
              <w:snapToGrid w:val="0"/>
              <w:spacing w:line="400" w:lineRule="exact"/>
              <w:rPr>
                <w:rFonts w:ascii="宋体" w:hAnsi="宋体" w:cs="宋体"/>
                <w:szCs w:val="21"/>
              </w:rPr>
            </w:pPr>
            <w:r>
              <w:rPr>
                <w:rFonts w:hint="eastAsia" w:ascii="宋体" w:hAnsi="宋体" w:cs="宋体"/>
                <w:szCs w:val="21"/>
              </w:rPr>
              <w:t>3.不同供应商的投标（响应）文件的内容存在3处（含）以上错误一致的；</w:t>
            </w:r>
          </w:p>
          <w:p w14:paraId="08655801">
            <w:pPr>
              <w:snapToGrid w:val="0"/>
              <w:spacing w:line="400" w:lineRule="exact"/>
              <w:rPr>
                <w:rFonts w:ascii="宋体" w:hAnsi="宋体" w:cs="宋体"/>
                <w:szCs w:val="21"/>
              </w:rPr>
            </w:pPr>
            <w:r>
              <w:rPr>
                <w:rFonts w:hint="eastAsia" w:ascii="宋体" w:hAnsi="宋体" w:cs="宋体"/>
                <w:szCs w:val="21"/>
              </w:rPr>
              <w:t>4.不同供应商联系人为同一人或不同联系人的联系电话一致的。</w:t>
            </w:r>
          </w:p>
          <w:p w14:paraId="42A63C7B">
            <w:pPr>
              <w:snapToGrid w:val="0"/>
              <w:spacing w:line="400" w:lineRule="exact"/>
              <w:rPr>
                <w:rFonts w:hint="eastAsia" w:ascii="宋体" w:hAnsi="宋体" w:cs="宋体"/>
                <w:color w:val="auto"/>
                <w:szCs w:val="21"/>
                <w:highlight w:val="none"/>
              </w:rPr>
            </w:pPr>
            <w:r>
              <w:rPr>
                <w:rFonts w:hint="eastAsia" w:ascii="宋体" w:hAnsi="宋体" w:cs="宋体"/>
                <w:szCs w:val="21"/>
              </w:rPr>
              <w:t>5.不同供应商在相同Internet主机分配地址（相同IP地址）获取采购文件或网上投标（响应）的。</w:t>
            </w:r>
          </w:p>
        </w:tc>
      </w:tr>
      <w:tr w14:paraId="4552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2C68CDCF">
            <w:pPr>
              <w:keepNext w:val="0"/>
              <w:keepLines w:val="0"/>
              <w:pageBreakBefore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2254" w:type="pct"/>
            <w:tcBorders>
              <w:tl2br w:val="nil"/>
              <w:tr2bl w:val="nil"/>
            </w:tcBorders>
            <w:vAlign w:val="center"/>
          </w:tcPr>
          <w:p w14:paraId="35DB72ED">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符合法律、法规和招标文件中规定的其他实质性要求（实质性要求招标文件中“★”标记）。</w:t>
            </w:r>
          </w:p>
        </w:tc>
        <w:tc>
          <w:tcPr>
            <w:tcW w:w="2363" w:type="pct"/>
            <w:tcBorders>
              <w:tl2br w:val="nil"/>
              <w:tr2bl w:val="nil"/>
            </w:tcBorders>
            <w:vAlign w:val="center"/>
          </w:tcPr>
          <w:p w14:paraId="0595A99A">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符合所述要求。</w:t>
            </w:r>
          </w:p>
        </w:tc>
      </w:tr>
      <w:tr w14:paraId="2EF9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619FE43B">
            <w:pPr>
              <w:keepNext w:val="0"/>
              <w:keepLines w:val="0"/>
              <w:pageBreakBefore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p>
        </w:tc>
        <w:tc>
          <w:tcPr>
            <w:tcW w:w="2254" w:type="pct"/>
            <w:tcBorders>
              <w:tl2br w:val="nil"/>
              <w:tr2bl w:val="nil"/>
            </w:tcBorders>
            <w:vAlign w:val="center"/>
          </w:tcPr>
          <w:p w14:paraId="057AABDA">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本项目不接受联合体投标。</w:t>
            </w:r>
          </w:p>
        </w:tc>
        <w:tc>
          <w:tcPr>
            <w:tcW w:w="2363" w:type="pct"/>
            <w:tcBorders>
              <w:tl2br w:val="nil"/>
              <w:tr2bl w:val="nil"/>
            </w:tcBorders>
            <w:vAlign w:val="center"/>
          </w:tcPr>
          <w:p w14:paraId="4060B88B">
            <w:pPr>
              <w:keepNext w:val="0"/>
              <w:keepLines w:val="0"/>
              <w:pageBreakBefore w:val="0"/>
              <w:kinsoku/>
              <w:wordWrap/>
              <w:overflowPunct/>
              <w:topLinePunct w:val="0"/>
              <w:autoSpaceDE/>
              <w:autoSpaceDN/>
              <w:bidi w:val="0"/>
              <w:adjustRightInd/>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供应商非联合体投标。</w:t>
            </w:r>
          </w:p>
        </w:tc>
      </w:tr>
      <w:tr w14:paraId="6C9F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0A0320D4">
            <w:pPr>
              <w:keepNext w:val="0"/>
              <w:keepLines w:val="0"/>
              <w:pageBreakBefore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2254" w:type="pct"/>
            <w:tcBorders>
              <w:tl2br w:val="nil"/>
              <w:tr2bl w:val="nil"/>
            </w:tcBorders>
            <w:vAlign w:val="center"/>
          </w:tcPr>
          <w:p w14:paraId="4F127E86">
            <w:pPr>
              <w:spacing w:line="400" w:lineRule="exact"/>
              <w:jc w:val="left"/>
              <w:rPr>
                <w:rFonts w:ascii="宋体" w:hAnsi="宋体" w:cs="宋体"/>
                <w:szCs w:val="21"/>
              </w:rPr>
            </w:pPr>
            <w:r>
              <w:rPr>
                <w:rFonts w:hint="eastAsia" w:ascii="宋体" w:hAnsi="宋体" w:cs="宋体"/>
                <w:szCs w:val="21"/>
              </w:rPr>
              <w:t>本次公开招标设有预算金额（最高限价），投标报价超过对应标项预算金额（最高限价）的投标将作为无效投标。</w:t>
            </w:r>
          </w:p>
          <w:p w14:paraId="15F8CB75">
            <w:pPr>
              <w:spacing w:line="400" w:lineRule="exact"/>
              <w:jc w:val="left"/>
              <w:rPr>
                <w:rFonts w:ascii="宋体" w:hAnsi="宋体" w:cs="宋体"/>
                <w:color w:val="auto"/>
                <w:szCs w:val="21"/>
                <w:highlight w:val="none"/>
              </w:rPr>
            </w:pPr>
            <w:r>
              <w:rPr>
                <w:rFonts w:hint="eastAsia" w:ascii="宋体" w:hAnsi="宋体" w:cs="宋体"/>
                <w:szCs w:val="21"/>
              </w:rPr>
              <w:t>本项目预算金额（最高限价）详见招标文件第一章“采购公告”。</w:t>
            </w:r>
          </w:p>
        </w:tc>
        <w:tc>
          <w:tcPr>
            <w:tcW w:w="2363" w:type="pct"/>
            <w:tcBorders>
              <w:tl2br w:val="nil"/>
              <w:tr2bl w:val="nil"/>
            </w:tcBorders>
            <w:vAlign w:val="center"/>
          </w:tcPr>
          <w:p w14:paraId="3014F1D7">
            <w:pPr>
              <w:spacing w:line="400" w:lineRule="exact"/>
              <w:rPr>
                <w:rFonts w:ascii="宋体" w:hAnsi="宋体" w:cs="宋体"/>
                <w:color w:val="auto"/>
                <w:szCs w:val="21"/>
                <w:highlight w:val="none"/>
              </w:rPr>
            </w:pPr>
            <w:r>
              <w:rPr>
                <w:rFonts w:hint="eastAsia" w:ascii="宋体" w:hAnsi="宋体" w:cs="宋体"/>
                <w:szCs w:val="21"/>
              </w:rPr>
              <w:t>提供“开标一览表”。</w:t>
            </w:r>
          </w:p>
        </w:tc>
      </w:tr>
      <w:tr w14:paraId="2533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tcBorders>
              <w:tl2br w:val="nil"/>
              <w:tr2bl w:val="nil"/>
            </w:tcBorders>
            <w:vAlign w:val="center"/>
          </w:tcPr>
          <w:p w14:paraId="1A02F876">
            <w:pPr>
              <w:keepNext w:val="0"/>
              <w:keepLines w:val="0"/>
              <w:pageBreakBefore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2254" w:type="pct"/>
            <w:tcBorders>
              <w:tl2br w:val="nil"/>
              <w:tr2bl w:val="nil"/>
            </w:tcBorders>
            <w:vAlign w:val="center"/>
          </w:tcPr>
          <w:p w14:paraId="3B832595">
            <w:pPr>
              <w:keepNext w:val="0"/>
              <w:keepLines w:val="0"/>
              <w:pageBreakBefore w:val="0"/>
              <w:kinsoku/>
              <w:wordWrap/>
              <w:overflowPunct/>
              <w:topLinePunct w:val="0"/>
              <w:autoSpaceDE/>
              <w:autoSpaceDN/>
              <w:bidi w:val="0"/>
              <w:adjustRightIn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评标委员会认为供应商的报价明显低于其他通过初步审查的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363" w:type="pct"/>
            <w:tcBorders>
              <w:tl2br w:val="nil"/>
              <w:tr2bl w:val="nil"/>
            </w:tcBorders>
            <w:vAlign w:val="center"/>
          </w:tcPr>
          <w:p w14:paraId="41C2ABC3">
            <w:pPr>
              <w:keepNext w:val="0"/>
              <w:keepLines w:val="0"/>
              <w:pageBreakBefore w:val="0"/>
              <w:kinsoku/>
              <w:wordWrap/>
              <w:overflowPunct/>
              <w:topLinePunct w:val="0"/>
              <w:autoSpaceDE/>
              <w:autoSpaceDN/>
              <w:bidi w:val="0"/>
              <w:adjustRightIn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符合所述要求。</w:t>
            </w:r>
          </w:p>
        </w:tc>
      </w:tr>
      <w:tr w14:paraId="40D7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l2br w:val="nil"/>
              <w:tr2bl w:val="nil"/>
            </w:tcBorders>
            <w:vAlign w:val="center"/>
          </w:tcPr>
          <w:p w14:paraId="7CFBC52C">
            <w:pPr>
              <w:keepNext w:val="0"/>
              <w:keepLines w:val="0"/>
              <w:pageBreakBefore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highlight w:val="none"/>
              </w:rPr>
            </w:pPr>
            <w:r>
              <w:rPr>
                <w:rFonts w:hint="eastAsia" w:ascii="宋体" w:hAnsi="宋体" w:cs="宋体"/>
                <w:b/>
                <w:color w:val="auto"/>
                <w:szCs w:val="21"/>
                <w:highlight w:val="none"/>
              </w:rPr>
              <w:t>符合性审查结论</w:t>
            </w:r>
          </w:p>
        </w:tc>
      </w:tr>
    </w:tbl>
    <w:p w14:paraId="6046947C">
      <w:pPr>
        <w:keepNext w:val="0"/>
        <w:keepLines w:val="0"/>
        <w:pageBreakBefore w:val="0"/>
        <w:kinsoku/>
        <w:wordWrap/>
        <w:overflowPunct/>
        <w:topLinePunct w:val="0"/>
        <w:autoSpaceDE/>
        <w:autoSpaceDN/>
        <w:bidi w:val="0"/>
        <w:adjustRightInd/>
        <w:spacing w:line="400" w:lineRule="exact"/>
        <w:textAlignment w:val="auto"/>
        <w:rPr>
          <w:rFonts w:ascii="宋体" w:hAnsi="宋体" w:cs="宋体"/>
          <w:b/>
          <w:color w:val="auto"/>
          <w:highlight w:val="none"/>
        </w:rPr>
      </w:pPr>
      <w:r>
        <w:rPr>
          <w:rFonts w:hint="eastAsia" w:ascii="宋体" w:hAnsi="宋体" w:cs="宋体"/>
          <w:b/>
          <w:color w:val="auto"/>
          <w:highlight w:val="none"/>
        </w:rPr>
        <w:t>注：1</w:t>
      </w:r>
      <w:r>
        <w:rPr>
          <w:rFonts w:hint="eastAsia" w:ascii="宋体" w:hAnsi="宋体" w:cs="宋体"/>
          <w:b/>
          <w:color w:val="auto"/>
          <w:highlight w:val="none"/>
          <w:lang w:val="en-US" w:eastAsia="zh-CN"/>
        </w:rPr>
        <w:t>.</w:t>
      </w:r>
      <w:r>
        <w:rPr>
          <w:rFonts w:hint="eastAsia" w:ascii="宋体" w:hAnsi="宋体" w:cs="宋体"/>
          <w:b/>
          <w:color w:val="auto"/>
          <w:highlight w:val="none"/>
        </w:rPr>
        <w:t>上述审查项目中，任意一项不符合的，符合性审查不合格。</w:t>
      </w:r>
    </w:p>
    <w:p w14:paraId="6DF64B5A">
      <w:pPr>
        <w:keepNext w:val="0"/>
        <w:keepLines w:val="0"/>
        <w:pageBreakBefore w:val="0"/>
        <w:kinsoku/>
        <w:wordWrap/>
        <w:overflowPunct/>
        <w:topLinePunct w:val="0"/>
        <w:autoSpaceDE/>
        <w:autoSpaceDN/>
        <w:bidi w:val="0"/>
        <w:adjustRightInd/>
        <w:spacing w:line="400" w:lineRule="exact"/>
        <w:ind w:firstLine="413" w:firstLineChars="196"/>
        <w:textAlignment w:val="auto"/>
        <w:rPr>
          <w:rFonts w:ascii="宋体" w:hAnsi="宋体" w:cs="宋体"/>
          <w:color w:val="auto"/>
          <w:szCs w:val="21"/>
          <w:highlight w:val="none"/>
        </w:rPr>
      </w:pPr>
      <w:r>
        <w:rPr>
          <w:rFonts w:hint="eastAsia" w:ascii="宋体" w:hAnsi="宋体" w:cs="宋体"/>
          <w:b/>
          <w:color w:val="auto"/>
          <w:highlight w:val="none"/>
        </w:rPr>
        <w:t>2</w:t>
      </w:r>
      <w:r>
        <w:rPr>
          <w:rFonts w:hint="eastAsia" w:ascii="宋体" w:hAnsi="宋体" w:cs="宋体"/>
          <w:b/>
          <w:color w:val="auto"/>
          <w:highlight w:val="none"/>
          <w:lang w:val="en-US" w:eastAsia="zh-CN"/>
        </w:rPr>
        <w:t>.</w:t>
      </w:r>
      <w:r>
        <w:rPr>
          <w:rFonts w:hint="eastAsia" w:ascii="宋体" w:hAnsi="宋体" w:cs="宋体"/>
          <w:b/>
          <w:color w:val="auto"/>
          <w:highlight w:val="none"/>
        </w:rPr>
        <w:t>序号3-序号</w:t>
      </w:r>
      <w:r>
        <w:rPr>
          <w:rFonts w:hint="eastAsia" w:ascii="宋体" w:hAnsi="宋体" w:cs="宋体"/>
          <w:b/>
          <w:color w:val="auto"/>
          <w:highlight w:val="none"/>
          <w:lang w:val="en-US" w:eastAsia="zh-CN"/>
        </w:rPr>
        <w:t>9</w:t>
      </w:r>
      <w:r>
        <w:rPr>
          <w:rFonts w:hint="eastAsia" w:ascii="宋体" w:hAnsi="宋体" w:cs="宋体"/>
          <w:b/>
          <w:color w:val="auto"/>
          <w:highlight w:val="none"/>
        </w:rPr>
        <w:t>、序号1</w:t>
      </w:r>
      <w:r>
        <w:rPr>
          <w:rFonts w:hint="eastAsia" w:ascii="宋体" w:hAnsi="宋体" w:cs="宋体"/>
          <w:b/>
          <w:color w:val="auto"/>
          <w:highlight w:val="none"/>
          <w:lang w:val="en-US" w:eastAsia="zh-CN"/>
        </w:rPr>
        <w:t>1</w:t>
      </w:r>
      <w:r>
        <w:rPr>
          <w:rFonts w:hint="eastAsia" w:ascii="宋体" w:hAnsi="宋体" w:cs="宋体"/>
          <w:b/>
          <w:color w:val="auto"/>
          <w:highlight w:val="none"/>
        </w:rPr>
        <w:t>在政采云上无须添加关联点。</w:t>
      </w:r>
    </w:p>
    <w:p w14:paraId="73F56737">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附表3：</w:t>
      </w:r>
    </w:p>
    <w:p w14:paraId="59819E0E">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outlineLvl w:val="9"/>
        <w:rPr>
          <w:rFonts w:ascii="宋体" w:hAnsi="宋体" w:cs="宋体"/>
          <w:color w:val="auto"/>
          <w:szCs w:val="21"/>
          <w:highlight w:val="none"/>
        </w:rPr>
      </w:pPr>
      <w:r>
        <w:rPr>
          <w:rFonts w:hint="eastAsia" w:ascii="宋体" w:hAnsi="宋体" w:cs="宋体"/>
          <w:b/>
          <w:color w:val="auto"/>
          <w:szCs w:val="21"/>
          <w:highlight w:val="none"/>
        </w:rPr>
        <w:t>评分标准（兼评委打分表）</w:t>
      </w:r>
    </w:p>
    <w:p w14:paraId="36C0C1E5">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rPr>
        <w:t>项目编号：</w:t>
      </w:r>
      <w:r>
        <w:rPr>
          <w:rFonts w:hint="eastAsia" w:ascii="宋体" w:hAnsi="宋体" w:cs="宋体"/>
          <w:b/>
          <w:color w:val="auto"/>
          <w:szCs w:val="21"/>
          <w:highlight w:val="none"/>
          <w:lang w:eastAsia="zh-CN"/>
        </w:rPr>
        <w:t>NBITC-202530430G</w:t>
      </w:r>
    </w:p>
    <w:tbl>
      <w:tblPr>
        <w:tblStyle w:val="52"/>
        <w:tblW w:w="9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320"/>
        <w:gridCol w:w="6450"/>
        <w:gridCol w:w="667"/>
      </w:tblGrid>
      <w:tr w14:paraId="665A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499" w:type="dxa"/>
            <w:gridSpan w:val="3"/>
            <w:tcBorders>
              <w:tl2br w:val="nil"/>
              <w:tr2bl w:val="nil"/>
            </w:tcBorders>
            <w:vAlign w:val="center"/>
          </w:tcPr>
          <w:p w14:paraId="1A774BB0">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供应商评分明细</w:t>
            </w:r>
          </w:p>
        </w:tc>
        <w:tc>
          <w:tcPr>
            <w:tcW w:w="667" w:type="dxa"/>
            <w:tcBorders>
              <w:tl2br w:val="nil"/>
              <w:tr2bl w:val="nil"/>
            </w:tcBorders>
            <w:vAlign w:val="center"/>
          </w:tcPr>
          <w:p w14:paraId="42B4FFB6">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满分</w:t>
            </w:r>
          </w:p>
          <w:p w14:paraId="163AB27A">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分值</w:t>
            </w:r>
          </w:p>
        </w:tc>
      </w:tr>
      <w:tr w14:paraId="2D8A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restart"/>
            <w:tcBorders>
              <w:tl2br w:val="nil"/>
              <w:tr2bl w:val="nil"/>
            </w:tcBorders>
            <w:vAlign w:val="center"/>
          </w:tcPr>
          <w:p w14:paraId="24B901CC">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技术7</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tc>
        <w:tc>
          <w:tcPr>
            <w:tcW w:w="1320" w:type="dxa"/>
            <w:vMerge w:val="restart"/>
            <w:tcBorders>
              <w:tl2br w:val="nil"/>
              <w:tr2bl w:val="nil"/>
            </w:tcBorders>
            <w:vAlign w:val="center"/>
          </w:tcPr>
          <w:p w14:paraId="4E15EE44">
            <w:pPr>
              <w:keepNext w:val="0"/>
              <w:keepLines w:val="0"/>
              <w:pageBreakBefore w:val="0"/>
              <w:widowControl w:val="0"/>
              <w:kinsoku/>
              <w:overflowPunct/>
              <w:topLinePunct w:val="0"/>
              <w:autoSpaceDE/>
              <w:autoSpaceDN/>
              <w:bidi w:val="0"/>
              <w:adjustRightInd w:val="0"/>
              <w:snapToGrid w:val="0"/>
              <w:spacing w:line="400" w:lineRule="exact"/>
              <w:ind w:right="0" w:rightChars="0"/>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产品核心功能保障</w:t>
            </w:r>
          </w:p>
        </w:tc>
        <w:tc>
          <w:tcPr>
            <w:tcW w:w="6450" w:type="dxa"/>
            <w:tcBorders>
              <w:tl2br w:val="nil"/>
              <w:tr2bl w:val="nil"/>
            </w:tcBorders>
            <w:vAlign w:val="center"/>
          </w:tcPr>
          <w:p w14:paraId="7460E5A9">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cs="宋体"/>
                <w:snapToGrid w:val="0"/>
                <w:color w:val="auto"/>
                <w:szCs w:val="21"/>
                <w:highlight w:val="none"/>
                <w:lang w:eastAsia="zh-CN"/>
              </w:rPr>
            </w:pPr>
            <w:r>
              <w:rPr>
                <w:rFonts w:hint="eastAsia" w:ascii="宋体" w:hAnsi="宋体" w:cs="宋体"/>
                <w:snapToGrid w:val="0"/>
                <w:color w:val="auto"/>
                <w:szCs w:val="21"/>
                <w:highlight w:val="none"/>
                <w:lang w:eastAsia="zh-CN"/>
              </w:rPr>
              <w:t>根据供应商提供的产品核心功能（HIS+CIS+集成平台系统服务）保障方案（包括但不仅限于门诊挂号收费系统服务、药房管理系统服务、药库管理系统服务、皮试输液系统服务、医技管理系统服务、医保工作站服务、一体化门诊医生站服务、门诊服务台管理系统服务、会诊管理服务、抗菌药物监控管理服务、疾病报卡管理系统服务、门办管理系统服务、治疗管理系统服务、门诊手术管理系统服务、报表中心服务、运维服务平台服务、公用支持系统服务、统一支付平台服务、数据中心服务、单点登录服务、患者主索引服务、患者360视图服务、智慧BI服务、移动BI服务等）进行综合评议：</w:t>
            </w:r>
          </w:p>
          <w:p w14:paraId="24FE31E8">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功能保障方案整体架构描述详细，各系统服务保障内容描述详细，契合采购需求，可操作性强，实施计划说明完整</w:t>
            </w:r>
            <w:r>
              <w:rPr>
                <w:rFonts w:hint="eastAsia" w:ascii="宋体" w:hAnsi="宋体" w:eastAsia="宋体" w:cs="宋体"/>
                <w:i w:val="0"/>
                <w:iCs w:val="0"/>
                <w:color w:val="000000"/>
                <w:kern w:val="0"/>
                <w:sz w:val="21"/>
                <w:szCs w:val="21"/>
                <w:highlight w:val="none"/>
                <w:u w:val="none"/>
                <w:lang w:val="en-US" w:eastAsia="zh-CN" w:bidi="ar"/>
              </w:rPr>
              <w:t>的得8分；</w:t>
            </w:r>
          </w:p>
          <w:p w14:paraId="303E074F">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功能保障方案整体架构描述较详细，各系统服务保障内容描述较详细，较契合采购需求，可操作性较强，实施计划说明较完整</w:t>
            </w:r>
            <w:r>
              <w:rPr>
                <w:rFonts w:hint="eastAsia" w:ascii="宋体" w:hAnsi="宋体" w:eastAsia="宋体" w:cs="宋体"/>
                <w:i w:val="0"/>
                <w:iCs w:val="0"/>
                <w:color w:val="000000"/>
                <w:kern w:val="0"/>
                <w:sz w:val="21"/>
                <w:szCs w:val="21"/>
                <w:highlight w:val="none"/>
                <w:u w:val="none"/>
                <w:lang w:val="en-US" w:eastAsia="zh-CN" w:bidi="ar"/>
              </w:rPr>
              <w:t>的得6分；</w:t>
            </w:r>
          </w:p>
          <w:p w14:paraId="72F0B83F">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功能保障方案整体架构描述较详细但存在少许缺陷，各系统服务保障内容描述较详细但存在少许缺陷，不够契合采购需求，可操作性存在不足，实施计划说明存在疏漏</w:t>
            </w:r>
            <w:r>
              <w:rPr>
                <w:rFonts w:hint="eastAsia" w:ascii="宋体" w:hAnsi="宋体" w:eastAsia="宋体" w:cs="宋体"/>
                <w:i w:val="0"/>
                <w:iCs w:val="0"/>
                <w:color w:val="000000"/>
                <w:kern w:val="0"/>
                <w:sz w:val="21"/>
                <w:szCs w:val="21"/>
                <w:highlight w:val="none"/>
                <w:u w:val="none"/>
                <w:lang w:val="en-US" w:eastAsia="zh-CN" w:bidi="ar"/>
              </w:rPr>
              <w:t>的得4分；</w:t>
            </w:r>
          </w:p>
          <w:p w14:paraId="78006EC1">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功能保障方案整体架构描述笼统，各系统服务保障内容描述笼统，偏离采购需求，缺乏可操作性，实施计划说明零碎</w:t>
            </w:r>
            <w:r>
              <w:rPr>
                <w:rFonts w:hint="eastAsia" w:ascii="宋体" w:hAnsi="宋体" w:eastAsia="宋体" w:cs="宋体"/>
                <w:i w:val="0"/>
                <w:iCs w:val="0"/>
                <w:color w:val="000000"/>
                <w:kern w:val="0"/>
                <w:sz w:val="21"/>
                <w:szCs w:val="21"/>
                <w:highlight w:val="none"/>
                <w:u w:val="none"/>
                <w:lang w:val="en-US" w:eastAsia="zh-CN" w:bidi="ar"/>
              </w:rPr>
              <w:t>的得2分；</w:t>
            </w:r>
          </w:p>
          <w:p w14:paraId="2658FD0E">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689F7B49">
            <w:pPr>
              <w:keepNext w:val="0"/>
              <w:keepLines w:val="0"/>
              <w:pageBreakBefore w:val="0"/>
              <w:widowControl w:val="0"/>
              <w:kinsoku/>
              <w:overflowPunct/>
              <w:topLinePunct w:val="0"/>
              <w:autoSpaceDE/>
              <w:autoSpaceDN/>
              <w:bidi w:val="0"/>
              <w:adjustRightInd w:val="0"/>
              <w:snapToGrid w:val="0"/>
              <w:spacing w:line="400" w:lineRule="exact"/>
              <w:ind w:right="0" w:rightChars="0"/>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r>
      <w:tr w14:paraId="7DCD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0F0B81D1">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cs="宋体"/>
                <w:color w:val="auto"/>
                <w:szCs w:val="21"/>
                <w:highlight w:val="none"/>
              </w:rPr>
            </w:pPr>
          </w:p>
        </w:tc>
        <w:tc>
          <w:tcPr>
            <w:tcW w:w="1320" w:type="dxa"/>
            <w:vMerge w:val="continue"/>
            <w:tcBorders>
              <w:tl2br w:val="nil"/>
              <w:tr2bl w:val="nil"/>
            </w:tcBorders>
            <w:vAlign w:val="center"/>
          </w:tcPr>
          <w:p w14:paraId="33BCD9D7">
            <w:pPr>
              <w:keepNext w:val="0"/>
              <w:keepLines w:val="0"/>
              <w:pageBreakBefore w:val="0"/>
              <w:widowControl w:val="0"/>
              <w:kinsoku/>
              <w:overflowPunct/>
              <w:topLinePunct w:val="0"/>
              <w:autoSpaceDE/>
              <w:autoSpaceDN/>
              <w:bidi w:val="0"/>
              <w:adjustRightInd w:val="0"/>
              <w:snapToGrid w:val="0"/>
              <w:spacing w:line="400" w:lineRule="exact"/>
              <w:ind w:right="0" w:rightChars="0"/>
              <w:jc w:val="center"/>
              <w:textAlignment w:val="auto"/>
              <w:rPr>
                <w:rFonts w:hint="eastAsia" w:ascii="宋体" w:hAnsi="宋体" w:cs="宋体"/>
                <w:color w:val="auto"/>
                <w:szCs w:val="21"/>
                <w:highlight w:val="none"/>
                <w:lang w:val="en-US" w:eastAsia="zh-CN"/>
              </w:rPr>
            </w:pPr>
          </w:p>
        </w:tc>
        <w:tc>
          <w:tcPr>
            <w:tcW w:w="6450" w:type="dxa"/>
            <w:tcBorders>
              <w:tl2br w:val="nil"/>
              <w:tr2bl w:val="nil"/>
            </w:tcBorders>
            <w:vAlign w:val="center"/>
          </w:tcPr>
          <w:p w14:paraId="31EFD3A2">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cs="宋体"/>
                <w:snapToGrid w:val="0"/>
                <w:color w:val="auto"/>
                <w:szCs w:val="21"/>
                <w:highlight w:val="none"/>
                <w:lang w:eastAsia="zh-CN"/>
              </w:rPr>
            </w:pPr>
            <w:r>
              <w:rPr>
                <w:rFonts w:hint="eastAsia" w:ascii="宋体" w:hAnsi="宋体" w:cs="宋体"/>
                <w:snapToGrid w:val="0"/>
                <w:color w:val="auto"/>
                <w:szCs w:val="21"/>
                <w:highlight w:val="none"/>
                <w:lang w:eastAsia="zh-CN"/>
              </w:rPr>
              <w:t>根据供应商提供的产品核心功能（配套业务系统服务）保障方案（包括但不仅限于LIS系统服务、PACS系统服务、心电管理系统服务、排队叫号系统服务、体检管理系统服务、不良事件管理系统服务、自助服务系统服务、互联网医院系统服务、微信公众号系统服务、合理用药系统服务、钉钉办公系统服务、人事管理系统服务、资产管理系统服务等）进行综合评议：</w:t>
            </w:r>
          </w:p>
          <w:p w14:paraId="0853C13C">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功能保障方案整体架构描述详细，各系统服务保障内容描述详细，契合采购需求，可操作性强，实施计划说明完整</w:t>
            </w:r>
            <w:r>
              <w:rPr>
                <w:rFonts w:hint="eastAsia" w:ascii="宋体" w:hAnsi="宋体" w:eastAsia="宋体" w:cs="宋体"/>
                <w:i w:val="0"/>
                <w:iCs w:val="0"/>
                <w:color w:val="000000"/>
                <w:kern w:val="0"/>
                <w:sz w:val="21"/>
                <w:szCs w:val="21"/>
                <w:highlight w:val="none"/>
                <w:u w:val="none"/>
                <w:lang w:val="en-US" w:eastAsia="zh-CN" w:bidi="ar"/>
              </w:rPr>
              <w:t>的得8分；</w:t>
            </w:r>
          </w:p>
          <w:p w14:paraId="73AB0A1B">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功能保障方案整体架构描述较详细，各系统服务保障内容描述较详细，较契合采购需求，可操作性较强，实施计划说明较完整</w:t>
            </w:r>
            <w:r>
              <w:rPr>
                <w:rFonts w:hint="eastAsia" w:ascii="宋体" w:hAnsi="宋体" w:eastAsia="宋体" w:cs="宋体"/>
                <w:i w:val="0"/>
                <w:iCs w:val="0"/>
                <w:color w:val="000000"/>
                <w:kern w:val="0"/>
                <w:sz w:val="21"/>
                <w:szCs w:val="21"/>
                <w:highlight w:val="none"/>
                <w:u w:val="none"/>
                <w:lang w:val="en-US" w:eastAsia="zh-CN" w:bidi="ar"/>
              </w:rPr>
              <w:t>的得6分；</w:t>
            </w:r>
          </w:p>
          <w:p w14:paraId="015A0675">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功能保障方案整体架构描述较详细但存在少许缺陷，各系统服务保障内容描述较详细但存在少许缺陷，不够契合采购需求，可操作性存在不足，实施计划说明存在疏漏</w:t>
            </w:r>
            <w:r>
              <w:rPr>
                <w:rFonts w:hint="eastAsia" w:ascii="宋体" w:hAnsi="宋体" w:eastAsia="宋体" w:cs="宋体"/>
                <w:i w:val="0"/>
                <w:iCs w:val="0"/>
                <w:color w:val="000000"/>
                <w:kern w:val="0"/>
                <w:sz w:val="21"/>
                <w:szCs w:val="21"/>
                <w:highlight w:val="none"/>
                <w:u w:val="none"/>
                <w:lang w:val="en-US" w:eastAsia="zh-CN" w:bidi="ar"/>
              </w:rPr>
              <w:t>的得4分；</w:t>
            </w:r>
          </w:p>
          <w:p w14:paraId="4ED4B140">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产品核心</w:t>
            </w:r>
            <w:r>
              <w:rPr>
                <w:rFonts w:hint="eastAsia" w:ascii="宋体" w:hAnsi="宋体" w:cs="宋体"/>
                <w:i w:val="0"/>
                <w:iCs w:val="0"/>
                <w:color w:val="000000"/>
                <w:kern w:val="0"/>
                <w:sz w:val="21"/>
                <w:szCs w:val="21"/>
                <w:highlight w:val="none"/>
                <w:u w:val="none"/>
                <w:lang w:val="en-US" w:eastAsia="zh-CN" w:bidi="ar"/>
              </w:rPr>
              <w:t>功能保障方案整体架构描述笼统，各系统服务保障内容描述笼统，偏离采购需求，缺乏可操作性，实施计划说明零碎</w:t>
            </w:r>
            <w:r>
              <w:rPr>
                <w:rFonts w:hint="eastAsia" w:ascii="宋体" w:hAnsi="宋体" w:eastAsia="宋体" w:cs="宋体"/>
                <w:i w:val="0"/>
                <w:iCs w:val="0"/>
                <w:color w:val="000000"/>
                <w:kern w:val="0"/>
                <w:sz w:val="21"/>
                <w:szCs w:val="21"/>
                <w:highlight w:val="none"/>
                <w:u w:val="none"/>
                <w:lang w:val="en-US" w:eastAsia="zh-CN" w:bidi="ar"/>
              </w:rPr>
              <w:t>的得2分；</w:t>
            </w:r>
          </w:p>
          <w:p w14:paraId="71B44DA0">
            <w:pPr>
              <w:keepNext w:val="0"/>
              <w:keepLines w:val="0"/>
              <w:pageBreakBefore w:val="0"/>
              <w:widowControl w:val="0"/>
              <w:kinsoku/>
              <w:overflowPunct/>
              <w:topLinePunct w:val="0"/>
              <w:autoSpaceDE/>
              <w:autoSpaceDN/>
              <w:bidi w:val="0"/>
              <w:adjustRightInd w:val="0"/>
              <w:snapToGrid w:val="0"/>
              <w:spacing w:line="400" w:lineRule="exact"/>
              <w:ind w:right="0" w:rightChars="0"/>
              <w:textAlignment w:val="auto"/>
              <w:rPr>
                <w:rFonts w:hint="eastAsia" w:ascii="宋体" w:hAnsi="宋体" w:cs="宋体"/>
                <w:snapToGrid w:val="0"/>
                <w:color w:val="auto"/>
                <w:szCs w:val="21"/>
                <w:highlight w:val="none"/>
                <w:lang w:eastAsia="zh-CN"/>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79B6CDBE">
            <w:pPr>
              <w:keepNext w:val="0"/>
              <w:keepLines w:val="0"/>
              <w:pageBreakBefore w:val="0"/>
              <w:widowControl w:val="0"/>
              <w:kinsoku/>
              <w:overflowPunct/>
              <w:topLinePunct w:val="0"/>
              <w:autoSpaceDE/>
              <w:autoSpaceDN/>
              <w:bidi w:val="0"/>
              <w:adjustRightInd w:val="0"/>
              <w:snapToGrid w:val="0"/>
              <w:spacing w:line="400" w:lineRule="exact"/>
              <w:ind w:right="0" w:rightChars="0"/>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r>
      <w:tr w14:paraId="4634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5A70A3F8">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p>
        </w:tc>
        <w:tc>
          <w:tcPr>
            <w:tcW w:w="1320" w:type="dxa"/>
            <w:tcBorders>
              <w:tl2br w:val="nil"/>
              <w:tr2bl w:val="nil"/>
            </w:tcBorders>
            <w:vAlign w:val="center"/>
          </w:tcPr>
          <w:p w14:paraId="3CE5BEBB">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产品功能优化</w:t>
            </w:r>
          </w:p>
        </w:tc>
        <w:tc>
          <w:tcPr>
            <w:tcW w:w="6450" w:type="dxa"/>
            <w:tcBorders>
              <w:tl2br w:val="nil"/>
              <w:tr2bl w:val="nil"/>
            </w:tcBorders>
            <w:vAlign w:val="center"/>
          </w:tcPr>
          <w:p w14:paraId="1646E4CB">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根据供应商提供的</w:t>
            </w:r>
            <w:r>
              <w:rPr>
                <w:rFonts w:hint="eastAsia" w:ascii="宋体" w:hAnsi="宋体" w:cs="宋体"/>
                <w:color w:val="auto"/>
                <w:szCs w:val="21"/>
                <w:highlight w:val="none"/>
                <w:lang w:eastAsia="zh-CN"/>
              </w:rPr>
              <w:t>产品功能优化</w:t>
            </w:r>
            <w:r>
              <w:rPr>
                <w:rFonts w:hint="eastAsia" w:ascii="宋体" w:hAnsi="宋体" w:cs="宋体"/>
                <w:color w:val="auto"/>
                <w:szCs w:val="21"/>
                <w:highlight w:val="none"/>
              </w:rPr>
              <w:t>方案（</w:t>
            </w:r>
            <w:r>
              <w:rPr>
                <w:rFonts w:hint="eastAsia" w:ascii="宋体" w:hAnsi="宋体" w:cs="宋体"/>
                <w:color w:val="auto"/>
                <w:szCs w:val="21"/>
                <w:highlight w:val="none"/>
                <w:lang w:val="en-US" w:eastAsia="zh-CN"/>
              </w:rPr>
              <w:t>包括</w:t>
            </w:r>
            <w:r>
              <w:rPr>
                <w:rFonts w:hint="eastAsia" w:ascii="宋体" w:hAnsi="宋体" w:cs="宋体"/>
                <w:color w:val="auto"/>
                <w:szCs w:val="21"/>
                <w:highlight w:val="none"/>
                <w:lang w:eastAsia="zh-CN"/>
              </w:rPr>
              <w:t>但不仅限于门诊医疗业务域优化、门办管理业务域优化、治疗管理业务域优化、医学检验业务域优化、医学影像业务域优化、药事管理业务域优化、健康体检业务域优化、人事管理业务域优化、医疗质量管理业务域优化、资产管理业务域优化、运营管理业务域优化、患者管理业务域优化</w:t>
            </w:r>
            <w:r>
              <w:rPr>
                <w:rFonts w:hint="eastAsia" w:ascii="宋体" w:hAnsi="宋体" w:cs="宋体"/>
                <w:color w:val="auto"/>
                <w:szCs w:val="21"/>
                <w:highlight w:val="none"/>
              </w:rPr>
              <w:t>等）进行</w:t>
            </w:r>
            <w:r>
              <w:rPr>
                <w:rFonts w:hint="eastAsia" w:ascii="宋体" w:hAnsi="宋体" w:cs="宋体"/>
                <w:color w:val="auto"/>
                <w:szCs w:val="21"/>
                <w:highlight w:val="none"/>
                <w:lang w:eastAsia="zh-CN"/>
              </w:rPr>
              <w:t>综合</w:t>
            </w:r>
            <w:r>
              <w:rPr>
                <w:rFonts w:hint="eastAsia" w:ascii="宋体" w:hAnsi="宋体" w:cs="宋体"/>
                <w:color w:val="auto"/>
                <w:szCs w:val="21"/>
                <w:highlight w:val="none"/>
              </w:rPr>
              <w:t>评议：</w:t>
            </w:r>
          </w:p>
          <w:p w14:paraId="44C60220">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产品功能优化目标与整体思路清晰，各业务域功能优化内容详细，契合采购需求，具有创新性的优化措施，对提高工作效率、降低运营成本、改善服务质量具有实际优化操作性的</w:t>
            </w:r>
            <w:r>
              <w:rPr>
                <w:rFonts w:hint="eastAsia" w:ascii="宋体" w:hAnsi="宋体" w:cs="宋体"/>
                <w:color w:val="auto"/>
                <w:szCs w:val="21"/>
                <w:highlight w:val="none"/>
              </w:rPr>
              <w:t>得</w:t>
            </w:r>
            <w:r>
              <w:rPr>
                <w:rFonts w:ascii="宋体" w:hAnsi="宋体" w:cs="宋体"/>
                <w:color w:val="auto"/>
                <w:szCs w:val="21"/>
                <w:highlight w:val="none"/>
              </w:rPr>
              <w:t>8</w:t>
            </w:r>
            <w:r>
              <w:rPr>
                <w:rFonts w:hint="eastAsia" w:ascii="宋体" w:hAnsi="宋体" w:cs="宋体"/>
                <w:color w:val="auto"/>
                <w:szCs w:val="21"/>
                <w:highlight w:val="none"/>
              </w:rPr>
              <w:t>分；</w:t>
            </w:r>
          </w:p>
          <w:p w14:paraId="1BB5D9B4">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产品功能优化目标与整体思路较清晰，各业务域功能优化内容较详细，较契合采购需求，具有一定创新性的优化措施，对提高工作效率、降低运营成本、改善服务质量具有一定实际优化操作性</w:t>
            </w:r>
            <w:r>
              <w:rPr>
                <w:rFonts w:hint="eastAsia" w:ascii="宋体" w:hAnsi="宋体" w:cs="宋体"/>
                <w:color w:val="auto"/>
                <w:szCs w:val="21"/>
                <w:highlight w:val="none"/>
              </w:rPr>
              <w:t>的得6分；</w:t>
            </w:r>
          </w:p>
          <w:p w14:paraId="1A08E1F1">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产品功能优化目标与整体思路较清晰但存在少许缺陷，各业务域功能优化内容较详细但存在少许缺陷，不够契合采购需求，创新性的优化措施存在不足，对提高工作效率、降低运营成本、改善服务质量不够具有实际优化操作性</w:t>
            </w:r>
            <w:r>
              <w:rPr>
                <w:rFonts w:hint="eastAsia" w:ascii="宋体" w:hAnsi="宋体" w:cs="宋体"/>
                <w:color w:val="auto"/>
                <w:szCs w:val="21"/>
                <w:highlight w:val="none"/>
              </w:rPr>
              <w:t>的得4分；</w:t>
            </w:r>
          </w:p>
          <w:p w14:paraId="1E067B86">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产品功能优化目标与整体思路模糊，各业务域功能优化内容笼统，偏离采购需求，缺乏创新性的优化措施，不能提高工作效率、降低运营成本、改善服务质量</w:t>
            </w:r>
            <w:r>
              <w:rPr>
                <w:rFonts w:hint="eastAsia" w:ascii="宋体" w:hAnsi="宋体" w:cs="宋体"/>
                <w:color w:val="auto"/>
                <w:szCs w:val="21"/>
                <w:highlight w:val="none"/>
              </w:rPr>
              <w:t>的得2分；</w:t>
            </w:r>
          </w:p>
          <w:p w14:paraId="3D97343E">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1FD9B392">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8</w:t>
            </w:r>
          </w:p>
        </w:tc>
      </w:tr>
      <w:tr w14:paraId="2C78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5DD04607">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p>
        </w:tc>
        <w:tc>
          <w:tcPr>
            <w:tcW w:w="1320" w:type="dxa"/>
            <w:tcBorders>
              <w:tl2br w:val="nil"/>
              <w:tr2bl w:val="nil"/>
            </w:tcBorders>
            <w:vAlign w:val="center"/>
          </w:tcPr>
          <w:p w14:paraId="31DD9D9A">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基础运行环境保障</w:t>
            </w:r>
          </w:p>
        </w:tc>
        <w:tc>
          <w:tcPr>
            <w:tcW w:w="6450" w:type="dxa"/>
            <w:tcBorders>
              <w:tl2br w:val="nil"/>
              <w:tr2bl w:val="nil"/>
            </w:tcBorders>
            <w:vAlign w:val="center"/>
          </w:tcPr>
          <w:p w14:paraId="3C99E3CB">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根据供应商提供的基础运行环境保障</w:t>
            </w:r>
            <w:r>
              <w:rPr>
                <w:rFonts w:hint="eastAsia" w:ascii="宋体" w:hAnsi="宋体" w:cs="宋体"/>
                <w:color w:val="auto"/>
                <w:szCs w:val="21"/>
                <w:highlight w:val="none"/>
                <w:lang w:val="en-US" w:eastAsia="zh-CN"/>
              </w:rPr>
              <w:t>方案</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包括但不仅限于应用指导服务、故障诊断服务、数据错误修正服务、常见问题共享服务、需求反馈服务、程序更新服务、紧急救援服务</w:t>
            </w:r>
            <w:r>
              <w:rPr>
                <w:rFonts w:hint="eastAsia" w:ascii="宋体" w:hAnsi="宋体" w:cs="宋体"/>
                <w:color w:val="auto"/>
                <w:szCs w:val="21"/>
                <w:highlight w:val="none"/>
              </w:rPr>
              <w:t>等）进行</w:t>
            </w:r>
            <w:r>
              <w:rPr>
                <w:rFonts w:hint="eastAsia" w:ascii="宋体" w:hAnsi="宋体" w:cs="宋体"/>
                <w:color w:val="auto"/>
                <w:szCs w:val="21"/>
                <w:highlight w:val="none"/>
                <w:lang w:eastAsia="zh-CN"/>
              </w:rPr>
              <w:t>综合</w:t>
            </w:r>
            <w:r>
              <w:rPr>
                <w:rFonts w:hint="eastAsia" w:ascii="宋体" w:hAnsi="宋体" w:cs="宋体"/>
                <w:color w:val="auto"/>
                <w:szCs w:val="21"/>
                <w:highlight w:val="none"/>
              </w:rPr>
              <w:t>评议：</w:t>
            </w:r>
          </w:p>
          <w:p w14:paraId="47482A19">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基础运行环境保障方案总体目标与架构</w:t>
            </w:r>
            <w:r>
              <w:rPr>
                <w:rFonts w:hint="eastAsia" w:ascii="宋体" w:hAnsi="宋体" w:cs="宋体"/>
                <w:color w:val="auto"/>
                <w:szCs w:val="21"/>
                <w:highlight w:val="none"/>
                <w:lang w:eastAsia="zh-CN"/>
              </w:rPr>
              <w:t>清晰，实时监控机制、故障定位流程、错误检测机制、修正流程与追溯、共享与更新机制、反馈渠道建设、更新策略制定与管理、应急响应体系等服务保障内容描述详细，阶段实施、资源投入、风险评估与应对等实施计划与保障措施丰富</w:t>
            </w:r>
            <w:r>
              <w:rPr>
                <w:rFonts w:hint="eastAsia" w:ascii="宋体" w:hAnsi="宋体" w:cs="宋体"/>
                <w:color w:val="auto"/>
                <w:szCs w:val="21"/>
                <w:highlight w:val="none"/>
              </w:rPr>
              <w:t>的得</w:t>
            </w:r>
            <w:r>
              <w:rPr>
                <w:rFonts w:ascii="宋体" w:hAnsi="宋体" w:cs="宋体"/>
                <w:color w:val="auto"/>
                <w:szCs w:val="21"/>
                <w:highlight w:val="none"/>
              </w:rPr>
              <w:t>8</w:t>
            </w:r>
            <w:r>
              <w:rPr>
                <w:rFonts w:hint="eastAsia" w:ascii="宋体" w:hAnsi="宋体" w:cs="宋体"/>
                <w:color w:val="auto"/>
                <w:szCs w:val="21"/>
                <w:highlight w:val="none"/>
              </w:rPr>
              <w:t>分；</w:t>
            </w:r>
          </w:p>
          <w:p w14:paraId="5E64477D">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基础运行环境保障方案总体目标与架构</w:t>
            </w:r>
            <w:r>
              <w:rPr>
                <w:rFonts w:hint="eastAsia" w:ascii="宋体" w:hAnsi="宋体" w:cs="宋体"/>
                <w:color w:val="auto"/>
                <w:szCs w:val="21"/>
                <w:highlight w:val="none"/>
                <w:lang w:eastAsia="zh-CN"/>
              </w:rPr>
              <w:t>较清晰，实时监控机制、故障定位流程、错误检测机制、修正流程与追溯、共享与更新机制、反馈渠道建设、更新策略制定与管理、应急响应体系等服务保障内容描述较详细，阶段实施、资源投入、风险评估与应对等实施计划与保障措施较丰富</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6AEF6021">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基础运行环境保障方案总体目标与架构</w:t>
            </w:r>
            <w:r>
              <w:rPr>
                <w:rFonts w:hint="eastAsia" w:ascii="宋体" w:hAnsi="宋体" w:cs="宋体"/>
                <w:color w:val="auto"/>
                <w:szCs w:val="21"/>
                <w:highlight w:val="none"/>
                <w:lang w:eastAsia="zh-CN"/>
              </w:rPr>
              <w:t>较清晰但存在少许缺陷，实时监控机制、故障定位流程、错误检测机制、修正流程与追溯、共享与更新机制、反馈渠道建设、更新策略制定与管理、应急响应体系等服务保障内容描述较详细但存在少许缺陷或存在部分缺项，阶段实施、资源投入、风险评估与应对等实施计划与保障措施存在不足</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473737F6">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基础运行环境保障方案总体目标与架构</w:t>
            </w:r>
            <w:r>
              <w:rPr>
                <w:rFonts w:hint="eastAsia" w:ascii="宋体" w:hAnsi="宋体" w:cs="宋体"/>
                <w:color w:val="auto"/>
                <w:szCs w:val="21"/>
                <w:highlight w:val="none"/>
                <w:lang w:eastAsia="zh-CN"/>
              </w:rPr>
              <w:t>模糊，实时监控机制、故障定位流程、错误检测机制、修正流程与追溯、共享与更新机制、反馈渠道建设、更新策略制定与管理、应急响应体系等服务保障内容描述零碎或缺项较多，阶段实施、资源投入、风险评估与应对等实施计划与保障措施匮乏</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79634624">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2C006297">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ascii="宋体" w:hAnsi="宋体" w:cs="宋体"/>
                <w:color w:val="auto"/>
                <w:szCs w:val="21"/>
                <w:highlight w:val="none"/>
              </w:rPr>
              <w:t>8</w:t>
            </w:r>
          </w:p>
        </w:tc>
      </w:tr>
      <w:tr w14:paraId="00A3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55045CB9">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p>
        </w:tc>
        <w:tc>
          <w:tcPr>
            <w:tcW w:w="1320" w:type="dxa"/>
            <w:tcBorders>
              <w:tl2br w:val="nil"/>
              <w:tr2bl w:val="nil"/>
            </w:tcBorders>
            <w:vAlign w:val="center"/>
          </w:tcPr>
          <w:p w14:paraId="6483FEAD">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产品运营服务保障</w:t>
            </w:r>
          </w:p>
        </w:tc>
        <w:tc>
          <w:tcPr>
            <w:tcW w:w="6450" w:type="dxa"/>
            <w:tcBorders>
              <w:tl2br w:val="nil"/>
              <w:tr2bl w:val="nil"/>
            </w:tcBorders>
            <w:vAlign w:val="center"/>
          </w:tcPr>
          <w:p w14:paraId="16361B4E">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根据供应商提供的产品运营服务保障</w:t>
            </w:r>
            <w:r>
              <w:rPr>
                <w:rFonts w:hint="eastAsia" w:ascii="宋体" w:hAnsi="宋体" w:cs="宋体"/>
                <w:color w:val="auto"/>
                <w:szCs w:val="21"/>
                <w:highlight w:val="none"/>
                <w:lang w:val="en-US" w:eastAsia="zh-CN"/>
              </w:rPr>
              <w:t>方案</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包括但不仅限于周期人员计划、运营对象计划、运营管理、运营资料归档、运营工作报告</w:t>
            </w:r>
            <w:r>
              <w:rPr>
                <w:rFonts w:hint="eastAsia" w:ascii="宋体" w:hAnsi="宋体" w:cs="宋体"/>
                <w:color w:val="auto"/>
                <w:szCs w:val="21"/>
                <w:highlight w:val="none"/>
              </w:rPr>
              <w:t>等）进行</w:t>
            </w:r>
            <w:r>
              <w:rPr>
                <w:rFonts w:hint="eastAsia" w:ascii="宋体" w:hAnsi="宋体" w:cs="宋体"/>
                <w:color w:val="auto"/>
                <w:szCs w:val="21"/>
                <w:highlight w:val="none"/>
                <w:lang w:eastAsia="zh-CN"/>
              </w:rPr>
              <w:t>综合</w:t>
            </w:r>
            <w:r>
              <w:rPr>
                <w:rFonts w:hint="eastAsia" w:ascii="宋体" w:hAnsi="宋体" w:cs="宋体"/>
                <w:color w:val="auto"/>
                <w:szCs w:val="21"/>
                <w:highlight w:val="none"/>
              </w:rPr>
              <w:t>评议：</w:t>
            </w:r>
          </w:p>
          <w:p w14:paraId="7AD4224F">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运营服务保障方案</w:t>
            </w:r>
            <w:r>
              <w:rPr>
                <w:rFonts w:hint="eastAsia" w:ascii="宋体" w:hAnsi="宋体" w:cs="宋体"/>
                <w:color w:val="auto"/>
                <w:szCs w:val="21"/>
                <w:highlight w:val="none"/>
                <w:lang w:eastAsia="zh-CN"/>
              </w:rPr>
              <w:t>目标明确、框架清晰，全周期人员配置制定完善，针对不同时期</w:t>
            </w:r>
            <w:r>
              <w:rPr>
                <w:rFonts w:hint="eastAsia" w:ascii="宋体" w:hAnsi="宋体" w:cs="宋体"/>
                <w:color w:val="auto"/>
                <w:szCs w:val="21"/>
                <w:highlight w:val="none"/>
              </w:rPr>
              <w:t>的</w:t>
            </w:r>
            <w:r>
              <w:rPr>
                <w:rFonts w:hint="eastAsia" w:ascii="宋体" w:hAnsi="宋体" w:cs="宋体"/>
                <w:color w:val="auto"/>
                <w:szCs w:val="21"/>
                <w:highlight w:val="none"/>
                <w:lang w:eastAsia="zh-CN"/>
              </w:rPr>
              <w:t>人员配置具有明显差异化计划，运营边界定义清晰，分级保障策略详细，日常运营流程及问题管理机制明确，</w:t>
            </w:r>
            <w:r>
              <w:rPr>
                <w:rFonts w:hint="eastAsia" w:ascii="宋体" w:hAnsi="宋体" w:cs="宋体"/>
                <w:color w:val="auto"/>
                <w:szCs w:val="21"/>
                <w:highlight w:val="none"/>
                <w:lang w:val="en-US" w:eastAsia="zh-CN"/>
              </w:rPr>
              <w:t>运营资料归档格式规范，运营工作报告多维度、可视化展现清晰的</w:t>
            </w:r>
            <w:r>
              <w:rPr>
                <w:rFonts w:hint="eastAsia" w:ascii="宋体" w:hAnsi="宋体" w:cs="宋体"/>
                <w:color w:val="auto"/>
                <w:szCs w:val="21"/>
                <w:highlight w:val="none"/>
              </w:rPr>
              <w:t>得</w:t>
            </w:r>
            <w:r>
              <w:rPr>
                <w:rFonts w:ascii="宋体" w:hAnsi="宋体" w:cs="宋体"/>
                <w:color w:val="auto"/>
                <w:szCs w:val="21"/>
                <w:highlight w:val="none"/>
              </w:rPr>
              <w:t>8</w:t>
            </w:r>
            <w:r>
              <w:rPr>
                <w:rFonts w:hint="eastAsia" w:ascii="宋体" w:hAnsi="宋体" w:cs="宋体"/>
                <w:color w:val="auto"/>
                <w:szCs w:val="21"/>
                <w:highlight w:val="none"/>
              </w:rPr>
              <w:t>分；</w:t>
            </w:r>
          </w:p>
          <w:p w14:paraId="4FDA295C">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运营服务保障方案</w:t>
            </w:r>
            <w:r>
              <w:rPr>
                <w:rFonts w:hint="eastAsia" w:ascii="宋体" w:hAnsi="宋体" w:cs="宋体"/>
                <w:color w:val="auto"/>
                <w:szCs w:val="21"/>
                <w:highlight w:val="none"/>
                <w:lang w:eastAsia="zh-CN"/>
              </w:rPr>
              <w:t>目标较明确、框架较清晰，全周期人员配置制定较完善，针对不同时期</w:t>
            </w:r>
            <w:r>
              <w:rPr>
                <w:rFonts w:hint="eastAsia" w:ascii="宋体" w:hAnsi="宋体" w:cs="宋体"/>
                <w:color w:val="auto"/>
                <w:szCs w:val="21"/>
                <w:highlight w:val="none"/>
              </w:rPr>
              <w:t>的</w:t>
            </w:r>
            <w:r>
              <w:rPr>
                <w:rFonts w:hint="eastAsia" w:ascii="宋体" w:hAnsi="宋体" w:cs="宋体"/>
                <w:color w:val="auto"/>
                <w:szCs w:val="21"/>
                <w:highlight w:val="none"/>
                <w:lang w:eastAsia="zh-CN"/>
              </w:rPr>
              <w:t>人员配置具有一定差异化计划，运营边界定义较清晰，分级保障策略较详细，日常运营流程及问题管理机制较明确，</w:t>
            </w:r>
            <w:r>
              <w:rPr>
                <w:rFonts w:hint="eastAsia" w:ascii="宋体" w:hAnsi="宋体" w:cs="宋体"/>
                <w:color w:val="auto"/>
                <w:szCs w:val="21"/>
                <w:highlight w:val="none"/>
                <w:lang w:val="en-US" w:eastAsia="zh-CN"/>
              </w:rPr>
              <w:t>运营资料归档格式较规范，运营工作报告多维度、可视化展现较清晰的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345582A5">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运营服务保障方案</w:t>
            </w:r>
            <w:r>
              <w:rPr>
                <w:rFonts w:hint="eastAsia" w:ascii="宋体" w:hAnsi="宋体" w:cs="宋体"/>
                <w:color w:val="auto"/>
                <w:szCs w:val="21"/>
                <w:highlight w:val="none"/>
                <w:lang w:eastAsia="zh-CN"/>
              </w:rPr>
              <w:t>目标不够明确或框架不够清晰，全周期人员配置制定较完善但存在少许缺陷，针对不同时期</w:t>
            </w:r>
            <w:r>
              <w:rPr>
                <w:rFonts w:hint="eastAsia" w:ascii="宋体" w:hAnsi="宋体" w:cs="宋体"/>
                <w:color w:val="auto"/>
                <w:szCs w:val="21"/>
                <w:highlight w:val="none"/>
              </w:rPr>
              <w:t>的</w:t>
            </w:r>
            <w:r>
              <w:rPr>
                <w:rFonts w:hint="eastAsia" w:ascii="宋体" w:hAnsi="宋体" w:cs="宋体"/>
                <w:color w:val="auto"/>
                <w:szCs w:val="21"/>
                <w:highlight w:val="none"/>
                <w:lang w:eastAsia="zh-CN"/>
              </w:rPr>
              <w:t>人员配置缺乏明显的差异化计划，运营边界定义不够清晰，分级保障策略不够详细，日常运营流程及问题管理机制不够明确，</w:t>
            </w:r>
            <w:r>
              <w:rPr>
                <w:rFonts w:hint="eastAsia" w:ascii="宋体" w:hAnsi="宋体" w:cs="宋体"/>
                <w:color w:val="auto"/>
                <w:szCs w:val="21"/>
                <w:highlight w:val="none"/>
                <w:lang w:val="en-US" w:eastAsia="zh-CN"/>
              </w:rPr>
              <w:t>运营资料归档格式不够规范，运营工作报告多维度、可视化展现不够清晰的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441E49E7">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运营服务保障方案</w:t>
            </w:r>
            <w:r>
              <w:rPr>
                <w:rFonts w:hint="eastAsia" w:ascii="宋体" w:hAnsi="宋体" w:cs="宋体"/>
                <w:color w:val="auto"/>
                <w:szCs w:val="21"/>
                <w:highlight w:val="none"/>
                <w:lang w:eastAsia="zh-CN"/>
              </w:rPr>
              <w:t>目标模糊或框架模糊，全周期人员配置制定不完善，针对不同时期</w:t>
            </w:r>
            <w:r>
              <w:rPr>
                <w:rFonts w:hint="eastAsia" w:ascii="宋体" w:hAnsi="宋体" w:cs="宋体"/>
                <w:color w:val="auto"/>
                <w:szCs w:val="21"/>
                <w:highlight w:val="none"/>
              </w:rPr>
              <w:t>的</w:t>
            </w:r>
            <w:r>
              <w:rPr>
                <w:rFonts w:hint="eastAsia" w:ascii="宋体" w:hAnsi="宋体" w:cs="宋体"/>
                <w:color w:val="auto"/>
                <w:szCs w:val="21"/>
                <w:highlight w:val="none"/>
                <w:lang w:eastAsia="zh-CN"/>
              </w:rPr>
              <w:t>人员配置缺乏差异化计划，运营边界定义模糊，分级保障策略笼统，日常运营流程及问题管理机制模糊，</w:t>
            </w:r>
            <w:r>
              <w:rPr>
                <w:rFonts w:hint="eastAsia" w:ascii="宋体" w:hAnsi="宋体" w:cs="宋体"/>
                <w:color w:val="auto"/>
                <w:szCs w:val="21"/>
                <w:highlight w:val="none"/>
                <w:lang w:val="en-US" w:eastAsia="zh-CN"/>
              </w:rPr>
              <w:t>运营资料归档格式不规范，运营工作报告多维度、可视化展现模糊或存在缺项的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03CDD1B8">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snapToGrid w:val="0"/>
                <w:color w:val="auto"/>
                <w:szCs w:val="21"/>
                <w:highlight w:val="none"/>
                <w:lang w:eastAsia="zh-CN"/>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031AB1DA">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r>
      <w:tr w14:paraId="2C3E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2CB0CFFE">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p>
        </w:tc>
        <w:tc>
          <w:tcPr>
            <w:tcW w:w="1320" w:type="dxa"/>
            <w:tcBorders>
              <w:tl2br w:val="nil"/>
              <w:tr2bl w:val="nil"/>
            </w:tcBorders>
            <w:vAlign w:val="center"/>
          </w:tcPr>
          <w:p w14:paraId="63841849">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共享建设方案</w:t>
            </w:r>
          </w:p>
        </w:tc>
        <w:tc>
          <w:tcPr>
            <w:tcW w:w="6450" w:type="dxa"/>
            <w:tcBorders>
              <w:tl2br w:val="nil"/>
              <w:tr2bl w:val="nil"/>
            </w:tcBorders>
            <w:vAlign w:val="center"/>
          </w:tcPr>
          <w:p w14:paraId="621CB8D5">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rPr>
              <w:t>根据供应商提供的</w:t>
            </w:r>
            <w:r>
              <w:rPr>
                <w:rFonts w:hint="eastAsia" w:ascii="宋体" w:hAnsi="宋体" w:cs="宋体"/>
                <w:color w:val="auto"/>
                <w:szCs w:val="21"/>
                <w:highlight w:val="none"/>
                <w:lang w:eastAsia="zh-CN"/>
              </w:rPr>
              <w:t>共享建设方案（包括但不仅限于数据中心建设、</w:t>
            </w:r>
            <w:r>
              <w:rPr>
                <w:rFonts w:hint="eastAsia" w:asciiTheme="minorEastAsia" w:hAnsiTheme="minorEastAsia" w:eastAsiaTheme="minorEastAsia" w:cstheme="minorEastAsia"/>
                <w:b w:val="0"/>
                <w:bCs w:val="0"/>
                <w:color w:val="auto"/>
                <w:szCs w:val="21"/>
                <w:highlight w:val="none"/>
              </w:rPr>
              <w:t>信息安全</w:t>
            </w:r>
            <w:r>
              <w:rPr>
                <w:rFonts w:hint="eastAsia" w:asciiTheme="minorEastAsia" w:hAnsiTheme="minorEastAsia" w:eastAsiaTheme="minorEastAsia" w:cstheme="minorEastAsia"/>
                <w:b w:val="0"/>
                <w:bCs w:val="0"/>
                <w:color w:val="auto"/>
                <w:szCs w:val="21"/>
                <w:highlight w:val="none"/>
                <w:lang w:eastAsia="zh-CN"/>
              </w:rPr>
              <w:t>、应用软件共享使用医院现有的业务系统、</w:t>
            </w:r>
            <w:r>
              <w:rPr>
                <w:rFonts w:hint="eastAsia" w:asciiTheme="minorEastAsia" w:hAnsiTheme="minorEastAsia" w:eastAsiaTheme="minorEastAsia" w:cstheme="minorEastAsia"/>
                <w:b w:val="0"/>
                <w:bCs w:val="0"/>
                <w:color w:val="auto"/>
                <w:szCs w:val="21"/>
                <w:highlight w:val="none"/>
              </w:rPr>
              <w:t>多机构的业务模式的改造</w:t>
            </w:r>
            <w:r>
              <w:rPr>
                <w:rFonts w:hint="eastAsia" w:asciiTheme="minorEastAsia" w:hAnsiTheme="minorEastAsia" w:eastAsiaTheme="minorEastAsia" w:cstheme="minorEastAsia"/>
                <w:b w:val="0"/>
                <w:bCs w:val="0"/>
                <w:color w:val="auto"/>
                <w:szCs w:val="21"/>
                <w:highlight w:val="none"/>
                <w:lang w:eastAsia="zh-CN"/>
              </w:rPr>
              <w:t>等</w:t>
            </w:r>
            <w:r>
              <w:rPr>
                <w:rFonts w:hint="eastAsia" w:ascii="宋体" w:hAnsi="宋体" w:cs="宋体"/>
                <w:color w:val="auto"/>
                <w:szCs w:val="21"/>
                <w:highlight w:val="none"/>
              </w:rPr>
              <w:t>）进行</w:t>
            </w:r>
            <w:r>
              <w:rPr>
                <w:rFonts w:hint="eastAsia" w:ascii="宋体" w:hAnsi="宋体" w:cs="宋体"/>
                <w:color w:val="auto"/>
                <w:szCs w:val="21"/>
                <w:highlight w:val="none"/>
                <w:lang w:eastAsia="zh-CN"/>
              </w:rPr>
              <w:t>综合</w:t>
            </w:r>
            <w:r>
              <w:rPr>
                <w:rFonts w:hint="eastAsia" w:ascii="宋体" w:hAnsi="宋体" w:cs="宋体"/>
                <w:color w:val="auto"/>
                <w:szCs w:val="21"/>
                <w:highlight w:val="none"/>
              </w:rPr>
              <w:t>评议：</w:t>
            </w:r>
          </w:p>
          <w:p w14:paraId="3E6AB408">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数据中心建设架构设计阐述完整，数据整合方案详细，信息安全建设安全架构设计阐述完整，应用软件共享模式描述详细，</w:t>
            </w:r>
            <w:r>
              <w:rPr>
                <w:rFonts w:hint="eastAsia" w:asciiTheme="minorEastAsia" w:hAnsiTheme="minorEastAsia" w:eastAsiaTheme="minorEastAsia" w:cstheme="minorEastAsia"/>
                <w:b w:val="0"/>
                <w:bCs w:val="0"/>
                <w:color w:val="auto"/>
                <w:szCs w:val="21"/>
                <w:highlight w:val="none"/>
              </w:rPr>
              <w:t>多机构的业务模式的改造</w:t>
            </w:r>
            <w:r>
              <w:rPr>
                <w:rFonts w:hint="eastAsia" w:asciiTheme="minorEastAsia" w:hAnsiTheme="minorEastAsia" w:eastAsiaTheme="minorEastAsia" w:cstheme="minorEastAsia"/>
                <w:b w:val="0"/>
                <w:bCs w:val="0"/>
                <w:color w:val="auto"/>
                <w:szCs w:val="21"/>
                <w:highlight w:val="none"/>
                <w:lang w:eastAsia="zh-CN"/>
              </w:rPr>
              <w:t>流程清晰</w:t>
            </w:r>
            <w:r>
              <w:rPr>
                <w:rFonts w:hint="eastAsia" w:ascii="宋体" w:hAnsi="宋体" w:cs="宋体"/>
                <w:color w:val="auto"/>
                <w:szCs w:val="21"/>
                <w:highlight w:val="none"/>
              </w:rPr>
              <w:t>的得</w:t>
            </w:r>
            <w:r>
              <w:rPr>
                <w:rFonts w:ascii="宋体" w:hAnsi="宋体" w:cs="宋体"/>
                <w:color w:val="auto"/>
                <w:szCs w:val="21"/>
                <w:highlight w:val="none"/>
              </w:rPr>
              <w:t>8</w:t>
            </w:r>
            <w:r>
              <w:rPr>
                <w:rFonts w:hint="eastAsia" w:ascii="宋体" w:hAnsi="宋体" w:cs="宋体"/>
                <w:color w:val="auto"/>
                <w:szCs w:val="21"/>
                <w:highlight w:val="none"/>
              </w:rPr>
              <w:t>分；</w:t>
            </w:r>
          </w:p>
          <w:p w14:paraId="05B73AAA">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数据中心建设架构设计阐述较完整，数据整合方案较详细，信息安全建设安全架构设计阐述较完整，应用软件共享模式描述较详细，</w:t>
            </w:r>
            <w:r>
              <w:rPr>
                <w:rFonts w:hint="eastAsia" w:asciiTheme="minorEastAsia" w:hAnsiTheme="minorEastAsia" w:eastAsiaTheme="minorEastAsia" w:cstheme="minorEastAsia"/>
                <w:b w:val="0"/>
                <w:bCs w:val="0"/>
                <w:color w:val="auto"/>
                <w:szCs w:val="21"/>
                <w:highlight w:val="none"/>
              </w:rPr>
              <w:t>多机构的业务模式的改造</w:t>
            </w:r>
            <w:r>
              <w:rPr>
                <w:rFonts w:hint="eastAsia" w:asciiTheme="minorEastAsia" w:hAnsiTheme="minorEastAsia" w:eastAsiaTheme="minorEastAsia" w:cstheme="minorEastAsia"/>
                <w:b w:val="0"/>
                <w:bCs w:val="0"/>
                <w:color w:val="auto"/>
                <w:szCs w:val="21"/>
                <w:highlight w:val="none"/>
                <w:lang w:eastAsia="zh-CN"/>
              </w:rPr>
              <w:t>流程较清晰</w:t>
            </w:r>
            <w:r>
              <w:rPr>
                <w:rFonts w:hint="eastAsia" w:ascii="宋体" w:hAnsi="宋体" w:cs="宋体"/>
                <w:color w:val="auto"/>
                <w:szCs w:val="21"/>
                <w:highlight w:val="none"/>
              </w:rPr>
              <w:t>的得6分；</w:t>
            </w:r>
          </w:p>
          <w:p w14:paraId="01113563">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数据中心建设架构设计阐述较完整但存在少许缺陷，数据整合方案较详细但存在不足，信息安全建设安全架构设计阐述完整但存在少许缺陷，应用软件共享模式描述较详细但存在不足，</w:t>
            </w:r>
            <w:r>
              <w:rPr>
                <w:rFonts w:hint="eastAsia" w:asciiTheme="minorEastAsia" w:hAnsiTheme="minorEastAsia" w:eastAsiaTheme="minorEastAsia" w:cstheme="minorEastAsia"/>
                <w:b w:val="0"/>
                <w:bCs w:val="0"/>
                <w:color w:val="auto"/>
                <w:szCs w:val="21"/>
                <w:highlight w:val="none"/>
              </w:rPr>
              <w:t>多机构的业务模式的改造</w:t>
            </w:r>
            <w:r>
              <w:rPr>
                <w:rFonts w:hint="eastAsia" w:asciiTheme="minorEastAsia" w:hAnsiTheme="minorEastAsia" w:eastAsiaTheme="minorEastAsia" w:cstheme="minorEastAsia"/>
                <w:b w:val="0"/>
                <w:bCs w:val="0"/>
                <w:color w:val="auto"/>
                <w:szCs w:val="21"/>
                <w:highlight w:val="none"/>
                <w:lang w:eastAsia="zh-CN"/>
              </w:rPr>
              <w:t>流程不够清晰</w:t>
            </w:r>
            <w:r>
              <w:rPr>
                <w:rFonts w:hint="eastAsia" w:ascii="宋体" w:hAnsi="宋体" w:cs="宋体"/>
                <w:color w:val="auto"/>
                <w:szCs w:val="21"/>
                <w:highlight w:val="none"/>
              </w:rPr>
              <w:t>的得4分；</w:t>
            </w:r>
          </w:p>
          <w:p w14:paraId="40829E5D">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color w:val="auto"/>
                <w:szCs w:val="21"/>
                <w:highlight w:val="none"/>
                <w:lang w:eastAsia="zh-CN"/>
              </w:rPr>
              <w:t>数据中心建设架构设计阐述零碎，数据整合方案简单，信息安全建设安全架构设计阐述零碎，应用软件共享模式描述简单，</w:t>
            </w:r>
            <w:r>
              <w:rPr>
                <w:rFonts w:hint="eastAsia" w:asciiTheme="minorEastAsia" w:hAnsiTheme="minorEastAsia" w:eastAsiaTheme="minorEastAsia" w:cstheme="minorEastAsia"/>
                <w:b w:val="0"/>
                <w:bCs w:val="0"/>
                <w:color w:val="auto"/>
                <w:szCs w:val="21"/>
                <w:highlight w:val="none"/>
              </w:rPr>
              <w:t>多机构的业务模式的改造</w:t>
            </w:r>
            <w:r>
              <w:rPr>
                <w:rFonts w:hint="eastAsia" w:asciiTheme="minorEastAsia" w:hAnsiTheme="minorEastAsia" w:eastAsiaTheme="minorEastAsia" w:cstheme="minorEastAsia"/>
                <w:b w:val="0"/>
                <w:bCs w:val="0"/>
                <w:color w:val="auto"/>
                <w:szCs w:val="21"/>
                <w:highlight w:val="none"/>
                <w:lang w:eastAsia="zh-CN"/>
              </w:rPr>
              <w:t>流程模糊</w:t>
            </w:r>
            <w:r>
              <w:rPr>
                <w:rFonts w:hint="eastAsia" w:ascii="宋体" w:hAnsi="宋体" w:cs="宋体"/>
                <w:color w:val="auto"/>
                <w:szCs w:val="21"/>
                <w:highlight w:val="none"/>
              </w:rPr>
              <w:t>的得2分；</w:t>
            </w:r>
          </w:p>
          <w:p w14:paraId="321AE182">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snapToGrid w:val="0"/>
                <w:color w:val="auto"/>
                <w:szCs w:val="21"/>
                <w:highlight w:val="none"/>
                <w:lang w:eastAsia="zh-CN"/>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7C302BB7">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r>
      <w:tr w14:paraId="455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59C1E394">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tcBorders>
              <w:tl2br w:val="nil"/>
              <w:tr2bl w:val="nil"/>
            </w:tcBorders>
            <w:vAlign w:val="center"/>
          </w:tcPr>
          <w:p w14:paraId="51EF30AF">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snapToGrid w:val="0"/>
                <w:color w:val="auto"/>
                <w:szCs w:val="21"/>
                <w:highlight w:val="none"/>
              </w:rPr>
              <w:t>保密措施</w:t>
            </w:r>
          </w:p>
        </w:tc>
        <w:tc>
          <w:tcPr>
            <w:tcW w:w="6450" w:type="dxa"/>
            <w:tcBorders>
              <w:tl2br w:val="nil"/>
              <w:tr2bl w:val="nil"/>
            </w:tcBorders>
            <w:vAlign w:val="center"/>
          </w:tcPr>
          <w:p w14:paraId="2C552D27">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snapToGrid w:val="0"/>
                <w:color w:val="auto"/>
                <w:szCs w:val="21"/>
                <w:highlight w:val="none"/>
              </w:rPr>
            </w:pPr>
            <w:r>
              <w:rPr>
                <w:rFonts w:hint="eastAsia" w:ascii="宋体" w:hAnsi="宋体" w:cs="宋体"/>
                <w:snapToGrid w:val="0"/>
                <w:color w:val="auto"/>
                <w:szCs w:val="21"/>
                <w:highlight w:val="none"/>
              </w:rPr>
              <w:t>根据供应商提供的保密措施（包括</w:t>
            </w:r>
            <w:r>
              <w:rPr>
                <w:rFonts w:hint="eastAsia" w:ascii="宋体" w:hAnsi="宋体" w:cs="宋体"/>
                <w:snapToGrid w:val="0"/>
                <w:color w:val="auto"/>
                <w:szCs w:val="21"/>
                <w:highlight w:val="none"/>
                <w:lang w:eastAsia="zh-CN"/>
              </w:rPr>
              <w:t>但不仅限于</w:t>
            </w:r>
            <w:r>
              <w:rPr>
                <w:rFonts w:hint="eastAsia" w:ascii="宋体" w:hAnsi="宋体" w:cs="宋体"/>
                <w:snapToGrid w:val="0"/>
                <w:color w:val="auto"/>
                <w:szCs w:val="21"/>
                <w:highlight w:val="none"/>
              </w:rPr>
              <w:t>保密制度、保密措施</w:t>
            </w:r>
            <w:r>
              <w:rPr>
                <w:rFonts w:hint="eastAsia" w:ascii="宋体" w:hAnsi="宋体" w:cs="宋体"/>
                <w:snapToGrid w:val="0"/>
                <w:color w:val="auto"/>
                <w:szCs w:val="21"/>
                <w:highlight w:val="none"/>
                <w:lang w:eastAsia="zh-CN"/>
              </w:rPr>
              <w:t>、数据加密、日志审计与监控、漏洞管理与补丁修复、数据备份与恢复</w:t>
            </w:r>
            <w:r>
              <w:rPr>
                <w:rFonts w:hint="eastAsia" w:ascii="宋体" w:hAnsi="宋体" w:cs="宋体"/>
                <w:snapToGrid w:val="0"/>
                <w:color w:val="auto"/>
                <w:szCs w:val="21"/>
                <w:highlight w:val="none"/>
              </w:rPr>
              <w:t>等）进行</w:t>
            </w:r>
            <w:r>
              <w:rPr>
                <w:rFonts w:hint="eastAsia" w:ascii="宋体" w:hAnsi="宋体" w:cs="宋体"/>
                <w:color w:val="auto"/>
                <w:szCs w:val="21"/>
                <w:highlight w:val="none"/>
                <w:lang w:eastAsia="zh-CN"/>
              </w:rPr>
              <w:t>综合</w:t>
            </w:r>
            <w:r>
              <w:rPr>
                <w:rFonts w:hint="eastAsia" w:ascii="宋体" w:hAnsi="宋体" w:cs="宋体"/>
                <w:snapToGrid w:val="0"/>
                <w:color w:val="auto"/>
                <w:szCs w:val="21"/>
                <w:highlight w:val="none"/>
              </w:rPr>
              <w:t>评议：</w:t>
            </w:r>
          </w:p>
          <w:p w14:paraId="42B85C40">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保密制度、保密措施、数据加密、日志审计与监控、漏洞管理与补丁修复、数据备份与恢复等保密措施合理得当，针对性、可行性强的得</w:t>
            </w:r>
            <w:r>
              <w:rPr>
                <w:rFonts w:ascii="宋体" w:hAnsi="宋体" w:cs="宋体"/>
                <w:snapToGrid w:val="0"/>
                <w:color w:val="auto"/>
                <w:szCs w:val="21"/>
                <w:highlight w:val="none"/>
              </w:rPr>
              <w:t>8</w:t>
            </w:r>
            <w:r>
              <w:rPr>
                <w:rFonts w:hint="eastAsia" w:ascii="宋体" w:hAnsi="宋体" w:cs="宋体"/>
                <w:snapToGrid w:val="0"/>
                <w:color w:val="auto"/>
                <w:szCs w:val="21"/>
                <w:highlight w:val="none"/>
              </w:rPr>
              <w:t>分；</w:t>
            </w:r>
          </w:p>
          <w:p w14:paraId="215791C5">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保密制度、保密措施、数据加密、日志审计与监控、漏洞管理与补丁修复、数据备份与恢复等保密措施较为合理，针对性、可行性较强的得</w:t>
            </w:r>
            <w:r>
              <w:rPr>
                <w:rFonts w:ascii="宋体" w:hAnsi="宋体" w:cs="宋体"/>
                <w:snapToGrid w:val="0"/>
                <w:color w:val="auto"/>
                <w:szCs w:val="21"/>
                <w:highlight w:val="none"/>
              </w:rPr>
              <w:t>6</w:t>
            </w:r>
            <w:r>
              <w:rPr>
                <w:rFonts w:hint="eastAsia" w:ascii="宋体" w:hAnsi="宋体" w:cs="宋体"/>
                <w:snapToGrid w:val="0"/>
                <w:color w:val="auto"/>
                <w:szCs w:val="21"/>
                <w:highlight w:val="none"/>
              </w:rPr>
              <w:t>分；</w:t>
            </w:r>
          </w:p>
          <w:p w14:paraId="114299EB">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保密制度、保密措施、数据加密、日志审计与监控、漏洞管理与补丁修复、数据备份与恢复等保密措施不够合理，针对性、可行性欠佳的得4分；</w:t>
            </w:r>
          </w:p>
          <w:p w14:paraId="534B62DC">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snapToGrid w:val="0"/>
                <w:color w:val="auto"/>
                <w:szCs w:val="21"/>
                <w:highlight w:val="none"/>
              </w:rPr>
            </w:pPr>
            <w:r>
              <w:rPr>
                <w:rFonts w:hint="eastAsia" w:ascii="宋体" w:hAnsi="宋体" w:cs="宋体"/>
                <w:snapToGrid w:val="0"/>
                <w:color w:val="auto"/>
                <w:szCs w:val="21"/>
                <w:highlight w:val="none"/>
              </w:rPr>
              <w:t>保密制度、保密措施、数据加密、日志审计与监控、漏洞管理与补丁修复、数据备份与恢复等保密措施不合理</w:t>
            </w:r>
            <w:r>
              <w:rPr>
                <w:rFonts w:hint="eastAsia" w:ascii="宋体" w:hAnsi="宋体" w:cs="宋体"/>
                <w:snapToGrid w:val="0"/>
                <w:color w:val="auto"/>
                <w:szCs w:val="21"/>
                <w:highlight w:val="none"/>
                <w:lang w:eastAsia="zh-CN"/>
              </w:rPr>
              <w:t>或存在缺项</w:t>
            </w:r>
            <w:r>
              <w:rPr>
                <w:rFonts w:hint="eastAsia" w:ascii="宋体" w:hAnsi="宋体" w:cs="宋体"/>
                <w:snapToGrid w:val="0"/>
                <w:color w:val="auto"/>
                <w:szCs w:val="21"/>
                <w:highlight w:val="none"/>
              </w:rPr>
              <w:t>，缺乏针对性、可行性的得2分；</w:t>
            </w:r>
          </w:p>
          <w:p w14:paraId="0783538B">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color w:val="auto"/>
                <w:szCs w:val="21"/>
                <w:highlight w:val="none"/>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09D2DB54">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ascii="宋体" w:hAnsi="宋体" w:cs="宋体"/>
                <w:color w:val="auto"/>
                <w:szCs w:val="21"/>
                <w:highlight w:val="none"/>
              </w:rPr>
              <w:t>8</w:t>
            </w:r>
          </w:p>
        </w:tc>
      </w:tr>
      <w:tr w14:paraId="3C7E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5932BA86">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tcBorders>
              <w:tl2br w:val="nil"/>
              <w:tr2bl w:val="nil"/>
            </w:tcBorders>
            <w:vAlign w:val="center"/>
          </w:tcPr>
          <w:p w14:paraId="62A436EB">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重点难点分析及解决方案</w:t>
            </w:r>
          </w:p>
        </w:tc>
        <w:tc>
          <w:tcPr>
            <w:tcW w:w="6450" w:type="dxa"/>
            <w:tcBorders>
              <w:tl2br w:val="nil"/>
              <w:tr2bl w:val="nil"/>
            </w:tcBorders>
            <w:vAlign w:val="center"/>
          </w:tcPr>
          <w:p w14:paraId="758108E0">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rPr>
              <w:t>根据供应商针对本项目重点、难点分析及针对性解决方案</w:t>
            </w:r>
            <w:r>
              <w:rPr>
                <w:rFonts w:hint="eastAsia" w:ascii="宋体" w:hAnsi="宋体" w:cs="宋体"/>
                <w:bCs/>
                <w:color w:val="auto"/>
                <w:szCs w:val="21"/>
                <w:highlight w:val="none"/>
                <w:lang w:eastAsia="zh-CN"/>
              </w:rPr>
              <w:t>（包括但不仅限于产品核心功能保障、产品功能优化、基础运行环境保障、产品运营服务保障等）</w:t>
            </w:r>
            <w:r>
              <w:rPr>
                <w:rFonts w:hint="eastAsia" w:ascii="宋体" w:hAnsi="宋体" w:cs="宋体"/>
                <w:bCs/>
                <w:color w:val="auto"/>
                <w:szCs w:val="21"/>
                <w:highlight w:val="none"/>
              </w:rPr>
              <w:t>进行</w:t>
            </w:r>
            <w:r>
              <w:rPr>
                <w:rFonts w:hint="eastAsia" w:ascii="宋体" w:hAnsi="宋体" w:cs="宋体"/>
                <w:color w:val="auto"/>
                <w:szCs w:val="21"/>
                <w:highlight w:val="none"/>
                <w:lang w:eastAsia="zh-CN"/>
              </w:rPr>
              <w:t>综合</w:t>
            </w:r>
            <w:r>
              <w:rPr>
                <w:rFonts w:hint="eastAsia" w:ascii="宋体" w:hAnsi="宋体" w:cs="宋体"/>
                <w:bCs/>
                <w:color w:val="auto"/>
                <w:szCs w:val="21"/>
                <w:highlight w:val="none"/>
              </w:rPr>
              <w:t>评议：</w:t>
            </w:r>
          </w:p>
          <w:p w14:paraId="4D64521D">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lang w:eastAsia="zh-CN"/>
              </w:rPr>
              <w:t>产品核心功能保障、产品功能优化、基础运行环境保障、产品运营服务保障等</w:t>
            </w:r>
            <w:r>
              <w:rPr>
                <w:rFonts w:hint="eastAsia" w:ascii="宋体" w:hAnsi="宋体" w:cs="宋体"/>
                <w:bCs/>
                <w:color w:val="auto"/>
                <w:szCs w:val="21"/>
                <w:highlight w:val="none"/>
              </w:rPr>
              <w:t>本项目重点、难点分析到位，针对性解决方案切中项目实际，具有实际意义，能有效解决实际问题的得</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分；</w:t>
            </w:r>
          </w:p>
          <w:p w14:paraId="4F67AE68">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lang w:eastAsia="zh-CN"/>
              </w:rPr>
              <w:t>产品核心功能保障、产品功能优化、基础运行环境保障、产品运营服务保障等</w:t>
            </w:r>
            <w:r>
              <w:rPr>
                <w:rFonts w:hint="eastAsia" w:ascii="宋体" w:hAnsi="宋体" w:cs="宋体"/>
                <w:bCs/>
                <w:color w:val="auto"/>
                <w:szCs w:val="21"/>
                <w:highlight w:val="none"/>
              </w:rPr>
              <w:t>本项目重点、难点分析较到位，针对性解决方案较切中项目实际，具有一定实际意义，能基本解决实际问题的得</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w:t>
            </w:r>
          </w:p>
          <w:p w14:paraId="04A828D3">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lang w:eastAsia="zh-CN"/>
              </w:rPr>
              <w:t>产品核心功能保障、产品功能优化、基础运行环境保障、产品运营服务保障等</w:t>
            </w:r>
            <w:r>
              <w:rPr>
                <w:rFonts w:hint="eastAsia" w:ascii="宋体" w:hAnsi="宋体" w:cs="宋体"/>
                <w:bCs/>
                <w:color w:val="auto"/>
                <w:szCs w:val="21"/>
                <w:highlight w:val="none"/>
              </w:rPr>
              <w:t>本项目重点、难点分析不到位</w:t>
            </w:r>
            <w:r>
              <w:rPr>
                <w:rFonts w:hint="eastAsia" w:ascii="宋体" w:hAnsi="宋体" w:cs="宋体"/>
                <w:bCs/>
                <w:color w:val="auto"/>
                <w:szCs w:val="21"/>
                <w:highlight w:val="none"/>
                <w:lang w:eastAsia="zh-CN"/>
              </w:rPr>
              <w:t>或存在缺项</w:t>
            </w:r>
            <w:r>
              <w:rPr>
                <w:rFonts w:hint="eastAsia" w:ascii="宋体" w:hAnsi="宋体" w:cs="宋体"/>
                <w:bCs/>
                <w:color w:val="auto"/>
                <w:szCs w:val="21"/>
                <w:highlight w:val="none"/>
              </w:rPr>
              <w:t>，针对性解决方案未切中项目实际，不具有实际意义，不能解决实际问题的得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14:paraId="1D6D51E7">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tc>
        <w:tc>
          <w:tcPr>
            <w:tcW w:w="667" w:type="dxa"/>
            <w:tcBorders>
              <w:tl2br w:val="nil"/>
              <w:tr2bl w:val="nil"/>
            </w:tcBorders>
            <w:vAlign w:val="center"/>
          </w:tcPr>
          <w:p w14:paraId="0E7B800D">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r>
      <w:tr w14:paraId="1A4C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2E49F9E8">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tcBorders>
              <w:tl2br w:val="nil"/>
              <w:tr2bl w:val="nil"/>
            </w:tcBorders>
            <w:vAlign w:val="center"/>
          </w:tcPr>
          <w:p w14:paraId="387700D1">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lang w:eastAsia="zh-CN"/>
              </w:rPr>
              <w:t>网络安全保障</w:t>
            </w:r>
            <w:r>
              <w:rPr>
                <w:rFonts w:hint="eastAsia" w:ascii="宋体" w:hAnsi="宋体" w:cs="宋体"/>
                <w:color w:val="auto"/>
                <w:szCs w:val="21"/>
                <w:highlight w:val="none"/>
              </w:rPr>
              <w:t>方案</w:t>
            </w:r>
          </w:p>
        </w:tc>
        <w:tc>
          <w:tcPr>
            <w:tcW w:w="6450" w:type="dxa"/>
            <w:tcBorders>
              <w:tl2br w:val="nil"/>
              <w:tr2bl w:val="nil"/>
            </w:tcBorders>
            <w:vAlign w:val="center"/>
          </w:tcPr>
          <w:p w14:paraId="302C2D6C">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lang w:eastAsia="zh-CN"/>
              </w:rPr>
            </w:pPr>
            <w:r>
              <w:rPr>
                <w:rFonts w:hint="eastAsia" w:ascii="宋体" w:hAnsi="宋体" w:cs="宋体"/>
                <w:bCs/>
                <w:color w:val="auto"/>
                <w:szCs w:val="21"/>
                <w:highlight w:val="none"/>
              </w:rPr>
              <w:t>根据供应商针对本项目提供的</w:t>
            </w:r>
            <w:r>
              <w:rPr>
                <w:rFonts w:hint="eastAsia" w:ascii="宋体" w:hAnsi="宋体" w:cs="宋体"/>
                <w:bCs/>
                <w:color w:val="auto"/>
                <w:szCs w:val="21"/>
                <w:highlight w:val="none"/>
                <w:lang w:eastAsia="zh-CN"/>
              </w:rPr>
              <w:t>网络安全保障</w:t>
            </w:r>
            <w:r>
              <w:rPr>
                <w:rFonts w:hint="eastAsia" w:ascii="宋体" w:hAnsi="宋体" w:cs="宋体"/>
                <w:bCs/>
                <w:color w:val="auto"/>
                <w:szCs w:val="21"/>
                <w:highlight w:val="none"/>
                <w:lang w:val="en-US" w:eastAsia="zh-CN"/>
              </w:rPr>
              <w:t>方案（</w:t>
            </w:r>
            <w:r>
              <w:rPr>
                <w:rFonts w:hint="eastAsia" w:ascii="宋体" w:hAnsi="宋体" w:cs="宋体"/>
                <w:bCs/>
                <w:color w:val="auto"/>
                <w:szCs w:val="21"/>
                <w:highlight w:val="none"/>
                <w:lang w:eastAsia="zh-CN"/>
              </w:rPr>
              <w:t>包括但不仅限于</w:t>
            </w:r>
            <w:r>
              <w:rPr>
                <w:rFonts w:hint="eastAsia" w:asciiTheme="minorEastAsia" w:hAnsiTheme="minorEastAsia" w:eastAsiaTheme="minorEastAsia" w:cstheme="minorEastAsia"/>
                <w:color w:val="auto"/>
                <w:kern w:val="0"/>
                <w:szCs w:val="21"/>
                <w:highlight w:val="none"/>
              </w:rPr>
              <w:t>网络安全</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数据安全</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安全管理制度</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安全监控机制</w:t>
            </w:r>
            <w:r>
              <w:rPr>
                <w:rFonts w:hint="eastAsia" w:ascii="宋体" w:hAnsi="宋体" w:cs="宋体"/>
                <w:bCs/>
                <w:color w:val="auto"/>
                <w:szCs w:val="21"/>
                <w:highlight w:val="none"/>
              </w:rPr>
              <w:t>等</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进行</w:t>
            </w:r>
            <w:r>
              <w:rPr>
                <w:rFonts w:hint="eastAsia" w:ascii="宋体" w:hAnsi="宋体" w:cs="宋体"/>
                <w:color w:val="auto"/>
                <w:szCs w:val="21"/>
                <w:highlight w:val="none"/>
                <w:lang w:eastAsia="zh-CN"/>
              </w:rPr>
              <w:t>综合</w:t>
            </w:r>
            <w:r>
              <w:rPr>
                <w:rFonts w:hint="eastAsia" w:ascii="宋体" w:hAnsi="宋体" w:cs="宋体"/>
                <w:bCs/>
                <w:color w:val="auto"/>
                <w:szCs w:val="21"/>
                <w:highlight w:val="none"/>
              </w:rPr>
              <w:t>评议</w:t>
            </w:r>
            <w:r>
              <w:rPr>
                <w:rFonts w:hint="eastAsia" w:ascii="宋体" w:hAnsi="宋体" w:cs="宋体"/>
                <w:bCs/>
                <w:color w:val="auto"/>
                <w:szCs w:val="21"/>
                <w:highlight w:val="none"/>
                <w:lang w:eastAsia="zh-CN"/>
              </w:rPr>
              <w:t>：</w:t>
            </w:r>
          </w:p>
          <w:p w14:paraId="05DBC51B">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eastAsia="zh-CN"/>
              </w:rPr>
              <w:t>网络安全、数据安全方案详细，</w:t>
            </w:r>
            <w:r>
              <w:rPr>
                <w:rFonts w:hint="eastAsia" w:asciiTheme="minorEastAsia" w:hAnsiTheme="minorEastAsia" w:eastAsiaTheme="minorEastAsia" w:cstheme="minorEastAsia"/>
                <w:color w:val="auto"/>
                <w:kern w:val="0"/>
                <w:szCs w:val="21"/>
                <w:highlight w:val="none"/>
              </w:rPr>
              <w:t>安全管理制度</w:t>
            </w:r>
            <w:r>
              <w:rPr>
                <w:rFonts w:hint="eastAsia" w:asciiTheme="minorEastAsia" w:hAnsiTheme="minorEastAsia" w:eastAsiaTheme="minorEastAsia" w:cstheme="minorEastAsia"/>
                <w:color w:val="auto"/>
                <w:kern w:val="0"/>
                <w:szCs w:val="21"/>
                <w:highlight w:val="none"/>
                <w:lang w:eastAsia="zh-CN"/>
              </w:rPr>
              <w:t>完善，</w:t>
            </w:r>
            <w:r>
              <w:rPr>
                <w:rFonts w:hint="eastAsia" w:asciiTheme="minorEastAsia" w:hAnsiTheme="minorEastAsia" w:eastAsiaTheme="minorEastAsia" w:cstheme="minorEastAsia"/>
                <w:color w:val="auto"/>
                <w:kern w:val="0"/>
                <w:szCs w:val="21"/>
                <w:highlight w:val="none"/>
              </w:rPr>
              <w:t>安全监控机制</w:t>
            </w:r>
            <w:r>
              <w:rPr>
                <w:rFonts w:hint="eastAsia" w:asciiTheme="minorEastAsia" w:hAnsiTheme="minorEastAsia" w:eastAsiaTheme="minorEastAsia" w:cstheme="minorEastAsia"/>
                <w:color w:val="auto"/>
                <w:kern w:val="0"/>
                <w:szCs w:val="21"/>
                <w:highlight w:val="none"/>
                <w:lang w:eastAsia="zh-CN"/>
              </w:rPr>
              <w:t>健全</w:t>
            </w:r>
            <w:r>
              <w:rPr>
                <w:rFonts w:hint="eastAsia" w:ascii="宋体" w:hAnsi="宋体" w:cs="宋体"/>
                <w:bCs/>
                <w:color w:val="auto"/>
                <w:szCs w:val="21"/>
                <w:highlight w:val="none"/>
                <w:lang w:val="en-US" w:eastAsia="zh-CN"/>
              </w:rPr>
              <w:t>的</w:t>
            </w:r>
            <w:r>
              <w:rPr>
                <w:rFonts w:hint="eastAsia" w:ascii="宋体" w:hAnsi="宋体" w:cs="宋体"/>
                <w:bCs/>
                <w:color w:val="auto"/>
                <w:szCs w:val="21"/>
                <w:highlight w:val="none"/>
              </w:rPr>
              <w:t>得</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分；</w:t>
            </w:r>
          </w:p>
          <w:p w14:paraId="703ECB64">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eastAsia="zh-CN"/>
              </w:rPr>
              <w:t>网络安全、数据安全方案较详细，安全管理制度较完善，安全监控机制较健全</w:t>
            </w:r>
            <w:r>
              <w:rPr>
                <w:rFonts w:hint="eastAsia" w:ascii="宋体" w:hAnsi="宋体" w:cs="宋体"/>
                <w:bCs/>
                <w:color w:val="auto"/>
                <w:szCs w:val="21"/>
                <w:highlight w:val="none"/>
                <w:lang w:val="en-US" w:eastAsia="zh-CN"/>
              </w:rPr>
              <w:t>的</w:t>
            </w:r>
            <w:r>
              <w:rPr>
                <w:rFonts w:hint="eastAsia" w:ascii="宋体" w:hAnsi="宋体" w:cs="宋体"/>
                <w:bCs/>
                <w:color w:val="auto"/>
                <w:szCs w:val="21"/>
                <w:highlight w:val="none"/>
              </w:rPr>
              <w:t>得</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w:t>
            </w:r>
          </w:p>
          <w:p w14:paraId="0C2CDF1D">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网络安全、数据安全方案简单，安全管理制度存在不足，安全监控机制不完善、安全加固不足</w:t>
            </w:r>
            <w:r>
              <w:rPr>
                <w:rFonts w:hint="eastAsia" w:ascii="宋体" w:hAnsi="宋体" w:cs="宋体"/>
                <w:bCs/>
                <w:color w:val="auto"/>
                <w:szCs w:val="21"/>
                <w:highlight w:val="none"/>
              </w:rPr>
              <w:t>的得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r>
              <w:rPr>
                <w:rFonts w:hint="eastAsia" w:ascii="宋体" w:hAnsi="宋体" w:cs="宋体"/>
                <w:bCs/>
                <w:color w:val="auto"/>
                <w:szCs w:val="21"/>
                <w:highlight w:val="none"/>
                <w:lang w:eastAsia="zh-CN"/>
              </w:rPr>
              <w:t>；</w:t>
            </w:r>
          </w:p>
          <w:p w14:paraId="0849FF75">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eastAsia="zh-CN"/>
              </w:rPr>
              <w:t>未提供本项的不得分</w:t>
            </w:r>
            <w:r>
              <w:rPr>
                <w:rFonts w:hint="eastAsia" w:ascii="宋体" w:hAnsi="宋体" w:cs="宋体"/>
                <w:bCs/>
                <w:color w:val="auto"/>
                <w:szCs w:val="21"/>
                <w:highlight w:val="none"/>
              </w:rPr>
              <w:t>。</w:t>
            </w:r>
          </w:p>
        </w:tc>
        <w:tc>
          <w:tcPr>
            <w:tcW w:w="667" w:type="dxa"/>
            <w:tcBorders>
              <w:tl2br w:val="nil"/>
              <w:tr2bl w:val="nil"/>
            </w:tcBorders>
            <w:vAlign w:val="center"/>
          </w:tcPr>
          <w:p w14:paraId="3EBAA772">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r>
      <w:tr w14:paraId="7D8C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72531187">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tcBorders>
              <w:tl2br w:val="nil"/>
              <w:tr2bl w:val="nil"/>
            </w:tcBorders>
            <w:vAlign w:val="center"/>
          </w:tcPr>
          <w:p w14:paraId="4F8EF5C2">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项目团队配置情况</w:t>
            </w:r>
          </w:p>
        </w:tc>
        <w:tc>
          <w:tcPr>
            <w:tcW w:w="6450" w:type="dxa"/>
            <w:tcBorders>
              <w:tl2br w:val="nil"/>
              <w:tr2bl w:val="nil"/>
            </w:tcBorders>
            <w:vAlign w:val="center"/>
          </w:tcPr>
          <w:p w14:paraId="01FAA07A">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rPr>
              <w:t>根据供应商对项目组拟派人员投入、人员技术力量及人员配置方案（</w:t>
            </w:r>
            <w:r>
              <w:rPr>
                <w:rFonts w:hint="eastAsia" w:ascii="宋体" w:hAnsi="宋体" w:cs="宋体"/>
                <w:bCs/>
                <w:color w:val="auto"/>
                <w:szCs w:val="21"/>
                <w:highlight w:val="none"/>
                <w:lang w:eastAsia="zh-CN"/>
              </w:rPr>
              <w:t>包括但不仅限于项目负责人、技术负责人、</w:t>
            </w:r>
            <w:r>
              <w:rPr>
                <w:rFonts w:hint="eastAsia" w:ascii="宋体" w:hAnsi="宋体" w:cs="宋体"/>
                <w:bCs/>
                <w:color w:val="auto"/>
                <w:szCs w:val="21"/>
                <w:highlight w:val="none"/>
              </w:rPr>
              <w:t>技术</w:t>
            </w:r>
            <w:r>
              <w:rPr>
                <w:rFonts w:hint="eastAsia" w:ascii="宋体" w:hAnsi="宋体" w:cs="宋体"/>
                <w:bCs/>
                <w:color w:val="auto"/>
                <w:szCs w:val="21"/>
                <w:highlight w:val="none"/>
                <w:lang w:eastAsia="zh-CN"/>
              </w:rPr>
              <w:t>工程师</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运维工程师</w:t>
            </w:r>
            <w:r>
              <w:rPr>
                <w:rFonts w:hint="eastAsia" w:ascii="宋体" w:hAnsi="宋体" w:cs="宋体"/>
                <w:bCs/>
                <w:color w:val="auto"/>
                <w:szCs w:val="21"/>
                <w:highlight w:val="none"/>
              </w:rPr>
              <w:t>等）进行</w:t>
            </w:r>
            <w:r>
              <w:rPr>
                <w:rFonts w:hint="eastAsia" w:ascii="宋体" w:hAnsi="宋体" w:cs="宋体"/>
                <w:color w:val="auto"/>
                <w:szCs w:val="21"/>
                <w:highlight w:val="none"/>
                <w:lang w:eastAsia="zh-CN"/>
              </w:rPr>
              <w:t>综合</w:t>
            </w:r>
            <w:r>
              <w:rPr>
                <w:rFonts w:hint="eastAsia" w:ascii="宋体" w:hAnsi="宋体" w:cs="宋体"/>
                <w:bCs/>
                <w:color w:val="auto"/>
                <w:szCs w:val="21"/>
                <w:highlight w:val="none"/>
              </w:rPr>
              <w:t>评议：</w:t>
            </w:r>
          </w:p>
          <w:p w14:paraId="2A7604C6">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lang w:eastAsia="zh-CN"/>
              </w:rPr>
              <w:t>项目负责人、技术负责人、</w:t>
            </w:r>
            <w:r>
              <w:rPr>
                <w:rFonts w:hint="eastAsia" w:ascii="宋体" w:hAnsi="宋体" w:cs="宋体"/>
                <w:bCs/>
                <w:color w:val="auto"/>
                <w:szCs w:val="21"/>
                <w:highlight w:val="none"/>
              </w:rPr>
              <w:t>技术</w:t>
            </w:r>
            <w:r>
              <w:rPr>
                <w:rFonts w:hint="eastAsia" w:ascii="宋体" w:hAnsi="宋体" w:cs="宋体"/>
                <w:bCs/>
                <w:color w:val="auto"/>
                <w:szCs w:val="21"/>
                <w:highlight w:val="none"/>
                <w:lang w:eastAsia="zh-CN"/>
              </w:rPr>
              <w:t>工程师</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运维工程师</w:t>
            </w:r>
            <w:r>
              <w:rPr>
                <w:rFonts w:hint="eastAsia" w:ascii="宋体" w:hAnsi="宋体" w:cs="宋体"/>
                <w:bCs/>
                <w:color w:val="auto"/>
                <w:szCs w:val="21"/>
                <w:highlight w:val="none"/>
              </w:rPr>
              <w:t>等</w:t>
            </w:r>
            <w:r>
              <w:rPr>
                <w:rFonts w:hint="eastAsia" w:ascii="宋体" w:hAnsi="宋体" w:cs="宋体"/>
                <w:bCs/>
                <w:color w:val="auto"/>
                <w:szCs w:val="21"/>
                <w:highlight w:val="none"/>
                <w:lang w:eastAsia="zh-CN"/>
              </w:rPr>
              <w:t>人员</w:t>
            </w:r>
            <w:r>
              <w:rPr>
                <w:rFonts w:hint="eastAsia" w:ascii="宋体" w:hAnsi="宋体" w:cs="宋体"/>
                <w:bCs/>
                <w:color w:val="auto"/>
                <w:szCs w:val="21"/>
                <w:highlight w:val="none"/>
              </w:rPr>
              <w:t>配置</w:t>
            </w:r>
            <w:r>
              <w:rPr>
                <w:rFonts w:hint="eastAsia" w:ascii="宋体" w:hAnsi="宋体" w:cs="宋体"/>
                <w:bCs/>
                <w:color w:val="auto"/>
                <w:szCs w:val="21"/>
                <w:highlight w:val="none"/>
                <w:lang w:eastAsia="zh-CN"/>
              </w:rPr>
              <w:t>齐全，各岗位分工明确，搭配合理</w:t>
            </w:r>
            <w:r>
              <w:rPr>
                <w:rFonts w:hint="eastAsia" w:ascii="宋体" w:hAnsi="宋体" w:cs="宋体"/>
                <w:bCs/>
                <w:color w:val="auto"/>
                <w:szCs w:val="21"/>
                <w:highlight w:val="none"/>
              </w:rPr>
              <w:t>的得8分；</w:t>
            </w:r>
          </w:p>
          <w:p w14:paraId="06A397DF">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lang w:eastAsia="zh-CN"/>
              </w:rPr>
              <w:t>项目负责人、技术负责人、</w:t>
            </w:r>
            <w:r>
              <w:rPr>
                <w:rFonts w:hint="eastAsia" w:ascii="宋体" w:hAnsi="宋体" w:cs="宋体"/>
                <w:bCs/>
                <w:color w:val="auto"/>
                <w:szCs w:val="21"/>
                <w:highlight w:val="none"/>
              </w:rPr>
              <w:t>技术</w:t>
            </w:r>
            <w:r>
              <w:rPr>
                <w:rFonts w:hint="eastAsia" w:ascii="宋体" w:hAnsi="宋体" w:cs="宋体"/>
                <w:bCs/>
                <w:color w:val="auto"/>
                <w:szCs w:val="21"/>
                <w:highlight w:val="none"/>
                <w:lang w:eastAsia="zh-CN"/>
              </w:rPr>
              <w:t>工程师</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运维工程师</w:t>
            </w:r>
            <w:r>
              <w:rPr>
                <w:rFonts w:hint="eastAsia" w:ascii="宋体" w:hAnsi="宋体" w:cs="宋体"/>
                <w:bCs/>
                <w:color w:val="auto"/>
                <w:szCs w:val="21"/>
                <w:highlight w:val="none"/>
              </w:rPr>
              <w:t>等</w:t>
            </w:r>
            <w:r>
              <w:rPr>
                <w:rFonts w:hint="eastAsia" w:ascii="宋体" w:hAnsi="宋体" w:cs="宋体"/>
                <w:bCs/>
                <w:color w:val="auto"/>
                <w:szCs w:val="21"/>
                <w:highlight w:val="none"/>
                <w:lang w:eastAsia="zh-CN"/>
              </w:rPr>
              <w:t>人员</w:t>
            </w:r>
            <w:r>
              <w:rPr>
                <w:rFonts w:hint="eastAsia" w:ascii="宋体" w:hAnsi="宋体" w:cs="宋体"/>
                <w:bCs/>
                <w:color w:val="auto"/>
                <w:szCs w:val="21"/>
                <w:highlight w:val="none"/>
              </w:rPr>
              <w:t>配置</w:t>
            </w:r>
            <w:r>
              <w:rPr>
                <w:rFonts w:hint="eastAsia" w:ascii="宋体" w:hAnsi="宋体" w:cs="宋体"/>
                <w:bCs/>
                <w:color w:val="auto"/>
                <w:szCs w:val="21"/>
                <w:highlight w:val="none"/>
                <w:lang w:eastAsia="zh-CN"/>
              </w:rPr>
              <w:t>较齐全，各岗位分工较明确，搭配较合理</w:t>
            </w:r>
            <w:r>
              <w:rPr>
                <w:rFonts w:hint="eastAsia" w:ascii="宋体" w:hAnsi="宋体" w:cs="宋体"/>
                <w:bCs/>
                <w:color w:val="auto"/>
                <w:szCs w:val="21"/>
                <w:highlight w:val="none"/>
              </w:rPr>
              <w:t>的得6分；</w:t>
            </w:r>
          </w:p>
          <w:p w14:paraId="43E25FFD">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lang w:eastAsia="zh-CN"/>
              </w:rPr>
              <w:t>项目负责人、技术负责人、</w:t>
            </w:r>
            <w:r>
              <w:rPr>
                <w:rFonts w:hint="eastAsia" w:ascii="宋体" w:hAnsi="宋体" w:cs="宋体"/>
                <w:bCs/>
                <w:color w:val="auto"/>
                <w:szCs w:val="21"/>
                <w:highlight w:val="none"/>
              </w:rPr>
              <w:t>技术</w:t>
            </w:r>
            <w:r>
              <w:rPr>
                <w:rFonts w:hint="eastAsia" w:ascii="宋体" w:hAnsi="宋体" w:cs="宋体"/>
                <w:bCs/>
                <w:color w:val="auto"/>
                <w:szCs w:val="21"/>
                <w:highlight w:val="none"/>
                <w:lang w:eastAsia="zh-CN"/>
              </w:rPr>
              <w:t>工程师</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运维工程师</w:t>
            </w:r>
            <w:r>
              <w:rPr>
                <w:rFonts w:hint="eastAsia" w:ascii="宋体" w:hAnsi="宋体" w:cs="宋体"/>
                <w:bCs/>
                <w:color w:val="auto"/>
                <w:szCs w:val="21"/>
                <w:highlight w:val="none"/>
              </w:rPr>
              <w:t>等</w:t>
            </w:r>
            <w:r>
              <w:rPr>
                <w:rFonts w:hint="eastAsia" w:ascii="宋体" w:hAnsi="宋体" w:cs="宋体"/>
                <w:bCs/>
                <w:color w:val="auto"/>
                <w:szCs w:val="21"/>
                <w:highlight w:val="none"/>
                <w:lang w:eastAsia="zh-CN"/>
              </w:rPr>
              <w:t>人员</w:t>
            </w:r>
            <w:r>
              <w:rPr>
                <w:rFonts w:hint="eastAsia" w:ascii="宋体" w:hAnsi="宋体" w:cs="宋体"/>
                <w:bCs/>
                <w:color w:val="auto"/>
                <w:szCs w:val="21"/>
                <w:highlight w:val="none"/>
              </w:rPr>
              <w:t>配置</w:t>
            </w:r>
            <w:r>
              <w:rPr>
                <w:rFonts w:hint="eastAsia" w:ascii="宋体" w:hAnsi="宋体" w:cs="宋体"/>
                <w:bCs/>
                <w:color w:val="auto"/>
                <w:szCs w:val="21"/>
                <w:highlight w:val="none"/>
                <w:lang w:eastAsia="zh-CN"/>
              </w:rPr>
              <w:t>较齐全但各岗位分工较模糊，搭配重复</w:t>
            </w:r>
            <w:r>
              <w:rPr>
                <w:rFonts w:hint="eastAsia" w:ascii="宋体" w:hAnsi="宋体" w:cs="宋体"/>
                <w:bCs/>
                <w:color w:val="auto"/>
                <w:szCs w:val="21"/>
                <w:highlight w:val="none"/>
              </w:rPr>
              <w:t>的得4分；</w:t>
            </w:r>
          </w:p>
          <w:p w14:paraId="261C5E13">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lang w:eastAsia="zh-CN"/>
              </w:rPr>
              <w:t>项目负责人、技术负责人、</w:t>
            </w:r>
            <w:r>
              <w:rPr>
                <w:rFonts w:hint="eastAsia" w:ascii="宋体" w:hAnsi="宋体" w:cs="宋体"/>
                <w:bCs/>
                <w:color w:val="auto"/>
                <w:szCs w:val="21"/>
                <w:highlight w:val="none"/>
              </w:rPr>
              <w:t>技术</w:t>
            </w:r>
            <w:r>
              <w:rPr>
                <w:rFonts w:hint="eastAsia" w:ascii="宋体" w:hAnsi="宋体" w:cs="宋体"/>
                <w:bCs/>
                <w:color w:val="auto"/>
                <w:szCs w:val="21"/>
                <w:highlight w:val="none"/>
                <w:lang w:eastAsia="zh-CN"/>
              </w:rPr>
              <w:t>工程师</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运维工程师</w:t>
            </w:r>
            <w:r>
              <w:rPr>
                <w:rFonts w:hint="eastAsia" w:ascii="宋体" w:hAnsi="宋体" w:cs="宋体"/>
                <w:bCs/>
                <w:color w:val="auto"/>
                <w:szCs w:val="21"/>
                <w:highlight w:val="none"/>
              </w:rPr>
              <w:t>等</w:t>
            </w:r>
            <w:r>
              <w:rPr>
                <w:rFonts w:hint="eastAsia" w:ascii="宋体" w:hAnsi="宋体" w:cs="宋体"/>
                <w:bCs/>
                <w:color w:val="auto"/>
                <w:szCs w:val="21"/>
                <w:highlight w:val="none"/>
                <w:lang w:eastAsia="zh-CN"/>
              </w:rPr>
              <w:t>人员</w:t>
            </w:r>
            <w:r>
              <w:rPr>
                <w:rFonts w:hint="eastAsia" w:ascii="宋体" w:hAnsi="宋体" w:cs="宋体"/>
                <w:bCs/>
                <w:color w:val="auto"/>
                <w:szCs w:val="21"/>
                <w:highlight w:val="none"/>
              </w:rPr>
              <w:t>配置</w:t>
            </w:r>
            <w:r>
              <w:rPr>
                <w:rFonts w:hint="eastAsia" w:ascii="宋体" w:hAnsi="宋体" w:cs="宋体"/>
                <w:bCs/>
                <w:color w:val="auto"/>
                <w:szCs w:val="21"/>
                <w:highlight w:val="none"/>
                <w:lang w:eastAsia="zh-CN"/>
              </w:rPr>
              <w:t>存在缺项，缺乏岗位分工，搭配不合理</w:t>
            </w:r>
            <w:r>
              <w:rPr>
                <w:rFonts w:hint="eastAsia" w:ascii="宋体" w:hAnsi="宋体" w:cs="宋体"/>
                <w:bCs/>
                <w:color w:val="auto"/>
                <w:szCs w:val="21"/>
                <w:highlight w:val="none"/>
              </w:rPr>
              <w:t>的得2分；</w:t>
            </w:r>
          </w:p>
          <w:p w14:paraId="7E6219FC">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snapToGrid w:val="0"/>
                <w:color w:val="auto"/>
                <w:szCs w:val="21"/>
                <w:highlight w:val="none"/>
                <w:lang w:eastAsia="zh-CN"/>
              </w:rPr>
              <w:t>未提供本项的不得分</w:t>
            </w:r>
            <w:r>
              <w:rPr>
                <w:rFonts w:hint="eastAsia" w:ascii="宋体" w:hAnsi="宋体" w:cs="宋体"/>
                <w:snapToGrid w:val="0"/>
                <w:color w:val="auto"/>
                <w:szCs w:val="21"/>
                <w:highlight w:val="none"/>
              </w:rPr>
              <w:t>。</w:t>
            </w:r>
          </w:p>
          <w:p w14:paraId="61233429">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
                <w:color w:val="auto"/>
                <w:szCs w:val="21"/>
                <w:highlight w:val="none"/>
              </w:rPr>
              <w:t>注：投标文件中提供上述人员距离提交投标文件截止时间止近三个月供应商为其缴纳的社保证明复印件及相关技术力量证明并加盖供应商公章</w:t>
            </w:r>
            <w:r>
              <w:rPr>
                <w:rFonts w:hint="eastAsia" w:ascii="宋体" w:hAnsi="宋体" w:cs="宋体"/>
                <w:b/>
                <w:color w:val="auto"/>
                <w:szCs w:val="21"/>
                <w:highlight w:val="none"/>
                <w:lang w:eastAsia="zh-CN"/>
              </w:rPr>
              <w:t>，否则不得分</w:t>
            </w:r>
            <w:r>
              <w:rPr>
                <w:rFonts w:hint="eastAsia" w:ascii="宋体" w:hAnsi="宋体" w:cs="宋体"/>
                <w:b/>
                <w:color w:val="auto"/>
                <w:szCs w:val="21"/>
                <w:highlight w:val="none"/>
              </w:rPr>
              <w:t>。</w:t>
            </w:r>
          </w:p>
        </w:tc>
        <w:tc>
          <w:tcPr>
            <w:tcW w:w="667" w:type="dxa"/>
            <w:tcBorders>
              <w:tl2br w:val="nil"/>
              <w:tr2bl w:val="nil"/>
            </w:tcBorders>
            <w:vAlign w:val="center"/>
          </w:tcPr>
          <w:p w14:paraId="56963873">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ascii="宋体" w:hAnsi="宋体" w:cs="宋体"/>
                <w:color w:val="auto"/>
                <w:szCs w:val="21"/>
                <w:highlight w:val="none"/>
              </w:rPr>
              <w:t>8</w:t>
            </w:r>
          </w:p>
        </w:tc>
      </w:tr>
      <w:tr w14:paraId="77DF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restart"/>
            <w:tcBorders>
              <w:tl2br w:val="nil"/>
              <w:tr2bl w:val="nil"/>
            </w:tcBorders>
            <w:vAlign w:val="center"/>
          </w:tcPr>
          <w:p w14:paraId="785A2310">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商务</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tc>
        <w:tc>
          <w:tcPr>
            <w:tcW w:w="1320" w:type="dxa"/>
            <w:vMerge w:val="restart"/>
            <w:tcBorders>
              <w:tl2br w:val="nil"/>
              <w:tr2bl w:val="nil"/>
            </w:tcBorders>
            <w:vAlign w:val="center"/>
          </w:tcPr>
          <w:p w14:paraId="1DC0F970">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实施人员配备情况</w:t>
            </w:r>
          </w:p>
        </w:tc>
        <w:tc>
          <w:tcPr>
            <w:tcW w:w="6450" w:type="dxa"/>
            <w:tcBorders>
              <w:tl2br w:val="nil"/>
              <w:tr2bl w:val="nil"/>
            </w:tcBorders>
            <w:vAlign w:val="center"/>
          </w:tcPr>
          <w:p w14:paraId="20D7243A">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rPr>
              <w:t>拟派本项目</w:t>
            </w:r>
            <w:r>
              <w:rPr>
                <w:rFonts w:hint="eastAsia" w:ascii="宋体" w:hAnsi="宋体" w:cs="宋体"/>
                <w:bCs/>
                <w:color w:val="auto"/>
                <w:szCs w:val="21"/>
                <w:highlight w:val="none"/>
                <w:lang w:eastAsia="zh-CN"/>
              </w:rPr>
              <w:t>项目负责人</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项目负责人</w:t>
            </w:r>
            <w:r>
              <w:rPr>
                <w:rFonts w:hint="eastAsia" w:ascii="宋体" w:hAnsi="宋体" w:cs="宋体"/>
                <w:bCs/>
                <w:color w:val="auto"/>
                <w:szCs w:val="21"/>
                <w:highlight w:val="none"/>
              </w:rPr>
              <w:t>具有高级信息系统项目管理师证书的得2分；否则不得分。</w:t>
            </w:r>
          </w:p>
          <w:p w14:paraId="320A6D9D">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
                <w:color w:val="auto"/>
                <w:szCs w:val="21"/>
                <w:highlight w:val="none"/>
              </w:rPr>
              <w:t>注：投标文件中提供</w:t>
            </w:r>
            <w:r>
              <w:rPr>
                <w:rFonts w:hint="eastAsia" w:ascii="宋体" w:hAnsi="宋体" w:cs="宋体"/>
                <w:b/>
                <w:color w:val="auto"/>
                <w:szCs w:val="21"/>
                <w:highlight w:val="none"/>
                <w:lang w:eastAsia="zh-CN"/>
              </w:rPr>
              <w:t>项目负责人</w:t>
            </w:r>
            <w:r>
              <w:rPr>
                <w:rFonts w:hint="eastAsia" w:ascii="宋体" w:hAnsi="宋体" w:cs="宋体"/>
                <w:b/>
                <w:color w:val="auto"/>
                <w:szCs w:val="21"/>
                <w:highlight w:val="none"/>
              </w:rPr>
              <w:t>相关证书复印件加盖供应商公章，以及</w:t>
            </w:r>
            <w:r>
              <w:rPr>
                <w:rFonts w:hint="eastAsia" w:ascii="宋体" w:hAnsi="宋体" w:cs="宋体"/>
                <w:b/>
                <w:color w:val="auto"/>
                <w:szCs w:val="21"/>
                <w:highlight w:val="none"/>
                <w:lang w:eastAsia="zh-CN"/>
              </w:rPr>
              <w:t>项目负责人</w:t>
            </w:r>
            <w:r>
              <w:rPr>
                <w:rFonts w:hint="eastAsia" w:ascii="宋体" w:hAnsi="宋体" w:cs="宋体"/>
                <w:b/>
                <w:color w:val="auto"/>
                <w:szCs w:val="21"/>
                <w:highlight w:val="none"/>
              </w:rPr>
              <w:t>距离提交投标文件截止时间止近三个月供应商为其缴纳的社保证明复印件并加盖供应商公章</w:t>
            </w:r>
            <w:r>
              <w:rPr>
                <w:rFonts w:hint="eastAsia" w:ascii="宋体" w:hAnsi="宋体" w:cs="宋体"/>
                <w:b/>
                <w:color w:val="auto"/>
                <w:szCs w:val="21"/>
                <w:highlight w:val="none"/>
                <w:lang w:eastAsia="zh-CN"/>
              </w:rPr>
              <w:t>，否则不得分</w:t>
            </w:r>
            <w:r>
              <w:rPr>
                <w:rFonts w:hint="eastAsia" w:ascii="宋体" w:hAnsi="宋体" w:cs="宋体"/>
                <w:b/>
                <w:color w:val="auto"/>
                <w:szCs w:val="21"/>
                <w:highlight w:val="none"/>
              </w:rPr>
              <w:t>。</w:t>
            </w:r>
          </w:p>
        </w:tc>
        <w:tc>
          <w:tcPr>
            <w:tcW w:w="667" w:type="dxa"/>
            <w:tcBorders>
              <w:tl2br w:val="nil"/>
              <w:tr2bl w:val="nil"/>
            </w:tcBorders>
            <w:vAlign w:val="center"/>
          </w:tcPr>
          <w:p w14:paraId="56F7AEE1">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2</w:t>
            </w:r>
          </w:p>
        </w:tc>
      </w:tr>
      <w:tr w14:paraId="435C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5B5DAC34">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vMerge w:val="continue"/>
            <w:tcBorders>
              <w:tl2br w:val="nil"/>
              <w:tr2bl w:val="nil"/>
            </w:tcBorders>
            <w:vAlign w:val="center"/>
          </w:tcPr>
          <w:p w14:paraId="043EA6A6">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6450" w:type="dxa"/>
            <w:tcBorders>
              <w:tl2br w:val="nil"/>
              <w:tr2bl w:val="nil"/>
            </w:tcBorders>
            <w:vAlign w:val="center"/>
          </w:tcPr>
          <w:p w14:paraId="090586C2">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rPr>
              <w:t>拟派本项目</w:t>
            </w:r>
            <w:r>
              <w:rPr>
                <w:rFonts w:hint="eastAsia" w:ascii="宋体" w:hAnsi="宋体" w:cs="宋体"/>
                <w:bCs/>
                <w:color w:val="auto"/>
                <w:szCs w:val="21"/>
                <w:highlight w:val="none"/>
                <w:lang w:eastAsia="zh-CN"/>
              </w:rPr>
              <w:t>项目负责人</w:t>
            </w:r>
            <w:r>
              <w:rPr>
                <w:rFonts w:hint="eastAsia" w:ascii="宋体" w:hAnsi="宋体" w:cs="宋体"/>
                <w:bCs/>
                <w:color w:val="auto"/>
                <w:szCs w:val="21"/>
                <w:highlight w:val="none"/>
              </w:rPr>
              <w:t>自202</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年1月1日以来（以合同签订日期为准）承担过类似</w:t>
            </w:r>
            <w:r>
              <w:rPr>
                <w:rFonts w:hint="eastAsia" w:ascii="宋体" w:hAnsi="宋体" w:cs="宋体"/>
                <w:bCs/>
                <w:color w:val="auto"/>
                <w:szCs w:val="21"/>
                <w:highlight w:val="none"/>
                <w:lang w:eastAsia="zh-CN"/>
              </w:rPr>
              <w:t>信息系统</w:t>
            </w:r>
            <w:r>
              <w:rPr>
                <w:rFonts w:hint="eastAsia" w:ascii="宋体" w:hAnsi="宋体" w:cs="宋体"/>
                <w:bCs/>
                <w:color w:val="auto"/>
                <w:szCs w:val="21"/>
                <w:highlight w:val="none"/>
              </w:rPr>
              <w:t>运维</w:t>
            </w:r>
            <w:r>
              <w:rPr>
                <w:rFonts w:hint="eastAsia" w:ascii="宋体" w:hAnsi="宋体" w:cs="宋体"/>
                <w:bCs/>
                <w:color w:val="auto"/>
                <w:szCs w:val="21"/>
                <w:highlight w:val="none"/>
                <w:lang w:eastAsia="zh-CN"/>
              </w:rPr>
              <w:t>（维护）</w:t>
            </w:r>
            <w:r>
              <w:rPr>
                <w:rFonts w:hint="eastAsia" w:ascii="宋体" w:hAnsi="宋体" w:cs="宋体"/>
                <w:bCs/>
                <w:color w:val="auto"/>
                <w:szCs w:val="21"/>
                <w:highlight w:val="none"/>
              </w:rPr>
              <w:t>服务项目</w:t>
            </w:r>
            <w:r>
              <w:rPr>
                <w:rFonts w:hint="eastAsia" w:ascii="宋体" w:hAnsi="宋体" w:cs="宋体"/>
                <w:bCs/>
                <w:color w:val="auto"/>
                <w:szCs w:val="21"/>
                <w:highlight w:val="none"/>
                <w:lang w:eastAsia="zh-CN"/>
              </w:rPr>
              <w:t>业绩</w:t>
            </w:r>
            <w:r>
              <w:rPr>
                <w:rFonts w:hint="eastAsia" w:ascii="宋体" w:hAnsi="宋体" w:cs="宋体"/>
                <w:bCs/>
                <w:color w:val="auto"/>
                <w:szCs w:val="21"/>
                <w:highlight w:val="none"/>
              </w:rPr>
              <w:t>，每提供一个业绩得1分，最高得2分。</w:t>
            </w:r>
          </w:p>
          <w:p w14:paraId="10B736BB">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
                <w:color w:val="auto"/>
                <w:szCs w:val="21"/>
                <w:highlight w:val="none"/>
              </w:rPr>
              <w:t>注：投标文件中提供合同复印件并加盖供应商公章，合同内容应体现项目内容及</w:t>
            </w:r>
            <w:r>
              <w:rPr>
                <w:rFonts w:hint="eastAsia" w:ascii="宋体" w:hAnsi="宋体" w:cs="宋体"/>
                <w:b/>
                <w:color w:val="auto"/>
                <w:szCs w:val="21"/>
                <w:highlight w:val="none"/>
                <w:lang w:eastAsia="zh-CN"/>
              </w:rPr>
              <w:t>项目负责人</w:t>
            </w:r>
            <w:r>
              <w:rPr>
                <w:rFonts w:hint="eastAsia" w:ascii="宋体" w:hAnsi="宋体" w:cs="宋体"/>
                <w:b/>
                <w:color w:val="auto"/>
                <w:szCs w:val="21"/>
                <w:highlight w:val="none"/>
              </w:rPr>
              <w:t>信息，如未体现，须提供其他用户证明佐证材料，未按要求提供的不得分。</w:t>
            </w:r>
          </w:p>
        </w:tc>
        <w:tc>
          <w:tcPr>
            <w:tcW w:w="667" w:type="dxa"/>
            <w:tcBorders>
              <w:tl2br w:val="nil"/>
              <w:tr2bl w:val="nil"/>
            </w:tcBorders>
            <w:vAlign w:val="center"/>
          </w:tcPr>
          <w:p w14:paraId="22582FAD">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2</w:t>
            </w:r>
          </w:p>
        </w:tc>
      </w:tr>
      <w:tr w14:paraId="659D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29AE4066">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vMerge w:val="restart"/>
            <w:tcBorders>
              <w:tl2br w:val="nil"/>
              <w:tr2bl w:val="nil"/>
            </w:tcBorders>
            <w:vAlign w:val="center"/>
          </w:tcPr>
          <w:p w14:paraId="7F103B1E">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企业实力</w:t>
            </w:r>
          </w:p>
        </w:tc>
        <w:tc>
          <w:tcPr>
            <w:tcW w:w="6450" w:type="dxa"/>
            <w:tcBorders>
              <w:tl2br w:val="nil"/>
              <w:tr2bl w:val="nil"/>
            </w:tcBorders>
            <w:vAlign w:val="center"/>
          </w:tcPr>
          <w:p w14:paraId="04CA5736">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eastAsia="zh-CN"/>
              </w:rPr>
              <w:t>供应商具有有效期内的信息安全管理体系认证证书（</w:t>
            </w:r>
            <w:r>
              <w:rPr>
                <w:rFonts w:hint="eastAsia" w:ascii="宋体" w:hAnsi="宋体" w:cs="宋体"/>
                <w:bCs/>
                <w:color w:val="auto"/>
                <w:szCs w:val="21"/>
                <w:highlight w:val="none"/>
                <w:lang w:val="en-US" w:eastAsia="zh-CN"/>
              </w:rPr>
              <w:t>ISO27001</w:t>
            </w:r>
            <w:r>
              <w:rPr>
                <w:rFonts w:hint="eastAsia" w:ascii="宋体" w:hAnsi="宋体" w:cs="宋体"/>
                <w:bCs/>
                <w:color w:val="auto"/>
                <w:szCs w:val="21"/>
                <w:highlight w:val="none"/>
                <w:lang w:eastAsia="zh-CN"/>
              </w:rPr>
              <w:t>）的得</w:t>
            </w:r>
            <w:r>
              <w:rPr>
                <w:rFonts w:hint="eastAsia" w:ascii="宋体" w:hAnsi="宋体" w:cs="宋体"/>
                <w:bCs/>
                <w:color w:val="auto"/>
                <w:szCs w:val="21"/>
                <w:highlight w:val="none"/>
                <w:lang w:val="en-US" w:eastAsia="zh-CN"/>
              </w:rPr>
              <w:t>2分，否则不得分。</w:t>
            </w:r>
          </w:p>
          <w:p w14:paraId="7E876197">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default" w:ascii="宋体" w:hAnsi="宋体" w:cs="宋体"/>
                <w:bCs/>
                <w:color w:val="auto"/>
                <w:szCs w:val="21"/>
                <w:highlight w:val="none"/>
                <w:lang w:val="en-US"/>
              </w:rPr>
            </w:pPr>
            <w:r>
              <w:rPr>
                <w:rFonts w:hint="eastAsia" w:ascii="宋体" w:hAnsi="宋体" w:cs="宋体"/>
                <w:b/>
                <w:bCs w:val="0"/>
                <w:color w:val="auto"/>
                <w:szCs w:val="21"/>
                <w:highlight w:val="none"/>
                <w:lang w:val="en-US" w:eastAsia="zh-CN"/>
              </w:rPr>
              <w:t>注：投标文件中提供上述认证证书复印件并加盖供应商公章</w:t>
            </w:r>
            <w:r>
              <w:rPr>
                <w:rFonts w:hint="eastAsia" w:ascii="宋体" w:hAnsi="宋体" w:cs="宋体"/>
                <w:b/>
                <w:color w:val="auto"/>
                <w:szCs w:val="21"/>
                <w:highlight w:val="none"/>
                <w:lang w:eastAsia="zh-CN"/>
              </w:rPr>
              <w:t>，否则不得分</w:t>
            </w:r>
            <w:r>
              <w:rPr>
                <w:rFonts w:hint="eastAsia" w:ascii="宋体" w:hAnsi="宋体" w:cs="宋体"/>
                <w:b/>
                <w:bCs w:val="0"/>
                <w:color w:val="auto"/>
                <w:szCs w:val="21"/>
                <w:highlight w:val="none"/>
                <w:lang w:val="en-US" w:eastAsia="zh-CN"/>
              </w:rPr>
              <w:t>。</w:t>
            </w:r>
          </w:p>
        </w:tc>
        <w:tc>
          <w:tcPr>
            <w:tcW w:w="667" w:type="dxa"/>
            <w:tcBorders>
              <w:tl2br w:val="nil"/>
              <w:tr2bl w:val="nil"/>
            </w:tcBorders>
            <w:vAlign w:val="center"/>
          </w:tcPr>
          <w:p w14:paraId="20EA9E75">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r>
      <w:tr w14:paraId="76B5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51B59101">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vMerge w:val="continue"/>
            <w:tcBorders>
              <w:tl2br w:val="nil"/>
              <w:tr2bl w:val="nil"/>
            </w:tcBorders>
            <w:vAlign w:val="center"/>
          </w:tcPr>
          <w:p w14:paraId="535D5A0E">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cs="宋体"/>
                <w:color w:val="auto"/>
                <w:szCs w:val="21"/>
                <w:highlight w:val="none"/>
              </w:rPr>
            </w:pPr>
          </w:p>
        </w:tc>
        <w:tc>
          <w:tcPr>
            <w:tcW w:w="6450" w:type="dxa"/>
            <w:tcBorders>
              <w:tl2br w:val="nil"/>
              <w:tr2bl w:val="nil"/>
            </w:tcBorders>
            <w:vAlign w:val="center"/>
          </w:tcPr>
          <w:p w14:paraId="23595341">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eastAsia="zh-CN"/>
              </w:rPr>
              <w:t>供应商具有有效期内的质量管理体系认证证书（</w:t>
            </w:r>
            <w:r>
              <w:rPr>
                <w:rFonts w:hint="eastAsia" w:ascii="宋体" w:hAnsi="宋体" w:cs="宋体"/>
                <w:bCs/>
                <w:color w:val="auto"/>
                <w:szCs w:val="21"/>
                <w:highlight w:val="none"/>
                <w:lang w:val="en-US" w:eastAsia="zh-CN"/>
              </w:rPr>
              <w:t>ISO9001</w:t>
            </w:r>
            <w:r>
              <w:rPr>
                <w:rFonts w:hint="eastAsia" w:ascii="宋体" w:hAnsi="宋体" w:cs="宋体"/>
                <w:bCs/>
                <w:color w:val="auto"/>
                <w:szCs w:val="21"/>
                <w:highlight w:val="none"/>
                <w:lang w:eastAsia="zh-CN"/>
              </w:rPr>
              <w:t>）的得</w:t>
            </w:r>
            <w:r>
              <w:rPr>
                <w:rFonts w:hint="eastAsia" w:ascii="宋体" w:hAnsi="宋体" w:cs="宋体"/>
                <w:bCs/>
                <w:color w:val="auto"/>
                <w:szCs w:val="21"/>
                <w:highlight w:val="none"/>
                <w:lang w:val="en-US" w:eastAsia="zh-CN"/>
              </w:rPr>
              <w:t>2分，否则不得分。</w:t>
            </w:r>
          </w:p>
          <w:p w14:paraId="3AFC8074">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
                <w:bCs w:val="0"/>
                <w:color w:val="auto"/>
                <w:szCs w:val="21"/>
                <w:highlight w:val="none"/>
                <w:lang w:val="en-US" w:eastAsia="zh-CN"/>
              </w:rPr>
            </w:pPr>
            <w:r>
              <w:rPr>
                <w:rFonts w:hint="eastAsia" w:ascii="宋体" w:hAnsi="宋体" w:cs="宋体"/>
                <w:b/>
                <w:bCs w:val="0"/>
                <w:color w:val="auto"/>
                <w:szCs w:val="21"/>
                <w:highlight w:val="none"/>
                <w:lang w:val="en-US" w:eastAsia="zh-CN"/>
              </w:rPr>
              <w:t>注：投标文件中提供上述认证证书复印件并加盖供应商公章</w:t>
            </w:r>
            <w:r>
              <w:rPr>
                <w:rFonts w:hint="eastAsia" w:ascii="宋体" w:hAnsi="宋体" w:cs="宋体"/>
                <w:b/>
                <w:color w:val="auto"/>
                <w:szCs w:val="21"/>
                <w:highlight w:val="none"/>
                <w:lang w:eastAsia="zh-CN"/>
              </w:rPr>
              <w:t>，否则不得分</w:t>
            </w:r>
            <w:r>
              <w:rPr>
                <w:rFonts w:hint="eastAsia" w:ascii="宋体" w:hAnsi="宋体" w:cs="宋体"/>
                <w:b/>
                <w:bCs w:val="0"/>
                <w:color w:val="auto"/>
                <w:szCs w:val="21"/>
                <w:highlight w:val="none"/>
                <w:lang w:val="en-US" w:eastAsia="zh-CN"/>
              </w:rPr>
              <w:t>。</w:t>
            </w:r>
          </w:p>
        </w:tc>
        <w:tc>
          <w:tcPr>
            <w:tcW w:w="667" w:type="dxa"/>
            <w:tcBorders>
              <w:tl2br w:val="nil"/>
              <w:tr2bl w:val="nil"/>
            </w:tcBorders>
            <w:vAlign w:val="center"/>
          </w:tcPr>
          <w:p w14:paraId="5BA15166">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r>
      <w:tr w14:paraId="15E8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Merge w:val="continue"/>
            <w:tcBorders>
              <w:tl2br w:val="nil"/>
              <w:tr2bl w:val="nil"/>
            </w:tcBorders>
            <w:vAlign w:val="center"/>
          </w:tcPr>
          <w:p w14:paraId="7607354E">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p>
        </w:tc>
        <w:tc>
          <w:tcPr>
            <w:tcW w:w="1320" w:type="dxa"/>
            <w:tcBorders>
              <w:tl2br w:val="nil"/>
              <w:tr2bl w:val="nil"/>
            </w:tcBorders>
            <w:vAlign w:val="center"/>
          </w:tcPr>
          <w:p w14:paraId="52ACB57C">
            <w:pPr>
              <w:keepNext w:val="0"/>
              <w:keepLines w:val="0"/>
              <w:pageBreakBefore w:val="0"/>
              <w:widowControl w:val="0"/>
              <w:kinsoku/>
              <w:wordWrap w:val="0"/>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类似业绩</w:t>
            </w:r>
          </w:p>
        </w:tc>
        <w:tc>
          <w:tcPr>
            <w:tcW w:w="6450" w:type="dxa"/>
            <w:tcBorders>
              <w:tl2br w:val="nil"/>
              <w:tr2bl w:val="nil"/>
            </w:tcBorders>
            <w:vAlign w:val="center"/>
          </w:tcPr>
          <w:p w14:paraId="015A1B3F">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rPr>
              <w:t>自202</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年1月1日以来（以合同签订日期为准），供应商具有类似信息系统运维（维护）</w:t>
            </w:r>
            <w:r>
              <w:rPr>
                <w:rFonts w:hint="eastAsia" w:ascii="宋体" w:hAnsi="宋体" w:cs="宋体"/>
                <w:bCs/>
                <w:color w:val="auto"/>
                <w:szCs w:val="21"/>
                <w:highlight w:val="none"/>
                <w:lang w:eastAsia="zh-CN"/>
              </w:rPr>
              <w:t>服务项目业绩</w:t>
            </w:r>
            <w:r>
              <w:rPr>
                <w:rFonts w:hint="eastAsia" w:ascii="宋体" w:hAnsi="宋体" w:cs="宋体"/>
                <w:bCs/>
                <w:color w:val="auto"/>
                <w:szCs w:val="21"/>
                <w:highlight w:val="none"/>
              </w:rPr>
              <w:t>，每提供一个业绩得0.5分，最高得1分。</w:t>
            </w:r>
          </w:p>
          <w:p w14:paraId="4DACAAD6">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
                <w:color w:val="auto"/>
                <w:szCs w:val="21"/>
                <w:highlight w:val="none"/>
              </w:rPr>
              <w:t>注：投标文件中提供合同复印件并加盖供应商公章</w:t>
            </w:r>
            <w:r>
              <w:rPr>
                <w:rFonts w:hint="eastAsia" w:ascii="宋体" w:hAnsi="宋体" w:cs="宋体"/>
                <w:b/>
                <w:color w:val="auto"/>
                <w:szCs w:val="21"/>
                <w:highlight w:val="none"/>
                <w:lang w:eastAsia="zh-CN"/>
              </w:rPr>
              <w:t>，否则不得分</w:t>
            </w:r>
            <w:r>
              <w:rPr>
                <w:rFonts w:hint="eastAsia" w:ascii="宋体" w:hAnsi="宋体" w:cs="宋体"/>
                <w:b/>
                <w:color w:val="auto"/>
                <w:szCs w:val="21"/>
                <w:highlight w:val="none"/>
              </w:rPr>
              <w:t>。</w:t>
            </w:r>
          </w:p>
        </w:tc>
        <w:tc>
          <w:tcPr>
            <w:tcW w:w="667" w:type="dxa"/>
            <w:tcBorders>
              <w:tl2br w:val="nil"/>
              <w:tr2bl w:val="nil"/>
            </w:tcBorders>
            <w:vAlign w:val="center"/>
          </w:tcPr>
          <w:p w14:paraId="5F117E64">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ascii="宋体" w:hAnsi="宋体" w:cs="宋体"/>
                <w:color w:val="auto"/>
                <w:szCs w:val="21"/>
                <w:highlight w:val="none"/>
              </w:rPr>
              <w:t>1</w:t>
            </w:r>
          </w:p>
        </w:tc>
      </w:tr>
      <w:tr w14:paraId="68FB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tcBorders>
              <w:tl2br w:val="nil"/>
              <w:tr2bl w:val="nil"/>
            </w:tcBorders>
            <w:vAlign w:val="center"/>
          </w:tcPr>
          <w:p w14:paraId="0D9BCA33">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价格</w:t>
            </w:r>
          </w:p>
          <w:p w14:paraId="1E26AF97">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tc>
        <w:tc>
          <w:tcPr>
            <w:tcW w:w="1320" w:type="dxa"/>
            <w:tcBorders>
              <w:tl2br w:val="nil"/>
              <w:tr2bl w:val="nil"/>
            </w:tcBorders>
            <w:vAlign w:val="center"/>
          </w:tcPr>
          <w:p w14:paraId="6A440086">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价格分</w:t>
            </w:r>
          </w:p>
        </w:tc>
        <w:tc>
          <w:tcPr>
            <w:tcW w:w="6450" w:type="dxa"/>
            <w:tcBorders>
              <w:tl2br w:val="nil"/>
              <w:tr2bl w:val="nil"/>
            </w:tcBorders>
            <w:vAlign w:val="center"/>
          </w:tcPr>
          <w:p w14:paraId="738AFB64">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评标基准价=满足招标文件要求且最低的投标报价为评标基准价</w:t>
            </w:r>
            <w:r>
              <w:rPr>
                <w:rFonts w:hint="eastAsia" w:ascii="宋体" w:hAnsi="宋体" w:cs="宋体"/>
                <w:bCs/>
                <w:color w:val="auto"/>
                <w:szCs w:val="21"/>
                <w:highlight w:val="none"/>
                <w:lang w:eastAsia="zh-CN"/>
              </w:rPr>
              <w:t>。</w:t>
            </w:r>
          </w:p>
          <w:p w14:paraId="3D5BEDC6">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eastAsia="zh-CN"/>
              </w:rPr>
              <w:t>评标</w:t>
            </w:r>
            <w:r>
              <w:rPr>
                <w:rFonts w:hint="eastAsia" w:ascii="宋体" w:hAnsi="宋体" w:cs="宋体"/>
                <w:bCs/>
                <w:color w:val="auto"/>
                <w:szCs w:val="21"/>
                <w:highlight w:val="none"/>
              </w:rPr>
              <w:t>基准价得分为满分</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r>
              <w:rPr>
                <w:rFonts w:hint="eastAsia" w:ascii="宋体" w:hAnsi="宋体" w:cs="宋体"/>
                <w:bCs/>
                <w:color w:val="auto"/>
                <w:szCs w:val="21"/>
                <w:highlight w:val="none"/>
                <w:lang w:eastAsia="zh-CN"/>
              </w:rPr>
              <w:t>。</w:t>
            </w:r>
          </w:p>
          <w:p w14:paraId="2F829173">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ascii="宋体" w:hAnsi="宋体" w:cs="宋体"/>
                <w:bCs/>
                <w:color w:val="auto"/>
                <w:szCs w:val="21"/>
                <w:highlight w:val="none"/>
              </w:rPr>
            </w:pPr>
            <w:r>
              <w:rPr>
                <w:rFonts w:hint="eastAsia" w:ascii="宋体" w:hAnsi="宋体" w:cs="宋体"/>
                <w:bCs/>
                <w:color w:val="auto"/>
                <w:szCs w:val="21"/>
                <w:highlight w:val="none"/>
              </w:rPr>
              <w:t>其他供应商</w:t>
            </w:r>
            <w:r>
              <w:rPr>
                <w:rFonts w:hint="eastAsia" w:ascii="宋体" w:hAnsi="宋体" w:cs="宋体"/>
                <w:bCs/>
                <w:color w:val="auto"/>
                <w:szCs w:val="21"/>
                <w:highlight w:val="none"/>
                <w:lang w:eastAsia="zh-CN"/>
              </w:rPr>
              <w:t>价格分</w:t>
            </w:r>
            <w:r>
              <w:rPr>
                <w:rFonts w:hint="eastAsia" w:ascii="宋体" w:hAnsi="宋体" w:cs="宋体"/>
                <w:bCs/>
                <w:color w:val="auto"/>
                <w:szCs w:val="21"/>
                <w:highlight w:val="none"/>
              </w:rPr>
              <w:t>得分计算公式如下：</w:t>
            </w:r>
          </w:p>
          <w:p w14:paraId="2FFA3E7F">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其他供应商</w:t>
            </w:r>
            <w:r>
              <w:rPr>
                <w:rFonts w:hint="eastAsia" w:ascii="宋体" w:hAnsi="宋体" w:cs="宋体"/>
                <w:bCs/>
                <w:color w:val="auto"/>
                <w:szCs w:val="21"/>
                <w:highlight w:val="none"/>
                <w:lang w:eastAsia="zh-CN"/>
              </w:rPr>
              <w:t>价格分</w:t>
            </w:r>
            <w:r>
              <w:rPr>
                <w:rFonts w:hint="eastAsia" w:ascii="宋体" w:hAnsi="宋体" w:cs="宋体"/>
                <w:bCs/>
                <w:color w:val="auto"/>
                <w:szCs w:val="21"/>
                <w:highlight w:val="none"/>
              </w:rPr>
              <w:t>得分=（评标基准价/</w:t>
            </w:r>
            <w:r>
              <w:rPr>
                <w:rFonts w:hint="eastAsia" w:ascii="宋体" w:hAnsi="宋体" w:cs="宋体"/>
                <w:bCs/>
                <w:color w:val="auto"/>
                <w:szCs w:val="21"/>
                <w:highlight w:val="none"/>
                <w:lang w:eastAsia="zh-CN"/>
              </w:rPr>
              <w:t>投标报价</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%×100</w:t>
            </w:r>
          </w:p>
          <w:p w14:paraId="317D5E49">
            <w:pPr>
              <w:keepNext w:val="0"/>
              <w:keepLines w:val="0"/>
              <w:pageBreakBefore w:val="0"/>
              <w:widowControl w:val="0"/>
              <w:kinsoku/>
              <w:overflowPunct/>
              <w:topLinePunct w:val="0"/>
              <w:autoSpaceDE/>
              <w:autoSpaceDN/>
              <w:bidi w:val="0"/>
              <w:adjustRightInd w:val="0"/>
              <w:snapToGrid w:val="0"/>
              <w:spacing w:line="400" w:lineRule="exact"/>
              <w:ind w:right="0"/>
              <w:textAlignment w:val="auto"/>
              <w:rPr>
                <w:rFonts w:hint="eastAsia" w:ascii="宋体" w:hAnsi="宋体" w:eastAsia="宋体" w:cs="宋体"/>
                <w:bCs/>
                <w:color w:val="auto"/>
                <w:szCs w:val="21"/>
                <w:highlight w:val="none"/>
                <w:lang w:eastAsia="zh-CN"/>
              </w:rPr>
            </w:pPr>
            <w:r>
              <w:rPr>
                <w:rFonts w:hint="eastAsia" w:ascii="宋体" w:hAnsi="宋体" w:cs="宋体"/>
                <w:b/>
                <w:bCs w:val="0"/>
                <w:color w:val="auto"/>
                <w:szCs w:val="21"/>
                <w:highlight w:val="none"/>
                <w:lang w:eastAsia="zh-CN"/>
              </w:rPr>
              <w:t>注：计算结果保留小数点后两位。</w:t>
            </w:r>
          </w:p>
        </w:tc>
        <w:tc>
          <w:tcPr>
            <w:tcW w:w="667" w:type="dxa"/>
            <w:tcBorders>
              <w:tl2br w:val="nil"/>
              <w:tr2bl w:val="nil"/>
            </w:tcBorders>
            <w:vAlign w:val="center"/>
          </w:tcPr>
          <w:p w14:paraId="50624A34">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hint="default" w:ascii="宋体" w:hAnsi="宋体" w:eastAsia="宋体" w:cs="宋体"/>
                <w:color w:val="auto"/>
                <w:szCs w:val="21"/>
                <w:highlight w:val="none"/>
                <w:lang w:val="en-US" w:eastAsia="zh-CN"/>
              </w:rPr>
            </w:pPr>
            <w:r>
              <w:rPr>
                <w:rFonts w:hint="eastAsia" w:ascii="宋体" w:hAnsi="宋体"/>
                <w:color w:val="auto"/>
                <w:szCs w:val="21"/>
                <w:highlight w:val="none"/>
                <w:lang w:val="en-US" w:eastAsia="zh-CN"/>
              </w:rPr>
              <w:t>15</w:t>
            </w:r>
          </w:p>
        </w:tc>
      </w:tr>
      <w:tr w14:paraId="689F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99" w:type="dxa"/>
            <w:gridSpan w:val="3"/>
            <w:tcBorders>
              <w:tl2br w:val="nil"/>
              <w:tr2bl w:val="nil"/>
            </w:tcBorders>
            <w:vAlign w:val="center"/>
          </w:tcPr>
          <w:p w14:paraId="21D14225">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合  计</w:t>
            </w:r>
          </w:p>
        </w:tc>
        <w:tc>
          <w:tcPr>
            <w:tcW w:w="667" w:type="dxa"/>
            <w:tcBorders>
              <w:tl2br w:val="nil"/>
              <w:tr2bl w:val="nil"/>
            </w:tcBorders>
            <w:vAlign w:val="center"/>
          </w:tcPr>
          <w:p w14:paraId="6501FB99">
            <w:pPr>
              <w:keepNext w:val="0"/>
              <w:keepLines w:val="0"/>
              <w:pageBreakBefore w:val="0"/>
              <w:widowControl w:val="0"/>
              <w:kinsoku/>
              <w:overflowPunct/>
              <w:topLinePunct w:val="0"/>
              <w:autoSpaceDE/>
              <w:autoSpaceDN/>
              <w:bidi w:val="0"/>
              <w:adjustRightInd w:val="0"/>
              <w:snapToGrid w:val="0"/>
              <w:spacing w:line="400" w:lineRule="exact"/>
              <w:ind w:right="0"/>
              <w:jc w:val="center"/>
              <w:textAlignment w:val="auto"/>
              <w:rPr>
                <w:rFonts w:ascii="宋体" w:hAnsi="宋体" w:cs="宋体"/>
                <w:color w:val="auto"/>
                <w:szCs w:val="21"/>
                <w:highlight w:val="none"/>
              </w:rPr>
            </w:pPr>
            <w:r>
              <w:rPr>
                <w:rFonts w:hint="eastAsia" w:ascii="宋体" w:hAnsi="宋体" w:cs="宋体"/>
                <w:color w:val="auto"/>
                <w:szCs w:val="21"/>
                <w:highlight w:val="none"/>
              </w:rPr>
              <w:t>100</w:t>
            </w:r>
          </w:p>
        </w:tc>
      </w:tr>
    </w:tbl>
    <w:p w14:paraId="67881FA1">
      <w:pPr>
        <w:keepNext w:val="0"/>
        <w:keepLines w:val="0"/>
        <w:pageBreakBefore w:val="0"/>
        <w:widowControl w:val="0"/>
        <w:kinsoku/>
        <w:overflowPunct/>
        <w:topLinePunct w:val="0"/>
        <w:autoSpaceDE/>
        <w:autoSpaceDN/>
        <w:bidi w:val="0"/>
        <w:adjustRightInd w:val="0"/>
        <w:snapToGrid w:val="0"/>
        <w:spacing w:line="240" w:lineRule="auto"/>
        <w:ind w:firstLine="480" w:firstLineChars="200"/>
        <w:textAlignment w:val="auto"/>
        <w:rPr>
          <w:rFonts w:ascii="宋体" w:hAnsi="宋体" w:cs="宋体"/>
          <w:color w:val="auto"/>
          <w:sz w:val="24"/>
          <w:szCs w:val="24"/>
          <w:highlight w:val="none"/>
        </w:rPr>
      </w:pPr>
    </w:p>
    <w:p w14:paraId="683E00F6">
      <w:pPr>
        <w:spacing w:line="360" w:lineRule="auto"/>
        <w:jc w:val="center"/>
        <w:outlineLvl w:val="0"/>
        <w:rPr>
          <w:rFonts w:ascii="宋体" w:hAnsi="宋体" w:cs="宋体"/>
          <w:b/>
          <w:color w:val="auto"/>
          <w:sz w:val="32"/>
          <w:highlight w:val="none"/>
        </w:rPr>
      </w:pPr>
      <w:r>
        <w:rPr>
          <w:rFonts w:hint="eastAsia" w:ascii="宋体" w:hAnsi="宋体" w:cs="宋体"/>
          <w:b/>
          <w:color w:val="auto"/>
          <w:sz w:val="32"/>
          <w:highlight w:val="none"/>
        </w:rPr>
        <w:br w:type="page"/>
      </w:r>
      <w:bookmarkStart w:id="68" w:name="_Toc29913"/>
      <w:r>
        <w:rPr>
          <w:rFonts w:hint="eastAsia" w:ascii="宋体" w:hAnsi="宋体" w:cs="宋体"/>
          <w:b/>
          <w:color w:val="auto"/>
          <w:sz w:val="32"/>
          <w:highlight w:val="none"/>
        </w:rPr>
        <w:t>第六章  采购合同样本</w:t>
      </w:r>
      <w:bookmarkEnd w:id="68"/>
    </w:p>
    <w:p w14:paraId="7069221D">
      <w:pPr>
        <w:pStyle w:val="5"/>
        <w:pageBreakBefore w:val="0"/>
        <w:kinsoku/>
        <w:wordWrap/>
        <w:overflowPunct/>
        <w:topLinePunct w:val="0"/>
        <w:autoSpaceDE/>
        <w:autoSpaceDN/>
        <w:bidi w:val="0"/>
        <w:adjustRightInd/>
        <w:spacing w:before="0" w:after="0" w:line="400" w:lineRule="exact"/>
        <w:ind w:left="0" w:leftChars="0" w:firstLine="0" w:firstLineChars="0"/>
        <w:jc w:val="center"/>
        <w:textAlignment w:val="auto"/>
        <w:rPr>
          <w:rFonts w:hint="eastAsia" w:ascii="宋体" w:hAnsi="宋体" w:eastAsia="宋体" w:cs="宋体"/>
          <w:sz w:val="21"/>
          <w:szCs w:val="21"/>
        </w:rPr>
      </w:pPr>
      <w:bookmarkStart w:id="69" w:name="_Toc105926978"/>
      <w:r>
        <w:rPr>
          <w:rFonts w:hint="eastAsia" w:ascii="宋体" w:hAnsi="宋体" w:eastAsia="宋体" w:cs="宋体"/>
          <w:sz w:val="21"/>
          <w:szCs w:val="21"/>
        </w:rPr>
        <w:t>（本合同未尽事宜或合同内容需实质性调整，根据招标文件规定、中标人邀约情况及招标人实际承诺结果据实增补或调整）</w:t>
      </w:r>
    </w:p>
    <w:p w14:paraId="6685851F">
      <w:pPr>
        <w:pStyle w:val="5"/>
        <w:pageBreakBefore w:val="0"/>
        <w:kinsoku/>
        <w:wordWrap/>
        <w:overflowPunct/>
        <w:topLinePunct w:val="0"/>
        <w:autoSpaceDE/>
        <w:autoSpaceDN/>
        <w:bidi w:val="0"/>
        <w:adjustRightInd/>
        <w:spacing w:before="0" w:after="0" w:line="400" w:lineRule="exact"/>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宁波大学运营服务合同</w:t>
      </w:r>
    </w:p>
    <w:p w14:paraId="50EFA9B6">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b/>
          <w:bCs/>
          <w:sz w:val="21"/>
          <w:szCs w:val="21"/>
          <w:u w:val="single"/>
        </w:rPr>
      </w:pPr>
      <w:r>
        <w:rPr>
          <w:rFonts w:hint="eastAsia" w:ascii="宋体" w:hAnsi="宋体" w:eastAsia="宋体" w:cs="宋体"/>
          <w:b/>
          <w:bCs/>
          <w:sz w:val="21"/>
          <w:szCs w:val="21"/>
          <w:u w:val="single"/>
        </w:rPr>
        <w:t>甲方：（买方）宁波大学</w:t>
      </w:r>
    </w:p>
    <w:p w14:paraId="2FD2F158">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b/>
          <w:bCs/>
          <w:sz w:val="21"/>
          <w:szCs w:val="21"/>
          <w:u w:val="single"/>
          <w:lang w:val="en-US" w:eastAsia="zh-CN"/>
        </w:rPr>
      </w:pPr>
      <w:r>
        <w:rPr>
          <w:rFonts w:hint="eastAsia" w:ascii="宋体" w:hAnsi="宋体" w:eastAsia="宋体" w:cs="宋体"/>
          <w:b/>
          <w:bCs/>
          <w:sz w:val="21"/>
          <w:szCs w:val="21"/>
          <w:u w:val="single"/>
        </w:rPr>
        <w:t xml:space="preserve">乙方：（卖方）         </w:t>
      </w:r>
      <w:r>
        <w:rPr>
          <w:rFonts w:hint="eastAsia" w:ascii="宋体" w:hAnsi="宋体" w:eastAsia="宋体" w:cs="宋体"/>
          <w:b/>
          <w:bCs/>
          <w:sz w:val="21"/>
          <w:szCs w:val="21"/>
          <w:u w:val="single"/>
          <w:lang w:val="en-US" w:eastAsia="zh-CN"/>
        </w:rPr>
        <w:t xml:space="preserve"> </w:t>
      </w:r>
    </w:p>
    <w:p w14:paraId="39651429">
      <w:pPr>
        <w:pageBreakBefore w:val="0"/>
        <w:kinsoku/>
        <w:wordWrap/>
        <w:overflowPunct/>
        <w:topLinePunct w:val="0"/>
        <w:autoSpaceDE/>
        <w:autoSpaceDN/>
        <w:bidi w:val="0"/>
        <w:adjustRightInd/>
        <w:spacing w:line="400" w:lineRule="exact"/>
        <w:ind w:left="0" w:leftChars="0"/>
        <w:textAlignment w:val="auto"/>
        <w:rPr>
          <w:rFonts w:hint="default" w:ascii="宋体" w:hAnsi="宋体" w:eastAsia="宋体" w:cs="宋体"/>
          <w:b/>
          <w:bCs/>
          <w:sz w:val="21"/>
          <w:szCs w:val="21"/>
          <w:u w:val="single"/>
          <w:lang w:val="en-US" w:eastAsia="zh-CN"/>
        </w:rPr>
      </w:pPr>
      <w:r>
        <w:rPr>
          <w:rFonts w:hint="eastAsia" w:ascii="宋体" w:hAnsi="宋体" w:eastAsia="宋体" w:cs="宋体"/>
          <w:b/>
          <w:bCs/>
          <w:sz w:val="21"/>
          <w:szCs w:val="21"/>
          <w:u w:val="single"/>
          <w:lang w:eastAsia="zh-CN"/>
        </w:rPr>
        <w:t>项目</w:t>
      </w:r>
      <w:r>
        <w:rPr>
          <w:rFonts w:hint="eastAsia" w:ascii="宋体" w:hAnsi="宋体" w:eastAsia="宋体" w:cs="宋体"/>
          <w:b/>
          <w:bCs/>
          <w:sz w:val="21"/>
          <w:szCs w:val="21"/>
          <w:u w:val="single"/>
        </w:rPr>
        <w:t xml:space="preserve">编号：            </w:t>
      </w:r>
      <w:r>
        <w:rPr>
          <w:rFonts w:hint="eastAsia" w:ascii="宋体" w:hAnsi="宋体" w:eastAsia="宋体" w:cs="宋体"/>
          <w:b/>
          <w:bCs/>
          <w:sz w:val="21"/>
          <w:szCs w:val="21"/>
          <w:u w:val="single"/>
          <w:lang w:val="en-US" w:eastAsia="zh-CN"/>
        </w:rPr>
        <w:t xml:space="preserve">  </w:t>
      </w:r>
    </w:p>
    <w:p w14:paraId="580D7703">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b/>
          <w:bCs/>
          <w:sz w:val="21"/>
          <w:szCs w:val="21"/>
          <w:u w:val="single"/>
        </w:rPr>
      </w:pPr>
      <w:r>
        <w:rPr>
          <w:rFonts w:hint="eastAsia" w:ascii="宋体" w:hAnsi="宋体" w:eastAsia="宋体" w:cs="宋体"/>
          <w:b/>
          <w:bCs/>
          <w:sz w:val="21"/>
          <w:szCs w:val="21"/>
          <w:u w:val="single"/>
        </w:rPr>
        <w:t xml:space="preserve">合同编号：              </w:t>
      </w:r>
    </w:p>
    <w:p w14:paraId="65A6E90D">
      <w:pPr>
        <w:pStyle w:val="34"/>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b/>
          <w:bCs/>
          <w:sz w:val="21"/>
          <w:szCs w:val="21"/>
        </w:rPr>
      </w:pPr>
      <w:r>
        <w:rPr>
          <w:rFonts w:hint="eastAsia" w:ascii="宋体" w:hAnsi="宋体" w:eastAsia="宋体" w:cs="宋体"/>
          <w:b/>
          <w:bCs/>
          <w:color w:val="000000"/>
          <w:sz w:val="21"/>
          <w:szCs w:val="21"/>
          <w:u w:val="single"/>
        </w:rPr>
        <w:t>项目名称：</w:t>
      </w:r>
      <w:r>
        <w:rPr>
          <w:rFonts w:hint="eastAsia" w:ascii="宋体" w:hAnsi="宋体" w:eastAsia="宋体" w:cs="宋体"/>
          <w:b/>
          <w:bCs/>
          <w:sz w:val="21"/>
          <w:szCs w:val="21"/>
          <w:u w:val="single"/>
        </w:rPr>
        <w:t xml:space="preserve">              </w:t>
      </w:r>
    </w:p>
    <w:p w14:paraId="25048527">
      <w:pPr>
        <w:pageBreakBefore w:val="0"/>
        <w:widowControl/>
        <w:numPr>
          <w:ilvl w:val="0"/>
          <w:numId w:val="0"/>
        </w:numPr>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lang w:eastAsia="zh-CN"/>
        </w:rPr>
        <w:t>甲、</w:t>
      </w:r>
      <w:r>
        <w:rPr>
          <w:rFonts w:hint="eastAsia" w:ascii="宋体" w:hAnsi="宋体" w:eastAsia="宋体" w:cs="宋体"/>
          <w:color w:val="000000"/>
          <w:sz w:val="21"/>
          <w:szCs w:val="21"/>
        </w:rPr>
        <w:t>乙双方根据《中华人民共和国民典法》及相关法律法规的规定，经充分协商</w:t>
      </w:r>
      <w:r>
        <w:rPr>
          <w:rFonts w:hint="eastAsia" w:ascii="宋体" w:hAnsi="宋体" w:eastAsia="宋体" w:cs="宋体"/>
          <w:sz w:val="21"/>
          <w:szCs w:val="21"/>
        </w:rPr>
        <w:t>，就甲方委托乙方进行“</w:t>
      </w:r>
      <w:r>
        <w:rPr>
          <w:rFonts w:hint="eastAsia" w:ascii="宋体" w:hAnsi="宋体" w:eastAsia="宋体" w:cs="宋体"/>
          <w:b/>
          <w:bCs/>
          <w:sz w:val="21"/>
          <w:szCs w:val="21"/>
          <w:u w:val="single"/>
        </w:rPr>
        <w:t xml:space="preserve">               </w:t>
      </w:r>
      <w:r>
        <w:rPr>
          <w:rFonts w:hint="eastAsia" w:ascii="宋体" w:hAnsi="宋体" w:eastAsia="宋体" w:cs="宋体"/>
          <w:sz w:val="21"/>
          <w:szCs w:val="21"/>
        </w:rPr>
        <w:t>项目”达成以下协议：</w:t>
      </w:r>
    </w:p>
    <w:p w14:paraId="2EE2A51A">
      <w:pPr>
        <w:pStyle w:val="9"/>
        <w:pageBreakBefore w:val="0"/>
        <w:numPr>
          <w:ilvl w:val="0"/>
          <w:numId w:val="0"/>
        </w:numPr>
        <w:kinsoku/>
        <w:wordWrap/>
        <w:overflowPunct/>
        <w:topLinePunct w:val="0"/>
        <w:autoSpaceDE/>
        <w:autoSpaceDN/>
        <w:bidi w:val="0"/>
        <w:adjustRightInd/>
        <w:spacing w:before="0" w:after="0"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lang w:eastAsia="zh-CN"/>
        </w:rPr>
        <w:t>一、</w:t>
      </w:r>
      <w:r>
        <w:rPr>
          <w:rFonts w:hint="eastAsia" w:ascii="宋体" w:hAnsi="宋体" w:eastAsia="宋体" w:cs="宋体"/>
          <w:sz w:val="21"/>
          <w:szCs w:val="21"/>
        </w:rPr>
        <w:t>服务内容、方式及要求</w:t>
      </w:r>
    </w:p>
    <w:p w14:paraId="0EF2A4CC">
      <w:pPr>
        <w:pageBreakBefore w:val="0"/>
        <w:widowControl/>
        <w:kinsoku/>
        <w:wordWrap/>
        <w:overflowPunct/>
        <w:topLinePunct w:val="0"/>
        <w:autoSpaceDE/>
        <w:autoSpaceDN/>
        <w:bidi w:val="0"/>
        <w:adjustRightInd/>
        <w:spacing w:line="400" w:lineRule="exact"/>
        <w:ind w:left="0" w:leftChars="0" w:firstLine="420" w:firstLineChars="200"/>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根据甲方的项目服务需求，乙方为甲方提供服务。根据甲方需求及乙方服务、考核情况确定是否续签下年度服务合同。</w:t>
      </w:r>
      <w:r>
        <w:rPr>
          <w:rFonts w:hint="eastAsia" w:ascii="宋体" w:hAnsi="宋体" w:eastAsia="宋体" w:cs="宋体"/>
          <w:sz w:val="21"/>
          <w:szCs w:val="21"/>
          <w:u w:val="single"/>
          <w:lang w:bidi="ar"/>
        </w:rPr>
        <w:t>具体</w:t>
      </w:r>
      <w:r>
        <w:rPr>
          <w:rFonts w:hint="eastAsia" w:ascii="宋体" w:hAnsi="宋体" w:eastAsia="宋体" w:cs="宋体"/>
          <w:sz w:val="21"/>
          <w:szCs w:val="21"/>
          <w:u w:val="single"/>
        </w:rPr>
        <w:t>服务内容</w:t>
      </w:r>
      <w:r>
        <w:rPr>
          <w:rFonts w:hint="eastAsia" w:ascii="宋体" w:hAnsi="宋体" w:eastAsia="宋体" w:cs="宋体"/>
          <w:sz w:val="21"/>
          <w:szCs w:val="21"/>
          <w:u w:val="single"/>
          <w:lang w:bidi="ar"/>
        </w:rPr>
        <w:t>见附件1：</w:t>
      </w:r>
      <w:r>
        <w:rPr>
          <w:rFonts w:hint="eastAsia" w:ascii="宋体" w:hAnsi="宋体" w:eastAsia="宋体" w:cs="宋体"/>
          <w:sz w:val="21"/>
          <w:szCs w:val="21"/>
          <w:lang w:bidi="ar"/>
        </w:rPr>
        <w:t>服务内容、报价清单。</w:t>
      </w:r>
    </w:p>
    <w:p w14:paraId="1F06C996">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 xml:space="preserve">二、合同金额 </w:t>
      </w:r>
    </w:p>
    <w:p w14:paraId="5D04A2A7">
      <w:pPr>
        <w:pageBreakBefore w:val="0"/>
        <w:widowControl/>
        <w:kinsoku/>
        <w:wordWrap/>
        <w:overflowPunct/>
        <w:topLinePunct w:val="0"/>
        <w:autoSpaceDE/>
        <w:autoSpaceDN/>
        <w:bidi w:val="0"/>
        <w:adjustRightInd/>
        <w:spacing w:line="40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bidi="ar"/>
        </w:rPr>
        <w:t>本合同金额为（大写）：</w:t>
      </w:r>
      <w:bookmarkStart w:id="70" w:name="_Hlk147746338"/>
      <w:r>
        <w:rPr>
          <w:rFonts w:hint="eastAsia" w:ascii="宋体" w:hAnsi="宋体" w:eastAsia="宋体" w:cs="宋体"/>
          <w:b/>
          <w:bCs/>
          <w:sz w:val="21"/>
          <w:szCs w:val="21"/>
          <w:u w:val="single"/>
          <w:lang w:bidi="ar"/>
        </w:rPr>
        <w:t xml:space="preserve">          </w:t>
      </w:r>
      <w:r>
        <w:rPr>
          <w:rFonts w:hint="eastAsia" w:ascii="宋体" w:hAnsi="宋体" w:eastAsia="宋体" w:cs="宋体"/>
          <w:sz w:val="21"/>
          <w:szCs w:val="21"/>
          <w:lang w:bidi="ar"/>
        </w:rPr>
        <w:t>元整（</w:t>
      </w:r>
      <w:r>
        <w:rPr>
          <w:rFonts w:hint="eastAsia" w:ascii="宋体" w:hAnsi="宋体" w:eastAsia="宋体" w:cs="宋体"/>
          <w:b/>
          <w:bCs/>
          <w:sz w:val="21"/>
          <w:szCs w:val="21"/>
          <w:lang w:bidi="ar"/>
        </w:rPr>
        <w:t>￥</w:t>
      </w:r>
      <w:r>
        <w:rPr>
          <w:rFonts w:hint="eastAsia" w:ascii="宋体" w:hAnsi="宋体" w:eastAsia="宋体" w:cs="宋体"/>
          <w:b/>
          <w:bCs/>
          <w:sz w:val="21"/>
          <w:szCs w:val="21"/>
          <w:u w:val="single"/>
          <w:lang w:bidi="ar"/>
        </w:rPr>
        <w:t xml:space="preserve">        </w:t>
      </w:r>
      <w:r>
        <w:rPr>
          <w:rFonts w:hint="eastAsia" w:ascii="宋体" w:hAnsi="宋体" w:eastAsia="宋体" w:cs="宋体"/>
          <w:sz w:val="21"/>
          <w:szCs w:val="21"/>
          <w:lang w:bidi="ar"/>
        </w:rPr>
        <w:t>）人民币</w:t>
      </w:r>
      <w:bookmarkEnd w:id="70"/>
      <w:r>
        <w:rPr>
          <w:rFonts w:hint="eastAsia" w:ascii="宋体" w:hAnsi="宋体" w:eastAsia="宋体" w:cs="宋体"/>
          <w:sz w:val="21"/>
          <w:szCs w:val="21"/>
          <w:lang w:bidi="ar"/>
        </w:rPr>
        <w:t xml:space="preserve">。 </w:t>
      </w:r>
    </w:p>
    <w:p w14:paraId="67CC858D">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eastAsia="zh-Hans"/>
        </w:rPr>
        <w:t>三</w:t>
      </w:r>
      <w:r>
        <w:rPr>
          <w:rFonts w:hint="eastAsia" w:ascii="宋体" w:hAnsi="宋体" w:eastAsia="宋体" w:cs="宋体"/>
          <w:sz w:val="21"/>
          <w:szCs w:val="21"/>
        </w:rPr>
        <w:t xml:space="preserve">、转包或分包 </w:t>
      </w:r>
    </w:p>
    <w:p w14:paraId="0B39BA25">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 xml:space="preserve">1.本合同范围的服务，应由乙方直接供应，不得转让他人供应； </w:t>
      </w:r>
    </w:p>
    <w:p w14:paraId="689E75EB">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 xml:space="preserve">2.除非得到甲方的书面同意，乙方不得将本合同范围的服务全部或部分分包给他人供应； </w:t>
      </w:r>
    </w:p>
    <w:p w14:paraId="4489020C">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 xml:space="preserve">3.如有转让和未经甲方同意的分包行为，甲方有权解除合同，追究乙方的违约责任。 </w:t>
      </w:r>
    </w:p>
    <w:p w14:paraId="1B768EDE">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eastAsia="zh-Hans"/>
        </w:rPr>
        <w:t>四</w:t>
      </w:r>
      <w:r>
        <w:rPr>
          <w:rFonts w:hint="eastAsia" w:ascii="宋体" w:hAnsi="宋体" w:eastAsia="宋体" w:cs="宋体"/>
          <w:sz w:val="21"/>
          <w:szCs w:val="21"/>
        </w:rPr>
        <w:t xml:space="preserve">、服务期限 </w:t>
      </w:r>
    </w:p>
    <w:p w14:paraId="703D7240">
      <w:pPr>
        <w:pageBreakBefore w:val="0"/>
        <w:widowControl/>
        <w:kinsoku/>
        <w:wordWrap/>
        <w:overflowPunct/>
        <w:topLinePunct w:val="0"/>
        <w:autoSpaceDE/>
        <w:autoSpaceDN/>
        <w:bidi w:val="0"/>
        <w:adjustRightInd/>
        <w:spacing w:line="400" w:lineRule="exact"/>
        <w:ind w:left="0" w:leftChars="0" w:firstLine="420" w:firstLineChars="200"/>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服务期限：</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年</w:t>
      </w:r>
    </w:p>
    <w:p w14:paraId="49A8CB76">
      <w:pPr>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sz w:val="21"/>
          <w:szCs w:val="21"/>
        </w:rPr>
      </w:pPr>
      <w:r>
        <w:rPr>
          <w:rStyle w:val="123"/>
          <w:rFonts w:hint="eastAsia" w:ascii="宋体" w:hAnsi="宋体" w:eastAsia="宋体" w:cs="宋体"/>
          <w:sz w:val="21"/>
          <w:szCs w:val="21"/>
          <w:lang w:eastAsia="zh-Hans"/>
        </w:rPr>
        <w:t>五</w:t>
      </w:r>
      <w:r>
        <w:rPr>
          <w:rStyle w:val="123"/>
          <w:rFonts w:hint="eastAsia" w:ascii="宋体" w:hAnsi="宋体" w:eastAsia="宋体" w:cs="宋体"/>
          <w:sz w:val="21"/>
          <w:szCs w:val="21"/>
        </w:rPr>
        <w:t>、合同履行时间、履行方式及履行地点</w:t>
      </w:r>
      <w:r>
        <w:rPr>
          <w:rFonts w:hint="eastAsia" w:ascii="宋体" w:hAnsi="宋体" w:eastAsia="宋体" w:cs="宋体"/>
          <w:b/>
          <w:bCs/>
          <w:sz w:val="21"/>
          <w:szCs w:val="21"/>
          <w:lang w:bidi="ar"/>
        </w:rPr>
        <w:t xml:space="preserve"> </w:t>
      </w:r>
    </w:p>
    <w:p w14:paraId="5306D77D">
      <w:pPr>
        <w:pageBreakBefore w:val="0"/>
        <w:widowControl/>
        <w:kinsoku/>
        <w:wordWrap/>
        <w:overflowPunct/>
        <w:topLinePunct w:val="0"/>
        <w:autoSpaceDE/>
        <w:autoSpaceDN/>
        <w:bidi w:val="0"/>
        <w:adjustRightInd/>
        <w:spacing w:line="400" w:lineRule="exact"/>
        <w:ind w:left="1260" w:leftChars="0" w:hanging="1260" w:hangingChars="600"/>
        <w:jc w:val="left"/>
        <w:textAlignment w:val="auto"/>
        <w:rPr>
          <w:rFonts w:hint="eastAsia" w:ascii="宋体" w:hAnsi="宋体" w:eastAsia="宋体" w:cs="宋体"/>
          <w:sz w:val="21"/>
          <w:szCs w:val="21"/>
        </w:rPr>
      </w:pPr>
      <w:r>
        <w:rPr>
          <w:rFonts w:hint="eastAsia" w:ascii="宋体" w:hAnsi="宋体" w:eastAsia="宋体" w:cs="宋体"/>
          <w:sz w:val="21"/>
          <w:szCs w:val="21"/>
          <w:lang w:bidi="ar"/>
        </w:rPr>
        <w:t xml:space="preserve">1.履行时间： </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eastAsia="zh-Hans" w:bidi="ar"/>
        </w:rPr>
        <w:t>年</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eastAsia="zh-Hans" w:bidi="ar"/>
        </w:rPr>
        <w:t>月</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eastAsia="zh-Hans" w:bidi="ar"/>
        </w:rPr>
        <w:t>日</w:t>
      </w:r>
      <w:r>
        <w:rPr>
          <w:rFonts w:hint="eastAsia" w:ascii="宋体" w:hAnsi="宋体" w:eastAsia="宋体" w:cs="宋体"/>
          <w:sz w:val="21"/>
          <w:szCs w:val="21"/>
          <w:lang w:bidi="ar"/>
        </w:rPr>
        <w:t>至</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eastAsia="zh-Hans" w:bidi="ar"/>
        </w:rPr>
        <w:t>年</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eastAsia="zh-Hans" w:bidi="ar"/>
        </w:rPr>
        <w:t>月</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eastAsia="zh-Hans" w:bidi="ar"/>
        </w:rPr>
        <w:t>日</w:t>
      </w:r>
      <w:r>
        <w:rPr>
          <w:rFonts w:hint="eastAsia" w:ascii="宋体" w:hAnsi="宋体" w:eastAsia="宋体" w:cs="宋体"/>
          <w:sz w:val="21"/>
          <w:szCs w:val="21"/>
          <w:lang w:bidi="ar"/>
        </w:rPr>
        <w:t>。</w:t>
      </w:r>
    </w:p>
    <w:p w14:paraId="2963E4DC">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2.履行方式：按照用户要求方式</w:t>
      </w:r>
    </w:p>
    <w:p w14:paraId="45DE11AF">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 xml:space="preserve">3.履行地点：宁波大学校区（甲方指定地点） </w:t>
      </w:r>
    </w:p>
    <w:p w14:paraId="49574746">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eastAsia="zh-Hans"/>
        </w:rPr>
        <w:t>六</w:t>
      </w:r>
      <w:r>
        <w:rPr>
          <w:rFonts w:hint="eastAsia" w:ascii="宋体" w:hAnsi="宋体" w:eastAsia="宋体" w:cs="宋体"/>
          <w:sz w:val="21"/>
          <w:szCs w:val="21"/>
        </w:rPr>
        <w:t>、款项支付及履约保证金</w:t>
      </w:r>
    </w:p>
    <w:p w14:paraId="09291AA9">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1.合同签订生效且具备实施条件后7个工作日内，</w:t>
      </w:r>
      <w:r>
        <w:rPr>
          <w:rFonts w:hint="eastAsia" w:ascii="宋体" w:hAnsi="宋体" w:cs="宋体"/>
          <w:sz w:val="21"/>
          <w:szCs w:val="21"/>
          <w:highlight w:val="none"/>
          <w:lang w:eastAsia="zh-CN"/>
        </w:rPr>
        <w:t>甲方</w:t>
      </w:r>
      <w:r>
        <w:rPr>
          <w:rFonts w:hint="eastAsia" w:ascii="宋体" w:hAnsi="宋体" w:eastAsia="宋体" w:cs="宋体"/>
          <w:sz w:val="21"/>
          <w:szCs w:val="21"/>
          <w:highlight w:val="none"/>
        </w:rPr>
        <w:t>向</w:t>
      </w:r>
      <w:r>
        <w:rPr>
          <w:rFonts w:hint="eastAsia" w:ascii="宋体" w:hAnsi="宋体" w:cs="宋体"/>
          <w:sz w:val="21"/>
          <w:szCs w:val="21"/>
          <w:highlight w:val="none"/>
          <w:lang w:eastAsia="zh-CN"/>
        </w:rPr>
        <w:t>乙方</w:t>
      </w:r>
      <w:r>
        <w:rPr>
          <w:rFonts w:hint="eastAsia" w:ascii="宋体" w:hAnsi="宋体" w:eastAsia="宋体" w:cs="宋体"/>
          <w:sz w:val="21"/>
          <w:szCs w:val="21"/>
          <w:highlight w:val="none"/>
        </w:rPr>
        <w:t>支付合同总价的40%，第一年服务期满后7个工作日内</w:t>
      </w:r>
      <w:r>
        <w:rPr>
          <w:rFonts w:hint="eastAsia" w:ascii="宋体" w:hAnsi="宋体" w:cs="宋体"/>
          <w:sz w:val="21"/>
          <w:szCs w:val="21"/>
          <w:highlight w:val="none"/>
          <w:lang w:eastAsia="zh-CN"/>
        </w:rPr>
        <w:t>甲方</w:t>
      </w:r>
      <w:r>
        <w:rPr>
          <w:rFonts w:hint="eastAsia" w:ascii="宋体" w:hAnsi="宋体" w:eastAsia="宋体" w:cs="宋体"/>
          <w:sz w:val="21"/>
          <w:szCs w:val="21"/>
          <w:highlight w:val="none"/>
        </w:rPr>
        <w:t>向</w:t>
      </w:r>
      <w:r>
        <w:rPr>
          <w:rFonts w:hint="eastAsia" w:ascii="宋体" w:hAnsi="宋体" w:cs="宋体"/>
          <w:sz w:val="21"/>
          <w:szCs w:val="21"/>
          <w:highlight w:val="none"/>
          <w:lang w:eastAsia="zh-CN"/>
        </w:rPr>
        <w:t>乙方</w:t>
      </w:r>
      <w:r>
        <w:rPr>
          <w:rFonts w:hint="eastAsia" w:ascii="宋体" w:hAnsi="宋体" w:eastAsia="宋体" w:cs="宋体"/>
          <w:sz w:val="21"/>
          <w:szCs w:val="21"/>
          <w:highlight w:val="none"/>
        </w:rPr>
        <w:t>支付合同总价的30%，第二年服务期满后7个工作日内</w:t>
      </w:r>
      <w:r>
        <w:rPr>
          <w:rFonts w:hint="eastAsia" w:ascii="宋体" w:hAnsi="宋体" w:cs="宋体"/>
          <w:sz w:val="21"/>
          <w:szCs w:val="21"/>
          <w:highlight w:val="none"/>
          <w:lang w:eastAsia="zh-CN"/>
        </w:rPr>
        <w:t>甲方</w:t>
      </w:r>
      <w:r>
        <w:rPr>
          <w:rFonts w:hint="eastAsia" w:ascii="宋体" w:hAnsi="宋体" w:eastAsia="宋体" w:cs="宋体"/>
          <w:sz w:val="21"/>
          <w:szCs w:val="21"/>
          <w:highlight w:val="none"/>
        </w:rPr>
        <w:t>向</w:t>
      </w:r>
      <w:r>
        <w:rPr>
          <w:rFonts w:hint="eastAsia" w:ascii="宋体" w:hAnsi="宋体" w:cs="宋体"/>
          <w:sz w:val="21"/>
          <w:szCs w:val="21"/>
          <w:highlight w:val="none"/>
          <w:lang w:eastAsia="zh-CN"/>
        </w:rPr>
        <w:t>乙方</w:t>
      </w:r>
      <w:r>
        <w:rPr>
          <w:rFonts w:hint="eastAsia" w:ascii="宋体" w:hAnsi="宋体" w:eastAsia="宋体" w:cs="宋体"/>
          <w:sz w:val="21"/>
          <w:szCs w:val="21"/>
          <w:highlight w:val="none"/>
        </w:rPr>
        <w:t>支付合同总价的15%，第三年服务期满后7个工作日</w:t>
      </w:r>
      <w:r>
        <w:rPr>
          <w:rFonts w:hint="eastAsia" w:ascii="宋体" w:hAnsi="宋体" w:cs="宋体"/>
          <w:sz w:val="21"/>
          <w:szCs w:val="21"/>
          <w:highlight w:val="none"/>
          <w:lang w:eastAsia="zh-CN"/>
        </w:rPr>
        <w:t>内甲方</w:t>
      </w:r>
      <w:r>
        <w:rPr>
          <w:rFonts w:hint="eastAsia" w:ascii="宋体" w:hAnsi="宋体" w:eastAsia="宋体" w:cs="宋体"/>
          <w:sz w:val="21"/>
          <w:szCs w:val="21"/>
          <w:highlight w:val="none"/>
        </w:rPr>
        <w:t>向</w:t>
      </w:r>
      <w:r>
        <w:rPr>
          <w:rFonts w:hint="eastAsia" w:ascii="宋体" w:hAnsi="宋体" w:cs="宋体"/>
          <w:sz w:val="21"/>
          <w:szCs w:val="21"/>
          <w:highlight w:val="none"/>
          <w:lang w:eastAsia="zh-CN"/>
        </w:rPr>
        <w:t>乙方</w:t>
      </w:r>
      <w:r>
        <w:rPr>
          <w:rFonts w:hint="eastAsia" w:ascii="宋体" w:hAnsi="宋体" w:eastAsia="宋体" w:cs="宋体"/>
          <w:sz w:val="21"/>
          <w:szCs w:val="21"/>
          <w:highlight w:val="none"/>
        </w:rPr>
        <w:t>支付合同总价的15%</w:t>
      </w:r>
      <w:r>
        <w:rPr>
          <w:rFonts w:hint="eastAsia" w:ascii="宋体" w:hAnsi="宋体" w:eastAsia="宋体" w:cs="宋体"/>
          <w:b/>
          <w:bCs/>
          <w:sz w:val="21"/>
          <w:szCs w:val="21"/>
          <w:highlight w:val="none"/>
        </w:rPr>
        <w:t>。</w:t>
      </w:r>
    </w:p>
    <w:p w14:paraId="0690C613">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2.以上款项由甲方汇入乙方指定的如下</w:t>
      </w:r>
      <w:r>
        <w:rPr>
          <w:rFonts w:hint="eastAsia" w:ascii="宋体" w:hAnsi="宋体" w:eastAsia="宋体" w:cs="宋体"/>
          <w:sz w:val="21"/>
          <w:szCs w:val="21"/>
          <w:lang w:eastAsia="zh-CN"/>
        </w:rPr>
        <w:t>账</w:t>
      </w:r>
      <w:r>
        <w:rPr>
          <w:rFonts w:hint="eastAsia" w:ascii="宋体" w:hAnsi="宋体" w:eastAsia="宋体" w:cs="宋体"/>
          <w:sz w:val="21"/>
          <w:szCs w:val="21"/>
        </w:rPr>
        <w:t>户内：户名：</w:t>
      </w:r>
      <w:r>
        <w:rPr>
          <w:rFonts w:hint="eastAsia" w:ascii="宋体" w:hAnsi="宋体" w:eastAsia="宋体" w:cs="宋体"/>
          <w:sz w:val="21"/>
          <w:szCs w:val="21"/>
          <w:u w:val="single"/>
          <w:lang w:bidi="ar"/>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lang w:eastAsia="zh-CN"/>
        </w:rPr>
        <w:t>账</w:t>
      </w:r>
      <w:r>
        <w:rPr>
          <w:rFonts w:hint="eastAsia" w:ascii="宋体" w:hAnsi="宋体" w:eastAsia="宋体" w:cs="宋体"/>
          <w:sz w:val="21"/>
          <w:szCs w:val="21"/>
        </w:rPr>
        <w:t>号</w:t>
      </w:r>
      <w:r>
        <w:rPr>
          <w:rFonts w:hint="eastAsia" w:ascii="宋体" w:hAnsi="宋体" w:eastAsia="宋体" w:cs="宋体"/>
          <w:sz w:val="21"/>
          <w:szCs w:val="21"/>
          <w:u w:val="single"/>
        </w:rPr>
        <w:t>：</w:t>
      </w:r>
      <w:r>
        <w:rPr>
          <w:rFonts w:hint="eastAsia" w:ascii="宋体" w:hAnsi="宋体" w:eastAsia="宋体" w:cs="宋体"/>
          <w:sz w:val="21"/>
          <w:szCs w:val="21"/>
          <w:u w:val="single"/>
          <w:lang w:bidi="ar"/>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开户银行：</w:t>
      </w:r>
      <w:r>
        <w:rPr>
          <w:rFonts w:hint="eastAsia" w:ascii="宋体" w:hAnsi="宋体" w:eastAsia="宋体" w:cs="宋体"/>
          <w:sz w:val="21"/>
          <w:szCs w:val="21"/>
          <w:u w:val="single"/>
          <w:lang w:bidi="ar"/>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444100E8">
      <w:pPr>
        <w:pageBreakBefore w:val="0"/>
        <w:tabs>
          <w:tab w:val="left" w:pos="4320"/>
        </w:tabs>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color w:val="000000"/>
          <w:sz w:val="21"/>
          <w:szCs w:val="21"/>
        </w:rPr>
        <w:t>3.甲方增值税专用发票信息：（</w:t>
      </w:r>
      <w:r>
        <w:rPr>
          <w:rFonts w:hint="eastAsia" w:ascii="宋体" w:hAnsi="宋体" w:eastAsia="宋体" w:cs="宋体"/>
          <w:sz w:val="21"/>
          <w:szCs w:val="21"/>
        </w:rPr>
        <w:t>名称：宁波大学，纳税人识别号：</w:t>
      </w:r>
      <w:r>
        <w:rPr>
          <w:rFonts w:hint="eastAsia" w:ascii="宋体" w:hAnsi="宋体" w:eastAsia="宋体" w:cs="宋体"/>
          <w:color w:val="000000"/>
          <w:sz w:val="21"/>
          <w:szCs w:val="21"/>
        </w:rPr>
        <w:t>123300004195291066</w:t>
      </w:r>
      <w:r>
        <w:rPr>
          <w:rFonts w:hint="eastAsia" w:ascii="宋体" w:hAnsi="宋体" w:eastAsia="宋体" w:cs="宋体"/>
          <w:sz w:val="21"/>
          <w:szCs w:val="21"/>
        </w:rPr>
        <w:t>，开户银行及账号：工行江北支行 3901130009000002464，地址：宁波市江北区风华路818号，电话0574-87600900）</w:t>
      </w:r>
    </w:p>
    <w:p w14:paraId="23B17F8E">
      <w:pPr>
        <w:pageBreakBefore w:val="0"/>
        <w:kinsoku/>
        <w:wordWrap/>
        <w:overflowPunct/>
        <w:topLinePunct w:val="0"/>
        <w:autoSpaceDE/>
        <w:autoSpaceDN/>
        <w:bidi w:val="0"/>
        <w:adjustRightInd/>
        <w:spacing w:line="400" w:lineRule="exact"/>
        <w:ind w:left="0" w:leftChars="0" w:firstLine="420" w:firstLineChars="200"/>
        <w:textAlignment w:val="auto"/>
        <w:rPr>
          <w:rFonts w:hint="eastAsia" w:ascii="宋体" w:hAnsi="宋体" w:eastAsia="宋体" w:cs="宋体"/>
          <w:sz w:val="21"/>
          <w:szCs w:val="21"/>
        </w:rPr>
      </w:pPr>
    </w:p>
    <w:p w14:paraId="19432726">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eastAsia="zh-Hans"/>
        </w:rPr>
        <w:t>七</w:t>
      </w:r>
      <w:r>
        <w:rPr>
          <w:rFonts w:hint="eastAsia" w:ascii="宋体" w:hAnsi="宋体" w:eastAsia="宋体" w:cs="宋体"/>
          <w:sz w:val="21"/>
          <w:szCs w:val="21"/>
        </w:rPr>
        <w:t>、税费、履约保证金</w:t>
      </w:r>
    </w:p>
    <w:p w14:paraId="0DE03761">
      <w:pPr>
        <w:pageBreakBefore w:val="0"/>
        <w:widowControl/>
        <w:kinsoku/>
        <w:wordWrap/>
        <w:overflowPunct/>
        <w:topLinePunct w:val="0"/>
        <w:autoSpaceDE/>
        <w:autoSpaceDN/>
        <w:bidi w:val="0"/>
        <w:adjustRightInd/>
        <w:spacing w:line="400" w:lineRule="exact"/>
        <w:ind w:left="0"/>
        <w:jc w:val="left"/>
        <w:textAlignment w:val="auto"/>
        <w:rPr>
          <w:rFonts w:hint="eastAsia" w:ascii="宋体" w:hAnsi="宋体" w:eastAsia="宋体" w:cs="宋体"/>
          <w:sz w:val="21"/>
          <w:szCs w:val="21"/>
          <w:lang w:bidi="ar"/>
        </w:rPr>
      </w:pPr>
      <w:r>
        <w:rPr>
          <w:rFonts w:hint="eastAsia" w:ascii="宋体" w:hAnsi="宋体" w:eastAsia="宋体" w:cs="宋体"/>
          <w:sz w:val="21"/>
          <w:szCs w:val="21"/>
          <w:lang w:bidi="ar"/>
        </w:rPr>
        <w:t xml:space="preserve">1.本合同执行中相关的一切税费均由乙方负担。 </w:t>
      </w:r>
    </w:p>
    <w:p w14:paraId="371DC2F2">
      <w:pPr>
        <w:pStyle w:val="9"/>
        <w:pageBreakBefore w:val="0"/>
        <w:numPr>
          <w:ilvl w:val="0"/>
          <w:numId w:val="0"/>
        </w:numPr>
        <w:kinsoku/>
        <w:wordWrap/>
        <w:overflowPunct/>
        <w:topLinePunct w:val="0"/>
        <w:autoSpaceDE/>
        <w:autoSpaceDN/>
        <w:bidi w:val="0"/>
        <w:adjustRightInd/>
        <w:spacing w:before="0" w:after="0" w:line="40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八、</w:t>
      </w:r>
      <w:r>
        <w:rPr>
          <w:rFonts w:hint="eastAsia" w:ascii="宋体" w:hAnsi="宋体" w:eastAsia="宋体" w:cs="宋体"/>
          <w:sz w:val="21"/>
          <w:szCs w:val="21"/>
        </w:rPr>
        <w:t>双方当事人信息、权利及义务</w:t>
      </w:r>
    </w:p>
    <w:p w14:paraId="2C54D22C">
      <w:pPr>
        <w:pStyle w:val="185"/>
        <w:pageBreakBefore w:val="0"/>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1.双方联系人</w:t>
      </w:r>
    </w:p>
    <w:p w14:paraId="37B9A35A">
      <w:pPr>
        <w:pageBreakBefore w:val="0"/>
        <w:widowControl/>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1）甲方：</w:t>
      </w:r>
    </w:p>
    <w:p w14:paraId="22FCDC0F">
      <w:pPr>
        <w:pageBreakBefore w:val="0"/>
        <w:widowControl/>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项目负责人：      </w:t>
      </w:r>
      <w:r>
        <w:rPr>
          <w:rFonts w:hint="eastAsia" w:ascii="宋体" w:hAnsi="宋体" w:eastAsia="宋体" w:cs="宋体"/>
          <w:sz w:val="21"/>
          <w:szCs w:val="21"/>
        </w:rPr>
        <w:tab/>
      </w:r>
      <w:r>
        <w:rPr>
          <w:rFonts w:hint="eastAsia" w:ascii="宋体" w:hAnsi="宋体" w:eastAsia="宋体" w:cs="宋体"/>
          <w:sz w:val="21"/>
          <w:szCs w:val="21"/>
        </w:rPr>
        <w:t xml:space="preserve">联系电话： </w:t>
      </w:r>
    </w:p>
    <w:p w14:paraId="3017EAD3">
      <w:pPr>
        <w:pageBreakBefore w:val="0"/>
        <w:widowControl/>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2）乙方： </w:t>
      </w:r>
    </w:p>
    <w:p w14:paraId="26E6376C">
      <w:pPr>
        <w:pageBreakBefore w:val="0"/>
        <w:widowControl/>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项目责任人：        职务：     </w:t>
      </w:r>
      <w:r>
        <w:rPr>
          <w:rFonts w:hint="eastAsia" w:ascii="宋体" w:hAnsi="宋体" w:eastAsia="宋体" w:cs="宋体"/>
          <w:sz w:val="21"/>
          <w:szCs w:val="21"/>
        </w:rPr>
        <w:tab/>
      </w:r>
      <w:r>
        <w:rPr>
          <w:rFonts w:hint="eastAsia" w:ascii="宋体" w:hAnsi="宋体" w:eastAsia="宋体" w:cs="宋体"/>
          <w:sz w:val="21"/>
          <w:szCs w:val="21"/>
        </w:rPr>
        <w:t xml:space="preserve">     联系电话：  </w:t>
      </w:r>
    </w:p>
    <w:p w14:paraId="37F27F11">
      <w:pPr>
        <w:pageBreakBefore w:val="0"/>
        <w:widowControl/>
        <w:kinsoku/>
        <w:wordWrap/>
        <w:overflowPunct/>
        <w:topLinePunct w:val="0"/>
        <w:autoSpaceDE/>
        <w:autoSpaceDN/>
        <w:bidi w:val="0"/>
        <w:adjustRightInd/>
        <w:snapToGrid w:val="0"/>
        <w:spacing w:line="400" w:lineRule="exact"/>
        <w:ind w:left="0" w:leftChars="0"/>
        <w:jc w:val="left"/>
        <w:textAlignment w:val="auto"/>
        <w:rPr>
          <w:rFonts w:hint="eastAsia" w:ascii="宋体" w:hAnsi="宋体" w:eastAsia="宋体" w:cs="宋体"/>
          <w:b/>
          <w:bCs/>
          <w:sz w:val="21"/>
          <w:szCs w:val="21"/>
        </w:rPr>
      </w:pPr>
      <w:r>
        <w:rPr>
          <w:rFonts w:hint="eastAsia" w:ascii="宋体" w:hAnsi="宋体" w:eastAsia="宋体" w:cs="宋体"/>
          <w:sz w:val="21"/>
          <w:szCs w:val="21"/>
        </w:rPr>
        <w:t xml:space="preserve">运维技术人员：      职务：    </w:t>
      </w:r>
      <w:r>
        <w:rPr>
          <w:rFonts w:hint="eastAsia" w:ascii="宋体" w:hAnsi="宋体" w:eastAsia="宋体" w:cs="宋体"/>
          <w:sz w:val="21"/>
          <w:szCs w:val="21"/>
        </w:rPr>
        <w:tab/>
      </w:r>
      <w:r>
        <w:rPr>
          <w:rFonts w:hint="eastAsia" w:ascii="宋体" w:hAnsi="宋体" w:eastAsia="宋体" w:cs="宋体"/>
          <w:sz w:val="21"/>
          <w:szCs w:val="21"/>
        </w:rPr>
        <w:t xml:space="preserve">     联系电话： </w:t>
      </w:r>
    </w:p>
    <w:p w14:paraId="65D8A8D1">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2.甲方的权利和义务</w:t>
      </w:r>
    </w:p>
    <w:p w14:paraId="1B329D42">
      <w:pPr>
        <w:pageBreakBefore w:val="0"/>
        <w:widowControl/>
        <w:kinsoku/>
        <w:wordWrap/>
        <w:overflowPunct/>
        <w:topLinePunct w:val="0"/>
        <w:autoSpaceDE/>
        <w:autoSpaceDN/>
        <w:bidi w:val="0"/>
        <w:adjustRightInd/>
        <w:spacing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1）甲方应明确参与配合项目的服务人员，并在时间和工作安排上保证配合乙方服务要求。</w:t>
      </w:r>
    </w:p>
    <w:p w14:paraId="6DB08F8B">
      <w:pPr>
        <w:pageBreakBefore w:val="0"/>
        <w:widowControl/>
        <w:kinsoku/>
        <w:wordWrap/>
        <w:overflowPunct/>
        <w:topLinePunct w:val="0"/>
        <w:autoSpaceDE/>
        <w:autoSpaceDN/>
        <w:bidi w:val="0"/>
        <w:adjustRightInd/>
        <w:spacing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2）甲方应就乙方为本项目提交的书面文件（如报告、申请），予以及时配合签字确认。</w:t>
      </w:r>
    </w:p>
    <w:p w14:paraId="234B61A9">
      <w:pPr>
        <w:pageBreakBefore w:val="0"/>
        <w:widowControl/>
        <w:kinsoku/>
        <w:wordWrap/>
        <w:overflowPunct/>
        <w:topLinePunct w:val="0"/>
        <w:autoSpaceDE/>
        <w:autoSpaceDN/>
        <w:bidi w:val="0"/>
        <w:adjustRightInd/>
        <w:spacing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3）甲方应遵守双方约定的付款方式。</w:t>
      </w:r>
    </w:p>
    <w:p w14:paraId="3A2CE353">
      <w:pPr>
        <w:pageBreakBefore w:val="0"/>
        <w:widowControl/>
        <w:kinsoku/>
        <w:wordWrap/>
        <w:overflowPunct/>
        <w:topLinePunct w:val="0"/>
        <w:autoSpaceDE/>
        <w:autoSpaceDN/>
        <w:bidi w:val="0"/>
        <w:adjustRightInd/>
        <w:spacing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4）甲方提供乙方人员在甲方的工作场地。</w:t>
      </w:r>
    </w:p>
    <w:p w14:paraId="524AED83">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3.乙方的权利和义务</w:t>
      </w:r>
    </w:p>
    <w:p w14:paraId="681B899C">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lang w:bidi="ar"/>
        </w:rPr>
      </w:pPr>
      <w:r>
        <w:rPr>
          <w:rFonts w:hint="eastAsia" w:ascii="宋体" w:hAnsi="宋体" w:eastAsia="宋体" w:cs="宋体"/>
          <w:sz w:val="21"/>
          <w:szCs w:val="21"/>
        </w:rPr>
        <w:t>1）</w:t>
      </w:r>
      <w:r>
        <w:rPr>
          <w:rFonts w:hint="eastAsia" w:ascii="宋体" w:hAnsi="宋体" w:eastAsia="宋体" w:cs="宋体"/>
          <w:sz w:val="21"/>
          <w:szCs w:val="21"/>
          <w:lang w:bidi="ar"/>
        </w:rPr>
        <w:t>乙方应按服务内容要求向甲方提供服务。</w:t>
      </w:r>
    </w:p>
    <w:p w14:paraId="2375B7CD">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lang w:bidi="ar"/>
        </w:rPr>
        <w:t>2）</w:t>
      </w:r>
      <w:r>
        <w:rPr>
          <w:rFonts w:hint="eastAsia" w:ascii="宋体" w:hAnsi="宋体" w:eastAsia="宋体" w:cs="宋体"/>
          <w:sz w:val="21"/>
          <w:szCs w:val="21"/>
        </w:rPr>
        <w:t>乙方应建立和完善运行维护服务流程制度并严格遵守。</w:t>
      </w:r>
    </w:p>
    <w:p w14:paraId="1E842DB4">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3）对甲方提供的有关资料、数据，未经甲方同意，乙方不得向第三方扩散。</w:t>
      </w:r>
    </w:p>
    <w:p w14:paraId="4E740340">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4）乙方有责任在系统中提供与业务管理相适应的安全机制。</w:t>
      </w:r>
    </w:p>
    <w:p w14:paraId="349A8209">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5）在技术服务过程中，乙方人员在甲方现场时，必须遵守甲方的所有安全管理规定,如违反则由乙方承担相关责任。</w:t>
      </w:r>
    </w:p>
    <w:p w14:paraId="1FA205B0">
      <w:pPr>
        <w:pStyle w:val="34"/>
        <w:pageBreakBefore w:val="0"/>
        <w:kinsoku/>
        <w:wordWrap/>
        <w:overflowPunct/>
        <w:topLinePunct w:val="0"/>
        <w:autoSpaceDE/>
        <w:autoSpaceDN/>
        <w:bidi w:val="0"/>
        <w:adjustRightInd/>
        <w:spacing w:line="400" w:lineRule="exact"/>
        <w:ind w:left="1050" w:leftChars="0" w:hanging="1050" w:hangingChars="500"/>
        <w:textAlignment w:val="auto"/>
        <w:rPr>
          <w:rFonts w:hint="eastAsia" w:ascii="宋体" w:hAnsi="宋体" w:eastAsia="宋体" w:cs="宋体"/>
          <w:sz w:val="21"/>
          <w:szCs w:val="21"/>
          <w:lang w:bidi="ar"/>
        </w:rPr>
      </w:pPr>
      <w:r>
        <w:rPr>
          <w:rFonts w:hint="eastAsia" w:ascii="宋体" w:hAnsi="宋体" w:eastAsia="宋体" w:cs="宋体"/>
          <w:sz w:val="21"/>
          <w:szCs w:val="21"/>
        </w:rPr>
        <w:t>6）</w:t>
      </w:r>
      <w:r>
        <w:rPr>
          <w:rFonts w:hint="eastAsia" w:ascii="宋体" w:hAnsi="宋体" w:eastAsia="宋体" w:cs="宋体"/>
          <w:sz w:val="21"/>
          <w:szCs w:val="21"/>
          <w:lang w:bidi="ar"/>
        </w:rPr>
        <w:t>在服务质量保证期内，乙方应对出现的质量及安全问题负责处理解决并承担一切费用。</w:t>
      </w:r>
    </w:p>
    <w:p w14:paraId="134093BC">
      <w:pPr>
        <w:pageBreakBefore w:val="0"/>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7）乙方承诺学校相关的所有业务数据一定是存放在中华人民共和国大陆境内（不含港澳台），并做好必要的数据安全保障措施；</w:t>
      </w:r>
    </w:p>
    <w:p w14:paraId="509CB545">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eastAsia="zh-Hans"/>
        </w:rPr>
        <w:t>九</w:t>
      </w:r>
      <w:r>
        <w:rPr>
          <w:rFonts w:hint="eastAsia" w:ascii="宋体" w:hAnsi="宋体" w:eastAsia="宋体" w:cs="宋体"/>
          <w:sz w:val="21"/>
          <w:szCs w:val="21"/>
        </w:rPr>
        <w:t xml:space="preserve">、违约责任 </w:t>
      </w:r>
    </w:p>
    <w:p w14:paraId="1317BE46">
      <w:pPr>
        <w:pageBreakBefore w:val="0"/>
        <w:widowControl/>
        <w:kinsoku/>
        <w:wordWrap/>
        <w:overflowPunct/>
        <w:topLinePunct w:val="0"/>
        <w:autoSpaceDE/>
        <w:autoSpaceDN/>
        <w:bidi w:val="0"/>
        <w:adjustRightInd/>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1.单方毁约、不履行合同，构成违约，违约方应向对方承担违约责任。</w:t>
      </w:r>
    </w:p>
    <w:p w14:paraId="79222338">
      <w:pPr>
        <w:pageBreakBefore w:val="0"/>
        <w:widowControl/>
        <w:kinsoku/>
        <w:wordWrap/>
        <w:overflowPunct/>
        <w:topLinePunct w:val="0"/>
        <w:autoSpaceDE/>
        <w:autoSpaceDN/>
        <w:bidi w:val="0"/>
        <w:adjustRightInd/>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2.迟延交付软件或迟延付款的，迟延方应按照中国人民银行关于计算逾期贷款利息的规定，向对方承担违约金。</w:t>
      </w:r>
    </w:p>
    <w:p w14:paraId="7176CB44">
      <w:pPr>
        <w:pageBreakBefore w:val="0"/>
        <w:widowControl/>
        <w:kinsoku/>
        <w:wordWrap/>
        <w:overflowPunct/>
        <w:topLinePunct w:val="0"/>
        <w:autoSpaceDE/>
        <w:autoSpaceDN/>
        <w:bidi w:val="0"/>
        <w:adjustRightInd/>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3.违约金总计不超过本合同总价的5%，应在明确责任后的5个工作日（遇特殊情况，双方应协商解决）内支付。</w:t>
      </w:r>
    </w:p>
    <w:p w14:paraId="5FE6C0E9">
      <w:pPr>
        <w:pageBreakBefore w:val="0"/>
        <w:widowControl/>
        <w:kinsoku/>
        <w:wordWrap/>
        <w:overflowPunct/>
        <w:topLinePunct w:val="0"/>
        <w:autoSpaceDE/>
        <w:autoSpaceDN/>
        <w:bidi w:val="0"/>
        <w:adjustRightInd/>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4.甲方或乙方因对方违约而获得赔偿后，仍有权要求对方继续履行合同。</w:t>
      </w:r>
    </w:p>
    <w:p w14:paraId="1A606E06">
      <w:pPr>
        <w:pageBreakBefore w:val="0"/>
        <w:widowControl/>
        <w:kinsoku/>
        <w:wordWrap/>
        <w:overflowPunct/>
        <w:topLinePunct w:val="0"/>
        <w:autoSpaceDE/>
        <w:autoSpaceDN/>
        <w:bidi w:val="0"/>
        <w:adjustRightInd/>
        <w:spacing w:line="40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5.如一方违约是由于不可抗力造成，违约方不承担责任。</w:t>
      </w:r>
    </w:p>
    <w:p w14:paraId="0BF135EE">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 xml:space="preserve">十、不可抗力事件处理 </w:t>
      </w:r>
    </w:p>
    <w:p w14:paraId="36D96011">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1</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 xml:space="preserve">在合同有效期内，任何一方因不可抗力事件导致不能履行合同，则合同履行期可延长，其延长期与不可抗力影响期相同。 </w:t>
      </w:r>
    </w:p>
    <w:p w14:paraId="4FFBB389">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2</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 xml:space="preserve">不可抗力事件发生后，应立即通知对方，并寄送有关权威机构出具的证明。 </w:t>
      </w:r>
    </w:p>
    <w:p w14:paraId="711A0612">
      <w:pPr>
        <w:pageBreakBefore w:val="0"/>
        <w:widowControl/>
        <w:kinsoku/>
        <w:wordWrap/>
        <w:overflowPunct/>
        <w:topLinePunct w:val="0"/>
        <w:autoSpaceDE/>
        <w:autoSpaceDN/>
        <w:bidi w:val="0"/>
        <w:adjustRightInd/>
        <w:spacing w:line="40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bidi="ar"/>
        </w:rPr>
        <w:t>3</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 xml:space="preserve">不可抗力事件延续 120 天以上，双方应通过友好协商，确定是否继续履行合同。 </w:t>
      </w:r>
    </w:p>
    <w:p w14:paraId="3587EA79">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十</w:t>
      </w:r>
      <w:r>
        <w:rPr>
          <w:rFonts w:hint="eastAsia" w:ascii="宋体" w:hAnsi="宋体" w:eastAsia="宋体" w:cs="宋体"/>
          <w:sz w:val="21"/>
          <w:szCs w:val="21"/>
          <w:lang w:eastAsia="zh-Hans"/>
        </w:rPr>
        <w:t>一</w:t>
      </w:r>
      <w:r>
        <w:rPr>
          <w:rFonts w:hint="eastAsia" w:ascii="宋体" w:hAnsi="宋体" w:eastAsia="宋体" w:cs="宋体"/>
          <w:sz w:val="21"/>
          <w:szCs w:val="21"/>
        </w:rPr>
        <w:t xml:space="preserve">、争议的解决 </w:t>
      </w:r>
    </w:p>
    <w:p w14:paraId="6940C38D">
      <w:pPr>
        <w:pageBreakBefore w:val="0"/>
        <w:kinsoku/>
        <w:wordWrap/>
        <w:overflowPunct/>
        <w:topLinePunct w:val="0"/>
        <w:autoSpaceDE/>
        <w:autoSpaceDN/>
        <w:bidi w:val="0"/>
        <w:adjustRightInd/>
        <w:spacing w:line="400" w:lineRule="exact"/>
        <w:ind w:left="0"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本合同未尽事宜按照招标文件：</w:t>
      </w:r>
      <w:r>
        <w:rPr>
          <w:rFonts w:hint="eastAsia" w:ascii="宋体" w:hAnsi="宋体" w:eastAsia="宋体" w:cs="宋体"/>
          <w:sz w:val="21"/>
          <w:szCs w:val="21"/>
          <w:lang w:eastAsia="zh-CN" w:bidi="ar"/>
        </w:rPr>
        <w:t>（项目</w:t>
      </w:r>
      <w:r>
        <w:rPr>
          <w:rFonts w:hint="eastAsia" w:ascii="宋体" w:hAnsi="宋体" w:eastAsia="宋体" w:cs="宋体"/>
          <w:sz w:val="21"/>
          <w:szCs w:val="21"/>
          <w:lang w:bidi="ar"/>
        </w:rPr>
        <w:t>编号：</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rPr>
        <w:t>项目名称</w:t>
      </w:r>
      <w:r>
        <w:rPr>
          <w:rFonts w:hint="eastAsia" w:ascii="宋体" w:hAnsi="宋体" w:eastAsia="宋体" w:cs="宋体"/>
          <w:color w:val="000000"/>
          <w:sz w:val="21"/>
          <w:szCs w:val="21"/>
          <w:u w:val="none"/>
        </w:rPr>
        <w:t>：</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项目</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条款执行。文件未明确规定的由甲乙双方友好协商解决，解决不成，任何一方有权向甲方所在地的人民法院提起诉讼。</w:t>
      </w:r>
    </w:p>
    <w:p w14:paraId="3CB2DB5D">
      <w:pPr>
        <w:pStyle w:val="9"/>
        <w:pageBreakBefore w:val="0"/>
        <w:kinsoku/>
        <w:wordWrap/>
        <w:overflowPunct/>
        <w:topLinePunct w:val="0"/>
        <w:autoSpaceDE/>
        <w:autoSpaceDN/>
        <w:bidi w:val="0"/>
        <w:adjustRightInd/>
        <w:spacing w:before="0" w:after="0" w:line="400" w:lineRule="exact"/>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十</w:t>
      </w:r>
      <w:r>
        <w:rPr>
          <w:rFonts w:hint="eastAsia" w:ascii="宋体" w:hAnsi="宋体" w:eastAsia="宋体" w:cs="宋体"/>
          <w:sz w:val="21"/>
          <w:szCs w:val="21"/>
          <w:lang w:eastAsia="zh-Hans"/>
        </w:rPr>
        <w:t>二</w:t>
      </w:r>
      <w:r>
        <w:rPr>
          <w:rFonts w:hint="eastAsia" w:ascii="宋体" w:hAnsi="宋体" w:eastAsia="宋体" w:cs="宋体"/>
          <w:sz w:val="21"/>
          <w:szCs w:val="21"/>
        </w:rPr>
        <w:t xml:space="preserve">、其他约定事项 </w:t>
      </w:r>
    </w:p>
    <w:p w14:paraId="65DBE982">
      <w:pPr>
        <w:pageBreakBefore w:val="0"/>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本合同书正本壹式</w:t>
      </w:r>
      <w:r>
        <w:rPr>
          <w:rFonts w:hint="eastAsia" w:ascii="宋体" w:hAnsi="宋体" w:eastAsia="宋体" w:cs="宋体"/>
          <w:sz w:val="21"/>
          <w:szCs w:val="21"/>
          <w:u w:val="single"/>
        </w:rPr>
        <w:t xml:space="preserve"> 陆 </w:t>
      </w:r>
      <w:r>
        <w:rPr>
          <w:rFonts w:hint="eastAsia" w:ascii="宋体" w:hAnsi="宋体" w:eastAsia="宋体" w:cs="宋体"/>
          <w:sz w:val="21"/>
          <w:szCs w:val="21"/>
        </w:rPr>
        <w:t>份，甲方</w:t>
      </w:r>
      <w:r>
        <w:rPr>
          <w:rFonts w:hint="eastAsia" w:ascii="宋体" w:hAnsi="宋体" w:eastAsia="宋体" w:cs="宋体"/>
          <w:sz w:val="21"/>
          <w:szCs w:val="21"/>
          <w:u w:val="single"/>
        </w:rPr>
        <w:t xml:space="preserve"> 肆 </w:t>
      </w:r>
      <w:r>
        <w:rPr>
          <w:rFonts w:hint="eastAsia" w:ascii="宋体" w:hAnsi="宋体" w:eastAsia="宋体" w:cs="宋体"/>
          <w:sz w:val="21"/>
          <w:szCs w:val="21"/>
        </w:rPr>
        <w:t>份、乙方</w:t>
      </w:r>
      <w:r>
        <w:rPr>
          <w:rFonts w:hint="eastAsia" w:ascii="宋体" w:hAnsi="宋体" w:eastAsia="宋体" w:cs="宋体"/>
          <w:sz w:val="21"/>
          <w:szCs w:val="21"/>
          <w:u w:val="single"/>
        </w:rPr>
        <w:t xml:space="preserve"> 贰 </w:t>
      </w:r>
      <w:r>
        <w:rPr>
          <w:rFonts w:hint="eastAsia" w:ascii="宋体" w:hAnsi="宋体" w:eastAsia="宋体" w:cs="宋体"/>
          <w:sz w:val="21"/>
          <w:szCs w:val="21"/>
        </w:rPr>
        <w:t>份，具有同等法律效力。本合同书涉及的功能更改以及未涉及事项，由双方本着友好合作精神，视具体情况协商后签署备忘作为合同补充，双方签字确认的合同备忘具有与本合同同等法律效力。</w:t>
      </w:r>
    </w:p>
    <w:p w14:paraId="36B9D582">
      <w:pPr>
        <w:pageBreakBefore w:val="0"/>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本合同自双方签字盖章后生效，合同履行完毕并在质保期满后合同条款即终止。</w:t>
      </w:r>
    </w:p>
    <w:p w14:paraId="3824DC83">
      <w:pPr>
        <w:pageBreakBefore w:val="0"/>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本合同共有</w:t>
      </w:r>
      <w:r>
        <w:rPr>
          <w:rFonts w:hint="eastAsia" w:ascii="宋体" w:hAnsi="宋体" w:eastAsia="宋体" w:cs="宋体"/>
          <w:b/>
          <w:bCs/>
          <w:sz w:val="21"/>
          <w:szCs w:val="21"/>
          <w:u w:val="single"/>
        </w:rPr>
        <w:t xml:space="preserve">   </w:t>
      </w:r>
      <w:r>
        <w:rPr>
          <w:rFonts w:hint="eastAsia" w:ascii="宋体" w:hAnsi="宋体" w:eastAsia="宋体" w:cs="宋体"/>
          <w:sz w:val="21"/>
          <w:szCs w:val="21"/>
        </w:rPr>
        <w:t>个附件，与合同一并签订，同时具有法律效力。</w:t>
      </w:r>
    </w:p>
    <w:p w14:paraId="64450E29">
      <w:pPr>
        <w:pageBreakBefore w:val="0"/>
        <w:widowControl/>
        <w:kinsoku/>
        <w:wordWrap/>
        <w:overflowPunct/>
        <w:topLinePunct w:val="0"/>
        <w:autoSpaceDE/>
        <w:autoSpaceDN/>
        <w:bidi w:val="0"/>
        <w:adjustRightInd/>
        <w:spacing w:line="400" w:lineRule="exact"/>
        <w:ind w:left="0"/>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本合同自双方签字盖章后生效，合同履行完毕后合同条款即终止。</w:t>
      </w:r>
    </w:p>
    <w:p w14:paraId="79165F28">
      <w:pPr>
        <w:pageBreakBefore w:val="0"/>
        <w:kinsoku/>
        <w:wordWrap/>
        <w:overflowPunct/>
        <w:topLinePunct w:val="0"/>
        <w:autoSpaceDE/>
        <w:autoSpaceDN/>
        <w:bidi w:val="0"/>
        <w:adjustRightInd/>
        <w:spacing w:line="400" w:lineRule="exact"/>
        <w:ind w:left="0" w:leftChars="0" w:firstLine="472" w:firstLineChars="225"/>
        <w:textAlignment w:val="auto"/>
        <w:rPr>
          <w:rFonts w:hint="eastAsia" w:ascii="宋体" w:hAnsi="宋体" w:eastAsia="宋体" w:cs="宋体"/>
          <w:sz w:val="21"/>
          <w:szCs w:val="21"/>
        </w:rPr>
      </w:pPr>
      <w:r>
        <w:rPr>
          <w:rFonts w:hint="eastAsia" w:ascii="宋体" w:hAnsi="宋体" w:eastAsia="宋体" w:cs="宋体"/>
          <w:sz w:val="21"/>
          <w:szCs w:val="21"/>
        </w:rPr>
        <w:t xml:space="preserve"> </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6"/>
        <w:gridCol w:w="4587"/>
      </w:tblGrid>
      <w:tr w14:paraId="7C6D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2" w:type="dxa"/>
          </w:tcPr>
          <w:p w14:paraId="0B920811">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p w14:paraId="77A58CF6">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甲方：宁波大学</w:t>
            </w:r>
          </w:p>
          <w:p w14:paraId="16FE8D9E">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p w14:paraId="6736515A">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地址：宁波市江北区风华路818号</w:t>
            </w:r>
          </w:p>
          <w:p w14:paraId="29C09F2B">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 xml:space="preserve"> </w:t>
            </w:r>
          </w:p>
          <w:p w14:paraId="09E5F26E">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法定代表</w:t>
            </w:r>
            <w:r>
              <w:rPr>
                <w:rFonts w:hint="eastAsia" w:ascii="宋体" w:hAnsi="宋体" w:eastAsia="宋体" w:cs="宋体"/>
                <w:sz w:val="21"/>
                <w:szCs w:val="21"/>
                <w:lang w:eastAsia="zh-CN"/>
              </w:rPr>
              <w:t>人</w:t>
            </w:r>
            <w:r>
              <w:rPr>
                <w:rFonts w:hint="eastAsia" w:ascii="宋体" w:hAnsi="宋体" w:eastAsia="宋体" w:cs="宋体"/>
                <w:sz w:val="21"/>
                <w:szCs w:val="21"/>
              </w:rPr>
              <w:t>或</w:t>
            </w:r>
          </w:p>
          <w:p w14:paraId="3DB6F079">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授权代表人</w:t>
            </w:r>
            <w:r>
              <w:rPr>
                <w:rFonts w:hint="eastAsia" w:ascii="宋体" w:hAnsi="宋体" w:eastAsia="宋体" w:cs="宋体"/>
                <w:sz w:val="21"/>
                <w:szCs w:val="21"/>
                <w:lang w:eastAsia="zh-CN"/>
              </w:rPr>
              <w:t>（签字）</w:t>
            </w:r>
            <w:r>
              <w:rPr>
                <w:rFonts w:hint="eastAsia" w:ascii="宋体" w:hAnsi="宋体" w:eastAsia="宋体" w:cs="宋体"/>
                <w:sz w:val="21"/>
                <w:szCs w:val="21"/>
              </w:rPr>
              <w:t>：</w:t>
            </w:r>
          </w:p>
          <w:p w14:paraId="12842654">
            <w:pPr>
              <w:pStyle w:val="34"/>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p w14:paraId="557DF8C6">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 xml:space="preserve">签订日期：        年     月     日                 </w:t>
            </w:r>
          </w:p>
          <w:p w14:paraId="0482ACA1">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tc>
        <w:tc>
          <w:tcPr>
            <w:tcW w:w="4882" w:type="dxa"/>
          </w:tcPr>
          <w:p w14:paraId="7A886726">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p w14:paraId="7E1C946E">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乙方：</w:t>
            </w:r>
          </w:p>
          <w:p w14:paraId="45375A1F">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 xml:space="preserve"> </w:t>
            </w:r>
          </w:p>
          <w:p w14:paraId="33F11C11">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地址：</w:t>
            </w:r>
          </w:p>
          <w:p w14:paraId="4103475A">
            <w:pPr>
              <w:pStyle w:val="34"/>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p w14:paraId="44BFC2DD">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法定代表</w:t>
            </w:r>
            <w:r>
              <w:rPr>
                <w:rFonts w:hint="eastAsia" w:ascii="宋体" w:hAnsi="宋体" w:eastAsia="宋体" w:cs="宋体"/>
                <w:sz w:val="21"/>
                <w:szCs w:val="21"/>
                <w:lang w:eastAsia="zh-CN"/>
              </w:rPr>
              <w:t>人</w:t>
            </w:r>
            <w:r>
              <w:rPr>
                <w:rFonts w:hint="eastAsia" w:ascii="宋体" w:hAnsi="宋体" w:eastAsia="宋体" w:cs="宋体"/>
                <w:sz w:val="21"/>
                <w:szCs w:val="21"/>
              </w:rPr>
              <w:t>或</w:t>
            </w:r>
          </w:p>
          <w:p w14:paraId="3558FE46">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授权代表人</w:t>
            </w:r>
            <w:r>
              <w:rPr>
                <w:rFonts w:hint="eastAsia" w:ascii="宋体" w:hAnsi="宋体" w:eastAsia="宋体" w:cs="宋体"/>
                <w:sz w:val="21"/>
                <w:szCs w:val="21"/>
                <w:lang w:eastAsia="zh-CN"/>
              </w:rPr>
              <w:t>（签字）</w:t>
            </w:r>
            <w:r>
              <w:rPr>
                <w:rFonts w:hint="eastAsia" w:ascii="宋体" w:hAnsi="宋体" w:eastAsia="宋体" w:cs="宋体"/>
                <w:sz w:val="21"/>
                <w:szCs w:val="21"/>
              </w:rPr>
              <w:t>：</w:t>
            </w:r>
          </w:p>
          <w:p w14:paraId="15719B4D">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p w14:paraId="092B2641">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r>
              <w:rPr>
                <w:rFonts w:hint="eastAsia" w:ascii="宋体" w:hAnsi="宋体" w:eastAsia="宋体" w:cs="宋体"/>
                <w:sz w:val="21"/>
                <w:szCs w:val="21"/>
              </w:rPr>
              <w:t>签订日期：       年     月     日</w:t>
            </w:r>
          </w:p>
          <w:p w14:paraId="5DCF9C43">
            <w:pPr>
              <w:pageBreakBefore w:val="0"/>
              <w:kinsoku/>
              <w:wordWrap/>
              <w:overflowPunct/>
              <w:topLinePunct w:val="0"/>
              <w:autoSpaceDE/>
              <w:autoSpaceDN/>
              <w:bidi w:val="0"/>
              <w:adjustRightInd/>
              <w:spacing w:line="400" w:lineRule="exact"/>
              <w:ind w:left="0" w:leftChars="0"/>
              <w:textAlignment w:val="auto"/>
              <w:rPr>
                <w:rFonts w:hint="eastAsia" w:ascii="宋体" w:hAnsi="宋体" w:eastAsia="宋体" w:cs="宋体"/>
                <w:sz w:val="21"/>
                <w:szCs w:val="21"/>
              </w:rPr>
            </w:pPr>
          </w:p>
        </w:tc>
      </w:tr>
    </w:tbl>
    <w:p w14:paraId="52311556">
      <w:pPr>
        <w:rPr>
          <w:rFonts w:hint="eastAsia" w:ascii="宋体" w:hAnsi="宋体" w:cs="宋体"/>
          <w:b/>
          <w:color w:val="auto"/>
          <w:sz w:val="32"/>
          <w:highlight w:val="none"/>
        </w:rPr>
      </w:pPr>
    </w:p>
    <w:p w14:paraId="45A83908">
      <w:pPr>
        <w:rPr>
          <w:rFonts w:hint="eastAsia" w:ascii="宋体" w:hAnsi="宋体" w:cs="宋体"/>
          <w:b/>
          <w:color w:val="auto"/>
          <w:sz w:val="32"/>
          <w:highlight w:val="none"/>
        </w:rPr>
      </w:pPr>
      <w:r>
        <w:rPr>
          <w:rFonts w:hint="eastAsia" w:ascii="宋体" w:hAnsi="宋体" w:cs="宋体"/>
          <w:b/>
          <w:color w:val="auto"/>
          <w:sz w:val="32"/>
          <w:highlight w:val="none"/>
        </w:rPr>
        <w:br w:type="page"/>
      </w:r>
    </w:p>
    <w:p w14:paraId="62955E1B">
      <w:pPr>
        <w:keepNext w:val="0"/>
        <w:keepLines w:val="0"/>
        <w:pageBreakBefore w:val="0"/>
        <w:widowControl w:val="0"/>
        <w:kinsoku/>
        <w:wordWrap/>
        <w:overflowPunct/>
        <w:topLinePunct w:val="0"/>
        <w:bidi w:val="0"/>
        <w:snapToGrid/>
        <w:spacing w:line="400" w:lineRule="exact"/>
        <w:jc w:val="center"/>
        <w:textAlignment w:val="auto"/>
        <w:outlineLvl w:val="0"/>
        <w:rPr>
          <w:rFonts w:ascii="宋体" w:hAnsi="宋体" w:cs="宋体"/>
          <w:b/>
          <w:color w:val="auto"/>
          <w:sz w:val="32"/>
          <w:highlight w:val="none"/>
        </w:rPr>
      </w:pPr>
      <w:bookmarkStart w:id="71" w:name="_Toc29621"/>
      <w:r>
        <w:rPr>
          <w:rFonts w:hint="eastAsia" w:ascii="宋体" w:hAnsi="宋体" w:cs="宋体"/>
          <w:b/>
          <w:color w:val="auto"/>
          <w:sz w:val="32"/>
          <w:highlight w:val="none"/>
        </w:rPr>
        <w:t>第七章  附件</w:t>
      </w:r>
      <w:bookmarkEnd w:id="69"/>
      <w:bookmarkEnd w:id="71"/>
    </w:p>
    <w:p w14:paraId="7059485A">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Style w:val="117"/>
          <w:rFonts w:hint="eastAsia" w:ascii="宋体" w:hAnsi="宋体" w:cs="宋体"/>
          <w:color w:val="auto"/>
          <w:sz w:val="32"/>
          <w:szCs w:val="32"/>
          <w:highlight w:val="none"/>
        </w:rPr>
      </w:pPr>
    </w:p>
    <w:p w14:paraId="6734EF6B">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Style w:val="117"/>
          <w:rFonts w:ascii="宋体" w:hAnsi="宋体" w:cs="宋体"/>
          <w:color w:val="auto"/>
          <w:sz w:val="32"/>
          <w:szCs w:val="32"/>
          <w:highlight w:val="none"/>
        </w:rPr>
      </w:pPr>
      <w:r>
        <w:rPr>
          <w:rStyle w:val="117"/>
          <w:rFonts w:hint="eastAsia" w:ascii="宋体" w:hAnsi="宋体" w:cs="宋体"/>
          <w:color w:val="auto"/>
          <w:sz w:val="32"/>
          <w:szCs w:val="32"/>
          <w:highlight w:val="none"/>
        </w:rPr>
        <w:t>A.资格文件</w:t>
      </w:r>
    </w:p>
    <w:p w14:paraId="62918CE7">
      <w:pPr>
        <w:spacing w:line="360" w:lineRule="auto"/>
        <w:ind w:firstLine="1120" w:firstLineChars="400"/>
        <w:rPr>
          <w:rFonts w:ascii="宋体" w:hAnsi="宋体" w:cs="宋体"/>
          <w:color w:val="auto"/>
          <w:sz w:val="28"/>
          <w:highlight w:val="none"/>
        </w:rPr>
      </w:pPr>
    </w:p>
    <w:p w14:paraId="77C015E5">
      <w:pPr>
        <w:spacing w:line="360" w:lineRule="auto"/>
        <w:rPr>
          <w:rFonts w:ascii="宋体" w:hAnsi="宋体" w:cs="宋体"/>
          <w:b/>
          <w:color w:val="auto"/>
          <w:sz w:val="32"/>
          <w:szCs w:val="32"/>
          <w:highlight w:val="none"/>
        </w:rPr>
      </w:pPr>
      <w:r>
        <w:rPr>
          <w:rFonts w:hint="eastAsia" w:ascii="宋体" w:hAnsi="宋体" w:cs="宋体"/>
          <w:color w:val="auto"/>
          <w:sz w:val="28"/>
          <w:highlight w:val="none"/>
        </w:rPr>
        <w:br w:type="page"/>
      </w:r>
      <w:r>
        <w:rPr>
          <w:rFonts w:hint="eastAsia" w:ascii="宋体" w:hAnsi="宋体" w:cs="宋体"/>
          <w:b/>
          <w:color w:val="auto"/>
          <w:sz w:val="32"/>
          <w:szCs w:val="32"/>
          <w:highlight w:val="none"/>
        </w:rPr>
        <w:t xml:space="preserve">封面                                       </w:t>
      </w:r>
    </w:p>
    <w:p w14:paraId="09A45423">
      <w:pPr>
        <w:spacing w:line="360" w:lineRule="auto"/>
        <w:jc w:val="right"/>
        <w:rPr>
          <w:rFonts w:ascii="宋体" w:hAnsi="宋体" w:cs="宋体"/>
          <w:b/>
          <w:color w:val="auto"/>
          <w:sz w:val="32"/>
          <w:szCs w:val="32"/>
          <w:highlight w:val="none"/>
        </w:rPr>
      </w:pPr>
    </w:p>
    <w:p w14:paraId="1E0FA62A">
      <w:pPr>
        <w:spacing w:line="360" w:lineRule="auto"/>
        <w:rPr>
          <w:rFonts w:ascii="宋体" w:hAnsi="宋体" w:cs="宋体"/>
          <w:color w:val="auto"/>
          <w:sz w:val="28"/>
          <w:szCs w:val="28"/>
          <w:highlight w:val="none"/>
        </w:rPr>
      </w:pPr>
    </w:p>
    <w:p w14:paraId="5705A0B9">
      <w:pPr>
        <w:spacing w:line="360" w:lineRule="auto"/>
        <w:jc w:val="center"/>
        <w:rPr>
          <w:rFonts w:hint="eastAsia" w:ascii="宋体" w:hAnsi="宋体" w:eastAsia="宋体" w:cs="宋体"/>
          <w:b/>
          <w:color w:val="auto"/>
          <w:sz w:val="42"/>
          <w:szCs w:val="52"/>
          <w:highlight w:val="none"/>
          <w:lang w:eastAsia="zh-CN"/>
        </w:rPr>
      </w:pPr>
      <w:r>
        <w:rPr>
          <w:rFonts w:hint="eastAsia" w:ascii="宋体" w:hAnsi="宋体" w:cs="宋体"/>
          <w:b/>
          <w:color w:val="auto"/>
          <w:sz w:val="40"/>
          <w:szCs w:val="40"/>
          <w:highlight w:val="none"/>
          <w:lang w:eastAsia="zh-CN"/>
        </w:rPr>
        <w:t>宁波大学校医院信息一体化平台服务项目</w:t>
      </w:r>
    </w:p>
    <w:p w14:paraId="4E031693">
      <w:pPr>
        <w:spacing w:line="360" w:lineRule="auto"/>
        <w:rPr>
          <w:rFonts w:ascii="宋体" w:hAnsi="宋体" w:cs="宋体"/>
          <w:color w:val="auto"/>
          <w:sz w:val="42"/>
          <w:szCs w:val="52"/>
          <w:highlight w:val="none"/>
        </w:rPr>
      </w:pPr>
    </w:p>
    <w:p w14:paraId="0ED5CCDC">
      <w:pPr>
        <w:spacing w:line="360" w:lineRule="auto"/>
        <w:jc w:val="center"/>
        <w:rPr>
          <w:rFonts w:hint="eastAsia" w:ascii="宋体" w:hAnsi="宋体" w:eastAsia="宋体" w:cs="宋体"/>
          <w:color w:val="auto"/>
          <w:sz w:val="36"/>
          <w:szCs w:val="36"/>
          <w:highlight w:val="none"/>
          <w:lang w:eastAsia="zh-CN"/>
        </w:rPr>
      </w:pPr>
      <w:r>
        <w:rPr>
          <w:rFonts w:hint="eastAsia" w:ascii="宋体" w:hAnsi="宋体" w:cs="宋体"/>
          <w:color w:val="auto"/>
          <w:sz w:val="36"/>
          <w:szCs w:val="36"/>
          <w:highlight w:val="none"/>
        </w:rPr>
        <w:t>项目编号：</w:t>
      </w:r>
      <w:r>
        <w:rPr>
          <w:rFonts w:hint="eastAsia" w:ascii="宋体" w:hAnsi="宋体" w:cs="宋体"/>
          <w:color w:val="auto"/>
          <w:sz w:val="36"/>
          <w:szCs w:val="36"/>
          <w:highlight w:val="none"/>
          <w:u w:val="single"/>
          <w:lang w:eastAsia="zh-CN"/>
        </w:rPr>
        <w:t>NBITC-202530430G</w:t>
      </w:r>
    </w:p>
    <w:p w14:paraId="52398455">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标    项：</w:t>
      </w:r>
      <w:r>
        <w:rPr>
          <w:rFonts w:hint="eastAsia" w:ascii="宋体" w:hAnsi="宋体" w:cs="宋体"/>
          <w:color w:val="auto"/>
          <w:sz w:val="36"/>
          <w:szCs w:val="36"/>
          <w:highlight w:val="none"/>
          <w:u w:val="single"/>
        </w:rPr>
        <w:t>（如有多个标项）</w:t>
      </w:r>
    </w:p>
    <w:p w14:paraId="6D1EF695">
      <w:pPr>
        <w:rPr>
          <w:rFonts w:ascii="宋体" w:hAnsi="宋体" w:cs="宋体"/>
          <w:color w:val="auto"/>
          <w:sz w:val="28"/>
          <w:szCs w:val="28"/>
          <w:highlight w:val="none"/>
        </w:rPr>
      </w:pPr>
    </w:p>
    <w:p w14:paraId="1387AD46">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（资格文件）</w:t>
      </w:r>
    </w:p>
    <w:p w14:paraId="471B661F">
      <w:pPr>
        <w:jc w:val="center"/>
        <w:rPr>
          <w:rFonts w:ascii="宋体" w:hAnsi="宋体" w:cs="宋体"/>
          <w:color w:val="auto"/>
          <w:sz w:val="28"/>
          <w:szCs w:val="28"/>
          <w:highlight w:val="none"/>
        </w:rPr>
      </w:pPr>
    </w:p>
    <w:p w14:paraId="4C5E3E4B">
      <w:pPr>
        <w:spacing w:line="360"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投标文件</w:t>
      </w:r>
    </w:p>
    <w:p w14:paraId="5E2BAEE4">
      <w:pPr>
        <w:spacing w:line="360" w:lineRule="auto"/>
        <w:jc w:val="center"/>
        <w:rPr>
          <w:rFonts w:ascii="宋体" w:hAnsi="宋体" w:cs="宋体"/>
          <w:color w:val="auto"/>
          <w:sz w:val="36"/>
          <w:szCs w:val="36"/>
          <w:highlight w:val="none"/>
        </w:rPr>
      </w:pPr>
    </w:p>
    <w:p w14:paraId="20D0D2B1">
      <w:pPr>
        <w:spacing w:line="360" w:lineRule="auto"/>
        <w:jc w:val="center"/>
        <w:rPr>
          <w:rFonts w:ascii="宋体" w:hAnsi="宋体" w:cs="宋体"/>
          <w:color w:val="auto"/>
          <w:sz w:val="36"/>
          <w:szCs w:val="36"/>
          <w:highlight w:val="none"/>
        </w:rPr>
      </w:pPr>
    </w:p>
    <w:p w14:paraId="0ACB8324">
      <w:pPr>
        <w:spacing w:line="360" w:lineRule="auto"/>
        <w:jc w:val="center"/>
        <w:rPr>
          <w:rFonts w:ascii="宋体" w:hAnsi="宋体" w:cs="宋体"/>
          <w:color w:val="auto"/>
          <w:sz w:val="36"/>
          <w:szCs w:val="36"/>
          <w:highlight w:val="none"/>
        </w:rPr>
      </w:pPr>
    </w:p>
    <w:p w14:paraId="4E39106E">
      <w:pPr>
        <w:spacing w:line="360" w:lineRule="auto"/>
        <w:jc w:val="center"/>
        <w:rPr>
          <w:rFonts w:ascii="宋体" w:hAnsi="宋体" w:cs="宋体"/>
          <w:color w:val="auto"/>
          <w:sz w:val="36"/>
          <w:szCs w:val="36"/>
          <w:highlight w:val="none"/>
          <w:u w:val="single"/>
        </w:rPr>
      </w:pPr>
      <w:r>
        <w:rPr>
          <w:rFonts w:hint="eastAsia" w:ascii="宋体" w:hAnsi="宋体" w:cs="宋体"/>
          <w:color w:val="auto"/>
          <w:sz w:val="36"/>
          <w:szCs w:val="36"/>
          <w:highlight w:val="none"/>
        </w:rPr>
        <w:t>供应商全称：</w:t>
      </w:r>
      <w:r>
        <w:rPr>
          <w:rFonts w:hint="eastAsia" w:ascii="宋体" w:hAnsi="宋体" w:cs="宋体"/>
          <w:color w:val="auto"/>
          <w:sz w:val="36"/>
          <w:szCs w:val="36"/>
          <w:highlight w:val="none"/>
          <w:u w:val="single"/>
        </w:rPr>
        <w:t>（加盖单位公章）</w:t>
      </w:r>
    </w:p>
    <w:p w14:paraId="6DF273DB">
      <w:pPr>
        <w:pStyle w:val="28"/>
        <w:ind w:left="101" w:leftChars="48" w:firstLine="1920" w:firstLineChars="800"/>
        <w:jc w:val="left"/>
        <w:rPr>
          <w:rFonts w:hAnsi="宋体" w:cs="宋体"/>
          <w:color w:val="auto"/>
          <w:kern w:val="2"/>
          <w:szCs w:val="28"/>
          <w:highlight w:val="none"/>
          <w:u w:val="single"/>
        </w:rPr>
      </w:pPr>
    </w:p>
    <w:p w14:paraId="08D06CED">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年  月  日</w:t>
      </w:r>
    </w:p>
    <w:p w14:paraId="3957EFD7">
      <w:pPr>
        <w:spacing w:line="360" w:lineRule="auto"/>
        <w:rPr>
          <w:rStyle w:val="117"/>
          <w:rFonts w:ascii="宋体" w:hAnsi="宋体" w:cs="宋体"/>
          <w:color w:val="auto"/>
          <w:szCs w:val="21"/>
          <w:highlight w:val="none"/>
        </w:rPr>
      </w:pPr>
      <w:r>
        <w:rPr>
          <w:rStyle w:val="117"/>
          <w:rFonts w:hint="eastAsia" w:ascii="宋体" w:hAnsi="宋体" w:cs="宋体"/>
          <w:color w:val="auto"/>
          <w:szCs w:val="21"/>
          <w:highlight w:val="none"/>
        </w:rPr>
        <w:br w:type="page"/>
      </w:r>
    </w:p>
    <w:p w14:paraId="3ED3EF14">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A1</w:t>
      </w:r>
      <w:r>
        <w:rPr>
          <w:rFonts w:hint="eastAsia" w:ascii="宋体" w:hAnsi="宋体" w:cs="宋体"/>
          <w:b/>
          <w:color w:val="auto"/>
          <w:szCs w:val="21"/>
          <w:highlight w:val="none"/>
          <w:lang w:val="en-US" w:eastAsia="zh-CN"/>
        </w:rPr>
        <w:t>.</w:t>
      </w:r>
      <w:r>
        <w:rPr>
          <w:rStyle w:val="117"/>
          <w:rFonts w:hint="eastAsia" w:ascii="宋体" w:hAnsi="宋体" w:cs="宋体"/>
          <w:color w:val="auto"/>
          <w:sz w:val="21"/>
          <w:szCs w:val="21"/>
          <w:highlight w:val="none"/>
        </w:rPr>
        <w:t>关于</w:t>
      </w:r>
      <w:r>
        <w:rPr>
          <w:rFonts w:hint="eastAsia" w:ascii="宋体" w:hAnsi="宋体" w:cs="宋体"/>
          <w:b/>
          <w:color w:val="auto"/>
          <w:szCs w:val="21"/>
          <w:highlight w:val="none"/>
        </w:rPr>
        <w:t>资格的承诺函</w:t>
      </w:r>
    </w:p>
    <w:p w14:paraId="58AEB8EC">
      <w:pPr>
        <w:spacing w:line="400" w:lineRule="exact"/>
        <w:rPr>
          <w:rFonts w:hint="eastAsia" w:ascii="宋体" w:hAnsi="宋体" w:eastAsia="宋体" w:cs="宋体"/>
          <w:b/>
          <w:color w:val="auto"/>
          <w:szCs w:val="21"/>
          <w:highlight w:val="none"/>
          <w:lang w:eastAsia="zh-CN"/>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采购人</w:t>
      </w:r>
    </w:p>
    <w:p w14:paraId="2F347DD5">
      <w:pPr>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我单位承诺：</w:t>
      </w:r>
    </w:p>
    <w:p w14:paraId="536BB0D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我单位满足《中华人民共和国政府采购法》第二十二条 供应商参加政府采购活动应当具备的下列条件：</w:t>
      </w:r>
    </w:p>
    <w:p w14:paraId="645EAEB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（一）具有独立承担民事责任的能力；</w:t>
      </w:r>
    </w:p>
    <w:p w14:paraId="7647F80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（二）具有良好的商业信誉和健全的财务会计制度；</w:t>
      </w:r>
    </w:p>
    <w:p w14:paraId="7F832B6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（三）具有履行合同所必需的设备和专业技术能力；</w:t>
      </w:r>
    </w:p>
    <w:p w14:paraId="07B31EF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（四）有依法缴纳税收和社会保障资金的良好记录；</w:t>
      </w:r>
    </w:p>
    <w:p w14:paraId="4C923A6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（五）参加政府采购活动前三年内，在经营活动中没有重大违法记录；</w:t>
      </w:r>
    </w:p>
    <w:p w14:paraId="7CED0A8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（六）法律、行政法规规定的其他条件。</w:t>
      </w:r>
    </w:p>
    <w:p w14:paraId="4849FDE5">
      <w:pPr>
        <w:spacing w:line="400" w:lineRule="exact"/>
        <w:ind w:firstLine="420" w:firstLineChars="200"/>
        <w:rPr>
          <w:rFonts w:ascii="宋体" w:hAnsi="宋体" w:cs="宋体"/>
          <w:color w:val="auto"/>
          <w:szCs w:val="21"/>
          <w:highlight w:val="none"/>
        </w:rPr>
      </w:pPr>
    </w:p>
    <w:p w14:paraId="074B164D">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14:paraId="4E2EC741">
      <w:pPr>
        <w:spacing w:line="400" w:lineRule="exact"/>
        <w:ind w:firstLine="420" w:firstLineChars="200"/>
        <w:rPr>
          <w:rFonts w:ascii="宋体" w:hAnsi="宋体" w:cs="宋体"/>
          <w:color w:val="auto"/>
          <w:szCs w:val="21"/>
          <w:highlight w:val="none"/>
        </w:rPr>
      </w:pPr>
    </w:p>
    <w:p w14:paraId="1254F79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供应商（盖章）：</w:t>
      </w:r>
    </w:p>
    <w:p w14:paraId="268EEBAE">
      <w:pPr>
        <w:spacing w:line="400" w:lineRule="exact"/>
        <w:ind w:firstLine="420" w:firstLineChars="200"/>
        <w:rPr>
          <w:rFonts w:hint="eastAsia" w:ascii="宋体" w:hAnsi="宋体" w:eastAsia="宋体" w:cs="宋体"/>
          <w:b/>
          <w:color w:val="auto"/>
          <w:szCs w:val="21"/>
          <w:highlight w:val="none"/>
          <w:lang w:eastAsia="zh-CN"/>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期：</w:t>
      </w:r>
      <w:r>
        <w:rPr>
          <w:rFonts w:hint="eastAsia" w:ascii="宋体" w:hAnsi="宋体" w:cs="宋体"/>
          <w:b/>
          <w:color w:val="auto"/>
          <w:szCs w:val="21"/>
          <w:highlight w:val="none"/>
        </w:rPr>
        <w:br w:type="page"/>
      </w:r>
      <w:r>
        <w:rPr>
          <w:rFonts w:hint="eastAsia" w:ascii="宋体" w:hAnsi="宋体" w:cs="宋体"/>
          <w:b/>
          <w:color w:val="auto"/>
          <w:szCs w:val="21"/>
          <w:highlight w:val="none"/>
        </w:rPr>
        <w:t>A2</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营业执照副本（或事业法人登记证副本或其他登记证明材料）复印件并加盖供应商公章（供应商如果有名称变更的，应提供由行政主管部门出具的变更证明文件复印件并加盖供应商公章）</w:t>
      </w:r>
      <w:r>
        <w:rPr>
          <w:rFonts w:hint="eastAsia" w:ascii="宋体" w:hAnsi="宋体" w:cs="宋体"/>
          <w:b/>
          <w:color w:val="auto"/>
          <w:szCs w:val="21"/>
          <w:highlight w:val="none"/>
          <w:lang w:eastAsia="zh-CN"/>
        </w:rPr>
        <w:t>。</w:t>
      </w:r>
    </w:p>
    <w:p w14:paraId="2F6A55C5">
      <w:pPr>
        <w:pStyle w:val="26"/>
        <w:keepNext w:val="0"/>
        <w:keepLines w:val="0"/>
        <w:pageBreakBefore w:val="0"/>
        <w:kinsoku/>
        <w:wordWrap/>
        <w:overflowPunct/>
        <w:topLinePunct w:val="0"/>
        <w:autoSpaceDE/>
        <w:autoSpaceDN/>
        <w:bidi w:val="0"/>
        <w:adjustRightInd/>
        <w:snapToGrid w:val="0"/>
        <w:spacing w:before="0" w:beforeAutospacing="0" w:after="0" w:afterAutospacing="0" w:line="400" w:lineRule="exact"/>
        <w:jc w:val="center"/>
        <w:textAlignment w:val="auto"/>
        <w:rPr>
          <w:rFonts w:hAnsi="宋体" w:cs="宋体"/>
          <w:b/>
          <w:color w:val="auto"/>
          <w:highlight w:val="none"/>
        </w:rPr>
      </w:pPr>
      <w:bookmarkStart w:id="72" w:name="_Toc16913"/>
      <w:bookmarkStart w:id="73" w:name="_Toc44162157"/>
      <w:bookmarkStart w:id="74" w:name="_Toc21541026"/>
      <w:r>
        <w:rPr>
          <w:rStyle w:val="117"/>
          <w:rFonts w:hint="eastAsia" w:ascii="宋体" w:hAnsi="宋体" w:cs="宋体"/>
          <w:color w:val="auto"/>
          <w:sz w:val="32"/>
          <w:szCs w:val="32"/>
          <w:highlight w:val="none"/>
        </w:rPr>
        <w:br w:type="page"/>
      </w:r>
      <w:r>
        <w:rPr>
          <w:rFonts w:hint="eastAsia" w:hAnsi="宋体" w:cs="宋体"/>
          <w:b/>
          <w:color w:val="auto"/>
          <w:kern w:val="2"/>
          <w:sz w:val="21"/>
          <w:szCs w:val="21"/>
          <w:highlight w:val="none"/>
          <w:lang w:val="en-US" w:eastAsia="zh-CN"/>
        </w:rPr>
        <w:t>A</w:t>
      </w:r>
      <w:r>
        <w:rPr>
          <w:rFonts w:hint="eastAsia" w:hAnsi="宋体" w:cs="宋体"/>
          <w:b/>
          <w:color w:val="auto"/>
          <w:kern w:val="2"/>
          <w:sz w:val="21"/>
          <w:szCs w:val="21"/>
          <w:highlight w:val="none"/>
        </w:rPr>
        <w:t>3</w:t>
      </w:r>
      <w:r>
        <w:rPr>
          <w:rFonts w:hint="eastAsia" w:hAnsi="宋体" w:cs="宋体"/>
          <w:b/>
          <w:color w:val="auto"/>
          <w:kern w:val="2"/>
          <w:sz w:val="21"/>
          <w:szCs w:val="21"/>
          <w:highlight w:val="none"/>
          <w:lang w:val="en-US" w:eastAsia="zh-CN"/>
        </w:rPr>
        <w:t>.</w:t>
      </w:r>
      <w:r>
        <w:rPr>
          <w:rFonts w:hint="eastAsia" w:hAnsi="宋体" w:cs="宋体"/>
          <w:b/>
          <w:color w:val="auto"/>
          <w:kern w:val="2"/>
          <w:sz w:val="21"/>
          <w:szCs w:val="21"/>
          <w:highlight w:val="none"/>
        </w:rPr>
        <w:t>中小企业声明函</w:t>
      </w:r>
    </w:p>
    <w:p w14:paraId="04887DFC">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本公司郑重声明，根据《政府采购促进中小 企业发展管理办法》（财库﹝2020﹞46 号）的规定，本公司参加</w:t>
      </w:r>
      <w:r>
        <w:rPr>
          <w:rFonts w:hint="eastAsia" w:ascii="宋体" w:hAnsi="宋体" w:cs="宋体"/>
          <w:color w:val="auto"/>
          <w:highlight w:val="none"/>
          <w:u w:val="single"/>
        </w:rPr>
        <w:t xml:space="preserve">              </w:t>
      </w:r>
      <w:r>
        <w:rPr>
          <w:rFonts w:hint="eastAsia" w:ascii="宋体" w:hAnsi="宋体" w:cs="宋体"/>
          <w:color w:val="auto"/>
          <w:highlight w:val="none"/>
        </w:rPr>
        <w:t>（单位名称）的</w:t>
      </w:r>
      <w:r>
        <w:rPr>
          <w:rFonts w:hint="eastAsia" w:ascii="宋体" w:hAnsi="宋体" w:cs="宋体"/>
          <w:color w:val="auto"/>
          <w:highlight w:val="none"/>
          <w:u w:val="single"/>
        </w:rPr>
        <w:t xml:space="preserve">            </w:t>
      </w:r>
      <w:r>
        <w:rPr>
          <w:rFonts w:hint="eastAsia" w:ascii="宋体" w:hAnsi="宋体" w:cs="宋体"/>
          <w:color w:val="auto"/>
          <w:highlight w:val="none"/>
        </w:rPr>
        <w:t>（项目名称）采购活动，服务全部由符合政策要求的中小企业承接。相关企业的具体情况如下：</w:t>
      </w:r>
    </w:p>
    <w:p w14:paraId="07A7A3B4">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宁波大学校医院信息一体化平台服务</w:t>
      </w:r>
      <w:r>
        <w:rPr>
          <w:rFonts w:hint="eastAsia" w:ascii="宋体" w:hAnsi="宋体" w:cs="宋体"/>
          <w:color w:val="auto"/>
          <w:highlight w:val="none"/>
          <w:u w:val="single"/>
        </w:rPr>
        <w:t xml:space="preserve"> </w:t>
      </w:r>
      <w:r>
        <w:rPr>
          <w:rFonts w:hint="eastAsia" w:ascii="宋体" w:hAnsi="宋体" w:cs="宋体"/>
          <w:color w:val="auto"/>
          <w:highlight w:val="none"/>
        </w:rPr>
        <w:t>（标的名称），属于</w:t>
      </w:r>
      <w:r>
        <w:rPr>
          <w:rFonts w:hint="eastAsia" w:ascii="宋体" w:hAnsi="宋体" w:cs="宋体"/>
          <w:color w:val="auto"/>
          <w:highlight w:val="none"/>
          <w:u w:val="single"/>
        </w:rPr>
        <w:t xml:space="preserve"> 软件和信息技术服务业 </w:t>
      </w:r>
      <w:r>
        <w:rPr>
          <w:rFonts w:hint="eastAsia" w:ascii="宋体" w:hAnsi="宋体" w:cs="宋体"/>
          <w:color w:val="auto"/>
          <w:highlight w:val="none"/>
        </w:rPr>
        <w:t>；承建（承接）企业为</w:t>
      </w:r>
      <w:r>
        <w:rPr>
          <w:rFonts w:hint="eastAsia" w:ascii="宋体" w:hAnsi="宋体" w:cs="宋体"/>
          <w:color w:val="auto"/>
          <w:highlight w:val="none"/>
          <w:u w:val="single"/>
        </w:rPr>
        <w:t xml:space="preserve">            </w:t>
      </w:r>
      <w:r>
        <w:rPr>
          <w:rFonts w:hint="eastAsia" w:ascii="宋体" w:hAnsi="宋体" w:cs="宋体"/>
          <w:color w:val="auto"/>
          <w:highlight w:val="none"/>
        </w:rPr>
        <w:t>（企业名称），从业人员</w:t>
      </w:r>
      <w:r>
        <w:rPr>
          <w:rFonts w:hint="eastAsia" w:ascii="宋体" w:hAnsi="宋体" w:cs="宋体"/>
          <w:color w:val="auto"/>
          <w:highlight w:val="none"/>
          <w:u w:val="single"/>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rPr>
        <w:t xml:space="preserve">       </w:t>
      </w:r>
      <w:r>
        <w:rPr>
          <w:rFonts w:hint="eastAsia" w:ascii="宋体" w:hAnsi="宋体" w:cs="宋体"/>
          <w:color w:val="auto"/>
          <w:highlight w:val="none"/>
        </w:rPr>
        <w:t>万元，属于</w:t>
      </w:r>
      <w:r>
        <w:rPr>
          <w:rFonts w:hint="eastAsia" w:ascii="宋体" w:hAnsi="宋体" w:cs="宋体"/>
          <w:color w:val="auto"/>
          <w:highlight w:val="none"/>
          <w:u w:val="single"/>
        </w:rPr>
        <w:t xml:space="preserve">        </w:t>
      </w:r>
      <w:r>
        <w:rPr>
          <w:rFonts w:hint="eastAsia" w:ascii="宋体" w:hAnsi="宋体" w:cs="宋体"/>
          <w:color w:val="auto"/>
          <w:highlight w:val="none"/>
        </w:rPr>
        <w:t xml:space="preserve">企业（中型企业、小型企业、微型企业）。 </w:t>
      </w:r>
    </w:p>
    <w:p w14:paraId="1374BEB2">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w:t>
      </w:r>
    </w:p>
    <w:p w14:paraId="29D000D6">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2C662AF3">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2E3792FE">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s="宋体"/>
          <w:color w:val="auto"/>
          <w:highlight w:val="none"/>
        </w:rPr>
      </w:pPr>
    </w:p>
    <w:p w14:paraId="7C5929B7">
      <w:pPr>
        <w:keepNext w:val="0"/>
        <w:keepLines w:val="0"/>
        <w:pageBreakBefore w:val="0"/>
        <w:kinsoku/>
        <w:wordWrap/>
        <w:overflowPunct/>
        <w:topLinePunct w:val="0"/>
        <w:autoSpaceDE/>
        <w:autoSpaceDN/>
        <w:bidi w:val="0"/>
        <w:adjustRightInd/>
        <w:spacing w:line="400" w:lineRule="exact"/>
        <w:textAlignment w:val="auto"/>
        <w:rPr>
          <w:rFonts w:ascii="宋体" w:hAnsi="宋体" w:cs="宋体"/>
          <w:color w:val="auto"/>
          <w:highlight w:val="none"/>
        </w:rPr>
      </w:pPr>
      <w:r>
        <w:rPr>
          <w:rFonts w:hint="eastAsia" w:ascii="宋体" w:hAnsi="宋体" w:cs="宋体"/>
          <w:color w:val="auto"/>
          <w:highlight w:val="none"/>
        </w:rPr>
        <w:t>注：从业人员、营业收入、资产总额填报上一年度数据，无上一年度数据的新成立企业可不填报。</w:t>
      </w:r>
    </w:p>
    <w:p w14:paraId="664A99BA">
      <w:pPr>
        <w:keepNext w:val="0"/>
        <w:keepLines w:val="0"/>
        <w:pageBreakBefore w:val="0"/>
        <w:kinsoku/>
        <w:wordWrap/>
        <w:overflowPunct/>
        <w:topLinePunct w:val="0"/>
        <w:autoSpaceDE/>
        <w:autoSpaceDN/>
        <w:bidi w:val="0"/>
        <w:adjustRightInd/>
        <w:spacing w:line="400" w:lineRule="exact"/>
        <w:ind w:firstLine="420" w:firstLineChars="200"/>
        <w:textAlignment w:val="auto"/>
        <w:rPr>
          <w:rFonts w:ascii="宋体" w:hAnsi="宋体" w:cs="宋体"/>
          <w:color w:val="auto"/>
          <w:highlight w:val="none"/>
        </w:rPr>
      </w:pPr>
    </w:p>
    <w:p w14:paraId="2307E208">
      <w:pPr>
        <w:keepNext w:val="0"/>
        <w:keepLines w:val="0"/>
        <w:pageBreakBefore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2DE42D86">
      <w:pPr>
        <w:keepNext w:val="0"/>
        <w:keepLines w:val="0"/>
        <w:pageBreakBefore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期：</w:t>
      </w:r>
    </w:p>
    <w:p w14:paraId="4B4C696D">
      <w:pPr>
        <w:spacing w:line="400" w:lineRule="exact"/>
        <w:ind w:firstLine="420" w:firstLineChars="200"/>
        <w:rPr>
          <w:rFonts w:ascii="宋体" w:hAnsi="宋体" w:cs="宋体"/>
          <w:color w:val="auto"/>
          <w:szCs w:val="21"/>
          <w:highlight w:val="none"/>
        </w:rPr>
      </w:pPr>
    </w:p>
    <w:p w14:paraId="1ED8D62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lang w:val="en-US" w:eastAsia="zh-CN"/>
        </w:rPr>
        <w:t>A</w:t>
      </w:r>
      <w:r>
        <w:rPr>
          <w:rFonts w:hint="eastAsia" w:ascii="宋体" w:hAnsi="宋体" w:cs="宋体"/>
          <w:b/>
          <w:color w:val="auto"/>
          <w:szCs w:val="21"/>
          <w:highlight w:val="none"/>
        </w:rPr>
        <w:t>4</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残疾人福利性单位声明函（如有需提供）</w:t>
      </w:r>
    </w:p>
    <w:p w14:paraId="53341F08">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90F5D9C">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14:paraId="6990EBBF">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p>
    <w:p w14:paraId="5D053FE3">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供应商（盖章）：</w:t>
      </w:r>
    </w:p>
    <w:p w14:paraId="3F1542FA">
      <w:pPr>
        <w:keepNext w:val="0"/>
        <w:keepLines w:val="0"/>
        <w:pageBreakBefore w:val="0"/>
        <w:widowControl w:val="0"/>
        <w:tabs>
          <w:tab w:val="left" w:pos="4860"/>
        </w:tabs>
        <w:kinsoku/>
        <w:wordWrap/>
        <w:overflowPunct/>
        <w:topLinePunct w:val="0"/>
        <w:autoSpaceDE/>
        <w:autoSpaceDN/>
        <w:bidi w:val="0"/>
        <w:adjustRightInd/>
        <w:snapToGrid/>
        <w:spacing w:line="400" w:lineRule="exact"/>
        <w:ind w:right="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期：</w:t>
      </w:r>
    </w:p>
    <w:p w14:paraId="67EF7B8E">
      <w:pPr>
        <w:keepNext w:val="0"/>
        <w:keepLines w:val="0"/>
        <w:pageBreakBefore w:val="0"/>
        <w:widowControl w:val="0"/>
        <w:kinsoku/>
        <w:wordWrap/>
        <w:overflowPunct/>
        <w:topLinePunct w:val="0"/>
        <w:autoSpaceDE/>
        <w:autoSpaceDN/>
        <w:bidi w:val="0"/>
        <w:adjustRightInd/>
        <w:snapToGrid/>
        <w:spacing w:line="400" w:lineRule="exact"/>
        <w:ind w:right="0" w:firstLine="422" w:firstLineChars="200"/>
        <w:textAlignment w:val="auto"/>
        <w:rPr>
          <w:rFonts w:ascii="宋体" w:hAnsi="宋体" w:cs="宋体"/>
          <w:b/>
          <w:color w:val="auto"/>
          <w:szCs w:val="21"/>
          <w:highlight w:val="none"/>
        </w:rPr>
      </w:pPr>
    </w:p>
    <w:p w14:paraId="6542502E">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注：</w:t>
      </w:r>
    </w:p>
    <w:p w14:paraId="0378CABD">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享受政府采购支持政策的残疾人福利性单位应当同时满足以下条件：</w:t>
      </w:r>
    </w:p>
    <w:p w14:paraId="51073F34">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（一）安置的残疾人占本单位在职职工人数的比例不低于25%（含25%），并且安置的残疾人人数不少于10人（含10人）；</w:t>
      </w:r>
    </w:p>
    <w:p w14:paraId="328ECD09">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（二）依法与安置的每位残疾人签订了一年以上（含一年）的劳动合同或服务协议；</w:t>
      </w:r>
    </w:p>
    <w:p w14:paraId="4D6AA49F">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（三）为安置的每位残疾人按月足额缴纳了基本养老保险、基本医疗保险、失业保险、工伤保险和生育保险等社会保险费；</w:t>
      </w:r>
    </w:p>
    <w:p w14:paraId="760D23DE">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（四）通过银行等金融机构向安置的每位残疾人，按月支付了不低于单位所在区县适用的经省级人民政府批准的月最低工资标准的工资；</w:t>
      </w:r>
    </w:p>
    <w:p w14:paraId="270EB5D6">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（五）提供本单位制造的货物、承担的工程或者服务（以下简称产品），或者提供其他残疾人福利性单位制造的货物（不包括使用非残疾人福利性单位注册商标的货物）。</w:t>
      </w:r>
    </w:p>
    <w:p w14:paraId="1E072AFE">
      <w:pPr>
        <w:keepNext w:val="0"/>
        <w:keepLines w:val="0"/>
        <w:pageBreakBefore w:val="0"/>
        <w:widowControl w:val="0"/>
        <w:kinsoku/>
        <w:wordWrap/>
        <w:overflowPunct/>
        <w:topLinePunct w:val="0"/>
        <w:autoSpaceDE/>
        <w:autoSpaceDN/>
        <w:bidi w:val="0"/>
        <w:adjustRightInd/>
        <w:snapToGrid/>
        <w:spacing w:line="400" w:lineRule="exact"/>
        <w:ind w:righ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40CAF0">
      <w:pPr>
        <w:pStyle w:val="264"/>
        <w:rPr>
          <w:rFonts w:ascii="宋体" w:hAnsi="宋体" w:cs="宋体"/>
          <w:color w:val="auto"/>
          <w:highlight w:val="none"/>
        </w:rPr>
      </w:pPr>
    </w:p>
    <w:p w14:paraId="0A987B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b/>
          <w:color w:val="auto"/>
          <w:szCs w:val="21"/>
          <w:highlight w:val="none"/>
        </w:rPr>
        <w:sectPr>
          <w:headerReference r:id="rId10" w:type="default"/>
          <w:footerReference r:id="rId11" w:type="default"/>
          <w:pgSz w:w="11905" w:h="16838"/>
          <w:pgMar w:top="1474" w:right="1474" w:bottom="1474" w:left="1474" w:header="907" w:footer="850" w:gutter="0"/>
          <w:pgBorders>
            <w:top w:val="none" w:sz="0" w:space="0"/>
            <w:left w:val="none" w:sz="0" w:space="0"/>
            <w:bottom w:val="none" w:sz="0" w:space="0"/>
            <w:right w:val="none" w:sz="0" w:space="0"/>
          </w:pgBorders>
          <w:pgNumType w:fmt="decimal"/>
          <w:cols w:space="0" w:num="1"/>
          <w:docGrid w:type="lines" w:linePitch="289" w:charSpace="0"/>
        </w:sectPr>
      </w:pPr>
      <w:r>
        <w:rPr>
          <w:rStyle w:val="117"/>
          <w:rFonts w:hint="eastAsia" w:ascii="宋体" w:hAnsi="宋体" w:cs="宋体"/>
          <w:color w:val="auto"/>
          <w:szCs w:val="21"/>
          <w:highlight w:val="none"/>
        </w:rPr>
        <w:br w:type="page"/>
      </w:r>
      <w:bookmarkStart w:id="75" w:name="_Toc21541033"/>
      <w:bookmarkStart w:id="76" w:name="_Toc44162163"/>
      <w:bookmarkStart w:id="77" w:name="_Toc26806"/>
      <w:r>
        <w:rPr>
          <w:rFonts w:hint="eastAsia" w:ascii="宋体" w:hAnsi="宋体" w:cs="宋体"/>
          <w:b/>
          <w:color w:val="auto"/>
          <w:szCs w:val="21"/>
          <w:highlight w:val="none"/>
          <w:lang w:val="en-US" w:eastAsia="zh-CN"/>
        </w:rPr>
        <w:t>A</w:t>
      </w:r>
      <w:r>
        <w:rPr>
          <w:rFonts w:hint="eastAsia" w:ascii="宋体" w:hAnsi="宋体" w:cs="宋体"/>
          <w:b/>
          <w:color w:val="auto"/>
          <w:szCs w:val="21"/>
          <w:highlight w:val="none"/>
        </w:rPr>
        <w:t>5</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招标文件要求提供的和供应商认为需要的其他资料（如有需提供）</w:t>
      </w:r>
      <w:bookmarkEnd w:id="75"/>
      <w:bookmarkEnd w:id="76"/>
      <w:bookmarkEnd w:id="77"/>
    </w:p>
    <w:tbl>
      <w:tblPr>
        <w:tblStyle w:val="52"/>
        <w:tblW w:w="14720" w:type="dxa"/>
        <w:jc w:val="center"/>
        <w:tblLayout w:type="fixed"/>
        <w:tblCellMar>
          <w:top w:w="0" w:type="dxa"/>
          <w:left w:w="108" w:type="dxa"/>
          <w:bottom w:w="0" w:type="dxa"/>
          <w:right w:w="108" w:type="dxa"/>
        </w:tblCellMar>
      </w:tblPr>
      <w:tblGrid>
        <w:gridCol w:w="1954"/>
        <w:gridCol w:w="1475"/>
        <w:gridCol w:w="1736"/>
        <w:gridCol w:w="1639"/>
        <w:gridCol w:w="1221"/>
        <w:gridCol w:w="1458"/>
        <w:gridCol w:w="1501"/>
        <w:gridCol w:w="1265"/>
        <w:gridCol w:w="1256"/>
        <w:gridCol w:w="1205"/>
        <w:gridCol w:w="10"/>
      </w:tblGrid>
      <w:tr w14:paraId="6917F1AD">
        <w:tblPrEx>
          <w:tblCellMar>
            <w:top w:w="0" w:type="dxa"/>
            <w:left w:w="108" w:type="dxa"/>
            <w:bottom w:w="0" w:type="dxa"/>
            <w:right w:w="108" w:type="dxa"/>
          </w:tblCellMar>
        </w:tblPrEx>
        <w:trPr>
          <w:trHeight w:val="275" w:hRule="atLeast"/>
          <w:jc w:val="center"/>
        </w:trPr>
        <w:tc>
          <w:tcPr>
            <w:tcW w:w="14720" w:type="dxa"/>
            <w:gridSpan w:val="11"/>
            <w:tcBorders>
              <w:top w:val="nil"/>
              <w:left w:val="nil"/>
              <w:bottom w:val="nil"/>
              <w:right w:val="nil"/>
            </w:tcBorders>
            <w:vAlign w:val="bottom"/>
          </w:tcPr>
          <w:p w14:paraId="6123B9A3">
            <w:pPr>
              <w:widowControl/>
              <w:jc w:val="center"/>
              <w:rPr>
                <w:rFonts w:ascii="宋体" w:hAnsi="宋体" w:cs="宋体"/>
                <w:b/>
                <w:bCs/>
                <w:color w:val="auto"/>
                <w:kern w:val="0"/>
                <w:sz w:val="32"/>
                <w:szCs w:val="32"/>
                <w:highlight w:val="none"/>
              </w:rPr>
            </w:pPr>
            <w:r>
              <w:rPr>
                <w:rFonts w:hint="eastAsia" w:ascii="宋体" w:hAnsi="宋体" w:cs="宋体"/>
                <w:b/>
                <w:bCs/>
                <w:color w:val="auto"/>
                <w:kern w:val="0"/>
                <w:sz w:val="24"/>
                <w:highlight w:val="none"/>
              </w:rPr>
              <w:t>中小微行业划型标准规定（根据工信部联企业〔2011〕300号制定）</w:t>
            </w:r>
          </w:p>
        </w:tc>
      </w:tr>
      <w:tr w14:paraId="6CDE318D">
        <w:tblPrEx>
          <w:tblCellMar>
            <w:top w:w="0" w:type="dxa"/>
            <w:left w:w="108" w:type="dxa"/>
            <w:bottom w:w="0" w:type="dxa"/>
            <w:right w:w="108" w:type="dxa"/>
          </w:tblCellMar>
        </w:tblPrEx>
        <w:trPr>
          <w:gridAfter w:val="1"/>
          <w:wAfter w:w="10" w:type="dxa"/>
          <w:trHeight w:val="345" w:hRule="atLeast"/>
          <w:jc w:val="center"/>
        </w:trPr>
        <w:tc>
          <w:tcPr>
            <w:tcW w:w="1954" w:type="dxa"/>
            <w:vMerge w:val="restart"/>
            <w:tcBorders>
              <w:top w:val="single" w:color="auto" w:sz="8" w:space="0"/>
              <w:left w:val="single" w:color="auto" w:sz="8" w:space="0"/>
              <w:bottom w:val="single" w:color="000000" w:sz="4" w:space="0"/>
              <w:right w:val="single" w:color="auto" w:sz="8" w:space="0"/>
            </w:tcBorders>
            <w:vAlign w:val="center"/>
          </w:tcPr>
          <w:p w14:paraId="5EECD020">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行业</w:t>
            </w:r>
          </w:p>
        </w:tc>
        <w:tc>
          <w:tcPr>
            <w:tcW w:w="4850" w:type="dxa"/>
            <w:gridSpan w:val="3"/>
            <w:tcBorders>
              <w:top w:val="single" w:color="auto" w:sz="8" w:space="0"/>
              <w:left w:val="nil"/>
              <w:bottom w:val="single" w:color="auto" w:sz="4" w:space="0"/>
              <w:right w:val="single" w:color="000000" w:sz="8" w:space="0"/>
            </w:tcBorders>
            <w:vAlign w:val="bottom"/>
          </w:tcPr>
          <w:p w14:paraId="4367576F">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中型企业</w:t>
            </w:r>
          </w:p>
        </w:tc>
        <w:tc>
          <w:tcPr>
            <w:tcW w:w="4180" w:type="dxa"/>
            <w:gridSpan w:val="3"/>
            <w:tcBorders>
              <w:top w:val="single" w:color="auto" w:sz="8" w:space="0"/>
              <w:left w:val="nil"/>
              <w:bottom w:val="single" w:color="auto" w:sz="4" w:space="0"/>
              <w:right w:val="single" w:color="000000" w:sz="8" w:space="0"/>
            </w:tcBorders>
            <w:vAlign w:val="bottom"/>
          </w:tcPr>
          <w:p w14:paraId="0FBF42B6">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小型企业</w:t>
            </w:r>
          </w:p>
        </w:tc>
        <w:tc>
          <w:tcPr>
            <w:tcW w:w="3726" w:type="dxa"/>
            <w:gridSpan w:val="3"/>
            <w:tcBorders>
              <w:top w:val="single" w:color="auto" w:sz="8" w:space="0"/>
              <w:left w:val="nil"/>
              <w:bottom w:val="single" w:color="auto" w:sz="4" w:space="0"/>
              <w:right w:val="single" w:color="000000" w:sz="8" w:space="0"/>
            </w:tcBorders>
            <w:vAlign w:val="bottom"/>
          </w:tcPr>
          <w:p w14:paraId="2553D767">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微型企业</w:t>
            </w:r>
          </w:p>
        </w:tc>
      </w:tr>
      <w:tr w14:paraId="7FF05AE2">
        <w:tblPrEx>
          <w:tblCellMar>
            <w:top w:w="0" w:type="dxa"/>
            <w:left w:w="108" w:type="dxa"/>
            <w:bottom w:w="0" w:type="dxa"/>
            <w:right w:w="108" w:type="dxa"/>
          </w:tblCellMar>
        </w:tblPrEx>
        <w:trPr>
          <w:gridAfter w:val="1"/>
          <w:wAfter w:w="10" w:type="dxa"/>
          <w:trHeight w:val="561" w:hRule="atLeast"/>
          <w:jc w:val="center"/>
        </w:trPr>
        <w:tc>
          <w:tcPr>
            <w:tcW w:w="1954" w:type="dxa"/>
            <w:vMerge w:val="continue"/>
            <w:tcBorders>
              <w:top w:val="single" w:color="auto" w:sz="8" w:space="0"/>
              <w:left w:val="single" w:color="auto" w:sz="8" w:space="0"/>
              <w:bottom w:val="single" w:color="000000" w:sz="4" w:space="0"/>
              <w:right w:val="single" w:color="auto" w:sz="8" w:space="0"/>
            </w:tcBorders>
            <w:vAlign w:val="center"/>
          </w:tcPr>
          <w:p w14:paraId="4C122262">
            <w:pPr>
              <w:widowControl/>
              <w:jc w:val="left"/>
              <w:rPr>
                <w:rFonts w:ascii="宋体" w:hAnsi="宋体" w:cs="宋体"/>
                <w:b/>
                <w:bCs/>
                <w:color w:val="auto"/>
                <w:kern w:val="0"/>
                <w:sz w:val="24"/>
                <w:highlight w:val="none"/>
              </w:rPr>
            </w:pPr>
          </w:p>
        </w:tc>
        <w:tc>
          <w:tcPr>
            <w:tcW w:w="1475" w:type="dxa"/>
            <w:tcBorders>
              <w:top w:val="nil"/>
              <w:left w:val="nil"/>
              <w:bottom w:val="single" w:color="auto" w:sz="4" w:space="0"/>
              <w:right w:val="single" w:color="auto" w:sz="4" w:space="0"/>
            </w:tcBorders>
            <w:vAlign w:val="bottom"/>
          </w:tcPr>
          <w:p w14:paraId="06A7C9F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从业人员X（人）</w:t>
            </w:r>
          </w:p>
        </w:tc>
        <w:tc>
          <w:tcPr>
            <w:tcW w:w="1736" w:type="dxa"/>
            <w:tcBorders>
              <w:top w:val="nil"/>
              <w:left w:val="nil"/>
              <w:bottom w:val="single" w:color="auto" w:sz="4" w:space="0"/>
              <w:right w:val="single" w:color="auto" w:sz="4" w:space="0"/>
            </w:tcBorders>
            <w:vAlign w:val="bottom"/>
          </w:tcPr>
          <w:p w14:paraId="181D0BD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营业收入Y</w:t>
            </w:r>
          </w:p>
          <w:p w14:paraId="437B900A">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639" w:type="dxa"/>
            <w:tcBorders>
              <w:top w:val="nil"/>
              <w:left w:val="nil"/>
              <w:bottom w:val="single" w:color="auto" w:sz="4" w:space="0"/>
              <w:right w:val="single" w:color="auto" w:sz="8" w:space="0"/>
            </w:tcBorders>
            <w:vAlign w:val="bottom"/>
          </w:tcPr>
          <w:p w14:paraId="29474EB8">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资产总额Z</w:t>
            </w:r>
          </w:p>
          <w:p w14:paraId="7CB5749E">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221" w:type="dxa"/>
            <w:tcBorders>
              <w:top w:val="nil"/>
              <w:left w:val="nil"/>
              <w:bottom w:val="single" w:color="auto" w:sz="4" w:space="0"/>
              <w:right w:val="single" w:color="auto" w:sz="4" w:space="0"/>
            </w:tcBorders>
            <w:vAlign w:val="bottom"/>
          </w:tcPr>
          <w:p w14:paraId="7C50F623">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从业人员X（人）</w:t>
            </w:r>
          </w:p>
        </w:tc>
        <w:tc>
          <w:tcPr>
            <w:tcW w:w="1458" w:type="dxa"/>
            <w:tcBorders>
              <w:top w:val="nil"/>
              <w:left w:val="nil"/>
              <w:bottom w:val="single" w:color="auto" w:sz="4" w:space="0"/>
              <w:right w:val="single" w:color="auto" w:sz="4" w:space="0"/>
            </w:tcBorders>
            <w:vAlign w:val="bottom"/>
          </w:tcPr>
          <w:p w14:paraId="43DB040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营业收入Y</w:t>
            </w:r>
          </w:p>
          <w:p w14:paraId="0683ACC1">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501" w:type="dxa"/>
            <w:tcBorders>
              <w:top w:val="nil"/>
              <w:left w:val="nil"/>
              <w:bottom w:val="single" w:color="auto" w:sz="4" w:space="0"/>
              <w:right w:val="single" w:color="auto" w:sz="8" w:space="0"/>
            </w:tcBorders>
            <w:vAlign w:val="bottom"/>
          </w:tcPr>
          <w:p w14:paraId="49F2231E">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资产总额Z</w:t>
            </w:r>
          </w:p>
          <w:p w14:paraId="2B62D356">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（万元）</w:t>
            </w:r>
          </w:p>
        </w:tc>
        <w:tc>
          <w:tcPr>
            <w:tcW w:w="1265" w:type="dxa"/>
            <w:tcBorders>
              <w:top w:val="nil"/>
              <w:left w:val="nil"/>
              <w:bottom w:val="single" w:color="auto" w:sz="4" w:space="0"/>
              <w:right w:val="single" w:color="auto" w:sz="4" w:space="0"/>
            </w:tcBorders>
            <w:vAlign w:val="bottom"/>
          </w:tcPr>
          <w:p w14:paraId="25520F4B">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从业人员X（人）</w:t>
            </w:r>
          </w:p>
        </w:tc>
        <w:tc>
          <w:tcPr>
            <w:tcW w:w="1256" w:type="dxa"/>
            <w:tcBorders>
              <w:top w:val="nil"/>
              <w:left w:val="nil"/>
              <w:bottom w:val="single" w:color="auto" w:sz="4" w:space="0"/>
              <w:right w:val="single" w:color="auto" w:sz="4" w:space="0"/>
            </w:tcBorders>
            <w:vAlign w:val="bottom"/>
          </w:tcPr>
          <w:p w14:paraId="6E6E6307">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营业收入Y（万元）</w:t>
            </w:r>
          </w:p>
        </w:tc>
        <w:tc>
          <w:tcPr>
            <w:tcW w:w="1205" w:type="dxa"/>
            <w:tcBorders>
              <w:top w:val="nil"/>
              <w:left w:val="nil"/>
              <w:bottom w:val="single" w:color="auto" w:sz="4" w:space="0"/>
              <w:right w:val="single" w:color="auto" w:sz="8" w:space="0"/>
            </w:tcBorders>
            <w:vAlign w:val="bottom"/>
          </w:tcPr>
          <w:p w14:paraId="0644E492">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资产总额Z（万元）</w:t>
            </w:r>
          </w:p>
        </w:tc>
      </w:tr>
      <w:tr w14:paraId="2FE80BBA">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695E5674">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农林牧渔业</w:t>
            </w:r>
          </w:p>
        </w:tc>
        <w:tc>
          <w:tcPr>
            <w:tcW w:w="1475" w:type="dxa"/>
            <w:tcBorders>
              <w:top w:val="nil"/>
              <w:left w:val="nil"/>
              <w:bottom w:val="single" w:color="auto" w:sz="4" w:space="0"/>
              <w:right w:val="single" w:color="auto" w:sz="4" w:space="0"/>
            </w:tcBorders>
            <w:vAlign w:val="center"/>
          </w:tcPr>
          <w:p w14:paraId="30FF6748">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36" w:type="dxa"/>
            <w:tcBorders>
              <w:top w:val="nil"/>
              <w:left w:val="nil"/>
              <w:bottom w:val="single" w:color="auto" w:sz="4" w:space="0"/>
              <w:right w:val="single" w:color="auto" w:sz="4" w:space="0"/>
            </w:tcBorders>
            <w:vAlign w:val="center"/>
          </w:tcPr>
          <w:p w14:paraId="15B6A8CD">
            <w:pPr>
              <w:widowControl/>
              <w:rPr>
                <w:rFonts w:ascii="宋体" w:hAnsi="宋体" w:cs="宋体"/>
                <w:color w:val="auto"/>
                <w:kern w:val="0"/>
                <w:sz w:val="20"/>
                <w:highlight w:val="none"/>
              </w:rPr>
            </w:pPr>
            <w:r>
              <w:rPr>
                <w:rFonts w:hint="eastAsia" w:ascii="宋体" w:hAnsi="宋体" w:cs="宋体"/>
                <w:color w:val="auto"/>
                <w:kern w:val="0"/>
                <w:sz w:val="20"/>
                <w:highlight w:val="none"/>
              </w:rPr>
              <w:t>500≤Y＜20000</w:t>
            </w:r>
          </w:p>
        </w:tc>
        <w:tc>
          <w:tcPr>
            <w:tcW w:w="1639" w:type="dxa"/>
            <w:tcBorders>
              <w:top w:val="nil"/>
              <w:left w:val="nil"/>
              <w:bottom w:val="single" w:color="auto" w:sz="4" w:space="0"/>
              <w:right w:val="single" w:color="auto" w:sz="8" w:space="0"/>
            </w:tcBorders>
            <w:vAlign w:val="center"/>
          </w:tcPr>
          <w:p w14:paraId="1370538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7683E97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58" w:type="dxa"/>
            <w:tcBorders>
              <w:top w:val="nil"/>
              <w:left w:val="nil"/>
              <w:bottom w:val="single" w:color="auto" w:sz="4" w:space="0"/>
              <w:right w:val="single" w:color="auto" w:sz="4" w:space="0"/>
            </w:tcBorders>
            <w:vAlign w:val="center"/>
          </w:tcPr>
          <w:p w14:paraId="5871937E">
            <w:pPr>
              <w:widowControl/>
              <w:rPr>
                <w:rFonts w:ascii="宋体" w:hAnsi="宋体" w:cs="宋体"/>
                <w:color w:val="auto"/>
                <w:kern w:val="0"/>
                <w:sz w:val="20"/>
                <w:highlight w:val="none"/>
              </w:rPr>
            </w:pPr>
            <w:r>
              <w:rPr>
                <w:rFonts w:hint="eastAsia" w:ascii="宋体" w:hAnsi="宋体" w:cs="宋体"/>
                <w:color w:val="auto"/>
                <w:kern w:val="0"/>
                <w:sz w:val="20"/>
                <w:highlight w:val="none"/>
              </w:rPr>
              <w:t>50≤Y＜500</w:t>
            </w:r>
          </w:p>
        </w:tc>
        <w:tc>
          <w:tcPr>
            <w:tcW w:w="1501" w:type="dxa"/>
            <w:tcBorders>
              <w:top w:val="nil"/>
              <w:left w:val="nil"/>
              <w:bottom w:val="single" w:color="auto" w:sz="4" w:space="0"/>
              <w:right w:val="single" w:color="auto" w:sz="8" w:space="0"/>
            </w:tcBorders>
            <w:vAlign w:val="center"/>
          </w:tcPr>
          <w:p w14:paraId="1F46FF23">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66372664">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6" w:type="dxa"/>
            <w:tcBorders>
              <w:top w:val="nil"/>
              <w:left w:val="nil"/>
              <w:bottom w:val="single" w:color="auto" w:sz="4" w:space="0"/>
              <w:right w:val="single" w:color="auto" w:sz="4" w:space="0"/>
            </w:tcBorders>
            <w:vAlign w:val="center"/>
          </w:tcPr>
          <w:p w14:paraId="574BEDED">
            <w:pPr>
              <w:widowControl/>
              <w:rPr>
                <w:rFonts w:ascii="宋体" w:hAnsi="宋体" w:cs="宋体"/>
                <w:color w:val="auto"/>
                <w:kern w:val="0"/>
                <w:sz w:val="20"/>
                <w:highlight w:val="none"/>
              </w:rPr>
            </w:pPr>
            <w:r>
              <w:rPr>
                <w:rFonts w:hint="eastAsia" w:ascii="宋体" w:hAnsi="宋体" w:cs="宋体"/>
                <w:color w:val="auto"/>
                <w:kern w:val="0"/>
                <w:sz w:val="20"/>
                <w:highlight w:val="none"/>
              </w:rPr>
              <w:t>Y＜50</w:t>
            </w:r>
          </w:p>
        </w:tc>
        <w:tc>
          <w:tcPr>
            <w:tcW w:w="1205" w:type="dxa"/>
            <w:tcBorders>
              <w:top w:val="nil"/>
              <w:left w:val="nil"/>
              <w:bottom w:val="single" w:color="auto" w:sz="4" w:space="0"/>
              <w:right w:val="single" w:color="auto" w:sz="8" w:space="0"/>
            </w:tcBorders>
            <w:vAlign w:val="center"/>
          </w:tcPr>
          <w:p w14:paraId="17D6990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F4E0FC8">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091D531A">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2</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工业</w:t>
            </w:r>
          </w:p>
        </w:tc>
        <w:tc>
          <w:tcPr>
            <w:tcW w:w="1475" w:type="dxa"/>
            <w:tcBorders>
              <w:top w:val="nil"/>
              <w:left w:val="nil"/>
              <w:bottom w:val="single" w:color="auto" w:sz="4" w:space="0"/>
              <w:right w:val="single" w:color="auto" w:sz="4" w:space="0"/>
            </w:tcBorders>
            <w:vAlign w:val="center"/>
          </w:tcPr>
          <w:p w14:paraId="25CDD89C">
            <w:pPr>
              <w:widowControl/>
              <w:rPr>
                <w:rFonts w:ascii="宋体" w:hAnsi="宋体" w:cs="宋体"/>
                <w:color w:val="auto"/>
                <w:kern w:val="0"/>
                <w:sz w:val="20"/>
                <w:highlight w:val="none"/>
              </w:rPr>
            </w:pPr>
            <w:r>
              <w:rPr>
                <w:rFonts w:hint="eastAsia" w:ascii="宋体" w:hAnsi="宋体" w:cs="宋体"/>
                <w:color w:val="auto"/>
                <w:kern w:val="0"/>
                <w:sz w:val="20"/>
                <w:highlight w:val="none"/>
              </w:rPr>
              <w:t>300≤X＜1000</w:t>
            </w:r>
          </w:p>
        </w:tc>
        <w:tc>
          <w:tcPr>
            <w:tcW w:w="1736" w:type="dxa"/>
            <w:tcBorders>
              <w:top w:val="nil"/>
              <w:left w:val="nil"/>
              <w:bottom w:val="single" w:color="auto" w:sz="4" w:space="0"/>
              <w:right w:val="single" w:color="auto" w:sz="4" w:space="0"/>
            </w:tcBorders>
            <w:vAlign w:val="center"/>
          </w:tcPr>
          <w:p w14:paraId="6F3F480C">
            <w:pPr>
              <w:widowControl/>
              <w:rPr>
                <w:rFonts w:ascii="宋体" w:hAnsi="宋体" w:cs="宋体"/>
                <w:color w:val="auto"/>
                <w:kern w:val="0"/>
                <w:sz w:val="20"/>
                <w:highlight w:val="none"/>
              </w:rPr>
            </w:pPr>
            <w:r>
              <w:rPr>
                <w:rFonts w:hint="eastAsia" w:ascii="宋体" w:hAnsi="宋体" w:cs="宋体"/>
                <w:color w:val="auto"/>
                <w:kern w:val="0"/>
                <w:sz w:val="20"/>
                <w:highlight w:val="none"/>
              </w:rPr>
              <w:t>2000≤Y＜40000</w:t>
            </w:r>
          </w:p>
        </w:tc>
        <w:tc>
          <w:tcPr>
            <w:tcW w:w="1639" w:type="dxa"/>
            <w:tcBorders>
              <w:top w:val="nil"/>
              <w:left w:val="nil"/>
              <w:bottom w:val="single" w:color="auto" w:sz="4" w:space="0"/>
              <w:right w:val="single" w:color="auto" w:sz="8" w:space="0"/>
            </w:tcBorders>
            <w:vAlign w:val="center"/>
          </w:tcPr>
          <w:p w14:paraId="3C1590A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10CF0BF2">
            <w:pPr>
              <w:widowControl/>
              <w:rPr>
                <w:rFonts w:ascii="宋体" w:hAnsi="宋体" w:cs="宋体"/>
                <w:color w:val="auto"/>
                <w:kern w:val="0"/>
                <w:sz w:val="20"/>
                <w:highlight w:val="none"/>
              </w:rPr>
            </w:pPr>
            <w:r>
              <w:rPr>
                <w:rFonts w:hint="eastAsia" w:ascii="宋体" w:hAnsi="宋体" w:cs="宋体"/>
                <w:color w:val="auto"/>
                <w:kern w:val="0"/>
                <w:sz w:val="20"/>
                <w:highlight w:val="none"/>
              </w:rPr>
              <w:t>20≤X＜300</w:t>
            </w:r>
          </w:p>
        </w:tc>
        <w:tc>
          <w:tcPr>
            <w:tcW w:w="1458" w:type="dxa"/>
            <w:tcBorders>
              <w:top w:val="nil"/>
              <w:left w:val="nil"/>
              <w:bottom w:val="single" w:color="auto" w:sz="4" w:space="0"/>
              <w:right w:val="single" w:color="auto" w:sz="4" w:space="0"/>
            </w:tcBorders>
            <w:vAlign w:val="center"/>
          </w:tcPr>
          <w:p w14:paraId="660C929D">
            <w:pPr>
              <w:widowControl/>
              <w:rPr>
                <w:rFonts w:ascii="宋体" w:hAnsi="宋体" w:cs="宋体"/>
                <w:color w:val="auto"/>
                <w:kern w:val="0"/>
                <w:sz w:val="20"/>
                <w:highlight w:val="none"/>
              </w:rPr>
            </w:pPr>
            <w:r>
              <w:rPr>
                <w:rFonts w:hint="eastAsia" w:ascii="宋体" w:hAnsi="宋体" w:cs="宋体"/>
                <w:color w:val="auto"/>
                <w:kern w:val="0"/>
                <w:sz w:val="20"/>
                <w:highlight w:val="none"/>
              </w:rPr>
              <w:t>300≤Y＜2000</w:t>
            </w:r>
          </w:p>
        </w:tc>
        <w:tc>
          <w:tcPr>
            <w:tcW w:w="1501" w:type="dxa"/>
            <w:tcBorders>
              <w:top w:val="nil"/>
              <w:left w:val="nil"/>
              <w:bottom w:val="single" w:color="auto" w:sz="4" w:space="0"/>
              <w:right w:val="single" w:color="auto" w:sz="8" w:space="0"/>
            </w:tcBorders>
            <w:vAlign w:val="center"/>
          </w:tcPr>
          <w:p w14:paraId="356F9016">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5AB27D8B">
            <w:pPr>
              <w:widowControl/>
              <w:rPr>
                <w:rFonts w:ascii="宋体" w:hAnsi="宋体" w:cs="宋体"/>
                <w:color w:val="auto"/>
                <w:kern w:val="0"/>
                <w:sz w:val="20"/>
                <w:highlight w:val="none"/>
              </w:rPr>
            </w:pPr>
            <w:r>
              <w:rPr>
                <w:rFonts w:hint="eastAsia" w:ascii="宋体" w:hAnsi="宋体" w:cs="宋体"/>
                <w:color w:val="auto"/>
                <w:kern w:val="0"/>
                <w:sz w:val="20"/>
                <w:highlight w:val="none"/>
              </w:rPr>
              <w:t>X＜20</w:t>
            </w:r>
          </w:p>
        </w:tc>
        <w:tc>
          <w:tcPr>
            <w:tcW w:w="1256" w:type="dxa"/>
            <w:tcBorders>
              <w:top w:val="nil"/>
              <w:left w:val="nil"/>
              <w:bottom w:val="single" w:color="auto" w:sz="4" w:space="0"/>
              <w:right w:val="single" w:color="auto" w:sz="4" w:space="0"/>
            </w:tcBorders>
            <w:vAlign w:val="center"/>
          </w:tcPr>
          <w:p w14:paraId="3B7E4FE5">
            <w:pPr>
              <w:widowControl/>
              <w:rPr>
                <w:rFonts w:ascii="宋体" w:hAnsi="宋体" w:cs="宋体"/>
                <w:color w:val="auto"/>
                <w:kern w:val="0"/>
                <w:sz w:val="20"/>
                <w:highlight w:val="none"/>
              </w:rPr>
            </w:pPr>
            <w:r>
              <w:rPr>
                <w:rFonts w:hint="eastAsia" w:ascii="宋体" w:hAnsi="宋体" w:cs="宋体"/>
                <w:color w:val="auto"/>
                <w:kern w:val="0"/>
                <w:sz w:val="20"/>
                <w:highlight w:val="none"/>
              </w:rPr>
              <w:t>Y＜300</w:t>
            </w:r>
          </w:p>
        </w:tc>
        <w:tc>
          <w:tcPr>
            <w:tcW w:w="1205" w:type="dxa"/>
            <w:tcBorders>
              <w:top w:val="nil"/>
              <w:left w:val="nil"/>
              <w:bottom w:val="single" w:color="auto" w:sz="4" w:space="0"/>
              <w:right w:val="single" w:color="auto" w:sz="8" w:space="0"/>
            </w:tcBorders>
            <w:vAlign w:val="center"/>
          </w:tcPr>
          <w:p w14:paraId="2213415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0D6474F5">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1F0AE480">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3</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建筑业</w:t>
            </w:r>
          </w:p>
        </w:tc>
        <w:tc>
          <w:tcPr>
            <w:tcW w:w="1475" w:type="dxa"/>
            <w:tcBorders>
              <w:top w:val="nil"/>
              <w:left w:val="nil"/>
              <w:bottom w:val="single" w:color="auto" w:sz="4" w:space="0"/>
              <w:right w:val="single" w:color="auto" w:sz="4" w:space="0"/>
            </w:tcBorders>
            <w:vAlign w:val="center"/>
          </w:tcPr>
          <w:p w14:paraId="11130B8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36" w:type="dxa"/>
            <w:tcBorders>
              <w:top w:val="nil"/>
              <w:left w:val="nil"/>
              <w:bottom w:val="single" w:color="auto" w:sz="4" w:space="0"/>
              <w:right w:val="single" w:color="auto" w:sz="4" w:space="0"/>
            </w:tcBorders>
            <w:vAlign w:val="center"/>
          </w:tcPr>
          <w:p w14:paraId="77148748">
            <w:pPr>
              <w:widowControl/>
              <w:rPr>
                <w:rFonts w:ascii="宋体" w:hAnsi="宋体" w:cs="宋体"/>
                <w:color w:val="auto"/>
                <w:kern w:val="0"/>
                <w:sz w:val="20"/>
                <w:highlight w:val="none"/>
              </w:rPr>
            </w:pPr>
            <w:r>
              <w:rPr>
                <w:rFonts w:hint="eastAsia" w:ascii="宋体" w:hAnsi="宋体" w:cs="宋体"/>
                <w:color w:val="auto"/>
                <w:kern w:val="0"/>
                <w:sz w:val="20"/>
                <w:highlight w:val="none"/>
              </w:rPr>
              <w:t>6000≤Y＜80000</w:t>
            </w:r>
          </w:p>
        </w:tc>
        <w:tc>
          <w:tcPr>
            <w:tcW w:w="1639" w:type="dxa"/>
            <w:tcBorders>
              <w:top w:val="nil"/>
              <w:left w:val="nil"/>
              <w:bottom w:val="single" w:color="auto" w:sz="4" w:space="0"/>
              <w:right w:val="single" w:color="auto" w:sz="8" w:space="0"/>
            </w:tcBorders>
            <w:vAlign w:val="center"/>
          </w:tcPr>
          <w:p w14:paraId="1E676981">
            <w:pPr>
              <w:widowControl/>
              <w:rPr>
                <w:rFonts w:ascii="宋体" w:hAnsi="宋体" w:cs="宋体"/>
                <w:color w:val="auto"/>
                <w:kern w:val="0"/>
                <w:sz w:val="20"/>
                <w:highlight w:val="none"/>
              </w:rPr>
            </w:pPr>
            <w:r>
              <w:rPr>
                <w:rFonts w:hint="eastAsia" w:ascii="宋体" w:hAnsi="宋体" w:cs="宋体"/>
                <w:color w:val="auto"/>
                <w:kern w:val="0"/>
                <w:sz w:val="20"/>
                <w:highlight w:val="none"/>
              </w:rPr>
              <w:t>5000≤Z＜80000</w:t>
            </w:r>
          </w:p>
        </w:tc>
        <w:tc>
          <w:tcPr>
            <w:tcW w:w="1221" w:type="dxa"/>
            <w:tcBorders>
              <w:top w:val="nil"/>
              <w:left w:val="nil"/>
              <w:bottom w:val="single" w:color="auto" w:sz="4" w:space="0"/>
              <w:right w:val="single" w:color="auto" w:sz="4" w:space="0"/>
            </w:tcBorders>
            <w:vAlign w:val="center"/>
          </w:tcPr>
          <w:p w14:paraId="1542D157">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58" w:type="dxa"/>
            <w:tcBorders>
              <w:top w:val="nil"/>
              <w:left w:val="nil"/>
              <w:bottom w:val="single" w:color="auto" w:sz="4" w:space="0"/>
              <w:right w:val="single" w:color="auto" w:sz="4" w:space="0"/>
            </w:tcBorders>
            <w:vAlign w:val="center"/>
          </w:tcPr>
          <w:p w14:paraId="58F657CC">
            <w:pPr>
              <w:widowControl/>
              <w:rPr>
                <w:rFonts w:ascii="宋体" w:hAnsi="宋体" w:cs="宋体"/>
                <w:color w:val="auto"/>
                <w:kern w:val="0"/>
                <w:sz w:val="20"/>
                <w:highlight w:val="none"/>
              </w:rPr>
            </w:pPr>
            <w:r>
              <w:rPr>
                <w:rFonts w:hint="eastAsia" w:ascii="宋体" w:hAnsi="宋体" w:cs="宋体"/>
                <w:color w:val="auto"/>
                <w:kern w:val="0"/>
                <w:sz w:val="20"/>
                <w:highlight w:val="none"/>
              </w:rPr>
              <w:t>300≤Y＜6000</w:t>
            </w:r>
          </w:p>
        </w:tc>
        <w:tc>
          <w:tcPr>
            <w:tcW w:w="1501" w:type="dxa"/>
            <w:tcBorders>
              <w:top w:val="nil"/>
              <w:left w:val="nil"/>
              <w:bottom w:val="single" w:color="auto" w:sz="4" w:space="0"/>
              <w:right w:val="single" w:color="auto" w:sz="8" w:space="0"/>
            </w:tcBorders>
            <w:vAlign w:val="center"/>
          </w:tcPr>
          <w:p w14:paraId="7924247E">
            <w:pPr>
              <w:widowControl/>
              <w:rPr>
                <w:rFonts w:ascii="宋体" w:hAnsi="宋体" w:cs="宋体"/>
                <w:color w:val="auto"/>
                <w:kern w:val="0"/>
                <w:sz w:val="20"/>
                <w:highlight w:val="none"/>
              </w:rPr>
            </w:pPr>
            <w:r>
              <w:rPr>
                <w:rFonts w:hint="eastAsia" w:ascii="宋体" w:hAnsi="宋体" w:cs="宋体"/>
                <w:color w:val="auto"/>
                <w:kern w:val="0"/>
                <w:sz w:val="20"/>
                <w:highlight w:val="none"/>
              </w:rPr>
              <w:t>300≤Z＜5000</w:t>
            </w:r>
          </w:p>
        </w:tc>
        <w:tc>
          <w:tcPr>
            <w:tcW w:w="1265" w:type="dxa"/>
            <w:tcBorders>
              <w:top w:val="nil"/>
              <w:left w:val="nil"/>
              <w:bottom w:val="single" w:color="auto" w:sz="4" w:space="0"/>
              <w:right w:val="single" w:color="auto" w:sz="4" w:space="0"/>
            </w:tcBorders>
            <w:vAlign w:val="center"/>
          </w:tcPr>
          <w:p w14:paraId="493CCA56">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6" w:type="dxa"/>
            <w:tcBorders>
              <w:top w:val="nil"/>
              <w:left w:val="nil"/>
              <w:bottom w:val="single" w:color="auto" w:sz="4" w:space="0"/>
              <w:right w:val="single" w:color="auto" w:sz="4" w:space="0"/>
            </w:tcBorders>
            <w:vAlign w:val="center"/>
          </w:tcPr>
          <w:p w14:paraId="0202E675">
            <w:pPr>
              <w:widowControl/>
              <w:rPr>
                <w:rFonts w:ascii="宋体" w:hAnsi="宋体" w:cs="宋体"/>
                <w:color w:val="auto"/>
                <w:kern w:val="0"/>
                <w:sz w:val="20"/>
                <w:highlight w:val="none"/>
              </w:rPr>
            </w:pPr>
            <w:r>
              <w:rPr>
                <w:rFonts w:hint="eastAsia" w:ascii="宋体" w:hAnsi="宋体" w:cs="宋体"/>
                <w:color w:val="auto"/>
                <w:kern w:val="0"/>
                <w:sz w:val="20"/>
                <w:highlight w:val="none"/>
              </w:rPr>
              <w:t>Y＜300</w:t>
            </w:r>
          </w:p>
        </w:tc>
        <w:tc>
          <w:tcPr>
            <w:tcW w:w="1205" w:type="dxa"/>
            <w:tcBorders>
              <w:top w:val="nil"/>
              <w:left w:val="nil"/>
              <w:bottom w:val="single" w:color="auto" w:sz="4" w:space="0"/>
              <w:right w:val="single" w:color="auto" w:sz="8" w:space="0"/>
            </w:tcBorders>
            <w:vAlign w:val="center"/>
          </w:tcPr>
          <w:p w14:paraId="2E74F1F5">
            <w:pPr>
              <w:widowControl/>
              <w:rPr>
                <w:rFonts w:ascii="宋体" w:hAnsi="宋体" w:cs="宋体"/>
                <w:color w:val="auto"/>
                <w:kern w:val="0"/>
                <w:sz w:val="20"/>
                <w:highlight w:val="none"/>
              </w:rPr>
            </w:pPr>
            <w:r>
              <w:rPr>
                <w:rFonts w:hint="eastAsia" w:ascii="宋体" w:hAnsi="宋体" w:cs="宋体"/>
                <w:color w:val="auto"/>
                <w:kern w:val="0"/>
                <w:sz w:val="20"/>
                <w:highlight w:val="none"/>
              </w:rPr>
              <w:t>Z＜300</w:t>
            </w:r>
          </w:p>
        </w:tc>
      </w:tr>
      <w:tr w14:paraId="366E2E05">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7E9EC5E5">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4</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批发业</w:t>
            </w:r>
          </w:p>
        </w:tc>
        <w:tc>
          <w:tcPr>
            <w:tcW w:w="1475" w:type="dxa"/>
            <w:tcBorders>
              <w:top w:val="nil"/>
              <w:left w:val="nil"/>
              <w:bottom w:val="single" w:color="auto" w:sz="4" w:space="0"/>
              <w:right w:val="single" w:color="auto" w:sz="4" w:space="0"/>
            </w:tcBorders>
            <w:vAlign w:val="center"/>
          </w:tcPr>
          <w:p w14:paraId="294A92F9">
            <w:pPr>
              <w:widowControl/>
              <w:rPr>
                <w:rFonts w:ascii="宋体" w:hAnsi="宋体" w:cs="宋体"/>
                <w:color w:val="auto"/>
                <w:kern w:val="0"/>
                <w:sz w:val="20"/>
                <w:highlight w:val="none"/>
              </w:rPr>
            </w:pPr>
            <w:r>
              <w:rPr>
                <w:rFonts w:hint="eastAsia" w:ascii="宋体" w:hAnsi="宋体" w:cs="宋体"/>
                <w:color w:val="auto"/>
                <w:kern w:val="0"/>
                <w:sz w:val="20"/>
                <w:highlight w:val="none"/>
              </w:rPr>
              <w:t>20≤X＜200</w:t>
            </w:r>
          </w:p>
        </w:tc>
        <w:tc>
          <w:tcPr>
            <w:tcW w:w="1736" w:type="dxa"/>
            <w:tcBorders>
              <w:top w:val="nil"/>
              <w:left w:val="nil"/>
              <w:bottom w:val="single" w:color="auto" w:sz="4" w:space="0"/>
              <w:right w:val="single" w:color="auto" w:sz="4" w:space="0"/>
            </w:tcBorders>
            <w:vAlign w:val="center"/>
          </w:tcPr>
          <w:p w14:paraId="209CC592">
            <w:pPr>
              <w:widowControl/>
              <w:rPr>
                <w:rFonts w:ascii="宋体" w:hAnsi="宋体" w:cs="宋体"/>
                <w:color w:val="auto"/>
                <w:kern w:val="0"/>
                <w:sz w:val="20"/>
                <w:highlight w:val="none"/>
              </w:rPr>
            </w:pPr>
            <w:r>
              <w:rPr>
                <w:rFonts w:hint="eastAsia" w:ascii="宋体" w:hAnsi="宋体" w:cs="宋体"/>
                <w:color w:val="auto"/>
                <w:kern w:val="0"/>
                <w:sz w:val="20"/>
                <w:highlight w:val="none"/>
              </w:rPr>
              <w:t>5000≤Y＜40000</w:t>
            </w:r>
          </w:p>
        </w:tc>
        <w:tc>
          <w:tcPr>
            <w:tcW w:w="1639" w:type="dxa"/>
            <w:tcBorders>
              <w:top w:val="nil"/>
              <w:left w:val="nil"/>
              <w:bottom w:val="single" w:color="auto" w:sz="4" w:space="0"/>
              <w:right w:val="single" w:color="auto" w:sz="8" w:space="0"/>
            </w:tcBorders>
            <w:vAlign w:val="center"/>
          </w:tcPr>
          <w:p w14:paraId="4D59E1DE">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55F7E86B">
            <w:pPr>
              <w:widowControl/>
              <w:rPr>
                <w:rFonts w:ascii="宋体" w:hAnsi="宋体" w:cs="宋体"/>
                <w:color w:val="auto"/>
                <w:kern w:val="0"/>
                <w:sz w:val="20"/>
                <w:highlight w:val="none"/>
              </w:rPr>
            </w:pPr>
            <w:r>
              <w:rPr>
                <w:rFonts w:hint="eastAsia" w:ascii="宋体" w:hAnsi="宋体" w:cs="宋体"/>
                <w:color w:val="auto"/>
                <w:kern w:val="0"/>
                <w:sz w:val="20"/>
                <w:highlight w:val="none"/>
              </w:rPr>
              <w:t>5≤X＜20</w:t>
            </w:r>
          </w:p>
        </w:tc>
        <w:tc>
          <w:tcPr>
            <w:tcW w:w="1458" w:type="dxa"/>
            <w:tcBorders>
              <w:top w:val="nil"/>
              <w:left w:val="nil"/>
              <w:bottom w:val="single" w:color="auto" w:sz="4" w:space="0"/>
              <w:right w:val="single" w:color="auto" w:sz="4" w:space="0"/>
            </w:tcBorders>
            <w:vAlign w:val="center"/>
          </w:tcPr>
          <w:p w14:paraId="1D007F89">
            <w:pPr>
              <w:widowControl/>
              <w:rPr>
                <w:rFonts w:ascii="宋体" w:hAnsi="宋体" w:cs="宋体"/>
                <w:color w:val="auto"/>
                <w:kern w:val="0"/>
                <w:sz w:val="20"/>
                <w:highlight w:val="none"/>
              </w:rPr>
            </w:pPr>
            <w:r>
              <w:rPr>
                <w:rFonts w:hint="eastAsia" w:ascii="宋体" w:hAnsi="宋体" w:cs="宋体"/>
                <w:color w:val="auto"/>
                <w:kern w:val="0"/>
                <w:sz w:val="20"/>
                <w:highlight w:val="none"/>
              </w:rPr>
              <w:t>1000≤Y＜5000</w:t>
            </w:r>
          </w:p>
        </w:tc>
        <w:tc>
          <w:tcPr>
            <w:tcW w:w="1501" w:type="dxa"/>
            <w:tcBorders>
              <w:top w:val="nil"/>
              <w:left w:val="nil"/>
              <w:bottom w:val="single" w:color="auto" w:sz="4" w:space="0"/>
              <w:right w:val="single" w:color="auto" w:sz="8" w:space="0"/>
            </w:tcBorders>
            <w:vAlign w:val="center"/>
          </w:tcPr>
          <w:p w14:paraId="791C1C96">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41837D7B">
            <w:pPr>
              <w:widowControl/>
              <w:rPr>
                <w:rFonts w:ascii="宋体" w:hAnsi="宋体" w:cs="宋体"/>
                <w:color w:val="auto"/>
                <w:kern w:val="0"/>
                <w:sz w:val="20"/>
                <w:highlight w:val="none"/>
              </w:rPr>
            </w:pPr>
            <w:r>
              <w:rPr>
                <w:rFonts w:hint="eastAsia" w:ascii="宋体" w:hAnsi="宋体" w:cs="宋体"/>
                <w:color w:val="auto"/>
                <w:kern w:val="0"/>
                <w:sz w:val="20"/>
                <w:highlight w:val="none"/>
              </w:rPr>
              <w:t>X＜5</w:t>
            </w:r>
          </w:p>
        </w:tc>
        <w:tc>
          <w:tcPr>
            <w:tcW w:w="1256" w:type="dxa"/>
            <w:tcBorders>
              <w:top w:val="nil"/>
              <w:left w:val="nil"/>
              <w:bottom w:val="single" w:color="auto" w:sz="4" w:space="0"/>
              <w:right w:val="single" w:color="auto" w:sz="4" w:space="0"/>
            </w:tcBorders>
            <w:vAlign w:val="center"/>
          </w:tcPr>
          <w:p w14:paraId="4A07EC53">
            <w:pPr>
              <w:widowControl/>
              <w:rPr>
                <w:rFonts w:ascii="宋体" w:hAnsi="宋体" w:cs="宋体"/>
                <w:color w:val="auto"/>
                <w:kern w:val="0"/>
                <w:sz w:val="20"/>
                <w:highlight w:val="none"/>
              </w:rPr>
            </w:pPr>
            <w:r>
              <w:rPr>
                <w:rFonts w:hint="eastAsia" w:ascii="宋体" w:hAnsi="宋体" w:cs="宋体"/>
                <w:color w:val="auto"/>
                <w:kern w:val="0"/>
                <w:sz w:val="20"/>
                <w:highlight w:val="none"/>
              </w:rPr>
              <w:t>Y＜1000</w:t>
            </w:r>
          </w:p>
        </w:tc>
        <w:tc>
          <w:tcPr>
            <w:tcW w:w="1205" w:type="dxa"/>
            <w:tcBorders>
              <w:top w:val="nil"/>
              <w:left w:val="nil"/>
              <w:bottom w:val="single" w:color="auto" w:sz="4" w:space="0"/>
              <w:right w:val="single" w:color="auto" w:sz="8" w:space="0"/>
            </w:tcBorders>
            <w:vAlign w:val="center"/>
          </w:tcPr>
          <w:p w14:paraId="57CCA759">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322776B5">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59D19B5E">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5</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零售业</w:t>
            </w:r>
          </w:p>
        </w:tc>
        <w:tc>
          <w:tcPr>
            <w:tcW w:w="1475" w:type="dxa"/>
            <w:tcBorders>
              <w:top w:val="nil"/>
              <w:left w:val="nil"/>
              <w:bottom w:val="single" w:color="auto" w:sz="4" w:space="0"/>
              <w:right w:val="single" w:color="auto" w:sz="4" w:space="0"/>
            </w:tcBorders>
            <w:vAlign w:val="center"/>
          </w:tcPr>
          <w:p w14:paraId="43343D72">
            <w:pPr>
              <w:widowControl/>
              <w:rPr>
                <w:rFonts w:ascii="宋体" w:hAnsi="宋体" w:cs="宋体"/>
                <w:color w:val="auto"/>
                <w:kern w:val="0"/>
                <w:sz w:val="20"/>
                <w:highlight w:val="none"/>
              </w:rPr>
            </w:pPr>
            <w:r>
              <w:rPr>
                <w:rFonts w:hint="eastAsia" w:ascii="宋体" w:hAnsi="宋体" w:cs="宋体"/>
                <w:color w:val="auto"/>
                <w:kern w:val="0"/>
                <w:sz w:val="20"/>
                <w:highlight w:val="none"/>
              </w:rPr>
              <w:t>50≤X＜300</w:t>
            </w:r>
          </w:p>
        </w:tc>
        <w:tc>
          <w:tcPr>
            <w:tcW w:w="1736" w:type="dxa"/>
            <w:tcBorders>
              <w:top w:val="nil"/>
              <w:left w:val="nil"/>
              <w:bottom w:val="single" w:color="auto" w:sz="4" w:space="0"/>
              <w:right w:val="single" w:color="auto" w:sz="4" w:space="0"/>
            </w:tcBorders>
            <w:vAlign w:val="center"/>
          </w:tcPr>
          <w:p w14:paraId="1AEE16FF">
            <w:pPr>
              <w:widowControl/>
              <w:rPr>
                <w:rFonts w:ascii="宋体" w:hAnsi="宋体" w:cs="宋体"/>
                <w:color w:val="auto"/>
                <w:kern w:val="0"/>
                <w:sz w:val="20"/>
                <w:highlight w:val="none"/>
              </w:rPr>
            </w:pPr>
            <w:r>
              <w:rPr>
                <w:rFonts w:hint="eastAsia" w:ascii="宋体" w:hAnsi="宋体" w:cs="宋体"/>
                <w:color w:val="auto"/>
                <w:kern w:val="0"/>
                <w:sz w:val="20"/>
                <w:highlight w:val="none"/>
              </w:rPr>
              <w:t>500≤Y＜20000</w:t>
            </w:r>
          </w:p>
        </w:tc>
        <w:tc>
          <w:tcPr>
            <w:tcW w:w="1639" w:type="dxa"/>
            <w:tcBorders>
              <w:top w:val="nil"/>
              <w:left w:val="nil"/>
              <w:bottom w:val="single" w:color="auto" w:sz="4" w:space="0"/>
              <w:right w:val="single" w:color="auto" w:sz="8" w:space="0"/>
            </w:tcBorders>
            <w:vAlign w:val="center"/>
          </w:tcPr>
          <w:p w14:paraId="17A11BEA">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272FE916">
            <w:pPr>
              <w:widowControl/>
              <w:rPr>
                <w:rFonts w:ascii="宋体" w:hAnsi="宋体" w:cs="宋体"/>
                <w:color w:val="auto"/>
                <w:kern w:val="0"/>
                <w:sz w:val="20"/>
                <w:highlight w:val="none"/>
              </w:rPr>
            </w:pPr>
            <w:r>
              <w:rPr>
                <w:rFonts w:hint="eastAsia" w:ascii="宋体" w:hAnsi="宋体" w:cs="宋体"/>
                <w:color w:val="auto"/>
                <w:kern w:val="0"/>
                <w:sz w:val="20"/>
                <w:highlight w:val="none"/>
              </w:rPr>
              <w:t>10≤X＜50</w:t>
            </w:r>
          </w:p>
        </w:tc>
        <w:tc>
          <w:tcPr>
            <w:tcW w:w="1458" w:type="dxa"/>
            <w:tcBorders>
              <w:top w:val="nil"/>
              <w:left w:val="nil"/>
              <w:bottom w:val="single" w:color="auto" w:sz="4" w:space="0"/>
              <w:right w:val="single" w:color="auto" w:sz="4" w:space="0"/>
            </w:tcBorders>
            <w:vAlign w:val="center"/>
          </w:tcPr>
          <w:p w14:paraId="36CF676B">
            <w:pPr>
              <w:widowControl/>
              <w:rPr>
                <w:rFonts w:ascii="宋体" w:hAnsi="宋体" w:cs="宋体"/>
                <w:color w:val="auto"/>
                <w:kern w:val="0"/>
                <w:sz w:val="20"/>
                <w:highlight w:val="none"/>
              </w:rPr>
            </w:pPr>
            <w:r>
              <w:rPr>
                <w:rFonts w:hint="eastAsia" w:ascii="宋体" w:hAnsi="宋体" w:cs="宋体"/>
                <w:color w:val="auto"/>
                <w:kern w:val="0"/>
                <w:sz w:val="20"/>
                <w:highlight w:val="none"/>
              </w:rPr>
              <w:t>100≤Y＜500</w:t>
            </w:r>
          </w:p>
        </w:tc>
        <w:tc>
          <w:tcPr>
            <w:tcW w:w="1501" w:type="dxa"/>
            <w:tcBorders>
              <w:top w:val="nil"/>
              <w:left w:val="nil"/>
              <w:bottom w:val="single" w:color="auto" w:sz="4" w:space="0"/>
              <w:right w:val="single" w:color="auto" w:sz="8" w:space="0"/>
            </w:tcBorders>
            <w:vAlign w:val="center"/>
          </w:tcPr>
          <w:p w14:paraId="15E091FF">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7E78B9E7">
            <w:pPr>
              <w:widowControl/>
              <w:rPr>
                <w:rFonts w:ascii="宋体" w:hAnsi="宋体" w:cs="宋体"/>
                <w:color w:val="auto"/>
                <w:kern w:val="0"/>
                <w:sz w:val="20"/>
                <w:highlight w:val="none"/>
              </w:rPr>
            </w:pPr>
            <w:r>
              <w:rPr>
                <w:rFonts w:hint="eastAsia" w:ascii="宋体" w:hAnsi="宋体" w:cs="宋体"/>
                <w:color w:val="auto"/>
                <w:kern w:val="0"/>
                <w:sz w:val="20"/>
                <w:highlight w:val="none"/>
              </w:rPr>
              <w:t>X＜10</w:t>
            </w:r>
          </w:p>
        </w:tc>
        <w:tc>
          <w:tcPr>
            <w:tcW w:w="1256" w:type="dxa"/>
            <w:tcBorders>
              <w:top w:val="nil"/>
              <w:left w:val="nil"/>
              <w:bottom w:val="single" w:color="auto" w:sz="4" w:space="0"/>
              <w:right w:val="single" w:color="auto" w:sz="4" w:space="0"/>
            </w:tcBorders>
            <w:vAlign w:val="center"/>
          </w:tcPr>
          <w:p w14:paraId="3FFEA04B">
            <w:pPr>
              <w:widowControl/>
              <w:rPr>
                <w:rFonts w:ascii="宋体" w:hAnsi="宋体" w:cs="宋体"/>
                <w:color w:val="auto"/>
                <w:kern w:val="0"/>
                <w:sz w:val="20"/>
                <w:highlight w:val="none"/>
              </w:rPr>
            </w:pPr>
            <w:r>
              <w:rPr>
                <w:rFonts w:hint="eastAsia" w:ascii="宋体" w:hAnsi="宋体" w:cs="宋体"/>
                <w:color w:val="auto"/>
                <w:kern w:val="0"/>
                <w:sz w:val="20"/>
                <w:highlight w:val="none"/>
              </w:rPr>
              <w:t>Y＜100</w:t>
            </w:r>
          </w:p>
        </w:tc>
        <w:tc>
          <w:tcPr>
            <w:tcW w:w="1205" w:type="dxa"/>
            <w:tcBorders>
              <w:top w:val="nil"/>
              <w:left w:val="nil"/>
              <w:bottom w:val="single" w:color="auto" w:sz="4" w:space="0"/>
              <w:right w:val="single" w:color="auto" w:sz="8" w:space="0"/>
            </w:tcBorders>
            <w:vAlign w:val="center"/>
          </w:tcPr>
          <w:p w14:paraId="675151F8">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4AF4F85B">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5B0214B3">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6</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交通运输业</w:t>
            </w:r>
          </w:p>
        </w:tc>
        <w:tc>
          <w:tcPr>
            <w:tcW w:w="1475" w:type="dxa"/>
            <w:tcBorders>
              <w:top w:val="nil"/>
              <w:left w:val="nil"/>
              <w:bottom w:val="single" w:color="auto" w:sz="4" w:space="0"/>
              <w:right w:val="single" w:color="auto" w:sz="4" w:space="0"/>
            </w:tcBorders>
            <w:vAlign w:val="center"/>
          </w:tcPr>
          <w:p w14:paraId="3DC01756">
            <w:pPr>
              <w:widowControl/>
              <w:rPr>
                <w:rFonts w:ascii="宋体" w:hAnsi="宋体" w:cs="宋体"/>
                <w:color w:val="auto"/>
                <w:kern w:val="0"/>
                <w:sz w:val="20"/>
                <w:highlight w:val="none"/>
              </w:rPr>
            </w:pPr>
            <w:r>
              <w:rPr>
                <w:rFonts w:hint="eastAsia" w:ascii="宋体" w:hAnsi="宋体" w:cs="宋体"/>
                <w:color w:val="auto"/>
                <w:kern w:val="0"/>
                <w:sz w:val="20"/>
                <w:highlight w:val="none"/>
              </w:rPr>
              <w:t>300≤X＜1000</w:t>
            </w:r>
          </w:p>
        </w:tc>
        <w:tc>
          <w:tcPr>
            <w:tcW w:w="1736" w:type="dxa"/>
            <w:tcBorders>
              <w:top w:val="nil"/>
              <w:left w:val="nil"/>
              <w:bottom w:val="single" w:color="auto" w:sz="4" w:space="0"/>
              <w:right w:val="single" w:color="auto" w:sz="4" w:space="0"/>
            </w:tcBorders>
            <w:vAlign w:val="center"/>
          </w:tcPr>
          <w:p w14:paraId="6A3ED734">
            <w:pPr>
              <w:widowControl/>
              <w:rPr>
                <w:rFonts w:ascii="宋体" w:hAnsi="宋体" w:cs="宋体"/>
                <w:color w:val="auto"/>
                <w:kern w:val="0"/>
                <w:sz w:val="20"/>
                <w:highlight w:val="none"/>
              </w:rPr>
            </w:pPr>
            <w:r>
              <w:rPr>
                <w:rFonts w:hint="eastAsia" w:ascii="宋体" w:hAnsi="宋体" w:cs="宋体"/>
                <w:color w:val="auto"/>
                <w:kern w:val="0"/>
                <w:sz w:val="20"/>
                <w:highlight w:val="none"/>
              </w:rPr>
              <w:t>3000≤Y＜30000</w:t>
            </w:r>
          </w:p>
        </w:tc>
        <w:tc>
          <w:tcPr>
            <w:tcW w:w="1639" w:type="dxa"/>
            <w:tcBorders>
              <w:top w:val="nil"/>
              <w:left w:val="nil"/>
              <w:bottom w:val="single" w:color="auto" w:sz="4" w:space="0"/>
              <w:right w:val="single" w:color="auto" w:sz="8" w:space="0"/>
            </w:tcBorders>
            <w:vAlign w:val="center"/>
          </w:tcPr>
          <w:p w14:paraId="25FD55E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2B127739">
            <w:pPr>
              <w:widowControl/>
              <w:rPr>
                <w:rFonts w:ascii="宋体" w:hAnsi="宋体" w:cs="宋体"/>
                <w:color w:val="auto"/>
                <w:kern w:val="0"/>
                <w:sz w:val="20"/>
                <w:highlight w:val="none"/>
              </w:rPr>
            </w:pPr>
            <w:r>
              <w:rPr>
                <w:rFonts w:hint="eastAsia" w:ascii="宋体" w:hAnsi="宋体" w:cs="宋体"/>
                <w:color w:val="auto"/>
                <w:kern w:val="0"/>
                <w:sz w:val="20"/>
                <w:highlight w:val="none"/>
              </w:rPr>
              <w:t>20≤X＜300</w:t>
            </w:r>
          </w:p>
        </w:tc>
        <w:tc>
          <w:tcPr>
            <w:tcW w:w="1458" w:type="dxa"/>
            <w:tcBorders>
              <w:top w:val="nil"/>
              <w:left w:val="nil"/>
              <w:bottom w:val="single" w:color="auto" w:sz="4" w:space="0"/>
              <w:right w:val="single" w:color="auto" w:sz="4" w:space="0"/>
            </w:tcBorders>
            <w:vAlign w:val="center"/>
          </w:tcPr>
          <w:p w14:paraId="26A99D17">
            <w:pPr>
              <w:widowControl/>
              <w:rPr>
                <w:rFonts w:ascii="宋体" w:hAnsi="宋体" w:cs="宋体"/>
                <w:color w:val="auto"/>
                <w:kern w:val="0"/>
                <w:sz w:val="20"/>
                <w:highlight w:val="none"/>
              </w:rPr>
            </w:pPr>
            <w:r>
              <w:rPr>
                <w:rFonts w:hint="eastAsia" w:ascii="宋体" w:hAnsi="宋体" w:cs="宋体"/>
                <w:color w:val="auto"/>
                <w:kern w:val="0"/>
                <w:sz w:val="20"/>
                <w:highlight w:val="none"/>
              </w:rPr>
              <w:t>200≤Y＜3000</w:t>
            </w:r>
          </w:p>
        </w:tc>
        <w:tc>
          <w:tcPr>
            <w:tcW w:w="1501" w:type="dxa"/>
            <w:tcBorders>
              <w:top w:val="nil"/>
              <w:left w:val="nil"/>
              <w:bottom w:val="single" w:color="auto" w:sz="4" w:space="0"/>
              <w:right w:val="single" w:color="auto" w:sz="8" w:space="0"/>
            </w:tcBorders>
            <w:vAlign w:val="center"/>
          </w:tcPr>
          <w:p w14:paraId="77D1B81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2E93746D">
            <w:pPr>
              <w:widowControl/>
              <w:rPr>
                <w:rFonts w:ascii="宋体" w:hAnsi="宋体" w:cs="宋体"/>
                <w:color w:val="auto"/>
                <w:kern w:val="0"/>
                <w:sz w:val="20"/>
                <w:highlight w:val="none"/>
              </w:rPr>
            </w:pPr>
            <w:r>
              <w:rPr>
                <w:rFonts w:hint="eastAsia" w:ascii="宋体" w:hAnsi="宋体" w:cs="宋体"/>
                <w:color w:val="auto"/>
                <w:kern w:val="0"/>
                <w:sz w:val="20"/>
                <w:highlight w:val="none"/>
              </w:rPr>
              <w:t>X＜20</w:t>
            </w:r>
          </w:p>
        </w:tc>
        <w:tc>
          <w:tcPr>
            <w:tcW w:w="1256" w:type="dxa"/>
            <w:tcBorders>
              <w:top w:val="nil"/>
              <w:left w:val="nil"/>
              <w:bottom w:val="single" w:color="auto" w:sz="4" w:space="0"/>
              <w:right w:val="single" w:color="auto" w:sz="4" w:space="0"/>
            </w:tcBorders>
            <w:vAlign w:val="center"/>
          </w:tcPr>
          <w:p w14:paraId="729E5C1D">
            <w:pPr>
              <w:widowControl/>
              <w:rPr>
                <w:rFonts w:ascii="宋体" w:hAnsi="宋体" w:cs="宋体"/>
                <w:color w:val="auto"/>
                <w:kern w:val="0"/>
                <w:sz w:val="20"/>
                <w:highlight w:val="none"/>
              </w:rPr>
            </w:pPr>
            <w:r>
              <w:rPr>
                <w:rFonts w:hint="eastAsia" w:ascii="宋体" w:hAnsi="宋体" w:cs="宋体"/>
                <w:color w:val="auto"/>
                <w:kern w:val="0"/>
                <w:sz w:val="20"/>
                <w:highlight w:val="none"/>
              </w:rPr>
              <w:t>V＜200</w:t>
            </w:r>
          </w:p>
        </w:tc>
        <w:tc>
          <w:tcPr>
            <w:tcW w:w="1205" w:type="dxa"/>
            <w:tcBorders>
              <w:top w:val="nil"/>
              <w:left w:val="nil"/>
              <w:bottom w:val="single" w:color="auto" w:sz="4" w:space="0"/>
              <w:right w:val="single" w:color="auto" w:sz="8" w:space="0"/>
            </w:tcBorders>
            <w:vAlign w:val="center"/>
          </w:tcPr>
          <w:p w14:paraId="4475C551">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91AE9D1">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525212F4">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7</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仓储业</w:t>
            </w:r>
          </w:p>
        </w:tc>
        <w:tc>
          <w:tcPr>
            <w:tcW w:w="1475" w:type="dxa"/>
            <w:tcBorders>
              <w:top w:val="nil"/>
              <w:left w:val="nil"/>
              <w:bottom w:val="single" w:color="auto" w:sz="4" w:space="0"/>
              <w:right w:val="single" w:color="auto" w:sz="4" w:space="0"/>
            </w:tcBorders>
            <w:vAlign w:val="center"/>
          </w:tcPr>
          <w:p w14:paraId="46A83415">
            <w:pPr>
              <w:widowControl/>
              <w:rPr>
                <w:rFonts w:ascii="宋体" w:hAnsi="宋体" w:cs="宋体"/>
                <w:color w:val="auto"/>
                <w:kern w:val="0"/>
                <w:sz w:val="20"/>
                <w:highlight w:val="none"/>
              </w:rPr>
            </w:pPr>
            <w:r>
              <w:rPr>
                <w:rFonts w:hint="eastAsia" w:ascii="宋体" w:hAnsi="宋体" w:cs="宋体"/>
                <w:color w:val="auto"/>
                <w:kern w:val="0"/>
                <w:sz w:val="20"/>
                <w:highlight w:val="none"/>
              </w:rPr>
              <w:t>100≤X＜200</w:t>
            </w:r>
          </w:p>
        </w:tc>
        <w:tc>
          <w:tcPr>
            <w:tcW w:w="1736" w:type="dxa"/>
            <w:tcBorders>
              <w:top w:val="nil"/>
              <w:left w:val="nil"/>
              <w:bottom w:val="single" w:color="auto" w:sz="4" w:space="0"/>
              <w:right w:val="single" w:color="auto" w:sz="4" w:space="0"/>
            </w:tcBorders>
            <w:vAlign w:val="center"/>
          </w:tcPr>
          <w:p w14:paraId="25B914D8">
            <w:pPr>
              <w:widowControl/>
              <w:rPr>
                <w:rFonts w:ascii="宋体" w:hAnsi="宋体" w:cs="宋体"/>
                <w:color w:val="auto"/>
                <w:kern w:val="0"/>
                <w:sz w:val="20"/>
                <w:highlight w:val="none"/>
              </w:rPr>
            </w:pPr>
            <w:r>
              <w:rPr>
                <w:rFonts w:hint="eastAsia" w:ascii="宋体" w:hAnsi="宋体" w:cs="宋体"/>
                <w:color w:val="auto"/>
                <w:kern w:val="0"/>
                <w:sz w:val="20"/>
                <w:highlight w:val="none"/>
              </w:rPr>
              <w:t>1000≤Y＜30000</w:t>
            </w:r>
          </w:p>
        </w:tc>
        <w:tc>
          <w:tcPr>
            <w:tcW w:w="1639" w:type="dxa"/>
            <w:tcBorders>
              <w:top w:val="nil"/>
              <w:left w:val="nil"/>
              <w:bottom w:val="single" w:color="auto" w:sz="4" w:space="0"/>
              <w:right w:val="single" w:color="auto" w:sz="8" w:space="0"/>
            </w:tcBorders>
            <w:vAlign w:val="center"/>
          </w:tcPr>
          <w:p w14:paraId="3B329FC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550F48BE">
            <w:pPr>
              <w:widowControl/>
              <w:rPr>
                <w:rFonts w:ascii="宋体" w:hAnsi="宋体" w:cs="宋体"/>
                <w:color w:val="auto"/>
                <w:kern w:val="0"/>
                <w:sz w:val="20"/>
                <w:highlight w:val="none"/>
              </w:rPr>
            </w:pPr>
            <w:r>
              <w:rPr>
                <w:rFonts w:hint="eastAsia" w:ascii="宋体" w:hAnsi="宋体" w:cs="宋体"/>
                <w:color w:val="auto"/>
                <w:kern w:val="0"/>
                <w:sz w:val="20"/>
                <w:highlight w:val="none"/>
              </w:rPr>
              <w:t>20≤X＜100</w:t>
            </w:r>
          </w:p>
        </w:tc>
        <w:tc>
          <w:tcPr>
            <w:tcW w:w="1458" w:type="dxa"/>
            <w:tcBorders>
              <w:top w:val="nil"/>
              <w:left w:val="nil"/>
              <w:bottom w:val="single" w:color="auto" w:sz="4" w:space="0"/>
              <w:right w:val="single" w:color="auto" w:sz="4" w:space="0"/>
            </w:tcBorders>
            <w:vAlign w:val="center"/>
          </w:tcPr>
          <w:p w14:paraId="10463EE7">
            <w:pPr>
              <w:widowControl/>
              <w:rPr>
                <w:rFonts w:ascii="宋体" w:hAnsi="宋体" w:cs="宋体"/>
                <w:color w:val="auto"/>
                <w:kern w:val="0"/>
                <w:sz w:val="20"/>
                <w:highlight w:val="none"/>
              </w:rPr>
            </w:pPr>
            <w:r>
              <w:rPr>
                <w:rFonts w:hint="eastAsia" w:ascii="宋体" w:hAnsi="宋体" w:cs="宋体"/>
                <w:color w:val="auto"/>
                <w:kern w:val="0"/>
                <w:sz w:val="20"/>
                <w:highlight w:val="none"/>
              </w:rPr>
              <w:t>100≤Y＜1000</w:t>
            </w:r>
          </w:p>
        </w:tc>
        <w:tc>
          <w:tcPr>
            <w:tcW w:w="1501" w:type="dxa"/>
            <w:tcBorders>
              <w:top w:val="nil"/>
              <w:left w:val="nil"/>
              <w:bottom w:val="single" w:color="auto" w:sz="4" w:space="0"/>
              <w:right w:val="single" w:color="auto" w:sz="8" w:space="0"/>
            </w:tcBorders>
            <w:vAlign w:val="center"/>
          </w:tcPr>
          <w:p w14:paraId="7AC33A9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1D3FDEB0">
            <w:pPr>
              <w:widowControl/>
              <w:rPr>
                <w:rFonts w:ascii="宋体" w:hAnsi="宋体" w:cs="宋体"/>
                <w:color w:val="auto"/>
                <w:kern w:val="0"/>
                <w:sz w:val="20"/>
                <w:highlight w:val="none"/>
              </w:rPr>
            </w:pPr>
            <w:r>
              <w:rPr>
                <w:rFonts w:hint="eastAsia" w:ascii="宋体" w:hAnsi="宋体" w:cs="宋体"/>
                <w:color w:val="auto"/>
                <w:kern w:val="0"/>
                <w:sz w:val="20"/>
                <w:highlight w:val="none"/>
              </w:rPr>
              <w:t>X＜20</w:t>
            </w:r>
          </w:p>
        </w:tc>
        <w:tc>
          <w:tcPr>
            <w:tcW w:w="1256" w:type="dxa"/>
            <w:tcBorders>
              <w:top w:val="nil"/>
              <w:left w:val="nil"/>
              <w:bottom w:val="single" w:color="auto" w:sz="4" w:space="0"/>
              <w:right w:val="single" w:color="auto" w:sz="4" w:space="0"/>
            </w:tcBorders>
            <w:vAlign w:val="center"/>
          </w:tcPr>
          <w:p w14:paraId="1B4DA75A">
            <w:pPr>
              <w:widowControl/>
              <w:rPr>
                <w:rFonts w:ascii="宋体" w:hAnsi="宋体" w:cs="宋体"/>
                <w:color w:val="auto"/>
                <w:kern w:val="0"/>
                <w:sz w:val="20"/>
                <w:highlight w:val="none"/>
              </w:rPr>
            </w:pPr>
            <w:r>
              <w:rPr>
                <w:rFonts w:hint="eastAsia" w:ascii="宋体" w:hAnsi="宋体" w:cs="宋体"/>
                <w:color w:val="auto"/>
                <w:kern w:val="0"/>
                <w:sz w:val="20"/>
                <w:highlight w:val="none"/>
              </w:rPr>
              <w:t>Y＜100</w:t>
            </w:r>
          </w:p>
        </w:tc>
        <w:tc>
          <w:tcPr>
            <w:tcW w:w="1205" w:type="dxa"/>
            <w:tcBorders>
              <w:top w:val="nil"/>
              <w:left w:val="nil"/>
              <w:bottom w:val="single" w:color="auto" w:sz="4" w:space="0"/>
              <w:right w:val="single" w:color="auto" w:sz="8" w:space="0"/>
            </w:tcBorders>
            <w:vAlign w:val="center"/>
          </w:tcPr>
          <w:p w14:paraId="3372074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1A359A89">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6CB02694">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8</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邮政业</w:t>
            </w:r>
          </w:p>
        </w:tc>
        <w:tc>
          <w:tcPr>
            <w:tcW w:w="1475" w:type="dxa"/>
            <w:tcBorders>
              <w:top w:val="nil"/>
              <w:left w:val="nil"/>
              <w:bottom w:val="single" w:color="auto" w:sz="4" w:space="0"/>
              <w:right w:val="single" w:color="auto" w:sz="4" w:space="0"/>
            </w:tcBorders>
            <w:vAlign w:val="center"/>
          </w:tcPr>
          <w:p w14:paraId="04B0EE9B">
            <w:pPr>
              <w:widowControl/>
              <w:rPr>
                <w:rFonts w:ascii="宋体" w:hAnsi="宋体" w:cs="宋体"/>
                <w:color w:val="auto"/>
                <w:kern w:val="0"/>
                <w:sz w:val="20"/>
                <w:highlight w:val="none"/>
              </w:rPr>
            </w:pPr>
            <w:r>
              <w:rPr>
                <w:rFonts w:hint="eastAsia" w:ascii="宋体" w:hAnsi="宋体" w:cs="宋体"/>
                <w:color w:val="auto"/>
                <w:kern w:val="0"/>
                <w:sz w:val="20"/>
                <w:highlight w:val="none"/>
              </w:rPr>
              <w:t>300≤X＜1000</w:t>
            </w:r>
          </w:p>
        </w:tc>
        <w:tc>
          <w:tcPr>
            <w:tcW w:w="1736" w:type="dxa"/>
            <w:tcBorders>
              <w:top w:val="nil"/>
              <w:left w:val="nil"/>
              <w:bottom w:val="single" w:color="auto" w:sz="4" w:space="0"/>
              <w:right w:val="single" w:color="auto" w:sz="4" w:space="0"/>
            </w:tcBorders>
            <w:vAlign w:val="center"/>
          </w:tcPr>
          <w:p w14:paraId="7DF44826">
            <w:pPr>
              <w:widowControl/>
              <w:rPr>
                <w:rFonts w:ascii="宋体" w:hAnsi="宋体" w:cs="宋体"/>
                <w:color w:val="auto"/>
                <w:kern w:val="0"/>
                <w:sz w:val="20"/>
                <w:highlight w:val="none"/>
              </w:rPr>
            </w:pPr>
            <w:r>
              <w:rPr>
                <w:rFonts w:hint="eastAsia" w:ascii="宋体" w:hAnsi="宋体" w:cs="宋体"/>
                <w:color w:val="auto"/>
                <w:kern w:val="0"/>
                <w:sz w:val="20"/>
                <w:highlight w:val="none"/>
              </w:rPr>
              <w:t>2000≤Y＜30000</w:t>
            </w:r>
          </w:p>
        </w:tc>
        <w:tc>
          <w:tcPr>
            <w:tcW w:w="1639" w:type="dxa"/>
            <w:tcBorders>
              <w:top w:val="nil"/>
              <w:left w:val="nil"/>
              <w:bottom w:val="single" w:color="auto" w:sz="4" w:space="0"/>
              <w:right w:val="single" w:color="auto" w:sz="8" w:space="0"/>
            </w:tcBorders>
            <w:vAlign w:val="center"/>
          </w:tcPr>
          <w:p w14:paraId="00D2C8A3">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2C2C3DAB">
            <w:pPr>
              <w:widowControl/>
              <w:rPr>
                <w:rFonts w:ascii="宋体" w:hAnsi="宋体" w:cs="宋体"/>
                <w:color w:val="auto"/>
                <w:kern w:val="0"/>
                <w:sz w:val="20"/>
                <w:highlight w:val="none"/>
              </w:rPr>
            </w:pPr>
            <w:r>
              <w:rPr>
                <w:rFonts w:hint="eastAsia" w:ascii="宋体" w:hAnsi="宋体" w:cs="宋体"/>
                <w:color w:val="auto"/>
                <w:kern w:val="0"/>
                <w:sz w:val="20"/>
                <w:highlight w:val="none"/>
              </w:rPr>
              <w:t>20≤X＜300</w:t>
            </w:r>
          </w:p>
        </w:tc>
        <w:tc>
          <w:tcPr>
            <w:tcW w:w="1458" w:type="dxa"/>
            <w:tcBorders>
              <w:top w:val="nil"/>
              <w:left w:val="nil"/>
              <w:bottom w:val="single" w:color="auto" w:sz="4" w:space="0"/>
              <w:right w:val="single" w:color="auto" w:sz="4" w:space="0"/>
            </w:tcBorders>
            <w:vAlign w:val="center"/>
          </w:tcPr>
          <w:p w14:paraId="7CF07F48">
            <w:pPr>
              <w:widowControl/>
              <w:rPr>
                <w:rFonts w:ascii="宋体" w:hAnsi="宋体" w:cs="宋体"/>
                <w:color w:val="auto"/>
                <w:kern w:val="0"/>
                <w:sz w:val="20"/>
                <w:highlight w:val="none"/>
              </w:rPr>
            </w:pPr>
            <w:r>
              <w:rPr>
                <w:rFonts w:hint="eastAsia" w:ascii="宋体" w:hAnsi="宋体" w:cs="宋体"/>
                <w:color w:val="auto"/>
                <w:kern w:val="0"/>
                <w:sz w:val="20"/>
                <w:highlight w:val="none"/>
              </w:rPr>
              <w:t>100≤Y＜2000</w:t>
            </w:r>
          </w:p>
        </w:tc>
        <w:tc>
          <w:tcPr>
            <w:tcW w:w="1501" w:type="dxa"/>
            <w:tcBorders>
              <w:top w:val="nil"/>
              <w:left w:val="nil"/>
              <w:bottom w:val="single" w:color="auto" w:sz="4" w:space="0"/>
              <w:right w:val="single" w:color="auto" w:sz="8" w:space="0"/>
            </w:tcBorders>
            <w:vAlign w:val="center"/>
          </w:tcPr>
          <w:p w14:paraId="4C3430EE">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373EB42F">
            <w:pPr>
              <w:widowControl/>
              <w:rPr>
                <w:rFonts w:ascii="宋体" w:hAnsi="宋体" w:cs="宋体"/>
                <w:color w:val="auto"/>
                <w:kern w:val="0"/>
                <w:sz w:val="20"/>
                <w:highlight w:val="none"/>
              </w:rPr>
            </w:pPr>
            <w:r>
              <w:rPr>
                <w:rFonts w:hint="eastAsia" w:ascii="宋体" w:hAnsi="宋体" w:cs="宋体"/>
                <w:color w:val="auto"/>
                <w:kern w:val="0"/>
                <w:sz w:val="20"/>
                <w:highlight w:val="none"/>
              </w:rPr>
              <w:t>X＜20</w:t>
            </w:r>
          </w:p>
        </w:tc>
        <w:tc>
          <w:tcPr>
            <w:tcW w:w="1256" w:type="dxa"/>
            <w:tcBorders>
              <w:top w:val="nil"/>
              <w:left w:val="nil"/>
              <w:bottom w:val="single" w:color="auto" w:sz="4" w:space="0"/>
              <w:right w:val="single" w:color="auto" w:sz="4" w:space="0"/>
            </w:tcBorders>
            <w:vAlign w:val="center"/>
          </w:tcPr>
          <w:p w14:paraId="66A60A36">
            <w:pPr>
              <w:widowControl/>
              <w:rPr>
                <w:rFonts w:ascii="宋体" w:hAnsi="宋体" w:cs="宋体"/>
                <w:color w:val="auto"/>
                <w:kern w:val="0"/>
                <w:sz w:val="20"/>
                <w:highlight w:val="none"/>
              </w:rPr>
            </w:pPr>
            <w:r>
              <w:rPr>
                <w:rFonts w:hint="eastAsia" w:ascii="宋体" w:hAnsi="宋体" w:cs="宋体"/>
                <w:color w:val="auto"/>
                <w:kern w:val="0"/>
                <w:sz w:val="20"/>
                <w:highlight w:val="none"/>
              </w:rPr>
              <w:t>Y＜100</w:t>
            </w:r>
          </w:p>
        </w:tc>
        <w:tc>
          <w:tcPr>
            <w:tcW w:w="1205" w:type="dxa"/>
            <w:tcBorders>
              <w:top w:val="nil"/>
              <w:left w:val="nil"/>
              <w:bottom w:val="single" w:color="auto" w:sz="4" w:space="0"/>
              <w:right w:val="single" w:color="auto" w:sz="8" w:space="0"/>
            </w:tcBorders>
            <w:vAlign w:val="center"/>
          </w:tcPr>
          <w:p w14:paraId="08E7EB61">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2AC54CEB">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2C90299D">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9</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住宿业</w:t>
            </w:r>
          </w:p>
        </w:tc>
        <w:tc>
          <w:tcPr>
            <w:tcW w:w="1475" w:type="dxa"/>
            <w:tcBorders>
              <w:top w:val="nil"/>
              <w:left w:val="nil"/>
              <w:bottom w:val="single" w:color="auto" w:sz="4" w:space="0"/>
              <w:right w:val="single" w:color="auto" w:sz="4" w:space="0"/>
            </w:tcBorders>
            <w:vAlign w:val="center"/>
          </w:tcPr>
          <w:p w14:paraId="0DAB32F2">
            <w:pPr>
              <w:widowControl/>
              <w:rPr>
                <w:rFonts w:ascii="宋体" w:hAnsi="宋体" w:cs="宋体"/>
                <w:color w:val="auto"/>
                <w:kern w:val="0"/>
                <w:sz w:val="20"/>
                <w:highlight w:val="none"/>
              </w:rPr>
            </w:pPr>
            <w:r>
              <w:rPr>
                <w:rFonts w:hint="eastAsia" w:ascii="宋体" w:hAnsi="宋体" w:cs="宋体"/>
                <w:color w:val="auto"/>
                <w:kern w:val="0"/>
                <w:sz w:val="20"/>
                <w:highlight w:val="none"/>
              </w:rPr>
              <w:t>100≤X＜300</w:t>
            </w:r>
          </w:p>
        </w:tc>
        <w:tc>
          <w:tcPr>
            <w:tcW w:w="1736" w:type="dxa"/>
            <w:tcBorders>
              <w:top w:val="nil"/>
              <w:left w:val="nil"/>
              <w:bottom w:val="single" w:color="auto" w:sz="4" w:space="0"/>
              <w:right w:val="single" w:color="auto" w:sz="4" w:space="0"/>
            </w:tcBorders>
            <w:vAlign w:val="center"/>
          </w:tcPr>
          <w:p w14:paraId="11D62CC0">
            <w:pPr>
              <w:widowControl/>
              <w:rPr>
                <w:rFonts w:ascii="宋体" w:hAnsi="宋体" w:cs="宋体"/>
                <w:color w:val="auto"/>
                <w:kern w:val="0"/>
                <w:sz w:val="20"/>
                <w:highlight w:val="none"/>
              </w:rPr>
            </w:pPr>
            <w:r>
              <w:rPr>
                <w:rFonts w:hint="eastAsia" w:ascii="宋体" w:hAnsi="宋体" w:cs="宋体"/>
                <w:color w:val="auto"/>
                <w:kern w:val="0"/>
                <w:sz w:val="20"/>
                <w:highlight w:val="none"/>
              </w:rPr>
              <w:t>2000≤Y＜10000</w:t>
            </w:r>
          </w:p>
        </w:tc>
        <w:tc>
          <w:tcPr>
            <w:tcW w:w="1639" w:type="dxa"/>
            <w:tcBorders>
              <w:top w:val="nil"/>
              <w:left w:val="nil"/>
              <w:bottom w:val="single" w:color="auto" w:sz="4" w:space="0"/>
              <w:right w:val="single" w:color="auto" w:sz="8" w:space="0"/>
            </w:tcBorders>
            <w:vAlign w:val="center"/>
          </w:tcPr>
          <w:p w14:paraId="1EFDFB9D">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2798D8BE">
            <w:pPr>
              <w:widowControl/>
              <w:rPr>
                <w:rFonts w:ascii="宋体" w:hAnsi="宋体" w:cs="宋体"/>
                <w:color w:val="auto"/>
                <w:kern w:val="0"/>
                <w:sz w:val="20"/>
                <w:highlight w:val="none"/>
              </w:rPr>
            </w:pPr>
            <w:r>
              <w:rPr>
                <w:rFonts w:hint="eastAsia" w:ascii="宋体" w:hAnsi="宋体" w:cs="宋体"/>
                <w:color w:val="auto"/>
                <w:kern w:val="0"/>
                <w:sz w:val="20"/>
                <w:highlight w:val="none"/>
              </w:rPr>
              <w:t>10≤X＜100</w:t>
            </w:r>
          </w:p>
        </w:tc>
        <w:tc>
          <w:tcPr>
            <w:tcW w:w="1458" w:type="dxa"/>
            <w:tcBorders>
              <w:top w:val="nil"/>
              <w:left w:val="nil"/>
              <w:bottom w:val="single" w:color="auto" w:sz="4" w:space="0"/>
              <w:right w:val="single" w:color="auto" w:sz="4" w:space="0"/>
            </w:tcBorders>
            <w:vAlign w:val="center"/>
          </w:tcPr>
          <w:p w14:paraId="0139FA02">
            <w:pPr>
              <w:widowControl/>
              <w:rPr>
                <w:rFonts w:ascii="宋体" w:hAnsi="宋体" w:cs="宋体"/>
                <w:color w:val="auto"/>
                <w:kern w:val="0"/>
                <w:sz w:val="20"/>
                <w:highlight w:val="none"/>
              </w:rPr>
            </w:pPr>
            <w:r>
              <w:rPr>
                <w:rFonts w:hint="eastAsia" w:ascii="宋体" w:hAnsi="宋体" w:cs="宋体"/>
                <w:color w:val="auto"/>
                <w:kern w:val="0"/>
                <w:sz w:val="20"/>
                <w:highlight w:val="none"/>
              </w:rPr>
              <w:t>100≤Y＜2000</w:t>
            </w:r>
          </w:p>
        </w:tc>
        <w:tc>
          <w:tcPr>
            <w:tcW w:w="1501" w:type="dxa"/>
            <w:tcBorders>
              <w:top w:val="nil"/>
              <w:left w:val="nil"/>
              <w:bottom w:val="single" w:color="auto" w:sz="4" w:space="0"/>
              <w:right w:val="single" w:color="auto" w:sz="8" w:space="0"/>
            </w:tcBorders>
            <w:vAlign w:val="center"/>
          </w:tcPr>
          <w:p w14:paraId="4B733F5D">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4AD6CEDD">
            <w:pPr>
              <w:widowControl/>
              <w:rPr>
                <w:rFonts w:ascii="宋体" w:hAnsi="宋体" w:cs="宋体"/>
                <w:color w:val="auto"/>
                <w:kern w:val="0"/>
                <w:sz w:val="20"/>
                <w:highlight w:val="none"/>
              </w:rPr>
            </w:pPr>
            <w:r>
              <w:rPr>
                <w:rFonts w:hint="eastAsia" w:ascii="宋体" w:hAnsi="宋体" w:cs="宋体"/>
                <w:color w:val="auto"/>
                <w:kern w:val="0"/>
                <w:sz w:val="20"/>
                <w:highlight w:val="none"/>
              </w:rPr>
              <w:t>X＜10</w:t>
            </w:r>
          </w:p>
        </w:tc>
        <w:tc>
          <w:tcPr>
            <w:tcW w:w="1256" w:type="dxa"/>
            <w:tcBorders>
              <w:top w:val="nil"/>
              <w:left w:val="nil"/>
              <w:bottom w:val="single" w:color="auto" w:sz="4" w:space="0"/>
              <w:right w:val="single" w:color="auto" w:sz="4" w:space="0"/>
            </w:tcBorders>
            <w:vAlign w:val="center"/>
          </w:tcPr>
          <w:p w14:paraId="78DAFB72">
            <w:pPr>
              <w:widowControl/>
              <w:rPr>
                <w:rFonts w:ascii="宋体" w:hAnsi="宋体" w:cs="宋体"/>
                <w:color w:val="auto"/>
                <w:kern w:val="0"/>
                <w:sz w:val="20"/>
                <w:highlight w:val="none"/>
              </w:rPr>
            </w:pPr>
            <w:r>
              <w:rPr>
                <w:rFonts w:hint="eastAsia" w:ascii="宋体" w:hAnsi="宋体" w:cs="宋体"/>
                <w:color w:val="auto"/>
                <w:kern w:val="0"/>
                <w:sz w:val="20"/>
                <w:highlight w:val="none"/>
              </w:rPr>
              <w:t>Y＜100</w:t>
            </w:r>
          </w:p>
        </w:tc>
        <w:tc>
          <w:tcPr>
            <w:tcW w:w="1205" w:type="dxa"/>
            <w:tcBorders>
              <w:top w:val="nil"/>
              <w:left w:val="nil"/>
              <w:bottom w:val="single" w:color="auto" w:sz="4" w:space="0"/>
              <w:right w:val="single" w:color="auto" w:sz="8" w:space="0"/>
            </w:tcBorders>
            <w:vAlign w:val="center"/>
          </w:tcPr>
          <w:p w14:paraId="13BFBA4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608E4BED">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34546827">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10</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餐饮业</w:t>
            </w:r>
          </w:p>
        </w:tc>
        <w:tc>
          <w:tcPr>
            <w:tcW w:w="1475" w:type="dxa"/>
            <w:tcBorders>
              <w:top w:val="nil"/>
              <w:left w:val="nil"/>
              <w:bottom w:val="single" w:color="auto" w:sz="4" w:space="0"/>
              <w:right w:val="single" w:color="auto" w:sz="4" w:space="0"/>
            </w:tcBorders>
            <w:vAlign w:val="center"/>
          </w:tcPr>
          <w:p w14:paraId="2849CC0C">
            <w:pPr>
              <w:widowControl/>
              <w:rPr>
                <w:rFonts w:ascii="宋体" w:hAnsi="宋体" w:cs="宋体"/>
                <w:color w:val="auto"/>
                <w:kern w:val="0"/>
                <w:sz w:val="20"/>
                <w:highlight w:val="none"/>
              </w:rPr>
            </w:pPr>
            <w:r>
              <w:rPr>
                <w:rFonts w:hint="eastAsia" w:ascii="宋体" w:hAnsi="宋体" w:cs="宋体"/>
                <w:color w:val="auto"/>
                <w:kern w:val="0"/>
                <w:sz w:val="20"/>
                <w:highlight w:val="none"/>
              </w:rPr>
              <w:t>100≤X＜300</w:t>
            </w:r>
          </w:p>
        </w:tc>
        <w:tc>
          <w:tcPr>
            <w:tcW w:w="1736" w:type="dxa"/>
            <w:tcBorders>
              <w:top w:val="nil"/>
              <w:left w:val="nil"/>
              <w:bottom w:val="single" w:color="auto" w:sz="4" w:space="0"/>
              <w:right w:val="single" w:color="auto" w:sz="4" w:space="0"/>
            </w:tcBorders>
            <w:vAlign w:val="center"/>
          </w:tcPr>
          <w:p w14:paraId="7F66E8A6">
            <w:pPr>
              <w:widowControl/>
              <w:rPr>
                <w:rFonts w:ascii="宋体" w:hAnsi="宋体" w:cs="宋体"/>
                <w:color w:val="auto"/>
                <w:kern w:val="0"/>
                <w:sz w:val="20"/>
                <w:highlight w:val="none"/>
              </w:rPr>
            </w:pPr>
            <w:r>
              <w:rPr>
                <w:rFonts w:hint="eastAsia" w:ascii="宋体" w:hAnsi="宋体" w:cs="宋体"/>
                <w:color w:val="auto"/>
                <w:kern w:val="0"/>
                <w:sz w:val="20"/>
                <w:highlight w:val="none"/>
              </w:rPr>
              <w:t>2000≤Y＜10000</w:t>
            </w:r>
          </w:p>
        </w:tc>
        <w:tc>
          <w:tcPr>
            <w:tcW w:w="1639" w:type="dxa"/>
            <w:tcBorders>
              <w:top w:val="nil"/>
              <w:left w:val="nil"/>
              <w:bottom w:val="single" w:color="auto" w:sz="4" w:space="0"/>
              <w:right w:val="single" w:color="auto" w:sz="8" w:space="0"/>
            </w:tcBorders>
            <w:vAlign w:val="center"/>
          </w:tcPr>
          <w:p w14:paraId="433D2DC4">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62D74F33">
            <w:pPr>
              <w:widowControl/>
              <w:rPr>
                <w:rFonts w:ascii="宋体" w:hAnsi="宋体" w:cs="宋体"/>
                <w:color w:val="auto"/>
                <w:kern w:val="0"/>
                <w:sz w:val="20"/>
                <w:highlight w:val="none"/>
              </w:rPr>
            </w:pPr>
            <w:r>
              <w:rPr>
                <w:rFonts w:hint="eastAsia" w:ascii="宋体" w:hAnsi="宋体" w:cs="宋体"/>
                <w:color w:val="auto"/>
                <w:kern w:val="0"/>
                <w:sz w:val="20"/>
                <w:highlight w:val="none"/>
              </w:rPr>
              <w:t>10≤X＜100</w:t>
            </w:r>
          </w:p>
        </w:tc>
        <w:tc>
          <w:tcPr>
            <w:tcW w:w="1458" w:type="dxa"/>
            <w:tcBorders>
              <w:top w:val="nil"/>
              <w:left w:val="nil"/>
              <w:bottom w:val="single" w:color="auto" w:sz="4" w:space="0"/>
              <w:right w:val="single" w:color="auto" w:sz="4" w:space="0"/>
            </w:tcBorders>
            <w:vAlign w:val="center"/>
          </w:tcPr>
          <w:p w14:paraId="7BE2DF43">
            <w:pPr>
              <w:widowControl/>
              <w:rPr>
                <w:rFonts w:ascii="宋体" w:hAnsi="宋体" w:cs="宋体"/>
                <w:color w:val="auto"/>
                <w:kern w:val="0"/>
                <w:sz w:val="20"/>
                <w:highlight w:val="none"/>
              </w:rPr>
            </w:pPr>
            <w:r>
              <w:rPr>
                <w:rFonts w:hint="eastAsia" w:ascii="宋体" w:hAnsi="宋体" w:cs="宋体"/>
                <w:color w:val="auto"/>
                <w:kern w:val="0"/>
                <w:sz w:val="20"/>
                <w:highlight w:val="none"/>
              </w:rPr>
              <w:t>100≤Y＜2000</w:t>
            </w:r>
          </w:p>
        </w:tc>
        <w:tc>
          <w:tcPr>
            <w:tcW w:w="1501" w:type="dxa"/>
            <w:tcBorders>
              <w:top w:val="nil"/>
              <w:left w:val="nil"/>
              <w:bottom w:val="single" w:color="auto" w:sz="4" w:space="0"/>
              <w:right w:val="single" w:color="auto" w:sz="8" w:space="0"/>
            </w:tcBorders>
            <w:vAlign w:val="center"/>
          </w:tcPr>
          <w:p w14:paraId="70555CB8">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210E6FAA">
            <w:pPr>
              <w:widowControl/>
              <w:rPr>
                <w:rFonts w:ascii="宋体" w:hAnsi="宋体" w:cs="宋体"/>
                <w:color w:val="auto"/>
                <w:kern w:val="0"/>
                <w:sz w:val="20"/>
                <w:highlight w:val="none"/>
              </w:rPr>
            </w:pPr>
            <w:r>
              <w:rPr>
                <w:rFonts w:hint="eastAsia" w:ascii="宋体" w:hAnsi="宋体" w:cs="宋体"/>
                <w:color w:val="auto"/>
                <w:kern w:val="0"/>
                <w:sz w:val="20"/>
                <w:highlight w:val="none"/>
              </w:rPr>
              <w:t>X＜10</w:t>
            </w:r>
          </w:p>
        </w:tc>
        <w:tc>
          <w:tcPr>
            <w:tcW w:w="1256" w:type="dxa"/>
            <w:tcBorders>
              <w:top w:val="nil"/>
              <w:left w:val="nil"/>
              <w:bottom w:val="single" w:color="auto" w:sz="4" w:space="0"/>
              <w:right w:val="single" w:color="auto" w:sz="4" w:space="0"/>
            </w:tcBorders>
            <w:vAlign w:val="center"/>
          </w:tcPr>
          <w:p w14:paraId="25E13111">
            <w:pPr>
              <w:widowControl/>
              <w:rPr>
                <w:rFonts w:ascii="宋体" w:hAnsi="宋体" w:cs="宋体"/>
                <w:color w:val="auto"/>
                <w:kern w:val="0"/>
                <w:sz w:val="20"/>
                <w:highlight w:val="none"/>
              </w:rPr>
            </w:pPr>
            <w:r>
              <w:rPr>
                <w:rFonts w:hint="eastAsia" w:ascii="宋体" w:hAnsi="宋体" w:cs="宋体"/>
                <w:color w:val="auto"/>
                <w:kern w:val="0"/>
                <w:sz w:val="20"/>
                <w:highlight w:val="none"/>
              </w:rPr>
              <w:t>V＜100</w:t>
            </w:r>
          </w:p>
        </w:tc>
        <w:tc>
          <w:tcPr>
            <w:tcW w:w="1205" w:type="dxa"/>
            <w:tcBorders>
              <w:top w:val="nil"/>
              <w:left w:val="nil"/>
              <w:bottom w:val="single" w:color="auto" w:sz="4" w:space="0"/>
              <w:right w:val="single" w:color="auto" w:sz="8" w:space="0"/>
            </w:tcBorders>
            <w:vAlign w:val="center"/>
          </w:tcPr>
          <w:p w14:paraId="2EADFB97">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044074F0">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4" w:space="0"/>
              <w:right w:val="single" w:color="auto" w:sz="8" w:space="0"/>
            </w:tcBorders>
            <w:vAlign w:val="center"/>
          </w:tcPr>
          <w:p w14:paraId="12AB73C1">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11</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信息传输业</w:t>
            </w:r>
          </w:p>
        </w:tc>
        <w:tc>
          <w:tcPr>
            <w:tcW w:w="1475" w:type="dxa"/>
            <w:tcBorders>
              <w:top w:val="nil"/>
              <w:left w:val="nil"/>
              <w:bottom w:val="single" w:color="auto" w:sz="4" w:space="0"/>
              <w:right w:val="single" w:color="auto" w:sz="4" w:space="0"/>
            </w:tcBorders>
            <w:vAlign w:val="center"/>
          </w:tcPr>
          <w:p w14:paraId="001D814A">
            <w:pPr>
              <w:widowControl/>
              <w:rPr>
                <w:rFonts w:ascii="宋体" w:hAnsi="宋体" w:cs="宋体"/>
                <w:color w:val="auto"/>
                <w:kern w:val="0"/>
                <w:sz w:val="20"/>
                <w:highlight w:val="none"/>
              </w:rPr>
            </w:pPr>
            <w:r>
              <w:rPr>
                <w:rFonts w:hint="eastAsia" w:ascii="宋体" w:hAnsi="宋体" w:cs="宋体"/>
                <w:color w:val="auto"/>
                <w:kern w:val="0"/>
                <w:sz w:val="20"/>
                <w:highlight w:val="none"/>
              </w:rPr>
              <w:t>100≤X＜2000</w:t>
            </w:r>
          </w:p>
        </w:tc>
        <w:tc>
          <w:tcPr>
            <w:tcW w:w="1736" w:type="dxa"/>
            <w:tcBorders>
              <w:top w:val="nil"/>
              <w:left w:val="nil"/>
              <w:bottom w:val="single" w:color="auto" w:sz="4" w:space="0"/>
              <w:right w:val="single" w:color="auto" w:sz="4" w:space="0"/>
            </w:tcBorders>
            <w:vAlign w:val="center"/>
          </w:tcPr>
          <w:p w14:paraId="0E0D0FE7">
            <w:pPr>
              <w:widowControl/>
              <w:rPr>
                <w:rFonts w:ascii="宋体" w:hAnsi="宋体" w:cs="宋体"/>
                <w:color w:val="auto"/>
                <w:kern w:val="0"/>
                <w:sz w:val="20"/>
                <w:highlight w:val="none"/>
              </w:rPr>
            </w:pPr>
            <w:r>
              <w:rPr>
                <w:rFonts w:hint="eastAsia" w:ascii="宋体" w:hAnsi="宋体" w:cs="宋体"/>
                <w:color w:val="auto"/>
                <w:kern w:val="0"/>
                <w:sz w:val="20"/>
                <w:highlight w:val="none"/>
              </w:rPr>
              <w:t>1000≤Y＜100000</w:t>
            </w:r>
          </w:p>
        </w:tc>
        <w:tc>
          <w:tcPr>
            <w:tcW w:w="1639" w:type="dxa"/>
            <w:tcBorders>
              <w:top w:val="nil"/>
              <w:left w:val="nil"/>
              <w:bottom w:val="single" w:color="auto" w:sz="4" w:space="0"/>
              <w:right w:val="single" w:color="auto" w:sz="8" w:space="0"/>
            </w:tcBorders>
            <w:vAlign w:val="center"/>
          </w:tcPr>
          <w:p w14:paraId="43313CC9">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6D59EC28">
            <w:pPr>
              <w:widowControl/>
              <w:rPr>
                <w:rFonts w:ascii="宋体" w:hAnsi="宋体" w:cs="宋体"/>
                <w:color w:val="auto"/>
                <w:kern w:val="0"/>
                <w:sz w:val="20"/>
                <w:highlight w:val="none"/>
              </w:rPr>
            </w:pPr>
            <w:r>
              <w:rPr>
                <w:rFonts w:hint="eastAsia" w:ascii="宋体" w:hAnsi="宋体" w:cs="宋体"/>
                <w:color w:val="auto"/>
                <w:kern w:val="0"/>
                <w:sz w:val="20"/>
                <w:highlight w:val="none"/>
              </w:rPr>
              <w:t>10≤X＜100</w:t>
            </w:r>
          </w:p>
        </w:tc>
        <w:tc>
          <w:tcPr>
            <w:tcW w:w="1458" w:type="dxa"/>
            <w:tcBorders>
              <w:top w:val="nil"/>
              <w:left w:val="nil"/>
              <w:bottom w:val="single" w:color="auto" w:sz="4" w:space="0"/>
              <w:right w:val="single" w:color="auto" w:sz="4" w:space="0"/>
            </w:tcBorders>
            <w:vAlign w:val="center"/>
          </w:tcPr>
          <w:p w14:paraId="162A3197">
            <w:pPr>
              <w:widowControl/>
              <w:rPr>
                <w:rFonts w:ascii="宋体" w:hAnsi="宋体" w:cs="宋体"/>
                <w:color w:val="auto"/>
                <w:kern w:val="0"/>
                <w:sz w:val="20"/>
                <w:highlight w:val="none"/>
              </w:rPr>
            </w:pPr>
            <w:r>
              <w:rPr>
                <w:rFonts w:hint="eastAsia" w:ascii="宋体" w:hAnsi="宋体" w:cs="宋体"/>
                <w:color w:val="auto"/>
                <w:kern w:val="0"/>
                <w:sz w:val="20"/>
                <w:highlight w:val="none"/>
              </w:rPr>
              <w:t>100≤Y＜1000</w:t>
            </w:r>
          </w:p>
        </w:tc>
        <w:tc>
          <w:tcPr>
            <w:tcW w:w="1501" w:type="dxa"/>
            <w:tcBorders>
              <w:top w:val="nil"/>
              <w:left w:val="nil"/>
              <w:bottom w:val="single" w:color="auto" w:sz="4" w:space="0"/>
              <w:right w:val="single" w:color="auto" w:sz="8" w:space="0"/>
            </w:tcBorders>
            <w:vAlign w:val="center"/>
          </w:tcPr>
          <w:p w14:paraId="53454F29">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732E87F8">
            <w:pPr>
              <w:widowControl/>
              <w:rPr>
                <w:rFonts w:ascii="宋体" w:hAnsi="宋体" w:cs="宋体"/>
                <w:color w:val="auto"/>
                <w:kern w:val="0"/>
                <w:sz w:val="20"/>
                <w:highlight w:val="none"/>
              </w:rPr>
            </w:pPr>
            <w:r>
              <w:rPr>
                <w:rFonts w:hint="eastAsia" w:ascii="宋体" w:hAnsi="宋体" w:cs="宋体"/>
                <w:color w:val="auto"/>
                <w:kern w:val="0"/>
                <w:sz w:val="20"/>
                <w:highlight w:val="none"/>
              </w:rPr>
              <w:t>X＜10</w:t>
            </w:r>
          </w:p>
        </w:tc>
        <w:tc>
          <w:tcPr>
            <w:tcW w:w="1256" w:type="dxa"/>
            <w:tcBorders>
              <w:top w:val="nil"/>
              <w:left w:val="nil"/>
              <w:bottom w:val="single" w:color="auto" w:sz="4" w:space="0"/>
              <w:right w:val="single" w:color="auto" w:sz="4" w:space="0"/>
            </w:tcBorders>
            <w:vAlign w:val="center"/>
          </w:tcPr>
          <w:p w14:paraId="535BF970">
            <w:pPr>
              <w:widowControl/>
              <w:rPr>
                <w:rFonts w:ascii="宋体" w:hAnsi="宋体" w:cs="宋体"/>
                <w:color w:val="auto"/>
                <w:kern w:val="0"/>
                <w:sz w:val="20"/>
                <w:highlight w:val="none"/>
              </w:rPr>
            </w:pPr>
            <w:r>
              <w:rPr>
                <w:rFonts w:hint="eastAsia" w:ascii="宋体" w:hAnsi="宋体" w:cs="宋体"/>
                <w:color w:val="auto"/>
                <w:kern w:val="0"/>
                <w:sz w:val="20"/>
                <w:highlight w:val="none"/>
              </w:rPr>
              <w:t>Y＜100</w:t>
            </w:r>
          </w:p>
        </w:tc>
        <w:tc>
          <w:tcPr>
            <w:tcW w:w="1205" w:type="dxa"/>
            <w:tcBorders>
              <w:top w:val="nil"/>
              <w:left w:val="nil"/>
              <w:bottom w:val="single" w:color="auto" w:sz="4" w:space="0"/>
              <w:right w:val="single" w:color="auto" w:sz="8" w:space="0"/>
            </w:tcBorders>
            <w:vAlign w:val="center"/>
          </w:tcPr>
          <w:p w14:paraId="341DF2B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402AE61D">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082332AA">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12</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软件和信息技术服务业</w:t>
            </w:r>
          </w:p>
        </w:tc>
        <w:tc>
          <w:tcPr>
            <w:tcW w:w="1475" w:type="dxa"/>
            <w:tcBorders>
              <w:top w:val="nil"/>
              <w:left w:val="nil"/>
              <w:bottom w:val="single" w:color="auto" w:sz="4" w:space="0"/>
              <w:right w:val="single" w:color="auto" w:sz="4" w:space="0"/>
            </w:tcBorders>
            <w:vAlign w:val="center"/>
          </w:tcPr>
          <w:p w14:paraId="238757B6">
            <w:pPr>
              <w:widowControl/>
              <w:rPr>
                <w:rFonts w:ascii="宋体" w:hAnsi="宋体" w:cs="宋体"/>
                <w:color w:val="auto"/>
                <w:kern w:val="0"/>
                <w:sz w:val="20"/>
                <w:highlight w:val="none"/>
              </w:rPr>
            </w:pPr>
            <w:r>
              <w:rPr>
                <w:rFonts w:hint="eastAsia" w:ascii="宋体" w:hAnsi="宋体" w:cs="宋体"/>
                <w:color w:val="auto"/>
                <w:kern w:val="0"/>
                <w:sz w:val="20"/>
                <w:highlight w:val="none"/>
              </w:rPr>
              <w:t>100≤X＜300</w:t>
            </w:r>
          </w:p>
        </w:tc>
        <w:tc>
          <w:tcPr>
            <w:tcW w:w="1736" w:type="dxa"/>
            <w:tcBorders>
              <w:top w:val="nil"/>
              <w:left w:val="nil"/>
              <w:bottom w:val="single" w:color="auto" w:sz="4" w:space="0"/>
              <w:right w:val="single" w:color="auto" w:sz="4" w:space="0"/>
            </w:tcBorders>
            <w:vAlign w:val="center"/>
          </w:tcPr>
          <w:p w14:paraId="3690BDDF">
            <w:pPr>
              <w:widowControl/>
              <w:rPr>
                <w:rFonts w:ascii="宋体" w:hAnsi="宋体" w:cs="宋体"/>
                <w:color w:val="auto"/>
                <w:kern w:val="0"/>
                <w:sz w:val="20"/>
                <w:highlight w:val="none"/>
              </w:rPr>
            </w:pPr>
            <w:r>
              <w:rPr>
                <w:rFonts w:hint="eastAsia" w:ascii="宋体" w:hAnsi="宋体" w:cs="宋体"/>
                <w:color w:val="auto"/>
                <w:kern w:val="0"/>
                <w:sz w:val="20"/>
                <w:highlight w:val="none"/>
              </w:rPr>
              <w:t>1000≤Y＜10000</w:t>
            </w:r>
          </w:p>
        </w:tc>
        <w:tc>
          <w:tcPr>
            <w:tcW w:w="1639" w:type="dxa"/>
            <w:tcBorders>
              <w:top w:val="nil"/>
              <w:left w:val="nil"/>
              <w:bottom w:val="single" w:color="auto" w:sz="4" w:space="0"/>
              <w:right w:val="single" w:color="auto" w:sz="8" w:space="0"/>
            </w:tcBorders>
            <w:vAlign w:val="center"/>
          </w:tcPr>
          <w:p w14:paraId="36AFAA02">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3819F689">
            <w:pPr>
              <w:widowControl/>
              <w:rPr>
                <w:rFonts w:ascii="宋体" w:hAnsi="宋体" w:cs="宋体"/>
                <w:color w:val="auto"/>
                <w:kern w:val="0"/>
                <w:sz w:val="20"/>
                <w:highlight w:val="none"/>
              </w:rPr>
            </w:pPr>
            <w:r>
              <w:rPr>
                <w:rFonts w:hint="eastAsia" w:ascii="宋体" w:hAnsi="宋体" w:cs="宋体"/>
                <w:color w:val="auto"/>
                <w:kern w:val="0"/>
                <w:sz w:val="20"/>
                <w:highlight w:val="none"/>
              </w:rPr>
              <w:t>10≤X＜100</w:t>
            </w:r>
          </w:p>
        </w:tc>
        <w:tc>
          <w:tcPr>
            <w:tcW w:w="1458" w:type="dxa"/>
            <w:tcBorders>
              <w:top w:val="nil"/>
              <w:left w:val="nil"/>
              <w:bottom w:val="single" w:color="auto" w:sz="4" w:space="0"/>
              <w:right w:val="single" w:color="auto" w:sz="4" w:space="0"/>
            </w:tcBorders>
            <w:vAlign w:val="center"/>
          </w:tcPr>
          <w:p w14:paraId="148263CF">
            <w:pPr>
              <w:widowControl/>
              <w:rPr>
                <w:rFonts w:ascii="宋体" w:hAnsi="宋体" w:cs="宋体"/>
                <w:color w:val="auto"/>
                <w:kern w:val="0"/>
                <w:sz w:val="20"/>
                <w:highlight w:val="none"/>
              </w:rPr>
            </w:pPr>
            <w:r>
              <w:rPr>
                <w:rFonts w:hint="eastAsia" w:ascii="宋体" w:hAnsi="宋体" w:cs="宋体"/>
                <w:color w:val="auto"/>
                <w:kern w:val="0"/>
                <w:sz w:val="20"/>
                <w:highlight w:val="none"/>
              </w:rPr>
              <w:t>50≤Y＜1000</w:t>
            </w:r>
          </w:p>
        </w:tc>
        <w:tc>
          <w:tcPr>
            <w:tcW w:w="1501" w:type="dxa"/>
            <w:tcBorders>
              <w:top w:val="nil"/>
              <w:left w:val="nil"/>
              <w:bottom w:val="single" w:color="auto" w:sz="4" w:space="0"/>
              <w:right w:val="single" w:color="auto" w:sz="8" w:space="0"/>
            </w:tcBorders>
            <w:vAlign w:val="center"/>
          </w:tcPr>
          <w:p w14:paraId="0E8BCD67">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20EC1394">
            <w:pPr>
              <w:widowControl/>
              <w:rPr>
                <w:rFonts w:ascii="宋体" w:hAnsi="宋体" w:cs="宋体"/>
                <w:color w:val="auto"/>
                <w:kern w:val="0"/>
                <w:sz w:val="20"/>
                <w:highlight w:val="none"/>
              </w:rPr>
            </w:pPr>
            <w:r>
              <w:rPr>
                <w:rFonts w:hint="eastAsia" w:ascii="宋体" w:hAnsi="宋体" w:cs="宋体"/>
                <w:color w:val="auto"/>
                <w:kern w:val="0"/>
                <w:sz w:val="20"/>
                <w:highlight w:val="none"/>
              </w:rPr>
              <w:t>X＜10</w:t>
            </w:r>
          </w:p>
        </w:tc>
        <w:tc>
          <w:tcPr>
            <w:tcW w:w="1256" w:type="dxa"/>
            <w:tcBorders>
              <w:top w:val="nil"/>
              <w:left w:val="nil"/>
              <w:bottom w:val="single" w:color="auto" w:sz="4" w:space="0"/>
              <w:right w:val="single" w:color="auto" w:sz="4" w:space="0"/>
            </w:tcBorders>
            <w:vAlign w:val="center"/>
          </w:tcPr>
          <w:p w14:paraId="53171B86">
            <w:pPr>
              <w:widowControl/>
              <w:rPr>
                <w:rFonts w:ascii="宋体" w:hAnsi="宋体" w:cs="宋体"/>
                <w:color w:val="auto"/>
                <w:kern w:val="0"/>
                <w:sz w:val="20"/>
                <w:highlight w:val="none"/>
              </w:rPr>
            </w:pPr>
            <w:r>
              <w:rPr>
                <w:rFonts w:hint="eastAsia" w:ascii="宋体" w:hAnsi="宋体" w:cs="宋体"/>
                <w:color w:val="auto"/>
                <w:kern w:val="0"/>
                <w:sz w:val="20"/>
                <w:highlight w:val="none"/>
              </w:rPr>
              <w:t>Y＜50</w:t>
            </w:r>
          </w:p>
        </w:tc>
        <w:tc>
          <w:tcPr>
            <w:tcW w:w="1205" w:type="dxa"/>
            <w:tcBorders>
              <w:top w:val="nil"/>
              <w:left w:val="nil"/>
              <w:bottom w:val="single" w:color="auto" w:sz="4" w:space="0"/>
              <w:right w:val="single" w:color="auto" w:sz="8" w:space="0"/>
            </w:tcBorders>
            <w:vAlign w:val="center"/>
          </w:tcPr>
          <w:p w14:paraId="36A35D58">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5479DDB0">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31FFB940">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13</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房地产开发经营</w:t>
            </w:r>
          </w:p>
        </w:tc>
        <w:tc>
          <w:tcPr>
            <w:tcW w:w="1475" w:type="dxa"/>
            <w:tcBorders>
              <w:top w:val="nil"/>
              <w:left w:val="nil"/>
              <w:bottom w:val="single" w:color="auto" w:sz="4" w:space="0"/>
              <w:right w:val="single" w:color="auto" w:sz="4" w:space="0"/>
            </w:tcBorders>
            <w:vAlign w:val="center"/>
          </w:tcPr>
          <w:p w14:paraId="4ADB8DC7">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736" w:type="dxa"/>
            <w:tcBorders>
              <w:top w:val="nil"/>
              <w:left w:val="nil"/>
              <w:bottom w:val="single" w:color="auto" w:sz="4" w:space="0"/>
              <w:right w:val="single" w:color="auto" w:sz="4" w:space="0"/>
            </w:tcBorders>
            <w:vAlign w:val="center"/>
          </w:tcPr>
          <w:p w14:paraId="1DF3F33D">
            <w:pPr>
              <w:widowControl/>
              <w:rPr>
                <w:rFonts w:ascii="宋体" w:hAnsi="宋体" w:cs="宋体"/>
                <w:color w:val="auto"/>
                <w:kern w:val="0"/>
                <w:sz w:val="20"/>
                <w:highlight w:val="none"/>
              </w:rPr>
            </w:pPr>
            <w:r>
              <w:rPr>
                <w:rFonts w:hint="eastAsia" w:ascii="宋体" w:hAnsi="宋体" w:cs="宋体"/>
                <w:color w:val="auto"/>
                <w:kern w:val="0"/>
                <w:sz w:val="20"/>
                <w:highlight w:val="none"/>
              </w:rPr>
              <w:t>1000≤Y＜200000</w:t>
            </w:r>
          </w:p>
        </w:tc>
        <w:tc>
          <w:tcPr>
            <w:tcW w:w="1639" w:type="dxa"/>
            <w:tcBorders>
              <w:top w:val="nil"/>
              <w:left w:val="nil"/>
              <w:bottom w:val="single" w:color="auto" w:sz="4" w:space="0"/>
              <w:right w:val="single" w:color="auto" w:sz="8" w:space="0"/>
            </w:tcBorders>
            <w:vAlign w:val="center"/>
          </w:tcPr>
          <w:p w14:paraId="5031A8C8">
            <w:pPr>
              <w:widowControl/>
              <w:rPr>
                <w:rFonts w:ascii="宋体" w:hAnsi="宋体" w:cs="宋体"/>
                <w:color w:val="auto"/>
                <w:kern w:val="0"/>
                <w:sz w:val="20"/>
                <w:highlight w:val="none"/>
              </w:rPr>
            </w:pPr>
            <w:r>
              <w:rPr>
                <w:rFonts w:hint="eastAsia" w:ascii="宋体" w:hAnsi="宋体" w:cs="宋体"/>
                <w:color w:val="auto"/>
                <w:kern w:val="0"/>
                <w:sz w:val="20"/>
                <w:highlight w:val="none"/>
              </w:rPr>
              <w:t>5000≤Z＜10000</w:t>
            </w:r>
          </w:p>
        </w:tc>
        <w:tc>
          <w:tcPr>
            <w:tcW w:w="1221" w:type="dxa"/>
            <w:tcBorders>
              <w:top w:val="nil"/>
              <w:left w:val="nil"/>
              <w:bottom w:val="single" w:color="auto" w:sz="4" w:space="0"/>
              <w:right w:val="single" w:color="auto" w:sz="4" w:space="0"/>
            </w:tcBorders>
            <w:vAlign w:val="center"/>
          </w:tcPr>
          <w:p w14:paraId="214B7DD5">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458" w:type="dxa"/>
            <w:tcBorders>
              <w:top w:val="nil"/>
              <w:left w:val="nil"/>
              <w:bottom w:val="single" w:color="auto" w:sz="4" w:space="0"/>
              <w:right w:val="single" w:color="auto" w:sz="4" w:space="0"/>
            </w:tcBorders>
            <w:vAlign w:val="center"/>
          </w:tcPr>
          <w:p w14:paraId="4D15F120">
            <w:pPr>
              <w:widowControl/>
              <w:rPr>
                <w:rFonts w:ascii="宋体" w:hAnsi="宋体" w:cs="宋体"/>
                <w:color w:val="auto"/>
                <w:kern w:val="0"/>
                <w:sz w:val="20"/>
                <w:highlight w:val="none"/>
              </w:rPr>
            </w:pPr>
            <w:r>
              <w:rPr>
                <w:rFonts w:hint="eastAsia" w:ascii="宋体" w:hAnsi="宋体" w:cs="宋体"/>
                <w:color w:val="auto"/>
                <w:kern w:val="0"/>
                <w:sz w:val="20"/>
                <w:highlight w:val="none"/>
              </w:rPr>
              <w:t>100≤Y＜1000</w:t>
            </w:r>
          </w:p>
        </w:tc>
        <w:tc>
          <w:tcPr>
            <w:tcW w:w="1501" w:type="dxa"/>
            <w:tcBorders>
              <w:top w:val="nil"/>
              <w:left w:val="nil"/>
              <w:bottom w:val="single" w:color="auto" w:sz="4" w:space="0"/>
              <w:right w:val="single" w:color="auto" w:sz="8" w:space="0"/>
            </w:tcBorders>
            <w:vAlign w:val="center"/>
          </w:tcPr>
          <w:p w14:paraId="301231D9">
            <w:pPr>
              <w:widowControl/>
              <w:rPr>
                <w:rFonts w:ascii="宋体" w:hAnsi="宋体" w:cs="宋体"/>
                <w:color w:val="auto"/>
                <w:kern w:val="0"/>
                <w:sz w:val="20"/>
                <w:highlight w:val="none"/>
              </w:rPr>
            </w:pPr>
            <w:r>
              <w:rPr>
                <w:rFonts w:hint="eastAsia" w:ascii="宋体" w:hAnsi="宋体" w:cs="宋体"/>
                <w:color w:val="auto"/>
                <w:kern w:val="0"/>
                <w:sz w:val="20"/>
                <w:highlight w:val="none"/>
              </w:rPr>
              <w:t>2000≤Z＜5000</w:t>
            </w:r>
          </w:p>
        </w:tc>
        <w:tc>
          <w:tcPr>
            <w:tcW w:w="1265" w:type="dxa"/>
            <w:tcBorders>
              <w:top w:val="nil"/>
              <w:left w:val="nil"/>
              <w:bottom w:val="single" w:color="auto" w:sz="4" w:space="0"/>
              <w:right w:val="single" w:color="auto" w:sz="4" w:space="0"/>
            </w:tcBorders>
            <w:vAlign w:val="center"/>
          </w:tcPr>
          <w:p w14:paraId="2779BC6F">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56" w:type="dxa"/>
            <w:tcBorders>
              <w:top w:val="nil"/>
              <w:left w:val="nil"/>
              <w:bottom w:val="single" w:color="auto" w:sz="4" w:space="0"/>
              <w:right w:val="single" w:color="auto" w:sz="4" w:space="0"/>
            </w:tcBorders>
            <w:vAlign w:val="center"/>
          </w:tcPr>
          <w:p w14:paraId="0B9E3A35">
            <w:pPr>
              <w:widowControl/>
              <w:rPr>
                <w:rFonts w:ascii="宋体" w:hAnsi="宋体" w:cs="宋体"/>
                <w:color w:val="auto"/>
                <w:kern w:val="0"/>
                <w:sz w:val="20"/>
                <w:highlight w:val="none"/>
              </w:rPr>
            </w:pPr>
            <w:r>
              <w:rPr>
                <w:rFonts w:hint="eastAsia" w:ascii="宋体" w:hAnsi="宋体" w:cs="宋体"/>
                <w:color w:val="auto"/>
                <w:kern w:val="0"/>
                <w:sz w:val="20"/>
                <w:highlight w:val="none"/>
              </w:rPr>
              <w:t>Y＜100</w:t>
            </w:r>
          </w:p>
        </w:tc>
        <w:tc>
          <w:tcPr>
            <w:tcW w:w="1205" w:type="dxa"/>
            <w:tcBorders>
              <w:top w:val="nil"/>
              <w:left w:val="nil"/>
              <w:bottom w:val="single" w:color="auto" w:sz="4" w:space="0"/>
              <w:right w:val="single" w:color="auto" w:sz="8" w:space="0"/>
            </w:tcBorders>
            <w:vAlign w:val="center"/>
          </w:tcPr>
          <w:p w14:paraId="4B18B0E5">
            <w:pPr>
              <w:widowControl/>
              <w:rPr>
                <w:rFonts w:ascii="宋体" w:hAnsi="宋体" w:cs="宋体"/>
                <w:color w:val="auto"/>
                <w:kern w:val="0"/>
                <w:sz w:val="20"/>
                <w:highlight w:val="none"/>
              </w:rPr>
            </w:pPr>
            <w:r>
              <w:rPr>
                <w:rFonts w:hint="eastAsia" w:ascii="宋体" w:hAnsi="宋体" w:cs="宋体"/>
                <w:color w:val="auto"/>
                <w:kern w:val="0"/>
                <w:sz w:val="20"/>
                <w:highlight w:val="none"/>
              </w:rPr>
              <w:t>Z＜2000</w:t>
            </w:r>
          </w:p>
        </w:tc>
      </w:tr>
      <w:tr w14:paraId="568BD87F">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3A093ED3">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14</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物业管理</w:t>
            </w:r>
          </w:p>
        </w:tc>
        <w:tc>
          <w:tcPr>
            <w:tcW w:w="1475" w:type="dxa"/>
            <w:tcBorders>
              <w:top w:val="nil"/>
              <w:left w:val="nil"/>
              <w:bottom w:val="single" w:color="auto" w:sz="4" w:space="0"/>
              <w:right w:val="single" w:color="auto" w:sz="4" w:space="0"/>
            </w:tcBorders>
            <w:vAlign w:val="center"/>
          </w:tcPr>
          <w:p w14:paraId="0EE02D31">
            <w:pPr>
              <w:widowControl/>
              <w:rPr>
                <w:rFonts w:ascii="宋体" w:hAnsi="宋体" w:cs="宋体"/>
                <w:color w:val="auto"/>
                <w:kern w:val="0"/>
                <w:sz w:val="20"/>
                <w:highlight w:val="none"/>
              </w:rPr>
            </w:pPr>
            <w:r>
              <w:rPr>
                <w:rFonts w:hint="eastAsia" w:ascii="宋体" w:hAnsi="宋体" w:cs="宋体"/>
                <w:color w:val="auto"/>
                <w:kern w:val="0"/>
                <w:sz w:val="20"/>
                <w:highlight w:val="none"/>
              </w:rPr>
              <w:t>300≤X＜1000</w:t>
            </w:r>
          </w:p>
        </w:tc>
        <w:tc>
          <w:tcPr>
            <w:tcW w:w="1736" w:type="dxa"/>
            <w:tcBorders>
              <w:top w:val="nil"/>
              <w:left w:val="nil"/>
              <w:bottom w:val="single" w:color="auto" w:sz="4" w:space="0"/>
              <w:right w:val="single" w:color="auto" w:sz="4" w:space="0"/>
            </w:tcBorders>
            <w:vAlign w:val="center"/>
          </w:tcPr>
          <w:p w14:paraId="5B4C4A9D">
            <w:pPr>
              <w:widowControl/>
              <w:rPr>
                <w:rFonts w:ascii="宋体" w:hAnsi="宋体" w:cs="宋体"/>
                <w:color w:val="auto"/>
                <w:kern w:val="0"/>
                <w:sz w:val="20"/>
                <w:highlight w:val="none"/>
              </w:rPr>
            </w:pPr>
            <w:r>
              <w:rPr>
                <w:rFonts w:hint="eastAsia" w:ascii="宋体" w:hAnsi="宋体" w:cs="宋体"/>
                <w:color w:val="auto"/>
                <w:kern w:val="0"/>
                <w:sz w:val="20"/>
                <w:highlight w:val="none"/>
              </w:rPr>
              <w:t>1000≤Y＜5000</w:t>
            </w:r>
          </w:p>
        </w:tc>
        <w:tc>
          <w:tcPr>
            <w:tcW w:w="1639" w:type="dxa"/>
            <w:tcBorders>
              <w:top w:val="nil"/>
              <w:left w:val="nil"/>
              <w:bottom w:val="single" w:color="auto" w:sz="4" w:space="0"/>
              <w:right w:val="single" w:color="auto" w:sz="8" w:space="0"/>
            </w:tcBorders>
            <w:vAlign w:val="center"/>
          </w:tcPr>
          <w:p w14:paraId="228BF8B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4" w:space="0"/>
              <w:right w:val="single" w:color="auto" w:sz="4" w:space="0"/>
            </w:tcBorders>
            <w:vAlign w:val="center"/>
          </w:tcPr>
          <w:p w14:paraId="438C27C4">
            <w:pPr>
              <w:widowControl/>
              <w:rPr>
                <w:rFonts w:ascii="宋体" w:hAnsi="宋体" w:cs="宋体"/>
                <w:color w:val="auto"/>
                <w:kern w:val="0"/>
                <w:sz w:val="20"/>
                <w:highlight w:val="none"/>
              </w:rPr>
            </w:pPr>
            <w:r>
              <w:rPr>
                <w:rFonts w:hint="eastAsia" w:ascii="宋体" w:hAnsi="宋体" w:cs="宋体"/>
                <w:color w:val="auto"/>
                <w:kern w:val="0"/>
                <w:sz w:val="20"/>
                <w:highlight w:val="none"/>
              </w:rPr>
              <w:t>100≤X＜300</w:t>
            </w:r>
          </w:p>
        </w:tc>
        <w:tc>
          <w:tcPr>
            <w:tcW w:w="1458" w:type="dxa"/>
            <w:tcBorders>
              <w:top w:val="nil"/>
              <w:left w:val="nil"/>
              <w:bottom w:val="single" w:color="auto" w:sz="4" w:space="0"/>
              <w:right w:val="single" w:color="auto" w:sz="4" w:space="0"/>
            </w:tcBorders>
            <w:vAlign w:val="center"/>
          </w:tcPr>
          <w:p w14:paraId="62A2D089">
            <w:pPr>
              <w:widowControl/>
              <w:rPr>
                <w:rFonts w:ascii="宋体" w:hAnsi="宋体" w:cs="宋体"/>
                <w:color w:val="auto"/>
                <w:kern w:val="0"/>
                <w:sz w:val="20"/>
                <w:highlight w:val="none"/>
              </w:rPr>
            </w:pPr>
            <w:r>
              <w:rPr>
                <w:rFonts w:hint="eastAsia" w:ascii="宋体" w:hAnsi="宋体" w:cs="宋体"/>
                <w:color w:val="auto"/>
                <w:kern w:val="0"/>
                <w:sz w:val="20"/>
                <w:highlight w:val="none"/>
              </w:rPr>
              <w:t>500≤Y＜1000</w:t>
            </w:r>
          </w:p>
        </w:tc>
        <w:tc>
          <w:tcPr>
            <w:tcW w:w="1501" w:type="dxa"/>
            <w:tcBorders>
              <w:top w:val="nil"/>
              <w:left w:val="nil"/>
              <w:bottom w:val="single" w:color="auto" w:sz="4" w:space="0"/>
              <w:right w:val="single" w:color="auto" w:sz="8" w:space="0"/>
            </w:tcBorders>
            <w:vAlign w:val="center"/>
          </w:tcPr>
          <w:p w14:paraId="384B3B7E">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4" w:space="0"/>
              <w:right w:val="single" w:color="auto" w:sz="4" w:space="0"/>
            </w:tcBorders>
            <w:vAlign w:val="center"/>
          </w:tcPr>
          <w:p w14:paraId="165FD0AB">
            <w:pPr>
              <w:widowControl/>
              <w:rPr>
                <w:rFonts w:ascii="宋体" w:hAnsi="宋体" w:cs="宋体"/>
                <w:color w:val="auto"/>
                <w:kern w:val="0"/>
                <w:sz w:val="20"/>
                <w:highlight w:val="none"/>
              </w:rPr>
            </w:pPr>
            <w:r>
              <w:rPr>
                <w:rFonts w:hint="eastAsia" w:ascii="宋体" w:hAnsi="宋体" w:cs="宋体"/>
                <w:color w:val="auto"/>
                <w:kern w:val="0"/>
                <w:sz w:val="20"/>
                <w:highlight w:val="none"/>
              </w:rPr>
              <w:t>X＜100</w:t>
            </w:r>
          </w:p>
        </w:tc>
        <w:tc>
          <w:tcPr>
            <w:tcW w:w="1256" w:type="dxa"/>
            <w:tcBorders>
              <w:top w:val="nil"/>
              <w:left w:val="nil"/>
              <w:bottom w:val="single" w:color="auto" w:sz="4" w:space="0"/>
              <w:right w:val="single" w:color="auto" w:sz="4" w:space="0"/>
            </w:tcBorders>
            <w:vAlign w:val="center"/>
          </w:tcPr>
          <w:p w14:paraId="5ECE3347">
            <w:pPr>
              <w:widowControl/>
              <w:rPr>
                <w:rFonts w:ascii="宋体" w:hAnsi="宋体" w:cs="宋体"/>
                <w:color w:val="auto"/>
                <w:kern w:val="0"/>
                <w:sz w:val="20"/>
                <w:highlight w:val="none"/>
              </w:rPr>
            </w:pPr>
            <w:r>
              <w:rPr>
                <w:rFonts w:hint="eastAsia" w:ascii="宋体" w:hAnsi="宋体" w:cs="宋体"/>
                <w:color w:val="auto"/>
                <w:kern w:val="0"/>
                <w:sz w:val="20"/>
                <w:highlight w:val="none"/>
              </w:rPr>
              <w:t>Y＜500</w:t>
            </w:r>
          </w:p>
        </w:tc>
        <w:tc>
          <w:tcPr>
            <w:tcW w:w="1205" w:type="dxa"/>
            <w:tcBorders>
              <w:top w:val="nil"/>
              <w:left w:val="nil"/>
              <w:bottom w:val="single" w:color="auto" w:sz="4" w:space="0"/>
              <w:right w:val="single" w:color="auto" w:sz="8" w:space="0"/>
            </w:tcBorders>
            <w:vAlign w:val="center"/>
          </w:tcPr>
          <w:p w14:paraId="6305D2F9">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04855CF2">
        <w:tblPrEx>
          <w:tblCellMar>
            <w:top w:w="0" w:type="dxa"/>
            <w:left w:w="108" w:type="dxa"/>
            <w:bottom w:w="0" w:type="dxa"/>
            <w:right w:w="108" w:type="dxa"/>
          </w:tblCellMar>
        </w:tblPrEx>
        <w:trPr>
          <w:gridAfter w:val="1"/>
          <w:wAfter w:w="10" w:type="dxa"/>
          <w:trHeight w:val="550" w:hRule="atLeast"/>
          <w:jc w:val="center"/>
        </w:trPr>
        <w:tc>
          <w:tcPr>
            <w:tcW w:w="1954" w:type="dxa"/>
            <w:tcBorders>
              <w:top w:val="nil"/>
              <w:left w:val="single" w:color="auto" w:sz="8" w:space="0"/>
              <w:bottom w:val="single" w:color="auto" w:sz="4" w:space="0"/>
              <w:right w:val="single" w:color="auto" w:sz="8" w:space="0"/>
            </w:tcBorders>
            <w:vAlign w:val="center"/>
          </w:tcPr>
          <w:p w14:paraId="0E598C28">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15</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租赁和商务服务业</w:t>
            </w:r>
          </w:p>
        </w:tc>
        <w:tc>
          <w:tcPr>
            <w:tcW w:w="1475" w:type="dxa"/>
            <w:tcBorders>
              <w:top w:val="nil"/>
              <w:left w:val="nil"/>
              <w:bottom w:val="single" w:color="auto" w:sz="4" w:space="0"/>
              <w:right w:val="single" w:color="auto" w:sz="4" w:space="0"/>
            </w:tcBorders>
            <w:vAlign w:val="center"/>
          </w:tcPr>
          <w:p w14:paraId="44F363DA">
            <w:pPr>
              <w:widowControl/>
              <w:rPr>
                <w:rFonts w:ascii="宋体" w:hAnsi="宋体" w:cs="宋体"/>
                <w:color w:val="auto"/>
                <w:kern w:val="0"/>
                <w:sz w:val="20"/>
                <w:highlight w:val="none"/>
              </w:rPr>
            </w:pPr>
            <w:r>
              <w:rPr>
                <w:rFonts w:hint="eastAsia" w:ascii="宋体" w:hAnsi="宋体" w:cs="宋体"/>
                <w:color w:val="auto"/>
                <w:kern w:val="0"/>
                <w:sz w:val="20"/>
                <w:highlight w:val="none"/>
              </w:rPr>
              <w:t>100≤X＜300</w:t>
            </w:r>
          </w:p>
        </w:tc>
        <w:tc>
          <w:tcPr>
            <w:tcW w:w="1736" w:type="dxa"/>
            <w:tcBorders>
              <w:top w:val="nil"/>
              <w:left w:val="nil"/>
              <w:bottom w:val="single" w:color="auto" w:sz="4" w:space="0"/>
              <w:right w:val="single" w:color="auto" w:sz="4" w:space="0"/>
            </w:tcBorders>
            <w:vAlign w:val="center"/>
          </w:tcPr>
          <w:p w14:paraId="46A8F740">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639" w:type="dxa"/>
            <w:tcBorders>
              <w:top w:val="nil"/>
              <w:left w:val="nil"/>
              <w:bottom w:val="single" w:color="auto" w:sz="4" w:space="0"/>
              <w:right w:val="single" w:color="auto" w:sz="8" w:space="0"/>
            </w:tcBorders>
            <w:vAlign w:val="center"/>
          </w:tcPr>
          <w:p w14:paraId="71BB6810">
            <w:pPr>
              <w:widowControl/>
              <w:rPr>
                <w:rFonts w:ascii="宋体" w:hAnsi="宋体" w:cs="宋体"/>
                <w:color w:val="auto"/>
                <w:kern w:val="0"/>
                <w:sz w:val="20"/>
                <w:highlight w:val="none"/>
              </w:rPr>
            </w:pPr>
            <w:r>
              <w:rPr>
                <w:rFonts w:hint="eastAsia" w:ascii="宋体" w:hAnsi="宋体" w:cs="宋体"/>
                <w:color w:val="auto"/>
                <w:kern w:val="0"/>
                <w:sz w:val="20"/>
                <w:highlight w:val="none"/>
              </w:rPr>
              <w:t>8000≤Z＜120000</w:t>
            </w:r>
          </w:p>
        </w:tc>
        <w:tc>
          <w:tcPr>
            <w:tcW w:w="1221" w:type="dxa"/>
            <w:tcBorders>
              <w:top w:val="nil"/>
              <w:left w:val="nil"/>
              <w:bottom w:val="single" w:color="auto" w:sz="4" w:space="0"/>
              <w:right w:val="single" w:color="auto" w:sz="4" w:space="0"/>
            </w:tcBorders>
            <w:vAlign w:val="center"/>
          </w:tcPr>
          <w:p w14:paraId="0BD38953">
            <w:pPr>
              <w:widowControl/>
              <w:rPr>
                <w:rFonts w:ascii="宋体" w:hAnsi="宋体" w:cs="宋体"/>
                <w:color w:val="auto"/>
                <w:kern w:val="0"/>
                <w:sz w:val="20"/>
                <w:highlight w:val="none"/>
              </w:rPr>
            </w:pPr>
            <w:r>
              <w:rPr>
                <w:rFonts w:hint="eastAsia" w:ascii="宋体" w:hAnsi="宋体" w:cs="宋体"/>
                <w:color w:val="auto"/>
                <w:kern w:val="0"/>
                <w:sz w:val="20"/>
                <w:highlight w:val="none"/>
              </w:rPr>
              <w:t>10≤X＜100</w:t>
            </w:r>
          </w:p>
        </w:tc>
        <w:tc>
          <w:tcPr>
            <w:tcW w:w="1458" w:type="dxa"/>
            <w:tcBorders>
              <w:top w:val="nil"/>
              <w:left w:val="nil"/>
              <w:bottom w:val="single" w:color="auto" w:sz="4" w:space="0"/>
              <w:right w:val="single" w:color="auto" w:sz="4" w:space="0"/>
            </w:tcBorders>
            <w:vAlign w:val="center"/>
          </w:tcPr>
          <w:p w14:paraId="2CA32E6E">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501" w:type="dxa"/>
            <w:tcBorders>
              <w:top w:val="nil"/>
              <w:left w:val="nil"/>
              <w:bottom w:val="single" w:color="auto" w:sz="4" w:space="0"/>
              <w:right w:val="single" w:color="auto" w:sz="8" w:space="0"/>
            </w:tcBorders>
            <w:vAlign w:val="center"/>
          </w:tcPr>
          <w:p w14:paraId="10A27117">
            <w:pPr>
              <w:widowControl/>
              <w:rPr>
                <w:rFonts w:ascii="宋体" w:hAnsi="宋体" w:cs="宋体"/>
                <w:color w:val="auto"/>
                <w:kern w:val="0"/>
                <w:sz w:val="20"/>
                <w:highlight w:val="none"/>
              </w:rPr>
            </w:pPr>
            <w:r>
              <w:rPr>
                <w:rFonts w:hint="eastAsia" w:ascii="宋体" w:hAnsi="宋体" w:cs="宋体"/>
                <w:color w:val="auto"/>
                <w:kern w:val="0"/>
                <w:sz w:val="20"/>
                <w:highlight w:val="none"/>
              </w:rPr>
              <w:t>100≤Z＜8000</w:t>
            </w:r>
          </w:p>
        </w:tc>
        <w:tc>
          <w:tcPr>
            <w:tcW w:w="1265" w:type="dxa"/>
            <w:tcBorders>
              <w:top w:val="nil"/>
              <w:left w:val="nil"/>
              <w:bottom w:val="single" w:color="auto" w:sz="4" w:space="0"/>
              <w:right w:val="single" w:color="auto" w:sz="4" w:space="0"/>
            </w:tcBorders>
            <w:vAlign w:val="center"/>
          </w:tcPr>
          <w:p w14:paraId="2DB8D46A">
            <w:pPr>
              <w:widowControl/>
              <w:rPr>
                <w:rFonts w:ascii="宋体" w:hAnsi="宋体" w:cs="宋体"/>
                <w:color w:val="auto"/>
                <w:kern w:val="0"/>
                <w:sz w:val="20"/>
                <w:highlight w:val="none"/>
              </w:rPr>
            </w:pPr>
            <w:r>
              <w:rPr>
                <w:rFonts w:hint="eastAsia" w:ascii="宋体" w:hAnsi="宋体" w:cs="宋体"/>
                <w:color w:val="auto"/>
                <w:kern w:val="0"/>
                <w:sz w:val="20"/>
                <w:highlight w:val="none"/>
              </w:rPr>
              <w:t>X＜10</w:t>
            </w:r>
          </w:p>
        </w:tc>
        <w:tc>
          <w:tcPr>
            <w:tcW w:w="1256" w:type="dxa"/>
            <w:tcBorders>
              <w:top w:val="nil"/>
              <w:left w:val="nil"/>
              <w:bottom w:val="single" w:color="auto" w:sz="4" w:space="0"/>
              <w:right w:val="single" w:color="auto" w:sz="4" w:space="0"/>
            </w:tcBorders>
            <w:vAlign w:val="center"/>
          </w:tcPr>
          <w:p w14:paraId="4793B4F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05" w:type="dxa"/>
            <w:tcBorders>
              <w:top w:val="nil"/>
              <w:left w:val="nil"/>
              <w:bottom w:val="single" w:color="auto" w:sz="4" w:space="0"/>
              <w:right w:val="single" w:color="auto" w:sz="8" w:space="0"/>
            </w:tcBorders>
            <w:vAlign w:val="center"/>
          </w:tcPr>
          <w:p w14:paraId="5FAFEA9D">
            <w:pPr>
              <w:widowControl/>
              <w:rPr>
                <w:rFonts w:ascii="宋体" w:hAnsi="宋体" w:cs="宋体"/>
                <w:color w:val="auto"/>
                <w:kern w:val="0"/>
                <w:sz w:val="20"/>
                <w:highlight w:val="none"/>
              </w:rPr>
            </w:pPr>
            <w:r>
              <w:rPr>
                <w:rFonts w:hint="eastAsia" w:ascii="宋体" w:hAnsi="宋体" w:cs="宋体"/>
                <w:color w:val="auto"/>
                <w:kern w:val="0"/>
                <w:sz w:val="20"/>
                <w:highlight w:val="none"/>
              </w:rPr>
              <w:t>Z＜100</w:t>
            </w:r>
          </w:p>
        </w:tc>
      </w:tr>
      <w:tr w14:paraId="7DE27832">
        <w:tblPrEx>
          <w:tblCellMar>
            <w:top w:w="0" w:type="dxa"/>
            <w:left w:w="108" w:type="dxa"/>
            <w:bottom w:w="0" w:type="dxa"/>
            <w:right w:w="108" w:type="dxa"/>
          </w:tblCellMar>
        </w:tblPrEx>
        <w:trPr>
          <w:gridAfter w:val="1"/>
          <w:wAfter w:w="10" w:type="dxa"/>
          <w:trHeight w:val="280" w:hRule="atLeast"/>
          <w:jc w:val="center"/>
        </w:trPr>
        <w:tc>
          <w:tcPr>
            <w:tcW w:w="1954" w:type="dxa"/>
            <w:tcBorders>
              <w:top w:val="nil"/>
              <w:left w:val="single" w:color="auto" w:sz="8" w:space="0"/>
              <w:bottom w:val="single" w:color="auto" w:sz="8" w:space="0"/>
              <w:right w:val="single" w:color="auto" w:sz="8" w:space="0"/>
            </w:tcBorders>
            <w:vAlign w:val="center"/>
          </w:tcPr>
          <w:p w14:paraId="34B2E608">
            <w:pPr>
              <w:widowControl/>
              <w:jc w:val="both"/>
              <w:rPr>
                <w:rFonts w:ascii="宋体" w:hAnsi="宋体" w:cs="宋体"/>
                <w:color w:val="auto"/>
                <w:kern w:val="0"/>
                <w:sz w:val="20"/>
                <w:highlight w:val="none"/>
              </w:rPr>
            </w:pPr>
            <w:r>
              <w:rPr>
                <w:rFonts w:hint="eastAsia" w:ascii="宋体" w:hAnsi="宋体" w:cs="宋体"/>
                <w:color w:val="auto"/>
                <w:kern w:val="0"/>
                <w:sz w:val="20"/>
                <w:highlight w:val="none"/>
              </w:rPr>
              <w:t>16</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其他未列明行业</w:t>
            </w:r>
          </w:p>
        </w:tc>
        <w:tc>
          <w:tcPr>
            <w:tcW w:w="1475" w:type="dxa"/>
            <w:tcBorders>
              <w:top w:val="nil"/>
              <w:left w:val="nil"/>
              <w:bottom w:val="single" w:color="auto" w:sz="8" w:space="0"/>
              <w:right w:val="single" w:color="auto" w:sz="4" w:space="0"/>
            </w:tcBorders>
            <w:vAlign w:val="center"/>
          </w:tcPr>
          <w:p w14:paraId="11D0CFD7">
            <w:pPr>
              <w:widowControl/>
              <w:rPr>
                <w:rFonts w:ascii="宋体" w:hAnsi="宋体" w:cs="宋体"/>
                <w:color w:val="auto"/>
                <w:kern w:val="0"/>
                <w:sz w:val="20"/>
                <w:highlight w:val="none"/>
              </w:rPr>
            </w:pPr>
            <w:r>
              <w:rPr>
                <w:rFonts w:hint="eastAsia" w:ascii="宋体" w:hAnsi="宋体" w:cs="宋体"/>
                <w:color w:val="auto"/>
                <w:kern w:val="0"/>
                <w:sz w:val="20"/>
                <w:highlight w:val="none"/>
              </w:rPr>
              <w:t>100≤X＜300</w:t>
            </w:r>
          </w:p>
        </w:tc>
        <w:tc>
          <w:tcPr>
            <w:tcW w:w="1736" w:type="dxa"/>
            <w:tcBorders>
              <w:top w:val="nil"/>
              <w:left w:val="nil"/>
              <w:bottom w:val="single" w:color="auto" w:sz="8" w:space="0"/>
              <w:right w:val="single" w:color="auto" w:sz="4" w:space="0"/>
            </w:tcBorders>
            <w:vAlign w:val="center"/>
          </w:tcPr>
          <w:p w14:paraId="32DBF3EC">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639" w:type="dxa"/>
            <w:tcBorders>
              <w:top w:val="nil"/>
              <w:left w:val="nil"/>
              <w:bottom w:val="single" w:color="auto" w:sz="8" w:space="0"/>
              <w:right w:val="single" w:color="auto" w:sz="8" w:space="0"/>
            </w:tcBorders>
            <w:vAlign w:val="center"/>
          </w:tcPr>
          <w:p w14:paraId="60CFE15A">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21" w:type="dxa"/>
            <w:tcBorders>
              <w:top w:val="nil"/>
              <w:left w:val="nil"/>
              <w:bottom w:val="single" w:color="auto" w:sz="8" w:space="0"/>
              <w:right w:val="single" w:color="auto" w:sz="4" w:space="0"/>
            </w:tcBorders>
            <w:vAlign w:val="center"/>
          </w:tcPr>
          <w:p w14:paraId="79470C00">
            <w:pPr>
              <w:widowControl/>
              <w:rPr>
                <w:rFonts w:ascii="宋体" w:hAnsi="宋体" w:cs="宋体"/>
                <w:color w:val="auto"/>
                <w:kern w:val="0"/>
                <w:sz w:val="20"/>
                <w:highlight w:val="none"/>
              </w:rPr>
            </w:pPr>
            <w:r>
              <w:rPr>
                <w:rFonts w:hint="eastAsia" w:ascii="宋体" w:hAnsi="宋体" w:cs="宋体"/>
                <w:color w:val="auto"/>
                <w:kern w:val="0"/>
                <w:sz w:val="20"/>
                <w:highlight w:val="none"/>
              </w:rPr>
              <w:t>10≤X＜100</w:t>
            </w:r>
          </w:p>
        </w:tc>
        <w:tc>
          <w:tcPr>
            <w:tcW w:w="1458" w:type="dxa"/>
            <w:tcBorders>
              <w:top w:val="nil"/>
              <w:left w:val="nil"/>
              <w:bottom w:val="single" w:color="auto" w:sz="8" w:space="0"/>
              <w:right w:val="single" w:color="auto" w:sz="4" w:space="0"/>
            </w:tcBorders>
            <w:vAlign w:val="center"/>
          </w:tcPr>
          <w:p w14:paraId="72F37A09">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501" w:type="dxa"/>
            <w:tcBorders>
              <w:top w:val="nil"/>
              <w:left w:val="nil"/>
              <w:bottom w:val="single" w:color="auto" w:sz="8" w:space="0"/>
              <w:right w:val="single" w:color="auto" w:sz="8" w:space="0"/>
            </w:tcBorders>
            <w:vAlign w:val="center"/>
          </w:tcPr>
          <w:p w14:paraId="270F0BBE">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65" w:type="dxa"/>
            <w:tcBorders>
              <w:top w:val="nil"/>
              <w:left w:val="nil"/>
              <w:bottom w:val="single" w:color="auto" w:sz="8" w:space="0"/>
              <w:right w:val="single" w:color="auto" w:sz="4" w:space="0"/>
            </w:tcBorders>
            <w:vAlign w:val="center"/>
          </w:tcPr>
          <w:p w14:paraId="5E80FEB8">
            <w:pPr>
              <w:widowControl/>
              <w:rPr>
                <w:rFonts w:ascii="宋体" w:hAnsi="宋体" w:cs="宋体"/>
                <w:color w:val="auto"/>
                <w:kern w:val="0"/>
                <w:sz w:val="20"/>
                <w:highlight w:val="none"/>
              </w:rPr>
            </w:pPr>
            <w:r>
              <w:rPr>
                <w:rFonts w:hint="eastAsia" w:ascii="宋体" w:hAnsi="宋体" w:cs="宋体"/>
                <w:color w:val="auto"/>
                <w:kern w:val="0"/>
                <w:sz w:val="20"/>
                <w:highlight w:val="none"/>
              </w:rPr>
              <w:t>X＜10</w:t>
            </w:r>
          </w:p>
        </w:tc>
        <w:tc>
          <w:tcPr>
            <w:tcW w:w="1256" w:type="dxa"/>
            <w:tcBorders>
              <w:top w:val="nil"/>
              <w:left w:val="nil"/>
              <w:bottom w:val="single" w:color="auto" w:sz="8" w:space="0"/>
              <w:right w:val="single" w:color="auto" w:sz="4" w:space="0"/>
            </w:tcBorders>
            <w:vAlign w:val="center"/>
          </w:tcPr>
          <w:p w14:paraId="730CA30B">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c>
          <w:tcPr>
            <w:tcW w:w="1205" w:type="dxa"/>
            <w:tcBorders>
              <w:top w:val="nil"/>
              <w:left w:val="nil"/>
              <w:bottom w:val="single" w:color="auto" w:sz="8" w:space="0"/>
              <w:right w:val="single" w:color="auto" w:sz="8" w:space="0"/>
            </w:tcBorders>
            <w:vAlign w:val="center"/>
          </w:tcPr>
          <w:p w14:paraId="6C95222F">
            <w:pPr>
              <w:widowControl/>
              <w:rPr>
                <w:rFonts w:ascii="宋体" w:hAnsi="宋体" w:cs="宋体"/>
                <w:color w:val="auto"/>
                <w:kern w:val="0"/>
                <w:sz w:val="20"/>
                <w:highlight w:val="none"/>
              </w:rPr>
            </w:pPr>
            <w:r>
              <w:rPr>
                <w:rFonts w:hint="eastAsia" w:ascii="宋体" w:hAnsi="宋体" w:cs="宋体"/>
                <w:color w:val="auto"/>
                <w:kern w:val="0"/>
                <w:sz w:val="20"/>
                <w:highlight w:val="none"/>
              </w:rPr>
              <w:t>　</w:t>
            </w:r>
          </w:p>
        </w:tc>
      </w:tr>
      <w:tr w14:paraId="13BAF268">
        <w:tblPrEx>
          <w:tblCellMar>
            <w:top w:w="0" w:type="dxa"/>
            <w:left w:w="108" w:type="dxa"/>
            <w:bottom w:w="0" w:type="dxa"/>
            <w:right w:w="108" w:type="dxa"/>
          </w:tblCellMar>
        </w:tblPrEx>
        <w:trPr>
          <w:trHeight w:val="832" w:hRule="atLeast"/>
          <w:jc w:val="center"/>
        </w:trPr>
        <w:tc>
          <w:tcPr>
            <w:tcW w:w="14720" w:type="dxa"/>
            <w:gridSpan w:val="11"/>
            <w:tcBorders>
              <w:top w:val="nil"/>
              <w:left w:val="nil"/>
              <w:bottom w:val="nil"/>
              <w:right w:val="nil"/>
            </w:tcBorders>
            <w:vAlign w:val="bottom"/>
          </w:tcPr>
          <w:p w14:paraId="54933E2F">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说明　1</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企业类型的划分以统计部门的统计数据为依据。</w:t>
            </w:r>
          </w:p>
          <w:p w14:paraId="7EFA2625">
            <w:pPr>
              <w:widowControl/>
              <w:ind w:firstLine="600" w:firstLineChars="300"/>
              <w:jc w:val="left"/>
              <w:rPr>
                <w:rFonts w:ascii="宋体" w:hAnsi="宋体" w:cs="宋体"/>
                <w:color w:val="auto"/>
                <w:kern w:val="0"/>
                <w:sz w:val="20"/>
                <w:highlight w:val="none"/>
              </w:rPr>
            </w:pPr>
            <w:r>
              <w:rPr>
                <w:rFonts w:hint="eastAsia" w:ascii="宋体" w:hAnsi="宋体" w:cs="宋体"/>
                <w:color w:val="auto"/>
                <w:kern w:val="0"/>
                <w:sz w:val="20"/>
                <w:highlight w:val="none"/>
              </w:rPr>
              <w:t>2</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个体工商户和本规定以外的行业，参照本规定进行划型。</w:t>
            </w:r>
          </w:p>
          <w:p w14:paraId="249FB300">
            <w:pPr>
              <w:widowControl/>
              <w:ind w:firstLine="600" w:firstLineChars="300"/>
              <w:jc w:val="left"/>
              <w:rPr>
                <w:rFonts w:ascii="宋体" w:hAnsi="宋体" w:cs="宋体"/>
                <w:color w:val="auto"/>
                <w:kern w:val="0"/>
                <w:sz w:val="20"/>
                <w:highlight w:val="none"/>
              </w:rPr>
            </w:pPr>
            <w:r>
              <w:rPr>
                <w:rFonts w:hint="eastAsia" w:ascii="宋体" w:hAnsi="宋体" w:cs="宋体"/>
                <w:color w:val="auto"/>
                <w:kern w:val="0"/>
                <w:sz w:val="20"/>
                <w:highlight w:val="none"/>
              </w:rPr>
              <w:t>3</w:t>
            </w:r>
            <w:r>
              <w:rPr>
                <w:rFonts w:hint="eastAsia" w:ascii="宋体" w:hAnsi="宋体" w:cs="宋体"/>
                <w:color w:val="auto"/>
                <w:kern w:val="0"/>
                <w:sz w:val="20"/>
                <w:highlight w:val="none"/>
                <w:lang w:val="en-US" w:eastAsia="zh-CN"/>
              </w:rPr>
              <w:t>.</w:t>
            </w:r>
            <w:r>
              <w:rPr>
                <w:rFonts w:hint="eastAsia" w:ascii="宋体" w:hAnsi="宋体" w:cs="宋体"/>
                <w:color w:val="auto"/>
                <w:kern w:val="0"/>
                <w:sz w:val="20"/>
                <w:highlight w:val="none"/>
              </w:rPr>
              <w:t>本规定的中型企业标准上限即为大型企业标准的下限。</w:t>
            </w:r>
          </w:p>
        </w:tc>
      </w:tr>
    </w:tbl>
    <w:p w14:paraId="4C85286B">
      <w:pPr>
        <w:pStyle w:val="3"/>
        <w:rPr>
          <w:rFonts w:hint="eastAsia"/>
        </w:rPr>
        <w:sectPr>
          <w:footerReference r:id="rId12" w:type="default"/>
          <w:pgSz w:w="16838" w:h="11905" w:orient="landscape"/>
          <w:pgMar w:top="1474" w:right="1474" w:bottom="1191" w:left="1474" w:header="907" w:footer="850" w:gutter="0"/>
          <w:pgBorders>
            <w:top w:val="none" w:sz="0" w:space="0"/>
            <w:left w:val="none" w:sz="0" w:space="0"/>
            <w:bottom w:val="none" w:sz="0" w:space="0"/>
            <w:right w:val="none" w:sz="0" w:space="0"/>
          </w:pgBorders>
          <w:pgNumType w:fmt="decimal" w:start="52"/>
          <w:cols w:space="0" w:num="1"/>
          <w:docGrid w:type="lines" w:linePitch="289" w:charSpace="0"/>
        </w:sectPr>
      </w:pPr>
    </w:p>
    <w:p w14:paraId="7BAE9464">
      <w:pPr>
        <w:pStyle w:val="264"/>
        <w:keepNext w:val="0"/>
        <w:keepLines w:val="0"/>
        <w:pageBreakBefore w:val="0"/>
        <w:widowControl w:val="0"/>
        <w:kinsoku/>
        <w:wordWrap/>
        <w:overflowPunct/>
        <w:topLinePunct w:val="0"/>
        <w:autoSpaceDE/>
        <w:autoSpaceDN/>
        <w:bidi w:val="0"/>
        <w:adjustRightInd w:val="0"/>
        <w:snapToGrid/>
        <w:spacing w:before="0" w:after="0" w:line="400" w:lineRule="exact"/>
        <w:ind w:firstLine="0"/>
        <w:jc w:val="center"/>
        <w:textAlignment w:val="baseline"/>
        <w:rPr>
          <w:rStyle w:val="117"/>
          <w:rFonts w:ascii="宋体" w:hAnsi="宋体" w:cs="宋体"/>
          <w:color w:val="auto"/>
          <w:sz w:val="32"/>
          <w:szCs w:val="32"/>
          <w:highlight w:val="none"/>
        </w:rPr>
      </w:pPr>
      <w:r>
        <w:rPr>
          <w:rStyle w:val="117"/>
          <w:rFonts w:hint="eastAsia" w:ascii="宋体" w:hAnsi="宋体" w:cs="宋体"/>
          <w:color w:val="auto"/>
          <w:sz w:val="32"/>
          <w:szCs w:val="32"/>
          <w:highlight w:val="none"/>
        </w:rPr>
        <w:t>B.商务和技术文件</w:t>
      </w:r>
      <w:bookmarkEnd w:id="72"/>
      <w:bookmarkEnd w:id="73"/>
      <w:bookmarkEnd w:id="74"/>
    </w:p>
    <w:p w14:paraId="49C26727">
      <w:pPr>
        <w:autoSpaceDE w:val="0"/>
        <w:autoSpaceDN w:val="0"/>
        <w:adjustRightInd w:val="0"/>
        <w:spacing w:line="420" w:lineRule="exact"/>
        <w:rPr>
          <w:rStyle w:val="117"/>
          <w:rFonts w:ascii="宋体" w:hAnsi="宋体" w:cs="宋体"/>
          <w:b w:val="0"/>
          <w:color w:val="auto"/>
          <w:highlight w:val="none"/>
          <w:lang w:val="zh-CN"/>
        </w:rPr>
      </w:pPr>
      <w:r>
        <w:rPr>
          <w:rStyle w:val="117"/>
          <w:rFonts w:hint="eastAsia" w:ascii="宋体" w:hAnsi="宋体" w:cs="宋体"/>
          <w:color w:val="auto"/>
          <w:sz w:val="32"/>
          <w:szCs w:val="32"/>
          <w:highlight w:val="none"/>
        </w:rPr>
        <w:br w:type="page"/>
      </w:r>
      <w:r>
        <w:rPr>
          <w:rStyle w:val="117"/>
          <w:rFonts w:hint="eastAsia" w:ascii="宋体" w:hAnsi="宋体" w:cs="宋体"/>
          <w:color w:val="auto"/>
          <w:szCs w:val="21"/>
          <w:highlight w:val="none"/>
        </w:rPr>
        <w:t>封面</w:t>
      </w:r>
    </w:p>
    <w:p w14:paraId="546042AD">
      <w:pPr>
        <w:spacing w:line="360" w:lineRule="auto"/>
        <w:ind w:firstLine="1285" w:firstLineChars="400"/>
        <w:jc w:val="right"/>
        <w:rPr>
          <w:rFonts w:ascii="宋体" w:hAnsi="宋体" w:cs="宋体"/>
          <w:b/>
          <w:color w:val="auto"/>
          <w:sz w:val="32"/>
          <w:szCs w:val="32"/>
          <w:highlight w:val="none"/>
        </w:rPr>
      </w:pPr>
    </w:p>
    <w:p w14:paraId="78008B57">
      <w:pPr>
        <w:spacing w:line="360" w:lineRule="auto"/>
        <w:rPr>
          <w:rFonts w:ascii="宋体" w:hAnsi="宋体" w:cs="宋体"/>
          <w:color w:val="auto"/>
          <w:sz w:val="28"/>
          <w:szCs w:val="28"/>
          <w:highlight w:val="none"/>
        </w:rPr>
      </w:pPr>
    </w:p>
    <w:p w14:paraId="7C0311DC">
      <w:pPr>
        <w:spacing w:after="120" w:line="900" w:lineRule="exact"/>
        <w:jc w:val="center"/>
        <w:rPr>
          <w:rFonts w:hint="eastAsia" w:ascii="宋体" w:hAnsi="宋体" w:eastAsia="宋体" w:cs="宋体"/>
          <w:b/>
          <w:color w:val="auto"/>
          <w:sz w:val="40"/>
          <w:szCs w:val="40"/>
          <w:highlight w:val="none"/>
          <w:lang w:eastAsia="zh-CN"/>
        </w:rPr>
      </w:pPr>
      <w:r>
        <w:rPr>
          <w:rFonts w:hint="eastAsia" w:ascii="宋体" w:hAnsi="宋体" w:cs="宋体"/>
          <w:b/>
          <w:color w:val="auto"/>
          <w:sz w:val="40"/>
          <w:szCs w:val="40"/>
          <w:highlight w:val="none"/>
          <w:lang w:eastAsia="zh-CN"/>
        </w:rPr>
        <w:t>宁波大学校医院信息一体化平台服务项目</w:t>
      </w:r>
    </w:p>
    <w:p w14:paraId="1014C41D">
      <w:pPr>
        <w:spacing w:line="360" w:lineRule="auto"/>
        <w:jc w:val="center"/>
        <w:rPr>
          <w:rFonts w:ascii="宋体" w:hAnsi="宋体" w:cs="宋体"/>
          <w:color w:val="auto"/>
          <w:sz w:val="36"/>
          <w:szCs w:val="36"/>
          <w:highlight w:val="none"/>
          <w:u w:val="single"/>
        </w:rPr>
      </w:pPr>
    </w:p>
    <w:p w14:paraId="52EE6DD2">
      <w:pPr>
        <w:spacing w:line="360" w:lineRule="auto"/>
        <w:jc w:val="center"/>
        <w:rPr>
          <w:rFonts w:hint="eastAsia" w:ascii="宋体" w:hAnsi="宋体" w:eastAsia="宋体" w:cs="宋体"/>
          <w:color w:val="auto"/>
          <w:sz w:val="36"/>
          <w:szCs w:val="36"/>
          <w:highlight w:val="none"/>
          <w:u w:val="single"/>
          <w:lang w:eastAsia="zh-CN"/>
        </w:rPr>
      </w:pPr>
      <w:r>
        <w:rPr>
          <w:rFonts w:hint="eastAsia" w:ascii="宋体" w:hAnsi="宋体" w:cs="宋体"/>
          <w:color w:val="auto"/>
          <w:sz w:val="36"/>
          <w:szCs w:val="36"/>
          <w:highlight w:val="none"/>
        </w:rPr>
        <w:t>项目编号：</w:t>
      </w:r>
      <w:r>
        <w:rPr>
          <w:rFonts w:hint="eastAsia" w:ascii="宋体" w:hAnsi="宋体" w:cs="宋体"/>
          <w:color w:val="auto"/>
          <w:sz w:val="36"/>
          <w:szCs w:val="36"/>
          <w:highlight w:val="none"/>
          <w:u w:val="single"/>
          <w:lang w:eastAsia="zh-CN"/>
        </w:rPr>
        <w:t>NBITC-202530430G</w:t>
      </w:r>
    </w:p>
    <w:p w14:paraId="75046454">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标    项：</w:t>
      </w:r>
      <w:r>
        <w:rPr>
          <w:rFonts w:hint="eastAsia" w:ascii="宋体" w:hAnsi="宋体" w:cs="宋体"/>
          <w:color w:val="auto"/>
          <w:sz w:val="36"/>
          <w:szCs w:val="36"/>
          <w:highlight w:val="none"/>
          <w:u w:val="single"/>
        </w:rPr>
        <w:t>（如有多个标项）</w:t>
      </w:r>
    </w:p>
    <w:p w14:paraId="4D793158">
      <w:pPr>
        <w:rPr>
          <w:rFonts w:ascii="宋体" w:hAnsi="宋体" w:cs="宋体"/>
          <w:color w:val="auto"/>
          <w:sz w:val="28"/>
          <w:szCs w:val="28"/>
          <w:highlight w:val="none"/>
        </w:rPr>
      </w:pPr>
    </w:p>
    <w:p w14:paraId="0FA75E49">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（商务和技术文件）</w:t>
      </w:r>
    </w:p>
    <w:p w14:paraId="154AB2CF">
      <w:pPr>
        <w:jc w:val="center"/>
        <w:rPr>
          <w:rFonts w:ascii="宋体" w:hAnsi="宋体" w:cs="宋体"/>
          <w:color w:val="auto"/>
          <w:sz w:val="28"/>
          <w:szCs w:val="28"/>
          <w:highlight w:val="none"/>
        </w:rPr>
      </w:pPr>
    </w:p>
    <w:p w14:paraId="0DB9F3DA">
      <w:pPr>
        <w:spacing w:line="360" w:lineRule="auto"/>
        <w:jc w:val="center"/>
        <w:rPr>
          <w:rFonts w:ascii="宋体" w:hAnsi="宋体" w:cs="宋体"/>
          <w:b/>
          <w:color w:val="auto"/>
          <w:sz w:val="72"/>
          <w:szCs w:val="72"/>
          <w:highlight w:val="none"/>
        </w:rPr>
      </w:pPr>
    </w:p>
    <w:p w14:paraId="41AF20FD">
      <w:pPr>
        <w:spacing w:line="360"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投标文件</w:t>
      </w:r>
    </w:p>
    <w:p w14:paraId="09054653">
      <w:pPr>
        <w:spacing w:line="360" w:lineRule="auto"/>
        <w:jc w:val="center"/>
        <w:rPr>
          <w:rFonts w:ascii="宋体" w:hAnsi="宋体" w:cs="宋体"/>
          <w:color w:val="auto"/>
          <w:sz w:val="36"/>
          <w:szCs w:val="36"/>
          <w:highlight w:val="none"/>
        </w:rPr>
      </w:pPr>
    </w:p>
    <w:p w14:paraId="4864DA48">
      <w:pPr>
        <w:spacing w:line="360" w:lineRule="auto"/>
        <w:jc w:val="center"/>
        <w:rPr>
          <w:rFonts w:ascii="宋体" w:hAnsi="宋体" w:cs="宋体"/>
          <w:color w:val="auto"/>
          <w:sz w:val="36"/>
          <w:szCs w:val="36"/>
          <w:highlight w:val="none"/>
        </w:rPr>
      </w:pPr>
    </w:p>
    <w:p w14:paraId="5F88772D">
      <w:pPr>
        <w:spacing w:line="360" w:lineRule="auto"/>
        <w:jc w:val="center"/>
        <w:rPr>
          <w:rFonts w:ascii="宋体" w:hAnsi="宋体" w:cs="宋体"/>
          <w:color w:val="auto"/>
          <w:sz w:val="36"/>
          <w:szCs w:val="36"/>
          <w:highlight w:val="none"/>
        </w:rPr>
      </w:pPr>
    </w:p>
    <w:p w14:paraId="0D238723">
      <w:pPr>
        <w:spacing w:line="360" w:lineRule="auto"/>
        <w:jc w:val="center"/>
        <w:rPr>
          <w:rFonts w:ascii="宋体" w:hAnsi="宋体" w:cs="宋体"/>
          <w:color w:val="auto"/>
          <w:sz w:val="36"/>
          <w:szCs w:val="36"/>
          <w:highlight w:val="none"/>
        </w:rPr>
      </w:pPr>
    </w:p>
    <w:p w14:paraId="7A0709B5">
      <w:pPr>
        <w:spacing w:line="360" w:lineRule="auto"/>
        <w:jc w:val="center"/>
        <w:rPr>
          <w:rFonts w:ascii="宋体" w:hAnsi="宋体" w:cs="宋体"/>
          <w:color w:val="auto"/>
          <w:sz w:val="36"/>
          <w:szCs w:val="36"/>
          <w:highlight w:val="none"/>
          <w:u w:val="single"/>
        </w:rPr>
      </w:pPr>
      <w:r>
        <w:rPr>
          <w:rFonts w:hint="eastAsia" w:ascii="宋体" w:hAnsi="宋体" w:cs="宋体"/>
          <w:color w:val="auto"/>
          <w:sz w:val="36"/>
          <w:szCs w:val="36"/>
          <w:highlight w:val="none"/>
        </w:rPr>
        <w:t>供应商全称：</w:t>
      </w:r>
      <w:r>
        <w:rPr>
          <w:rFonts w:hint="eastAsia" w:ascii="宋体" w:hAnsi="宋体" w:cs="宋体"/>
          <w:color w:val="auto"/>
          <w:sz w:val="36"/>
          <w:szCs w:val="36"/>
          <w:highlight w:val="none"/>
          <w:u w:val="single"/>
        </w:rPr>
        <w:t>（加盖单位公章）</w:t>
      </w:r>
    </w:p>
    <w:p w14:paraId="21BE9C3C">
      <w:pPr>
        <w:pStyle w:val="28"/>
        <w:ind w:left="101" w:leftChars="48" w:firstLine="1920" w:firstLineChars="800"/>
        <w:jc w:val="left"/>
        <w:rPr>
          <w:rFonts w:hAnsi="宋体" w:cs="宋体"/>
          <w:color w:val="auto"/>
          <w:kern w:val="2"/>
          <w:szCs w:val="28"/>
          <w:highlight w:val="none"/>
          <w:u w:val="single"/>
        </w:rPr>
      </w:pPr>
    </w:p>
    <w:p w14:paraId="458E868B">
      <w:pPr>
        <w:pStyle w:val="264"/>
        <w:jc w:val="center"/>
        <w:rPr>
          <w:rStyle w:val="117"/>
          <w:rFonts w:ascii="宋体" w:hAnsi="宋体" w:cs="宋体"/>
          <w:b w:val="0"/>
          <w:color w:val="auto"/>
          <w:sz w:val="28"/>
          <w:szCs w:val="28"/>
          <w:highlight w:val="none"/>
        </w:rPr>
      </w:pPr>
      <w:bookmarkStart w:id="78" w:name="_Toc12534"/>
      <w:bookmarkStart w:id="79" w:name="_Toc44162158"/>
      <w:bookmarkStart w:id="80" w:name="_Toc21541027"/>
      <w:r>
        <w:rPr>
          <w:rStyle w:val="117"/>
          <w:rFonts w:hint="eastAsia" w:ascii="宋体" w:hAnsi="宋体" w:cs="宋体"/>
          <w:b w:val="0"/>
          <w:color w:val="auto"/>
          <w:sz w:val="32"/>
          <w:szCs w:val="32"/>
          <w:highlight w:val="none"/>
        </w:rPr>
        <w:t>年  月  日</w:t>
      </w:r>
      <w:bookmarkEnd w:id="78"/>
      <w:bookmarkEnd w:id="79"/>
      <w:bookmarkEnd w:id="80"/>
    </w:p>
    <w:p w14:paraId="58C420F3">
      <w:pPr>
        <w:spacing w:line="360" w:lineRule="auto"/>
        <w:ind w:firstLine="4200" w:firstLineChars="2000"/>
        <w:jc w:val="left"/>
        <w:rPr>
          <w:rFonts w:ascii="宋体" w:hAnsi="宋体" w:cs="宋体"/>
          <w:color w:val="auto"/>
          <w:szCs w:val="21"/>
          <w:highlight w:val="none"/>
        </w:rPr>
      </w:pPr>
    </w:p>
    <w:p w14:paraId="57779B6D">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b/>
          <w:color w:val="auto"/>
          <w:szCs w:val="21"/>
          <w:highlight w:val="none"/>
        </w:rPr>
      </w:pPr>
      <w:r>
        <w:rPr>
          <w:rStyle w:val="117"/>
          <w:rFonts w:hint="eastAsia" w:ascii="宋体" w:hAnsi="宋体" w:cs="宋体"/>
          <w:color w:val="auto"/>
          <w:szCs w:val="21"/>
          <w:highlight w:val="none"/>
        </w:rPr>
        <w:br w:type="page"/>
      </w:r>
      <w:r>
        <w:rPr>
          <w:rFonts w:hint="eastAsia" w:ascii="宋体" w:hAnsi="宋体" w:cs="宋体"/>
          <w:b/>
          <w:color w:val="auto"/>
          <w:szCs w:val="21"/>
          <w:highlight w:val="none"/>
        </w:rPr>
        <w:t>B1</w:t>
      </w:r>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投标书</w:t>
      </w:r>
    </w:p>
    <w:p w14:paraId="1ACC9FCC">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致：宁波市国际招标有限公司</w:t>
      </w:r>
    </w:p>
    <w:p w14:paraId="7DDE9526">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u w:val="single"/>
        </w:rPr>
        <w:t>（供应商全称）</w:t>
      </w:r>
      <w:r>
        <w:rPr>
          <w:rFonts w:hint="eastAsia" w:ascii="宋体" w:hAnsi="宋体" w:cs="宋体"/>
          <w:color w:val="auto"/>
          <w:szCs w:val="21"/>
          <w:highlight w:val="none"/>
        </w:rPr>
        <w:t>授权</w:t>
      </w:r>
      <w:r>
        <w:rPr>
          <w:rFonts w:hint="eastAsia" w:ascii="宋体" w:hAnsi="宋体" w:cs="宋体"/>
          <w:color w:val="auto"/>
          <w:szCs w:val="21"/>
          <w:highlight w:val="none"/>
          <w:u w:val="single"/>
        </w:rPr>
        <w:t xml:space="preserve">  （全名、职务）  </w:t>
      </w:r>
      <w:r>
        <w:rPr>
          <w:rFonts w:hint="eastAsia" w:ascii="宋体" w:hAnsi="宋体" w:cs="宋体"/>
          <w:color w:val="auto"/>
          <w:szCs w:val="21"/>
          <w:highlight w:val="none"/>
        </w:rPr>
        <w:t>为全权代表，参加贵方组织的</w:t>
      </w:r>
      <w:r>
        <w:rPr>
          <w:rFonts w:hint="eastAsia" w:ascii="宋体" w:hAnsi="宋体" w:cs="宋体"/>
          <w:color w:val="auto"/>
          <w:szCs w:val="21"/>
          <w:highlight w:val="none"/>
          <w:u w:val="single"/>
          <w:lang w:eastAsia="zh-CN"/>
        </w:rPr>
        <w:t>宁波大学校医院信息一体化平台服务项目</w:t>
      </w:r>
      <w:r>
        <w:rPr>
          <w:rFonts w:hint="eastAsia" w:ascii="宋体" w:hAnsi="宋体" w:cs="宋体"/>
          <w:color w:val="auto"/>
          <w:szCs w:val="21"/>
          <w:highlight w:val="none"/>
        </w:rPr>
        <w:t>（项目编号：</w:t>
      </w:r>
      <w:r>
        <w:rPr>
          <w:rFonts w:hint="eastAsia" w:ascii="宋体" w:hAnsi="宋体" w:cs="宋体"/>
          <w:color w:val="auto"/>
          <w:szCs w:val="21"/>
          <w:highlight w:val="none"/>
          <w:u w:val="single"/>
          <w:lang w:eastAsia="zh-CN"/>
        </w:rPr>
        <w:t>NBITC-202530430G</w:t>
      </w:r>
      <w:r>
        <w:rPr>
          <w:rFonts w:hint="eastAsia" w:ascii="宋体" w:hAnsi="宋体" w:cs="宋体"/>
          <w:color w:val="auto"/>
          <w:szCs w:val="21"/>
          <w:highlight w:val="none"/>
        </w:rPr>
        <w:t>）招标活动并投标，为便于</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公正、择优地确定中标供应商及其服务，我方就本次投标有关事项郑重声明如下：</w:t>
      </w:r>
    </w:p>
    <w:p w14:paraId="24788F6A">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我方提交的所有投标文件、资料都是准确的和真实的。如有虚假或隐瞒，我方愿意承担一切后果，并不再寻求任何旨在减轻或免除法律责任的辩解。</w:t>
      </w:r>
    </w:p>
    <w:p w14:paraId="246E50EC">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我方不是为本项目提供整体设计、规范编制或者项目管理、监理、检测等服务的供应商。</w:t>
      </w:r>
    </w:p>
    <w:p w14:paraId="77F1656B">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我们已详细审查全部招标文件及有关的澄清/修改文件（若有），我们完全理解并同意放弃对这方面提出任何异议的权利。</w:t>
      </w:r>
    </w:p>
    <w:p w14:paraId="77367E8A">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highlight w:val="none"/>
        </w:rPr>
        <w:t>保证遵守招标文件有关条款规定。</w:t>
      </w:r>
    </w:p>
    <w:p w14:paraId="5ED67F98">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本项目的投标报价详见“开标一览表”。</w:t>
      </w:r>
    </w:p>
    <w:p w14:paraId="2B9A381E">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投标文件有效期为自开标之日起</w:t>
      </w:r>
      <w:r>
        <w:rPr>
          <w:rFonts w:hint="eastAsia" w:ascii="宋体" w:hAnsi="宋体" w:cs="宋体"/>
          <w:color w:val="auto"/>
          <w:szCs w:val="21"/>
          <w:highlight w:val="none"/>
          <w:u w:val="single"/>
        </w:rPr>
        <w:t xml:space="preserve"> 90 </w:t>
      </w:r>
      <w:r>
        <w:rPr>
          <w:rFonts w:hint="eastAsia" w:ascii="宋体" w:hAnsi="宋体" w:cs="宋体"/>
          <w:color w:val="auto"/>
          <w:szCs w:val="21"/>
          <w:highlight w:val="none"/>
        </w:rPr>
        <w:t>个日历日。</w:t>
      </w:r>
    </w:p>
    <w:p w14:paraId="3DB073EF">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ascii="宋体" w:hAnsi="宋体" w:cs="宋体"/>
          <w:color w:val="auto"/>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cs="宋体"/>
          <w:color w:val="auto"/>
          <w:highlight w:val="none"/>
        </w:rPr>
        <w:t>保证在中标后忠实地执行与</w:t>
      </w:r>
      <w:r>
        <w:rPr>
          <w:rFonts w:hint="eastAsia" w:ascii="宋体" w:hAnsi="宋体" w:cs="宋体"/>
          <w:color w:val="auto"/>
          <w:highlight w:val="none"/>
          <w:lang w:eastAsia="zh-CN"/>
        </w:rPr>
        <w:t>采购人</w:t>
      </w:r>
      <w:r>
        <w:rPr>
          <w:rFonts w:hint="eastAsia" w:ascii="宋体" w:hAnsi="宋体" w:cs="宋体"/>
          <w:color w:val="auto"/>
          <w:highlight w:val="none"/>
        </w:rPr>
        <w:t>所签署的合同，并承担合同规定的责任义务。</w:t>
      </w:r>
    </w:p>
    <w:p w14:paraId="3E60558C">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highlight w:val="none"/>
        </w:rPr>
        <w:t>8</w:t>
      </w:r>
      <w:r>
        <w:rPr>
          <w:rFonts w:hint="eastAsia" w:ascii="宋体" w:hAnsi="宋体" w:cs="宋体"/>
          <w:color w:val="auto"/>
          <w:highlight w:val="none"/>
          <w:lang w:val="en-US" w:eastAsia="zh-CN"/>
        </w:rPr>
        <w:t>.同意招标（采购）文件中有关招标代理服务费的条款，如有异议在投标前会以书面方式向招标代理机构提出，保证在中标后按照招标（采购）文件规定的金额、时间和方式，向招标代理机构一次性交纳招标代理服务费。我方如逾期未交纳（含未足额）的，愿凭招标代理机构开出的违约通知，按上述规定应交纳金额（含欠交纳）的200%交纳违约金和滞纳的银行利息。对招标代理服务费交纳的异议，我方服从招标（采购）人的协调</w:t>
      </w:r>
      <w:r>
        <w:rPr>
          <w:rFonts w:hint="eastAsia" w:ascii="宋体" w:hAnsi="宋体" w:cs="宋体"/>
          <w:color w:val="auto"/>
          <w:highlight w:val="none"/>
        </w:rPr>
        <w:t>。</w:t>
      </w:r>
    </w:p>
    <w:p w14:paraId="522CCCAB">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与</w:t>
      </w:r>
      <w:r>
        <w:rPr>
          <w:rFonts w:hint="eastAsia" w:ascii="宋体" w:hAnsi="宋体" w:cs="宋体"/>
          <w:color w:val="auto"/>
          <w:szCs w:val="21"/>
          <w:highlight w:val="none"/>
          <w:lang w:eastAsia="zh-CN"/>
        </w:rPr>
        <w:t>本次</w:t>
      </w:r>
      <w:r>
        <w:rPr>
          <w:rFonts w:hint="eastAsia" w:ascii="宋体" w:hAnsi="宋体" w:cs="宋体"/>
          <w:color w:val="auto"/>
          <w:szCs w:val="21"/>
          <w:highlight w:val="none"/>
        </w:rPr>
        <w:t>投标有关的一切正式来往通讯请寄：</w:t>
      </w:r>
    </w:p>
    <w:p w14:paraId="38B86187">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8358D7E">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602F71">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p>
    <w:p w14:paraId="525BDD60">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4444EBB1">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期：</w:t>
      </w:r>
    </w:p>
    <w:p w14:paraId="4202FB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bCs/>
          <w:color w:val="auto"/>
          <w:szCs w:val="21"/>
          <w:highlight w:val="none"/>
        </w:rPr>
      </w:pPr>
      <w:r>
        <w:rPr>
          <w:rStyle w:val="117"/>
          <w:rFonts w:hint="eastAsia" w:ascii="宋体" w:hAnsi="宋体" w:cs="宋体"/>
          <w:color w:val="auto"/>
          <w:szCs w:val="21"/>
          <w:highlight w:val="none"/>
        </w:rPr>
        <w:br w:type="page"/>
      </w:r>
      <w:r>
        <w:rPr>
          <w:rFonts w:hint="eastAsia" w:ascii="宋体" w:hAnsi="宋体" w:cs="宋体"/>
          <w:b/>
          <w:bCs/>
          <w:color w:val="auto"/>
          <w:highlight w:val="none"/>
        </w:rPr>
        <w:t>B</w:t>
      </w:r>
      <w:r>
        <w:rPr>
          <w:rFonts w:hint="eastAsia" w:ascii="宋体" w:hAnsi="宋体" w:cs="宋体"/>
          <w:b/>
          <w:bCs/>
          <w:color w:val="auto"/>
          <w:szCs w:val="21"/>
          <w:highlight w:val="none"/>
        </w:rPr>
        <w:t>2</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法定代表人身份证明</w:t>
      </w:r>
    </w:p>
    <w:p w14:paraId="18B32171">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供应商名称：</w:t>
      </w:r>
      <w:r>
        <w:rPr>
          <w:rFonts w:hint="eastAsia" w:ascii="宋体" w:hAnsi="宋体" w:cs="宋体"/>
          <w:color w:val="auto"/>
          <w:szCs w:val="21"/>
          <w:highlight w:val="none"/>
          <w:u w:val="single"/>
        </w:rPr>
        <w:t xml:space="preserve">                   </w:t>
      </w:r>
    </w:p>
    <w:p w14:paraId="441136D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p>
    <w:p w14:paraId="1BB59ED1">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53DE885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2BB32B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经营期限：</w:t>
      </w:r>
    </w:p>
    <w:p w14:paraId="5314F8B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5C7F790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0E7E0DA1">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ascii="宋体" w:hAnsi="宋体" w:cs="宋体"/>
          <w:color w:val="auto"/>
          <w:szCs w:val="21"/>
          <w:highlight w:val="none"/>
        </w:rPr>
      </w:pPr>
    </w:p>
    <w:p w14:paraId="16D37AE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 xml:space="preserve">    系</w:t>
      </w:r>
      <w:r>
        <w:rPr>
          <w:rFonts w:hint="eastAsia" w:ascii="宋体" w:hAnsi="宋体" w:cs="宋体"/>
          <w:color w:val="auto"/>
          <w:szCs w:val="21"/>
          <w:highlight w:val="none"/>
          <w:u w:val="single"/>
        </w:rPr>
        <w:t>（供应商名称）</w:t>
      </w:r>
      <w:r>
        <w:rPr>
          <w:rFonts w:hint="eastAsia" w:ascii="宋体" w:hAnsi="宋体" w:cs="宋体"/>
          <w:color w:val="auto"/>
          <w:szCs w:val="21"/>
          <w:highlight w:val="none"/>
        </w:rPr>
        <w:t>的法定代表人。</w:t>
      </w:r>
    </w:p>
    <w:p w14:paraId="482023F6">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ascii="宋体" w:hAnsi="宋体" w:cs="宋体"/>
          <w:color w:val="auto"/>
          <w:szCs w:val="21"/>
          <w:highlight w:val="none"/>
        </w:rPr>
      </w:pPr>
    </w:p>
    <w:p w14:paraId="6E03A672">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特此证明。</w:t>
      </w:r>
    </w:p>
    <w:p w14:paraId="063AE2F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p>
    <w:p w14:paraId="7B1A3D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59C59894">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期：</w:t>
      </w:r>
    </w:p>
    <w:p w14:paraId="5BB32E3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p>
    <w:p w14:paraId="5BF8DFE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后附：法定代表人身份证复印件加盖供应商公章。</w:t>
      </w:r>
    </w:p>
    <w:p w14:paraId="2DC036E8">
      <w:pPr>
        <w:spacing w:line="400" w:lineRule="atLeast"/>
        <w:rPr>
          <w:rFonts w:ascii="宋体" w:hAnsi="宋体" w:cs="宋体"/>
          <w:color w:val="auto"/>
          <w:szCs w:val="21"/>
          <w:highlight w:val="none"/>
          <w:u w:val="single"/>
        </w:rPr>
      </w:pPr>
    </w:p>
    <w:p w14:paraId="6DB219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szCs w:val="21"/>
          <w:highlight w:val="none"/>
        </w:rPr>
      </w:pPr>
      <w:r>
        <w:rPr>
          <w:rStyle w:val="117"/>
          <w:rFonts w:hint="eastAsia" w:ascii="宋体" w:hAnsi="宋体" w:cs="宋体"/>
          <w:color w:val="auto"/>
          <w:szCs w:val="21"/>
          <w:highlight w:val="none"/>
        </w:rPr>
        <w:br w:type="page"/>
      </w:r>
      <w:r>
        <w:rPr>
          <w:rFonts w:hint="eastAsia" w:ascii="宋体" w:hAnsi="宋体" w:cs="宋体"/>
          <w:b/>
          <w:bCs/>
          <w:color w:val="auto"/>
          <w:highlight w:val="none"/>
        </w:rPr>
        <w:t>B</w:t>
      </w:r>
      <w:r>
        <w:rPr>
          <w:rFonts w:hint="eastAsia" w:ascii="宋体" w:hAnsi="宋体" w:cs="宋体"/>
          <w:b/>
          <w:bCs/>
          <w:color w:val="auto"/>
          <w:szCs w:val="21"/>
          <w:highlight w:val="none"/>
          <w:lang w:val="en-US" w:eastAsia="zh-CN"/>
        </w:rPr>
        <w:t>3.</w:t>
      </w:r>
      <w:r>
        <w:rPr>
          <w:rFonts w:hint="eastAsia" w:ascii="宋体" w:hAnsi="宋体" w:cs="宋体"/>
          <w:b/>
          <w:color w:val="auto"/>
          <w:szCs w:val="21"/>
          <w:highlight w:val="none"/>
        </w:rPr>
        <w:t>法定代表人授权书</w:t>
      </w:r>
    </w:p>
    <w:p w14:paraId="1B83AE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（投标文件由授权代表签字的须提供）</w:t>
      </w:r>
    </w:p>
    <w:p w14:paraId="519E27A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采购人</w:t>
      </w:r>
    </w:p>
    <w:p w14:paraId="6B707D0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u w:val="single"/>
        </w:rPr>
        <w:t>（供应商全称）</w:t>
      </w: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（法定代表人姓名）</w:t>
      </w:r>
      <w:r>
        <w:rPr>
          <w:rFonts w:hint="eastAsia" w:ascii="宋体" w:hAnsi="宋体" w:cs="宋体"/>
          <w:color w:val="auto"/>
          <w:szCs w:val="21"/>
          <w:highlight w:val="none"/>
        </w:rPr>
        <w:t>授权</w:t>
      </w:r>
      <w:r>
        <w:rPr>
          <w:rFonts w:hint="eastAsia" w:ascii="宋体" w:hAnsi="宋体" w:cs="宋体"/>
          <w:color w:val="auto"/>
          <w:szCs w:val="21"/>
          <w:highlight w:val="none"/>
          <w:u w:val="single"/>
        </w:rPr>
        <w:t>（授权代表姓名）</w:t>
      </w:r>
      <w:r>
        <w:rPr>
          <w:rFonts w:hint="eastAsia" w:ascii="宋体" w:hAnsi="宋体" w:cs="宋体"/>
          <w:color w:val="auto"/>
          <w:szCs w:val="21"/>
          <w:highlight w:val="none"/>
        </w:rPr>
        <w:t>为授权代表，参加</w:t>
      </w:r>
      <w:r>
        <w:rPr>
          <w:rFonts w:hint="eastAsia" w:ascii="宋体" w:hAnsi="宋体" w:cs="宋体"/>
          <w:color w:val="auto"/>
          <w:szCs w:val="21"/>
          <w:highlight w:val="none"/>
          <w:u w:val="single"/>
          <w:lang w:eastAsia="zh-CN"/>
        </w:rPr>
        <w:t>宁波大学校医院信息一体化平台服务项目</w:t>
      </w:r>
      <w:r>
        <w:rPr>
          <w:rFonts w:hint="eastAsia" w:ascii="宋体" w:hAnsi="宋体" w:cs="宋体"/>
          <w:color w:val="auto"/>
          <w:szCs w:val="21"/>
          <w:highlight w:val="none"/>
        </w:rPr>
        <w:t>，项目编号为</w:t>
      </w:r>
      <w:r>
        <w:rPr>
          <w:rFonts w:hint="eastAsia" w:ascii="宋体" w:hAnsi="宋体" w:cs="宋体"/>
          <w:color w:val="auto"/>
          <w:szCs w:val="21"/>
          <w:highlight w:val="none"/>
          <w:u w:val="single"/>
          <w:lang w:eastAsia="zh-CN"/>
        </w:rPr>
        <w:t>NBITC-202530430G</w:t>
      </w:r>
      <w:r>
        <w:rPr>
          <w:rFonts w:hint="eastAsia" w:ascii="宋体" w:hAnsi="宋体" w:cs="宋体"/>
          <w:color w:val="auto"/>
          <w:szCs w:val="21"/>
          <w:highlight w:val="none"/>
        </w:rPr>
        <w:t>，其在招投标活动中的一切活动本公司均予承认。</w:t>
      </w:r>
    </w:p>
    <w:p w14:paraId="48561F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p>
    <w:p w14:paraId="039DEC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21FF98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法定代表人（签字或盖章）：</w:t>
      </w:r>
    </w:p>
    <w:p w14:paraId="321B00F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期：</w:t>
      </w:r>
    </w:p>
    <w:p w14:paraId="3206B9D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p>
    <w:p w14:paraId="1AC2472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附：</w:t>
      </w:r>
    </w:p>
    <w:p w14:paraId="15EDAA51">
      <w:pPr>
        <w:keepNext w:val="0"/>
        <w:keepLines w:val="0"/>
        <w:pageBreakBefore w:val="0"/>
        <w:widowControl w:val="0"/>
        <w:kinsoku/>
        <w:wordWrap/>
        <w:overflowPunct/>
        <w:topLinePunct w:val="0"/>
        <w:autoSpaceDE/>
        <w:autoSpaceDN/>
        <w:bidi w:val="0"/>
        <w:adjustRightInd/>
        <w:snapToGrid/>
        <w:spacing w:line="400" w:lineRule="exact"/>
        <w:ind w:firstLine="555"/>
        <w:textAlignment w:val="auto"/>
        <w:rPr>
          <w:rFonts w:ascii="宋体" w:hAnsi="宋体" w:cs="宋体"/>
          <w:color w:val="auto"/>
          <w:szCs w:val="21"/>
          <w:highlight w:val="none"/>
          <w:u w:val="single"/>
        </w:rPr>
      </w:pPr>
      <w:r>
        <w:rPr>
          <w:rFonts w:hint="eastAsia" w:ascii="宋体" w:hAnsi="宋体" w:cs="宋体"/>
          <w:color w:val="auto"/>
          <w:szCs w:val="21"/>
          <w:highlight w:val="none"/>
        </w:rPr>
        <w:t>授权代表姓名：</w:t>
      </w:r>
      <w:r>
        <w:rPr>
          <w:rFonts w:hint="eastAsia" w:ascii="宋体" w:hAnsi="宋体" w:cs="宋体"/>
          <w:color w:val="auto"/>
          <w:szCs w:val="21"/>
          <w:highlight w:val="none"/>
          <w:u w:val="single"/>
        </w:rPr>
        <w:t xml:space="preserve">                         </w:t>
      </w:r>
    </w:p>
    <w:p w14:paraId="252A722E">
      <w:pPr>
        <w:keepNext w:val="0"/>
        <w:keepLines w:val="0"/>
        <w:pageBreakBefore w:val="0"/>
        <w:widowControl w:val="0"/>
        <w:kinsoku/>
        <w:wordWrap/>
        <w:overflowPunct/>
        <w:topLinePunct w:val="0"/>
        <w:autoSpaceDE/>
        <w:autoSpaceDN/>
        <w:bidi w:val="0"/>
        <w:adjustRightInd/>
        <w:snapToGrid/>
        <w:spacing w:line="400" w:lineRule="exact"/>
        <w:ind w:firstLine="555"/>
        <w:textAlignment w:val="auto"/>
        <w:rPr>
          <w:rFonts w:ascii="宋体" w:hAnsi="宋体" w:cs="宋体"/>
          <w:color w:val="auto"/>
          <w:szCs w:val="21"/>
          <w:highlight w:val="none"/>
          <w:u w:val="single"/>
        </w:rPr>
      </w:pPr>
      <w:r>
        <w:rPr>
          <w:rFonts w:hint="eastAsia" w:ascii="宋体" w:hAnsi="宋体" w:cs="宋体"/>
          <w:color w:val="auto"/>
          <w:szCs w:val="21"/>
          <w:highlight w:val="none"/>
        </w:rPr>
        <w:t>授权代表身份证号码：</w:t>
      </w:r>
      <w:r>
        <w:rPr>
          <w:rFonts w:hint="eastAsia" w:ascii="宋体" w:hAnsi="宋体" w:cs="宋体"/>
          <w:color w:val="auto"/>
          <w:szCs w:val="21"/>
          <w:highlight w:val="none"/>
          <w:u w:val="single"/>
        </w:rPr>
        <w:t xml:space="preserve">                   </w:t>
      </w:r>
    </w:p>
    <w:p w14:paraId="26C12859">
      <w:pPr>
        <w:keepNext w:val="0"/>
        <w:keepLines w:val="0"/>
        <w:pageBreakBefore w:val="0"/>
        <w:widowControl w:val="0"/>
        <w:kinsoku/>
        <w:wordWrap/>
        <w:overflowPunct/>
        <w:topLinePunct w:val="0"/>
        <w:autoSpaceDE/>
        <w:autoSpaceDN/>
        <w:bidi w:val="0"/>
        <w:adjustRightInd/>
        <w:snapToGrid/>
        <w:spacing w:line="400" w:lineRule="exact"/>
        <w:ind w:firstLine="555"/>
        <w:textAlignment w:val="auto"/>
        <w:rPr>
          <w:rFonts w:ascii="宋体" w:hAnsi="宋体" w:cs="宋体"/>
          <w:color w:val="auto"/>
          <w:szCs w:val="21"/>
          <w:highlight w:val="none"/>
          <w:u w:val="single"/>
        </w:rPr>
      </w:pP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42965116">
      <w:pPr>
        <w:keepNext w:val="0"/>
        <w:keepLines w:val="0"/>
        <w:pageBreakBefore w:val="0"/>
        <w:widowControl w:val="0"/>
        <w:kinsoku/>
        <w:wordWrap/>
        <w:overflowPunct/>
        <w:topLinePunct w:val="0"/>
        <w:autoSpaceDE/>
        <w:autoSpaceDN/>
        <w:bidi w:val="0"/>
        <w:adjustRightInd/>
        <w:snapToGrid/>
        <w:spacing w:line="400" w:lineRule="exact"/>
        <w:ind w:firstLine="555"/>
        <w:textAlignment w:val="auto"/>
        <w:rPr>
          <w:rFonts w:ascii="宋体" w:hAnsi="宋体" w:cs="宋体"/>
          <w:color w:val="auto"/>
          <w:szCs w:val="21"/>
          <w:highlight w:val="none"/>
          <w:u w:val="single"/>
        </w:rPr>
      </w:pPr>
      <w:r>
        <w:rPr>
          <w:rFonts w:hint="eastAsia" w:ascii="宋体" w:hAnsi="宋体" w:cs="宋体"/>
          <w:color w:val="auto"/>
          <w:szCs w:val="21"/>
          <w:highlight w:val="none"/>
        </w:rPr>
        <w:t>详细通讯地址：</w:t>
      </w:r>
      <w:r>
        <w:rPr>
          <w:rFonts w:hint="eastAsia" w:ascii="宋体" w:hAnsi="宋体" w:cs="宋体"/>
          <w:color w:val="auto"/>
          <w:szCs w:val="21"/>
          <w:highlight w:val="none"/>
          <w:u w:val="single"/>
        </w:rPr>
        <w:t xml:space="preserve">                         </w:t>
      </w:r>
    </w:p>
    <w:p w14:paraId="1CEDD450">
      <w:pPr>
        <w:keepNext w:val="0"/>
        <w:keepLines w:val="0"/>
        <w:pageBreakBefore w:val="0"/>
        <w:widowControl w:val="0"/>
        <w:kinsoku/>
        <w:wordWrap/>
        <w:overflowPunct/>
        <w:topLinePunct w:val="0"/>
        <w:autoSpaceDE/>
        <w:autoSpaceDN/>
        <w:bidi w:val="0"/>
        <w:adjustRightInd/>
        <w:snapToGrid/>
        <w:spacing w:line="400" w:lineRule="exact"/>
        <w:ind w:firstLine="555"/>
        <w:textAlignment w:val="auto"/>
        <w:rPr>
          <w:rFonts w:ascii="宋体" w:hAnsi="宋体" w:cs="宋体"/>
          <w:color w:val="auto"/>
          <w:szCs w:val="21"/>
          <w:highlight w:val="none"/>
        </w:rPr>
      </w:pP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p>
    <w:p w14:paraId="50F9652F">
      <w:pPr>
        <w:keepNext w:val="0"/>
        <w:keepLines w:val="0"/>
        <w:pageBreakBefore w:val="0"/>
        <w:widowControl w:val="0"/>
        <w:kinsoku/>
        <w:wordWrap/>
        <w:overflowPunct/>
        <w:topLinePunct w:val="0"/>
        <w:autoSpaceDE/>
        <w:autoSpaceDN/>
        <w:bidi w:val="0"/>
        <w:adjustRightInd/>
        <w:snapToGrid/>
        <w:spacing w:line="400" w:lineRule="exact"/>
        <w:ind w:firstLine="555"/>
        <w:textAlignment w:val="auto"/>
        <w:rPr>
          <w:rFonts w:ascii="宋体" w:hAnsi="宋体" w:cs="宋体"/>
          <w:color w:val="auto"/>
          <w:szCs w:val="21"/>
          <w:highlight w:val="none"/>
          <w:u w:val="single"/>
        </w:rPr>
      </w:pP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p>
    <w:p w14:paraId="7440BFED">
      <w:pPr>
        <w:keepNext w:val="0"/>
        <w:keepLines w:val="0"/>
        <w:pageBreakBefore w:val="0"/>
        <w:widowControl w:val="0"/>
        <w:kinsoku/>
        <w:wordWrap/>
        <w:overflowPunct/>
        <w:topLinePunct w:val="0"/>
        <w:autoSpaceDE/>
        <w:autoSpaceDN/>
        <w:bidi w:val="0"/>
        <w:adjustRightInd/>
        <w:snapToGrid/>
        <w:spacing w:line="400" w:lineRule="exact"/>
        <w:ind w:firstLine="525" w:firstLineChars="250"/>
        <w:textAlignment w:val="auto"/>
        <w:rPr>
          <w:rFonts w:ascii="宋体" w:hAnsi="宋体" w:cs="宋体"/>
          <w:color w:val="auto"/>
          <w:szCs w:val="21"/>
          <w:highlight w:val="none"/>
          <w:u w:val="single"/>
        </w:rPr>
      </w:pPr>
    </w:p>
    <w:p w14:paraId="49ABCE00">
      <w:pPr>
        <w:keepNext w:val="0"/>
        <w:keepLines w:val="0"/>
        <w:pageBreakBefore w:val="0"/>
        <w:widowControl w:val="0"/>
        <w:kinsoku/>
        <w:wordWrap/>
        <w:overflowPunct/>
        <w:topLinePunct w:val="0"/>
        <w:autoSpaceDE/>
        <w:autoSpaceDN/>
        <w:bidi w:val="0"/>
        <w:adjustRightInd/>
        <w:snapToGrid/>
        <w:spacing w:line="400" w:lineRule="exact"/>
        <w:ind w:firstLine="525" w:firstLineChars="250"/>
        <w:textAlignment w:val="auto"/>
        <w:rPr>
          <w:rFonts w:ascii="宋体" w:hAnsi="宋体" w:cs="宋体"/>
          <w:b/>
          <w:color w:val="auto"/>
          <w:szCs w:val="21"/>
          <w:highlight w:val="none"/>
        </w:rPr>
      </w:pPr>
      <w:r>
        <w:rPr>
          <w:rFonts w:hint="eastAsia" w:ascii="宋体" w:hAnsi="宋体" w:cs="宋体"/>
          <w:color w:val="auto"/>
          <w:szCs w:val="21"/>
          <w:highlight w:val="none"/>
        </w:rPr>
        <w:t>后附：法定代表人及授权代表身份证复印件加盖供应商公章。</w:t>
      </w:r>
    </w:p>
    <w:p w14:paraId="10B7FCA7">
      <w:pPr>
        <w:rPr>
          <w:rFonts w:ascii="宋体" w:hAnsi="宋体" w:cs="宋体"/>
          <w:b/>
          <w:color w:val="auto"/>
          <w:szCs w:val="21"/>
          <w:highlight w:val="none"/>
        </w:rPr>
      </w:pPr>
      <w:r>
        <w:rPr>
          <w:rFonts w:hint="eastAsia" w:ascii="宋体" w:hAnsi="宋体" w:cs="宋体"/>
          <w:b/>
          <w:color w:val="auto"/>
          <w:szCs w:val="21"/>
          <w:highlight w:val="none"/>
        </w:rPr>
        <w:br w:type="page"/>
      </w:r>
    </w:p>
    <w:p w14:paraId="785F33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B</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供应商一般情况表</w:t>
      </w:r>
    </w:p>
    <w:tbl>
      <w:tblPr>
        <w:tblStyle w:val="52"/>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498"/>
        <w:gridCol w:w="7"/>
        <w:gridCol w:w="4009"/>
      </w:tblGrid>
      <w:tr w14:paraId="33FA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169D67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8514" w:type="dxa"/>
            <w:gridSpan w:val="3"/>
            <w:tcBorders>
              <w:tl2br w:val="nil"/>
              <w:tr2bl w:val="nil"/>
            </w:tcBorders>
            <w:vAlign w:val="center"/>
          </w:tcPr>
          <w:p w14:paraId="5AD45D3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单位名称：</w:t>
            </w:r>
          </w:p>
        </w:tc>
      </w:tr>
      <w:tr w14:paraId="6B53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3BAEA5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2</w:t>
            </w:r>
          </w:p>
        </w:tc>
        <w:tc>
          <w:tcPr>
            <w:tcW w:w="8514" w:type="dxa"/>
            <w:gridSpan w:val="3"/>
            <w:tcBorders>
              <w:tl2br w:val="nil"/>
              <w:tr2bl w:val="nil"/>
            </w:tcBorders>
            <w:vAlign w:val="center"/>
          </w:tcPr>
          <w:p w14:paraId="0036C92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总部地址：</w:t>
            </w:r>
          </w:p>
        </w:tc>
      </w:tr>
      <w:tr w14:paraId="5DC1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48E0E67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3</w:t>
            </w:r>
          </w:p>
        </w:tc>
        <w:tc>
          <w:tcPr>
            <w:tcW w:w="8514" w:type="dxa"/>
            <w:gridSpan w:val="3"/>
            <w:tcBorders>
              <w:tl2br w:val="nil"/>
              <w:tr2bl w:val="nil"/>
            </w:tcBorders>
            <w:vAlign w:val="center"/>
          </w:tcPr>
          <w:p w14:paraId="0E2851B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当地代表处地址：</w:t>
            </w:r>
          </w:p>
        </w:tc>
      </w:tr>
      <w:tr w14:paraId="5B8A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4E67D6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4</w:t>
            </w:r>
          </w:p>
        </w:tc>
        <w:tc>
          <w:tcPr>
            <w:tcW w:w="4498" w:type="dxa"/>
            <w:tcBorders>
              <w:tl2br w:val="nil"/>
              <w:tr2bl w:val="nil"/>
            </w:tcBorders>
            <w:vAlign w:val="center"/>
          </w:tcPr>
          <w:p w14:paraId="04C9F2D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电  话：</w:t>
            </w:r>
          </w:p>
        </w:tc>
        <w:tc>
          <w:tcPr>
            <w:tcW w:w="4016" w:type="dxa"/>
            <w:gridSpan w:val="2"/>
            <w:tcBorders>
              <w:tl2br w:val="nil"/>
              <w:tr2bl w:val="nil"/>
            </w:tcBorders>
            <w:vAlign w:val="center"/>
          </w:tcPr>
          <w:p w14:paraId="79AA54E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联 系 人：</w:t>
            </w:r>
          </w:p>
        </w:tc>
      </w:tr>
      <w:tr w14:paraId="69B5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1EA93F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5</w:t>
            </w:r>
          </w:p>
        </w:tc>
        <w:tc>
          <w:tcPr>
            <w:tcW w:w="4498" w:type="dxa"/>
            <w:tcBorders>
              <w:tl2br w:val="nil"/>
              <w:tr2bl w:val="nil"/>
            </w:tcBorders>
            <w:vAlign w:val="center"/>
          </w:tcPr>
          <w:p w14:paraId="3F8D560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传  真：</w:t>
            </w:r>
          </w:p>
        </w:tc>
        <w:tc>
          <w:tcPr>
            <w:tcW w:w="4016" w:type="dxa"/>
            <w:gridSpan w:val="2"/>
            <w:tcBorders>
              <w:tl2br w:val="nil"/>
              <w:tr2bl w:val="nil"/>
            </w:tcBorders>
            <w:vAlign w:val="center"/>
          </w:tcPr>
          <w:p w14:paraId="48EE868F">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电子信箱：</w:t>
            </w:r>
          </w:p>
        </w:tc>
      </w:tr>
      <w:tr w14:paraId="2105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16EBDA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6</w:t>
            </w:r>
          </w:p>
        </w:tc>
        <w:tc>
          <w:tcPr>
            <w:tcW w:w="4498" w:type="dxa"/>
            <w:tcBorders>
              <w:tl2br w:val="nil"/>
              <w:tr2bl w:val="nil"/>
            </w:tcBorders>
            <w:vAlign w:val="center"/>
          </w:tcPr>
          <w:p w14:paraId="65D974D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注册地：</w:t>
            </w:r>
          </w:p>
        </w:tc>
        <w:tc>
          <w:tcPr>
            <w:tcW w:w="4016" w:type="dxa"/>
            <w:gridSpan w:val="2"/>
            <w:tcBorders>
              <w:tl2br w:val="nil"/>
              <w:tr2bl w:val="nil"/>
            </w:tcBorders>
            <w:vAlign w:val="center"/>
          </w:tcPr>
          <w:p w14:paraId="34CDB74F">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注册年份：</w:t>
            </w:r>
          </w:p>
        </w:tc>
      </w:tr>
      <w:tr w14:paraId="57FD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170041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7</w:t>
            </w:r>
          </w:p>
        </w:tc>
        <w:tc>
          <w:tcPr>
            <w:tcW w:w="8514" w:type="dxa"/>
            <w:gridSpan w:val="3"/>
            <w:tcBorders>
              <w:tl2br w:val="nil"/>
              <w:tr2bl w:val="nil"/>
            </w:tcBorders>
            <w:vAlign w:val="center"/>
          </w:tcPr>
          <w:p w14:paraId="29BE1EA1">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公司的资质等级（请附上有关证书的复印件）</w:t>
            </w:r>
          </w:p>
        </w:tc>
      </w:tr>
      <w:tr w14:paraId="30B0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55E4D7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8</w:t>
            </w:r>
          </w:p>
        </w:tc>
        <w:tc>
          <w:tcPr>
            <w:tcW w:w="8514" w:type="dxa"/>
            <w:gridSpan w:val="3"/>
            <w:tcBorders>
              <w:tl2br w:val="nil"/>
              <w:tr2bl w:val="nil"/>
            </w:tcBorders>
            <w:vAlign w:val="center"/>
          </w:tcPr>
          <w:p w14:paraId="5FC4D859">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公司（是否通过，何种）质量保证体系认证（如通过请附相关证书复印件，提供认证机构年审监督报告）</w:t>
            </w:r>
          </w:p>
        </w:tc>
      </w:tr>
      <w:tr w14:paraId="4262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2FBE32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9</w:t>
            </w:r>
          </w:p>
        </w:tc>
        <w:tc>
          <w:tcPr>
            <w:tcW w:w="4505" w:type="dxa"/>
            <w:gridSpan w:val="2"/>
            <w:tcBorders>
              <w:tl2br w:val="nil"/>
              <w:tr2bl w:val="nil"/>
            </w:tcBorders>
            <w:vAlign w:val="center"/>
          </w:tcPr>
          <w:p w14:paraId="37DFDD9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从业人员数量</w:t>
            </w:r>
          </w:p>
        </w:tc>
        <w:tc>
          <w:tcPr>
            <w:tcW w:w="4009" w:type="dxa"/>
            <w:tcBorders>
              <w:tl2br w:val="nil"/>
              <w:tr2bl w:val="nil"/>
            </w:tcBorders>
            <w:vAlign w:val="center"/>
          </w:tcPr>
          <w:p w14:paraId="489EBC9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p>
        </w:tc>
      </w:tr>
      <w:tr w14:paraId="3000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55E71A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10</w:t>
            </w:r>
          </w:p>
        </w:tc>
        <w:tc>
          <w:tcPr>
            <w:tcW w:w="4505" w:type="dxa"/>
            <w:gridSpan w:val="2"/>
            <w:tcBorders>
              <w:tl2br w:val="nil"/>
              <w:tr2bl w:val="nil"/>
            </w:tcBorders>
            <w:vAlign w:val="center"/>
          </w:tcPr>
          <w:p w14:paraId="63A46F91">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营业收入</w:t>
            </w:r>
          </w:p>
        </w:tc>
        <w:tc>
          <w:tcPr>
            <w:tcW w:w="4009" w:type="dxa"/>
            <w:tcBorders>
              <w:tl2br w:val="nil"/>
              <w:tr2bl w:val="nil"/>
            </w:tcBorders>
            <w:vAlign w:val="center"/>
          </w:tcPr>
          <w:p w14:paraId="1DFB840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p>
        </w:tc>
      </w:tr>
      <w:tr w14:paraId="3B5B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dxa"/>
            <w:tcBorders>
              <w:tl2br w:val="nil"/>
              <w:tr2bl w:val="nil"/>
            </w:tcBorders>
            <w:vAlign w:val="center"/>
          </w:tcPr>
          <w:p w14:paraId="3C5964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11</w:t>
            </w:r>
          </w:p>
        </w:tc>
        <w:tc>
          <w:tcPr>
            <w:tcW w:w="4505" w:type="dxa"/>
            <w:gridSpan w:val="2"/>
            <w:tcBorders>
              <w:tl2br w:val="nil"/>
              <w:tr2bl w:val="nil"/>
            </w:tcBorders>
            <w:vAlign w:val="center"/>
          </w:tcPr>
          <w:p w14:paraId="551C2D31">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其他需要说明的情况</w:t>
            </w:r>
          </w:p>
        </w:tc>
        <w:tc>
          <w:tcPr>
            <w:tcW w:w="4009" w:type="dxa"/>
            <w:tcBorders>
              <w:tl2br w:val="nil"/>
              <w:tr2bl w:val="nil"/>
            </w:tcBorders>
            <w:vAlign w:val="center"/>
          </w:tcPr>
          <w:p w14:paraId="33BF9E0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rPr>
            </w:pPr>
          </w:p>
        </w:tc>
      </w:tr>
    </w:tbl>
    <w:p w14:paraId="49B064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p>
    <w:p w14:paraId="6394B0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16C56949">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期：</w:t>
      </w:r>
    </w:p>
    <w:p w14:paraId="2A585CBD">
      <w:pPr>
        <w:spacing w:line="360" w:lineRule="auto"/>
        <w:rPr>
          <w:rFonts w:ascii="宋体" w:hAnsi="宋体" w:cs="宋体"/>
          <w:color w:val="auto"/>
          <w:szCs w:val="21"/>
          <w:highlight w:val="none"/>
        </w:rPr>
      </w:pPr>
      <w:r>
        <w:rPr>
          <w:rFonts w:hint="eastAsia" w:ascii="宋体" w:hAnsi="宋体" w:cs="宋体"/>
          <w:color w:val="auto"/>
          <w:szCs w:val="21"/>
          <w:highlight w:val="none"/>
        </w:rPr>
        <w:br w:type="page"/>
      </w:r>
    </w:p>
    <w:p w14:paraId="09DE78EF">
      <w:pPr>
        <w:keepNext w:val="0"/>
        <w:keepLines w:val="0"/>
        <w:pageBreakBefore w:val="0"/>
        <w:widowControl w:val="0"/>
        <w:kinsoku/>
        <w:wordWrap/>
        <w:overflowPunct/>
        <w:topLinePunct w:val="0"/>
        <w:autoSpaceDE/>
        <w:autoSpaceDN/>
        <w:bidi w:val="0"/>
        <w:spacing w:line="400" w:lineRule="exact"/>
        <w:jc w:val="center"/>
        <w:textAlignment w:val="auto"/>
        <w:rPr>
          <w:rFonts w:ascii="宋体" w:hAnsi="宋体" w:cs="宋体"/>
          <w:b/>
          <w:color w:val="auto"/>
          <w:szCs w:val="21"/>
          <w:highlight w:val="none"/>
        </w:rPr>
      </w:pPr>
      <w:bookmarkStart w:id="81" w:name="_Toc10852"/>
      <w:r>
        <w:rPr>
          <w:rFonts w:hint="eastAsia" w:ascii="宋体" w:hAnsi="宋体" w:cs="宋体"/>
          <w:b/>
          <w:color w:val="auto"/>
          <w:szCs w:val="21"/>
          <w:highlight w:val="none"/>
        </w:rPr>
        <w:t>B</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技术需求响应表</w:t>
      </w:r>
      <w:bookmarkEnd w:id="81"/>
    </w:p>
    <w:p w14:paraId="3C605BF8">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宁波大学校医院信息一体化平台服务项目</w:t>
      </w:r>
    </w:p>
    <w:p w14:paraId="3557EA72">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lang w:eastAsia="zh-CN"/>
        </w:rPr>
        <w:t>NBITC-202530430G</w:t>
      </w:r>
      <w:r>
        <w:rPr>
          <w:rFonts w:hint="eastAsia" w:ascii="宋体" w:hAnsi="宋体" w:cs="宋体"/>
          <w:color w:val="auto"/>
          <w:szCs w:val="21"/>
          <w:highlight w:val="none"/>
        </w:rPr>
        <w:t xml:space="preserve">                                 </w:t>
      </w:r>
    </w:p>
    <w:tbl>
      <w:tblPr>
        <w:tblStyle w:val="52"/>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4608"/>
        <w:gridCol w:w="1928"/>
        <w:gridCol w:w="1434"/>
      </w:tblGrid>
      <w:tr w14:paraId="51C0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5AD4797F">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序号</w:t>
            </w:r>
          </w:p>
        </w:tc>
        <w:tc>
          <w:tcPr>
            <w:tcW w:w="4608" w:type="dxa"/>
            <w:tcBorders>
              <w:tl2br w:val="nil"/>
              <w:tr2bl w:val="nil"/>
            </w:tcBorders>
            <w:vAlign w:val="center"/>
          </w:tcPr>
          <w:p w14:paraId="37DC32ED">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招标要求</w:t>
            </w:r>
          </w:p>
        </w:tc>
        <w:tc>
          <w:tcPr>
            <w:tcW w:w="1928" w:type="dxa"/>
            <w:tcBorders>
              <w:tl2br w:val="nil"/>
              <w:tr2bl w:val="nil"/>
            </w:tcBorders>
            <w:vAlign w:val="center"/>
          </w:tcPr>
          <w:p w14:paraId="001290B6">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投标响应</w:t>
            </w:r>
          </w:p>
        </w:tc>
        <w:tc>
          <w:tcPr>
            <w:tcW w:w="1434" w:type="dxa"/>
            <w:tcBorders>
              <w:tl2br w:val="nil"/>
              <w:tr2bl w:val="nil"/>
            </w:tcBorders>
            <w:vAlign w:val="center"/>
          </w:tcPr>
          <w:p w14:paraId="4BAACC70">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偏离说明</w:t>
            </w:r>
          </w:p>
        </w:tc>
      </w:tr>
      <w:tr w14:paraId="79DE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0483195E">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4608" w:type="dxa"/>
            <w:tcBorders>
              <w:tl2br w:val="nil"/>
              <w:tr2bl w:val="nil"/>
            </w:tcBorders>
            <w:vAlign w:val="center"/>
          </w:tcPr>
          <w:p w14:paraId="1F720731">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928" w:type="dxa"/>
            <w:tcBorders>
              <w:tl2br w:val="nil"/>
              <w:tr2bl w:val="nil"/>
            </w:tcBorders>
            <w:vAlign w:val="center"/>
          </w:tcPr>
          <w:p w14:paraId="1E5EB811">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434" w:type="dxa"/>
            <w:tcBorders>
              <w:tl2br w:val="nil"/>
              <w:tr2bl w:val="nil"/>
            </w:tcBorders>
            <w:vAlign w:val="center"/>
          </w:tcPr>
          <w:p w14:paraId="0DE26238">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r>
      <w:tr w14:paraId="4E36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528939C8">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4608" w:type="dxa"/>
            <w:tcBorders>
              <w:tl2br w:val="nil"/>
              <w:tr2bl w:val="nil"/>
            </w:tcBorders>
            <w:vAlign w:val="center"/>
          </w:tcPr>
          <w:p w14:paraId="54893A48">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928" w:type="dxa"/>
            <w:tcBorders>
              <w:tl2br w:val="nil"/>
              <w:tr2bl w:val="nil"/>
            </w:tcBorders>
            <w:vAlign w:val="center"/>
          </w:tcPr>
          <w:p w14:paraId="5948BCBD">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434" w:type="dxa"/>
            <w:tcBorders>
              <w:tl2br w:val="nil"/>
              <w:tr2bl w:val="nil"/>
            </w:tcBorders>
            <w:vAlign w:val="center"/>
          </w:tcPr>
          <w:p w14:paraId="00DB1899">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r>
      <w:tr w14:paraId="7B26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4317BAE6">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4608" w:type="dxa"/>
            <w:tcBorders>
              <w:tl2br w:val="nil"/>
              <w:tr2bl w:val="nil"/>
            </w:tcBorders>
            <w:vAlign w:val="center"/>
          </w:tcPr>
          <w:p w14:paraId="3238B774">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928" w:type="dxa"/>
            <w:tcBorders>
              <w:tl2br w:val="nil"/>
              <w:tr2bl w:val="nil"/>
            </w:tcBorders>
            <w:vAlign w:val="center"/>
          </w:tcPr>
          <w:p w14:paraId="3B04792F">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434" w:type="dxa"/>
            <w:tcBorders>
              <w:tl2br w:val="nil"/>
              <w:tr2bl w:val="nil"/>
            </w:tcBorders>
            <w:vAlign w:val="center"/>
          </w:tcPr>
          <w:p w14:paraId="3A00805E">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r>
      <w:tr w14:paraId="6C44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05606408">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4608" w:type="dxa"/>
            <w:tcBorders>
              <w:tl2br w:val="nil"/>
              <w:tr2bl w:val="nil"/>
            </w:tcBorders>
            <w:vAlign w:val="center"/>
          </w:tcPr>
          <w:p w14:paraId="22F908A8">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928" w:type="dxa"/>
            <w:tcBorders>
              <w:tl2br w:val="nil"/>
              <w:tr2bl w:val="nil"/>
            </w:tcBorders>
            <w:vAlign w:val="center"/>
          </w:tcPr>
          <w:p w14:paraId="528B751A">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434" w:type="dxa"/>
            <w:tcBorders>
              <w:tl2br w:val="nil"/>
              <w:tr2bl w:val="nil"/>
            </w:tcBorders>
            <w:vAlign w:val="center"/>
          </w:tcPr>
          <w:p w14:paraId="5C9B0A50">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r>
      <w:tr w14:paraId="5DBB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9" w:type="dxa"/>
            <w:tcBorders>
              <w:tl2br w:val="nil"/>
              <w:tr2bl w:val="nil"/>
            </w:tcBorders>
            <w:vAlign w:val="center"/>
          </w:tcPr>
          <w:p w14:paraId="1273D3F6">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4608" w:type="dxa"/>
            <w:tcBorders>
              <w:tl2br w:val="nil"/>
              <w:tr2bl w:val="nil"/>
            </w:tcBorders>
            <w:vAlign w:val="center"/>
          </w:tcPr>
          <w:p w14:paraId="32AF50CC">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928" w:type="dxa"/>
            <w:tcBorders>
              <w:tl2br w:val="nil"/>
              <w:tr2bl w:val="nil"/>
            </w:tcBorders>
            <w:vAlign w:val="center"/>
          </w:tcPr>
          <w:p w14:paraId="6C1320C3">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c>
          <w:tcPr>
            <w:tcW w:w="1434" w:type="dxa"/>
            <w:tcBorders>
              <w:tl2br w:val="nil"/>
              <w:tr2bl w:val="nil"/>
            </w:tcBorders>
            <w:vAlign w:val="center"/>
          </w:tcPr>
          <w:p w14:paraId="6FD75100">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lang w:eastAsia="zh-CN"/>
              </w:rPr>
            </w:pPr>
          </w:p>
        </w:tc>
      </w:tr>
    </w:tbl>
    <w:p w14:paraId="39E0D881">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auto"/>
          <w:spacing w:val="20"/>
          <w:szCs w:val="21"/>
          <w:highlight w:val="none"/>
        </w:rPr>
      </w:pPr>
      <w:r>
        <w:rPr>
          <w:rFonts w:hint="eastAsia" w:ascii="宋体" w:hAnsi="宋体" w:cs="宋体"/>
          <w:color w:val="auto"/>
          <w:szCs w:val="21"/>
          <w:highlight w:val="none"/>
        </w:rPr>
        <w:t>注：须与“第三章  招标内容与服务需求”中“三、服务内容</w:t>
      </w:r>
      <w:r>
        <w:rPr>
          <w:rFonts w:hint="eastAsia" w:ascii="宋体" w:hAnsi="宋体" w:cs="宋体"/>
          <w:color w:val="auto"/>
          <w:szCs w:val="21"/>
          <w:highlight w:val="none"/>
          <w:lang w:eastAsia="zh-CN"/>
        </w:rPr>
        <w:t>；四、建设方案”</w:t>
      </w:r>
      <w:r>
        <w:rPr>
          <w:rFonts w:hint="eastAsia" w:ascii="宋体" w:hAnsi="宋体" w:cs="宋体"/>
          <w:color w:val="auto"/>
          <w:szCs w:val="21"/>
          <w:highlight w:val="none"/>
        </w:rPr>
        <w:t>逐项比较，如有偏离的，须在本表中列明，并提供详细的偏离说明。</w:t>
      </w:r>
    </w:p>
    <w:p w14:paraId="2CD3D652">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auto"/>
          <w:spacing w:val="20"/>
          <w:szCs w:val="21"/>
          <w:highlight w:val="none"/>
        </w:rPr>
      </w:pPr>
    </w:p>
    <w:p w14:paraId="26DD70FB">
      <w:pPr>
        <w:keepNext w:val="0"/>
        <w:keepLines w:val="0"/>
        <w:pageBreakBefore w:val="0"/>
        <w:widowControl w:val="0"/>
        <w:kinsoku/>
        <w:wordWrap/>
        <w:overflowPunct/>
        <w:topLinePunct w:val="0"/>
        <w:autoSpaceDE/>
        <w:autoSpaceDN/>
        <w:bidi w:val="0"/>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0F283AD7">
      <w:pPr>
        <w:keepNext w:val="0"/>
        <w:keepLines w:val="0"/>
        <w:pageBreakBefore w:val="0"/>
        <w:widowControl w:val="0"/>
        <w:kinsoku/>
        <w:wordWrap/>
        <w:overflowPunct/>
        <w:topLinePunct w:val="0"/>
        <w:autoSpaceDE/>
        <w:autoSpaceDN/>
        <w:bidi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期：</w:t>
      </w:r>
    </w:p>
    <w:p w14:paraId="71A37196">
      <w:pPr>
        <w:snapToGrid w:val="0"/>
        <w:spacing w:line="400" w:lineRule="exact"/>
        <w:ind w:firstLine="4095" w:firstLineChars="1950"/>
        <w:jc w:val="left"/>
        <w:rPr>
          <w:rFonts w:ascii="宋体" w:hAnsi="宋体" w:cs="宋体"/>
          <w:color w:val="auto"/>
          <w:szCs w:val="21"/>
          <w:highlight w:val="none"/>
        </w:rPr>
      </w:pPr>
    </w:p>
    <w:p w14:paraId="303799EC">
      <w:pPr>
        <w:spacing w:line="400" w:lineRule="exact"/>
        <w:ind w:firstLine="4095" w:firstLineChars="1950"/>
        <w:jc w:val="left"/>
        <w:rPr>
          <w:rFonts w:ascii="宋体" w:hAnsi="宋体" w:cs="宋体"/>
          <w:color w:val="auto"/>
          <w:szCs w:val="21"/>
          <w:highlight w:val="none"/>
        </w:rPr>
      </w:pPr>
    </w:p>
    <w:p w14:paraId="03CEB31D">
      <w:pPr>
        <w:snapToGrid w:val="0"/>
        <w:spacing w:line="400" w:lineRule="exact"/>
        <w:jc w:val="left"/>
        <w:rPr>
          <w:rFonts w:ascii="宋体" w:hAnsi="宋体" w:cs="宋体"/>
          <w:color w:val="auto"/>
          <w:szCs w:val="21"/>
          <w:highlight w:val="none"/>
          <w:u w:val="single"/>
        </w:rPr>
      </w:pPr>
    </w:p>
    <w:p w14:paraId="4A05A424">
      <w:pPr>
        <w:spacing w:line="360" w:lineRule="auto"/>
        <w:rPr>
          <w:rFonts w:ascii="宋体" w:hAnsi="宋体" w:cs="宋体"/>
          <w:color w:val="auto"/>
          <w:szCs w:val="21"/>
          <w:highlight w:val="none"/>
        </w:rPr>
      </w:pPr>
    </w:p>
    <w:p w14:paraId="75319B53">
      <w:pPr>
        <w:spacing w:line="360" w:lineRule="auto"/>
        <w:rPr>
          <w:rFonts w:ascii="宋体" w:hAnsi="宋体" w:cs="宋体"/>
          <w:color w:val="auto"/>
          <w:szCs w:val="21"/>
          <w:highlight w:val="none"/>
        </w:rPr>
      </w:pPr>
    </w:p>
    <w:p w14:paraId="27E7DE99">
      <w:pPr>
        <w:spacing w:line="360" w:lineRule="auto"/>
        <w:rPr>
          <w:rStyle w:val="117"/>
          <w:rFonts w:ascii="宋体" w:hAnsi="宋体" w:cs="宋体"/>
          <w:color w:val="auto"/>
          <w:szCs w:val="21"/>
          <w:highlight w:val="none"/>
        </w:rPr>
      </w:pPr>
      <w:r>
        <w:rPr>
          <w:rFonts w:hint="eastAsia" w:ascii="宋体" w:hAnsi="宋体" w:cs="宋体"/>
          <w:color w:val="auto"/>
          <w:szCs w:val="21"/>
          <w:highlight w:val="none"/>
        </w:rPr>
        <w:br w:type="page"/>
      </w:r>
    </w:p>
    <w:p w14:paraId="620D0735">
      <w:pPr>
        <w:keepNext w:val="0"/>
        <w:keepLines w:val="0"/>
        <w:pageBreakBefore w:val="0"/>
        <w:widowControl w:val="0"/>
        <w:kinsoku/>
        <w:wordWrap/>
        <w:overflowPunct/>
        <w:topLinePunct w:val="0"/>
        <w:autoSpaceDE/>
        <w:autoSpaceDN/>
        <w:bidi w:val="0"/>
        <w:spacing w:line="400" w:lineRule="exact"/>
        <w:jc w:val="center"/>
        <w:textAlignment w:val="auto"/>
        <w:rPr>
          <w:rFonts w:ascii="宋体" w:hAnsi="宋体" w:cs="宋体"/>
          <w:b/>
          <w:color w:val="auto"/>
          <w:szCs w:val="21"/>
          <w:highlight w:val="none"/>
        </w:rPr>
      </w:pPr>
      <w:r>
        <w:rPr>
          <w:rFonts w:hint="eastAsia" w:ascii="宋体" w:hAnsi="宋体" w:cs="宋体"/>
          <w:b/>
          <w:color w:val="auto"/>
          <w:szCs w:val="21"/>
          <w:highlight w:val="none"/>
        </w:rPr>
        <w:t>B</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商务条款响应表</w:t>
      </w:r>
    </w:p>
    <w:p w14:paraId="4AC9B45C">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宁波大学校医院信息一体化平台服务项目</w:t>
      </w:r>
    </w:p>
    <w:p w14:paraId="23591FC4">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lang w:eastAsia="zh-CN"/>
        </w:rPr>
        <w:t>NBITC-202530430G</w:t>
      </w:r>
    </w:p>
    <w:tbl>
      <w:tblPr>
        <w:tblStyle w:val="52"/>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4"/>
        <w:gridCol w:w="1547"/>
        <w:gridCol w:w="4483"/>
        <w:gridCol w:w="1300"/>
        <w:gridCol w:w="1300"/>
      </w:tblGrid>
      <w:tr w14:paraId="01487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3C32A287">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序号</w:t>
            </w:r>
          </w:p>
        </w:tc>
        <w:tc>
          <w:tcPr>
            <w:tcW w:w="819" w:type="pct"/>
            <w:tcBorders>
              <w:top w:val="single" w:color="auto" w:sz="4" w:space="0"/>
              <w:left w:val="single" w:color="auto" w:sz="4" w:space="0"/>
              <w:bottom w:val="single" w:color="auto" w:sz="4" w:space="0"/>
              <w:right w:val="single" w:color="auto" w:sz="4" w:space="0"/>
            </w:tcBorders>
            <w:vAlign w:val="center"/>
          </w:tcPr>
          <w:p w14:paraId="373F9FFD">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内容</w:t>
            </w:r>
          </w:p>
        </w:tc>
        <w:tc>
          <w:tcPr>
            <w:tcW w:w="2373" w:type="pct"/>
            <w:tcBorders>
              <w:top w:val="single" w:color="auto" w:sz="4" w:space="0"/>
              <w:left w:val="single" w:color="auto" w:sz="4" w:space="0"/>
              <w:bottom w:val="single" w:color="auto" w:sz="4" w:space="0"/>
              <w:right w:val="single" w:color="auto" w:sz="4" w:space="0"/>
            </w:tcBorders>
            <w:vAlign w:val="center"/>
          </w:tcPr>
          <w:p w14:paraId="07AE1C32">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商务条款要求</w:t>
            </w:r>
          </w:p>
        </w:tc>
        <w:tc>
          <w:tcPr>
            <w:tcW w:w="688" w:type="pct"/>
            <w:tcBorders>
              <w:top w:val="single" w:color="auto" w:sz="4" w:space="0"/>
              <w:left w:val="single" w:color="auto" w:sz="4" w:space="0"/>
              <w:bottom w:val="single" w:color="auto" w:sz="4" w:space="0"/>
              <w:right w:val="single" w:color="auto" w:sz="4" w:space="0"/>
            </w:tcBorders>
            <w:vAlign w:val="center"/>
          </w:tcPr>
          <w:p w14:paraId="781734A3">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投标响应</w:t>
            </w:r>
          </w:p>
        </w:tc>
        <w:tc>
          <w:tcPr>
            <w:tcW w:w="688" w:type="pct"/>
            <w:tcBorders>
              <w:top w:val="single" w:color="auto" w:sz="4" w:space="0"/>
              <w:left w:val="single" w:color="auto" w:sz="4" w:space="0"/>
              <w:bottom w:val="single" w:color="auto" w:sz="4" w:space="0"/>
              <w:right w:val="single" w:color="auto" w:sz="4" w:space="0"/>
            </w:tcBorders>
            <w:vAlign w:val="center"/>
          </w:tcPr>
          <w:p w14:paraId="083E41E5">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eastAsia="zh-CN"/>
              </w:rPr>
              <w:t>偏离说明</w:t>
            </w:r>
          </w:p>
        </w:tc>
      </w:tr>
      <w:tr w14:paraId="5FFCC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F101A0F">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547" w:type="dxa"/>
            <w:tcBorders>
              <w:top w:val="single" w:color="auto" w:sz="4" w:space="0"/>
              <w:left w:val="single" w:color="auto" w:sz="4" w:space="0"/>
              <w:bottom w:val="single" w:color="auto" w:sz="4" w:space="0"/>
              <w:right w:val="single" w:color="auto" w:sz="4" w:space="0"/>
            </w:tcBorders>
            <w:vAlign w:val="center"/>
          </w:tcPr>
          <w:p w14:paraId="1E32F1A5">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lang w:eastAsia="zh-CN"/>
              </w:rPr>
              <w:t>服务期限</w:t>
            </w:r>
          </w:p>
        </w:tc>
        <w:tc>
          <w:tcPr>
            <w:tcW w:w="4483" w:type="dxa"/>
            <w:tcBorders>
              <w:top w:val="single" w:color="auto" w:sz="4" w:space="0"/>
              <w:left w:val="single" w:color="auto" w:sz="4" w:space="0"/>
              <w:bottom w:val="single" w:color="auto" w:sz="4" w:space="0"/>
              <w:right w:val="single" w:color="auto" w:sz="4" w:space="0"/>
            </w:tcBorders>
            <w:vAlign w:val="center"/>
          </w:tcPr>
          <w:p w14:paraId="049AAD61">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SA"/>
              </w:rPr>
              <w:t>自合同签订之日起三年（其中，第一年为提供各类系统服务，第二年、第三年为服务的延续与保障）。</w:t>
            </w:r>
          </w:p>
        </w:tc>
        <w:tc>
          <w:tcPr>
            <w:tcW w:w="688" w:type="pct"/>
            <w:tcBorders>
              <w:top w:val="single" w:color="auto" w:sz="4" w:space="0"/>
              <w:left w:val="single" w:color="auto" w:sz="4" w:space="0"/>
              <w:bottom w:val="single" w:color="auto" w:sz="4" w:space="0"/>
              <w:right w:val="single" w:color="auto" w:sz="4" w:space="0"/>
            </w:tcBorders>
            <w:vAlign w:val="center"/>
          </w:tcPr>
          <w:p w14:paraId="7D6B6D87">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00BF616E">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p>
        </w:tc>
      </w:tr>
      <w:tr w14:paraId="3C92D7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FF0BCB0">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547" w:type="dxa"/>
            <w:tcBorders>
              <w:top w:val="single" w:color="auto" w:sz="4" w:space="0"/>
              <w:left w:val="single" w:color="auto" w:sz="4" w:space="0"/>
              <w:bottom w:val="single" w:color="auto" w:sz="4" w:space="0"/>
              <w:right w:val="single" w:color="auto" w:sz="4" w:space="0"/>
            </w:tcBorders>
            <w:vAlign w:val="center"/>
          </w:tcPr>
          <w:p w14:paraId="656421C2">
            <w:pPr>
              <w:keepNext w:val="0"/>
              <w:keepLines w:val="0"/>
              <w:pageBreakBefore w:val="0"/>
              <w:widowControl w:val="0"/>
              <w:kinsoku/>
              <w:wordWrap/>
              <w:overflowPunct/>
              <w:topLinePunct w:val="0"/>
              <w:bidi w:val="0"/>
              <w:adjustRightInd/>
              <w:snapToGrid/>
              <w:spacing w:line="400" w:lineRule="exact"/>
              <w:jc w:val="center"/>
              <w:rPr>
                <w:rFonts w:ascii="宋体" w:hAnsi="宋体" w:cs="宋体"/>
                <w:color w:val="auto"/>
                <w:szCs w:val="21"/>
                <w:highlight w:val="none"/>
              </w:rPr>
            </w:pPr>
            <w:r>
              <w:rPr>
                <w:rFonts w:hint="eastAsia" w:ascii="宋体" w:hAnsi="宋体" w:cs="宋体"/>
                <w:color w:val="auto"/>
                <w:szCs w:val="21"/>
                <w:highlight w:val="none"/>
                <w:lang w:eastAsia="zh-CN"/>
              </w:rPr>
              <w:t>服务地点</w:t>
            </w:r>
          </w:p>
        </w:tc>
        <w:tc>
          <w:tcPr>
            <w:tcW w:w="4483" w:type="dxa"/>
            <w:tcBorders>
              <w:top w:val="single" w:color="auto" w:sz="4" w:space="0"/>
              <w:left w:val="single" w:color="auto" w:sz="4" w:space="0"/>
              <w:bottom w:val="single" w:color="auto" w:sz="4" w:space="0"/>
              <w:right w:val="single" w:color="auto" w:sz="4" w:space="0"/>
            </w:tcBorders>
            <w:vAlign w:val="center"/>
          </w:tcPr>
          <w:p w14:paraId="03E052B0">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lang w:val="en-US" w:eastAsia="zh-CN" w:bidi="ar-SA"/>
              </w:rPr>
              <w:t>宁波大学校医医院（具体以采购人要求为准）。</w:t>
            </w:r>
          </w:p>
        </w:tc>
        <w:tc>
          <w:tcPr>
            <w:tcW w:w="688" w:type="pct"/>
            <w:tcBorders>
              <w:top w:val="single" w:color="auto" w:sz="4" w:space="0"/>
              <w:left w:val="single" w:color="auto" w:sz="4" w:space="0"/>
              <w:bottom w:val="single" w:color="auto" w:sz="4" w:space="0"/>
              <w:right w:val="single" w:color="auto" w:sz="4" w:space="0"/>
            </w:tcBorders>
            <w:vAlign w:val="center"/>
          </w:tcPr>
          <w:p w14:paraId="158E39D9">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0198E8F3">
            <w:pPr>
              <w:keepNext w:val="0"/>
              <w:keepLines w:val="0"/>
              <w:pageBreakBefore w:val="0"/>
              <w:widowControl w:val="0"/>
              <w:kinsoku/>
              <w:wordWrap/>
              <w:overflowPunct/>
              <w:topLinePunct w:val="0"/>
              <w:bidi w:val="0"/>
              <w:adjustRightInd/>
              <w:snapToGrid/>
              <w:spacing w:line="400" w:lineRule="exact"/>
              <w:jc w:val="left"/>
              <w:rPr>
                <w:rFonts w:hint="eastAsia" w:ascii="宋体" w:hAnsi="宋体" w:cs="宋体"/>
                <w:color w:val="auto"/>
                <w:szCs w:val="21"/>
                <w:highlight w:val="none"/>
              </w:rPr>
            </w:pPr>
          </w:p>
        </w:tc>
      </w:tr>
      <w:tr w14:paraId="1B3E3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27080884">
            <w:pPr>
              <w:keepNext w:val="0"/>
              <w:keepLines w:val="0"/>
              <w:pageBreakBefore w:val="0"/>
              <w:widowControl w:val="0"/>
              <w:kinsoku/>
              <w:wordWrap/>
              <w:overflowPunct/>
              <w:topLinePunct w:val="0"/>
              <w:bidi w:val="0"/>
              <w:adjustRightInd/>
              <w:snapToGrid/>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547" w:type="dxa"/>
            <w:tcBorders>
              <w:top w:val="single" w:color="auto" w:sz="4" w:space="0"/>
              <w:left w:val="single" w:color="auto" w:sz="4" w:space="0"/>
              <w:bottom w:val="single" w:color="auto" w:sz="4" w:space="0"/>
              <w:right w:val="single" w:color="auto" w:sz="4" w:space="0"/>
            </w:tcBorders>
            <w:vAlign w:val="center"/>
          </w:tcPr>
          <w:p w14:paraId="10404FDB">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rPr>
            </w:pPr>
            <w:r>
              <w:rPr>
                <w:rFonts w:hint="eastAsia" w:ascii="宋体" w:hAnsi="宋体" w:cs="宋体"/>
                <w:color w:val="auto"/>
                <w:szCs w:val="21"/>
                <w:highlight w:val="none"/>
              </w:rPr>
              <w:t>付款方式</w:t>
            </w:r>
          </w:p>
        </w:tc>
        <w:tc>
          <w:tcPr>
            <w:tcW w:w="4483" w:type="dxa"/>
            <w:tcBorders>
              <w:top w:val="single" w:color="auto" w:sz="4" w:space="0"/>
              <w:left w:val="single" w:color="auto" w:sz="4" w:space="0"/>
              <w:bottom w:val="single" w:color="auto" w:sz="4" w:space="0"/>
              <w:right w:val="single" w:color="auto" w:sz="4" w:space="0"/>
            </w:tcBorders>
            <w:vAlign w:val="center"/>
          </w:tcPr>
          <w:p w14:paraId="101F92AD">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合同签订生效且具备实施条件后7个工作日内，采购人向中标供应商支付合同总价的40%，第一年服务期满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7个工作日内向中标供应商支付合同总价的30%，第二年服务期满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7个工作日内向中标供应商支付合同总价的15%，第三年服务期满</w:t>
            </w:r>
            <w:r>
              <w:rPr>
                <w:rFonts w:hint="eastAsia" w:ascii="宋体" w:hAnsi="宋体" w:cs="宋体"/>
                <w:color w:val="auto"/>
                <w:kern w:val="2"/>
                <w:sz w:val="21"/>
                <w:szCs w:val="21"/>
                <w:highlight w:val="none"/>
                <w:lang w:val="en-US" w:eastAsia="zh-CN" w:bidi="ar-SA"/>
              </w:rPr>
              <w:t>且经采购人考核合格</w:t>
            </w:r>
            <w:r>
              <w:rPr>
                <w:rFonts w:hint="eastAsia" w:ascii="宋体" w:hAnsi="宋体" w:eastAsia="宋体" w:cs="宋体"/>
                <w:color w:val="auto"/>
                <w:kern w:val="2"/>
                <w:sz w:val="21"/>
                <w:szCs w:val="21"/>
                <w:highlight w:val="none"/>
                <w:lang w:val="en-US" w:eastAsia="zh-CN" w:bidi="ar-SA"/>
              </w:rPr>
              <w:t>后</w:t>
            </w:r>
            <w:r>
              <w:rPr>
                <w:rFonts w:hint="eastAsia" w:ascii="宋体" w:hAnsi="宋体" w:cs="宋体"/>
                <w:color w:val="auto"/>
                <w:kern w:val="2"/>
                <w:sz w:val="21"/>
                <w:szCs w:val="21"/>
                <w:highlight w:val="none"/>
                <w:lang w:val="en-US" w:eastAsia="zh-CN" w:bidi="ar-SA"/>
              </w:rPr>
              <w:t>，采购人凭中标供应商提供的增值税发票于</w:t>
            </w:r>
            <w:r>
              <w:rPr>
                <w:rFonts w:hint="eastAsia" w:ascii="宋体" w:hAnsi="宋体" w:eastAsia="宋体" w:cs="宋体"/>
                <w:color w:val="auto"/>
                <w:kern w:val="2"/>
                <w:sz w:val="21"/>
                <w:szCs w:val="21"/>
                <w:highlight w:val="none"/>
                <w:lang w:val="en-US" w:eastAsia="zh-CN" w:bidi="ar-SA"/>
              </w:rPr>
              <w:t>7个工作日内向中标供应商支付合同总价的15%。</w:t>
            </w:r>
          </w:p>
        </w:tc>
        <w:tc>
          <w:tcPr>
            <w:tcW w:w="688" w:type="pct"/>
            <w:tcBorders>
              <w:top w:val="single" w:color="auto" w:sz="4" w:space="0"/>
              <w:left w:val="single" w:color="auto" w:sz="4" w:space="0"/>
              <w:bottom w:val="single" w:color="auto" w:sz="4" w:space="0"/>
              <w:right w:val="single" w:color="auto" w:sz="4" w:space="0"/>
            </w:tcBorders>
            <w:vAlign w:val="center"/>
          </w:tcPr>
          <w:p w14:paraId="30BDC318">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5EEDABAA">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rPr>
            </w:pPr>
          </w:p>
        </w:tc>
      </w:tr>
      <w:tr w14:paraId="3F0614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F9491B3">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547" w:type="dxa"/>
            <w:tcBorders>
              <w:top w:val="single" w:color="auto" w:sz="4" w:space="0"/>
              <w:left w:val="single" w:color="auto" w:sz="4" w:space="0"/>
              <w:bottom w:val="single" w:color="auto" w:sz="4" w:space="0"/>
              <w:right w:val="single" w:color="auto" w:sz="4" w:space="0"/>
            </w:tcBorders>
            <w:vAlign w:val="center"/>
          </w:tcPr>
          <w:p w14:paraId="535FD1EC">
            <w:pPr>
              <w:keepNext w:val="0"/>
              <w:keepLines w:val="0"/>
              <w:pageBreakBefore w:val="0"/>
              <w:widowControl w:val="0"/>
              <w:kinsoku/>
              <w:wordWrap/>
              <w:overflowPunct/>
              <w:topLinePunct w:val="0"/>
              <w:bidi w:val="0"/>
              <w:adjustRightInd/>
              <w:snapToGrid/>
              <w:spacing w:line="40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履约保证金</w:t>
            </w:r>
          </w:p>
        </w:tc>
        <w:tc>
          <w:tcPr>
            <w:tcW w:w="4483" w:type="dxa"/>
            <w:tcBorders>
              <w:top w:val="single" w:color="auto" w:sz="4" w:space="0"/>
              <w:left w:val="single" w:color="auto" w:sz="4" w:space="0"/>
              <w:bottom w:val="single" w:color="auto" w:sz="4" w:space="0"/>
              <w:right w:val="single" w:color="auto" w:sz="4" w:space="0"/>
            </w:tcBorders>
            <w:vAlign w:val="center"/>
          </w:tcPr>
          <w:p w14:paraId="6735B1DF">
            <w:pPr>
              <w:keepNext w:val="0"/>
              <w:keepLines w:val="0"/>
              <w:pageBreakBefore w:val="0"/>
              <w:widowControl w:val="0"/>
              <w:kinsoku/>
              <w:wordWrap/>
              <w:overflowPunct/>
              <w:topLinePunct w:val="0"/>
              <w:autoSpaceDE w:val="0"/>
              <w:autoSpaceDN w:val="0"/>
              <w:bidi w:val="0"/>
              <w:adjustRightInd/>
              <w:snapToGrid/>
              <w:spacing w:line="400" w:lineRule="exact"/>
              <w:textAlignment w:val="bottom"/>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无</w:t>
            </w:r>
          </w:p>
        </w:tc>
        <w:tc>
          <w:tcPr>
            <w:tcW w:w="688" w:type="pct"/>
            <w:tcBorders>
              <w:top w:val="single" w:color="auto" w:sz="4" w:space="0"/>
              <w:left w:val="single" w:color="auto" w:sz="4" w:space="0"/>
              <w:bottom w:val="single" w:color="auto" w:sz="4" w:space="0"/>
              <w:right w:val="single" w:color="auto" w:sz="4" w:space="0"/>
            </w:tcBorders>
            <w:vAlign w:val="center"/>
          </w:tcPr>
          <w:p w14:paraId="3440791E">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lang w:val="en-US" w:eastAsia="zh-CN"/>
              </w:rPr>
            </w:pPr>
          </w:p>
        </w:tc>
        <w:tc>
          <w:tcPr>
            <w:tcW w:w="688" w:type="pct"/>
            <w:tcBorders>
              <w:top w:val="single" w:color="auto" w:sz="4" w:space="0"/>
              <w:left w:val="single" w:color="auto" w:sz="4" w:space="0"/>
              <w:bottom w:val="single" w:color="auto" w:sz="4" w:space="0"/>
              <w:right w:val="single" w:color="auto" w:sz="4" w:space="0"/>
            </w:tcBorders>
            <w:vAlign w:val="center"/>
          </w:tcPr>
          <w:p w14:paraId="1A70EA9A">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lang w:val="en-US" w:eastAsia="zh-CN"/>
              </w:rPr>
            </w:pPr>
          </w:p>
        </w:tc>
      </w:tr>
      <w:tr w14:paraId="4DE51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3CC9CB11">
            <w:pPr>
              <w:keepNext w:val="0"/>
              <w:keepLines w:val="0"/>
              <w:pageBreakBefore w:val="0"/>
              <w:widowControl w:val="0"/>
              <w:kinsoku/>
              <w:wordWrap/>
              <w:overflowPunct/>
              <w:topLinePunct w:val="0"/>
              <w:bidi w:val="0"/>
              <w:adjustRightInd/>
              <w:snapToGrid/>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547" w:type="dxa"/>
            <w:tcBorders>
              <w:top w:val="single" w:color="auto" w:sz="4" w:space="0"/>
              <w:left w:val="single" w:color="auto" w:sz="4" w:space="0"/>
              <w:bottom w:val="single" w:color="auto" w:sz="4" w:space="0"/>
              <w:right w:val="single" w:color="auto" w:sz="4" w:space="0"/>
            </w:tcBorders>
            <w:vAlign w:val="center"/>
          </w:tcPr>
          <w:p w14:paraId="6772F605">
            <w:pPr>
              <w:keepNext w:val="0"/>
              <w:keepLines w:val="0"/>
              <w:pageBreakBefore w:val="0"/>
              <w:widowControl w:val="0"/>
              <w:kinsoku/>
              <w:wordWrap/>
              <w:overflowPunct/>
              <w:topLinePunct w:val="0"/>
              <w:bidi w:val="0"/>
              <w:adjustRightInd/>
              <w:snapToGrid/>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签订合同时间</w:t>
            </w:r>
          </w:p>
        </w:tc>
        <w:tc>
          <w:tcPr>
            <w:tcW w:w="4483" w:type="dxa"/>
            <w:tcBorders>
              <w:top w:val="single" w:color="auto" w:sz="4" w:space="0"/>
              <w:left w:val="single" w:color="auto" w:sz="4" w:space="0"/>
              <w:bottom w:val="single" w:color="auto" w:sz="4" w:space="0"/>
              <w:right w:val="single" w:color="auto" w:sz="4" w:space="0"/>
            </w:tcBorders>
            <w:vAlign w:val="center"/>
          </w:tcPr>
          <w:p w14:paraId="6550D292">
            <w:pPr>
              <w:keepNext w:val="0"/>
              <w:keepLines w:val="0"/>
              <w:pageBreakBefore w:val="0"/>
              <w:widowControl w:val="0"/>
              <w:kinsoku/>
              <w:wordWrap/>
              <w:overflowPunct/>
              <w:topLinePunct w:val="0"/>
              <w:autoSpaceDE w:val="0"/>
              <w:autoSpaceDN w:val="0"/>
              <w:bidi w:val="0"/>
              <w:adjustRightInd/>
              <w:snapToGrid/>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中标通知书发出之日起</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日内。</w:t>
            </w:r>
          </w:p>
        </w:tc>
        <w:tc>
          <w:tcPr>
            <w:tcW w:w="688" w:type="pct"/>
            <w:tcBorders>
              <w:top w:val="single" w:color="auto" w:sz="4" w:space="0"/>
              <w:left w:val="single" w:color="auto" w:sz="4" w:space="0"/>
              <w:bottom w:val="single" w:color="auto" w:sz="4" w:space="0"/>
              <w:right w:val="single" w:color="auto" w:sz="4" w:space="0"/>
            </w:tcBorders>
            <w:vAlign w:val="center"/>
          </w:tcPr>
          <w:p w14:paraId="17E66805">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lang w:val="en-US" w:eastAsia="zh-CN"/>
              </w:rPr>
            </w:pPr>
          </w:p>
        </w:tc>
        <w:tc>
          <w:tcPr>
            <w:tcW w:w="688" w:type="pct"/>
            <w:tcBorders>
              <w:top w:val="single" w:color="auto" w:sz="4" w:space="0"/>
              <w:left w:val="single" w:color="auto" w:sz="4" w:space="0"/>
              <w:bottom w:val="single" w:color="auto" w:sz="4" w:space="0"/>
              <w:right w:val="single" w:color="auto" w:sz="4" w:space="0"/>
            </w:tcBorders>
            <w:vAlign w:val="center"/>
          </w:tcPr>
          <w:p w14:paraId="368FD5EA">
            <w:pPr>
              <w:keepNext w:val="0"/>
              <w:keepLines w:val="0"/>
              <w:pageBreakBefore w:val="0"/>
              <w:widowControl w:val="0"/>
              <w:kinsoku/>
              <w:wordWrap/>
              <w:overflowPunct/>
              <w:topLinePunct w:val="0"/>
              <w:bidi w:val="0"/>
              <w:adjustRightInd/>
              <w:snapToGrid/>
              <w:spacing w:line="400" w:lineRule="exact"/>
              <w:jc w:val="left"/>
              <w:rPr>
                <w:rFonts w:hint="eastAsia" w:ascii="宋体" w:hAnsi="宋体" w:eastAsia="宋体" w:cs="宋体"/>
                <w:color w:val="auto"/>
                <w:szCs w:val="21"/>
                <w:highlight w:val="none"/>
                <w:lang w:val="en-US" w:eastAsia="zh-CN"/>
              </w:rPr>
            </w:pPr>
          </w:p>
        </w:tc>
      </w:tr>
    </w:tbl>
    <w:p w14:paraId="00A1D6E2">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注：须与“第四章  商务条款”逐项比较，如有偏离的，须在本表中列明，并提供详细的偏离说明。</w:t>
      </w:r>
    </w:p>
    <w:p w14:paraId="12B3691B">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hAnsi="宋体" w:cs="宋体"/>
          <w:color w:val="auto"/>
          <w:szCs w:val="21"/>
          <w:highlight w:val="none"/>
        </w:rPr>
      </w:pPr>
    </w:p>
    <w:p w14:paraId="16CCE440">
      <w:pPr>
        <w:keepNext w:val="0"/>
        <w:keepLines w:val="0"/>
        <w:pageBreakBefore w:val="0"/>
        <w:widowControl w:val="0"/>
        <w:kinsoku/>
        <w:wordWrap/>
        <w:overflowPunct/>
        <w:topLinePunct w:val="0"/>
        <w:autoSpaceDE/>
        <w:autoSpaceDN/>
        <w:bidi w:val="0"/>
        <w:spacing w:line="400" w:lineRule="exact"/>
        <w:jc w:val="left"/>
        <w:textAlignment w:val="auto"/>
        <w:rPr>
          <w:rFonts w:ascii="宋体" w:hAnsi="宋体" w:cs="宋体"/>
          <w:color w:val="auto"/>
          <w:szCs w:val="21"/>
          <w:highlight w:val="none"/>
        </w:rPr>
      </w:pPr>
      <w:bookmarkStart w:id="82" w:name="_Toc436408720"/>
      <w:bookmarkStart w:id="83" w:name="_Toc441316563"/>
      <w:r>
        <w:rPr>
          <w:rFonts w:hint="eastAsia" w:ascii="宋体" w:hAnsi="宋体" w:cs="宋体"/>
          <w:color w:val="auto"/>
          <w:szCs w:val="21"/>
          <w:highlight w:val="none"/>
        </w:rPr>
        <w:t>供应商（盖章）：</w:t>
      </w:r>
    </w:p>
    <w:p w14:paraId="42E893EA">
      <w:pPr>
        <w:keepNext w:val="0"/>
        <w:keepLines w:val="0"/>
        <w:pageBreakBefore w:val="0"/>
        <w:widowControl w:val="0"/>
        <w:kinsoku/>
        <w:wordWrap/>
        <w:overflowPunct/>
        <w:topLinePunct w:val="0"/>
        <w:autoSpaceDE/>
        <w:autoSpaceDN/>
        <w:bidi w:val="0"/>
        <w:spacing w:line="400" w:lineRule="exact"/>
        <w:textAlignment w:val="auto"/>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期：</w:t>
      </w:r>
    </w:p>
    <w:p w14:paraId="01F9257E">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br w:type="page"/>
      </w:r>
      <w:bookmarkEnd w:id="82"/>
      <w:bookmarkStart w:id="84" w:name="_Toc441316564"/>
      <w:r>
        <w:rPr>
          <w:rFonts w:hint="eastAsia" w:ascii="宋体" w:hAnsi="宋体" w:cs="宋体"/>
          <w:color w:val="auto"/>
          <w:szCs w:val="21"/>
          <w:highlight w:val="none"/>
        </w:rPr>
        <w:t>B6</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企业实力的证明文件（自拟）；</w:t>
      </w:r>
    </w:p>
    <w:p w14:paraId="2B2B3640">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B7</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服务方案（自拟）</w:t>
      </w:r>
      <w:r>
        <w:rPr>
          <w:rFonts w:hint="eastAsia" w:ascii="宋体" w:hAnsi="宋体" w:cs="宋体"/>
          <w:color w:val="auto"/>
          <w:szCs w:val="21"/>
          <w:highlight w:val="none"/>
        </w:rPr>
        <w:t>；</w:t>
      </w:r>
    </w:p>
    <w:p w14:paraId="285055DD">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B8</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拟派项目人员的技术水平和力量及相关证明文件；</w:t>
      </w:r>
    </w:p>
    <w:p w14:paraId="30B7D7DE">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拟派项目人员的技术水平和力量及相关证明文件</w:t>
      </w:r>
    </w:p>
    <w:p w14:paraId="431A918D">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宁波大学校医院信息一体化平台服务项目</w:t>
      </w:r>
      <w:r>
        <w:rPr>
          <w:rFonts w:hint="eastAsia" w:ascii="宋体" w:hAnsi="宋体" w:cs="宋体"/>
          <w:color w:val="auto"/>
          <w:szCs w:val="21"/>
          <w:highlight w:val="none"/>
        </w:rPr>
        <w:t xml:space="preserve">            </w:t>
      </w:r>
    </w:p>
    <w:p w14:paraId="623FC03B">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lang w:eastAsia="zh-CN"/>
        </w:rPr>
        <w:t>NBITC-202530430G</w:t>
      </w:r>
      <w:r>
        <w:rPr>
          <w:rFonts w:hint="eastAsia" w:ascii="宋体" w:hAnsi="宋体" w:cs="宋体"/>
          <w:color w:val="auto"/>
          <w:szCs w:val="21"/>
          <w:highlight w:val="none"/>
        </w:rPr>
        <w:t xml:space="preserve">                  </w:t>
      </w:r>
    </w:p>
    <w:tbl>
      <w:tblPr>
        <w:tblStyle w:val="52"/>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10"/>
        <w:gridCol w:w="1040"/>
        <w:gridCol w:w="1040"/>
        <w:gridCol w:w="1040"/>
        <w:gridCol w:w="1040"/>
        <w:gridCol w:w="1183"/>
        <w:gridCol w:w="810"/>
      </w:tblGrid>
      <w:tr w14:paraId="346E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304" w:type="dxa"/>
            <w:vAlign w:val="center"/>
          </w:tcPr>
          <w:p w14:paraId="456114B3">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姓名</w:t>
            </w:r>
          </w:p>
        </w:tc>
        <w:tc>
          <w:tcPr>
            <w:tcW w:w="1710" w:type="dxa"/>
            <w:vAlign w:val="center"/>
          </w:tcPr>
          <w:p w14:paraId="63DD28DA">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本项目</w:t>
            </w:r>
          </w:p>
          <w:p w14:paraId="0424D4D1">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拟任岗位</w:t>
            </w:r>
          </w:p>
        </w:tc>
        <w:tc>
          <w:tcPr>
            <w:tcW w:w="1040" w:type="dxa"/>
            <w:vAlign w:val="center"/>
          </w:tcPr>
          <w:p w14:paraId="364BCCB2">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性别</w:t>
            </w:r>
          </w:p>
        </w:tc>
        <w:tc>
          <w:tcPr>
            <w:tcW w:w="1040" w:type="dxa"/>
            <w:vAlign w:val="center"/>
          </w:tcPr>
          <w:p w14:paraId="7260EB63">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年龄</w:t>
            </w:r>
          </w:p>
        </w:tc>
        <w:tc>
          <w:tcPr>
            <w:tcW w:w="1040" w:type="dxa"/>
            <w:vAlign w:val="center"/>
          </w:tcPr>
          <w:p w14:paraId="6795B266">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学历</w:t>
            </w:r>
          </w:p>
        </w:tc>
        <w:tc>
          <w:tcPr>
            <w:tcW w:w="1040" w:type="dxa"/>
            <w:vAlign w:val="center"/>
          </w:tcPr>
          <w:p w14:paraId="4811F154">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专业</w:t>
            </w:r>
          </w:p>
        </w:tc>
        <w:tc>
          <w:tcPr>
            <w:tcW w:w="1183" w:type="dxa"/>
            <w:vAlign w:val="center"/>
          </w:tcPr>
          <w:p w14:paraId="77D06E92">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职称</w:t>
            </w:r>
          </w:p>
        </w:tc>
        <w:tc>
          <w:tcPr>
            <w:tcW w:w="810" w:type="dxa"/>
            <w:vAlign w:val="center"/>
          </w:tcPr>
          <w:p w14:paraId="7AF61926">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14:paraId="6BAF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04" w:type="dxa"/>
            <w:vAlign w:val="center"/>
          </w:tcPr>
          <w:p w14:paraId="3350F878">
            <w:pPr>
              <w:spacing w:line="400" w:lineRule="exact"/>
              <w:jc w:val="center"/>
              <w:rPr>
                <w:rFonts w:ascii="宋体" w:hAnsi="宋体" w:cs="宋体"/>
                <w:bCs/>
                <w:color w:val="auto"/>
                <w:szCs w:val="21"/>
                <w:highlight w:val="none"/>
              </w:rPr>
            </w:pPr>
          </w:p>
        </w:tc>
        <w:tc>
          <w:tcPr>
            <w:tcW w:w="1710" w:type="dxa"/>
            <w:vAlign w:val="center"/>
          </w:tcPr>
          <w:p w14:paraId="52B67354">
            <w:pPr>
              <w:spacing w:line="400" w:lineRule="exact"/>
              <w:jc w:val="center"/>
              <w:rPr>
                <w:rFonts w:ascii="宋体" w:hAnsi="宋体" w:cs="宋体"/>
                <w:bCs/>
                <w:color w:val="auto"/>
                <w:szCs w:val="21"/>
                <w:highlight w:val="none"/>
              </w:rPr>
            </w:pPr>
          </w:p>
        </w:tc>
        <w:tc>
          <w:tcPr>
            <w:tcW w:w="1040" w:type="dxa"/>
            <w:vAlign w:val="center"/>
          </w:tcPr>
          <w:p w14:paraId="760701DF">
            <w:pPr>
              <w:spacing w:line="400" w:lineRule="exact"/>
              <w:jc w:val="center"/>
              <w:rPr>
                <w:rFonts w:ascii="宋体" w:hAnsi="宋体" w:cs="宋体"/>
                <w:bCs/>
                <w:color w:val="auto"/>
                <w:szCs w:val="21"/>
                <w:highlight w:val="none"/>
              </w:rPr>
            </w:pPr>
          </w:p>
        </w:tc>
        <w:tc>
          <w:tcPr>
            <w:tcW w:w="1040" w:type="dxa"/>
            <w:vAlign w:val="center"/>
          </w:tcPr>
          <w:p w14:paraId="0EB55FD3">
            <w:pPr>
              <w:spacing w:line="400" w:lineRule="exact"/>
              <w:jc w:val="center"/>
              <w:rPr>
                <w:rFonts w:ascii="宋体" w:hAnsi="宋体" w:cs="宋体"/>
                <w:bCs/>
                <w:color w:val="auto"/>
                <w:szCs w:val="21"/>
                <w:highlight w:val="none"/>
              </w:rPr>
            </w:pPr>
          </w:p>
        </w:tc>
        <w:tc>
          <w:tcPr>
            <w:tcW w:w="1040" w:type="dxa"/>
            <w:vAlign w:val="center"/>
          </w:tcPr>
          <w:p w14:paraId="2073B368">
            <w:pPr>
              <w:spacing w:line="400" w:lineRule="exact"/>
              <w:jc w:val="center"/>
              <w:rPr>
                <w:rFonts w:ascii="宋体" w:hAnsi="宋体" w:cs="宋体"/>
                <w:bCs/>
                <w:color w:val="auto"/>
                <w:szCs w:val="21"/>
                <w:highlight w:val="none"/>
              </w:rPr>
            </w:pPr>
          </w:p>
        </w:tc>
        <w:tc>
          <w:tcPr>
            <w:tcW w:w="1040" w:type="dxa"/>
            <w:vAlign w:val="center"/>
          </w:tcPr>
          <w:p w14:paraId="423D6805">
            <w:pPr>
              <w:spacing w:line="400" w:lineRule="exact"/>
              <w:jc w:val="center"/>
              <w:rPr>
                <w:rFonts w:ascii="宋体" w:hAnsi="宋体" w:cs="宋体"/>
                <w:bCs/>
                <w:color w:val="auto"/>
                <w:szCs w:val="21"/>
                <w:highlight w:val="none"/>
              </w:rPr>
            </w:pPr>
          </w:p>
        </w:tc>
        <w:tc>
          <w:tcPr>
            <w:tcW w:w="1183" w:type="dxa"/>
            <w:vAlign w:val="center"/>
          </w:tcPr>
          <w:p w14:paraId="54BCD35E">
            <w:pPr>
              <w:spacing w:line="400" w:lineRule="exact"/>
              <w:jc w:val="center"/>
              <w:rPr>
                <w:rFonts w:ascii="宋体" w:hAnsi="宋体" w:cs="宋体"/>
                <w:bCs/>
                <w:color w:val="auto"/>
                <w:szCs w:val="21"/>
                <w:highlight w:val="none"/>
              </w:rPr>
            </w:pPr>
          </w:p>
        </w:tc>
        <w:tc>
          <w:tcPr>
            <w:tcW w:w="810" w:type="dxa"/>
            <w:vAlign w:val="center"/>
          </w:tcPr>
          <w:p w14:paraId="4C3B8AB3">
            <w:pPr>
              <w:spacing w:line="400" w:lineRule="exact"/>
              <w:jc w:val="center"/>
              <w:rPr>
                <w:rFonts w:ascii="宋体" w:hAnsi="宋体" w:cs="宋体"/>
                <w:color w:val="auto"/>
                <w:szCs w:val="21"/>
                <w:highlight w:val="none"/>
              </w:rPr>
            </w:pPr>
          </w:p>
        </w:tc>
      </w:tr>
      <w:tr w14:paraId="4728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04" w:type="dxa"/>
            <w:vAlign w:val="center"/>
          </w:tcPr>
          <w:p w14:paraId="5DC8EB17">
            <w:pPr>
              <w:spacing w:line="400" w:lineRule="exact"/>
              <w:jc w:val="center"/>
              <w:rPr>
                <w:rFonts w:ascii="宋体" w:hAnsi="宋体" w:cs="宋体"/>
                <w:bCs/>
                <w:color w:val="auto"/>
                <w:szCs w:val="21"/>
                <w:highlight w:val="none"/>
              </w:rPr>
            </w:pPr>
          </w:p>
        </w:tc>
        <w:tc>
          <w:tcPr>
            <w:tcW w:w="1710" w:type="dxa"/>
            <w:vAlign w:val="center"/>
          </w:tcPr>
          <w:p w14:paraId="634B2DF2">
            <w:pPr>
              <w:spacing w:line="400" w:lineRule="exact"/>
              <w:jc w:val="center"/>
              <w:rPr>
                <w:rFonts w:ascii="宋体" w:hAnsi="宋体" w:cs="宋体"/>
                <w:bCs/>
                <w:color w:val="auto"/>
                <w:szCs w:val="21"/>
                <w:highlight w:val="none"/>
              </w:rPr>
            </w:pPr>
          </w:p>
        </w:tc>
        <w:tc>
          <w:tcPr>
            <w:tcW w:w="1040" w:type="dxa"/>
            <w:vAlign w:val="center"/>
          </w:tcPr>
          <w:p w14:paraId="14065F2C">
            <w:pPr>
              <w:spacing w:line="400" w:lineRule="exact"/>
              <w:jc w:val="center"/>
              <w:rPr>
                <w:rFonts w:ascii="宋体" w:hAnsi="宋体" w:cs="宋体"/>
                <w:bCs/>
                <w:color w:val="auto"/>
                <w:szCs w:val="21"/>
                <w:highlight w:val="none"/>
              </w:rPr>
            </w:pPr>
          </w:p>
        </w:tc>
        <w:tc>
          <w:tcPr>
            <w:tcW w:w="1040" w:type="dxa"/>
            <w:vAlign w:val="center"/>
          </w:tcPr>
          <w:p w14:paraId="7FA3D106">
            <w:pPr>
              <w:spacing w:line="400" w:lineRule="exact"/>
              <w:jc w:val="center"/>
              <w:rPr>
                <w:rFonts w:ascii="宋体" w:hAnsi="宋体" w:cs="宋体"/>
                <w:bCs/>
                <w:color w:val="auto"/>
                <w:szCs w:val="21"/>
                <w:highlight w:val="none"/>
              </w:rPr>
            </w:pPr>
          </w:p>
        </w:tc>
        <w:tc>
          <w:tcPr>
            <w:tcW w:w="1040" w:type="dxa"/>
            <w:vAlign w:val="center"/>
          </w:tcPr>
          <w:p w14:paraId="306FBCC4">
            <w:pPr>
              <w:spacing w:line="400" w:lineRule="exact"/>
              <w:jc w:val="center"/>
              <w:rPr>
                <w:rFonts w:ascii="宋体" w:hAnsi="宋体" w:cs="宋体"/>
                <w:bCs/>
                <w:color w:val="auto"/>
                <w:szCs w:val="21"/>
                <w:highlight w:val="none"/>
              </w:rPr>
            </w:pPr>
          </w:p>
        </w:tc>
        <w:tc>
          <w:tcPr>
            <w:tcW w:w="1040" w:type="dxa"/>
            <w:vAlign w:val="center"/>
          </w:tcPr>
          <w:p w14:paraId="0CF8EE99">
            <w:pPr>
              <w:spacing w:line="400" w:lineRule="exact"/>
              <w:jc w:val="center"/>
              <w:rPr>
                <w:rFonts w:ascii="宋体" w:hAnsi="宋体" w:cs="宋体"/>
                <w:bCs/>
                <w:color w:val="auto"/>
                <w:szCs w:val="21"/>
                <w:highlight w:val="none"/>
              </w:rPr>
            </w:pPr>
          </w:p>
        </w:tc>
        <w:tc>
          <w:tcPr>
            <w:tcW w:w="1183" w:type="dxa"/>
            <w:vAlign w:val="center"/>
          </w:tcPr>
          <w:p w14:paraId="2DBC2137">
            <w:pPr>
              <w:spacing w:line="400" w:lineRule="exact"/>
              <w:jc w:val="center"/>
              <w:rPr>
                <w:rFonts w:ascii="宋体" w:hAnsi="宋体" w:cs="宋体"/>
                <w:bCs/>
                <w:color w:val="auto"/>
                <w:szCs w:val="21"/>
                <w:highlight w:val="none"/>
              </w:rPr>
            </w:pPr>
          </w:p>
        </w:tc>
        <w:tc>
          <w:tcPr>
            <w:tcW w:w="810" w:type="dxa"/>
            <w:vAlign w:val="center"/>
          </w:tcPr>
          <w:p w14:paraId="5DC08038">
            <w:pPr>
              <w:spacing w:line="400" w:lineRule="exact"/>
              <w:jc w:val="center"/>
              <w:rPr>
                <w:rFonts w:ascii="宋体" w:hAnsi="宋体" w:cs="宋体"/>
                <w:color w:val="auto"/>
                <w:szCs w:val="21"/>
                <w:highlight w:val="none"/>
              </w:rPr>
            </w:pPr>
          </w:p>
        </w:tc>
      </w:tr>
      <w:tr w14:paraId="5194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04" w:type="dxa"/>
            <w:vAlign w:val="center"/>
          </w:tcPr>
          <w:p w14:paraId="2E9F9AFC">
            <w:pPr>
              <w:spacing w:line="400" w:lineRule="exact"/>
              <w:jc w:val="center"/>
              <w:rPr>
                <w:rFonts w:ascii="宋体" w:hAnsi="宋体" w:cs="宋体"/>
                <w:bCs/>
                <w:color w:val="auto"/>
                <w:szCs w:val="21"/>
                <w:highlight w:val="none"/>
              </w:rPr>
            </w:pPr>
          </w:p>
        </w:tc>
        <w:tc>
          <w:tcPr>
            <w:tcW w:w="1710" w:type="dxa"/>
            <w:vAlign w:val="center"/>
          </w:tcPr>
          <w:p w14:paraId="0E0A76EC">
            <w:pPr>
              <w:spacing w:line="400" w:lineRule="exact"/>
              <w:jc w:val="center"/>
              <w:rPr>
                <w:rFonts w:ascii="宋体" w:hAnsi="宋体" w:cs="宋体"/>
                <w:bCs/>
                <w:color w:val="auto"/>
                <w:szCs w:val="21"/>
                <w:highlight w:val="none"/>
              </w:rPr>
            </w:pPr>
          </w:p>
        </w:tc>
        <w:tc>
          <w:tcPr>
            <w:tcW w:w="1040" w:type="dxa"/>
            <w:vAlign w:val="center"/>
          </w:tcPr>
          <w:p w14:paraId="3AA14937">
            <w:pPr>
              <w:spacing w:line="400" w:lineRule="exact"/>
              <w:jc w:val="center"/>
              <w:rPr>
                <w:rFonts w:ascii="宋体" w:hAnsi="宋体" w:cs="宋体"/>
                <w:bCs/>
                <w:color w:val="auto"/>
                <w:szCs w:val="21"/>
                <w:highlight w:val="none"/>
              </w:rPr>
            </w:pPr>
          </w:p>
        </w:tc>
        <w:tc>
          <w:tcPr>
            <w:tcW w:w="1040" w:type="dxa"/>
            <w:vAlign w:val="center"/>
          </w:tcPr>
          <w:p w14:paraId="4557D40B">
            <w:pPr>
              <w:spacing w:line="400" w:lineRule="exact"/>
              <w:jc w:val="center"/>
              <w:rPr>
                <w:rFonts w:ascii="宋体" w:hAnsi="宋体" w:cs="宋体"/>
                <w:bCs/>
                <w:color w:val="auto"/>
                <w:szCs w:val="21"/>
                <w:highlight w:val="none"/>
              </w:rPr>
            </w:pPr>
          </w:p>
        </w:tc>
        <w:tc>
          <w:tcPr>
            <w:tcW w:w="1040" w:type="dxa"/>
            <w:vAlign w:val="center"/>
          </w:tcPr>
          <w:p w14:paraId="0950EA24">
            <w:pPr>
              <w:spacing w:line="400" w:lineRule="exact"/>
              <w:jc w:val="center"/>
              <w:rPr>
                <w:rFonts w:ascii="宋体" w:hAnsi="宋体" w:cs="宋体"/>
                <w:bCs/>
                <w:color w:val="auto"/>
                <w:szCs w:val="21"/>
                <w:highlight w:val="none"/>
              </w:rPr>
            </w:pPr>
          </w:p>
        </w:tc>
        <w:tc>
          <w:tcPr>
            <w:tcW w:w="1040" w:type="dxa"/>
            <w:vAlign w:val="center"/>
          </w:tcPr>
          <w:p w14:paraId="6881AF75">
            <w:pPr>
              <w:spacing w:line="400" w:lineRule="exact"/>
              <w:jc w:val="center"/>
              <w:rPr>
                <w:rFonts w:ascii="宋体" w:hAnsi="宋体" w:cs="宋体"/>
                <w:bCs/>
                <w:color w:val="auto"/>
                <w:szCs w:val="21"/>
                <w:highlight w:val="none"/>
              </w:rPr>
            </w:pPr>
          </w:p>
        </w:tc>
        <w:tc>
          <w:tcPr>
            <w:tcW w:w="1183" w:type="dxa"/>
            <w:vAlign w:val="center"/>
          </w:tcPr>
          <w:p w14:paraId="25A80670">
            <w:pPr>
              <w:spacing w:line="400" w:lineRule="exact"/>
              <w:jc w:val="center"/>
              <w:rPr>
                <w:rFonts w:ascii="宋体" w:hAnsi="宋体" w:cs="宋体"/>
                <w:bCs/>
                <w:color w:val="auto"/>
                <w:szCs w:val="21"/>
                <w:highlight w:val="none"/>
              </w:rPr>
            </w:pPr>
          </w:p>
        </w:tc>
        <w:tc>
          <w:tcPr>
            <w:tcW w:w="810" w:type="dxa"/>
            <w:vAlign w:val="center"/>
          </w:tcPr>
          <w:p w14:paraId="1B58D35B">
            <w:pPr>
              <w:spacing w:line="400" w:lineRule="exact"/>
              <w:jc w:val="center"/>
              <w:rPr>
                <w:rFonts w:ascii="宋体" w:hAnsi="宋体" w:cs="宋体"/>
                <w:color w:val="auto"/>
                <w:szCs w:val="21"/>
                <w:highlight w:val="none"/>
              </w:rPr>
            </w:pPr>
          </w:p>
        </w:tc>
      </w:tr>
      <w:tr w14:paraId="58C5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04" w:type="dxa"/>
            <w:vAlign w:val="center"/>
          </w:tcPr>
          <w:p w14:paraId="6D90C474">
            <w:pPr>
              <w:spacing w:line="400" w:lineRule="exact"/>
              <w:jc w:val="center"/>
              <w:rPr>
                <w:rFonts w:ascii="宋体" w:hAnsi="宋体" w:cs="宋体"/>
                <w:bCs/>
                <w:color w:val="auto"/>
                <w:szCs w:val="21"/>
                <w:highlight w:val="none"/>
              </w:rPr>
            </w:pPr>
          </w:p>
        </w:tc>
        <w:tc>
          <w:tcPr>
            <w:tcW w:w="1710" w:type="dxa"/>
            <w:vAlign w:val="center"/>
          </w:tcPr>
          <w:p w14:paraId="798663E5">
            <w:pPr>
              <w:spacing w:line="400" w:lineRule="exact"/>
              <w:jc w:val="center"/>
              <w:rPr>
                <w:rFonts w:ascii="宋体" w:hAnsi="宋体" w:cs="宋体"/>
                <w:bCs/>
                <w:color w:val="auto"/>
                <w:szCs w:val="21"/>
                <w:highlight w:val="none"/>
              </w:rPr>
            </w:pPr>
          </w:p>
        </w:tc>
        <w:tc>
          <w:tcPr>
            <w:tcW w:w="1040" w:type="dxa"/>
            <w:vAlign w:val="center"/>
          </w:tcPr>
          <w:p w14:paraId="2058BC9C">
            <w:pPr>
              <w:spacing w:line="400" w:lineRule="exact"/>
              <w:jc w:val="center"/>
              <w:rPr>
                <w:rFonts w:ascii="宋体" w:hAnsi="宋体" w:cs="宋体"/>
                <w:bCs/>
                <w:color w:val="auto"/>
                <w:szCs w:val="21"/>
                <w:highlight w:val="none"/>
              </w:rPr>
            </w:pPr>
          </w:p>
        </w:tc>
        <w:tc>
          <w:tcPr>
            <w:tcW w:w="1040" w:type="dxa"/>
            <w:vAlign w:val="center"/>
          </w:tcPr>
          <w:p w14:paraId="793618D3">
            <w:pPr>
              <w:spacing w:line="400" w:lineRule="exact"/>
              <w:jc w:val="center"/>
              <w:rPr>
                <w:rFonts w:ascii="宋体" w:hAnsi="宋体" w:cs="宋体"/>
                <w:bCs/>
                <w:color w:val="auto"/>
                <w:szCs w:val="21"/>
                <w:highlight w:val="none"/>
              </w:rPr>
            </w:pPr>
          </w:p>
        </w:tc>
        <w:tc>
          <w:tcPr>
            <w:tcW w:w="1040" w:type="dxa"/>
            <w:vAlign w:val="center"/>
          </w:tcPr>
          <w:p w14:paraId="3833EDB2">
            <w:pPr>
              <w:spacing w:line="400" w:lineRule="exact"/>
              <w:jc w:val="center"/>
              <w:rPr>
                <w:rFonts w:ascii="宋体" w:hAnsi="宋体" w:cs="宋体"/>
                <w:bCs/>
                <w:color w:val="auto"/>
                <w:szCs w:val="21"/>
                <w:highlight w:val="none"/>
              </w:rPr>
            </w:pPr>
          </w:p>
        </w:tc>
        <w:tc>
          <w:tcPr>
            <w:tcW w:w="1040" w:type="dxa"/>
            <w:vAlign w:val="center"/>
          </w:tcPr>
          <w:p w14:paraId="53C81532">
            <w:pPr>
              <w:spacing w:line="400" w:lineRule="exact"/>
              <w:jc w:val="center"/>
              <w:rPr>
                <w:rFonts w:ascii="宋体" w:hAnsi="宋体" w:cs="宋体"/>
                <w:bCs/>
                <w:color w:val="auto"/>
                <w:szCs w:val="21"/>
                <w:highlight w:val="none"/>
              </w:rPr>
            </w:pPr>
          </w:p>
        </w:tc>
        <w:tc>
          <w:tcPr>
            <w:tcW w:w="1183" w:type="dxa"/>
            <w:vAlign w:val="center"/>
          </w:tcPr>
          <w:p w14:paraId="08AC7181">
            <w:pPr>
              <w:spacing w:line="400" w:lineRule="exact"/>
              <w:jc w:val="center"/>
              <w:rPr>
                <w:rFonts w:ascii="宋体" w:hAnsi="宋体" w:cs="宋体"/>
                <w:bCs/>
                <w:color w:val="auto"/>
                <w:szCs w:val="21"/>
                <w:highlight w:val="none"/>
              </w:rPr>
            </w:pPr>
          </w:p>
        </w:tc>
        <w:tc>
          <w:tcPr>
            <w:tcW w:w="810" w:type="dxa"/>
            <w:vAlign w:val="center"/>
          </w:tcPr>
          <w:p w14:paraId="5F2521EF">
            <w:pPr>
              <w:spacing w:line="400" w:lineRule="exact"/>
              <w:jc w:val="center"/>
              <w:rPr>
                <w:rFonts w:ascii="宋体" w:hAnsi="宋体" w:cs="宋体"/>
                <w:color w:val="auto"/>
                <w:szCs w:val="21"/>
                <w:highlight w:val="none"/>
              </w:rPr>
            </w:pPr>
          </w:p>
        </w:tc>
      </w:tr>
      <w:tr w14:paraId="64A6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04" w:type="dxa"/>
            <w:vAlign w:val="center"/>
          </w:tcPr>
          <w:p w14:paraId="08FACD85">
            <w:pPr>
              <w:spacing w:line="400" w:lineRule="exact"/>
              <w:jc w:val="center"/>
              <w:rPr>
                <w:rFonts w:ascii="宋体" w:hAnsi="宋体" w:cs="宋体"/>
                <w:bCs/>
                <w:color w:val="auto"/>
                <w:szCs w:val="21"/>
                <w:highlight w:val="none"/>
              </w:rPr>
            </w:pPr>
          </w:p>
        </w:tc>
        <w:tc>
          <w:tcPr>
            <w:tcW w:w="1710" w:type="dxa"/>
            <w:vAlign w:val="center"/>
          </w:tcPr>
          <w:p w14:paraId="308AAC40">
            <w:pPr>
              <w:spacing w:line="400" w:lineRule="exact"/>
              <w:jc w:val="center"/>
              <w:rPr>
                <w:rFonts w:ascii="宋体" w:hAnsi="宋体" w:cs="宋体"/>
                <w:bCs/>
                <w:color w:val="auto"/>
                <w:szCs w:val="21"/>
                <w:highlight w:val="none"/>
              </w:rPr>
            </w:pPr>
          </w:p>
        </w:tc>
        <w:tc>
          <w:tcPr>
            <w:tcW w:w="1040" w:type="dxa"/>
            <w:vAlign w:val="center"/>
          </w:tcPr>
          <w:p w14:paraId="42575882">
            <w:pPr>
              <w:spacing w:line="400" w:lineRule="exact"/>
              <w:jc w:val="center"/>
              <w:rPr>
                <w:rFonts w:ascii="宋体" w:hAnsi="宋体" w:cs="宋体"/>
                <w:bCs/>
                <w:color w:val="auto"/>
                <w:szCs w:val="21"/>
                <w:highlight w:val="none"/>
              </w:rPr>
            </w:pPr>
          </w:p>
        </w:tc>
        <w:tc>
          <w:tcPr>
            <w:tcW w:w="1040" w:type="dxa"/>
            <w:vAlign w:val="center"/>
          </w:tcPr>
          <w:p w14:paraId="5A5A7467">
            <w:pPr>
              <w:spacing w:line="400" w:lineRule="exact"/>
              <w:jc w:val="center"/>
              <w:rPr>
                <w:rFonts w:ascii="宋体" w:hAnsi="宋体" w:cs="宋体"/>
                <w:bCs/>
                <w:color w:val="auto"/>
                <w:szCs w:val="21"/>
                <w:highlight w:val="none"/>
              </w:rPr>
            </w:pPr>
          </w:p>
        </w:tc>
        <w:tc>
          <w:tcPr>
            <w:tcW w:w="1040" w:type="dxa"/>
            <w:vAlign w:val="center"/>
          </w:tcPr>
          <w:p w14:paraId="2AAAA8F5">
            <w:pPr>
              <w:spacing w:line="400" w:lineRule="exact"/>
              <w:jc w:val="center"/>
              <w:rPr>
                <w:rFonts w:ascii="宋体" w:hAnsi="宋体" w:cs="宋体"/>
                <w:bCs/>
                <w:color w:val="auto"/>
                <w:szCs w:val="21"/>
                <w:highlight w:val="none"/>
              </w:rPr>
            </w:pPr>
          </w:p>
        </w:tc>
        <w:tc>
          <w:tcPr>
            <w:tcW w:w="1040" w:type="dxa"/>
            <w:vAlign w:val="center"/>
          </w:tcPr>
          <w:p w14:paraId="01CC0D4F">
            <w:pPr>
              <w:spacing w:line="400" w:lineRule="exact"/>
              <w:jc w:val="center"/>
              <w:rPr>
                <w:rFonts w:ascii="宋体" w:hAnsi="宋体" w:cs="宋体"/>
                <w:bCs/>
                <w:color w:val="auto"/>
                <w:szCs w:val="21"/>
                <w:highlight w:val="none"/>
              </w:rPr>
            </w:pPr>
          </w:p>
        </w:tc>
        <w:tc>
          <w:tcPr>
            <w:tcW w:w="1183" w:type="dxa"/>
            <w:vAlign w:val="center"/>
          </w:tcPr>
          <w:p w14:paraId="112CF39D">
            <w:pPr>
              <w:spacing w:line="400" w:lineRule="exact"/>
              <w:jc w:val="center"/>
              <w:rPr>
                <w:rFonts w:ascii="宋体" w:hAnsi="宋体" w:cs="宋体"/>
                <w:bCs/>
                <w:color w:val="auto"/>
                <w:szCs w:val="21"/>
                <w:highlight w:val="none"/>
              </w:rPr>
            </w:pPr>
          </w:p>
        </w:tc>
        <w:tc>
          <w:tcPr>
            <w:tcW w:w="810" w:type="dxa"/>
            <w:vAlign w:val="center"/>
          </w:tcPr>
          <w:p w14:paraId="08F7FFCE">
            <w:pPr>
              <w:spacing w:line="400" w:lineRule="exact"/>
              <w:jc w:val="center"/>
              <w:rPr>
                <w:rFonts w:ascii="宋体" w:hAnsi="宋体" w:cs="宋体"/>
                <w:color w:val="auto"/>
                <w:szCs w:val="21"/>
                <w:highlight w:val="none"/>
              </w:rPr>
            </w:pPr>
          </w:p>
        </w:tc>
      </w:tr>
      <w:tr w14:paraId="7F96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04" w:type="dxa"/>
            <w:vAlign w:val="center"/>
          </w:tcPr>
          <w:p w14:paraId="6A152A75">
            <w:pPr>
              <w:spacing w:line="400" w:lineRule="exact"/>
              <w:jc w:val="center"/>
              <w:rPr>
                <w:rFonts w:ascii="宋体" w:hAnsi="宋体" w:cs="宋体"/>
                <w:bCs/>
                <w:color w:val="auto"/>
                <w:szCs w:val="21"/>
                <w:highlight w:val="none"/>
              </w:rPr>
            </w:pPr>
          </w:p>
        </w:tc>
        <w:tc>
          <w:tcPr>
            <w:tcW w:w="1710" w:type="dxa"/>
            <w:vAlign w:val="center"/>
          </w:tcPr>
          <w:p w14:paraId="7E16AC2F">
            <w:pPr>
              <w:spacing w:line="400" w:lineRule="exact"/>
              <w:jc w:val="center"/>
              <w:rPr>
                <w:rFonts w:ascii="宋体" w:hAnsi="宋体" w:cs="宋体"/>
                <w:bCs/>
                <w:color w:val="auto"/>
                <w:szCs w:val="21"/>
                <w:highlight w:val="none"/>
              </w:rPr>
            </w:pPr>
          </w:p>
        </w:tc>
        <w:tc>
          <w:tcPr>
            <w:tcW w:w="1040" w:type="dxa"/>
            <w:vAlign w:val="center"/>
          </w:tcPr>
          <w:p w14:paraId="6BA6B567">
            <w:pPr>
              <w:spacing w:line="400" w:lineRule="exact"/>
              <w:jc w:val="center"/>
              <w:rPr>
                <w:rFonts w:ascii="宋体" w:hAnsi="宋体" w:cs="宋体"/>
                <w:bCs/>
                <w:color w:val="auto"/>
                <w:szCs w:val="21"/>
                <w:highlight w:val="none"/>
              </w:rPr>
            </w:pPr>
          </w:p>
        </w:tc>
        <w:tc>
          <w:tcPr>
            <w:tcW w:w="1040" w:type="dxa"/>
            <w:vAlign w:val="center"/>
          </w:tcPr>
          <w:p w14:paraId="40922D0E">
            <w:pPr>
              <w:spacing w:line="400" w:lineRule="exact"/>
              <w:jc w:val="center"/>
              <w:rPr>
                <w:rFonts w:ascii="宋体" w:hAnsi="宋体" w:cs="宋体"/>
                <w:bCs/>
                <w:color w:val="auto"/>
                <w:szCs w:val="21"/>
                <w:highlight w:val="none"/>
              </w:rPr>
            </w:pPr>
          </w:p>
        </w:tc>
        <w:tc>
          <w:tcPr>
            <w:tcW w:w="1040" w:type="dxa"/>
            <w:vAlign w:val="center"/>
          </w:tcPr>
          <w:p w14:paraId="56F1714E">
            <w:pPr>
              <w:spacing w:line="400" w:lineRule="exact"/>
              <w:jc w:val="center"/>
              <w:rPr>
                <w:rFonts w:ascii="宋体" w:hAnsi="宋体" w:cs="宋体"/>
                <w:bCs/>
                <w:color w:val="auto"/>
                <w:szCs w:val="21"/>
                <w:highlight w:val="none"/>
              </w:rPr>
            </w:pPr>
          </w:p>
        </w:tc>
        <w:tc>
          <w:tcPr>
            <w:tcW w:w="1040" w:type="dxa"/>
            <w:vAlign w:val="center"/>
          </w:tcPr>
          <w:p w14:paraId="402545DA">
            <w:pPr>
              <w:spacing w:line="400" w:lineRule="exact"/>
              <w:jc w:val="center"/>
              <w:rPr>
                <w:rFonts w:ascii="宋体" w:hAnsi="宋体" w:cs="宋体"/>
                <w:bCs/>
                <w:color w:val="auto"/>
                <w:szCs w:val="21"/>
                <w:highlight w:val="none"/>
              </w:rPr>
            </w:pPr>
          </w:p>
        </w:tc>
        <w:tc>
          <w:tcPr>
            <w:tcW w:w="1183" w:type="dxa"/>
            <w:vAlign w:val="center"/>
          </w:tcPr>
          <w:p w14:paraId="2770A8E7">
            <w:pPr>
              <w:spacing w:line="400" w:lineRule="exact"/>
              <w:jc w:val="center"/>
              <w:rPr>
                <w:rFonts w:ascii="宋体" w:hAnsi="宋体" w:cs="宋体"/>
                <w:bCs/>
                <w:color w:val="auto"/>
                <w:szCs w:val="21"/>
                <w:highlight w:val="none"/>
              </w:rPr>
            </w:pPr>
          </w:p>
        </w:tc>
        <w:tc>
          <w:tcPr>
            <w:tcW w:w="810" w:type="dxa"/>
            <w:vAlign w:val="center"/>
          </w:tcPr>
          <w:p w14:paraId="3D42198F">
            <w:pPr>
              <w:spacing w:line="400" w:lineRule="exact"/>
              <w:jc w:val="center"/>
              <w:rPr>
                <w:rFonts w:ascii="宋体" w:hAnsi="宋体" w:cs="宋体"/>
                <w:color w:val="auto"/>
                <w:szCs w:val="21"/>
                <w:highlight w:val="none"/>
              </w:rPr>
            </w:pPr>
          </w:p>
        </w:tc>
      </w:tr>
    </w:tbl>
    <w:p w14:paraId="1FC11383">
      <w:pPr>
        <w:spacing w:line="400" w:lineRule="exact"/>
        <w:jc w:val="left"/>
        <w:rPr>
          <w:rFonts w:ascii="宋体" w:hAnsi="宋体" w:cs="宋体"/>
          <w:bCs/>
          <w:color w:val="auto"/>
          <w:szCs w:val="21"/>
          <w:highlight w:val="none"/>
        </w:rPr>
      </w:pPr>
      <w:r>
        <w:rPr>
          <w:rFonts w:hint="eastAsia" w:ascii="宋体" w:hAnsi="宋体" w:cs="宋体"/>
          <w:b/>
          <w:color w:val="auto"/>
          <w:szCs w:val="21"/>
          <w:highlight w:val="none"/>
        </w:rPr>
        <w:t>备注：</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bCs/>
          <w:color w:val="auto"/>
          <w:szCs w:val="21"/>
          <w:highlight w:val="none"/>
        </w:rPr>
        <w:t>以上人员一经确认，不得随意更换，如需更换，必须征得</w:t>
      </w:r>
      <w:r>
        <w:rPr>
          <w:rFonts w:hint="eastAsia" w:ascii="宋体" w:hAnsi="宋体" w:cs="宋体"/>
          <w:bCs/>
          <w:color w:val="auto"/>
          <w:szCs w:val="21"/>
          <w:highlight w:val="none"/>
          <w:lang w:eastAsia="zh-CN"/>
        </w:rPr>
        <w:t>采购人</w:t>
      </w:r>
      <w:r>
        <w:rPr>
          <w:rFonts w:hint="eastAsia" w:ascii="宋体" w:hAnsi="宋体" w:cs="宋体"/>
          <w:bCs/>
          <w:color w:val="auto"/>
          <w:szCs w:val="21"/>
          <w:highlight w:val="none"/>
        </w:rPr>
        <w:t>同意。擅自更换或不到位属违约行为。</w:t>
      </w:r>
    </w:p>
    <w:p w14:paraId="5E766E94">
      <w:pPr>
        <w:spacing w:line="400" w:lineRule="exact"/>
        <w:ind w:firstLine="630" w:firstLineChars="300"/>
        <w:jc w:val="left"/>
        <w:rPr>
          <w:rFonts w:ascii="宋体" w:hAnsi="宋体" w:cs="宋体"/>
          <w:bCs/>
          <w:color w:val="auto"/>
          <w:szCs w:val="21"/>
          <w:highlight w:val="none"/>
        </w:rPr>
      </w:pPr>
      <w:r>
        <w:rPr>
          <w:rFonts w:hint="eastAsia" w:ascii="宋体" w:hAnsi="宋体" w:cs="宋体"/>
          <w:bCs/>
          <w:color w:val="auto"/>
          <w:szCs w:val="21"/>
          <w:highlight w:val="none"/>
        </w:rPr>
        <w:t>2</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rPr>
        <w:t>项目团队人员如有职称证书的，请提供</w:t>
      </w:r>
      <w:r>
        <w:rPr>
          <w:rFonts w:hint="eastAsia" w:ascii="宋体" w:hAnsi="宋体" w:cs="宋体"/>
          <w:bCs/>
          <w:color w:val="auto"/>
          <w:highlight w:val="none"/>
        </w:rPr>
        <w:t>复印件等资料加盖供应商公章</w:t>
      </w:r>
      <w:r>
        <w:rPr>
          <w:rFonts w:hint="eastAsia" w:ascii="宋体" w:hAnsi="宋体" w:cs="宋体"/>
          <w:bCs/>
          <w:color w:val="auto"/>
          <w:szCs w:val="21"/>
          <w:highlight w:val="none"/>
        </w:rPr>
        <w:t>。</w:t>
      </w:r>
    </w:p>
    <w:p w14:paraId="4C7E02B8">
      <w:pPr>
        <w:spacing w:line="400" w:lineRule="exact"/>
        <w:ind w:firstLine="735" w:firstLineChars="350"/>
        <w:jc w:val="left"/>
        <w:rPr>
          <w:rFonts w:ascii="宋体" w:hAnsi="宋体" w:cs="宋体"/>
          <w:color w:val="auto"/>
          <w:szCs w:val="21"/>
          <w:highlight w:val="none"/>
        </w:rPr>
      </w:pPr>
    </w:p>
    <w:p w14:paraId="2065F747">
      <w:pPr>
        <w:spacing w:line="400" w:lineRule="exact"/>
        <w:jc w:val="left"/>
        <w:rPr>
          <w:rFonts w:ascii="宋体" w:hAnsi="宋体" w:cs="宋体"/>
          <w:bCs/>
          <w:color w:val="auto"/>
          <w:highlight w:val="none"/>
        </w:rPr>
      </w:pPr>
      <w:r>
        <w:rPr>
          <w:rFonts w:hint="eastAsia" w:ascii="宋体" w:hAnsi="宋体" w:cs="宋体"/>
          <w:bCs/>
          <w:color w:val="auto"/>
          <w:highlight w:val="none"/>
        </w:rPr>
        <w:t>供应商（盖章）：</w:t>
      </w:r>
    </w:p>
    <w:p w14:paraId="587B9159">
      <w:pPr>
        <w:spacing w:line="400" w:lineRule="exact"/>
        <w:jc w:val="left"/>
        <w:rPr>
          <w:rFonts w:ascii="宋体" w:hAnsi="宋体" w:cs="宋体"/>
          <w:color w:val="auto"/>
          <w:szCs w:val="21"/>
          <w:highlight w:val="none"/>
        </w:rPr>
      </w:pPr>
      <w:r>
        <w:rPr>
          <w:rFonts w:hint="eastAsia" w:ascii="宋体" w:hAnsi="宋体" w:cs="宋体"/>
          <w:bCs/>
          <w:color w:val="auto"/>
          <w:highlight w:val="none"/>
        </w:rPr>
        <w:t xml:space="preserve">日         </w:t>
      </w:r>
      <w:r>
        <w:rPr>
          <w:rFonts w:hint="eastAsia" w:ascii="宋体" w:hAnsi="宋体" w:cs="宋体"/>
          <w:bCs/>
          <w:color w:val="auto"/>
          <w:highlight w:val="none"/>
          <w:lang w:val="en-US" w:eastAsia="zh-CN"/>
        </w:rPr>
        <w:t xml:space="preserve"> </w:t>
      </w:r>
      <w:r>
        <w:rPr>
          <w:rFonts w:hint="eastAsia" w:ascii="宋体" w:hAnsi="宋体" w:cs="宋体"/>
          <w:bCs/>
          <w:color w:val="auto"/>
          <w:highlight w:val="none"/>
        </w:rPr>
        <w:t>期：</w:t>
      </w:r>
      <w:r>
        <w:rPr>
          <w:rFonts w:hint="eastAsia" w:ascii="宋体" w:hAnsi="宋体" w:cs="宋体"/>
          <w:color w:val="auto"/>
          <w:szCs w:val="21"/>
          <w:highlight w:val="none"/>
        </w:rPr>
        <w:br w:type="page"/>
      </w:r>
      <w:r>
        <w:rPr>
          <w:rFonts w:hint="eastAsia" w:ascii="宋体" w:hAnsi="宋体" w:cs="宋体"/>
          <w:color w:val="auto"/>
          <w:szCs w:val="21"/>
          <w:highlight w:val="none"/>
        </w:rPr>
        <w:t>B9</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供应商与本项目类似的业绩情况（如有，自拟）；</w:t>
      </w:r>
    </w:p>
    <w:p w14:paraId="7F573E47">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B10</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第五章“评标办法及标准”中评分标准（兼评委打分表）要求提供的资料（如有需提供）；</w:t>
      </w:r>
    </w:p>
    <w:p w14:paraId="6AEB1CF5">
      <w:pPr>
        <w:spacing w:line="400" w:lineRule="exact"/>
        <w:jc w:val="left"/>
        <w:rPr>
          <w:rFonts w:ascii="宋体" w:hAnsi="宋体" w:cs="宋体"/>
          <w:color w:val="auto"/>
          <w:szCs w:val="21"/>
          <w:highlight w:val="none"/>
          <w:u w:val="single"/>
        </w:rPr>
      </w:pPr>
      <w:r>
        <w:rPr>
          <w:rFonts w:hint="eastAsia" w:ascii="宋体" w:hAnsi="宋体" w:cs="宋体"/>
          <w:color w:val="auto"/>
          <w:szCs w:val="21"/>
          <w:highlight w:val="none"/>
        </w:rPr>
        <w:t>B11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招标文件要求提供的和供应商认为需要的其他资料（如有需提供）。</w:t>
      </w:r>
      <w:r>
        <w:rPr>
          <w:rFonts w:hint="eastAsia" w:ascii="宋体" w:hAnsi="宋体" w:cs="宋体"/>
          <w:b/>
          <w:color w:val="auto"/>
          <w:highlight w:val="none"/>
        </w:rPr>
        <w:br w:type="page"/>
      </w:r>
    </w:p>
    <w:p w14:paraId="6D85733B">
      <w:pPr>
        <w:pStyle w:val="264"/>
        <w:keepNext w:val="0"/>
        <w:keepLines w:val="0"/>
        <w:pageBreakBefore w:val="0"/>
        <w:widowControl w:val="0"/>
        <w:kinsoku/>
        <w:wordWrap/>
        <w:overflowPunct/>
        <w:topLinePunct w:val="0"/>
        <w:autoSpaceDE/>
        <w:autoSpaceDN/>
        <w:bidi w:val="0"/>
        <w:adjustRightInd w:val="0"/>
        <w:snapToGrid/>
        <w:spacing w:before="0" w:after="0" w:line="400" w:lineRule="exact"/>
        <w:ind w:firstLine="482"/>
        <w:jc w:val="center"/>
        <w:textAlignment w:val="baseline"/>
        <w:rPr>
          <w:rStyle w:val="117"/>
          <w:rFonts w:ascii="宋体" w:hAnsi="宋体" w:cs="宋体"/>
          <w:color w:val="auto"/>
          <w:sz w:val="32"/>
          <w:szCs w:val="32"/>
          <w:highlight w:val="none"/>
        </w:rPr>
      </w:pPr>
      <w:bookmarkStart w:id="85" w:name="_Toc21541028"/>
      <w:bookmarkStart w:id="86" w:name="_Toc8677"/>
      <w:bookmarkStart w:id="87" w:name="_Toc443468293"/>
      <w:bookmarkStart w:id="88" w:name="_Toc44162159"/>
      <w:r>
        <w:rPr>
          <w:rStyle w:val="117"/>
          <w:rFonts w:hint="eastAsia" w:ascii="宋体" w:hAnsi="宋体" w:cs="宋体"/>
          <w:bCs/>
          <w:color w:val="auto"/>
          <w:sz w:val="32"/>
          <w:szCs w:val="32"/>
          <w:highlight w:val="none"/>
        </w:rPr>
        <w:t>C.报价文件</w:t>
      </w:r>
      <w:bookmarkEnd w:id="85"/>
      <w:bookmarkEnd w:id="86"/>
      <w:bookmarkEnd w:id="87"/>
      <w:bookmarkEnd w:id="88"/>
    </w:p>
    <w:p w14:paraId="4166D818">
      <w:pPr>
        <w:autoSpaceDE w:val="0"/>
        <w:autoSpaceDN w:val="0"/>
        <w:adjustRightInd w:val="0"/>
        <w:spacing w:line="420" w:lineRule="exact"/>
        <w:rPr>
          <w:rStyle w:val="117"/>
          <w:rFonts w:ascii="宋体" w:hAnsi="宋体" w:cs="宋体"/>
          <w:b w:val="0"/>
          <w:color w:val="auto"/>
          <w:highlight w:val="none"/>
          <w:lang w:val="zh-CN"/>
        </w:rPr>
      </w:pPr>
      <w:r>
        <w:rPr>
          <w:rStyle w:val="117"/>
          <w:rFonts w:hint="eastAsia" w:ascii="宋体" w:hAnsi="宋体" w:cs="宋体"/>
          <w:color w:val="auto"/>
          <w:sz w:val="32"/>
          <w:szCs w:val="32"/>
          <w:highlight w:val="none"/>
        </w:rPr>
        <w:br w:type="page"/>
      </w:r>
      <w:r>
        <w:rPr>
          <w:rStyle w:val="117"/>
          <w:rFonts w:hint="eastAsia" w:ascii="宋体" w:hAnsi="宋体" w:cs="宋体"/>
          <w:color w:val="auto"/>
          <w:szCs w:val="21"/>
          <w:highlight w:val="none"/>
        </w:rPr>
        <w:t>封面</w:t>
      </w:r>
    </w:p>
    <w:p w14:paraId="5E98C55D">
      <w:pPr>
        <w:spacing w:line="360" w:lineRule="auto"/>
        <w:ind w:firstLine="1285" w:firstLineChars="400"/>
        <w:jc w:val="right"/>
        <w:rPr>
          <w:rFonts w:ascii="宋体" w:hAnsi="宋体" w:cs="宋体"/>
          <w:b/>
          <w:color w:val="auto"/>
          <w:sz w:val="32"/>
          <w:szCs w:val="32"/>
          <w:highlight w:val="none"/>
        </w:rPr>
      </w:pPr>
    </w:p>
    <w:p w14:paraId="1CDB5CF3">
      <w:pPr>
        <w:spacing w:line="360" w:lineRule="auto"/>
        <w:rPr>
          <w:rFonts w:ascii="宋体" w:hAnsi="宋体" w:cs="宋体"/>
          <w:color w:val="auto"/>
          <w:sz w:val="28"/>
          <w:szCs w:val="28"/>
          <w:highlight w:val="none"/>
        </w:rPr>
      </w:pPr>
    </w:p>
    <w:p w14:paraId="6EDB8CA8">
      <w:pPr>
        <w:spacing w:after="120" w:line="900" w:lineRule="exact"/>
        <w:jc w:val="center"/>
        <w:rPr>
          <w:rFonts w:hint="eastAsia" w:ascii="宋体" w:hAnsi="宋体" w:eastAsia="宋体" w:cs="宋体"/>
          <w:b/>
          <w:color w:val="auto"/>
          <w:sz w:val="40"/>
          <w:szCs w:val="40"/>
          <w:highlight w:val="none"/>
          <w:lang w:eastAsia="zh-CN"/>
        </w:rPr>
      </w:pPr>
      <w:r>
        <w:rPr>
          <w:rFonts w:hint="eastAsia" w:ascii="宋体" w:hAnsi="宋体" w:cs="宋体"/>
          <w:b/>
          <w:color w:val="auto"/>
          <w:sz w:val="40"/>
          <w:szCs w:val="40"/>
          <w:highlight w:val="none"/>
          <w:lang w:eastAsia="zh-CN"/>
        </w:rPr>
        <w:t>宁波大学校医院信息一体化平台服务项目</w:t>
      </w:r>
    </w:p>
    <w:p w14:paraId="388A51D3">
      <w:pPr>
        <w:spacing w:line="360" w:lineRule="auto"/>
        <w:jc w:val="center"/>
        <w:rPr>
          <w:rFonts w:ascii="宋体" w:hAnsi="宋体" w:cs="宋体"/>
          <w:color w:val="auto"/>
          <w:sz w:val="36"/>
          <w:szCs w:val="36"/>
          <w:highlight w:val="none"/>
          <w:u w:val="single"/>
        </w:rPr>
      </w:pPr>
    </w:p>
    <w:p w14:paraId="06D7E43A">
      <w:pPr>
        <w:spacing w:line="360" w:lineRule="auto"/>
        <w:jc w:val="center"/>
        <w:rPr>
          <w:rFonts w:hint="eastAsia" w:ascii="宋体" w:hAnsi="宋体" w:eastAsia="宋体" w:cs="宋体"/>
          <w:color w:val="auto"/>
          <w:sz w:val="36"/>
          <w:szCs w:val="36"/>
          <w:highlight w:val="none"/>
          <w:u w:val="single"/>
          <w:lang w:eastAsia="zh-CN"/>
        </w:rPr>
      </w:pPr>
      <w:r>
        <w:rPr>
          <w:rFonts w:hint="eastAsia" w:ascii="宋体" w:hAnsi="宋体" w:cs="宋体"/>
          <w:color w:val="auto"/>
          <w:sz w:val="36"/>
          <w:szCs w:val="36"/>
          <w:highlight w:val="none"/>
        </w:rPr>
        <w:t>项目编号：</w:t>
      </w:r>
      <w:r>
        <w:rPr>
          <w:rFonts w:hint="eastAsia" w:ascii="宋体" w:hAnsi="宋体" w:cs="宋体"/>
          <w:color w:val="auto"/>
          <w:sz w:val="36"/>
          <w:szCs w:val="36"/>
          <w:highlight w:val="none"/>
          <w:u w:val="single"/>
          <w:lang w:eastAsia="zh-CN"/>
        </w:rPr>
        <w:t>NBITC-202530430G</w:t>
      </w:r>
    </w:p>
    <w:p w14:paraId="62D7CB77">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标    项：</w:t>
      </w:r>
      <w:r>
        <w:rPr>
          <w:rFonts w:hint="eastAsia" w:ascii="宋体" w:hAnsi="宋体" w:cs="宋体"/>
          <w:color w:val="auto"/>
          <w:sz w:val="36"/>
          <w:szCs w:val="36"/>
          <w:highlight w:val="none"/>
          <w:u w:val="single"/>
        </w:rPr>
        <w:t>（如有多个标项）</w:t>
      </w:r>
    </w:p>
    <w:p w14:paraId="13323087">
      <w:pPr>
        <w:rPr>
          <w:rFonts w:ascii="宋体" w:hAnsi="宋体" w:cs="宋体"/>
          <w:color w:val="auto"/>
          <w:sz w:val="28"/>
          <w:szCs w:val="28"/>
          <w:highlight w:val="none"/>
        </w:rPr>
      </w:pPr>
    </w:p>
    <w:p w14:paraId="00D9F4E8">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（报价文件）</w:t>
      </w:r>
    </w:p>
    <w:p w14:paraId="1BF0BBD2">
      <w:pPr>
        <w:jc w:val="center"/>
        <w:rPr>
          <w:rFonts w:ascii="宋体" w:hAnsi="宋体" w:cs="宋体"/>
          <w:color w:val="auto"/>
          <w:sz w:val="28"/>
          <w:szCs w:val="28"/>
          <w:highlight w:val="none"/>
        </w:rPr>
      </w:pPr>
    </w:p>
    <w:p w14:paraId="593E46B2">
      <w:pPr>
        <w:spacing w:line="360" w:lineRule="auto"/>
        <w:jc w:val="center"/>
        <w:rPr>
          <w:rFonts w:ascii="宋体" w:hAnsi="宋体" w:cs="宋体"/>
          <w:b/>
          <w:color w:val="auto"/>
          <w:sz w:val="72"/>
          <w:szCs w:val="72"/>
          <w:highlight w:val="none"/>
        </w:rPr>
      </w:pPr>
    </w:p>
    <w:p w14:paraId="19C59CD0">
      <w:pPr>
        <w:spacing w:line="360"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投标文件</w:t>
      </w:r>
    </w:p>
    <w:p w14:paraId="02C86C08">
      <w:pPr>
        <w:spacing w:line="360" w:lineRule="auto"/>
        <w:jc w:val="center"/>
        <w:rPr>
          <w:rFonts w:ascii="宋体" w:hAnsi="宋体" w:cs="宋体"/>
          <w:color w:val="auto"/>
          <w:sz w:val="36"/>
          <w:szCs w:val="36"/>
          <w:highlight w:val="none"/>
        </w:rPr>
      </w:pPr>
    </w:p>
    <w:p w14:paraId="59502F95">
      <w:pPr>
        <w:spacing w:line="360" w:lineRule="auto"/>
        <w:jc w:val="center"/>
        <w:rPr>
          <w:rFonts w:ascii="宋体" w:hAnsi="宋体" w:cs="宋体"/>
          <w:color w:val="auto"/>
          <w:sz w:val="36"/>
          <w:szCs w:val="36"/>
          <w:highlight w:val="none"/>
        </w:rPr>
      </w:pPr>
    </w:p>
    <w:p w14:paraId="18F60FF8">
      <w:pPr>
        <w:spacing w:line="360" w:lineRule="auto"/>
        <w:jc w:val="center"/>
        <w:rPr>
          <w:rFonts w:ascii="宋体" w:hAnsi="宋体" w:cs="宋体"/>
          <w:color w:val="auto"/>
          <w:sz w:val="36"/>
          <w:szCs w:val="36"/>
          <w:highlight w:val="none"/>
        </w:rPr>
      </w:pPr>
    </w:p>
    <w:p w14:paraId="05EA86EB">
      <w:pPr>
        <w:spacing w:line="360" w:lineRule="auto"/>
        <w:jc w:val="center"/>
        <w:rPr>
          <w:rFonts w:ascii="宋体" w:hAnsi="宋体" w:cs="宋体"/>
          <w:color w:val="auto"/>
          <w:sz w:val="36"/>
          <w:szCs w:val="36"/>
          <w:highlight w:val="none"/>
        </w:rPr>
      </w:pPr>
    </w:p>
    <w:p w14:paraId="2EBA48D1">
      <w:pPr>
        <w:spacing w:line="360" w:lineRule="auto"/>
        <w:jc w:val="center"/>
        <w:rPr>
          <w:rFonts w:ascii="宋体" w:hAnsi="宋体" w:cs="宋体"/>
          <w:color w:val="auto"/>
          <w:sz w:val="36"/>
          <w:szCs w:val="36"/>
          <w:highlight w:val="none"/>
          <w:u w:val="single"/>
        </w:rPr>
      </w:pPr>
      <w:r>
        <w:rPr>
          <w:rFonts w:hint="eastAsia" w:ascii="宋体" w:hAnsi="宋体" w:cs="宋体"/>
          <w:color w:val="auto"/>
          <w:sz w:val="36"/>
          <w:szCs w:val="36"/>
          <w:highlight w:val="none"/>
        </w:rPr>
        <w:t>供应商全称：</w:t>
      </w:r>
      <w:r>
        <w:rPr>
          <w:rFonts w:hint="eastAsia" w:ascii="宋体" w:hAnsi="宋体" w:cs="宋体"/>
          <w:color w:val="auto"/>
          <w:sz w:val="36"/>
          <w:szCs w:val="36"/>
          <w:highlight w:val="none"/>
          <w:u w:val="single"/>
        </w:rPr>
        <w:t>（加盖单位公章）</w:t>
      </w:r>
    </w:p>
    <w:p w14:paraId="0EE9E3EE">
      <w:pPr>
        <w:pStyle w:val="28"/>
        <w:ind w:left="101" w:leftChars="48" w:firstLine="1920" w:firstLineChars="800"/>
        <w:jc w:val="left"/>
        <w:rPr>
          <w:rFonts w:hAnsi="宋体" w:cs="宋体"/>
          <w:color w:val="auto"/>
          <w:kern w:val="2"/>
          <w:szCs w:val="28"/>
          <w:highlight w:val="none"/>
          <w:u w:val="single"/>
        </w:rPr>
      </w:pPr>
    </w:p>
    <w:p w14:paraId="2F5124BC">
      <w:pPr>
        <w:pStyle w:val="264"/>
        <w:jc w:val="center"/>
        <w:rPr>
          <w:rStyle w:val="117"/>
          <w:rFonts w:ascii="宋体" w:hAnsi="宋体" w:cs="宋体"/>
          <w:b w:val="0"/>
          <w:color w:val="auto"/>
          <w:sz w:val="32"/>
          <w:szCs w:val="32"/>
          <w:highlight w:val="none"/>
        </w:rPr>
      </w:pPr>
      <w:bookmarkStart w:id="89" w:name="_Toc4975"/>
      <w:bookmarkStart w:id="90" w:name="_Toc21541029"/>
      <w:bookmarkStart w:id="91" w:name="_Toc44162160"/>
      <w:bookmarkStart w:id="92" w:name="_Toc443468294"/>
      <w:r>
        <w:rPr>
          <w:rStyle w:val="117"/>
          <w:rFonts w:hint="eastAsia" w:ascii="宋体" w:hAnsi="宋体" w:cs="宋体"/>
          <w:b w:val="0"/>
          <w:color w:val="auto"/>
          <w:sz w:val="32"/>
          <w:szCs w:val="32"/>
          <w:highlight w:val="none"/>
        </w:rPr>
        <w:t>年  月  日</w:t>
      </w:r>
      <w:bookmarkEnd w:id="89"/>
      <w:bookmarkEnd w:id="90"/>
      <w:bookmarkEnd w:id="91"/>
      <w:bookmarkEnd w:id="92"/>
    </w:p>
    <w:p w14:paraId="2E71F9F4">
      <w:pPr>
        <w:pStyle w:val="264"/>
        <w:rPr>
          <w:rStyle w:val="117"/>
          <w:rFonts w:ascii="宋体" w:hAnsi="宋体" w:cs="宋体"/>
          <w:color w:val="auto"/>
          <w:sz w:val="28"/>
          <w:szCs w:val="28"/>
          <w:highlight w:val="none"/>
        </w:rPr>
      </w:pPr>
    </w:p>
    <w:p w14:paraId="0762F5FF">
      <w:pPr>
        <w:pStyle w:val="264"/>
        <w:rPr>
          <w:rStyle w:val="117"/>
          <w:rFonts w:ascii="宋体" w:hAnsi="宋体" w:cs="宋体"/>
          <w:color w:val="auto"/>
          <w:sz w:val="28"/>
          <w:szCs w:val="28"/>
          <w:highlight w:val="none"/>
        </w:rPr>
      </w:pPr>
    </w:p>
    <w:bookmarkEnd w:id="83"/>
    <w:bookmarkEnd w:id="84"/>
    <w:p w14:paraId="19042DF4">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b/>
          <w:color w:val="auto"/>
          <w:szCs w:val="21"/>
          <w:highlight w:val="none"/>
        </w:rPr>
      </w:pPr>
      <w:bookmarkStart w:id="93" w:name="_Toc14907"/>
      <w:bookmarkStart w:id="94" w:name="_Toc21541030"/>
      <w:bookmarkStart w:id="95" w:name="_Toc44162161"/>
      <w:r>
        <w:rPr>
          <w:rFonts w:hint="eastAsia" w:ascii="宋体" w:hAnsi="宋体" w:cs="宋体"/>
          <w:b/>
          <w:color w:val="auto"/>
          <w:szCs w:val="21"/>
          <w:highlight w:val="none"/>
        </w:rPr>
        <w:t>C1</w:t>
      </w:r>
      <w:bookmarkEnd w:id="93"/>
      <w:bookmarkEnd w:id="94"/>
      <w:bookmarkEnd w:id="95"/>
      <w:bookmarkStart w:id="96" w:name="_Toc14922"/>
      <w:bookmarkStart w:id="97" w:name="_Toc44162162"/>
      <w:bookmarkStart w:id="98" w:name="_Toc21541032"/>
      <w:r>
        <w:rPr>
          <w:rFonts w:hint="eastAsia" w:ascii="宋体" w:hAnsi="宋体" w:cs="宋体"/>
          <w:b/>
          <w:color w:val="auto"/>
          <w:szCs w:val="21"/>
          <w:highlight w:val="none"/>
          <w:lang w:val="en-US" w:eastAsia="zh-CN"/>
        </w:rPr>
        <w:t>.</w:t>
      </w:r>
      <w:r>
        <w:rPr>
          <w:rFonts w:hint="eastAsia" w:ascii="宋体" w:hAnsi="宋体" w:cs="宋体"/>
          <w:b/>
          <w:color w:val="auto"/>
          <w:szCs w:val="21"/>
          <w:highlight w:val="none"/>
        </w:rPr>
        <w:t>开标一览表</w:t>
      </w:r>
    </w:p>
    <w:p w14:paraId="54425C8D">
      <w:pPr>
        <w:pStyle w:val="20"/>
        <w:keepNext w:val="0"/>
        <w:keepLines w:val="0"/>
        <w:pageBreakBefore w:val="0"/>
        <w:widowControl w:val="0"/>
        <w:kinsoku/>
        <w:wordWrap/>
        <w:overflowPunct/>
        <w:topLinePunct w:val="0"/>
        <w:autoSpaceDE/>
        <w:autoSpaceDN/>
        <w:bidi w:val="0"/>
        <w:adjustRightInd/>
        <w:spacing w:line="400" w:lineRule="exact"/>
        <w:ind w:right="0" w:rightChars="0" w:firstLin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eastAsia="zh-CN"/>
        </w:rPr>
        <w:t>宁波大学校医院信息一体化平台服务项目</w:t>
      </w:r>
      <w:r>
        <w:rPr>
          <w:rFonts w:hint="eastAsia" w:ascii="宋体" w:hAnsi="宋体" w:eastAsia="宋体" w:cs="宋体"/>
          <w:color w:val="auto"/>
          <w:sz w:val="21"/>
          <w:szCs w:val="21"/>
          <w:highlight w:val="none"/>
        </w:rPr>
        <w:t xml:space="preserve">              </w:t>
      </w:r>
    </w:p>
    <w:p w14:paraId="5B83FFDF">
      <w:pPr>
        <w:pStyle w:val="20"/>
        <w:keepNext w:val="0"/>
        <w:keepLines w:val="0"/>
        <w:pageBreakBefore w:val="0"/>
        <w:widowControl w:val="0"/>
        <w:kinsoku/>
        <w:wordWrap/>
        <w:overflowPunct/>
        <w:topLinePunct w:val="0"/>
        <w:autoSpaceDE/>
        <w:autoSpaceDN/>
        <w:bidi w:val="0"/>
        <w:adjustRightInd/>
        <w:spacing w:line="400" w:lineRule="exact"/>
        <w:ind w:right="0" w:rightChars="0" w:firstLine="0"/>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lang w:eastAsia="zh-CN"/>
        </w:rPr>
        <w:t>NBITC-202530430G</w:t>
      </w:r>
    </w:p>
    <w:tbl>
      <w:tblPr>
        <w:tblStyle w:val="5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3974"/>
        <w:gridCol w:w="2136"/>
        <w:gridCol w:w="2136"/>
      </w:tblGrid>
      <w:tr w14:paraId="691D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012" w:type="dxa"/>
            <w:vAlign w:val="center"/>
          </w:tcPr>
          <w:p w14:paraId="2BAD78DC">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b/>
                <w:color w:val="auto"/>
                <w:szCs w:val="21"/>
                <w:highlight w:val="none"/>
              </w:rPr>
            </w:pPr>
            <w:r>
              <w:rPr>
                <w:rFonts w:hint="eastAsia" w:ascii="宋体" w:hAnsi="宋体" w:cs="宋体"/>
                <w:b/>
                <w:color w:val="auto"/>
                <w:szCs w:val="21"/>
                <w:highlight w:val="none"/>
              </w:rPr>
              <w:t>标项</w:t>
            </w:r>
          </w:p>
        </w:tc>
        <w:tc>
          <w:tcPr>
            <w:tcW w:w="3974" w:type="dxa"/>
            <w:vAlign w:val="center"/>
          </w:tcPr>
          <w:p w14:paraId="1F273460">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b/>
                <w:color w:val="auto"/>
                <w:szCs w:val="21"/>
                <w:highlight w:val="none"/>
              </w:rPr>
            </w:pPr>
            <w:r>
              <w:rPr>
                <w:rFonts w:hint="eastAsia" w:ascii="宋体" w:hAnsi="宋体" w:cs="宋体"/>
                <w:b/>
                <w:color w:val="auto"/>
                <w:szCs w:val="21"/>
                <w:highlight w:val="none"/>
              </w:rPr>
              <w:t>服务名称</w:t>
            </w:r>
          </w:p>
        </w:tc>
        <w:tc>
          <w:tcPr>
            <w:tcW w:w="2136" w:type="dxa"/>
            <w:vAlign w:val="center"/>
          </w:tcPr>
          <w:p w14:paraId="6D0BB540">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b/>
                <w:color w:val="auto"/>
                <w:szCs w:val="21"/>
                <w:highlight w:val="none"/>
              </w:rPr>
            </w:pPr>
            <w:r>
              <w:rPr>
                <w:rFonts w:hint="eastAsia" w:ascii="宋体" w:hAnsi="宋体" w:cs="宋体"/>
                <w:b/>
                <w:color w:val="auto"/>
                <w:szCs w:val="21"/>
                <w:highlight w:val="none"/>
              </w:rPr>
              <w:t>投标报价（小写：元）</w:t>
            </w:r>
          </w:p>
        </w:tc>
        <w:tc>
          <w:tcPr>
            <w:tcW w:w="2136" w:type="dxa"/>
            <w:vAlign w:val="center"/>
          </w:tcPr>
          <w:p w14:paraId="051962B0">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b/>
                <w:color w:val="auto"/>
                <w:szCs w:val="21"/>
                <w:highlight w:val="none"/>
              </w:rPr>
            </w:pPr>
            <w:r>
              <w:rPr>
                <w:rFonts w:hint="eastAsia" w:ascii="宋体" w:hAnsi="宋体" w:cs="宋体"/>
                <w:b/>
                <w:color w:val="auto"/>
                <w:szCs w:val="21"/>
                <w:highlight w:val="none"/>
              </w:rPr>
              <w:t>投标报价（大写：元）</w:t>
            </w:r>
          </w:p>
        </w:tc>
      </w:tr>
      <w:tr w14:paraId="0774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012" w:type="dxa"/>
            <w:vAlign w:val="center"/>
          </w:tcPr>
          <w:p w14:paraId="40FD762B">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color w:val="auto"/>
                <w:szCs w:val="21"/>
                <w:highlight w:val="none"/>
              </w:rPr>
            </w:pPr>
          </w:p>
        </w:tc>
        <w:tc>
          <w:tcPr>
            <w:tcW w:w="3974" w:type="dxa"/>
            <w:vAlign w:val="center"/>
          </w:tcPr>
          <w:p w14:paraId="1A684B3C">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color w:val="auto"/>
                <w:szCs w:val="21"/>
                <w:highlight w:val="none"/>
              </w:rPr>
            </w:pPr>
          </w:p>
        </w:tc>
        <w:tc>
          <w:tcPr>
            <w:tcW w:w="2136" w:type="dxa"/>
            <w:vAlign w:val="center"/>
          </w:tcPr>
          <w:p w14:paraId="7FA0E101">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color w:val="auto"/>
                <w:szCs w:val="21"/>
                <w:highlight w:val="none"/>
              </w:rPr>
            </w:pPr>
          </w:p>
        </w:tc>
        <w:tc>
          <w:tcPr>
            <w:tcW w:w="2136" w:type="dxa"/>
            <w:vAlign w:val="center"/>
          </w:tcPr>
          <w:p w14:paraId="7EE8B3BB">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rPr>
                <w:rFonts w:ascii="宋体" w:hAnsi="宋体" w:cs="宋体"/>
                <w:color w:val="auto"/>
                <w:szCs w:val="21"/>
                <w:highlight w:val="none"/>
              </w:rPr>
            </w:pPr>
          </w:p>
        </w:tc>
      </w:tr>
    </w:tbl>
    <w:p w14:paraId="1B685D5C">
      <w:pPr>
        <w:keepNext w:val="0"/>
        <w:keepLines w:val="0"/>
        <w:pageBreakBefore w:val="0"/>
        <w:widowControl w:val="0"/>
        <w:kinsoku/>
        <w:wordWrap/>
        <w:overflowPunct/>
        <w:topLinePunct w:val="0"/>
        <w:autoSpaceDE/>
        <w:autoSpaceDN/>
        <w:bidi w:val="0"/>
        <w:adjustRightInd/>
        <w:snapToGrid w:val="0"/>
        <w:spacing w:line="400" w:lineRule="exact"/>
        <w:ind w:right="0" w:rightChars="0"/>
        <w:jc w:val="left"/>
        <w:textAlignment w:val="auto"/>
        <w:rPr>
          <w:rFonts w:ascii="宋体" w:hAnsi="宋体" w:cs="宋体"/>
          <w:color w:val="auto"/>
          <w:highlight w:val="none"/>
        </w:rPr>
      </w:pPr>
      <w:r>
        <w:rPr>
          <w:rFonts w:hint="eastAsia" w:ascii="宋体" w:hAnsi="宋体" w:cs="宋体"/>
          <w:color w:val="auto"/>
          <w:highlight w:val="none"/>
        </w:rPr>
        <w:t>注: 1</w:t>
      </w:r>
      <w:r>
        <w:rPr>
          <w:rFonts w:hint="eastAsia" w:ascii="宋体" w:hAnsi="宋体" w:cs="宋体"/>
          <w:color w:val="auto"/>
          <w:highlight w:val="none"/>
          <w:lang w:val="en-US" w:eastAsia="zh-CN"/>
        </w:rPr>
        <w:t>.</w:t>
      </w:r>
      <w:r>
        <w:rPr>
          <w:rFonts w:hint="eastAsia" w:ascii="宋体" w:hAnsi="宋体" w:cs="宋体"/>
          <w:color w:val="auto"/>
          <w:highlight w:val="none"/>
        </w:rPr>
        <w:t>以上投标报价应与“分项报价表”中的“投标报价”相一致；</w:t>
      </w:r>
    </w:p>
    <w:p w14:paraId="364329CC">
      <w:pPr>
        <w:keepNext w:val="0"/>
        <w:keepLines w:val="0"/>
        <w:pageBreakBefore w:val="0"/>
        <w:widowControl w:val="0"/>
        <w:kinsoku/>
        <w:wordWrap/>
        <w:overflowPunct/>
        <w:topLinePunct w:val="0"/>
        <w:autoSpaceDE/>
        <w:autoSpaceDN/>
        <w:bidi w:val="0"/>
        <w:adjustRightInd/>
        <w:snapToGrid w:val="0"/>
        <w:spacing w:line="400" w:lineRule="exact"/>
        <w:ind w:right="0" w:rightChars="0" w:firstLine="420" w:firstLineChars="200"/>
        <w:jc w:val="left"/>
        <w:textAlignment w:val="auto"/>
        <w:rPr>
          <w:rFonts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投标文件中开标一览表内容与政采云系统“开标一览表”中录入的报价内容不一致的，以投标文件中开标一览表为准。</w:t>
      </w:r>
    </w:p>
    <w:p w14:paraId="4EC627AF">
      <w:pPr>
        <w:keepNext w:val="0"/>
        <w:keepLines w:val="0"/>
        <w:pageBreakBefore w:val="0"/>
        <w:widowControl w:val="0"/>
        <w:kinsoku/>
        <w:wordWrap/>
        <w:overflowPunct/>
        <w:topLinePunct w:val="0"/>
        <w:autoSpaceDE/>
        <w:autoSpaceDN/>
        <w:bidi w:val="0"/>
        <w:adjustRightInd/>
        <w:snapToGrid w:val="0"/>
        <w:spacing w:line="400" w:lineRule="exact"/>
        <w:ind w:right="0" w:rightChars="0"/>
        <w:textAlignment w:val="auto"/>
        <w:rPr>
          <w:rFonts w:ascii="宋体" w:hAnsi="宋体" w:cs="宋体"/>
          <w:color w:val="auto"/>
          <w:szCs w:val="21"/>
          <w:highlight w:val="none"/>
          <w:u w:val="single"/>
        </w:rPr>
      </w:pPr>
    </w:p>
    <w:p w14:paraId="202EB1F7">
      <w:pPr>
        <w:keepNext w:val="0"/>
        <w:keepLines w:val="0"/>
        <w:pageBreakBefore w:val="0"/>
        <w:widowControl w:val="0"/>
        <w:kinsoku/>
        <w:wordWrap/>
        <w:overflowPunct/>
        <w:topLinePunct w:val="0"/>
        <w:autoSpaceDE/>
        <w:autoSpaceDN/>
        <w:bidi w:val="0"/>
        <w:adjustRightInd/>
        <w:spacing w:line="400" w:lineRule="exact"/>
        <w:ind w:right="0" w:rightChars="0"/>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4BE19676">
      <w:pPr>
        <w:keepNext w:val="0"/>
        <w:keepLines w:val="0"/>
        <w:pageBreakBefore w:val="0"/>
        <w:widowControl w:val="0"/>
        <w:kinsoku/>
        <w:wordWrap/>
        <w:overflowPunct/>
        <w:topLinePunct w:val="0"/>
        <w:autoSpaceDE/>
        <w:autoSpaceDN/>
        <w:bidi w:val="0"/>
        <w:adjustRightInd/>
        <w:spacing w:line="400" w:lineRule="exact"/>
        <w:ind w:right="0" w:rightChars="0"/>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期：</w:t>
      </w:r>
    </w:p>
    <w:p w14:paraId="6DACAF70">
      <w:pPr>
        <w:pStyle w:val="26"/>
        <w:keepNext w:val="0"/>
        <w:keepLines w:val="0"/>
        <w:pageBreakBefore w:val="0"/>
        <w:kinsoku/>
        <w:wordWrap/>
        <w:overflowPunct/>
        <w:topLinePunct w:val="0"/>
        <w:autoSpaceDE/>
        <w:autoSpaceDN/>
        <w:bidi w:val="0"/>
        <w:adjustRightInd/>
        <w:snapToGrid w:val="0"/>
        <w:spacing w:before="0" w:beforeAutospacing="0" w:after="0" w:afterAutospacing="0" w:line="400" w:lineRule="exact"/>
        <w:ind w:left="0"/>
        <w:jc w:val="center"/>
        <w:textAlignment w:val="auto"/>
        <w:rPr>
          <w:rFonts w:hAnsi="宋体" w:cs="宋体"/>
          <w:b/>
          <w:color w:val="auto"/>
          <w:kern w:val="2"/>
          <w:sz w:val="21"/>
          <w:szCs w:val="21"/>
          <w:highlight w:val="none"/>
        </w:rPr>
      </w:pPr>
      <w:r>
        <w:rPr>
          <w:rFonts w:hint="eastAsia" w:hAnsi="宋体" w:cs="宋体"/>
          <w:b/>
          <w:color w:val="auto"/>
          <w:szCs w:val="21"/>
          <w:highlight w:val="none"/>
        </w:rPr>
        <w:br w:type="page"/>
      </w:r>
      <w:r>
        <w:rPr>
          <w:rFonts w:hint="eastAsia" w:hAnsi="宋体" w:cs="宋体"/>
          <w:b/>
          <w:color w:val="auto"/>
          <w:kern w:val="2"/>
          <w:sz w:val="21"/>
          <w:szCs w:val="21"/>
          <w:highlight w:val="none"/>
        </w:rPr>
        <w:t>C2</w:t>
      </w:r>
      <w:r>
        <w:rPr>
          <w:rFonts w:hint="eastAsia" w:hAnsi="宋体" w:cs="宋体"/>
          <w:b/>
          <w:color w:val="auto"/>
          <w:kern w:val="2"/>
          <w:sz w:val="21"/>
          <w:szCs w:val="21"/>
          <w:highlight w:val="none"/>
          <w:lang w:val="en-US" w:eastAsia="zh-CN"/>
        </w:rPr>
        <w:t>.</w:t>
      </w:r>
      <w:r>
        <w:rPr>
          <w:rFonts w:hint="eastAsia" w:hAnsi="宋体" w:cs="宋体"/>
          <w:b/>
          <w:color w:val="auto"/>
          <w:kern w:val="2"/>
          <w:sz w:val="21"/>
          <w:szCs w:val="21"/>
          <w:highlight w:val="none"/>
        </w:rPr>
        <w:t>分项报价表</w:t>
      </w:r>
    </w:p>
    <w:p w14:paraId="28ED581C">
      <w:pPr>
        <w:pStyle w:val="20"/>
        <w:keepNext w:val="0"/>
        <w:keepLines w:val="0"/>
        <w:pageBreakBefore w:val="0"/>
        <w:kinsoku/>
        <w:wordWrap/>
        <w:overflowPunct/>
        <w:topLinePunct w:val="0"/>
        <w:autoSpaceDE/>
        <w:autoSpaceDN/>
        <w:bidi w:val="0"/>
        <w:adjustRightInd/>
        <w:spacing w:line="400" w:lineRule="exact"/>
        <w:ind w:left="0" w:firstLin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eastAsia="zh-CN"/>
        </w:rPr>
        <w:t>宁波大学校医院信息一体化平台服务项目</w:t>
      </w:r>
      <w:r>
        <w:rPr>
          <w:rFonts w:hint="eastAsia" w:ascii="宋体" w:hAnsi="宋体" w:eastAsia="宋体" w:cs="宋体"/>
          <w:color w:val="auto"/>
          <w:sz w:val="21"/>
          <w:szCs w:val="21"/>
          <w:highlight w:val="none"/>
        </w:rPr>
        <w:t xml:space="preserve">              </w:t>
      </w:r>
    </w:p>
    <w:p w14:paraId="74C29989">
      <w:pPr>
        <w:pStyle w:val="20"/>
        <w:keepNext w:val="0"/>
        <w:keepLines w:val="0"/>
        <w:pageBreakBefore w:val="0"/>
        <w:kinsoku/>
        <w:wordWrap/>
        <w:overflowPunct/>
        <w:topLinePunct w:val="0"/>
        <w:autoSpaceDE/>
        <w:autoSpaceDN/>
        <w:bidi w:val="0"/>
        <w:adjustRightInd/>
        <w:spacing w:line="400" w:lineRule="exact"/>
        <w:ind w:left="0" w:firstLin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lang w:eastAsia="zh-CN"/>
        </w:rPr>
        <w:t>NBITC-202530430G</w:t>
      </w:r>
      <w:r>
        <w:rPr>
          <w:rFonts w:hint="eastAsia" w:ascii="宋体" w:hAnsi="宋体" w:eastAsia="宋体" w:cs="宋体"/>
          <w:color w:val="auto"/>
          <w:sz w:val="21"/>
          <w:szCs w:val="21"/>
          <w:highlight w:val="none"/>
        </w:rPr>
        <w:t xml:space="preserve">         </w:t>
      </w:r>
    </w:p>
    <w:p w14:paraId="4D8E0C47">
      <w:pPr>
        <w:pStyle w:val="20"/>
        <w:keepNext w:val="0"/>
        <w:keepLines w:val="0"/>
        <w:pageBreakBefore w:val="0"/>
        <w:kinsoku/>
        <w:wordWrap/>
        <w:overflowPunct/>
        <w:topLinePunct w:val="0"/>
        <w:autoSpaceDE/>
        <w:autoSpaceDN/>
        <w:bidi w:val="0"/>
        <w:adjustRightInd/>
        <w:spacing w:line="400" w:lineRule="exact"/>
        <w:ind w:left="0" w:firstLine="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货币单位：人民币元</w:t>
      </w:r>
    </w:p>
    <w:tbl>
      <w:tblPr>
        <w:tblStyle w:val="52"/>
        <w:tblW w:w="916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041"/>
        <w:gridCol w:w="1473"/>
        <w:gridCol w:w="1570"/>
        <w:gridCol w:w="2909"/>
      </w:tblGrid>
      <w:tr w14:paraId="6EE04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tcBorders>
            <w:vAlign w:val="center"/>
          </w:tcPr>
          <w:p w14:paraId="212F0009">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041" w:type="dxa"/>
            <w:tcBorders>
              <w:top w:val="single" w:color="auto" w:sz="4" w:space="0"/>
            </w:tcBorders>
            <w:vAlign w:val="center"/>
          </w:tcPr>
          <w:p w14:paraId="7E1B9798">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
                <w:bCs/>
                <w:color w:val="auto"/>
                <w:szCs w:val="21"/>
                <w:highlight w:val="none"/>
              </w:rPr>
            </w:pPr>
            <w:r>
              <w:rPr>
                <w:rFonts w:hint="eastAsia" w:ascii="宋体" w:hAnsi="宋体" w:cs="宋体"/>
                <w:b/>
                <w:bCs/>
                <w:color w:val="auto"/>
                <w:szCs w:val="21"/>
                <w:highlight w:val="none"/>
              </w:rPr>
              <w:t>服务内容</w:t>
            </w:r>
          </w:p>
        </w:tc>
        <w:tc>
          <w:tcPr>
            <w:tcW w:w="1473" w:type="dxa"/>
            <w:tcBorders>
              <w:top w:val="single" w:color="auto" w:sz="4" w:space="0"/>
            </w:tcBorders>
            <w:vAlign w:val="center"/>
          </w:tcPr>
          <w:p w14:paraId="37FE37AC">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1570" w:type="dxa"/>
            <w:tcBorders>
              <w:top w:val="single" w:color="auto" w:sz="4" w:space="0"/>
            </w:tcBorders>
            <w:vAlign w:val="center"/>
          </w:tcPr>
          <w:p w14:paraId="17F05BF0">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
                <w:bCs/>
                <w:color w:val="auto"/>
                <w:szCs w:val="21"/>
                <w:highlight w:val="none"/>
              </w:rPr>
            </w:pPr>
            <w:r>
              <w:rPr>
                <w:rFonts w:hint="eastAsia" w:ascii="宋体" w:hAnsi="宋体" w:cs="宋体"/>
                <w:b/>
                <w:bCs/>
                <w:color w:val="auto"/>
                <w:szCs w:val="21"/>
                <w:highlight w:val="none"/>
              </w:rPr>
              <w:t>单价</w:t>
            </w:r>
          </w:p>
        </w:tc>
        <w:tc>
          <w:tcPr>
            <w:tcW w:w="2909" w:type="dxa"/>
            <w:tcBorders>
              <w:top w:val="single" w:color="auto" w:sz="4" w:space="0"/>
              <w:right w:val="single" w:color="auto" w:sz="4" w:space="0"/>
            </w:tcBorders>
            <w:vAlign w:val="center"/>
          </w:tcPr>
          <w:p w14:paraId="5F3819DB">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
                <w:bCs/>
                <w:color w:val="auto"/>
                <w:szCs w:val="21"/>
                <w:highlight w:val="none"/>
              </w:rPr>
            </w:pPr>
            <w:r>
              <w:rPr>
                <w:rFonts w:hint="eastAsia" w:ascii="宋体" w:hAnsi="宋体" w:cs="宋体"/>
                <w:b/>
                <w:bCs/>
                <w:color w:val="auto"/>
                <w:szCs w:val="21"/>
                <w:highlight w:val="none"/>
              </w:rPr>
              <w:t>合计</w:t>
            </w:r>
          </w:p>
        </w:tc>
      </w:tr>
      <w:tr w14:paraId="01BCE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10448403">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31202E14">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52B93236">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6282584D">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784AE875">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26269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3C776772">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75665F73">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7916F314">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2E648DD9">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3B9AF74A">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22B3D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5D15C835">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4DC4C3ED">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32AC51EC">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1A8E066F">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7FE26F2A">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7CB85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60D1E2E5">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0E53970D">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6C1B298A">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3D5ECB93">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4FF52B34">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0E4B3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48731052">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6C01353B">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68B9E5FA">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3E7840DD">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0B753DDA">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432B9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4CE8D9F9">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274CDC25">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24B7E843">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5D66ABEE">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42CA9922">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1CEFE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2F69198B">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36EBB597">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2B26C310">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4389E8C8">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607BC271">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57E2E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6614E23D">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4980A721">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005412D2">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01A68FE3">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739610CA">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131FC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49206C70">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451EE310">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2F028B49">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6AF09BE9">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264EDA36">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7AFF5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51B414BA">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663D72B6">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3ACB0DDF">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5A4CACB1">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5E25ADD6">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5248A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5B211386">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0A1B1546">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6CCAABB1">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7BEBB2BD">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4CB11F8D">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78359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47006552">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7161F2FF">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25FAADAB">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6B8C7F6E">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2C40AEFA">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64515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68B7CCEF">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31C43BF3">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58945544">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724DCB62">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68B07996">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7D12F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1587C468">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2CE467DE">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7FB25EBF">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4A5118E9">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772A4CF0">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54453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1218B5C8">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385AC666">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25205300">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51B5704F">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3DD783DA">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54620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6" w:type="dxa"/>
            <w:tcBorders>
              <w:top w:val="single" w:color="auto" w:sz="4" w:space="0"/>
              <w:left w:val="single" w:color="auto" w:sz="4" w:space="0"/>
              <w:bottom w:val="single" w:color="auto" w:sz="4" w:space="0"/>
            </w:tcBorders>
            <w:vAlign w:val="center"/>
          </w:tcPr>
          <w:p w14:paraId="59C14F89">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2041" w:type="dxa"/>
            <w:tcBorders>
              <w:top w:val="single" w:color="auto" w:sz="4" w:space="0"/>
              <w:bottom w:val="single" w:color="auto" w:sz="4" w:space="0"/>
            </w:tcBorders>
            <w:vAlign w:val="center"/>
          </w:tcPr>
          <w:p w14:paraId="680C57AE">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p>
        </w:tc>
        <w:tc>
          <w:tcPr>
            <w:tcW w:w="1473" w:type="dxa"/>
            <w:tcBorders>
              <w:top w:val="single" w:color="auto" w:sz="4" w:space="0"/>
              <w:bottom w:val="single" w:color="auto" w:sz="4" w:space="0"/>
            </w:tcBorders>
            <w:vAlign w:val="center"/>
          </w:tcPr>
          <w:p w14:paraId="4542DF5E">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1570" w:type="dxa"/>
            <w:tcBorders>
              <w:top w:val="single" w:color="auto" w:sz="4" w:space="0"/>
              <w:bottom w:val="single" w:color="auto" w:sz="4" w:space="0"/>
            </w:tcBorders>
            <w:vAlign w:val="center"/>
          </w:tcPr>
          <w:p w14:paraId="3E9F150F">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c>
          <w:tcPr>
            <w:tcW w:w="2909" w:type="dxa"/>
            <w:tcBorders>
              <w:top w:val="single" w:color="auto" w:sz="4" w:space="0"/>
              <w:bottom w:val="single" w:color="auto" w:sz="4" w:space="0"/>
              <w:right w:val="single" w:color="auto" w:sz="4" w:space="0"/>
            </w:tcBorders>
            <w:vAlign w:val="center"/>
          </w:tcPr>
          <w:p w14:paraId="78B7F79D">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38570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0" w:type="dxa"/>
            <w:gridSpan w:val="4"/>
            <w:tcBorders>
              <w:top w:val="single" w:color="auto" w:sz="4" w:space="0"/>
              <w:left w:val="single" w:color="auto" w:sz="4" w:space="0"/>
              <w:bottom w:val="single" w:color="auto" w:sz="4" w:space="0"/>
            </w:tcBorders>
            <w:vAlign w:val="center"/>
          </w:tcPr>
          <w:p w14:paraId="3D120982">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r>
              <w:rPr>
                <w:rFonts w:hint="eastAsia" w:ascii="宋体" w:hAnsi="宋体" w:cs="宋体"/>
                <w:color w:val="auto"/>
                <w:kern w:val="0"/>
                <w:szCs w:val="21"/>
                <w:highlight w:val="none"/>
              </w:rPr>
              <w:t>合计</w:t>
            </w:r>
          </w:p>
        </w:tc>
        <w:tc>
          <w:tcPr>
            <w:tcW w:w="2909" w:type="dxa"/>
            <w:tcBorders>
              <w:top w:val="single" w:color="auto" w:sz="4" w:space="0"/>
              <w:bottom w:val="single" w:color="auto" w:sz="4" w:space="0"/>
              <w:right w:val="single" w:color="auto" w:sz="4" w:space="0"/>
            </w:tcBorders>
            <w:vAlign w:val="center"/>
          </w:tcPr>
          <w:p w14:paraId="780E6E28">
            <w:pPr>
              <w:keepNext w:val="0"/>
              <w:keepLines w:val="0"/>
              <w:pageBreakBefore w:val="0"/>
              <w:tabs>
                <w:tab w:val="left" w:pos="4648"/>
              </w:tabs>
              <w:kinsoku/>
              <w:wordWrap/>
              <w:overflowPunct/>
              <w:topLinePunct w:val="0"/>
              <w:autoSpaceDE/>
              <w:autoSpaceDN/>
              <w:bidi w:val="0"/>
              <w:adjustRightInd/>
              <w:spacing w:line="400" w:lineRule="exact"/>
              <w:ind w:left="0"/>
              <w:jc w:val="center"/>
              <w:textAlignment w:val="auto"/>
              <w:rPr>
                <w:rFonts w:ascii="宋体" w:hAnsi="宋体" w:cs="宋体"/>
                <w:bCs/>
                <w:color w:val="auto"/>
                <w:szCs w:val="21"/>
                <w:highlight w:val="none"/>
              </w:rPr>
            </w:pPr>
          </w:p>
        </w:tc>
      </w:tr>
      <w:tr w14:paraId="1F041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0" w:type="dxa"/>
            <w:gridSpan w:val="4"/>
            <w:tcBorders>
              <w:top w:val="single" w:color="auto" w:sz="4" w:space="0"/>
              <w:left w:val="single" w:color="auto" w:sz="4" w:space="0"/>
              <w:bottom w:val="single" w:color="auto" w:sz="4" w:space="0"/>
              <w:right w:val="single" w:color="auto" w:sz="4" w:space="0"/>
            </w:tcBorders>
            <w:vAlign w:val="center"/>
          </w:tcPr>
          <w:p w14:paraId="024AD3DC">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
                <w:color w:val="auto"/>
                <w:szCs w:val="21"/>
                <w:highlight w:val="none"/>
              </w:rPr>
            </w:pPr>
            <w:r>
              <w:rPr>
                <w:rFonts w:hint="eastAsia" w:ascii="宋体" w:hAnsi="宋体" w:cs="宋体"/>
                <w:b/>
                <w:color w:val="auto"/>
                <w:szCs w:val="21"/>
                <w:highlight w:val="none"/>
              </w:rPr>
              <w:t>投标报价（小写）</w:t>
            </w:r>
          </w:p>
        </w:tc>
        <w:tc>
          <w:tcPr>
            <w:tcW w:w="2909" w:type="dxa"/>
            <w:tcBorders>
              <w:top w:val="single" w:color="auto" w:sz="4" w:space="0"/>
              <w:left w:val="single" w:color="auto" w:sz="4" w:space="0"/>
              <w:bottom w:val="single" w:color="auto" w:sz="4" w:space="0"/>
              <w:right w:val="single" w:color="auto" w:sz="4" w:space="0"/>
            </w:tcBorders>
            <w:vAlign w:val="center"/>
          </w:tcPr>
          <w:p w14:paraId="5C6723C4">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tc>
      </w:tr>
      <w:tr w14:paraId="2F233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0" w:type="dxa"/>
            <w:gridSpan w:val="4"/>
            <w:tcBorders>
              <w:top w:val="single" w:color="auto" w:sz="4" w:space="0"/>
              <w:left w:val="single" w:color="auto" w:sz="4" w:space="0"/>
              <w:bottom w:val="single" w:color="auto" w:sz="4" w:space="0"/>
              <w:right w:val="single" w:color="auto" w:sz="4" w:space="0"/>
            </w:tcBorders>
            <w:vAlign w:val="center"/>
          </w:tcPr>
          <w:p w14:paraId="085FAB2C">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b/>
                <w:color w:val="auto"/>
                <w:szCs w:val="21"/>
                <w:highlight w:val="none"/>
              </w:rPr>
            </w:pPr>
            <w:r>
              <w:rPr>
                <w:rFonts w:hint="eastAsia" w:ascii="宋体" w:hAnsi="宋体" w:cs="宋体"/>
                <w:b/>
                <w:color w:val="auto"/>
                <w:szCs w:val="21"/>
                <w:highlight w:val="none"/>
              </w:rPr>
              <w:t>投标报价（大写）</w:t>
            </w:r>
          </w:p>
        </w:tc>
        <w:tc>
          <w:tcPr>
            <w:tcW w:w="2909" w:type="dxa"/>
            <w:tcBorders>
              <w:top w:val="single" w:color="auto" w:sz="4" w:space="0"/>
              <w:left w:val="single" w:color="auto" w:sz="4" w:space="0"/>
              <w:bottom w:val="single" w:color="auto" w:sz="4" w:space="0"/>
              <w:right w:val="single" w:color="auto" w:sz="4" w:space="0"/>
            </w:tcBorders>
            <w:vAlign w:val="center"/>
          </w:tcPr>
          <w:p w14:paraId="668B04AA">
            <w:pPr>
              <w:keepNext w:val="0"/>
              <w:keepLines w:val="0"/>
              <w:pageBreakBefore w:val="0"/>
              <w:kinsoku/>
              <w:wordWrap/>
              <w:overflowPunct/>
              <w:topLinePunct w:val="0"/>
              <w:autoSpaceDE/>
              <w:autoSpaceDN/>
              <w:bidi w:val="0"/>
              <w:adjustRightInd/>
              <w:spacing w:line="400" w:lineRule="exact"/>
              <w:ind w:left="0"/>
              <w:jc w:val="center"/>
              <w:textAlignment w:val="auto"/>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元</w:t>
            </w:r>
          </w:p>
        </w:tc>
      </w:tr>
    </w:tbl>
    <w:p w14:paraId="46F13AC5">
      <w:pPr>
        <w:keepNext w:val="0"/>
        <w:keepLines w:val="0"/>
        <w:pageBreakBefore w:val="0"/>
        <w:kinsoku/>
        <w:wordWrap/>
        <w:overflowPunct/>
        <w:topLinePunct w:val="0"/>
        <w:autoSpaceDE/>
        <w:autoSpaceDN/>
        <w:bidi w:val="0"/>
        <w:adjustRightInd/>
        <w:spacing w:line="400" w:lineRule="exact"/>
        <w:ind w:left="0"/>
        <w:jc w:val="left"/>
        <w:textAlignment w:val="auto"/>
        <w:rPr>
          <w:rFonts w:ascii="宋体" w:hAnsi="宋体" w:cs="宋体"/>
          <w:color w:val="auto"/>
          <w:szCs w:val="21"/>
          <w:highlight w:val="none"/>
        </w:rPr>
      </w:pPr>
    </w:p>
    <w:p w14:paraId="449F226A">
      <w:pPr>
        <w:keepNext w:val="0"/>
        <w:keepLines w:val="0"/>
        <w:pageBreakBefore w:val="0"/>
        <w:kinsoku/>
        <w:wordWrap/>
        <w:overflowPunct/>
        <w:topLinePunct w:val="0"/>
        <w:autoSpaceDE/>
        <w:autoSpaceDN/>
        <w:bidi w:val="0"/>
        <w:adjustRightInd/>
        <w:spacing w:line="400" w:lineRule="exact"/>
        <w:ind w:left="0"/>
        <w:jc w:val="left"/>
        <w:textAlignment w:val="auto"/>
        <w:rPr>
          <w:rFonts w:ascii="宋体" w:hAnsi="宋体" w:cs="宋体"/>
          <w:color w:val="auto"/>
          <w:szCs w:val="21"/>
          <w:highlight w:val="none"/>
        </w:rPr>
      </w:pPr>
      <w:r>
        <w:rPr>
          <w:rFonts w:hint="eastAsia" w:ascii="宋体" w:hAnsi="宋体" w:cs="宋体"/>
          <w:color w:val="auto"/>
          <w:szCs w:val="21"/>
          <w:highlight w:val="none"/>
        </w:rPr>
        <w:t>供应商（盖章）：</w:t>
      </w:r>
    </w:p>
    <w:p w14:paraId="56FA0C31">
      <w:pPr>
        <w:keepNext w:val="0"/>
        <w:keepLines w:val="0"/>
        <w:pageBreakBefore w:val="0"/>
        <w:kinsoku/>
        <w:wordWrap/>
        <w:overflowPunct/>
        <w:topLinePunct w:val="0"/>
        <w:autoSpaceDE/>
        <w:autoSpaceDN/>
        <w:bidi w:val="0"/>
        <w:adjustRightInd/>
        <w:spacing w:line="400" w:lineRule="exact"/>
        <w:ind w:left="0"/>
        <w:jc w:val="left"/>
        <w:textAlignment w:val="auto"/>
        <w:rPr>
          <w:rFonts w:hAnsi="宋体" w:cs="宋体"/>
          <w:color w:val="auto"/>
          <w:sz w:val="36"/>
          <w:szCs w:val="36"/>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期：</w:t>
      </w:r>
      <w:bookmarkEnd w:id="96"/>
      <w:bookmarkEnd w:id="97"/>
      <w:bookmarkEnd w:id="98"/>
    </w:p>
    <w:sectPr>
      <w:footerReference r:id="rId13" w:type="default"/>
      <w:pgSz w:w="11905" w:h="16838"/>
      <w:pgMar w:top="1474" w:right="1197" w:bottom="1474" w:left="1474" w:header="907" w:footer="850" w:gutter="0"/>
      <w:pgBorders>
        <w:top w:val="none" w:sz="0" w:space="0"/>
        <w:left w:val="none" w:sz="0" w:space="0"/>
        <w:bottom w:val="none" w:sz="0" w:space="0"/>
        <w:right w:val="none" w:sz="0" w:space="0"/>
      </w:pgBorders>
      <w:pgNumType w:fmt="decimal"/>
      <w:cols w:space="0" w:num="1"/>
      <w:docGrid w:type="lines" w:linePitch="28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font-weight : 400">
    <w:altName w:val="微软雅黑"/>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Univers">
    <w:panose1 w:val="020B0603020202030204"/>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6F48D">
    <w:pPr>
      <w:pStyle w:val="3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F9E2F">
    <w:pPr>
      <w:pStyle w:val="31"/>
      <w:framePr w:wrap="around" w:vAnchor="text" w:hAnchor="margin" w:xAlign="center" w:y="1"/>
      <w:rPr>
        <w:rStyle w:val="56"/>
      </w:rPr>
    </w:pPr>
    <w:r>
      <w:fldChar w:fldCharType="begin"/>
    </w:r>
    <w:r>
      <w:rPr>
        <w:rStyle w:val="56"/>
      </w:rPr>
      <w:instrText xml:space="preserve">PAGE  </w:instrText>
    </w:r>
    <w:r>
      <w:fldChar w:fldCharType="separate"/>
    </w:r>
    <w:r>
      <w:rPr>
        <w:vanish/>
      </w:rPr>
      <w:t xml:space="preserve"> </w:t>
    </w:r>
    <w:r>
      <w:fldChar w:fldCharType="end"/>
    </w:r>
  </w:p>
  <w:p w14:paraId="121C22C0">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C26C5">
    <w:pPr>
      <w:pStyle w:val="3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D6EF2">
    <w:pPr>
      <w:pStyle w:val="3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F6BA0">
    <w:pPr>
      <w:pStyle w:val="31"/>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posOffset>2783205</wp:posOffset>
              </wp:positionH>
              <wp:positionV relativeFrom="paragraph">
                <wp:posOffset>0</wp:posOffset>
              </wp:positionV>
              <wp:extent cx="173355" cy="1543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73355"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E90EA">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9.15pt;margin-top:0pt;height:12.15pt;width:13.65pt;mso-position-horizontal-relative:margin;z-index:251659264;mso-width-relative:page;mso-height-relative:page;" filled="f" stroked="f" coordsize="21600,21600" o:gfxdata="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EY8l1wAAAAcBAAAPAAAAAAAAAAEAIAAAACIAAABkcnMvZG93bnJl&#10;di54bWxQSwECFAAUAAAACACHTuJAGHKLvTcCAABhBAAADgAAAAAAAAABACAAAAAmAQAAZHJzL2Uy&#10;b0RvYy54bWxQSwUGAAAAAAYABgBZAQAAzwUAAAAA&#10;">
              <v:fill on="f" focussize="0,0"/>
              <v:stroke on="f" weight="0.5pt"/>
              <v:imagedata o:title=""/>
              <o:lock v:ext="edit" aspectratio="f"/>
              <v:textbox inset="0mm,0mm,0mm,0mm">
                <w:txbxContent>
                  <w:p w14:paraId="341E90EA">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DE93F">
    <w:pPr>
      <w:pStyle w:val="31"/>
    </w:pPr>
    <w:r>
      <w:rPr>
        <w:sz w:val="18"/>
      </w:rPr>
      <mc:AlternateContent>
        <mc:Choice Requires="wps">
          <w:drawing>
            <wp:anchor distT="0" distB="0" distL="114300" distR="114300" simplePos="0" relativeHeight="251660288" behindDoc="0" locked="0" layoutInCell="1" allowOverlap="1">
              <wp:simplePos x="0" y="0"/>
              <wp:positionH relativeFrom="margin">
                <wp:posOffset>2783205</wp:posOffset>
              </wp:positionH>
              <wp:positionV relativeFrom="paragraph">
                <wp:posOffset>0</wp:posOffset>
              </wp:positionV>
              <wp:extent cx="173355" cy="1746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73355" cy="174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B8A71">
                          <w:pPr>
                            <w:pStyle w:val="31"/>
                            <w:jc w:val="center"/>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9.15pt;margin-top:0pt;height:13.75pt;width:13.65pt;mso-position-horizontal-relative:margin;z-index:251660288;mso-width-relative:page;mso-height-relative:page;" filled="f" stroked="f" coordsize="21600,21600" o:gfxdata="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lf6F9cAAAAHAQAADwAAAAAAAAABACAAAAAiAAAAZHJzL2Rvd25y&#10;ZXYueG1sUEsBAhQAFAAAAAgAh07iQCLyyes4AgAAYwQAAA4AAAAAAAAAAQAgAAAAJgEAAGRycy9l&#10;Mm9Eb2MueG1sUEsFBgAAAAAGAAYAWQEAANAFAAAAAA==&#10;">
              <v:fill on="f" focussize="0,0"/>
              <v:stroke on="f" weight="0.5pt"/>
              <v:imagedata o:title=""/>
              <o:lock v:ext="edit" aspectratio="f"/>
              <v:textbox inset="0mm,0mm,0mm,0mm">
                <w:txbxContent>
                  <w:p w14:paraId="7E0B8A71">
                    <w:pPr>
                      <w:pStyle w:val="31"/>
                      <w:jc w:val="center"/>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0C2B9">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524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524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5A923">
                          <w:pPr>
                            <w:pStyle w:val="31"/>
                            <w:jc w:val="center"/>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2pt;mso-position-horizontal:center;mso-position-horizontal-relative:margin;z-index:251662336;mso-width-relative:page;mso-height-relative:page;" filled="f" stroked="f" coordsize="21600,21600" o:gfxdata="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qY62tIAAAAEAQAADwAAAAAAAAABACAAAAAiAAAAZHJzL2Rvd25yZXYueG1s&#10;UEsBAhQAFAAAAAgAh07iQOKEs483AgAAZAQAAA4AAAAAAAAAAQAgAAAAIQEAAGRycy9lMm9Eb2Mu&#10;eG1sUEsFBgAAAAAGAAYAWQEAAMoFAAAAAA==&#10;">
              <v:fill on="f" focussize="0,0"/>
              <v:stroke on="f" weight="0.5pt"/>
              <v:imagedata o:title=""/>
              <o:lock v:ext="edit" aspectratio="f"/>
              <v:textbox inset="0mm,0mm,0mm,0mm" style="mso-fit-shape-to-text:t;">
                <w:txbxContent>
                  <w:p w14:paraId="21E5A923">
                    <w:pPr>
                      <w:pStyle w:val="31"/>
                      <w:jc w:val="center"/>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35D7A">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192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619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8D3F9">
                          <w:pPr>
                            <w:pStyle w:val="31"/>
                            <w:jc w:val="center"/>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2.75pt;mso-position-horizontal:center;mso-position-horizontal-relative:margin;z-index:251661312;mso-width-relative:page;mso-height-relative:page;" filled="f" stroked="f" coordsize="21600,21600" o:gfxdata="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Hdl++0wAAAAQBAAAPAAAAAAAAAAEAIAAAACIAAABkcnMvZG93bnJldi54&#10;bWxQSwECFAAUAAAACACHTuJAfr9ZcDgCAABkBAAADgAAAAAAAAABACAAAAAiAQAAZHJzL2Uyb0Rv&#10;Yy54bWxQSwUGAAAAAAYABgBZAQAAzAUAAAAA&#10;">
              <v:fill on="f" focussize="0,0"/>
              <v:stroke on="f" weight="0.5pt"/>
              <v:imagedata o:title=""/>
              <o:lock v:ext="edit" aspectratio="f"/>
              <v:textbox inset="0mm,0mm,0mm,0mm" style="mso-fit-shape-to-text:t;">
                <w:txbxContent>
                  <w:p w14:paraId="4A08D3F9">
                    <w:pPr>
                      <w:pStyle w:val="31"/>
                      <w:jc w:val="center"/>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CD0E9">
    <w:pPr>
      <w:pStyle w:val="33"/>
      <w:pBdr>
        <w:bottom w:val="single" w:color="auto" w:sz="4" w:space="0"/>
      </w:pBdr>
      <w:jc w:val="both"/>
    </w:pPr>
    <w:r>
      <w:rPr>
        <w:rFonts w:hint="eastAsia" w:cs="宋体"/>
        <w:b/>
        <w:sz w:val="28"/>
        <w:szCs w:val="28"/>
      </w:rPr>
      <w:drawing>
        <wp:inline distT="0" distB="0" distL="114300" distR="114300">
          <wp:extent cx="1060450" cy="299720"/>
          <wp:effectExtent l="0" t="0" r="6350" b="5080"/>
          <wp:docPr id="3"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cs="宋体"/>
        <w:b/>
        <w:sz w:val="28"/>
        <w:szCs w:val="28"/>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7489B">
    <w:pPr>
      <w:pStyle w:val="33"/>
      <w:pBdr>
        <w:bottom w:val="single" w:color="auto" w:sz="4" w:space="0"/>
      </w:pBdr>
      <w:jc w:val="both"/>
    </w:pPr>
    <w:r>
      <w:rPr>
        <w:rFonts w:hint="eastAsia" w:cs="宋体"/>
        <w:b/>
        <w:sz w:val="28"/>
        <w:szCs w:val="28"/>
      </w:rPr>
      <w:drawing>
        <wp:inline distT="0" distB="0" distL="114300" distR="114300">
          <wp:extent cx="1060450" cy="299720"/>
          <wp:effectExtent l="0" t="0" r="6350" b="5080"/>
          <wp:docPr id="5"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cs="宋体"/>
        <w:b/>
        <w:sz w:val="28"/>
        <w:szCs w:val="28"/>
      </w:rPr>
      <w:t xml:space="preserve">                                           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7BBC5">
    <w:pPr>
      <w:pStyle w:val="33"/>
      <w:pBdr>
        <w:bottom w:val="single" w:color="auto" w:sz="4" w:space="0"/>
      </w:pBdr>
      <w:jc w:val="both"/>
    </w:pPr>
    <w:r>
      <w:rPr>
        <w:rFonts w:hint="eastAsia" w:cs="宋体"/>
        <w:b/>
        <w:sz w:val="28"/>
        <w:szCs w:val="28"/>
      </w:rPr>
      <w:drawing>
        <wp:inline distT="0" distB="0" distL="114300" distR="114300">
          <wp:extent cx="1060450" cy="299720"/>
          <wp:effectExtent l="0" t="0" r="6350" b="5080"/>
          <wp:docPr id="7" name="图片 1"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LOGO版本一15MM"/>
                  <pic:cNvPicPr>
                    <a:picLocks noChangeAspect="1"/>
                  </pic:cNvPicPr>
                </pic:nvPicPr>
                <pic:blipFill>
                  <a:blip r:embed="rId1"/>
                  <a:stretch>
                    <a:fillRect/>
                  </a:stretch>
                </pic:blipFill>
                <pic:spPr>
                  <a:xfrm>
                    <a:off x="0" y="0"/>
                    <a:ext cx="1060450" cy="299720"/>
                  </a:xfrm>
                  <a:prstGeom prst="rect">
                    <a:avLst/>
                  </a:prstGeom>
                  <a:noFill/>
                  <a:ln>
                    <a:noFill/>
                  </a:ln>
                </pic:spPr>
              </pic:pic>
            </a:graphicData>
          </a:graphic>
        </wp:inline>
      </w:drawing>
    </w:r>
    <w:r>
      <w:rPr>
        <w:rFonts w:hint="eastAsia" w:cs="宋体"/>
        <w:b/>
        <w:sz w:val="28"/>
        <w:szCs w:val="28"/>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A74C8F"/>
    <w:multiLevelType w:val="singleLevel"/>
    <w:tmpl w:val="57A74C8F"/>
    <w:lvl w:ilvl="0" w:tentative="0">
      <w:start w:val="1"/>
      <w:numFmt w:val="chineseCounting"/>
      <w:pStyle w:val="203"/>
      <w:suff w:val="nothing"/>
      <w:lvlText w:val="%1、"/>
      <w:lvlJc w:val="left"/>
      <w:pPr>
        <w:tabs>
          <w:tab w:val="left" w:pos="0"/>
        </w:tabs>
        <w:ind w:left="0" w:firstLine="0"/>
      </w:pPr>
      <w:rPr>
        <w:rFonts w:hint="eastAsia" w:cs="Times New Roman"/>
      </w:rPr>
    </w:lvl>
  </w:abstractNum>
  <w:abstractNum w:abstractNumId="1">
    <w:nsid w:val="68CF0272"/>
    <w:multiLevelType w:val="singleLevel"/>
    <w:tmpl w:val="68CF0272"/>
    <w:lvl w:ilvl="0" w:tentative="0">
      <w:start w:val="5"/>
      <w:numFmt w:val="chineseCounting"/>
      <w:suff w:val="nothing"/>
      <w:lvlText w:val="%1、"/>
      <w:lvlJc w:val="left"/>
      <w:rPr>
        <w:rFonts w:hint="eastAsia"/>
      </w:rPr>
    </w:lvl>
  </w:abstractNum>
  <w:abstractNum w:abstractNumId="2">
    <w:nsid w:val="740A61AC"/>
    <w:multiLevelType w:val="multilevel"/>
    <w:tmpl w:val="740A61AC"/>
    <w:lvl w:ilvl="0" w:tentative="0">
      <w:start w:val="1"/>
      <w:numFmt w:val="decimalZero"/>
      <w:pStyle w:val="200"/>
      <w:lvlText w:val="【第%1条】"/>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210"/>
  <w:drawingGridVerticalSpacing w:val="145"/>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3YTYyZjJiMmVmY2Y4NWQ5YzQwMzUxMzA4ZWY5NDYifQ=="/>
  </w:docVars>
  <w:rsids>
    <w:rsidRoot w:val="00D719E6"/>
    <w:rsid w:val="00002915"/>
    <w:rsid w:val="00006ACD"/>
    <w:rsid w:val="00007CA2"/>
    <w:rsid w:val="00012DFF"/>
    <w:rsid w:val="00031597"/>
    <w:rsid w:val="00041187"/>
    <w:rsid w:val="00045955"/>
    <w:rsid w:val="00045D27"/>
    <w:rsid w:val="00050224"/>
    <w:rsid w:val="00053DE2"/>
    <w:rsid w:val="00057DCB"/>
    <w:rsid w:val="000608D9"/>
    <w:rsid w:val="00061B1B"/>
    <w:rsid w:val="00066FE0"/>
    <w:rsid w:val="00067550"/>
    <w:rsid w:val="0007014E"/>
    <w:rsid w:val="00074072"/>
    <w:rsid w:val="00077396"/>
    <w:rsid w:val="00077D6D"/>
    <w:rsid w:val="00077FE7"/>
    <w:rsid w:val="00090FCE"/>
    <w:rsid w:val="000A0674"/>
    <w:rsid w:val="000A69C1"/>
    <w:rsid w:val="000A7571"/>
    <w:rsid w:val="000B2FA6"/>
    <w:rsid w:val="000B5713"/>
    <w:rsid w:val="000C3222"/>
    <w:rsid w:val="000C4FCF"/>
    <w:rsid w:val="000C7437"/>
    <w:rsid w:val="000D6127"/>
    <w:rsid w:val="000E41BB"/>
    <w:rsid w:val="000E6723"/>
    <w:rsid w:val="0010334D"/>
    <w:rsid w:val="001055FB"/>
    <w:rsid w:val="00105E58"/>
    <w:rsid w:val="00106A10"/>
    <w:rsid w:val="0011197E"/>
    <w:rsid w:val="00122092"/>
    <w:rsid w:val="00122D89"/>
    <w:rsid w:val="001239E7"/>
    <w:rsid w:val="00137A0D"/>
    <w:rsid w:val="001465F3"/>
    <w:rsid w:val="00150B2A"/>
    <w:rsid w:val="00152C87"/>
    <w:rsid w:val="00153769"/>
    <w:rsid w:val="00154438"/>
    <w:rsid w:val="00154923"/>
    <w:rsid w:val="00163CA2"/>
    <w:rsid w:val="001647EC"/>
    <w:rsid w:val="0016520A"/>
    <w:rsid w:val="00166796"/>
    <w:rsid w:val="001673C4"/>
    <w:rsid w:val="00186587"/>
    <w:rsid w:val="001901BF"/>
    <w:rsid w:val="00191244"/>
    <w:rsid w:val="00193ABA"/>
    <w:rsid w:val="00194FEA"/>
    <w:rsid w:val="00196574"/>
    <w:rsid w:val="00197604"/>
    <w:rsid w:val="001A0516"/>
    <w:rsid w:val="001A21D1"/>
    <w:rsid w:val="001B18BF"/>
    <w:rsid w:val="001C1071"/>
    <w:rsid w:val="001C467B"/>
    <w:rsid w:val="001C4862"/>
    <w:rsid w:val="001C63D3"/>
    <w:rsid w:val="001C6EA2"/>
    <w:rsid w:val="001C7A19"/>
    <w:rsid w:val="001C7BB8"/>
    <w:rsid w:val="001D03C6"/>
    <w:rsid w:val="001D0883"/>
    <w:rsid w:val="001D0E3D"/>
    <w:rsid w:val="001D160F"/>
    <w:rsid w:val="001D1799"/>
    <w:rsid w:val="001E2032"/>
    <w:rsid w:val="001E381F"/>
    <w:rsid w:val="001E47A6"/>
    <w:rsid w:val="001E560B"/>
    <w:rsid w:val="001E60CF"/>
    <w:rsid w:val="001F3A94"/>
    <w:rsid w:val="001F441F"/>
    <w:rsid w:val="001F5ECF"/>
    <w:rsid w:val="00205824"/>
    <w:rsid w:val="00212513"/>
    <w:rsid w:val="00212C0B"/>
    <w:rsid w:val="002220F8"/>
    <w:rsid w:val="002223A0"/>
    <w:rsid w:val="002267AA"/>
    <w:rsid w:val="00230C3A"/>
    <w:rsid w:val="00233AED"/>
    <w:rsid w:val="00241995"/>
    <w:rsid w:val="00242293"/>
    <w:rsid w:val="00243EA5"/>
    <w:rsid w:val="00246128"/>
    <w:rsid w:val="00250831"/>
    <w:rsid w:val="0025509C"/>
    <w:rsid w:val="00260BC0"/>
    <w:rsid w:val="00261134"/>
    <w:rsid w:val="002612D9"/>
    <w:rsid w:val="00266980"/>
    <w:rsid w:val="00267BAC"/>
    <w:rsid w:val="00272740"/>
    <w:rsid w:val="00273A41"/>
    <w:rsid w:val="00273D82"/>
    <w:rsid w:val="002743E6"/>
    <w:rsid w:val="00287589"/>
    <w:rsid w:val="00291CF7"/>
    <w:rsid w:val="00293EB8"/>
    <w:rsid w:val="00293FD0"/>
    <w:rsid w:val="002A0831"/>
    <w:rsid w:val="002A208B"/>
    <w:rsid w:val="002A49C9"/>
    <w:rsid w:val="002A4B11"/>
    <w:rsid w:val="002A521B"/>
    <w:rsid w:val="002B2CB5"/>
    <w:rsid w:val="002B3E59"/>
    <w:rsid w:val="002B6FBD"/>
    <w:rsid w:val="002B74A2"/>
    <w:rsid w:val="002C0541"/>
    <w:rsid w:val="002C7EA4"/>
    <w:rsid w:val="002E5815"/>
    <w:rsid w:val="002E604F"/>
    <w:rsid w:val="002F13E0"/>
    <w:rsid w:val="002F6358"/>
    <w:rsid w:val="00300554"/>
    <w:rsid w:val="003057E3"/>
    <w:rsid w:val="00305879"/>
    <w:rsid w:val="00306664"/>
    <w:rsid w:val="00307061"/>
    <w:rsid w:val="00311F9C"/>
    <w:rsid w:val="00316D25"/>
    <w:rsid w:val="00335B18"/>
    <w:rsid w:val="00335FB8"/>
    <w:rsid w:val="00341336"/>
    <w:rsid w:val="00346A99"/>
    <w:rsid w:val="0035329F"/>
    <w:rsid w:val="003551AA"/>
    <w:rsid w:val="00356711"/>
    <w:rsid w:val="00356CB4"/>
    <w:rsid w:val="003643FC"/>
    <w:rsid w:val="00374EA0"/>
    <w:rsid w:val="0038207F"/>
    <w:rsid w:val="00387B82"/>
    <w:rsid w:val="00391E6D"/>
    <w:rsid w:val="00395E54"/>
    <w:rsid w:val="00397715"/>
    <w:rsid w:val="003A002D"/>
    <w:rsid w:val="003A5AB8"/>
    <w:rsid w:val="003A7CFD"/>
    <w:rsid w:val="003B0995"/>
    <w:rsid w:val="003C4EE8"/>
    <w:rsid w:val="003D27C0"/>
    <w:rsid w:val="003D401D"/>
    <w:rsid w:val="003D6C60"/>
    <w:rsid w:val="003E3EE1"/>
    <w:rsid w:val="003F14D6"/>
    <w:rsid w:val="003F20B3"/>
    <w:rsid w:val="003F6E4E"/>
    <w:rsid w:val="004022A0"/>
    <w:rsid w:val="00412574"/>
    <w:rsid w:val="00414845"/>
    <w:rsid w:val="00425D45"/>
    <w:rsid w:val="004278E6"/>
    <w:rsid w:val="00434BE0"/>
    <w:rsid w:val="00441919"/>
    <w:rsid w:val="004557BB"/>
    <w:rsid w:val="00455D3A"/>
    <w:rsid w:val="004562C7"/>
    <w:rsid w:val="00466D8C"/>
    <w:rsid w:val="00470E58"/>
    <w:rsid w:val="00482256"/>
    <w:rsid w:val="00495264"/>
    <w:rsid w:val="004A2C02"/>
    <w:rsid w:val="004B2A54"/>
    <w:rsid w:val="004B57CF"/>
    <w:rsid w:val="004B6A71"/>
    <w:rsid w:val="004C56EE"/>
    <w:rsid w:val="004D6E7D"/>
    <w:rsid w:val="004D7775"/>
    <w:rsid w:val="004E08AF"/>
    <w:rsid w:val="004F4146"/>
    <w:rsid w:val="004F7823"/>
    <w:rsid w:val="004F7F7E"/>
    <w:rsid w:val="00500138"/>
    <w:rsid w:val="0050345D"/>
    <w:rsid w:val="0051065F"/>
    <w:rsid w:val="00511A29"/>
    <w:rsid w:val="00512014"/>
    <w:rsid w:val="0052024F"/>
    <w:rsid w:val="00523EB0"/>
    <w:rsid w:val="005311B0"/>
    <w:rsid w:val="00541977"/>
    <w:rsid w:val="005424B1"/>
    <w:rsid w:val="0054415B"/>
    <w:rsid w:val="005450AC"/>
    <w:rsid w:val="005452B2"/>
    <w:rsid w:val="005475DF"/>
    <w:rsid w:val="005524EA"/>
    <w:rsid w:val="005552A0"/>
    <w:rsid w:val="005577C6"/>
    <w:rsid w:val="0056281B"/>
    <w:rsid w:val="00563F8F"/>
    <w:rsid w:val="0056483F"/>
    <w:rsid w:val="005674F7"/>
    <w:rsid w:val="0057305B"/>
    <w:rsid w:val="00580206"/>
    <w:rsid w:val="005816D1"/>
    <w:rsid w:val="0058607F"/>
    <w:rsid w:val="00587584"/>
    <w:rsid w:val="00587FCA"/>
    <w:rsid w:val="00594357"/>
    <w:rsid w:val="00594ED5"/>
    <w:rsid w:val="0059540B"/>
    <w:rsid w:val="005A3484"/>
    <w:rsid w:val="005A5FCD"/>
    <w:rsid w:val="005B0F75"/>
    <w:rsid w:val="005B2FA5"/>
    <w:rsid w:val="005B3A33"/>
    <w:rsid w:val="005B414A"/>
    <w:rsid w:val="005C1974"/>
    <w:rsid w:val="005C7DA9"/>
    <w:rsid w:val="005D08C9"/>
    <w:rsid w:val="005D5361"/>
    <w:rsid w:val="005D563A"/>
    <w:rsid w:val="005D5EC3"/>
    <w:rsid w:val="005D60C2"/>
    <w:rsid w:val="005D7E12"/>
    <w:rsid w:val="005E06B3"/>
    <w:rsid w:val="005E0E1F"/>
    <w:rsid w:val="005E6549"/>
    <w:rsid w:val="005E75C5"/>
    <w:rsid w:val="005F220E"/>
    <w:rsid w:val="005F3A10"/>
    <w:rsid w:val="005F3DFD"/>
    <w:rsid w:val="005F46CC"/>
    <w:rsid w:val="005F4E58"/>
    <w:rsid w:val="005F5325"/>
    <w:rsid w:val="005F7E0E"/>
    <w:rsid w:val="00601E80"/>
    <w:rsid w:val="0060217E"/>
    <w:rsid w:val="00602FD8"/>
    <w:rsid w:val="006069DC"/>
    <w:rsid w:val="0061323F"/>
    <w:rsid w:val="006222AE"/>
    <w:rsid w:val="00622D45"/>
    <w:rsid w:val="00624D7E"/>
    <w:rsid w:val="00625B70"/>
    <w:rsid w:val="00626A30"/>
    <w:rsid w:val="00626F6E"/>
    <w:rsid w:val="006426C8"/>
    <w:rsid w:val="00644294"/>
    <w:rsid w:val="00652CDF"/>
    <w:rsid w:val="006549B0"/>
    <w:rsid w:val="006549E8"/>
    <w:rsid w:val="00655D6E"/>
    <w:rsid w:val="00667CA2"/>
    <w:rsid w:val="0067002A"/>
    <w:rsid w:val="00673D0C"/>
    <w:rsid w:val="00675701"/>
    <w:rsid w:val="006802B4"/>
    <w:rsid w:val="006811C7"/>
    <w:rsid w:val="006813EC"/>
    <w:rsid w:val="006875CE"/>
    <w:rsid w:val="00690E22"/>
    <w:rsid w:val="006A0B17"/>
    <w:rsid w:val="006A22A2"/>
    <w:rsid w:val="006A573F"/>
    <w:rsid w:val="006C071F"/>
    <w:rsid w:val="006D22C6"/>
    <w:rsid w:val="006D3083"/>
    <w:rsid w:val="006D435C"/>
    <w:rsid w:val="006D633F"/>
    <w:rsid w:val="006F2BEE"/>
    <w:rsid w:val="006F2FD4"/>
    <w:rsid w:val="00702C85"/>
    <w:rsid w:val="007046B3"/>
    <w:rsid w:val="00715CD8"/>
    <w:rsid w:val="00721EEB"/>
    <w:rsid w:val="00722F85"/>
    <w:rsid w:val="007247C1"/>
    <w:rsid w:val="00730294"/>
    <w:rsid w:val="007363F7"/>
    <w:rsid w:val="007405FA"/>
    <w:rsid w:val="00742272"/>
    <w:rsid w:val="00746743"/>
    <w:rsid w:val="00746DB6"/>
    <w:rsid w:val="00750202"/>
    <w:rsid w:val="00753150"/>
    <w:rsid w:val="00754794"/>
    <w:rsid w:val="00760FF8"/>
    <w:rsid w:val="00762C5B"/>
    <w:rsid w:val="0076399A"/>
    <w:rsid w:val="00772749"/>
    <w:rsid w:val="00785E81"/>
    <w:rsid w:val="00787007"/>
    <w:rsid w:val="007920DF"/>
    <w:rsid w:val="00793FB6"/>
    <w:rsid w:val="007A09BC"/>
    <w:rsid w:val="007B3F9B"/>
    <w:rsid w:val="007C07FC"/>
    <w:rsid w:val="007C2D5A"/>
    <w:rsid w:val="007C2F7C"/>
    <w:rsid w:val="007C345E"/>
    <w:rsid w:val="007C4DD9"/>
    <w:rsid w:val="007E5D2E"/>
    <w:rsid w:val="007E6298"/>
    <w:rsid w:val="007E765D"/>
    <w:rsid w:val="007F56ED"/>
    <w:rsid w:val="008045FB"/>
    <w:rsid w:val="00813DC2"/>
    <w:rsid w:val="0082170A"/>
    <w:rsid w:val="00822A75"/>
    <w:rsid w:val="00827B94"/>
    <w:rsid w:val="00831450"/>
    <w:rsid w:val="00833536"/>
    <w:rsid w:val="00833E78"/>
    <w:rsid w:val="00837F7E"/>
    <w:rsid w:val="008436A7"/>
    <w:rsid w:val="00846B28"/>
    <w:rsid w:val="00851468"/>
    <w:rsid w:val="008628A4"/>
    <w:rsid w:val="008639EC"/>
    <w:rsid w:val="00864EEA"/>
    <w:rsid w:val="008651D7"/>
    <w:rsid w:val="00866258"/>
    <w:rsid w:val="00866FAD"/>
    <w:rsid w:val="00894A6F"/>
    <w:rsid w:val="008B27D3"/>
    <w:rsid w:val="008C07BC"/>
    <w:rsid w:val="008C0F26"/>
    <w:rsid w:val="008D1FDE"/>
    <w:rsid w:val="008E266B"/>
    <w:rsid w:val="008E73FB"/>
    <w:rsid w:val="008F2B30"/>
    <w:rsid w:val="008F3064"/>
    <w:rsid w:val="008F325C"/>
    <w:rsid w:val="009045CC"/>
    <w:rsid w:val="00904CAE"/>
    <w:rsid w:val="00917848"/>
    <w:rsid w:val="009306B1"/>
    <w:rsid w:val="009319FE"/>
    <w:rsid w:val="00935922"/>
    <w:rsid w:val="009421C2"/>
    <w:rsid w:val="00942F73"/>
    <w:rsid w:val="00947ABC"/>
    <w:rsid w:val="009520CE"/>
    <w:rsid w:val="009570FD"/>
    <w:rsid w:val="009615AD"/>
    <w:rsid w:val="00967443"/>
    <w:rsid w:val="009679AF"/>
    <w:rsid w:val="009760D3"/>
    <w:rsid w:val="00984D25"/>
    <w:rsid w:val="0099049F"/>
    <w:rsid w:val="00990743"/>
    <w:rsid w:val="00996D0D"/>
    <w:rsid w:val="009A1E37"/>
    <w:rsid w:val="009A403C"/>
    <w:rsid w:val="009B1EAD"/>
    <w:rsid w:val="009B4B3C"/>
    <w:rsid w:val="009C63F4"/>
    <w:rsid w:val="009C761D"/>
    <w:rsid w:val="009D7823"/>
    <w:rsid w:val="009E308F"/>
    <w:rsid w:val="009E471A"/>
    <w:rsid w:val="009E50AD"/>
    <w:rsid w:val="009F4C02"/>
    <w:rsid w:val="009F63D4"/>
    <w:rsid w:val="009F7249"/>
    <w:rsid w:val="00A06BCC"/>
    <w:rsid w:val="00A10748"/>
    <w:rsid w:val="00A17427"/>
    <w:rsid w:val="00A227D0"/>
    <w:rsid w:val="00A30197"/>
    <w:rsid w:val="00A3282D"/>
    <w:rsid w:val="00A34EC2"/>
    <w:rsid w:val="00A35C38"/>
    <w:rsid w:val="00A44C23"/>
    <w:rsid w:val="00A475B3"/>
    <w:rsid w:val="00A50DCF"/>
    <w:rsid w:val="00A52066"/>
    <w:rsid w:val="00A60EB0"/>
    <w:rsid w:val="00A72CE7"/>
    <w:rsid w:val="00A826CF"/>
    <w:rsid w:val="00A86807"/>
    <w:rsid w:val="00A87ED1"/>
    <w:rsid w:val="00A90183"/>
    <w:rsid w:val="00AA15CF"/>
    <w:rsid w:val="00AB10BD"/>
    <w:rsid w:val="00AB400A"/>
    <w:rsid w:val="00AB748C"/>
    <w:rsid w:val="00AC57BE"/>
    <w:rsid w:val="00AD08FE"/>
    <w:rsid w:val="00AD6C8A"/>
    <w:rsid w:val="00AE380C"/>
    <w:rsid w:val="00AE3987"/>
    <w:rsid w:val="00AF55E9"/>
    <w:rsid w:val="00AF7031"/>
    <w:rsid w:val="00B07E6E"/>
    <w:rsid w:val="00B13074"/>
    <w:rsid w:val="00B20AAC"/>
    <w:rsid w:val="00B22A1B"/>
    <w:rsid w:val="00B3162A"/>
    <w:rsid w:val="00B42B60"/>
    <w:rsid w:val="00B44B84"/>
    <w:rsid w:val="00B4762A"/>
    <w:rsid w:val="00B47C2F"/>
    <w:rsid w:val="00B510E9"/>
    <w:rsid w:val="00B54A6A"/>
    <w:rsid w:val="00B6058D"/>
    <w:rsid w:val="00B748C7"/>
    <w:rsid w:val="00B77E57"/>
    <w:rsid w:val="00B84DCF"/>
    <w:rsid w:val="00B86CCF"/>
    <w:rsid w:val="00B90055"/>
    <w:rsid w:val="00B91EBC"/>
    <w:rsid w:val="00B96C09"/>
    <w:rsid w:val="00B971CD"/>
    <w:rsid w:val="00BA16D9"/>
    <w:rsid w:val="00BA2A7C"/>
    <w:rsid w:val="00BB07D7"/>
    <w:rsid w:val="00BC37CE"/>
    <w:rsid w:val="00BC465A"/>
    <w:rsid w:val="00BD02D0"/>
    <w:rsid w:val="00BD12A0"/>
    <w:rsid w:val="00BD2A74"/>
    <w:rsid w:val="00BD3565"/>
    <w:rsid w:val="00BE66F8"/>
    <w:rsid w:val="00BE7D9F"/>
    <w:rsid w:val="00BF73AF"/>
    <w:rsid w:val="00BF76BE"/>
    <w:rsid w:val="00C05DBF"/>
    <w:rsid w:val="00C0623C"/>
    <w:rsid w:val="00C063BF"/>
    <w:rsid w:val="00C14063"/>
    <w:rsid w:val="00C17950"/>
    <w:rsid w:val="00C22D95"/>
    <w:rsid w:val="00C24FC2"/>
    <w:rsid w:val="00C2533B"/>
    <w:rsid w:val="00C36823"/>
    <w:rsid w:val="00C372ED"/>
    <w:rsid w:val="00C42863"/>
    <w:rsid w:val="00C433E2"/>
    <w:rsid w:val="00C47578"/>
    <w:rsid w:val="00C56670"/>
    <w:rsid w:val="00C635B6"/>
    <w:rsid w:val="00C73A91"/>
    <w:rsid w:val="00C765D9"/>
    <w:rsid w:val="00C824D7"/>
    <w:rsid w:val="00C86520"/>
    <w:rsid w:val="00C95A26"/>
    <w:rsid w:val="00C96ABB"/>
    <w:rsid w:val="00C97455"/>
    <w:rsid w:val="00CA2289"/>
    <w:rsid w:val="00CB6395"/>
    <w:rsid w:val="00CB768C"/>
    <w:rsid w:val="00CC1A2E"/>
    <w:rsid w:val="00CC5C7F"/>
    <w:rsid w:val="00CC64C2"/>
    <w:rsid w:val="00CC6B71"/>
    <w:rsid w:val="00CD5706"/>
    <w:rsid w:val="00CE38D8"/>
    <w:rsid w:val="00CE4F62"/>
    <w:rsid w:val="00CE5A5E"/>
    <w:rsid w:val="00D005D0"/>
    <w:rsid w:val="00D01E0C"/>
    <w:rsid w:val="00D04F8A"/>
    <w:rsid w:val="00D054A1"/>
    <w:rsid w:val="00D13AFF"/>
    <w:rsid w:val="00D200B8"/>
    <w:rsid w:val="00D22A0E"/>
    <w:rsid w:val="00D22EA3"/>
    <w:rsid w:val="00D2616C"/>
    <w:rsid w:val="00D344C0"/>
    <w:rsid w:val="00D34EF8"/>
    <w:rsid w:val="00D35CFE"/>
    <w:rsid w:val="00D37B50"/>
    <w:rsid w:val="00D400DB"/>
    <w:rsid w:val="00D44770"/>
    <w:rsid w:val="00D47292"/>
    <w:rsid w:val="00D52065"/>
    <w:rsid w:val="00D565E2"/>
    <w:rsid w:val="00D60D37"/>
    <w:rsid w:val="00D61E89"/>
    <w:rsid w:val="00D6400E"/>
    <w:rsid w:val="00D719E6"/>
    <w:rsid w:val="00D748E5"/>
    <w:rsid w:val="00D755F3"/>
    <w:rsid w:val="00D76F66"/>
    <w:rsid w:val="00D8031C"/>
    <w:rsid w:val="00D82777"/>
    <w:rsid w:val="00D83B08"/>
    <w:rsid w:val="00D84F7E"/>
    <w:rsid w:val="00D869EB"/>
    <w:rsid w:val="00D92264"/>
    <w:rsid w:val="00D93782"/>
    <w:rsid w:val="00DA0CC9"/>
    <w:rsid w:val="00DA4520"/>
    <w:rsid w:val="00DA4958"/>
    <w:rsid w:val="00DB3A7E"/>
    <w:rsid w:val="00DB5AA5"/>
    <w:rsid w:val="00DC67AA"/>
    <w:rsid w:val="00DC7616"/>
    <w:rsid w:val="00DD029C"/>
    <w:rsid w:val="00DD2E1E"/>
    <w:rsid w:val="00DD41F4"/>
    <w:rsid w:val="00DD70A0"/>
    <w:rsid w:val="00DE11AA"/>
    <w:rsid w:val="00DE3DBB"/>
    <w:rsid w:val="00DE44C1"/>
    <w:rsid w:val="00DE7B96"/>
    <w:rsid w:val="00DF4A23"/>
    <w:rsid w:val="00E1087E"/>
    <w:rsid w:val="00E16FE4"/>
    <w:rsid w:val="00E20300"/>
    <w:rsid w:val="00E2353E"/>
    <w:rsid w:val="00E24CA4"/>
    <w:rsid w:val="00E261F9"/>
    <w:rsid w:val="00E26636"/>
    <w:rsid w:val="00E441B9"/>
    <w:rsid w:val="00E45D5B"/>
    <w:rsid w:val="00E4726D"/>
    <w:rsid w:val="00E50057"/>
    <w:rsid w:val="00E505D6"/>
    <w:rsid w:val="00E6017C"/>
    <w:rsid w:val="00E6166B"/>
    <w:rsid w:val="00E6244F"/>
    <w:rsid w:val="00E666FA"/>
    <w:rsid w:val="00E71E23"/>
    <w:rsid w:val="00E90C71"/>
    <w:rsid w:val="00E9209B"/>
    <w:rsid w:val="00E93054"/>
    <w:rsid w:val="00E9397C"/>
    <w:rsid w:val="00EA29BB"/>
    <w:rsid w:val="00EA4C75"/>
    <w:rsid w:val="00EC781C"/>
    <w:rsid w:val="00ED3BF2"/>
    <w:rsid w:val="00ED619A"/>
    <w:rsid w:val="00ED64C0"/>
    <w:rsid w:val="00ED7E16"/>
    <w:rsid w:val="00EE02FA"/>
    <w:rsid w:val="00EE39F5"/>
    <w:rsid w:val="00EF21BC"/>
    <w:rsid w:val="00EF42CB"/>
    <w:rsid w:val="00F009A2"/>
    <w:rsid w:val="00F0347F"/>
    <w:rsid w:val="00F07B4A"/>
    <w:rsid w:val="00F17AB2"/>
    <w:rsid w:val="00F24878"/>
    <w:rsid w:val="00F248DA"/>
    <w:rsid w:val="00F2503C"/>
    <w:rsid w:val="00F256FE"/>
    <w:rsid w:val="00F318EA"/>
    <w:rsid w:val="00F328D3"/>
    <w:rsid w:val="00F35455"/>
    <w:rsid w:val="00F45377"/>
    <w:rsid w:val="00F45791"/>
    <w:rsid w:val="00F458E0"/>
    <w:rsid w:val="00F468A3"/>
    <w:rsid w:val="00F4763E"/>
    <w:rsid w:val="00F55ED3"/>
    <w:rsid w:val="00F56D30"/>
    <w:rsid w:val="00F6363C"/>
    <w:rsid w:val="00F7186E"/>
    <w:rsid w:val="00F71F31"/>
    <w:rsid w:val="00F9195E"/>
    <w:rsid w:val="00F9541B"/>
    <w:rsid w:val="00F95734"/>
    <w:rsid w:val="00FA1FE0"/>
    <w:rsid w:val="00FA6F0B"/>
    <w:rsid w:val="00FA7378"/>
    <w:rsid w:val="00FB6271"/>
    <w:rsid w:val="00FE1478"/>
    <w:rsid w:val="00FF33E3"/>
    <w:rsid w:val="00FF5AD2"/>
    <w:rsid w:val="01423520"/>
    <w:rsid w:val="01AD5116"/>
    <w:rsid w:val="01BD4B8F"/>
    <w:rsid w:val="02070CCA"/>
    <w:rsid w:val="02214874"/>
    <w:rsid w:val="024644F3"/>
    <w:rsid w:val="025739FF"/>
    <w:rsid w:val="02621DB3"/>
    <w:rsid w:val="027B5EE0"/>
    <w:rsid w:val="0282260D"/>
    <w:rsid w:val="02B50726"/>
    <w:rsid w:val="02E73944"/>
    <w:rsid w:val="03072EA4"/>
    <w:rsid w:val="032C5808"/>
    <w:rsid w:val="033930D8"/>
    <w:rsid w:val="03773C2D"/>
    <w:rsid w:val="038B0831"/>
    <w:rsid w:val="039C33DE"/>
    <w:rsid w:val="03B5196C"/>
    <w:rsid w:val="03BD578F"/>
    <w:rsid w:val="03DB41BC"/>
    <w:rsid w:val="0410030A"/>
    <w:rsid w:val="04142EB6"/>
    <w:rsid w:val="042E253E"/>
    <w:rsid w:val="04387EA8"/>
    <w:rsid w:val="0447449E"/>
    <w:rsid w:val="04536E7A"/>
    <w:rsid w:val="045B2258"/>
    <w:rsid w:val="047918CE"/>
    <w:rsid w:val="04F54EB9"/>
    <w:rsid w:val="05207B86"/>
    <w:rsid w:val="053B04D5"/>
    <w:rsid w:val="053E604E"/>
    <w:rsid w:val="05442454"/>
    <w:rsid w:val="0554132D"/>
    <w:rsid w:val="05711AC4"/>
    <w:rsid w:val="057B074E"/>
    <w:rsid w:val="057C54D3"/>
    <w:rsid w:val="05A21435"/>
    <w:rsid w:val="05B02456"/>
    <w:rsid w:val="05BB4BC3"/>
    <w:rsid w:val="05D21624"/>
    <w:rsid w:val="05D2339D"/>
    <w:rsid w:val="06033F82"/>
    <w:rsid w:val="06055520"/>
    <w:rsid w:val="06080079"/>
    <w:rsid w:val="061816F7"/>
    <w:rsid w:val="06377CD2"/>
    <w:rsid w:val="06390D6C"/>
    <w:rsid w:val="06524B17"/>
    <w:rsid w:val="065E5339"/>
    <w:rsid w:val="06A50BF6"/>
    <w:rsid w:val="06C54CB0"/>
    <w:rsid w:val="06DF2215"/>
    <w:rsid w:val="070A3A31"/>
    <w:rsid w:val="077B668D"/>
    <w:rsid w:val="077C68D3"/>
    <w:rsid w:val="07B67FEE"/>
    <w:rsid w:val="07CA002B"/>
    <w:rsid w:val="07DC3370"/>
    <w:rsid w:val="081B727D"/>
    <w:rsid w:val="08283948"/>
    <w:rsid w:val="084542FA"/>
    <w:rsid w:val="085668B9"/>
    <w:rsid w:val="089C2D9F"/>
    <w:rsid w:val="08C72F61"/>
    <w:rsid w:val="08CC4A1B"/>
    <w:rsid w:val="08E52B9D"/>
    <w:rsid w:val="090C37C7"/>
    <w:rsid w:val="090E27CB"/>
    <w:rsid w:val="094366EC"/>
    <w:rsid w:val="0978425B"/>
    <w:rsid w:val="098D4117"/>
    <w:rsid w:val="09936D78"/>
    <w:rsid w:val="09A339CE"/>
    <w:rsid w:val="09EB2C7F"/>
    <w:rsid w:val="09EE1E7C"/>
    <w:rsid w:val="09F718C2"/>
    <w:rsid w:val="0A4C4192"/>
    <w:rsid w:val="0A614627"/>
    <w:rsid w:val="0A630AA8"/>
    <w:rsid w:val="0AC41E4E"/>
    <w:rsid w:val="0B5807E8"/>
    <w:rsid w:val="0BD36BA1"/>
    <w:rsid w:val="0C176489"/>
    <w:rsid w:val="0C2B1BDF"/>
    <w:rsid w:val="0C394EB5"/>
    <w:rsid w:val="0C9A6418"/>
    <w:rsid w:val="0CA82015"/>
    <w:rsid w:val="0CE95576"/>
    <w:rsid w:val="0D0E115E"/>
    <w:rsid w:val="0D295CEC"/>
    <w:rsid w:val="0D3C65AD"/>
    <w:rsid w:val="0D4E4534"/>
    <w:rsid w:val="0D6671EC"/>
    <w:rsid w:val="0D810E0E"/>
    <w:rsid w:val="0D861A83"/>
    <w:rsid w:val="0D991370"/>
    <w:rsid w:val="0D9976EC"/>
    <w:rsid w:val="0D9A660E"/>
    <w:rsid w:val="0DB02779"/>
    <w:rsid w:val="0E0A0318"/>
    <w:rsid w:val="0E107158"/>
    <w:rsid w:val="0E883E64"/>
    <w:rsid w:val="0EB708E3"/>
    <w:rsid w:val="0EEC2730"/>
    <w:rsid w:val="0F1B4006"/>
    <w:rsid w:val="0F331350"/>
    <w:rsid w:val="0F3F40B0"/>
    <w:rsid w:val="0F4D1A20"/>
    <w:rsid w:val="0F750318"/>
    <w:rsid w:val="0F9F06F5"/>
    <w:rsid w:val="0FBA381F"/>
    <w:rsid w:val="0FE807EA"/>
    <w:rsid w:val="0FF60268"/>
    <w:rsid w:val="100474BF"/>
    <w:rsid w:val="1029351F"/>
    <w:rsid w:val="10401F77"/>
    <w:rsid w:val="10836C5C"/>
    <w:rsid w:val="10A1053B"/>
    <w:rsid w:val="10C00FFE"/>
    <w:rsid w:val="10C91E90"/>
    <w:rsid w:val="11005F19"/>
    <w:rsid w:val="112C2305"/>
    <w:rsid w:val="11410977"/>
    <w:rsid w:val="11432D0E"/>
    <w:rsid w:val="11C75D80"/>
    <w:rsid w:val="11D34725"/>
    <w:rsid w:val="11E37A2B"/>
    <w:rsid w:val="12072620"/>
    <w:rsid w:val="121F796A"/>
    <w:rsid w:val="123B6893"/>
    <w:rsid w:val="12975449"/>
    <w:rsid w:val="12EF5E79"/>
    <w:rsid w:val="131D034D"/>
    <w:rsid w:val="13366A55"/>
    <w:rsid w:val="13463279"/>
    <w:rsid w:val="137D5290"/>
    <w:rsid w:val="139A488C"/>
    <w:rsid w:val="13F57F6C"/>
    <w:rsid w:val="14086A03"/>
    <w:rsid w:val="140E6E4A"/>
    <w:rsid w:val="14D55810"/>
    <w:rsid w:val="14F41582"/>
    <w:rsid w:val="151B6A54"/>
    <w:rsid w:val="15461D49"/>
    <w:rsid w:val="15612B32"/>
    <w:rsid w:val="1585468F"/>
    <w:rsid w:val="15AC59B8"/>
    <w:rsid w:val="15BF5ABC"/>
    <w:rsid w:val="15CC7E13"/>
    <w:rsid w:val="16161084"/>
    <w:rsid w:val="163836F0"/>
    <w:rsid w:val="1660066C"/>
    <w:rsid w:val="166363FD"/>
    <w:rsid w:val="16816DC1"/>
    <w:rsid w:val="16D0150A"/>
    <w:rsid w:val="17141A67"/>
    <w:rsid w:val="172F064F"/>
    <w:rsid w:val="173D11DE"/>
    <w:rsid w:val="177A622E"/>
    <w:rsid w:val="177F60AE"/>
    <w:rsid w:val="17B31280"/>
    <w:rsid w:val="17DA6EDC"/>
    <w:rsid w:val="186676C0"/>
    <w:rsid w:val="187D53EA"/>
    <w:rsid w:val="189F2F32"/>
    <w:rsid w:val="18A230A3"/>
    <w:rsid w:val="18D05AF0"/>
    <w:rsid w:val="18DA6CE0"/>
    <w:rsid w:val="18ED431E"/>
    <w:rsid w:val="19252C8E"/>
    <w:rsid w:val="19426B2A"/>
    <w:rsid w:val="19636CD6"/>
    <w:rsid w:val="198820DE"/>
    <w:rsid w:val="19E33778"/>
    <w:rsid w:val="19E61F2D"/>
    <w:rsid w:val="19E6529B"/>
    <w:rsid w:val="1A0B6EA0"/>
    <w:rsid w:val="1A556088"/>
    <w:rsid w:val="1A8C6350"/>
    <w:rsid w:val="1ACF18FF"/>
    <w:rsid w:val="1AF35E37"/>
    <w:rsid w:val="1B397052"/>
    <w:rsid w:val="1B474A7D"/>
    <w:rsid w:val="1B5E5BC2"/>
    <w:rsid w:val="1B982519"/>
    <w:rsid w:val="1BC0247D"/>
    <w:rsid w:val="1C092933"/>
    <w:rsid w:val="1C2420E9"/>
    <w:rsid w:val="1C314E69"/>
    <w:rsid w:val="1C366F3C"/>
    <w:rsid w:val="1C3A3DE5"/>
    <w:rsid w:val="1C7E0BD3"/>
    <w:rsid w:val="1C8C3EDE"/>
    <w:rsid w:val="1CD001DE"/>
    <w:rsid w:val="1CDF70FE"/>
    <w:rsid w:val="1CE2194A"/>
    <w:rsid w:val="1CF80B3B"/>
    <w:rsid w:val="1D32474D"/>
    <w:rsid w:val="1D41732E"/>
    <w:rsid w:val="1D645145"/>
    <w:rsid w:val="1DC01C3F"/>
    <w:rsid w:val="1E20131E"/>
    <w:rsid w:val="1E3B5B2B"/>
    <w:rsid w:val="1E3F3B3A"/>
    <w:rsid w:val="1E4621B3"/>
    <w:rsid w:val="1E540B6E"/>
    <w:rsid w:val="1E597827"/>
    <w:rsid w:val="1ECF44C6"/>
    <w:rsid w:val="1ED27EF1"/>
    <w:rsid w:val="1EF65EF6"/>
    <w:rsid w:val="1F02489B"/>
    <w:rsid w:val="1F3F5AEF"/>
    <w:rsid w:val="1F5D0F05"/>
    <w:rsid w:val="1F63358C"/>
    <w:rsid w:val="1F7C4A72"/>
    <w:rsid w:val="1F863C7E"/>
    <w:rsid w:val="1F9B2092"/>
    <w:rsid w:val="1FD06747"/>
    <w:rsid w:val="20002179"/>
    <w:rsid w:val="200D4EB0"/>
    <w:rsid w:val="2020322B"/>
    <w:rsid w:val="202B2BDC"/>
    <w:rsid w:val="203B0065"/>
    <w:rsid w:val="20452C91"/>
    <w:rsid w:val="205B4263"/>
    <w:rsid w:val="2091237A"/>
    <w:rsid w:val="209E6CC6"/>
    <w:rsid w:val="20A0611A"/>
    <w:rsid w:val="20A747F2"/>
    <w:rsid w:val="20B05E5E"/>
    <w:rsid w:val="20BC45CE"/>
    <w:rsid w:val="20C56C03"/>
    <w:rsid w:val="20EA3839"/>
    <w:rsid w:val="217557F8"/>
    <w:rsid w:val="21C35692"/>
    <w:rsid w:val="21CB4C2F"/>
    <w:rsid w:val="21E21C06"/>
    <w:rsid w:val="21FA4499"/>
    <w:rsid w:val="221A1EFC"/>
    <w:rsid w:val="223C1E72"/>
    <w:rsid w:val="22C95DFC"/>
    <w:rsid w:val="233174FD"/>
    <w:rsid w:val="234E00AF"/>
    <w:rsid w:val="23612762"/>
    <w:rsid w:val="2378337E"/>
    <w:rsid w:val="23894582"/>
    <w:rsid w:val="238A6F7F"/>
    <w:rsid w:val="23A14683"/>
    <w:rsid w:val="23BC1FB4"/>
    <w:rsid w:val="23C81C42"/>
    <w:rsid w:val="23CF042C"/>
    <w:rsid w:val="23D25AD3"/>
    <w:rsid w:val="24181233"/>
    <w:rsid w:val="241F0FA0"/>
    <w:rsid w:val="243472A5"/>
    <w:rsid w:val="245F1650"/>
    <w:rsid w:val="246102B6"/>
    <w:rsid w:val="2473547F"/>
    <w:rsid w:val="2481526D"/>
    <w:rsid w:val="24A012E5"/>
    <w:rsid w:val="24B108F5"/>
    <w:rsid w:val="24D30BB9"/>
    <w:rsid w:val="24D60223"/>
    <w:rsid w:val="252D6869"/>
    <w:rsid w:val="25396B3D"/>
    <w:rsid w:val="255A1523"/>
    <w:rsid w:val="257F6C45"/>
    <w:rsid w:val="25B14925"/>
    <w:rsid w:val="25C1725E"/>
    <w:rsid w:val="263B5621"/>
    <w:rsid w:val="267A6BDE"/>
    <w:rsid w:val="26881050"/>
    <w:rsid w:val="268D694A"/>
    <w:rsid w:val="26F61189"/>
    <w:rsid w:val="26F70A5D"/>
    <w:rsid w:val="2733604D"/>
    <w:rsid w:val="2757414F"/>
    <w:rsid w:val="27840B15"/>
    <w:rsid w:val="27946600"/>
    <w:rsid w:val="27962024"/>
    <w:rsid w:val="27A44031"/>
    <w:rsid w:val="27CA7EAE"/>
    <w:rsid w:val="27E71DB6"/>
    <w:rsid w:val="27EC7E96"/>
    <w:rsid w:val="280648C0"/>
    <w:rsid w:val="28247630"/>
    <w:rsid w:val="284F4B62"/>
    <w:rsid w:val="287B7202"/>
    <w:rsid w:val="28BD6B02"/>
    <w:rsid w:val="290A5BF0"/>
    <w:rsid w:val="29161B72"/>
    <w:rsid w:val="29581C87"/>
    <w:rsid w:val="29BA343D"/>
    <w:rsid w:val="29BA3665"/>
    <w:rsid w:val="29DB1DB9"/>
    <w:rsid w:val="2A210B79"/>
    <w:rsid w:val="2A677CA8"/>
    <w:rsid w:val="2A7A1FBE"/>
    <w:rsid w:val="2A90047E"/>
    <w:rsid w:val="2AB54EB7"/>
    <w:rsid w:val="2AB64BB5"/>
    <w:rsid w:val="2AC5334C"/>
    <w:rsid w:val="2ADE61BC"/>
    <w:rsid w:val="2AE0136C"/>
    <w:rsid w:val="2AF42520"/>
    <w:rsid w:val="2AF71297"/>
    <w:rsid w:val="2B2D2CA0"/>
    <w:rsid w:val="2B365FF8"/>
    <w:rsid w:val="2B392522"/>
    <w:rsid w:val="2B607CC3"/>
    <w:rsid w:val="2B776CA9"/>
    <w:rsid w:val="2B894447"/>
    <w:rsid w:val="2B9C7725"/>
    <w:rsid w:val="2BB60EE7"/>
    <w:rsid w:val="2C2E4F21"/>
    <w:rsid w:val="2C3255D8"/>
    <w:rsid w:val="2C3E1AF5"/>
    <w:rsid w:val="2C484235"/>
    <w:rsid w:val="2C4E4363"/>
    <w:rsid w:val="2C732934"/>
    <w:rsid w:val="2C9B69BB"/>
    <w:rsid w:val="2CA37B48"/>
    <w:rsid w:val="2CA761EC"/>
    <w:rsid w:val="2CBF36E8"/>
    <w:rsid w:val="2CEB2E12"/>
    <w:rsid w:val="2D76092E"/>
    <w:rsid w:val="2DA3696B"/>
    <w:rsid w:val="2DAB7EBB"/>
    <w:rsid w:val="2E0F48DF"/>
    <w:rsid w:val="2E3E5269"/>
    <w:rsid w:val="2E533277"/>
    <w:rsid w:val="2E743721"/>
    <w:rsid w:val="2EC46B8D"/>
    <w:rsid w:val="2EC85707"/>
    <w:rsid w:val="2ECE7745"/>
    <w:rsid w:val="2EEB70FA"/>
    <w:rsid w:val="2F1929B3"/>
    <w:rsid w:val="2F2148C9"/>
    <w:rsid w:val="2F462582"/>
    <w:rsid w:val="2F4C0E27"/>
    <w:rsid w:val="2F9F7B5B"/>
    <w:rsid w:val="2FA23C5C"/>
    <w:rsid w:val="2FAA688C"/>
    <w:rsid w:val="2FCF2577"/>
    <w:rsid w:val="2FEA73B1"/>
    <w:rsid w:val="300334C4"/>
    <w:rsid w:val="302E1F9B"/>
    <w:rsid w:val="30515682"/>
    <w:rsid w:val="306233EC"/>
    <w:rsid w:val="307F65FB"/>
    <w:rsid w:val="308E2433"/>
    <w:rsid w:val="3097733C"/>
    <w:rsid w:val="30B42CB5"/>
    <w:rsid w:val="30C916BD"/>
    <w:rsid w:val="3179279B"/>
    <w:rsid w:val="31815AF3"/>
    <w:rsid w:val="31C00DA6"/>
    <w:rsid w:val="31F44517"/>
    <w:rsid w:val="3205125D"/>
    <w:rsid w:val="32081D71"/>
    <w:rsid w:val="32145040"/>
    <w:rsid w:val="32751534"/>
    <w:rsid w:val="32925AEB"/>
    <w:rsid w:val="32B37F2E"/>
    <w:rsid w:val="33291F9F"/>
    <w:rsid w:val="33365B6C"/>
    <w:rsid w:val="333D16C1"/>
    <w:rsid w:val="33863C3A"/>
    <w:rsid w:val="33B74629"/>
    <w:rsid w:val="33D41609"/>
    <w:rsid w:val="33E543FC"/>
    <w:rsid w:val="3465780F"/>
    <w:rsid w:val="348902A8"/>
    <w:rsid w:val="34B93D1A"/>
    <w:rsid w:val="34D036D4"/>
    <w:rsid w:val="34E72CA7"/>
    <w:rsid w:val="34F63C57"/>
    <w:rsid w:val="351C000D"/>
    <w:rsid w:val="35215933"/>
    <w:rsid w:val="35226463"/>
    <w:rsid w:val="35275692"/>
    <w:rsid w:val="352C5D76"/>
    <w:rsid w:val="353D61D5"/>
    <w:rsid w:val="358A4142"/>
    <w:rsid w:val="35B209CA"/>
    <w:rsid w:val="35DF103A"/>
    <w:rsid w:val="35F85DB6"/>
    <w:rsid w:val="360D5BA8"/>
    <w:rsid w:val="36107D81"/>
    <w:rsid w:val="3623361D"/>
    <w:rsid w:val="36533F02"/>
    <w:rsid w:val="365B4731"/>
    <w:rsid w:val="36AD0EA9"/>
    <w:rsid w:val="36C80F8C"/>
    <w:rsid w:val="36CC5A63"/>
    <w:rsid w:val="36D21F7B"/>
    <w:rsid w:val="36E7686C"/>
    <w:rsid w:val="36F668C1"/>
    <w:rsid w:val="36FD2792"/>
    <w:rsid w:val="37037C53"/>
    <w:rsid w:val="37335368"/>
    <w:rsid w:val="377E2588"/>
    <w:rsid w:val="378E4AC6"/>
    <w:rsid w:val="379D4641"/>
    <w:rsid w:val="37A367C3"/>
    <w:rsid w:val="37CB2D9B"/>
    <w:rsid w:val="37E34481"/>
    <w:rsid w:val="37F67133"/>
    <w:rsid w:val="37F77868"/>
    <w:rsid w:val="37FD1CC7"/>
    <w:rsid w:val="382A461B"/>
    <w:rsid w:val="38774062"/>
    <w:rsid w:val="388101F7"/>
    <w:rsid w:val="389C49A8"/>
    <w:rsid w:val="38A003CD"/>
    <w:rsid w:val="38AE2074"/>
    <w:rsid w:val="38B71DFB"/>
    <w:rsid w:val="38BB18EB"/>
    <w:rsid w:val="38BB7B3D"/>
    <w:rsid w:val="38C8225A"/>
    <w:rsid w:val="38D45600"/>
    <w:rsid w:val="38E250CA"/>
    <w:rsid w:val="38E366CF"/>
    <w:rsid w:val="38FD1350"/>
    <w:rsid w:val="391464AF"/>
    <w:rsid w:val="39466ABB"/>
    <w:rsid w:val="39632693"/>
    <w:rsid w:val="396B4DB7"/>
    <w:rsid w:val="39873EC3"/>
    <w:rsid w:val="39C67A31"/>
    <w:rsid w:val="39CD451A"/>
    <w:rsid w:val="39D1032B"/>
    <w:rsid w:val="3A236C84"/>
    <w:rsid w:val="3A374606"/>
    <w:rsid w:val="3A3B346A"/>
    <w:rsid w:val="3A4F678F"/>
    <w:rsid w:val="3A86202B"/>
    <w:rsid w:val="3A994024"/>
    <w:rsid w:val="3AE570F3"/>
    <w:rsid w:val="3AF52BB4"/>
    <w:rsid w:val="3AFB63A9"/>
    <w:rsid w:val="3B273268"/>
    <w:rsid w:val="3B3957AE"/>
    <w:rsid w:val="3B7A446C"/>
    <w:rsid w:val="3B871415"/>
    <w:rsid w:val="3BDD2CBF"/>
    <w:rsid w:val="3BEA76DC"/>
    <w:rsid w:val="3C040834"/>
    <w:rsid w:val="3C041324"/>
    <w:rsid w:val="3C1C08F2"/>
    <w:rsid w:val="3C3519B4"/>
    <w:rsid w:val="3C44036E"/>
    <w:rsid w:val="3CAD59EE"/>
    <w:rsid w:val="3CE82714"/>
    <w:rsid w:val="3DAA4C34"/>
    <w:rsid w:val="3DCF22BB"/>
    <w:rsid w:val="3E160964"/>
    <w:rsid w:val="3E675CBA"/>
    <w:rsid w:val="3EC05EAD"/>
    <w:rsid w:val="3ECA5C3E"/>
    <w:rsid w:val="3EDB09CA"/>
    <w:rsid w:val="3EEF0540"/>
    <w:rsid w:val="3EFC4A0B"/>
    <w:rsid w:val="3F0C1A6F"/>
    <w:rsid w:val="3F37544B"/>
    <w:rsid w:val="3F5D64C9"/>
    <w:rsid w:val="3FAF5B44"/>
    <w:rsid w:val="3FB44FF5"/>
    <w:rsid w:val="3FB5361E"/>
    <w:rsid w:val="3FC203C9"/>
    <w:rsid w:val="3FC5710B"/>
    <w:rsid w:val="3FDB426C"/>
    <w:rsid w:val="40220C31"/>
    <w:rsid w:val="40263997"/>
    <w:rsid w:val="403C24D5"/>
    <w:rsid w:val="406D6C25"/>
    <w:rsid w:val="40A67324"/>
    <w:rsid w:val="40E87BD3"/>
    <w:rsid w:val="410909E3"/>
    <w:rsid w:val="415428DD"/>
    <w:rsid w:val="415C6874"/>
    <w:rsid w:val="419B7E97"/>
    <w:rsid w:val="41E81277"/>
    <w:rsid w:val="41F72230"/>
    <w:rsid w:val="42037F1B"/>
    <w:rsid w:val="42107A0D"/>
    <w:rsid w:val="421A58D4"/>
    <w:rsid w:val="422759B4"/>
    <w:rsid w:val="42311E19"/>
    <w:rsid w:val="4252760F"/>
    <w:rsid w:val="425A2175"/>
    <w:rsid w:val="42666D6B"/>
    <w:rsid w:val="42686225"/>
    <w:rsid w:val="42A072C4"/>
    <w:rsid w:val="42A930FC"/>
    <w:rsid w:val="42D47E2D"/>
    <w:rsid w:val="432D3126"/>
    <w:rsid w:val="436B61B9"/>
    <w:rsid w:val="43791C83"/>
    <w:rsid w:val="43A121E4"/>
    <w:rsid w:val="43DE480E"/>
    <w:rsid w:val="43E91CB4"/>
    <w:rsid w:val="44177C0D"/>
    <w:rsid w:val="442567B2"/>
    <w:rsid w:val="4428290A"/>
    <w:rsid w:val="44285453"/>
    <w:rsid w:val="44316F05"/>
    <w:rsid w:val="443F7874"/>
    <w:rsid w:val="444A2912"/>
    <w:rsid w:val="44566A14"/>
    <w:rsid w:val="4469554B"/>
    <w:rsid w:val="44751290"/>
    <w:rsid w:val="44957494"/>
    <w:rsid w:val="449E701D"/>
    <w:rsid w:val="44B3213C"/>
    <w:rsid w:val="44B55D88"/>
    <w:rsid w:val="44D07D65"/>
    <w:rsid w:val="450B305C"/>
    <w:rsid w:val="451A5BEB"/>
    <w:rsid w:val="45240818"/>
    <w:rsid w:val="454E66C8"/>
    <w:rsid w:val="45610118"/>
    <w:rsid w:val="45A258DE"/>
    <w:rsid w:val="45AA0453"/>
    <w:rsid w:val="45AF27D7"/>
    <w:rsid w:val="45CC523B"/>
    <w:rsid w:val="45D33F82"/>
    <w:rsid w:val="46102F1B"/>
    <w:rsid w:val="46535859"/>
    <w:rsid w:val="46606D5A"/>
    <w:rsid w:val="46A16E2A"/>
    <w:rsid w:val="46B3187C"/>
    <w:rsid w:val="46C44060"/>
    <w:rsid w:val="46D71FE6"/>
    <w:rsid w:val="46E27901"/>
    <w:rsid w:val="46E86AE3"/>
    <w:rsid w:val="47134FE8"/>
    <w:rsid w:val="47366A37"/>
    <w:rsid w:val="474156B1"/>
    <w:rsid w:val="47781938"/>
    <w:rsid w:val="47A923AE"/>
    <w:rsid w:val="47B045E5"/>
    <w:rsid w:val="480A324D"/>
    <w:rsid w:val="480C3F11"/>
    <w:rsid w:val="481904C5"/>
    <w:rsid w:val="48B3438D"/>
    <w:rsid w:val="48BC4EA3"/>
    <w:rsid w:val="48C07825"/>
    <w:rsid w:val="48FA66C3"/>
    <w:rsid w:val="49340896"/>
    <w:rsid w:val="496D6C31"/>
    <w:rsid w:val="498F4DFA"/>
    <w:rsid w:val="49DA3B9B"/>
    <w:rsid w:val="49F84678"/>
    <w:rsid w:val="4A0A14D2"/>
    <w:rsid w:val="4A201EF6"/>
    <w:rsid w:val="4A342237"/>
    <w:rsid w:val="4A466ABF"/>
    <w:rsid w:val="4A484FA8"/>
    <w:rsid w:val="4A496362"/>
    <w:rsid w:val="4A54394D"/>
    <w:rsid w:val="4A621DB5"/>
    <w:rsid w:val="4AAD41BC"/>
    <w:rsid w:val="4ABD111B"/>
    <w:rsid w:val="4ADB1B7B"/>
    <w:rsid w:val="4B2547F5"/>
    <w:rsid w:val="4B630B06"/>
    <w:rsid w:val="4B83273C"/>
    <w:rsid w:val="4B897627"/>
    <w:rsid w:val="4BA05C1A"/>
    <w:rsid w:val="4BAB3A41"/>
    <w:rsid w:val="4BAD1B2E"/>
    <w:rsid w:val="4BAD7FA4"/>
    <w:rsid w:val="4BD51861"/>
    <w:rsid w:val="4BF94693"/>
    <w:rsid w:val="4C5C2280"/>
    <w:rsid w:val="4CCA439B"/>
    <w:rsid w:val="4CD86AB8"/>
    <w:rsid w:val="4CFE5DF2"/>
    <w:rsid w:val="4D062124"/>
    <w:rsid w:val="4D1C12A2"/>
    <w:rsid w:val="4D3D3284"/>
    <w:rsid w:val="4D5708D1"/>
    <w:rsid w:val="4D6501A9"/>
    <w:rsid w:val="4D695962"/>
    <w:rsid w:val="4DC411B8"/>
    <w:rsid w:val="4DC86D82"/>
    <w:rsid w:val="4DD032EA"/>
    <w:rsid w:val="4DDA66D5"/>
    <w:rsid w:val="4DE17BEE"/>
    <w:rsid w:val="4DED0341"/>
    <w:rsid w:val="4DF71B22"/>
    <w:rsid w:val="4DFD71B4"/>
    <w:rsid w:val="4E2D4CA9"/>
    <w:rsid w:val="4EAC3D58"/>
    <w:rsid w:val="4EB726FD"/>
    <w:rsid w:val="4ED80FF1"/>
    <w:rsid w:val="4EE2777A"/>
    <w:rsid w:val="4EE52B42"/>
    <w:rsid w:val="4F193B4E"/>
    <w:rsid w:val="4F216366"/>
    <w:rsid w:val="4F564114"/>
    <w:rsid w:val="4F680366"/>
    <w:rsid w:val="4F831D37"/>
    <w:rsid w:val="4FAE2044"/>
    <w:rsid w:val="4FB530E0"/>
    <w:rsid w:val="50106568"/>
    <w:rsid w:val="50285660"/>
    <w:rsid w:val="50A2190A"/>
    <w:rsid w:val="50AC6291"/>
    <w:rsid w:val="50C47282"/>
    <w:rsid w:val="50C51101"/>
    <w:rsid w:val="51176DB1"/>
    <w:rsid w:val="5140765E"/>
    <w:rsid w:val="51524BF1"/>
    <w:rsid w:val="51624BA2"/>
    <w:rsid w:val="51A95109"/>
    <w:rsid w:val="51D82CD4"/>
    <w:rsid w:val="51DF6C6B"/>
    <w:rsid w:val="51E63A25"/>
    <w:rsid w:val="520351A6"/>
    <w:rsid w:val="520F39C4"/>
    <w:rsid w:val="523C1BE3"/>
    <w:rsid w:val="52416EAD"/>
    <w:rsid w:val="52C33D66"/>
    <w:rsid w:val="52D71FC3"/>
    <w:rsid w:val="52E96B8E"/>
    <w:rsid w:val="530F4D71"/>
    <w:rsid w:val="53202F66"/>
    <w:rsid w:val="53421FA8"/>
    <w:rsid w:val="5344140E"/>
    <w:rsid w:val="5385401A"/>
    <w:rsid w:val="53D32D64"/>
    <w:rsid w:val="53D87392"/>
    <w:rsid w:val="53D9424C"/>
    <w:rsid w:val="54171207"/>
    <w:rsid w:val="54232D0E"/>
    <w:rsid w:val="54501629"/>
    <w:rsid w:val="54520EFE"/>
    <w:rsid w:val="547020EE"/>
    <w:rsid w:val="54755E20"/>
    <w:rsid w:val="54E227E7"/>
    <w:rsid w:val="550C02DF"/>
    <w:rsid w:val="55171D5C"/>
    <w:rsid w:val="55237F6A"/>
    <w:rsid w:val="5536081F"/>
    <w:rsid w:val="554D1730"/>
    <w:rsid w:val="558E5FFE"/>
    <w:rsid w:val="55976B13"/>
    <w:rsid w:val="55EB6C18"/>
    <w:rsid w:val="55EC35D4"/>
    <w:rsid w:val="56096CFE"/>
    <w:rsid w:val="56270168"/>
    <w:rsid w:val="563611BE"/>
    <w:rsid w:val="56590B9E"/>
    <w:rsid w:val="565A44C9"/>
    <w:rsid w:val="5679256C"/>
    <w:rsid w:val="56807F55"/>
    <w:rsid w:val="56B318F2"/>
    <w:rsid w:val="56BE0ACC"/>
    <w:rsid w:val="56DF7F10"/>
    <w:rsid w:val="57056725"/>
    <w:rsid w:val="570D7EE4"/>
    <w:rsid w:val="57726A34"/>
    <w:rsid w:val="57787556"/>
    <w:rsid w:val="57E52089"/>
    <w:rsid w:val="57EF1159"/>
    <w:rsid w:val="57FB18AC"/>
    <w:rsid w:val="58013909"/>
    <w:rsid w:val="582F4AFC"/>
    <w:rsid w:val="58406ED3"/>
    <w:rsid w:val="5850492C"/>
    <w:rsid w:val="58686A98"/>
    <w:rsid w:val="58701559"/>
    <w:rsid w:val="58C91B01"/>
    <w:rsid w:val="58CE7418"/>
    <w:rsid w:val="58DF76E5"/>
    <w:rsid w:val="58E82747"/>
    <w:rsid w:val="58F44C79"/>
    <w:rsid w:val="593C2F1E"/>
    <w:rsid w:val="59554017"/>
    <w:rsid w:val="59623355"/>
    <w:rsid w:val="59A724BA"/>
    <w:rsid w:val="59AF5C80"/>
    <w:rsid w:val="59C43109"/>
    <w:rsid w:val="59C77C98"/>
    <w:rsid w:val="59EE4772"/>
    <w:rsid w:val="5A165F52"/>
    <w:rsid w:val="5A2E4827"/>
    <w:rsid w:val="5A552315"/>
    <w:rsid w:val="5A59474A"/>
    <w:rsid w:val="5AA601F5"/>
    <w:rsid w:val="5AAC05A7"/>
    <w:rsid w:val="5AE96DAB"/>
    <w:rsid w:val="5AF866DE"/>
    <w:rsid w:val="5B650A3F"/>
    <w:rsid w:val="5B794C2A"/>
    <w:rsid w:val="5B96718F"/>
    <w:rsid w:val="5BC026BB"/>
    <w:rsid w:val="5BCD355F"/>
    <w:rsid w:val="5BFA1F91"/>
    <w:rsid w:val="5C0B14B0"/>
    <w:rsid w:val="5C5144CF"/>
    <w:rsid w:val="5C6106A0"/>
    <w:rsid w:val="5CBD4A27"/>
    <w:rsid w:val="5CC25873"/>
    <w:rsid w:val="5CE2303B"/>
    <w:rsid w:val="5D4756BB"/>
    <w:rsid w:val="5D867E6A"/>
    <w:rsid w:val="5D99194B"/>
    <w:rsid w:val="5D9A50C1"/>
    <w:rsid w:val="5DA04B8E"/>
    <w:rsid w:val="5DB1622D"/>
    <w:rsid w:val="5DB76621"/>
    <w:rsid w:val="5DCD5EB5"/>
    <w:rsid w:val="5E4F668D"/>
    <w:rsid w:val="5E5B30A5"/>
    <w:rsid w:val="5E717985"/>
    <w:rsid w:val="5E7E688E"/>
    <w:rsid w:val="5E7F3669"/>
    <w:rsid w:val="5E9C496B"/>
    <w:rsid w:val="5EACB968"/>
    <w:rsid w:val="5EF00A9F"/>
    <w:rsid w:val="5F5A4218"/>
    <w:rsid w:val="5F7F5CB9"/>
    <w:rsid w:val="5FA5605A"/>
    <w:rsid w:val="5FAD29D7"/>
    <w:rsid w:val="5FE436F2"/>
    <w:rsid w:val="600E37D3"/>
    <w:rsid w:val="6016461F"/>
    <w:rsid w:val="60233E26"/>
    <w:rsid w:val="602C4CF9"/>
    <w:rsid w:val="605F76B6"/>
    <w:rsid w:val="607641C6"/>
    <w:rsid w:val="60A54AAB"/>
    <w:rsid w:val="61142591"/>
    <w:rsid w:val="61252DAF"/>
    <w:rsid w:val="617F39BA"/>
    <w:rsid w:val="61AA3023"/>
    <w:rsid w:val="61AD3C17"/>
    <w:rsid w:val="61B73CAC"/>
    <w:rsid w:val="61B76844"/>
    <w:rsid w:val="61C45DDE"/>
    <w:rsid w:val="61F465FC"/>
    <w:rsid w:val="61F66696"/>
    <w:rsid w:val="620B60B7"/>
    <w:rsid w:val="6220088D"/>
    <w:rsid w:val="6223212B"/>
    <w:rsid w:val="62245432"/>
    <w:rsid w:val="62312A9A"/>
    <w:rsid w:val="62726C0F"/>
    <w:rsid w:val="6281462A"/>
    <w:rsid w:val="629331D1"/>
    <w:rsid w:val="62945E4C"/>
    <w:rsid w:val="629F6754"/>
    <w:rsid w:val="62AD7C47"/>
    <w:rsid w:val="62FE19F3"/>
    <w:rsid w:val="63242340"/>
    <w:rsid w:val="635A496D"/>
    <w:rsid w:val="63817262"/>
    <w:rsid w:val="63995F31"/>
    <w:rsid w:val="63D85A09"/>
    <w:rsid w:val="64095351"/>
    <w:rsid w:val="64103BEB"/>
    <w:rsid w:val="644D6126"/>
    <w:rsid w:val="6457430E"/>
    <w:rsid w:val="6477675E"/>
    <w:rsid w:val="649E4C19"/>
    <w:rsid w:val="64CE5B60"/>
    <w:rsid w:val="64D93F3C"/>
    <w:rsid w:val="64DE3499"/>
    <w:rsid w:val="64E45FA4"/>
    <w:rsid w:val="654857CD"/>
    <w:rsid w:val="65534AD5"/>
    <w:rsid w:val="6558033E"/>
    <w:rsid w:val="657452D8"/>
    <w:rsid w:val="658748E7"/>
    <w:rsid w:val="65A70C3C"/>
    <w:rsid w:val="65B31A18"/>
    <w:rsid w:val="65ED4622"/>
    <w:rsid w:val="65FF3790"/>
    <w:rsid w:val="665A4684"/>
    <w:rsid w:val="667064CE"/>
    <w:rsid w:val="66754A7F"/>
    <w:rsid w:val="66814C28"/>
    <w:rsid w:val="66A10D17"/>
    <w:rsid w:val="66A80E51"/>
    <w:rsid w:val="66C67529"/>
    <w:rsid w:val="66E9560E"/>
    <w:rsid w:val="67254250"/>
    <w:rsid w:val="673743FF"/>
    <w:rsid w:val="67537293"/>
    <w:rsid w:val="67545D9F"/>
    <w:rsid w:val="67686581"/>
    <w:rsid w:val="676B07FC"/>
    <w:rsid w:val="676D0B82"/>
    <w:rsid w:val="67900263"/>
    <w:rsid w:val="67994DD9"/>
    <w:rsid w:val="67BE5D14"/>
    <w:rsid w:val="67C817D8"/>
    <w:rsid w:val="67C92A9B"/>
    <w:rsid w:val="67F23C6D"/>
    <w:rsid w:val="6813679E"/>
    <w:rsid w:val="681F1C7A"/>
    <w:rsid w:val="68210EBB"/>
    <w:rsid w:val="68246BFD"/>
    <w:rsid w:val="685B57E4"/>
    <w:rsid w:val="68784853"/>
    <w:rsid w:val="68921DB9"/>
    <w:rsid w:val="68B8107B"/>
    <w:rsid w:val="68B879DB"/>
    <w:rsid w:val="691E53FA"/>
    <w:rsid w:val="693A0E53"/>
    <w:rsid w:val="697B7907"/>
    <w:rsid w:val="69BE231D"/>
    <w:rsid w:val="69C40A70"/>
    <w:rsid w:val="69D87020"/>
    <w:rsid w:val="6A6C4E94"/>
    <w:rsid w:val="6ACB00DF"/>
    <w:rsid w:val="6AEA55A7"/>
    <w:rsid w:val="6AFD486C"/>
    <w:rsid w:val="6AFE7291"/>
    <w:rsid w:val="6B040620"/>
    <w:rsid w:val="6B253075"/>
    <w:rsid w:val="6B3453A9"/>
    <w:rsid w:val="6B3713F3"/>
    <w:rsid w:val="6B8346DD"/>
    <w:rsid w:val="6B945E48"/>
    <w:rsid w:val="6BA73DCD"/>
    <w:rsid w:val="6BDA5F51"/>
    <w:rsid w:val="6BEB3234"/>
    <w:rsid w:val="6C1B35E3"/>
    <w:rsid w:val="6C21592D"/>
    <w:rsid w:val="6CC30C03"/>
    <w:rsid w:val="6CC53E5A"/>
    <w:rsid w:val="6CC60283"/>
    <w:rsid w:val="6D140FEE"/>
    <w:rsid w:val="6D5B51DA"/>
    <w:rsid w:val="6D603D34"/>
    <w:rsid w:val="6D6E2B20"/>
    <w:rsid w:val="6D7C6B93"/>
    <w:rsid w:val="6D896A57"/>
    <w:rsid w:val="6D8F43D6"/>
    <w:rsid w:val="6D9E5EB3"/>
    <w:rsid w:val="6DAD31F1"/>
    <w:rsid w:val="6DAD4536"/>
    <w:rsid w:val="6DBC462A"/>
    <w:rsid w:val="6DF73320"/>
    <w:rsid w:val="6E001573"/>
    <w:rsid w:val="6E0B0250"/>
    <w:rsid w:val="6E100EAB"/>
    <w:rsid w:val="6E172C32"/>
    <w:rsid w:val="6E314FE0"/>
    <w:rsid w:val="6E6913B9"/>
    <w:rsid w:val="6E880D45"/>
    <w:rsid w:val="6EB21FF6"/>
    <w:rsid w:val="6EDB1EAC"/>
    <w:rsid w:val="6F015CB7"/>
    <w:rsid w:val="6F1D19B3"/>
    <w:rsid w:val="6F5558EE"/>
    <w:rsid w:val="6F5C1929"/>
    <w:rsid w:val="6F710989"/>
    <w:rsid w:val="6F977CB5"/>
    <w:rsid w:val="6FDD14C9"/>
    <w:rsid w:val="6FEA5CD0"/>
    <w:rsid w:val="6FFD4DB1"/>
    <w:rsid w:val="701F58F4"/>
    <w:rsid w:val="70473489"/>
    <w:rsid w:val="70721C77"/>
    <w:rsid w:val="707270B8"/>
    <w:rsid w:val="707A362B"/>
    <w:rsid w:val="7086127D"/>
    <w:rsid w:val="708D5457"/>
    <w:rsid w:val="70CD6084"/>
    <w:rsid w:val="70E01D12"/>
    <w:rsid w:val="70E60EF4"/>
    <w:rsid w:val="70E83B9C"/>
    <w:rsid w:val="712A5353"/>
    <w:rsid w:val="71347E93"/>
    <w:rsid w:val="714F5A97"/>
    <w:rsid w:val="714F635A"/>
    <w:rsid w:val="7150777B"/>
    <w:rsid w:val="71663DE2"/>
    <w:rsid w:val="71826F70"/>
    <w:rsid w:val="71AD37BF"/>
    <w:rsid w:val="72052CDD"/>
    <w:rsid w:val="727A4288"/>
    <w:rsid w:val="72A20473"/>
    <w:rsid w:val="72CE044A"/>
    <w:rsid w:val="72DB0C33"/>
    <w:rsid w:val="72FA2A34"/>
    <w:rsid w:val="73065CEA"/>
    <w:rsid w:val="73091120"/>
    <w:rsid w:val="731B7466"/>
    <w:rsid w:val="731F693F"/>
    <w:rsid w:val="73532145"/>
    <w:rsid w:val="735707A4"/>
    <w:rsid w:val="73BA1ED9"/>
    <w:rsid w:val="73D8739B"/>
    <w:rsid w:val="74000C7D"/>
    <w:rsid w:val="740A7E52"/>
    <w:rsid w:val="741379EF"/>
    <w:rsid w:val="741D60E7"/>
    <w:rsid w:val="74212243"/>
    <w:rsid w:val="748E4791"/>
    <w:rsid w:val="74A536E0"/>
    <w:rsid w:val="74AD4A43"/>
    <w:rsid w:val="74BE59C8"/>
    <w:rsid w:val="74F87447"/>
    <w:rsid w:val="75016A59"/>
    <w:rsid w:val="75447961"/>
    <w:rsid w:val="761B5373"/>
    <w:rsid w:val="7657350F"/>
    <w:rsid w:val="7669126E"/>
    <w:rsid w:val="76793892"/>
    <w:rsid w:val="768321D3"/>
    <w:rsid w:val="76B548DE"/>
    <w:rsid w:val="76F668E8"/>
    <w:rsid w:val="778D115F"/>
    <w:rsid w:val="77A62F27"/>
    <w:rsid w:val="77B44EE0"/>
    <w:rsid w:val="77DC6BAC"/>
    <w:rsid w:val="77E31CE9"/>
    <w:rsid w:val="781B6E93"/>
    <w:rsid w:val="78713799"/>
    <w:rsid w:val="78850FF2"/>
    <w:rsid w:val="78DB6E64"/>
    <w:rsid w:val="7935592A"/>
    <w:rsid w:val="79541DE4"/>
    <w:rsid w:val="795D1F6F"/>
    <w:rsid w:val="7A243BBC"/>
    <w:rsid w:val="7A5522A6"/>
    <w:rsid w:val="7A5C7F62"/>
    <w:rsid w:val="7A6510DB"/>
    <w:rsid w:val="7A6B656D"/>
    <w:rsid w:val="7A7E3F4B"/>
    <w:rsid w:val="7AC308C3"/>
    <w:rsid w:val="7ADB139D"/>
    <w:rsid w:val="7AE83ABA"/>
    <w:rsid w:val="7AF965F6"/>
    <w:rsid w:val="7AFB37ED"/>
    <w:rsid w:val="7B041922"/>
    <w:rsid w:val="7B2965AD"/>
    <w:rsid w:val="7B3957EC"/>
    <w:rsid w:val="7B5D0EC0"/>
    <w:rsid w:val="7B7449B2"/>
    <w:rsid w:val="7BAF6D25"/>
    <w:rsid w:val="7BBF3F84"/>
    <w:rsid w:val="7BE95D3C"/>
    <w:rsid w:val="7BF3042E"/>
    <w:rsid w:val="7C773348"/>
    <w:rsid w:val="7CC25607"/>
    <w:rsid w:val="7D0E13CF"/>
    <w:rsid w:val="7D3B041C"/>
    <w:rsid w:val="7D3B4375"/>
    <w:rsid w:val="7D8D0318"/>
    <w:rsid w:val="7DB53307"/>
    <w:rsid w:val="7E1C4247"/>
    <w:rsid w:val="7E4C72DC"/>
    <w:rsid w:val="7E633B84"/>
    <w:rsid w:val="7E8C5B9B"/>
    <w:rsid w:val="7E9755DB"/>
    <w:rsid w:val="7EB10D93"/>
    <w:rsid w:val="7EB56006"/>
    <w:rsid w:val="7EB73ECF"/>
    <w:rsid w:val="7EB73F4C"/>
    <w:rsid w:val="7EBA60B3"/>
    <w:rsid w:val="7EE10DD5"/>
    <w:rsid w:val="7F147214"/>
    <w:rsid w:val="7F1629A4"/>
    <w:rsid w:val="7F242BC9"/>
    <w:rsid w:val="7F4229AA"/>
    <w:rsid w:val="7F8D69DE"/>
    <w:rsid w:val="7FE505C8"/>
    <w:rsid w:val="7FEE2420"/>
    <w:rsid w:val="BC7A4892"/>
    <w:rsid w:val="FFEEDB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spacing w:line="380" w:lineRule="exact"/>
      <w:jc w:val="center"/>
      <w:outlineLvl w:val="0"/>
    </w:pPr>
    <w:rPr>
      <w:rFonts w:ascii="宋体"/>
      <w:b/>
      <w:kern w:val="44"/>
      <w:sz w:val="44"/>
      <w:szCs w:val="44"/>
    </w:rPr>
  </w:style>
  <w:style w:type="paragraph" w:styleId="3">
    <w:name w:val="heading 2"/>
    <w:basedOn w:val="1"/>
    <w:next w:val="1"/>
    <w:qFormat/>
    <w:uiPriority w:val="0"/>
    <w:pPr>
      <w:keepNext/>
      <w:keepLines/>
      <w:tabs>
        <w:tab w:val="left" w:pos="578"/>
      </w:tabs>
      <w:spacing w:before="50" w:beforeLines="50" w:after="50" w:afterLines="50" w:line="360" w:lineRule="auto"/>
      <w:ind w:left="578" w:hanging="578"/>
      <w:outlineLvl w:val="1"/>
    </w:pPr>
    <w:rPr>
      <w:rFonts w:ascii="Cambria" w:hAnsi="Cambria"/>
      <w:szCs w:val="21"/>
    </w:rPr>
  </w:style>
  <w:style w:type="paragraph" w:styleId="4">
    <w:name w:val="heading 3"/>
    <w:basedOn w:val="1"/>
    <w:next w:val="1"/>
    <w:qFormat/>
    <w:uiPriority w:val="0"/>
    <w:pPr>
      <w:keepNext/>
      <w:keepLines/>
      <w:tabs>
        <w:tab w:val="left" w:pos="1620"/>
      </w:tabs>
      <w:spacing w:before="50" w:beforeLines="50" w:after="50" w:afterLines="50" w:line="360" w:lineRule="auto"/>
      <w:ind w:left="1620" w:hanging="720"/>
      <w:outlineLvl w:val="2"/>
    </w:pPr>
    <w:rPr>
      <w:rFonts w:ascii="宋体"/>
      <w:b/>
      <w:sz w:val="32"/>
      <w:szCs w:val="32"/>
    </w:rPr>
  </w:style>
  <w:style w:type="paragraph" w:styleId="5">
    <w:name w:val="heading 4"/>
    <w:basedOn w:val="1"/>
    <w:next w:val="1"/>
    <w:qFormat/>
    <w:uiPriority w:val="0"/>
    <w:pPr>
      <w:keepNext/>
      <w:keepLines/>
      <w:tabs>
        <w:tab w:val="left" w:pos="864"/>
      </w:tabs>
      <w:spacing w:before="280" w:after="290" w:line="376" w:lineRule="auto"/>
      <w:ind w:left="864" w:hanging="864"/>
      <w:outlineLvl w:val="3"/>
    </w:pPr>
    <w:rPr>
      <w:rFonts w:ascii="Arial" w:hAnsi="Arial" w:eastAsia="黑体"/>
      <w:b/>
      <w:sz w:val="28"/>
    </w:rPr>
  </w:style>
  <w:style w:type="paragraph" w:styleId="6">
    <w:name w:val="heading 5"/>
    <w:basedOn w:val="1"/>
    <w:next w:val="1"/>
    <w:qFormat/>
    <w:uiPriority w:val="0"/>
    <w:pPr>
      <w:keepNext/>
      <w:keepLines/>
      <w:tabs>
        <w:tab w:val="left" w:pos="1548"/>
      </w:tabs>
      <w:spacing w:before="280" w:after="290" w:line="376" w:lineRule="auto"/>
      <w:ind w:left="1548" w:hanging="1548"/>
      <w:outlineLvl w:val="4"/>
    </w:pPr>
    <w:rPr>
      <w:b/>
      <w:sz w:val="28"/>
    </w:rPr>
  </w:style>
  <w:style w:type="paragraph" w:styleId="7">
    <w:name w:val="heading 6"/>
    <w:basedOn w:val="1"/>
    <w:next w:val="1"/>
    <w:qFormat/>
    <w:uiPriority w:val="0"/>
    <w:pPr>
      <w:keepNext/>
      <w:keepLines/>
      <w:spacing w:before="240" w:after="64" w:line="319" w:lineRule="auto"/>
      <w:outlineLvl w:val="5"/>
    </w:pPr>
    <w:rPr>
      <w:rFonts w:ascii="Cambria" w:hAnsi="Cambria"/>
      <w:b/>
      <w:sz w:val="24"/>
    </w:rPr>
  </w:style>
  <w:style w:type="paragraph" w:styleId="8">
    <w:name w:val="heading 7"/>
    <w:basedOn w:val="1"/>
    <w:next w:val="1"/>
    <w:qFormat/>
    <w:uiPriority w:val="0"/>
    <w:pPr>
      <w:keepNext/>
      <w:keepLines/>
      <w:tabs>
        <w:tab w:val="left" w:pos="1296"/>
      </w:tabs>
      <w:spacing w:before="240" w:after="64" w:line="316" w:lineRule="auto"/>
      <w:ind w:left="2940" w:hanging="420"/>
      <w:outlineLvl w:val="6"/>
    </w:pPr>
    <w:rPr>
      <w:b/>
      <w:sz w:val="24"/>
    </w:rPr>
  </w:style>
  <w:style w:type="paragraph" w:styleId="9">
    <w:name w:val="heading 8"/>
    <w:basedOn w:val="1"/>
    <w:next w:val="1"/>
    <w:link w:val="123"/>
    <w:qFormat/>
    <w:uiPriority w:val="0"/>
    <w:pPr>
      <w:keepNext/>
      <w:keepLines/>
      <w:tabs>
        <w:tab w:val="left" w:pos="1440"/>
      </w:tabs>
      <w:spacing w:before="240" w:after="64" w:line="316" w:lineRule="auto"/>
      <w:ind w:left="3360" w:hanging="420"/>
      <w:outlineLvl w:val="7"/>
    </w:pPr>
    <w:rPr>
      <w:rFonts w:ascii="Arial" w:hAnsi="Arial" w:eastAsia="黑体"/>
      <w:sz w:val="24"/>
    </w:rPr>
  </w:style>
  <w:style w:type="paragraph" w:styleId="10">
    <w:name w:val="heading 9"/>
    <w:basedOn w:val="1"/>
    <w:next w:val="1"/>
    <w:qFormat/>
    <w:uiPriority w:val="0"/>
    <w:pPr>
      <w:keepNext/>
      <w:keepLines/>
      <w:tabs>
        <w:tab w:val="left" w:pos="1584"/>
      </w:tabs>
      <w:spacing w:before="240" w:after="64" w:line="316" w:lineRule="auto"/>
      <w:ind w:left="3780" w:hanging="420"/>
      <w:outlineLvl w:val="8"/>
    </w:pPr>
    <w:rPr>
      <w:rFonts w:ascii="Arial" w:hAnsi="Arial" w:eastAsia="黑体"/>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next w:val="1"/>
    <w:qFormat/>
    <w:uiPriority w:val="0"/>
    <w:pPr>
      <w:ind w:firstLine="200" w:firstLineChars="200"/>
    </w:pPr>
    <w:rPr>
      <w:rFonts w:ascii="宋体"/>
      <w:spacing w:val="14"/>
      <w:kern w:val="24"/>
      <w:sz w:val="24"/>
      <w:szCs w:val="24"/>
    </w:rPr>
  </w:style>
  <w:style w:type="paragraph" w:styleId="13">
    <w:name w:val="caption"/>
    <w:basedOn w:val="1"/>
    <w:next w:val="1"/>
    <w:qFormat/>
    <w:uiPriority w:val="0"/>
    <w:pPr>
      <w:spacing w:before="152" w:after="160"/>
    </w:pPr>
    <w:rPr>
      <w:rFonts w:ascii="Arial" w:hAnsi="Arial" w:eastAsia="黑体" w:cs="Arial"/>
      <w:sz w:val="20"/>
    </w:rPr>
  </w:style>
  <w:style w:type="paragraph" w:styleId="14">
    <w:name w:val="Document Map"/>
    <w:basedOn w:val="1"/>
    <w:qFormat/>
    <w:uiPriority w:val="0"/>
    <w:pPr>
      <w:shd w:val="clear" w:color="auto" w:fill="000080"/>
    </w:pPr>
  </w:style>
  <w:style w:type="paragraph" w:styleId="15">
    <w:name w:val="toa heading"/>
    <w:basedOn w:val="1"/>
    <w:next w:val="1"/>
    <w:qFormat/>
    <w:uiPriority w:val="0"/>
    <w:pPr>
      <w:spacing w:before="120"/>
    </w:pPr>
    <w:rPr>
      <w:rFonts w:ascii="Arial" w:hAnsi="Arial"/>
      <w:b/>
      <w:bCs/>
      <w:szCs w:val="24"/>
    </w:rPr>
  </w:style>
  <w:style w:type="paragraph" w:styleId="16">
    <w:name w:val="annotation text"/>
    <w:basedOn w:val="1"/>
    <w:qFormat/>
    <w:uiPriority w:val="0"/>
    <w:pPr>
      <w:jc w:val="left"/>
    </w:pPr>
    <w:rPr>
      <w:rFonts w:ascii="宋体"/>
      <w:szCs w:val="21"/>
    </w:rPr>
  </w:style>
  <w:style w:type="paragraph" w:styleId="17">
    <w:name w:val="Body Text 3"/>
    <w:basedOn w:val="1"/>
    <w:qFormat/>
    <w:uiPriority w:val="0"/>
    <w:pPr>
      <w:spacing w:after="120" w:line="360" w:lineRule="auto"/>
    </w:pPr>
    <w:rPr>
      <w:kern w:val="0"/>
      <w:sz w:val="16"/>
    </w:rPr>
  </w:style>
  <w:style w:type="paragraph" w:styleId="18">
    <w:name w:val="Body Text"/>
    <w:basedOn w:val="1"/>
    <w:next w:val="19"/>
    <w:qFormat/>
    <w:uiPriority w:val="0"/>
    <w:rPr>
      <w:rFonts w:ascii="宋体"/>
      <w:kern w:val="0"/>
      <w:sz w:val="20"/>
    </w:rPr>
  </w:style>
  <w:style w:type="paragraph" w:styleId="19">
    <w:name w:val="toc 5"/>
    <w:basedOn w:val="1"/>
    <w:next w:val="1"/>
    <w:qFormat/>
    <w:uiPriority w:val="0"/>
    <w:pPr>
      <w:ind w:left="840"/>
      <w:jc w:val="left"/>
    </w:pPr>
    <w:rPr>
      <w:sz w:val="18"/>
      <w:szCs w:val="18"/>
    </w:rPr>
  </w:style>
  <w:style w:type="paragraph" w:styleId="20">
    <w:name w:val="Body Text Indent"/>
    <w:basedOn w:val="1"/>
    <w:link w:val="65"/>
    <w:qFormat/>
    <w:uiPriority w:val="0"/>
    <w:pPr>
      <w:spacing w:line="380" w:lineRule="exact"/>
      <w:ind w:firstLine="480"/>
    </w:pPr>
    <w:rPr>
      <w:rFonts w:eastAsia="方正书宋简体"/>
      <w:sz w:val="24"/>
    </w:rPr>
  </w:style>
  <w:style w:type="paragraph" w:styleId="21">
    <w:name w:val="List Number 3"/>
    <w:basedOn w:val="1"/>
    <w:qFormat/>
    <w:uiPriority w:val="0"/>
    <w:pPr>
      <w:widowControl/>
      <w:tabs>
        <w:tab w:val="left" w:pos="482"/>
      </w:tabs>
      <w:spacing w:after="50" w:afterLines="50"/>
      <w:ind w:left="482" w:hanging="340"/>
      <w:jc w:val="left"/>
    </w:pPr>
    <w:rPr>
      <w:kern w:val="0"/>
      <w:sz w:val="24"/>
    </w:rPr>
  </w:style>
  <w:style w:type="paragraph" w:styleId="22">
    <w:name w:val="List 2"/>
    <w:basedOn w:val="1"/>
    <w:qFormat/>
    <w:uiPriority w:val="0"/>
    <w:pPr>
      <w:ind w:left="400" w:leftChars="200" w:hanging="200" w:hangingChars="200"/>
    </w:pPr>
    <w:rPr>
      <w:sz w:val="28"/>
      <w:szCs w:val="24"/>
    </w:rPr>
  </w:style>
  <w:style w:type="paragraph" w:styleId="23">
    <w:name w:val="Block Text"/>
    <w:basedOn w:val="1"/>
    <w:qFormat/>
    <w:uiPriority w:val="0"/>
    <w:pPr>
      <w:spacing w:after="120"/>
      <w:ind w:left="700" w:leftChars="700" w:right="700" w:rightChars="700"/>
    </w:pPr>
  </w:style>
  <w:style w:type="paragraph" w:styleId="24">
    <w:name w:val="index 4"/>
    <w:basedOn w:val="1"/>
    <w:next w:val="1"/>
    <w:unhideWhenUsed/>
    <w:qFormat/>
    <w:uiPriority w:val="99"/>
    <w:pPr>
      <w:ind w:left="600" w:leftChars="600"/>
    </w:pPr>
    <w:rPr>
      <w:sz w:val="32"/>
      <w:szCs w:val="24"/>
    </w:rPr>
  </w:style>
  <w:style w:type="paragraph" w:styleId="25">
    <w:name w:val="toc 3"/>
    <w:basedOn w:val="1"/>
    <w:next w:val="1"/>
    <w:qFormat/>
    <w:uiPriority w:val="0"/>
    <w:pPr>
      <w:ind w:left="420"/>
      <w:jc w:val="left"/>
    </w:pPr>
    <w:rPr>
      <w:i/>
      <w:iCs/>
      <w:sz w:val="20"/>
    </w:rPr>
  </w:style>
  <w:style w:type="paragraph" w:styleId="26">
    <w:name w:val="Plain Text"/>
    <w:basedOn w:val="1"/>
    <w:next w:val="18"/>
    <w:qFormat/>
    <w:uiPriority w:val="0"/>
    <w:pPr>
      <w:widowControl/>
      <w:spacing w:before="100" w:beforeAutospacing="1" w:after="100" w:afterAutospacing="1"/>
      <w:jc w:val="left"/>
    </w:pPr>
    <w:rPr>
      <w:rFonts w:ascii="宋体"/>
      <w:kern w:val="0"/>
      <w:sz w:val="20"/>
    </w:rPr>
  </w:style>
  <w:style w:type="paragraph" w:styleId="27">
    <w:name w:val="toc 8"/>
    <w:basedOn w:val="1"/>
    <w:next w:val="1"/>
    <w:qFormat/>
    <w:uiPriority w:val="0"/>
    <w:pPr>
      <w:ind w:left="1470"/>
      <w:jc w:val="left"/>
    </w:pPr>
    <w:rPr>
      <w:sz w:val="18"/>
      <w:szCs w:val="18"/>
    </w:rPr>
  </w:style>
  <w:style w:type="paragraph" w:styleId="28">
    <w:name w:val="Date"/>
    <w:basedOn w:val="1"/>
    <w:next w:val="1"/>
    <w:qFormat/>
    <w:uiPriority w:val="0"/>
    <w:pPr>
      <w:adjustRightInd w:val="0"/>
      <w:spacing w:line="312" w:lineRule="atLeast"/>
      <w:jc w:val="right"/>
      <w:textAlignment w:val="baseline"/>
    </w:pPr>
    <w:rPr>
      <w:rFonts w:ascii="宋体"/>
      <w:kern w:val="0"/>
      <w:sz w:val="24"/>
    </w:rPr>
  </w:style>
  <w:style w:type="paragraph" w:styleId="29">
    <w:name w:val="Body Text Indent 2"/>
    <w:basedOn w:val="1"/>
    <w:qFormat/>
    <w:uiPriority w:val="0"/>
    <w:pPr>
      <w:spacing w:line="380" w:lineRule="exact"/>
      <w:ind w:left="840" w:hanging="45"/>
    </w:pPr>
    <w:rPr>
      <w:rFonts w:ascii="宋体"/>
      <w:sz w:val="24"/>
    </w:rPr>
  </w:style>
  <w:style w:type="paragraph" w:styleId="30">
    <w:name w:val="Balloon Text"/>
    <w:basedOn w:val="1"/>
    <w:qFormat/>
    <w:uiPriority w:val="0"/>
    <w:rPr>
      <w:rFonts w:ascii="宋体"/>
      <w:sz w:val="18"/>
      <w:szCs w:val="18"/>
    </w:rPr>
  </w:style>
  <w:style w:type="paragraph" w:styleId="31">
    <w:name w:val="footer"/>
    <w:basedOn w:val="1"/>
    <w:qFormat/>
    <w:uiPriority w:val="0"/>
    <w:pPr>
      <w:tabs>
        <w:tab w:val="center" w:pos="4153"/>
        <w:tab w:val="right" w:pos="8306"/>
      </w:tabs>
      <w:snapToGrid w:val="0"/>
      <w:jc w:val="left"/>
    </w:pPr>
    <w:rPr>
      <w:rFonts w:ascii="宋体"/>
      <w:sz w:val="18"/>
      <w:szCs w:val="18"/>
    </w:rPr>
  </w:style>
  <w:style w:type="paragraph" w:styleId="32">
    <w:name w:val="envelope return"/>
    <w:basedOn w:val="1"/>
    <w:qFormat/>
    <w:uiPriority w:val="0"/>
    <w:pPr>
      <w:snapToGrid w:val="0"/>
    </w:pPr>
    <w:rPr>
      <w:rFonts w:ascii="Arial" w:hAnsi="Arial"/>
    </w:rPr>
  </w:style>
  <w:style w:type="paragraph" w:styleId="33">
    <w:name w:val="header"/>
    <w:basedOn w:val="1"/>
    <w:qFormat/>
    <w:uiPriority w:val="0"/>
    <w:pPr>
      <w:pBdr>
        <w:bottom w:val="single" w:color="auto" w:sz="6" w:space="1"/>
      </w:pBdr>
      <w:tabs>
        <w:tab w:val="center" w:pos="4153"/>
        <w:tab w:val="right" w:pos="8306"/>
      </w:tabs>
      <w:snapToGrid w:val="0"/>
      <w:jc w:val="center"/>
    </w:pPr>
    <w:rPr>
      <w:rFonts w:ascii="宋体"/>
      <w:sz w:val="18"/>
      <w:szCs w:val="18"/>
    </w:rPr>
  </w:style>
  <w:style w:type="paragraph" w:styleId="34">
    <w:name w:val="toc 1"/>
    <w:basedOn w:val="1"/>
    <w:next w:val="1"/>
    <w:qFormat/>
    <w:uiPriority w:val="39"/>
    <w:pPr>
      <w:tabs>
        <w:tab w:val="right" w:leader="dot" w:pos="8721"/>
      </w:tabs>
      <w:spacing w:line="480" w:lineRule="auto"/>
    </w:pPr>
    <w:rPr>
      <w:rFonts w:ascii="宋体"/>
      <w:color w:val="000000"/>
      <w:sz w:val="32"/>
      <w:szCs w:val="32"/>
    </w:rPr>
  </w:style>
  <w:style w:type="paragraph" w:styleId="35">
    <w:name w:val="toc 4"/>
    <w:basedOn w:val="1"/>
    <w:next w:val="1"/>
    <w:qFormat/>
    <w:uiPriority w:val="0"/>
    <w:pPr>
      <w:ind w:left="630"/>
      <w:jc w:val="left"/>
    </w:pPr>
    <w:rPr>
      <w:sz w:val="18"/>
      <w:szCs w:val="18"/>
    </w:rPr>
  </w:style>
  <w:style w:type="paragraph" w:styleId="36">
    <w:name w:val="List Number 5"/>
    <w:basedOn w:val="1"/>
    <w:qFormat/>
    <w:uiPriority w:val="0"/>
    <w:pPr>
      <w:tabs>
        <w:tab w:val="left" w:pos="2608"/>
      </w:tabs>
      <w:spacing w:line="360" w:lineRule="auto"/>
      <w:ind w:left="840" w:hanging="360"/>
    </w:pPr>
    <w:rPr>
      <w:sz w:val="24"/>
      <w:szCs w:val="24"/>
    </w:rPr>
  </w:style>
  <w:style w:type="paragraph" w:styleId="37">
    <w:name w:val="List"/>
    <w:basedOn w:val="1"/>
    <w:qFormat/>
    <w:uiPriority w:val="0"/>
    <w:pPr>
      <w:ind w:left="200" w:hanging="200" w:hangingChars="200"/>
    </w:pPr>
    <w:rPr>
      <w:szCs w:val="22"/>
    </w:rPr>
  </w:style>
  <w:style w:type="paragraph" w:styleId="38">
    <w:name w:val="footnote text"/>
    <w:basedOn w:val="1"/>
    <w:qFormat/>
    <w:uiPriority w:val="99"/>
    <w:pPr>
      <w:snapToGrid w:val="0"/>
      <w:jc w:val="left"/>
    </w:pPr>
    <w:rPr>
      <w:rFonts w:ascii="Calibri" w:hAnsi="Calibri"/>
      <w:sz w:val="18"/>
      <w:szCs w:val="18"/>
    </w:rPr>
  </w:style>
  <w:style w:type="paragraph" w:styleId="39">
    <w:name w:val="toc 6"/>
    <w:basedOn w:val="1"/>
    <w:next w:val="1"/>
    <w:qFormat/>
    <w:uiPriority w:val="0"/>
    <w:pPr>
      <w:ind w:left="1050"/>
      <w:jc w:val="left"/>
    </w:pPr>
    <w:rPr>
      <w:sz w:val="18"/>
      <w:szCs w:val="18"/>
    </w:rPr>
  </w:style>
  <w:style w:type="paragraph" w:styleId="40">
    <w:name w:val="Body Text Indent 3"/>
    <w:basedOn w:val="1"/>
    <w:qFormat/>
    <w:uiPriority w:val="0"/>
    <w:pPr>
      <w:spacing w:line="380" w:lineRule="exact"/>
      <w:ind w:left="525"/>
    </w:pPr>
    <w:rPr>
      <w:rFonts w:ascii="宋体"/>
      <w:b/>
      <w:sz w:val="24"/>
      <w:szCs w:val="24"/>
    </w:rPr>
  </w:style>
  <w:style w:type="paragraph" w:styleId="41">
    <w:name w:val="table of figures"/>
    <w:basedOn w:val="1"/>
    <w:next w:val="1"/>
    <w:qFormat/>
    <w:uiPriority w:val="0"/>
    <w:pPr>
      <w:ind w:left="420" w:hanging="420"/>
      <w:jc w:val="left"/>
    </w:pPr>
    <w:rPr>
      <w:smallCaps/>
      <w:sz w:val="20"/>
    </w:rPr>
  </w:style>
  <w:style w:type="paragraph" w:styleId="42">
    <w:name w:val="toc 2"/>
    <w:basedOn w:val="1"/>
    <w:next w:val="1"/>
    <w:qFormat/>
    <w:uiPriority w:val="0"/>
    <w:pPr>
      <w:ind w:left="210"/>
      <w:jc w:val="left"/>
    </w:pPr>
    <w:rPr>
      <w:smallCaps/>
      <w:sz w:val="20"/>
    </w:rPr>
  </w:style>
  <w:style w:type="paragraph" w:styleId="43">
    <w:name w:val="toc 9"/>
    <w:basedOn w:val="1"/>
    <w:next w:val="1"/>
    <w:qFormat/>
    <w:uiPriority w:val="0"/>
    <w:pPr>
      <w:ind w:left="1680"/>
      <w:jc w:val="left"/>
    </w:pPr>
    <w:rPr>
      <w:sz w:val="18"/>
      <w:szCs w:val="18"/>
    </w:rPr>
  </w:style>
  <w:style w:type="paragraph" w:styleId="44">
    <w:name w:val="Body Text 2"/>
    <w:basedOn w:val="1"/>
    <w:qFormat/>
    <w:uiPriority w:val="0"/>
    <w:pPr>
      <w:spacing w:after="120" w:line="480" w:lineRule="auto"/>
    </w:pPr>
    <w:rPr>
      <w:kern w:val="0"/>
      <w:sz w:val="24"/>
    </w:rPr>
  </w:style>
  <w:style w:type="paragraph" w:styleId="45">
    <w:name w:val="HTML Preformatted"/>
    <w:basedOn w:val="1"/>
    <w:qFormat/>
    <w:uiPriority w:val="0"/>
    <w:rPr>
      <w:rFonts w:ascii="Courier New" w:hAnsi="Courier New"/>
      <w:sz w:val="20"/>
    </w:rPr>
  </w:style>
  <w:style w:type="paragraph" w:styleId="46">
    <w:name w:val="Normal (Web)"/>
    <w:basedOn w:val="1"/>
    <w:qFormat/>
    <w:uiPriority w:val="0"/>
    <w:pPr>
      <w:widowControl/>
      <w:spacing w:before="100" w:beforeAutospacing="1" w:after="100" w:afterAutospacing="1" w:line="300" w:lineRule="atLeast"/>
      <w:jc w:val="left"/>
    </w:pPr>
    <w:rPr>
      <w:rFonts w:ascii="宋体" w:cs="宋体"/>
      <w:kern w:val="0"/>
      <w:sz w:val="24"/>
      <w:szCs w:val="24"/>
    </w:rPr>
  </w:style>
  <w:style w:type="paragraph" w:styleId="47">
    <w:name w:val="index 1"/>
    <w:basedOn w:val="1"/>
    <w:next w:val="1"/>
    <w:qFormat/>
    <w:uiPriority w:val="0"/>
  </w:style>
  <w:style w:type="paragraph" w:styleId="48">
    <w:name w:val="Title"/>
    <w:basedOn w:val="1"/>
    <w:qFormat/>
    <w:uiPriority w:val="0"/>
    <w:pPr>
      <w:spacing w:before="240" w:after="60"/>
      <w:jc w:val="center"/>
      <w:outlineLvl w:val="0"/>
    </w:pPr>
    <w:rPr>
      <w:rFonts w:ascii="Cambria" w:hAnsi="Cambria"/>
      <w:b/>
      <w:bCs/>
      <w:kern w:val="0"/>
      <w:sz w:val="32"/>
      <w:szCs w:val="32"/>
    </w:rPr>
  </w:style>
  <w:style w:type="paragraph" w:styleId="49">
    <w:name w:val="annotation subject"/>
    <w:basedOn w:val="16"/>
    <w:next w:val="16"/>
    <w:qFormat/>
    <w:uiPriority w:val="0"/>
    <w:rPr>
      <w:b/>
    </w:rPr>
  </w:style>
  <w:style w:type="paragraph" w:styleId="50">
    <w:name w:val="Body Text First Indent"/>
    <w:basedOn w:val="18"/>
    <w:next w:val="1"/>
    <w:qFormat/>
    <w:uiPriority w:val="0"/>
    <w:pPr>
      <w:spacing w:after="120"/>
      <w:ind w:firstLine="100" w:firstLineChars="100"/>
    </w:pPr>
    <w:rPr>
      <w:i/>
      <w:kern w:val="2"/>
      <w:sz w:val="24"/>
    </w:rPr>
  </w:style>
  <w:style w:type="paragraph" w:styleId="51">
    <w:name w:val="Body Text First Indent 2"/>
    <w:basedOn w:val="20"/>
    <w:next w:val="18"/>
    <w:qFormat/>
    <w:uiPriority w:val="0"/>
    <w:pPr>
      <w:spacing w:line="360" w:lineRule="auto"/>
      <w:ind w:firstLine="0"/>
    </w:pPr>
    <w:rPr>
      <w:rFonts w:eastAsia="宋体"/>
      <w:kern w:val="0"/>
      <w:sz w:val="20"/>
      <w:lang w:val="zh-CN"/>
    </w:rPr>
  </w:style>
  <w:style w:type="table" w:styleId="53">
    <w:name w:val="Table Grid"/>
    <w:basedOn w:val="52"/>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rPr>
  </w:style>
  <w:style w:type="character" w:styleId="56">
    <w:name w:val="page number"/>
    <w:basedOn w:val="54"/>
    <w:qFormat/>
    <w:uiPriority w:val="0"/>
    <w:rPr>
      <w:rFonts w:cs="Times New Roman"/>
      <w:lang w:bidi="ar-SA"/>
    </w:rPr>
  </w:style>
  <w:style w:type="character" w:styleId="57">
    <w:name w:val="FollowedHyperlink"/>
    <w:qFormat/>
    <w:uiPriority w:val="0"/>
    <w:rPr>
      <w:color w:val="800080"/>
      <w:u w:val="single"/>
    </w:rPr>
  </w:style>
  <w:style w:type="character" w:styleId="58">
    <w:name w:val="Emphasis"/>
    <w:qFormat/>
    <w:uiPriority w:val="0"/>
    <w:rPr>
      <w:i/>
    </w:rPr>
  </w:style>
  <w:style w:type="character" w:styleId="59">
    <w:name w:val="HTML Typewriter"/>
    <w:qFormat/>
    <w:uiPriority w:val="0"/>
    <w:rPr>
      <w:rFonts w:ascii="Courier New" w:hAnsi="Courier New"/>
      <w:sz w:val="20"/>
    </w:rPr>
  </w:style>
  <w:style w:type="character" w:styleId="60">
    <w:name w:val="Hyperlink"/>
    <w:qFormat/>
    <w:uiPriority w:val="99"/>
    <w:rPr>
      <w:color w:val="0000FF"/>
      <w:u w:val="single"/>
    </w:rPr>
  </w:style>
  <w:style w:type="character" w:styleId="61">
    <w:name w:val="annotation reference"/>
    <w:qFormat/>
    <w:uiPriority w:val="0"/>
    <w:rPr>
      <w:sz w:val="21"/>
    </w:rPr>
  </w:style>
  <w:style w:type="character" w:styleId="62">
    <w:name w:val="HTML Cite"/>
    <w:qFormat/>
    <w:uiPriority w:val="0"/>
    <w:rPr>
      <w:rFonts w:ascii="仿宋_GB2312" w:eastAsia="仿宋_GB2312"/>
      <w:b/>
      <w:color w:val="008000"/>
      <w:sz w:val="32"/>
      <w:szCs w:val="32"/>
    </w:rPr>
  </w:style>
  <w:style w:type="paragraph" w:customStyle="1" w:styleId="63">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4">
    <w:name w:val="标题 2 Char"/>
    <w:qFormat/>
    <w:uiPriority w:val="0"/>
    <w:rPr>
      <w:rFonts w:ascii="Arial" w:hAnsi="Arial" w:eastAsia="黑体"/>
      <w:b/>
      <w:kern w:val="2"/>
      <w:sz w:val="32"/>
      <w:lang w:val="en-US" w:eastAsia="zh-CN"/>
    </w:rPr>
  </w:style>
  <w:style w:type="character" w:customStyle="1" w:styleId="65">
    <w:name w:val="正文文本缩进 字符4"/>
    <w:link w:val="20"/>
    <w:qFormat/>
    <w:uiPriority w:val="0"/>
    <w:rPr>
      <w:rFonts w:ascii="Times New Roman" w:hAnsi="Times New Roman" w:eastAsia="方正书宋简体" w:cs="Times New Roman"/>
      <w:kern w:val="2"/>
      <w:sz w:val="24"/>
    </w:rPr>
  </w:style>
  <w:style w:type="character" w:customStyle="1" w:styleId="66">
    <w:name w:val="纯文本 字符"/>
    <w:qFormat/>
    <w:uiPriority w:val="0"/>
    <w:rPr>
      <w:rFonts w:ascii="宋体" w:eastAsia="宋体" w:cs="宋体"/>
      <w:lang w:val="en-US" w:eastAsia="zh-CN" w:bidi="ar-SA"/>
    </w:rPr>
  </w:style>
  <w:style w:type="character" w:customStyle="1" w:styleId="67">
    <w:name w:val="HTML 预设格式 字符"/>
    <w:qFormat/>
    <w:uiPriority w:val="0"/>
    <w:rPr>
      <w:rFonts w:ascii="Courier New" w:hAnsi="Courier New"/>
      <w:kern w:val="2"/>
    </w:rPr>
  </w:style>
  <w:style w:type="character" w:customStyle="1" w:styleId="68">
    <w:name w:val="hui3"/>
    <w:qFormat/>
    <w:uiPriority w:val="0"/>
    <w:rPr>
      <w:color w:val="333333"/>
    </w:rPr>
  </w:style>
  <w:style w:type="character" w:customStyle="1" w:styleId="69">
    <w:name w:val="文档结构图 Char2"/>
    <w:qFormat/>
    <w:uiPriority w:val="0"/>
    <w:rPr>
      <w:rFonts w:ascii="宋体" w:eastAsia="宋体" w:cs="Times New Roman"/>
      <w:sz w:val="18"/>
      <w:szCs w:val="18"/>
      <w:lang w:bidi="ar-SA"/>
    </w:rPr>
  </w:style>
  <w:style w:type="character" w:customStyle="1" w:styleId="70">
    <w:name w:val="font161"/>
    <w:qFormat/>
    <w:uiPriority w:val="0"/>
    <w:rPr>
      <w:rFonts w:ascii="宋体" w:eastAsia="宋体" w:cs="宋体"/>
      <w:color w:val="000000"/>
      <w:sz w:val="22"/>
      <w:szCs w:val="22"/>
      <w:u w:val="none"/>
      <w:lang w:bidi="ar-SA"/>
    </w:rPr>
  </w:style>
  <w:style w:type="character" w:customStyle="1" w:styleId="71">
    <w:name w:val="font141"/>
    <w:qFormat/>
    <w:uiPriority w:val="0"/>
    <w:rPr>
      <w:rFonts w:ascii="Times New Roman" w:hAnsi="Times New Roman" w:cs="Times New Roman"/>
      <w:b/>
      <w:bCs/>
      <w:color w:val="000000"/>
      <w:sz w:val="22"/>
      <w:szCs w:val="22"/>
      <w:u w:val="none"/>
      <w:lang w:bidi="ar-SA"/>
    </w:rPr>
  </w:style>
  <w:style w:type="character" w:customStyle="1" w:styleId="72">
    <w:name w:val="op-map-singlepoint-info-right"/>
    <w:qFormat/>
    <w:uiPriority w:val="0"/>
    <w:rPr>
      <w:rFonts w:ascii="仿宋_GB2312" w:eastAsia="仿宋_GB2312"/>
      <w:b/>
      <w:sz w:val="32"/>
      <w:szCs w:val="32"/>
    </w:rPr>
  </w:style>
  <w:style w:type="character" w:customStyle="1" w:styleId="73">
    <w:name w:val="font112"/>
    <w:qFormat/>
    <w:uiPriority w:val="0"/>
    <w:rPr>
      <w:rFonts w:ascii="宋体" w:eastAsia="宋体" w:cs="宋体"/>
      <w:color w:val="000000"/>
      <w:sz w:val="22"/>
      <w:szCs w:val="22"/>
      <w:u w:val="none"/>
      <w:lang w:bidi="ar-SA"/>
    </w:rPr>
  </w:style>
  <w:style w:type="character" w:customStyle="1" w:styleId="74">
    <w:name w:val="标题 1 Char"/>
    <w:qFormat/>
    <w:uiPriority w:val="0"/>
    <w:rPr>
      <w:rFonts w:ascii="宋体" w:eastAsia="宋体"/>
      <w:b/>
      <w:kern w:val="2"/>
      <w:sz w:val="28"/>
      <w:lang w:val="en-US" w:eastAsia="zh-CN"/>
    </w:rPr>
  </w:style>
  <w:style w:type="character" w:customStyle="1" w:styleId="75">
    <w:name w:val="日期 字符"/>
    <w:qFormat/>
    <w:uiPriority w:val="0"/>
    <w:rPr>
      <w:rFonts w:ascii="宋体" w:hAnsi="宋体" w:cs="Times New Roman"/>
      <w:sz w:val="24"/>
      <w:lang w:bidi="ar-SA"/>
    </w:rPr>
  </w:style>
  <w:style w:type="character" w:customStyle="1" w:styleId="76">
    <w:name w:val="标题 4 字符"/>
    <w:qFormat/>
    <w:uiPriority w:val="0"/>
    <w:rPr>
      <w:rFonts w:ascii="Arial" w:hAnsi="Arial" w:eastAsia="黑体"/>
      <w:b/>
      <w:kern w:val="2"/>
      <w:sz w:val="28"/>
      <w:lang w:val="en-US" w:eastAsia="zh-CN"/>
    </w:rPr>
  </w:style>
  <w:style w:type="character" w:customStyle="1" w:styleId="77">
    <w:name w:val="正文文本缩进 3 字符1"/>
    <w:qFormat/>
    <w:uiPriority w:val="0"/>
    <w:rPr>
      <w:kern w:val="2"/>
      <w:sz w:val="16"/>
      <w:szCs w:val="16"/>
    </w:rPr>
  </w:style>
  <w:style w:type="character" w:customStyle="1" w:styleId="78">
    <w:name w:val="正文文本 2 字符"/>
    <w:qFormat/>
    <w:uiPriority w:val="0"/>
    <w:rPr>
      <w:rFonts w:eastAsia="宋体"/>
      <w:sz w:val="24"/>
    </w:rPr>
  </w:style>
  <w:style w:type="character" w:customStyle="1" w:styleId="79">
    <w:name w:val="正文文本缩进 字符1"/>
    <w:qFormat/>
    <w:uiPriority w:val="0"/>
    <w:rPr>
      <w:rFonts w:eastAsia="方正书宋简体"/>
      <w:kern w:val="2"/>
      <w:sz w:val="24"/>
      <w:lang w:val="en-US" w:eastAsia="zh-CN"/>
    </w:rPr>
  </w:style>
  <w:style w:type="character" w:customStyle="1" w:styleId="80">
    <w:name w:val="zbggmain style9"/>
    <w:qFormat/>
    <w:uiPriority w:val="0"/>
  </w:style>
  <w:style w:type="character" w:customStyle="1" w:styleId="81">
    <w:name w:val="apple-converted-space"/>
    <w:qFormat/>
    <w:uiPriority w:val="0"/>
    <w:rPr>
      <w:rFonts w:cs="Times New Roman"/>
      <w:lang w:bidi="ar-SA"/>
    </w:rPr>
  </w:style>
  <w:style w:type="character" w:customStyle="1" w:styleId="82">
    <w:name w:val="标题 Char1"/>
    <w:qFormat/>
    <w:uiPriority w:val="0"/>
    <w:rPr>
      <w:rFonts w:ascii="Cambria" w:hAnsi="Cambria" w:eastAsia="仿宋_GB2312" w:cs="Times New Roman"/>
      <w:b/>
      <w:bCs/>
      <w:kern w:val="2"/>
      <w:sz w:val="32"/>
      <w:szCs w:val="32"/>
      <w:lang w:bidi="ar-SA"/>
    </w:rPr>
  </w:style>
  <w:style w:type="character" w:customStyle="1" w:styleId="83">
    <w:name w:val="font122"/>
    <w:qFormat/>
    <w:uiPriority w:val="0"/>
    <w:rPr>
      <w:rFonts w:ascii="宋体" w:eastAsia="宋体" w:cs="宋体"/>
      <w:b/>
      <w:bCs/>
      <w:color w:val="000000"/>
      <w:sz w:val="21"/>
      <w:szCs w:val="21"/>
      <w:u w:val="none"/>
      <w:lang w:bidi="ar-SA"/>
    </w:rPr>
  </w:style>
  <w:style w:type="character" w:customStyle="1" w:styleId="84">
    <w:name w:val="页眉 字符1"/>
    <w:qFormat/>
    <w:uiPriority w:val="0"/>
    <w:rPr>
      <w:kern w:val="2"/>
      <w:sz w:val="18"/>
      <w:szCs w:val="18"/>
    </w:rPr>
  </w:style>
  <w:style w:type="character" w:customStyle="1" w:styleId="85">
    <w:name w:val="正文文本首行缩进 字符"/>
    <w:qFormat/>
    <w:uiPriority w:val="0"/>
  </w:style>
  <w:style w:type="character" w:customStyle="1" w:styleId="86">
    <w:name w:val="font131"/>
    <w:qFormat/>
    <w:uiPriority w:val="0"/>
    <w:rPr>
      <w:rFonts w:ascii="宋体" w:eastAsia="宋体"/>
      <w:color w:val="000000"/>
      <w:sz w:val="24"/>
      <w:szCs w:val="24"/>
      <w:u w:val="none"/>
    </w:rPr>
  </w:style>
  <w:style w:type="character" w:customStyle="1" w:styleId="87">
    <w:name w:val="正文文本缩进 3 字符"/>
    <w:qFormat/>
    <w:uiPriority w:val="0"/>
    <w:rPr>
      <w:rFonts w:ascii="宋体" w:eastAsia="宋体" w:cs="宋体"/>
      <w:b/>
      <w:kern w:val="2"/>
      <w:sz w:val="24"/>
      <w:szCs w:val="24"/>
      <w:lang w:val="en-US" w:eastAsia="zh-CN" w:bidi="ar-SA"/>
    </w:rPr>
  </w:style>
  <w:style w:type="character" w:customStyle="1" w:styleId="88">
    <w:name w:val="apple-style-span"/>
    <w:qFormat/>
    <w:uiPriority w:val="0"/>
    <w:rPr>
      <w:rFonts w:cs="Times New Roman"/>
      <w:lang w:bidi="ar-SA"/>
    </w:rPr>
  </w:style>
  <w:style w:type="character" w:customStyle="1" w:styleId="89">
    <w:name w:val="正文首行缩进 字符"/>
    <w:qFormat/>
    <w:uiPriority w:val="0"/>
    <w:rPr>
      <w:rFonts w:ascii="宋体" w:eastAsia="宋体" w:cs="宋体"/>
      <w:i/>
      <w:kern w:val="2"/>
      <w:sz w:val="24"/>
      <w:lang w:val="en-US" w:eastAsia="zh-CN" w:bidi="ar-SA"/>
    </w:rPr>
  </w:style>
  <w:style w:type="character" w:customStyle="1" w:styleId="90">
    <w:name w:val="批注框文本 字符1"/>
    <w:qFormat/>
    <w:uiPriority w:val="0"/>
    <w:rPr>
      <w:kern w:val="2"/>
      <w:sz w:val="18"/>
      <w:szCs w:val="18"/>
    </w:rPr>
  </w:style>
  <w:style w:type="character" w:customStyle="1" w:styleId="91">
    <w:name w:val="正文文本缩进 字符3"/>
    <w:qFormat/>
    <w:uiPriority w:val="0"/>
    <w:rPr>
      <w:rFonts w:eastAsia="方正书宋简体"/>
      <w:kern w:val="2"/>
      <w:sz w:val="24"/>
      <w:lang w:val="en-US" w:eastAsia="zh-CN"/>
    </w:rPr>
  </w:style>
  <w:style w:type="character" w:customStyle="1" w:styleId="92">
    <w:name w:val="纯文本 Char2"/>
    <w:qFormat/>
    <w:uiPriority w:val="0"/>
    <w:rPr>
      <w:rFonts w:ascii="宋体" w:eastAsia="宋体"/>
      <w:color w:val="000000"/>
      <w:sz w:val="24"/>
      <w:lang w:val="en-US" w:eastAsia="zh-CN"/>
    </w:rPr>
  </w:style>
  <w:style w:type="character" w:customStyle="1" w:styleId="93">
    <w:name w:val="正文文本缩进 3 Char2"/>
    <w:qFormat/>
    <w:uiPriority w:val="0"/>
    <w:rPr>
      <w:rFonts w:ascii="Times New Roman" w:hAnsi="Times New Roman" w:eastAsia="宋体" w:cs="Times New Roman"/>
      <w:sz w:val="16"/>
      <w:szCs w:val="16"/>
      <w:lang w:bidi="ar-SA"/>
    </w:rPr>
  </w:style>
  <w:style w:type="character" w:customStyle="1" w:styleId="94">
    <w:name w:val="纯文本 Char"/>
    <w:qFormat/>
    <w:uiPriority w:val="0"/>
    <w:rPr>
      <w:rFonts w:ascii="宋体" w:eastAsia="宋体"/>
      <w:color w:val="000000"/>
      <w:sz w:val="24"/>
      <w:lang w:val="en-US" w:eastAsia="zh-CN"/>
    </w:rPr>
  </w:style>
  <w:style w:type="character" w:customStyle="1" w:styleId="95">
    <w:name w:val="标题 2 字符"/>
    <w:qFormat/>
    <w:uiPriority w:val="0"/>
    <w:rPr>
      <w:rFonts w:ascii="Cambria" w:hAnsi="Cambria" w:eastAsia="宋体" w:cs="Cambria"/>
      <w:kern w:val="2"/>
      <w:sz w:val="21"/>
      <w:szCs w:val="21"/>
      <w:lang w:val="en-US" w:eastAsia="zh-CN" w:bidi="ar-SA"/>
    </w:rPr>
  </w:style>
  <w:style w:type="character" w:customStyle="1" w:styleId="96">
    <w:name w:val="font81"/>
    <w:qFormat/>
    <w:uiPriority w:val="0"/>
    <w:rPr>
      <w:rFonts w:ascii="宋体" w:eastAsia="宋体" w:cs="宋体"/>
      <w:color w:val="000000"/>
      <w:sz w:val="22"/>
      <w:szCs w:val="22"/>
      <w:u w:val="none"/>
      <w:lang w:bidi="ar-SA"/>
    </w:rPr>
  </w:style>
  <w:style w:type="character" w:customStyle="1" w:styleId="97">
    <w:name w:val="font31"/>
    <w:qFormat/>
    <w:uiPriority w:val="0"/>
    <w:rPr>
      <w:rFonts w:ascii="宋体" w:eastAsia="宋体"/>
      <w:color w:val="000000"/>
      <w:sz w:val="24"/>
      <w:szCs w:val="24"/>
      <w:u w:val="none"/>
    </w:rPr>
  </w:style>
  <w:style w:type="character" w:customStyle="1" w:styleId="98">
    <w:name w:val="正文文本 字符"/>
    <w:qFormat/>
    <w:uiPriority w:val="0"/>
    <w:rPr>
      <w:rFonts w:ascii="宋体" w:eastAsia="宋体" w:cs="宋体"/>
      <w:lang w:val="en-US" w:eastAsia="zh-CN" w:bidi="ar-SA"/>
    </w:rPr>
  </w:style>
  <w:style w:type="character" w:customStyle="1" w:styleId="99">
    <w:name w:val="纯文本 字符2"/>
    <w:qFormat/>
    <w:uiPriority w:val="0"/>
    <w:rPr>
      <w:rFonts w:ascii="宋体" w:eastAsia="宋体" w:cs="宋体"/>
      <w:lang w:val="en-US" w:eastAsia="zh-CN" w:bidi="ar-SA"/>
    </w:rPr>
  </w:style>
  <w:style w:type="character" w:customStyle="1" w:styleId="100">
    <w:name w:val="正文缩进 Char"/>
    <w:qFormat/>
    <w:uiPriority w:val="0"/>
    <w:rPr>
      <w:rFonts w:eastAsia="宋体"/>
      <w:kern w:val="2"/>
      <w:sz w:val="24"/>
      <w:lang w:val="en-US" w:eastAsia="zh-CN"/>
    </w:rPr>
  </w:style>
  <w:style w:type="character" w:customStyle="1" w:styleId="101">
    <w:name w:val="正文文本缩进 3 Char"/>
    <w:qFormat/>
    <w:uiPriority w:val="0"/>
    <w:rPr>
      <w:rFonts w:ascii="宋体" w:eastAsia="宋体"/>
      <w:kern w:val="2"/>
      <w:sz w:val="24"/>
      <w:lang w:val="en-US" w:eastAsia="zh-CN"/>
    </w:rPr>
  </w:style>
  <w:style w:type="character" w:customStyle="1" w:styleId="102">
    <w:name w:val="页眉 字符"/>
    <w:qFormat/>
    <w:uiPriority w:val="0"/>
    <w:rPr>
      <w:rFonts w:ascii="宋体" w:eastAsia="宋体" w:cs="宋体"/>
      <w:kern w:val="2"/>
      <w:sz w:val="18"/>
      <w:szCs w:val="18"/>
      <w:lang w:val="en-US" w:eastAsia="zh-CN" w:bidi="ar-SA"/>
    </w:rPr>
  </w:style>
  <w:style w:type="character" w:customStyle="1" w:styleId="103">
    <w:name w:val="标题 9 字符"/>
    <w:qFormat/>
    <w:uiPriority w:val="0"/>
    <w:rPr>
      <w:rFonts w:ascii="Arial" w:hAnsi="Arial" w:eastAsia="黑体"/>
      <w:kern w:val="2"/>
      <w:sz w:val="21"/>
    </w:rPr>
  </w:style>
  <w:style w:type="character" w:customStyle="1" w:styleId="104">
    <w:name w:val="批注主题 字符1"/>
    <w:qFormat/>
    <w:uiPriority w:val="0"/>
    <w:rPr>
      <w:b/>
      <w:bCs/>
      <w:kern w:val="2"/>
      <w:sz w:val="21"/>
    </w:rPr>
  </w:style>
  <w:style w:type="character" w:customStyle="1" w:styleId="105">
    <w:name w:val="批注主题 Char"/>
    <w:qFormat/>
    <w:uiPriority w:val="0"/>
    <w:rPr>
      <w:rFonts w:cs="Times New Roman"/>
      <w:b/>
      <w:bCs/>
      <w:kern w:val="2"/>
      <w:sz w:val="21"/>
      <w:lang w:bidi="ar-SA"/>
    </w:rPr>
  </w:style>
  <w:style w:type="character" w:customStyle="1" w:styleId="106">
    <w:name w:val="c-icon16"/>
    <w:qFormat/>
    <w:uiPriority w:val="0"/>
  </w:style>
  <w:style w:type="character" w:customStyle="1" w:styleId="107">
    <w:name w:val="HTML 预设格式 Char1"/>
    <w:qFormat/>
    <w:uiPriority w:val="0"/>
    <w:rPr>
      <w:rFonts w:ascii="Courier New" w:hAnsi="Courier New" w:eastAsia="宋体" w:cs="Courier New"/>
      <w:sz w:val="20"/>
      <w:szCs w:val="20"/>
      <w:lang w:bidi="ar-SA"/>
    </w:rPr>
  </w:style>
  <w:style w:type="character" w:customStyle="1" w:styleId="108">
    <w:name w:val="批注框文本 字符"/>
    <w:qFormat/>
    <w:uiPriority w:val="0"/>
    <w:rPr>
      <w:rFonts w:ascii="宋体" w:eastAsia="宋体" w:cs="宋体"/>
      <w:kern w:val="2"/>
      <w:sz w:val="18"/>
      <w:szCs w:val="18"/>
      <w:lang w:val="en-US" w:eastAsia="zh-CN" w:bidi="ar-SA"/>
    </w:rPr>
  </w:style>
  <w:style w:type="character" w:customStyle="1" w:styleId="109">
    <w:name w:val="正文文本 3 Char1"/>
    <w:qFormat/>
    <w:uiPriority w:val="0"/>
    <w:rPr>
      <w:rFonts w:ascii="Times New Roman" w:hAnsi="Times New Roman" w:eastAsia="宋体" w:cs="Times New Roman"/>
      <w:sz w:val="16"/>
      <w:szCs w:val="16"/>
      <w:lang w:bidi="ar-SA"/>
    </w:rPr>
  </w:style>
  <w:style w:type="character" w:customStyle="1" w:styleId="110">
    <w:name w:val="正文文本 字符1"/>
    <w:qFormat/>
    <w:uiPriority w:val="0"/>
    <w:rPr>
      <w:kern w:val="2"/>
      <w:sz w:val="21"/>
    </w:rPr>
  </w:style>
  <w:style w:type="character" w:customStyle="1" w:styleId="111">
    <w:name w:val="批注主题 字符"/>
    <w:qFormat/>
    <w:uiPriority w:val="0"/>
    <w:rPr>
      <w:rFonts w:ascii="宋体" w:eastAsia="宋体" w:cs="宋体"/>
      <w:b/>
      <w:kern w:val="2"/>
      <w:sz w:val="21"/>
      <w:szCs w:val="21"/>
      <w:lang w:val="en-US" w:eastAsia="zh-CN" w:bidi="ar-SA"/>
    </w:rPr>
  </w:style>
  <w:style w:type="character" w:customStyle="1" w:styleId="112">
    <w:name w:val="正文文本缩进 字符"/>
    <w:qFormat/>
    <w:uiPriority w:val="0"/>
    <w:rPr>
      <w:rFonts w:ascii="Calibri" w:hAnsi="Calibri" w:cs="Calibri"/>
      <w:lang w:bidi="ar-SA"/>
    </w:rPr>
  </w:style>
  <w:style w:type="character" w:customStyle="1" w:styleId="113">
    <w:name w:val="font21"/>
    <w:basedOn w:val="54"/>
    <w:qFormat/>
    <w:uiPriority w:val="0"/>
    <w:rPr>
      <w:rFonts w:ascii="宋体" w:eastAsia="宋体" w:cs="宋体"/>
      <w:b/>
      <w:color w:val="000000"/>
      <w:sz w:val="22"/>
      <w:szCs w:val="22"/>
      <w:u w:val="none"/>
      <w:lang w:bidi="ar-SA"/>
    </w:rPr>
  </w:style>
  <w:style w:type="character" w:customStyle="1" w:styleId="114">
    <w:name w:val="正文文本 Char"/>
    <w:qFormat/>
    <w:uiPriority w:val="0"/>
    <w:rPr>
      <w:rFonts w:eastAsia="宋体"/>
      <w:i/>
      <w:kern w:val="2"/>
      <w:sz w:val="18"/>
      <w:lang w:val="en-US" w:eastAsia="zh-CN"/>
    </w:rPr>
  </w:style>
  <w:style w:type="character" w:customStyle="1" w:styleId="115">
    <w:name w:val="z-窗体底端 Char1"/>
    <w:qFormat/>
    <w:uiPriority w:val="0"/>
    <w:rPr>
      <w:rFonts w:ascii="Arial" w:hAnsi="Arial" w:cs="Arial"/>
      <w:vanish/>
      <w:kern w:val="2"/>
      <w:sz w:val="16"/>
      <w:szCs w:val="16"/>
      <w:lang w:bidi="ar-SA"/>
    </w:rPr>
  </w:style>
  <w:style w:type="character" w:customStyle="1" w:styleId="116">
    <w:name w:val="无"/>
    <w:qFormat/>
    <w:uiPriority w:val="0"/>
  </w:style>
  <w:style w:type="character" w:customStyle="1" w:styleId="117">
    <w:name w:val="标题 1 Char Char"/>
    <w:qFormat/>
    <w:uiPriority w:val="0"/>
    <w:rPr>
      <w:rFonts w:eastAsia="宋体"/>
      <w:b/>
      <w:spacing w:val="-2"/>
      <w:sz w:val="24"/>
      <w:lang w:val="en-US" w:eastAsia="zh-CN"/>
    </w:rPr>
  </w:style>
  <w:style w:type="character" w:customStyle="1" w:styleId="118">
    <w:name w:val="style171"/>
    <w:qFormat/>
    <w:uiPriority w:val="0"/>
    <w:rPr>
      <w:rFonts w:ascii="仿宋_GB2312" w:eastAsia="仿宋_GB2312"/>
      <w:b/>
      <w:bCs/>
      <w:color w:val="000000"/>
      <w:sz w:val="32"/>
      <w:szCs w:val="32"/>
    </w:rPr>
  </w:style>
  <w:style w:type="character" w:customStyle="1" w:styleId="119">
    <w:name w:val="style191"/>
    <w:qFormat/>
    <w:uiPriority w:val="0"/>
    <w:rPr>
      <w:rFonts w:ascii="仿宋_GB2312" w:eastAsia="仿宋_GB2312"/>
      <w:b/>
      <w:bCs/>
      <w:sz w:val="21"/>
      <w:szCs w:val="21"/>
    </w:rPr>
  </w:style>
  <w:style w:type="character" w:customStyle="1" w:styleId="120">
    <w:name w:val="HTML 预设格式 字符1"/>
    <w:qFormat/>
    <w:uiPriority w:val="0"/>
    <w:rPr>
      <w:rFonts w:ascii="Courier New" w:hAnsi="Courier New" w:cs="Courier New"/>
      <w:kern w:val="2"/>
      <w:lang w:bidi="ar-SA"/>
    </w:rPr>
  </w:style>
  <w:style w:type="character" w:customStyle="1" w:styleId="121">
    <w:name w:val="font151"/>
    <w:qFormat/>
    <w:uiPriority w:val="0"/>
    <w:rPr>
      <w:rFonts w:ascii="宋体" w:eastAsia="宋体" w:cs="宋体"/>
      <w:color w:val="000000"/>
      <w:sz w:val="21"/>
      <w:szCs w:val="21"/>
      <w:u w:val="none"/>
      <w:lang w:bidi="ar-SA"/>
    </w:rPr>
  </w:style>
  <w:style w:type="character" w:customStyle="1" w:styleId="122">
    <w:name w:val="批注文字 字符1"/>
    <w:qFormat/>
    <w:uiPriority w:val="0"/>
    <w:rPr>
      <w:kern w:val="2"/>
      <w:sz w:val="21"/>
    </w:rPr>
  </w:style>
  <w:style w:type="character" w:customStyle="1" w:styleId="123">
    <w:name w:val="标题 8 字符"/>
    <w:link w:val="9"/>
    <w:qFormat/>
    <w:uiPriority w:val="0"/>
    <w:rPr>
      <w:rFonts w:ascii="Arial" w:hAnsi="Arial" w:eastAsia="黑体"/>
      <w:sz w:val="24"/>
    </w:rPr>
  </w:style>
  <w:style w:type="character" w:customStyle="1" w:styleId="124">
    <w:name w:val="标题 Char3"/>
    <w:qFormat/>
    <w:uiPriority w:val="0"/>
    <w:rPr>
      <w:rFonts w:ascii="Cambria" w:hAnsi="Cambria" w:cs="Times New Roman"/>
      <w:b/>
      <w:bCs/>
      <w:kern w:val="2"/>
      <w:sz w:val="32"/>
      <w:szCs w:val="32"/>
      <w:lang w:bidi="ar-SA"/>
    </w:rPr>
  </w:style>
  <w:style w:type="character" w:customStyle="1" w:styleId="125">
    <w:name w:val="font11"/>
    <w:qFormat/>
    <w:uiPriority w:val="0"/>
    <w:rPr>
      <w:rFonts w:ascii="Times New Roman" w:hAnsi="Times New Roman"/>
      <w:color w:val="000000"/>
      <w:sz w:val="24"/>
      <w:u w:val="none"/>
    </w:rPr>
  </w:style>
  <w:style w:type="character" w:customStyle="1" w:styleId="126">
    <w:name w:val="f11"/>
    <w:qFormat/>
    <w:uiPriority w:val="0"/>
    <w:rPr>
      <w:rFonts w:ascii="仿宋_GB2312" w:eastAsia="仿宋_GB2312"/>
      <w:b/>
      <w:sz w:val="24"/>
      <w:szCs w:val="24"/>
    </w:rPr>
  </w:style>
  <w:style w:type="character" w:customStyle="1" w:styleId="127">
    <w:name w:val="font12gray1"/>
    <w:qFormat/>
    <w:uiPriority w:val="0"/>
    <w:rPr>
      <w:rFonts w:ascii="仿宋_GB2312" w:eastAsia="仿宋_GB2312"/>
      <w:b/>
      <w:sz w:val="18"/>
      <w:szCs w:val="18"/>
    </w:rPr>
  </w:style>
  <w:style w:type="character" w:customStyle="1" w:styleId="128">
    <w:name w:val="z-窗体顶端 Char1"/>
    <w:qFormat/>
    <w:uiPriority w:val="0"/>
    <w:rPr>
      <w:rFonts w:ascii="Arial" w:hAnsi="Arial" w:cs="Arial"/>
      <w:vanish/>
      <w:kern w:val="2"/>
      <w:sz w:val="16"/>
      <w:szCs w:val="16"/>
      <w:lang w:bidi="ar-SA"/>
    </w:rPr>
  </w:style>
  <w:style w:type="character" w:customStyle="1" w:styleId="129">
    <w:name w:val="font91"/>
    <w:qFormat/>
    <w:uiPriority w:val="0"/>
    <w:rPr>
      <w:rFonts w:ascii="华文细黑" w:eastAsia="华文细黑"/>
      <w:color w:val="FF0000"/>
      <w:sz w:val="18"/>
      <w:szCs w:val="18"/>
      <w:u w:val="none"/>
    </w:rPr>
  </w:style>
  <w:style w:type="character" w:customStyle="1" w:styleId="130">
    <w:name w:val="正文文本 2 字符1"/>
    <w:qFormat/>
    <w:uiPriority w:val="0"/>
    <w:rPr>
      <w:kern w:val="2"/>
      <w:sz w:val="21"/>
    </w:rPr>
  </w:style>
  <w:style w:type="character" w:customStyle="1" w:styleId="131">
    <w:name w:val="标题 5 字符"/>
    <w:qFormat/>
    <w:uiPriority w:val="0"/>
    <w:rPr>
      <w:rFonts w:eastAsia="宋体"/>
      <w:b/>
      <w:kern w:val="2"/>
      <w:sz w:val="28"/>
      <w:lang w:val="en-US" w:eastAsia="zh-CN"/>
    </w:rPr>
  </w:style>
  <w:style w:type="character" w:customStyle="1" w:styleId="132">
    <w:name w:val="日期 字符1"/>
    <w:qFormat/>
    <w:uiPriority w:val="0"/>
    <w:rPr>
      <w:kern w:val="2"/>
      <w:sz w:val="21"/>
    </w:rPr>
  </w:style>
  <w:style w:type="character" w:customStyle="1" w:styleId="133">
    <w:name w:val="页脚 字符1"/>
    <w:qFormat/>
    <w:uiPriority w:val="0"/>
    <w:rPr>
      <w:kern w:val="2"/>
      <w:sz w:val="18"/>
      <w:szCs w:val="18"/>
    </w:rPr>
  </w:style>
  <w:style w:type="character" w:customStyle="1" w:styleId="134">
    <w:name w:val="font41"/>
    <w:qFormat/>
    <w:uiPriority w:val="0"/>
    <w:rPr>
      <w:rFonts w:ascii="font-weight : 400" w:hAnsi="font-weight : 400" w:eastAsia="font-weight : 400" w:cs="font-weight : 400"/>
      <w:b/>
      <w:color w:val="000000"/>
      <w:sz w:val="22"/>
      <w:szCs w:val="22"/>
      <w:u w:val="none"/>
      <w:lang w:bidi="ar-SA"/>
    </w:rPr>
  </w:style>
  <w:style w:type="character" w:customStyle="1" w:styleId="135">
    <w:name w:val="font61"/>
    <w:qFormat/>
    <w:uiPriority w:val="0"/>
    <w:rPr>
      <w:rFonts w:ascii="Times New Roman" w:hAnsi="Times New Roman"/>
      <w:color w:val="000000"/>
      <w:sz w:val="20"/>
      <w:u w:val="none"/>
    </w:rPr>
  </w:style>
  <w:style w:type="character" w:customStyle="1" w:styleId="136">
    <w:name w:val="正文文本缩进 Char1"/>
    <w:qFormat/>
    <w:uiPriority w:val="0"/>
    <w:rPr>
      <w:rFonts w:eastAsia="方正书宋简体"/>
      <w:kern w:val="2"/>
      <w:sz w:val="24"/>
      <w:lang w:val="en-US" w:eastAsia="zh-CN"/>
    </w:rPr>
  </w:style>
  <w:style w:type="character" w:customStyle="1" w:styleId="137">
    <w:name w:val="正文文本缩进 Char2"/>
    <w:qFormat/>
    <w:uiPriority w:val="0"/>
    <w:rPr>
      <w:rFonts w:ascii="Times New Roman" w:hAnsi="Times New Roman" w:eastAsia="宋体" w:cs="Times New Roman"/>
      <w:szCs w:val="24"/>
      <w:lang w:bidi="ar-SA"/>
    </w:rPr>
  </w:style>
  <w:style w:type="character" w:customStyle="1" w:styleId="138">
    <w:name w:val="正文缩进 字符"/>
    <w:qFormat/>
    <w:uiPriority w:val="0"/>
    <w:rPr>
      <w:rFonts w:ascii="宋体" w:eastAsia="宋体" w:cs="宋体"/>
      <w:spacing w:val="14"/>
      <w:kern w:val="24"/>
      <w:sz w:val="24"/>
      <w:szCs w:val="24"/>
      <w:lang w:val="en-US" w:eastAsia="zh-CN" w:bidi="ar-SA"/>
    </w:rPr>
  </w:style>
  <w:style w:type="character" w:customStyle="1" w:styleId="139">
    <w:name w:val="正文文本 3 字符1"/>
    <w:qFormat/>
    <w:uiPriority w:val="0"/>
    <w:rPr>
      <w:kern w:val="2"/>
      <w:sz w:val="16"/>
      <w:szCs w:val="16"/>
    </w:rPr>
  </w:style>
  <w:style w:type="character" w:customStyle="1" w:styleId="140">
    <w:name w:val="页眉 Char"/>
    <w:qFormat/>
    <w:uiPriority w:val="0"/>
    <w:rPr>
      <w:rFonts w:eastAsia="宋体"/>
      <w:kern w:val="2"/>
      <w:sz w:val="18"/>
      <w:lang w:val="en-US" w:eastAsia="zh-CN"/>
    </w:rPr>
  </w:style>
  <w:style w:type="character" w:customStyle="1" w:styleId="141">
    <w:name w:val="列出段落 字符"/>
    <w:qFormat/>
    <w:uiPriority w:val="0"/>
    <w:rPr>
      <w:rFonts w:eastAsia="宋体"/>
      <w:kern w:val="2"/>
      <w:sz w:val="24"/>
      <w:lang w:val="en-US" w:eastAsia="zh-CN"/>
    </w:rPr>
  </w:style>
  <w:style w:type="character" w:customStyle="1" w:styleId="142">
    <w:name w:val="标题 1 字符"/>
    <w:qFormat/>
    <w:uiPriority w:val="0"/>
    <w:rPr>
      <w:rFonts w:ascii="宋体" w:eastAsia="宋体" w:cs="宋体"/>
      <w:b/>
      <w:kern w:val="44"/>
      <w:sz w:val="44"/>
      <w:szCs w:val="44"/>
      <w:lang w:val="en-US" w:eastAsia="zh-CN" w:bidi="ar-SA"/>
    </w:rPr>
  </w:style>
  <w:style w:type="character" w:customStyle="1" w:styleId="143">
    <w:name w:val="页脚 字符"/>
    <w:qFormat/>
    <w:uiPriority w:val="0"/>
    <w:rPr>
      <w:rFonts w:ascii="宋体" w:eastAsia="宋体" w:cs="宋体"/>
      <w:kern w:val="2"/>
      <w:sz w:val="18"/>
      <w:szCs w:val="18"/>
      <w:lang w:val="en-US" w:eastAsia="zh-CN" w:bidi="ar-SA"/>
    </w:rPr>
  </w:style>
  <w:style w:type="character" w:customStyle="1" w:styleId="144">
    <w:name w:val="font71"/>
    <w:qFormat/>
    <w:uiPriority w:val="0"/>
    <w:rPr>
      <w:rFonts w:ascii="宋体" w:eastAsia="宋体" w:cs="宋体"/>
      <w:b/>
      <w:color w:val="0000FF"/>
      <w:sz w:val="22"/>
      <w:szCs w:val="22"/>
      <w:u w:val="none"/>
      <w:lang w:bidi="ar-SA"/>
    </w:rPr>
  </w:style>
  <w:style w:type="character" w:customStyle="1" w:styleId="145">
    <w:name w:val="font101"/>
    <w:qFormat/>
    <w:uiPriority w:val="0"/>
    <w:rPr>
      <w:rFonts w:ascii="Times New Roman" w:hAnsi="Times New Roman" w:cs="Times New Roman"/>
      <w:b/>
      <w:color w:val="000000"/>
      <w:sz w:val="22"/>
      <w:szCs w:val="22"/>
      <w:u w:val="none"/>
      <w:lang w:bidi="ar-SA"/>
    </w:rPr>
  </w:style>
  <w:style w:type="character" w:customStyle="1" w:styleId="146">
    <w:name w:val="正文文本缩进 2 字符"/>
    <w:qFormat/>
    <w:uiPriority w:val="0"/>
    <w:rPr>
      <w:rFonts w:ascii="宋体" w:eastAsia="宋体"/>
      <w:kern w:val="2"/>
      <w:sz w:val="24"/>
      <w:lang w:val="en-US" w:eastAsia="zh-CN"/>
    </w:rPr>
  </w:style>
  <w:style w:type="character" w:customStyle="1" w:styleId="147">
    <w:name w:val="日期 字符2"/>
    <w:qFormat/>
    <w:uiPriority w:val="0"/>
    <w:rPr>
      <w:rFonts w:ascii="宋体" w:hAnsi="宋体" w:cs="Times New Roman"/>
      <w:sz w:val="24"/>
      <w:lang w:bidi="ar-SA"/>
    </w:rPr>
  </w:style>
  <w:style w:type="character" w:customStyle="1" w:styleId="148">
    <w:name w:val="正文文本缩进 2 字符1"/>
    <w:qFormat/>
    <w:uiPriority w:val="0"/>
    <w:rPr>
      <w:kern w:val="2"/>
      <w:sz w:val="21"/>
    </w:rPr>
  </w:style>
  <w:style w:type="character" w:customStyle="1" w:styleId="149">
    <w:name w:val="文档结构图 字符"/>
    <w:qFormat/>
    <w:uiPriority w:val="0"/>
    <w:rPr>
      <w:rFonts w:eastAsia="宋体"/>
      <w:kern w:val="2"/>
      <w:sz w:val="21"/>
      <w:lang w:val="en-US" w:eastAsia="zh-CN"/>
    </w:rPr>
  </w:style>
  <w:style w:type="character" w:customStyle="1" w:styleId="150">
    <w:name w:val="正文文本 3 字符"/>
    <w:qFormat/>
    <w:uiPriority w:val="0"/>
    <w:rPr>
      <w:rFonts w:eastAsia="宋体"/>
      <w:sz w:val="16"/>
    </w:rPr>
  </w:style>
  <w:style w:type="character" w:customStyle="1" w:styleId="151">
    <w:name w:val="pubtime"/>
    <w:qFormat/>
    <w:uiPriority w:val="0"/>
    <w:rPr>
      <w:rFonts w:ascii="仿宋_GB2312" w:eastAsia="仿宋_GB2312"/>
      <w:color w:val="000000"/>
      <w:sz w:val="14"/>
      <w:szCs w:val="14"/>
    </w:rPr>
  </w:style>
  <w:style w:type="character" w:customStyle="1" w:styleId="152">
    <w:name w:val="op_dict3_lineone_result_tip"/>
    <w:qFormat/>
    <w:uiPriority w:val="0"/>
    <w:rPr>
      <w:color w:val="999999"/>
    </w:rPr>
  </w:style>
  <w:style w:type="character" w:customStyle="1" w:styleId="153">
    <w:name w:val="p12"/>
    <w:qFormat/>
    <w:uiPriority w:val="0"/>
  </w:style>
  <w:style w:type="character" w:customStyle="1" w:styleId="154">
    <w:name w:val="批注文字 字符"/>
    <w:qFormat/>
    <w:uiPriority w:val="0"/>
    <w:rPr>
      <w:rFonts w:ascii="宋体" w:eastAsia="宋体" w:cs="宋体"/>
      <w:kern w:val="2"/>
      <w:sz w:val="21"/>
      <w:szCs w:val="21"/>
      <w:lang w:val="en-US" w:eastAsia="zh-CN" w:bidi="ar-SA"/>
    </w:rPr>
  </w:style>
  <w:style w:type="character" w:customStyle="1" w:styleId="155">
    <w:name w:val="font111"/>
    <w:qFormat/>
    <w:uiPriority w:val="0"/>
    <w:rPr>
      <w:rFonts w:ascii="Times New Roman" w:hAnsi="Times New Roman" w:cs="Times New Roman"/>
      <w:color w:val="000000"/>
      <w:sz w:val="24"/>
      <w:szCs w:val="24"/>
      <w:u w:val="none"/>
      <w:lang w:bidi="ar-SA"/>
    </w:rPr>
  </w:style>
  <w:style w:type="character" w:customStyle="1" w:styleId="156">
    <w:name w:val="批注框文本 Char"/>
    <w:qFormat/>
    <w:uiPriority w:val="0"/>
    <w:rPr>
      <w:rFonts w:cs="Times New Roman"/>
      <w:kern w:val="2"/>
      <w:sz w:val="18"/>
      <w:szCs w:val="18"/>
      <w:lang w:bidi="ar-SA"/>
    </w:rPr>
  </w:style>
  <w:style w:type="character" w:customStyle="1" w:styleId="157">
    <w:name w:val="标题 3 Char"/>
    <w:qFormat/>
    <w:uiPriority w:val="9"/>
    <w:rPr>
      <w:rFonts w:ascii="Arial" w:hAnsi="Arial" w:eastAsia="黑体"/>
      <w:b/>
      <w:kern w:val="2"/>
      <w:sz w:val="32"/>
      <w:lang w:val="en-US" w:eastAsia="zh-CN"/>
    </w:rPr>
  </w:style>
  <w:style w:type="character" w:customStyle="1" w:styleId="158">
    <w:name w:val="bookmark-item"/>
    <w:qFormat/>
    <w:uiPriority w:val="0"/>
  </w:style>
  <w:style w:type="character" w:customStyle="1" w:styleId="159">
    <w:name w:val="文档结构图 Char1"/>
    <w:qFormat/>
    <w:uiPriority w:val="0"/>
    <w:rPr>
      <w:rFonts w:ascii="宋体" w:hAnsi="宋体" w:eastAsia="仿宋_GB2312"/>
      <w:b/>
      <w:kern w:val="2"/>
      <w:sz w:val="18"/>
      <w:szCs w:val="18"/>
    </w:rPr>
  </w:style>
  <w:style w:type="character" w:customStyle="1" w:styleId="160">
    <w:name w:val="正文文本 Char1"/>
    <w:qFormat/>
    <w:uiPriority w:val="0"/>
    <w:rPr>
      <w:rFonts w:ascii="Times New Roman" w:hAnsi="Times New Roman" w:eastAsia="宋体" w:cs="Times New Roman"/>
      <w:sz w:val="24"/>
      <w:szCs w:val="24"/>
      <w:lang w:bidi="ar-SA"/>
    </w:rPr>
  </w:style>
  <w:style w:type="character" w:customStyle="1" w:styleId="161">
    <w:name w:val="font51"/>
    <w:qFormat/>
    <w:uiPriority w:val="0"/>
    <w:rPr>
      <w:rFonts w:ascii="宋体" w:eastAsia="宋体"/>
      <w:color w:val="000000"/>
      <w:sz w:val="24"/>
      <w:szCs w:val="24"/>
      <w:u w:val="none"/>
    </w:rPr>
  </w:style>
  <w:style w:type="character" w:customStyle="1" w:styleId="162">
    <w:name w:val="批注文字 Char"/>
    <w:qFormat/>
    <w:uiPriority w:val="0"/>
    <w:rPr>
      <w:rFonts w:cs="Times New Roman"/>
      <w:kern w:val="2"/>
      <w:sz w:val="21"/>
      <w:lang w:bidi="ar-SA"/>
    </w:rPr>
  </w:style>
  <w:style w:type="character" w:customStyle="1" w:styleId="163">
    <w:name w:val="页脚 Char"/>
    <w:qFormat/>
    <w:uiPriority w:val="0"/>
    <w:rPr>
      <w:rFonts w:eastAsia="宋体"/>
      <w:kern w:val="2"/>
      <w:sz w:val="18"/>
      <w:lang w:val="en-US" w:eastAsia="zh-CN"/>
    </w:rPr>
  </w:style>
  <w:style w:type="character" w:customStyle="1" w:styleId="164">
    <w:name w:val="h6 Char"/>
    <w:qFormat/>
    <w:uiPriority w:val="0"/>
    <w:rPr>
      <w:rFonts w:ascii="Arial" w:hAnsi="Arial" w:eastAsia="宋体"/>
      <w:b/>
      <w:kern w:val="2"/>
      <w:sz w:val="24"/>
      <w:lang w:val="en-US" w:eastAsia="zh-CN"/>
    </w:rPr>
  </w:style>
  <w:style w:type="character" w:customStyle="1" w:styleId="165">
    <w:name w:val="纯文本 字符1"/>
    <w:qFormat/>
    <w:uiPriority w:val="0"/>
    <w:rPr>
      <w:rFonts w:ascii="等线" w:eastAsia="等线" w:cs="Courier New"/>
      <w:kern w:val="2"/>
      <w:sz w:val="21"/>
      <w:lang w:bidi="ar-SA"/>
    </w:rPr>
  </w:style>
  <w:style w:type="character" w:customStyle="1" w:styleId="166">
    <w:name w:val="h Char Char"/>
    <w:qFormat/>
    <w:uiPriority w:val="0"/>
    <w:rPr>
      <w:rFonts w:ascii="仿宋_GB2312" w:eastAsia="仿宋_GB2312"/>
      <w:b/>
      <w:kern w:val="2"/>
      <w:sz w:val="18"/>
      <w:szCs w:val="18"/>
    </w:rPr>
  </w:style>
  <w:style w:type="character" w:customStyle="1" w:styleId="167">
    <w:name w:val="标题 3 字符"/>
    <w:qFormat/>
    <w:uiPriority w:val="0"/>
    <w:rPr>
      <w:rFonts w:ascii="宋体" w:eastAsia="宋体" w:cs="宋体"/>
      <w:b/>
      <w:kern w:val="2"/>
      <w:sz w:val="32"/>
      <w:szCs w:val="32"/>
      <w:lang w:val="en-US" w:eastAsia="zh-CN" w:bidi="ar-SA"/>
    </w:rPr>
  </w:style>
  <w:style w:type="character" w:customStyle="1" w:styleId="168">
    <w:name w:val="正文文本缩进 字符2"/>
    <w:qFormat/>
    <w:uiPriority w:val="0"/>
    <w:rPr>
      <w:kern w:val="2"/>
      <w:sz w:val="21"/>
    </w:rPr>
  </w:style>
  <w:style w:type="character" w:customStyle="1" w:styleId="169">
    <w:name w:val="文档结构图 字符1"/>
    <w:qFormat/>
    <w:uiPriority w:val="0"/>
    <w:rPr>
      <w:rFonts w:ascii="Microsoft YaHei UI" w:hAnsi="Microsoft YaHei UI" w:eastAsia="Microsoft YaHei UI"/>
      <w:kern w:val="2"/>
      <w:sz w:val="18"/>
      <w:szCs w:val="18"/>
    </w:rPr>
  </w:style>
  <w:style w:type="character" w:customStyle="1" w:styleId="170">
    <w:name w:val="标题 7 字符"/>
    <w:qFormat/>
    <w:uiPriority w:val="0"/>
    <w:rPr>
      <w:b/>
      <w:kern w:val="2"/>
      <w:sz w:val="24"/>
    </w:rPr>
  </w:style>
  <w:style w:type="character" w:customStyle="1" w:styleId="171">
    <w:name w:val="font01"/>
    <w:qFormat/>
    <w:uiPriority w:val="0"/>
    <w:rPr>
      <w:rFonts w:ascii="宋体" w:eastAsia="宋体"/>
      <w:color w:val="000000"/>
      <w:sz w:val="24"/>
      <w:u w:val="none"/>
    </w:rPr>
  </w:style>
  <w:style w:type="character" w:customStyle="1" w:styleId="172">
    <w:name w:val="标题 Char2"/>
    <w:qFormat/>
    <w:uiPriority w:val="0"/>
    <w:rPr>
      <w:rFonts w:ascii="Cambria" w:hAnsi="Cambria" w:eastAsia="宋体" w:cs="Times New Roman"/>
      <w:b/>
      <w:bCs/>
      <w:sz w:val="32"/>
      <w:szCs w:val="32"/>
      <w:lang w:bidi="ar-SA"/>
    </w:rPr>
  </w:style>
  <w:style w:type="character" w:customStyle="1" w:styleId="173">
    <w:name w:val="style2 bin1"/>
    <w:qFormat/>
    <w:uiPriority w:val="0"/>
    <w:rPr>
      <w:rFonts w:ascii="仿宋_GB2312" w:eastAsia="仿宋_GB2312"/>
      <w:b/>
      <w:sz w:val="32"/>
      <w:szCs w:val="32"/>
    </w:rPr>
  </w:style>
  <w:style w:type="character" w:customStyle="1" w:styleId="174">
    <w:name w:val="标题 6 字符"/>
    <w:qFormat/>
    <w:uiPriority w:val="0"/>
    <w:rPr>
      <w:rFonts w:ascii="Cambria" w:hAnsi="Cambria" w:eastAsia="宋体"/>
      <w:b/>
      <w:kern w:val="2"/>
      <w:sz w:val="24"/>
      <w:lang w:val="en-US" w:eastAsia="zh-CN"/>
    </w:rPr>
  </w:style>
  <w:style w:type="paragraph" w:customStyle="1" w:styleId="175">
    <w:name w:val="et38"/>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176">
    <w:name w:val="et4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177">
    <w:name w:val="font8"/>
    <w:basedOn w:val="1"/>
    <w:qFormat/>
    <w:uiPriority w:val="0"/>
    <w:pPr>
      <w:widowControl/>
      <w:spacing w:before="100" w:beforeAutospacing="1" w:after="100" w:afterAutospacing="1"/>
      <w:jc w:val="left"/>
    </w:pPr>
    <w:rPr>
      <w:rFonts w:ascii="宋体" w:cs="宋体"/>
      <w:color w:val="000000"/>
      <w:kern w:val="0"/>
      <w:sz w:val="20"/>
    </w:rPr>
  </w:style>
  <w:style w:type="paragraph" w:customStyle="1" w:styleId="178">
    <w:name w:val="xl1097"/>
    <w:basedOn w:val="1"/>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jc w:val="center"/>
    </w:pPr>
    <w:rPr>
      <w:rFonts w:ascii="宋体" w:cs="宋体"/>
      <w:b/>
      <w:bCs/>
      <w:kern w:val="0"/>
      <w:sz w:val="20"/>
    </w:rPr>
  </w:style>
  <w:style w:type="paragraph" w:customStyle="1" w:styleId="179">
    <w:name w:val="正文文本缩进1"/>
    <w:basedOn w:val="1"/>
    <w:qFormat/>
    <w:uiPriority w:val="0"/>
    <w:pPr>
      <w:spacing w:after="120"/>
      <w:ind w:left="420" w:leftChars="200"/>
    </w:pPr>
  </w:style>
  <w:style w:type="paragraph" w:customStyle="1" w:styleId="180">
    <w:name w:val="et35"/>
    <w:basedOn w:val="1"/>
    <w:qFormat/>
    <w:uiPriority w:val="0"/>
    <w:pPr>
      <w:widowControl/>
      <w:spacing w:before="100" w:beforeAutospacing="1" w:after="100" w:afterAutospacing="1"/>
      <w:jc w:val="left"/>
      <w:textAlignment w:val="bottom"/>
    </w:pPr>
    <w:rPr>
      <w:rFonts w:ascii="宋体" w:cs="宋体"/>
      <w:color w:val="000000"/>
      <w:kern w:val="0"/>
      <w:sz w:val="24"/>
      <w:szCs w:val="24"/>
    </w:rPr>
  </w:style>
  <w:style w:type="paragraph" w:customStyle="1" w:styleId="181">
    <w:name w:val="默认段落字体 Para Char Char Char Char Char Char Char Char Char Char"/>
    <w:basedOn w:val="1"/>
    <w:qFormat/>
    <w:uiPriority w:val="0"/>
    <w:rPr>
      <w:rFonts w:ascii="Tahoma" w:hAnsi="Tahoma"/>
      <w:sz w:val="24"/>
    </w:rPr>
  </w:style>
  <w:style w:type="paragraph" w:customStyle="1" w:styleId="182">
    <w:name w:val="工可正文"/>
    <w:basedOn w:val="1"/>
    <w:qFormat/>
    <w:uiPriority w:val="0"/>
    <w:pPr>
      <w:spacing w:line="360" w:lineRule="auto"/>
      <w:ind w:firstLine="200" w:firstLineChars="200"/>
    </w:pPr>
    <w:rPr>
      <w:rFonts w:ascii="宋体"/>
      <w:kern w:val="0"/>
      <w:sz w:val="28"/>
    </w:rPr>
  </w:style>
  <w:style w:type="paragraph" w:customStyle="1" w:styleId="183">
    <w:name w:val="首行缩进"/>
    <w:basedOn w:val="1"/>
    <w:qFormat/>
    <w:uiPriority w:val="0"/>
    <w:pPr>
      <w:spacing w:line="360" w:lineRule="auto"/>
      <w:ind w:firstLine="200" w:firstLineChars="200"/>
      <w:jc w:val="left"/>
    </w:pPr>
    <w:rPr>
      <w:rFonts w:ascii="宋体"/>
      <w:sz w:val="24"/>
    </w:rPr>
  </w:style>
  <w:style w:type="paragraph" w:customStyle="1" w:styleId="184">
    <w:name w:val="et53"/>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185">
    <w:name w:val="p0"/>
    <w:basedOn w:val="1"/>
    <w:qFormat/>
    <w:uiPriority w:val="0"/>
    <w:pPr>
      <w:widowControl/>
    </w:pPr>
    <w:rPr>
      <w:kern w:val="0"/>
      <w:szCs w:val="21"/>
    </w:rPr>
  </w:style>
  <w:style w:type="paragraph" w:customStyle="1" w:styleId="186">
    <w:name w:val="正文（缩进）"/>
    <w:basedOn w:val="1"/>
    <w:qFormat/>
    <w:uiPriority w:val="0"/>
    <w:pPr>
      <w:widowControl/>
      <w:spacing w:before="156" w:after="156"/>
      <w:ind w:firstLine="200" w:firstLineChars="200"/>
      <w:jc w:val="left"/>
    </w:pPr>
    <w:rPr>
      <w:rFonts w:ascii="Arial" w:hAnsi="Arial" w:eastAsia="Arial"/>
      <w:kern w:val="0"/>
      <w:sz w:val="24"/>
      <w:szCs w:val="24"/>
    </w:rPr>
  </w:style>
  <w:style w:type="paragraph" w:customStyle="1" w:styleId="187">
    <w:name w:val="xl1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color w:val="000000"/>
      <w:kern w:val="0"/>
      <w:sz w:val="20"/>
    </w:rPr>
  </w:style>
  <w:style w:type="paragraph" w:customStyle="1" w:styleId="188">
    <w:name w:val="xl1088"/>
    <w:basedOn w:val="1"/>
    <w:qFormat/>
    <w:uiPriority w:val="0"/>
    <w:pPr>
      <w:widowControl/>
      <w:spacing w:before="100" w:beforeAutospacing="1" w:after="100" w:afterAutospacing="1"/>
      <w:jc w:val="left"/>
    </w:pPr>
    <w:rPr>
      <w:rFonts w:ascii="宋体" w:cs="宋体"/>
      <w:kern w:val="0"/>
      <w:sz w:val="20"/>
    </w:rPr>
  </w:style>
  <w:style w:type="paragraph" w:customStyle="1" w:styleId="189">
    <w:name w:val="et28"/>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190">
    <w:name w:val="xl10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b/>
      <w:bCs/>
      <w:kern w:val="0"/>
      <w:sz w:val="20"/>
    </w:rPr>
  </w:style>
  <w:style w:type="paragraph" w:customStyle="1" w:styleId="191">
    <w:name w:val="et55"/>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192">
    <w:name w:val="表格1"/>
    <w:basedOn w:val="1"/>
    <w:qFormat/>
    <w:uiPriority w:val="99"/>
    <w:rPr>
      <w:rFonts w:ascii="仿宋_GB2312"/>
      <w:sz w:val="24"/>
      <w:szCs w:val="24"/>
    </w:rPr>
  </w:style>
  <w:style w:type="paragraph" w:customStyle="1" w:styleId="193">
    <w:name w:val="样式 标题 2 + Times New Roman 四号 非加粗 段前: 5 磅 段后: 0 磅 行距: 固定值 20..."/>
    <w:basedOn w:val="3"/>
    <w:qFormat/>
    <w:uiPriority w:val="0"/>
    <w:pPr>
      <w:tabs>
        <w:tab w:val="clear" w:pos="578"/>
      </w:tabs>
      <w:spacing w:before="100" w:beforeLines="0" w:afterLines="0" w:line="400" w:lineRule="exact"/>
      <w:ind w:left="0" w:firstLine="0"/>
    </w:pPr>
    <w:rPr>
      <w:rFonts w:ascii="Times New Roman" w:hAnsi="Times New Roman" w:eastAsia="黑体" w:cs="宋体"/>
      <w:sz w:val="28"/>
      <w:szCs w:val="20"/>
    </w:rPr>
  </w:style>
  <w:style w:type="paragraph" w:customStyle="1" w:styleId="194">
    <w:name w:val="xl1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195">
    <w:name w:val="et1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196">
    <w:name w:val="et3"/>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197">
    <w:name w:val="正文编码"/>
    <w:basedOn w:val="50"/>
    <w:qFormat/>
    <w:uiPriority w:val="0"/>
    <w:pPr>
      <w:tabs>
        <w:tab w:val="center" w:pos="2185"/>
      </w:tabs>
      <w:spacing w:after="0" w:line="360" w:lineRule="auto"/>
      <w:ind w:left="1200" w:hanging="720" w:firstLineChars="0"/>
    </w:pPr>
    <w:rPr>
      <w:rFonts w:ascii="仿宋_GB2312" w:eastAsia="仿宋_GB2312"/>
      <w:kern w:val="0"/>
    </w:rPr>
  </w:style>
  <w:style w:type="paragraph" w:customStyle="1" w:styleId="198">
    <w:name w:val="样式1"/>
    <w:basedOn w:val="3"/>
    <w:qFormat/>
    <w:uiPriority w:val="0"/>
    <w:pPr>
      <w:tabs>
        <w:tab w:val="clear" w:pos="578"/>
      </w:tabs>
      <w:spacing w:beforeLines="0" w:afterLines="0"/>
      <w:ind w:left="0" w:firstLine="0"/>
    </w:pPr>
    <w:rPr>
      <w:rFonts w:ascii="黑体" w:eastAsia="黑体"/>
      <w:b/>
      <w:sz w:val="32"/>
      <w:szCs w:val="20"/>
    </w:rPr>
  </w:style>
  <w:style w:type="paragraph" w:customStyle="1" w:styleId="199">
    <w:name w:val="et3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00">
    <w:name w:val="【条文】"/>
    <w:basedOn w:val="201"/>
    <w:qFormat/>
    <w:uiPriority w:val="0"/>
    <w:pPr>
      <w:widowControl/>
      <w:numPr>
        <w:ilvl w:val="0"/>
        <w:numId w:val="1"/>
      </w:numPr>
      <w:spacing w:line="300" w:lineRule="auto"/>
      <w:ind w:firstLine="0" w:firstLineChars="0"/>
      <w:contextualSpacing/>
      <w:jc w:val="left"/>
    </w:pPr>
    <w:rPr>
      <w:kern w:val="0"/>
      <w:sz w:val="22"/>
    </w:rPr>
  </w:style>
  <w:style w:type="paragraph" w:styleId="201">
    <w:name w:val="List Paragraph"/>
    <w:basedOn w:val="1"/>
    <w:qFormat/>
    <w:uiPriority w:val="0"/>
    <w:pPr>
      <w:spacing w:line="360" w:lineRule="auto"/>
      <w:ind w:firstLine="200" w:firstLineChars="200"/>
    </w:pPr>
    <w:rPr>
      <w:sz w:val="24"/>
    </w:rPr>
  </w:style>
  <w:style w:type="paragraph" w:customStyle="1" w:styleId="202">
    <w:name w:val="font9"/>
    <w:basedOn w:val="1"/>
    <w:qFormat/>
    <w:uiPriority w:val="0"/>
    <w:pPr>
      <w:widowControl/>
      <w:spacing w:before="100" w:beforeAutospacing="1" w:after="100" w:afterAutospacing="1"/>
      <w:jc w:val="left"/>
    </w:pPr>
    <w:rPr>
      <w:rFonts w:ascii="宋体" w:cs="宋体"/>
      <w:color w:val="000000"/>
      <w:kern w:val="0"/>
      <w:sz w:val="20"/>
    </w:rPr>
  </w:style>
  <w:style w:type="paragraph" w:customStyle="1" w:styleId="203">
    <w:name w:val="Item List in Table"/>
    <w:basedOn w:val="1"/>
    <w:qFormat/>
    <w:uiPriority w:val="0"/>
    <w:pPr>
      <w:widowControl/>
      <w:numPr>
        <w:ilvl w:val="0"/>
        <w:numId w:val="2"/>
      </w:numPr>
      <w:tabs>
        <w:tab w:val="left" w:pos="284"/>
      </w:tabs>
      <w:topLinePunct/>
      <w:adjustRightInd w:val="0"/>
      <w:snapToGrid w:val="0"/>
      <w:spacing w:before="80" w:after="80" w:line="240" w:lineRule="atLeast"/>
      <w:jc w:val="left"/>
    </w:pPr>
    <w:rPr>
      <w:rFonts w:cs="Arial"/>
      <w:kern w:val="0"/>
      <w:szCs w:val="21"/>
    </w:rPr>
  </w:style>
  <w:style w:type="paragraph" w:customStyle="1" w:styleId="204">
    <w:name w:val="et1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05">
    <w:name w:val="style17"/>
    <w:basedOn w:val="1"/>
    <w:qFormat/>
    <w:uiPriority w:val="0"/>
    <w:pPr>
      <w:widowControl/>
      <w:spacing w:before="100" w:beforeAutospacing="1" w:after="100" w:afterAutospacing="1"/>
      <w:jc w:val="left"/>
    </w:pPr>
    <w:rPr>
      <w:rFonts w:ascii="宋体" w:cs="宋体"/>
      <w:b/>
      <w:bCs/>
      <w:color w:val="000000"/>
      <w:kern w:val="0"/>
      <w:sz w:val="24"/>
      <w:szCs w:val="22"/>
    </w:rPr>
  </w:style>
  <w:style w:type="paragraph" w:customStyle="1" w:styleId="206">
    <w:name w:val="Char2"/>
    <w:basedOn w:val="1"/>
    <w:qFormat/>
    <w:uiPriority w:val="0"/>
    <w:pPr>
      <w:tabs>
        <w:tab w:val="left" w:pos="1200"/>
      </w:tabs>
      <w:ind w:left="1200" w:hanging="720"/>
    </w:pPr>
    <w:rPr>
      <w:sz w:val="24"/>
      <w:szCs w:val="24"/>
    </w:rPr>
  </w:style>
  <w:style w:type="paragraph" w:customStyle="1" w:styleId="207">
    <w:name w:val="_Style 204"/>
    <w:basedOn w:val="1"/>
    <w:next w:val="1"/>
    <w:qFormat/>
    <w:uiPriority w:val="0"/>
    <w:pPr>
      <w:pBdr>
        <w:top w:val="single" w:color="auto" w:sz="6" w:space="1"/>
      </w:pBdr>
      <w:jc w:val="center"/>
    </w:pPr>
    <w:rPr>
      <w:rFonts w:ascii="Arial" w:hAnsi="Arial"/>
      <w:vanish/>
      <w:kern w:val="0"/>
      <w:sz w:val="16"/>
      <w:szCs w:val="24"/>
    </w:rPr>
  </w:style>
  <w:style w:type="paragraph" w:customStyle="1" w:styleId="208">
    <w:name w:val="0正文"/>
    <w:basedOn w:val="1"/>
    <w:qFormat/>
    <w:uiPriority w:val="0"/>
    <w:pPr>
      <w:adjustRightInd w:val="0"/>
      <w:spacing w:line="360" w:lineRule="auto"/>
      <w:ind w:left="50" w:leftChars="50" w:right="50" w:rightChars="50" w:firstLine="200" w:firstLineChars="200"/>
      <w:textAlignment w:val="baseline"/>
    </w:pPr>
    <w:rPr>
      <w:rFonts w:ascii="Verdana" w:hAnsi="Verdana" w:cs="Verdana"/>
      <w:color w:val="000080"/>
      <w:szCs w:val="21"/>
    </w:rPr>
  </w:style>
  <w:style w:type="paragraph" w:customStyle="1" w:styleId="209">
    <w:name w:val="样式2"/>
    <w:basedOn w:val="4"/>
    <w:qFormat/>
    <w:uiPriority w:val="0"/>
    <w:pPr>
      <w:adjustRightInd w:val="0"/>
      <w:spacing w:beforeLines="0" w:afterLines="0"/>
      <w:ind w:left="0" w:firstLine="0"/>
      <w:textAlignment w:val="baseline"/>
    </w:pPr>
    <w:rPr>
      <w:rFonts w:ascii="黑体" w:eastAsia="黑体"/>
      <w:b w:val="0"/>
      <w:color w:val="FF0000"/>
      <w:szCs w:val="20"/>
    </w:rPr>
  </w:style>
  <w:style w:type="paragraph" w:customStyle="1" w:styleId="210">
    <w:name w:val="方案－正文"/>
    <w:basedOn w:val="1"/>
    <w:qFormat/>
    <w:uiPriority w:val="0"/>
    <w:pPr>
      <w:spacing w:line="360" w:lineRule="auto"/>
      <w:ind w:firstLine="200" w:firstLineChars="200"/>
    </w:pPr>
    <w:rPr>
      <w:rFonts w:ascii="仿宋_GB2312" w:hAnsi="仿宋_GB2312"/>
      <w:kern w:val="0"/>
      <w:sz w:val="24"/>
    </w:rPr>
  </w:style>
  <w:style w:type="paragraph" w:customStyle="1" w:styleId="211">
    <w:name w:val="xl1095"/>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cs="宋体"/>
      <w:b/>
      <w:bCs/>
      <w:kern w:val="0"/>
      <w:sz w:val="20"/>
    </w:rPr>
  </w:style>
  <w:style w:type="paragraph" w:customStyle="1" w:styleId="212">
    <w:name w:val="正文缩进1"/>
    <w:basedOn w:val="1"/>
    <w:next w:val="20"/>
    <w:qFormat/>
    <w:uiPriority w:val="99"/>
    <w:pPr>
      <w:autoSpaceDE w:val="0"/>
      <w:autoSpaceDN w:val="0"/>
      <w:adjustRightInd w:val="0"/>
      <w:snapToGrid w:val="0"/>
      <w:spacing w:after="120" w:line="360" w:lineRule="auto"/>
      <w:ind w:left="200" w:leftChars="200" w:firstLine="200" w:firstLineChars="200"/>
    </w:pPr>
    <w:rPr>
      <w:sz w:val="24"/>
      <w:szCs w:val="21"/>
    </w:rPr>
  </w:style>
  <w:style w:type="paragraph" w:customStyle="1" w:styleId="213">
    <w:name w:val="xl111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214">
    <w:name w:val="et7"/>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15">
    <w:name w:val="et1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16">
    <w:name w:val="xl111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right"/>
    </w:pPr>
    <w:rPr>
      <w:rFonts w:ascii="宋体" w:cs="宋体"/>
      <w:b/>
      <w:bCs/>
      <w:kern w:val="0"/>
      <w:sz w:val="20"/>
    </w:rPr>
  </w:style>
  <w:style w:type="paragraph" w:customStyle="1" w:styleId="217">
    <w:name w:val="符号 2"/>
    <w:basedOn w:val="218"/>
    <w:qFormat/>
    <w:uiPriority w:val="0"/>
    <w:pPr>
      <w:tabs>
        <w:tab w:val="left" w:pos="900"/>
        <w:tab w:val="left" w:pos="1320"/>
      </w:tabs>
      <w:ind w:left="1320" w:hanging="420"/>
    </w:pPr>
  </w:style>
  <w:style w:type="paragraph" w:customStyle="1" w:styleId="218">
    <w:name w:val="符号 1"/>
    <w:basedOn w:val="20"/>
    <w:qFormat/>
    <w:uiPriority w:val="0"/>
    <w:pPr>
      <w:tabs>
        <w:tab w:val="left" w:pos="900"/>
      </w:tabs>
      <w:spacing w:line="360" w:lineRule="auto"/>
      <w:ind w:left="1200" w:hanging="720"/>
    </w:pPr>
    <w:rPr>
      <w:rFonts w:eastAsia="宋体"/>
      <w:kern w:val="28"/>
      <w:szCs w:val="24"/>
    </w:rPr>
  </w:style>
  <w:style w:type="paragraph" w:customStyle="1" w:styleId="219">
    <w:name w:val="et21"/>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20">
    <w:name w:val="et56"/>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221">
    <w:name w:val="xl10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222">
    <w:name w:val="xl1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223">
    <w:name w:val="et52"/>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224">
    <w:name w:val="Char Char2 Char Char"/>
    <w:basedOn w:val="1"/>
    <w:qFormat/>
    <w:uiPriority w:val="0"/>
    <w:rPr>
      <w:rFonts w:ascii="Tahoma" w:hAnsi="Tahoma"/>
      <w:sz w:val="24"/>
    </w:rPr>
  </w:style>
  <w:style w:type="paragraph" w:customStyle="1" w:styleId="225">
    <w:name w:val="正文首行缩进 21"/>
    <w:basedOn w:val="179"/>
    <w:qFormat/>
    <w:uiPriority w:val="0"/>
    <w:pPr>
      <w:ind w:firstLine="420"/>
    </w:pPr>
  </w:style>
  <w:style w:type="paragraph" w:customStyle="1" w:styleId="226">
    <w:name w:val="font13"/>
    <w:basedOn w:val="1"/>
    <w:qFormat/>
    <w:uiPriority w:val="0"/>
    <w:pPr>
      <w:widowControl/>
      <w:spacing w:before="100" w:beforeAutospacing="1" w:after="100" w:afterAutospacing="1"/>
      <w:jc w:val="left"/>
    </w:pPr>
    <w:rPr>
      <w:rFonts w:ascii="宋体" w:cs="宋体"/>
      <w:kern w:val="0"/>
      <w:sz w:val="18"/>
      <w:szCs w:val="18"/>
    </w:rPr>
  </w:style>
  <w:style w:type="paragraph" w:customStyle="1" w:styleId="227">
    <w:name w:val="xl110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cs="宋体"/>
      <w:b/>
      <w:bCs/>
      <w:kern w:val="0"/>
      <w:sz w:val="20"/>
    </w:rPr>
  </w:style>
  <w:style w:type="paragraph" w:customStyle="1" w:styleId="228">
    <w:name w:val="Char Char"/>
    <w:basedOn w:val="1"/>
    <w:qFormat/>
    <w:uiPriority w:val="0"/>
    <w:pPr>
      <w:spacing w:line="360" w:lineRule="auto"/>
    </w:pPr>
    <w:rPr>
      <w:rFonts w:ascii="Tahoma" w:hAnsi="Tahoma"/>
      <w:sz w:val="24"/>
    </w:rPr>
  </w:style>
  <w:style w:type="paragraph" w:customStyle="1" w:styleId="229">
    <w:name w:val="et4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30">
    <w:name w:val="Char Char Char"/>
    <w:basedOn w:val="1"/>
    <w:qFormat/>
    <w:uiPriority w:val="0"/>
    <w:pPr>
      <w:spacing w:before="120" w:after="120" w:line="360" w:lineRule="auto"/>
      <w:ind w:firstLine="200" w:firstLineChars="200"/>
    </w:pPr>
    <w:rPr>
      <w:rFonts w:ascii="Tahoma" w:hAnsi="Tahoma"/>
      <w:sz w:val="24"/>
    </w:rPr>
  </w:style>
  <w:style w:type="paragraph" w:customStyle="1" w:styleId="231">
    <w:name w:val="正文 居中"/>
    <w:basedOn w:val="1"/>
    <w:qFormat/>
    <w:uiPriority w:val="0"/>
    <w:pPr>
      <w:spacing w:line="360" w:lineRule="auto"/>
      <w:jc w:val="center"/>
    </w:pPr>
    <w:rPr>
      <w:rFonts w:cs="宋体"/>
      <w:sz w:val="24"/>
    </w:rPr>
  </w:style>
  <w:style w:type="paragraph" w:customStyle="1" w:styleId="232">
    <w:name w:val="Char Char1 Char Char Char Char"/>
    <w:basedOn w:val="1"/>
    <w:qFormat/>
    <w:uiPriority w:val="0"/>
    <w:rPr>
      <w:rFonts w:ascii="Tahoma" w:hAnsi="Tahoma"/>
      <w:sz w:val="24"/>
    </w:rPr>
  </w:style>
  <w:style w:type="paragraph" w:customStyle="1" w:styleId="233">
    <w:name w:val="无格式"/>
    <w:next w:val="1"/>
    <w:qFormat/>
    <w:uiPriority w:val="0"/>
    <w:pPr>
      <w:jc w:val="both"/>
    </w:pPr>
    <w:rPr>
      <w:rFonts w:ascii="Times New Roman" w:hAnsi="Times New Roman" w:eastAsia="宋体" w:cs="Times New Roman"/>
      <w:bCs/>
      <w:kern w:val="2"/>
      <w:sz w:val="24"/>
      <w:szCs w:val="24"/>
      <w:lang w:val="en-US" w:eastAsia="zh-CN" w:bidi="ar-SA"/>
    </w:rPr>
  </w:style>
  <w:style w:type="paragraph" w:customStyle="1" w:styleId="234">
    <w:name w:val="xl1128"/>
    <w:basedOn w:val="1"/>
    <w:qFormat/>
    <w:uiPriority w:val="0"/>
    <w:pPr>
      <w:widowControl/>
      <w:pBdr>
        <w:top w:val="single" w:color="auto" w:sz="4" w:space="0"/>
        <w:left w:val="single" w:color="auto" w:sz="4" w:space="0"/>
        <w:bottom w:val="single" w:color="auto" w:sz="4" w:space="0"/>
      </w:pBdr>
      <w:shd w:val="clear" w:color="000000" w:fill="DCE6F1"/>
      <w:spacing w:before="100" w:beforeAutospacing="1" w:after="100" w:afterAutospacing="1"/>
      <w:jc w:val="left"/>
    </w:pPr>
    <w:rPr>
      <w:rFonts w:ascii="宋体" w:cs="宋体"/>
      <w:b/>
      <w:bCs/>
      <w:kern w:val="0"/>
      <w:szCs w:val="21"/>
    </w:rPr>
  </w:style>
  <w:style w:type="paragraph" w:customStyle="1" w:styleId="235">
    <w:name w:val="et5"/>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36">
    <w:name w:val="et58"/>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37">
    <w:name w:val="et4"/>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38">
    <w:name w:val="style11"/>
    <w:basedOn w:val="1"/>
    <w:qFormat/>
    <w:uiPriority w:val="0"/>
    <w:pPr>
      <w:widowControl/>
      <w:spacing w:before="100" w:beforeAutospacing="1" w:after="100" w:afterAutospacing="1"/>
      <w:jc w:val="left"/>
    </w:pPr>
    <w:rPr>
      <w:rFonts w:ascii="宋体" w:cs="宋体"/>
      <w:kern w:val="0"/>
      <w:sz w:val="24"/>
      <w:szCs w:val="22"/>
    </w:rPr>
  </w:style>
  <w:style w:type="paragraph" w:customStyle="1" w:styleId="239">
    <w:name w:val="Char Char Char Char Char Char Char"/>
    <w:basedOn w:val="1"/>
    <w:qFormat/>
    <w:uiPriority w:val="0"/>
    <w:pPr>
      <w:widowControl/>
      <w:spacing w:after="160" w:line="240" w:lineRule="exact"/>
      <w:jc w:val="left"/>
    </w:pPr>
    <w:rPr>
      <w:rFonts w:ascii="Verdana" w:hAnsi="Verdana"/>
      <w:kern w:val="0"/>
      <w:szCs w:val="24"/>
    </w:rPr>
  </w:style>
  <w:style w:type="paragraph" w:customStyle="1" w:styleId="240">
    <w:name w:val="标题6"/>
    <w:basedOn w:val="1"/>
    <w:next w:val="2"/>
    <w:qFormat/>
    <w:uiPriority w:val="0"/>
    <w:pPr>
      <w:widowControl/>
      <w:snapToGrid w:val="0"/>
      <w:spacing w:before="50" w:after="50" w:line="520" w:lineRule="atLeast"/>
      <w:ind w:firstLine="200" w:firstLineChars="200"/>
    </w:pPr>
    <w:rPr>
      <w:rFonts w:ascii="Calibri" w:hAnsi="Calibri" w:cs="Arial"/>
      <w:b/>
      <w:sz w:val="24"/>
      <w:szCs w:val="24"/>
    </w:rPr>
  </w:style>
  <w:style w:type="paragraph" w:customStyle="1" w:styleId="241">
    <w:name w:val="Char23"/>
    <w:basedOn w:val="1"/>
    <w:qFormat/>
    <w:uiPriority w:val="0"/>
    <w:rPr>
      <w:rFonts w:ascii="仿宋_GB2312" w:eastAsia="仿宋_GB2312"/>
      <w:b/>
      <w:sz w:val="32"/>
      <w:szCs w:val="32"/>
    </w:rPr>
  </w:style>
  <w:style w:type="paragraph" w:customStyle="1" w:styleId="242">
    <w:name w:val="Char3"/>
    <w:basedOn w:val="1"/>
    <w:qFormat/>
    <w:uiPriority w:val="0"/>
    <w:rPr>
      <w:rFonts w:ascii="Tahoma" w:hAnsi="Tahoma"/>
      <w:sz w:val="24"/>
    </w:rPr>
  </w:style>
  <w:style w:type="paragraph" w:customStyle="1" w:styleId="243">
    <w:name w:val="xl1113"/>
    <w:basedOn w:val="1"/>
    <w:qFormat/>
    <w:uiPriority w:val="0"/>
    <w:pPr>
      <w:widowControl/>
      <w:spacing w:before="100" w:beforeAutospacing="1" w:after="100" w:afterAutospacing="1"/>
      <w:jc w:val="left"/>
    </w:pPr>
    <w:rPr>
      <w:rFonts w:ascii="宋体" w:cs="宋体"/>
      <w:color w:val="000000"/>
      <w:kern w:val="0"/>
      <w:szCs w:val="21"/>
    </w:rPr>
  </w:style>
  <w:style w:type="paragraph" w:customStyle="1" w:styleId="244">
    <w:name w:val="xl1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eastAsia="黑体" w:cs="宋体"/>
      <w:kern w:val="0"/>
      <w:sz w:val="40"/>
      <w:szCs w:val="40"/>
    </w:rPr>
  </w:style>
  <w:style w:type="paragraph" w:customStyle="1" w:styleId="245">
    <w:name w:val="et18"/>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46">
    <w:name w:val="Char1"/>
    <w:basedOn w:val="1"/>
    <w:qFormat/>
    <w:uiPriority w:val="0"/>
    <w:rPr>
      <w:rFonts w:ascii="仿宋_GB2312" w:eastAsia="仿宋_GB2312"/>
      <w:b/>
      <w:sz w:val="32"/>
      <w:szCs w:val="32"/>
    </w:rPr>
  </w:style>
  <w:style w:type="paragraph" w:customStyle="1" w:styleId="247">
    <w:name w:val="标题2正文 Char"/>
    <w:basedOn w:val="1"/>
    <w:qFormat/>
    <w:uiPriority w:val="0"/>
    <w:pPr>
      <w:spacing w:before="50" w:beforeLines="50" w:after="50" w:afterLines="50"/>
      <w:ind w:right="18" w:rightChars="18" w:firstLine="420"/>
    </w:pPr>
    <w:rPr>
      <w:kern w:val="0"/>
      <w:sz w:val="24"/>
    </w:rPr>
  </w:style>
  <w:style w:type="paragraph" w:customStyle="1" w:styleId="248">
    <w:name w:val="Char5"/>
    <w:basedOn w:val="1"/>
    <w:qFormat/>
    <w:uiPriority w:val="0"/>
    <w:rPr>
      <w:rFonts w:ascii="Tahoma" w:hAnsi="Tahoma"/>
      <w:sz w:val="24"/>
    </w:rPr>
  </w:style>
  <w:style w:type="paragraph" w:customStyle="1" w:styleId="249">
    <w:name w:val="font12"/>
    <w:basedOn w:val="1"/>
    <w:qFormat/>
    <w:uiPriority w:val="0"/>
    <w:pPr>
      <w:widowControl/>
      <w:spacing w:before="100" w:beforeAutospacing="1" w:after="100" w:afterAutospacing="1"/>
      <w:jc w:val="left"/>
    </w:pPr>
    <w:rPr>
      <w:rFonts w:ascii="宋体" w:cs="宋体"/>
      <w:kern w:val="0"/>
      <w:sz w:val="18"/>
      <w:szCs w:val="18"/>
    </w:rPr>
  </w:style>
  <w:style w:type="paragraph" w:customStyle="1" w:styleId="250">
    <w:name w:val="xl10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251">
    <w:name w:val="et25"/>
    <w:basedOn w:val="1"/>
    <w:qFormat/>
    <w:uiPriority w:val="0"/>
    <w:pPr>
      <w:widowControl/>
      <w:spacing w:before="100" w:beforeAutospacing="1" w:after="100" w:afterAutospacing="1"/>
      <w:jc w:val="left"/>
      <w:textAlignment w:val="bottom"/>
    </w:pPr>
    <w:rPr>
      <w:color w:val="000000"/>
      <w:kern w:val="0"/>
      <w:sz w:val="22"/>
      <w:szCs w:val="22"/>
    </w:rPr>
  </w:style>
  <w:style w:type="paragraph" w:customStyle="1" w:styleId="252">
    <w:name w:val="itemlistintable"/>
    <w:basedOn w:val="1"/>
    <w:qFormat/>
    <w:uiPriority w:val="0"/>
    <w:pPr>
      <w:widowControl/>
      <w:spacing w:before="100" w:beforeAutospacing="1" w:after="100" w:afterAutospacing="1"/>
      <w:jc w:val="left"/>
    </w:pPr>
    <w:rPr>
      <w:rFonts w:ascii="宋体" w:cs="宋体"/>
      <w:kern w:val="0"/>
      <w:sz w:val="24"/>
      <w:szCs w:val="24"/>
    </w:rPr>
  </w:style>
  <w:style w:type="paragraph" w:customStyle="1" w:styleId="253">
    <w:name w:val="正文文本缩进 + 四号"/>
    <w:basedOn w:val="20"/>
    <w:qFormat/>
    <w:uiPriority w:val="0"/>
    <w:pPr>
      <w:spacing w:line="360" w:lineRule="auto"/>
      <w:ind w:firstLine="200" w:firstLineChars="200"/>
    </w:pPr>
    <w:rPr>
      <w:rFonts w:ascii="仿宋_GB2312" w:eastAsia="仿宋_GB2312"/>
      <w:color w:val="000000"/>
      <w:sz w:val="28"/>
      <w:szCs w:val="28"/>
    </w:rPr>
  </w:style>
  <w:style w:type="paragraph" w:customStyle="1" w:styleId="254">
    <w:name w:val="et1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55">
    <w:name w:val="文档正文"/>
    <w:basedOn w:val="1"/>
    <w:qFormat/>
    <w:uiPriority w:val="0"/>
    <w:pPr>
      <w:adjustRightInd w:val="0"/>
      <w:spacing w:line="480" w:lineRule="atLeast"/>
      <w:ind w:firstLine="200" w:firstLineChars="200"/>
      <w:textAlignment w:val="baseline"/>
    </w:pPr>
    <w:rPr>
      <w:rFonts w:ascii="长城仿宋" w:eastAsia="长城仿宋"/>
      <w:kern w:val="0"/>
      <w:sz w:val="28"/>
    </w:rPr>
  </w:style>
  <w:style w:type="paragraph" w:customStyle="1" w:styleId="256">
    <w:name w:val="Char11"/>
    <w:basedOn w:val="1"/>
    <w:qFormat/>
    <w:uiPriority w:val="0"/>
    <w:rPr>
      <w:szCs w:val="24"/>
    </w:rPr>
  </w:style>
  <w:style w:type="paragraph" w:customStyle="1" w:styleId="257">
    <w:name w:val="Default"/>
    <w:qFormat/>
    <w:uiPriority w:val="0"/>
    <w:pPr>
      <w:widowControl w:val="0"/>
      <w:autoSpaceDE w:val="0"/>
      <w:autoSpaceDN w:val="0"/>
      <w:adjustRightInd w:val="0"/>
      <w:ind w:left="425"/>
    </w:pPr>
    <w:rPr>
      <w:rFonts w:ascii="黑体" w:hAnsi="Times New Roman" w:eastAsia="黑体" w:cs="黑体"/>
      <w:color w:val="000000"/>
      <w:sz w:val="24"/>
      <w:szCs w:val="24"/>
      <w:lang w:val="en-US" w:eastAsia="zh-CN" w:bidi="ar-SA"/>
    </w:rPr>
  </w:style>
  <w:style w:type="paragraph" w:customStyle="1" w:styleId="258">
    <w:name w:val="xl109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259">
    <w:name w:val="Normal 2"/>
    <w:basedOn w:val="1"/>
    <w:qFormat/>
    <w:uiPriority w:val="0"/>
    <w:pPr>
      <w:keepLines/>
      <w:widowControl/>
      <w:autoSpaceDE w:val="0"/>
      <w:autoSpaceDN w:val="0"/>
      <w:adjustRightInd w:val="0"/>
      <w:spacing w:before="240"/>
      <w:ind w:left="360" w:right="900"/>
      <w:jc w:val="left"/>
    </w:pPr>
    <w:rPr>
      <w:rFonts w:ascii="Arial" w:hAnsi="Arial"/>
      <w:kern w:val="0"/>
      <w:sz w:val="22"/>
    </w:rPr>
  </w:style>
  <w:style w:type="paragraph" w:customStyle="1" w:styleId="260">
    <w:name w:val="无间距"/>
    <w:qFormat/>
    <w:uiPriority w:val="0"/>
    <w:rPr>
      <w:rFonts w:ascii="Times New Roman" w:hAnsi="Times New Roman" w:eastAsia="宋体" w:cs="Times New Roman"/>
      <w:sz w:val="22"/>
      <w:lang w:val="en-US" w:eastAsia="zh-CN" w:bidi="ar-SA"/>
    </w:rPr>
  </w:style>
  <w:style w:type="paragraph" w:customStyle="1" w:styleId="261">
    <w:name w:val="et15"/>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2">
    <w:name w:val="列出段落1"/>
    <w:basedOn w:val="1"/>
    <w:qFormat/>
    <w:uiPriority w:val="0"/>
    <w:pPr>
      <w:ind w:firstLine="200" w:firstLineChars="200"/>
    </w:pPr>
    <w:rPr>
      <w:rFonts w:ascii="Calibri" w:hAnsi="Calibri"/>
      <w:sz w:val="22"/>
    </w:rPr>
  </w:style>
  <w:style w:type="paragraph" w:customStyle="1" w:styleId="263">
    <w:name w:val="et5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4">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65">
    <w:name w:val="et4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6">
    <w:name w:val="xl1103"/>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cs="宋体"/>
      <w:b/>
      <w:bCs/>
      <w:kern w:val="0"/>
      <w:sz w:val="20"/>
    </w:rPr>
  </w:style>
  <w:style w:type="paragraph" w:customStyle="1" w:styleId="267">
    <w:name w:val="font1"/>
    <w:basedOn w:val="1"/>
    <w:qFormat/>
    <w:uiPriority w:val="0"/>
    <w:pPr>
      <w:widowControl/>
      <w:spacing w:before="100" w:beforeAutospacing="1" w:after="100" w:afterAutospacing="1"/>
      <w:jc w:val="left"/>
    </w:pPr>
    <w:rPr>
      <w:rFonts w:ascii="宋体" w:cs="宋体"/>
      <w:color w:val="000000"/>
      <w:kern w:val="0"/>
      <w:sz w:val="24"/>
      <w:szCs w:val="24"/>
    </w:rPr>
  </w:style>
  <w:style w:type="paragraph" w:customStyle="1" w:styleId="268">
    <w:name w:val="et3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69">
    <w:name w:val="表格"/>
    <w:basedOn w:val="1"/>
    <w:qFormat/>
    <w:uiPriority w:val="0"/>
    <w:pPr>
      <w:spacing w:line="276" w:lineRule="auto"/>
      <w:jc w:val="center"/>
    </w:pPr>
    <w:rPr>
      <w:rFonts w:ascii="宋体"/>
      <w:szCs w:val="22"/>
    </w:rPr>
  </w:style>
  <w:style w:type="paragraph" w:customStyle="1" w:styleId="270">
    <w:name w:val="et50"/>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71">
    <w:name w:val="Char Char Char Char Char Char2 Char Char Char Char2"/>
    <w:basedOn w:val="1"/>
    <w:qFormat/>
    <w:uiPriority w:val="0"/>
    <w:rPr>
      <w:szCs w:val="24"/>
    </w:rPr>
  </w:style>
  <w:style w:type="paragraph" w:customStyle="1" w:styleId="272">
    <w:name w:val="et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73">
    <w:name w:val="正文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4">
    <w:name w:val="Table Text"/>
    <w:basedOn w:val="1"/>
    <w:qFormat/>
    <w:uiPriority w:val="0"/>
    <w:pPr>
      <w:widowControl/>
      <w:jc w:val="left"/>
    </w:pPr>
    <w:rPr>
      <w:rFonts w:ascii="Arial" w:hAnsi="Arial"/>
      <w:kern w:val="0"/>
      <w:szCs w:val="21"/>
    </w:rPr>
  </w:style>
  <w:style w:type="paragraph" w:customStyle="1" w:styleId="275">
    <w:name w:val="TOC 标题1"/>
    <w:basedOn w:val="2"/>
    <w:next w:val="1"/>
    <w:qFormat/>
    <w:uiPriority w:val="0"/>
    <w:pPr>
      <w:keepLines/>
      <w:widowControl/>
      <w:spacing w:line="276" w:lineRule="auto"/>
      <w:jc w:val="left"/>
      <w:outlineLvl w:val="9"/>
    </w:pPr>
    <w:rPr>
      <w:rFonts w:ascii="Cambria" w:hAnsi="Cambria"/>
      <w:bCs/>
      <w:color w:val="365F91"/>
      <w:kern w:val="0"/>
      <w:sz w:val="28"/>
      <w:szCs w:val="28"/>
    </w:rPr>
  </w:style>
  <w:style w:type="paragraph" w:customStyle="1" w:styleId="276">
    <w:name w:val="Body"/>
    <w:qFormat/>
    <w:uiPriority w:val="0"/>
    <w:pPr>
      <w:spacing w:before="130" w:after="130" w:line="260" w:lineRule="exact"/>
    </w:pPr>
    <w:rPr>
      <w:rFonts w:ascii="Univers" w:hAnsi="Univers" w:eastAsia="宋体" w:cs="Times New Roman"/>
      <w:color w:val="000000"/>
      <w:sz w:val="22"/>
      <w:lang w:val="en-US" w:eastAsia="en-US" w:bidi="ar-SA"/>
    </w:rPr>
  </w:style>
  <w:style w:type="paragraph" w:customStyle="1" w:styleId="277">
    <w:name w:val="样式 样式 首行缩进:  2.25 字符 + 首行缩进:  2.25 字符"/>
    <w:basedOn w:val="1"/>
    <w:qFormat/>
    <w:uiPriority w:val="0"/>
    <w:pPr>
      <w:spacing w:line="360" w:lineRule="auto"/>
      <w:ind w:firstLine="200" w:firstLineChars="200"/>
    </w:pPr>
    <w:rPr>
      <w:rFonts w:ascii="宋体"/>
      <w:b/>
      <w:kern w:val="0"/>
      <w:sz w:val="20"/>
      <w:szCs w:val="21"/>
    </w:rPr>
  </w:style>
  <w:style w:type="paragraph" w:customStyle="1" w:styleId="278">
    <w:name w:val="Char22"/>
    <w:basedOn w:val="1"/>
    <w:qFormat/>
    <w:uiPriority w:val="0"/>
    <w:rPr>
      <w:rFonts w:ascii="仿宋_GB2312" w:eastAsia="仿宋_GB2312"/>
      <w:b/>
      <w:sz w:val="32"/>
      <w:szCs w:val="32"/>
    </w:rPr>
  </w:style>
  <w:style w:type="paragraph" w:customStyle="1" w:styleId="279">
    <w:name w:val="Char13"/>
    <w:basedOn w:val="1"/>
    <w:qFormat/>
    <w:uiPriority w:val="0"/>
    <w:rPr>
      <w:szCs w:val="22"/>
    </w:rPr>
  </w:style>
  <w:style w:type="paragraph" w:customStyle="1" w:styleId="280">
    <w:name w:val="_Style 277"/>
    <w:basedOn w:val="2"/>
    <w:next w:val="1"/>
    <w:qFormat/>
    <w:uiPriority w:val="0"/>
    <w:pPr>
      <w:keepLines/>
      <w:widowControl/>
      <w:spacing w:before="480" w:line="276" w:lineRule="auto"/>
      <w:jc w:val="left"/>
      <w:outlineLvl w:val="9"/>
    </w:pPr>
    <w:rPr>
      <w:rFonts w:ascii="Cambria" w:hAnsi="Cambria"/>
      <w:bCs/>
      <w:color w:val="365F91"/>
      <w:kern w:val="0"/>
      <w:sz w:val="28"/>
      <w:szCs w:val="28"/>
    </w:rPr>
  </w:style>
  <w:style w:type="paragraph" w:customStyle="1" w:styleId="281">
    <w:name w:val="et4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82">
    <w:name w:val="font0"/>
    <w:basedOn w:val="1"/>
    <w:qFormat/>
    <w:uiPriority w:val="0"/>
    <w:pPr>
      <w:widowControl/>
      <w:spacing w:before="100" w:beforeAutospacing="1" w:after="100" w:afterAutospacing="1"/>
      <w:jc w:val="left"/>
    </w:pPr>
    <w:rPr>
      <w:rFonts w:ascii="华文细黑" w:eastAsia="华文细黑" w:cs="宋体"/>
      <w:color w:val="000000"/>
      <w:kern w:val="0"/>
      <w:sz w:val="18"/>
      <w:szCs w:val="18"/>
      <w:vertAlign w:val="superscript"/>
    </w:rPr>
  </w:style>
  <w:style w:type="paragraph" w:customStyle="1" w:styleId="283">
    <w:name w:val="xl1107"/>
    <w:basedOn w:val="1"/>
    <w:qFormat/>
    <w:uiPriority w:val="0"/>
    <w:pPr>
      <w:widowControl/>
      <w:spacing w:before="100" w:beforeAutospacing="1" w:after="100" w:afterAutospacing="1"/>
      <w:jc w:val="center"/>
    </w:pPr>
    <w:rPr>
      <w:rFonts w:ascii="宋体" w:cs="宋体"/>
      <w:kern w:val="0"/>
      <w:sz w:val="20"/>
    </w:rPr>
  </w:style>
  <w:style w:type="paragraph" w:customStyle="1" w:styleId="284">
    <w:name w:val="Char Char Char Char Char Char Char11"/>
    <w:basedOn w:val="1"/>
    <w:qFormat/>
    <w:uiPriority w:val="0"/>
    <w:pPr>
      <w:tabs>
        <w:tab w:val="left" w:pos="432"/>
      </w:tabs>
      <w:ind w:left="432" w:hanging="432"/>
    </w:pPr>
    <w:rPr>
      <w:rFonts w:ascii="Tahoma" w:hAnsi="Tahoma"/>
      <w:sz w:val="24"/>
    </w:rPr>
  </w:style>
  <w:style w:type="paragraph" w:customStyle="1" w:styleId="285">
    <w:name w:val="et2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86">
    <w:name w:val="标题3"/>
    <w:basedOn w:val="4"/>
    <w:qFormat/>
    <w:uiPriority w:val="0"/>
    <w:pPr>
      <w:tabs>
        <w:tab w:val="left" w:pos="113"/>
        <w:tab w:val="left" w:pos="840"/>
        <w:tab w:val="clear" w:pos="1620"/>
      </w:tabs>
      <w:spacing w:before="100" w:beforeLines="0" w:beforeAutospacing="1" w:afterLines="0" w:line="300" w:lineRule="auto"/>
      <w:ind w:left="1180" w:hanging="340"/>
    </w:pPr>
    <w:rPr>
      <w:rFonts w:ascii="Times New Roman"/>
      <w:b w:val="0"/>
      <w:bCs/>
      <w:spacing w:val="6"/>
      <w:kern w:val="44"/>
      <w:sz w:val="28"/>
      <w:szCs w:val="20"/>
      <w:lang w:val="ru-RU" w:eastAsia="ru-RU"/>
    </w:rPr>
  </w:style>
  <w:style w:type="paragraph" w:customStyle="1" w:styleId="287">
    <w:name w:val="样式4"/>
    <w:basedOn w:val="2"/>
    <w:qFormat/>
    <w:uiPriority w:val="0"/>
    <w:pPr>
      <w:keepLines/>
      <w:spacing w:line="360" w:lineRule="auto"/>
    </w:pPr>
    <w:rPr>
      <w:rFonts w:ascii="黑体" w:eastAsia="黑体"/>
      <w:b w:val="0"/>
      <w:szCs w:val="20"/>
    </w:rPr>
  </w:style>
  <w:style w:type="paragraph" w:customStyle="1" w:styleId="288">
    <w:name w:val="tabletextcharchar"/>
    <w:basedOn w:val="1"/>
    <w:qFormat/>
    <w:uiPriority w:val="0"/>
    <w:pPr>
      <w:widowControl/>
      <w:spacing w:before="100" w:beforeAutospacing="1" w:after="100" w:afterAutospacing="1"/>
      <w:jc w:val="left"/>
    </w:pPr>
    <w:rPr>
      <w:rFonts w:ascii="宋体" w:cs="宋体"/>
      <w:kern w:val="0"/>
      <w:sz w:val="24"/>
      <w:szCs w:val="24"/>
    </w:rPr>
  </w:style>
  <w:style w:type="paragraph" w:customStyle="1" w:styleId="289">
    <w:name w:val="哈哈正文"/>
    <w:basedOn w:val="1"/>
    <w:qFormat/>
    <w:uiPriority w:val="0"/>
    <w:pPr>
      <w:spacing w:line="360" w:lineRule="auto"/>
      <w:ind w:firstLine="200" w:firstLineChars="200"/>
    </w:pPr>
    <w:rPr>
      <w:rFonts w:ascii="宋体"/>
      <w:sz w:val="24"/>
    </w:rPr>
  </w:style>
  <w:style w:type="paragraph" w:customStyle="1" w:styleId="290">
    <w:name w:val="et3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91">
    <w:name w:val="et1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292">
    <w:name w:val="et8"/>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293">
    <w:name w:val="表内文字"/>
    <w:basedOn w:val="1"/>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294">
    <w:name w:val="Char21"/>
    <w:basedOn w:val="1"/>
    <w:qFormat/>
    <w:uiPriority w:val="0"/>
    <w:rPr>
      <w:rFonts w:ascii="仿宋_GB2312" w:eastAsia="仿宋_GB2312"/>
      <w:b/>
      <w:sz w:val="32"/>
      <w:szCs w:val="32"/>
    </w:rPr>
  </w:style>
  <w:style w:type="paragraph" w:customStyle="1" w:styleId="295">
    <w:name w:val="xl110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cs="宋体"/>
      <w:b/>
      <w:bCs/>
      <w:kern w:val="0"/>
      <w:sz w:val="20"/>
    </w:rPr>
  </w:style>
  <w:style w:type="paragraph" w:customStyle="1" w:styleId="296">
    <w:name w:val="样式 标题 3 + (中文) 黑体 小四 非加粗 段前: 7.8 磅 段后: 0 磅 行距: 固定值 20 磅"/>
    <w:basedOn w:val="4"/>
    <w:qFormat/>
    <w:uiPriority w:val="0"/>
    <w:pPr>
      <w:keepNext w:val="0"/>
      <w:keepLines w:val="0"/>
      <w:tabs>
        <w:tab w:val="clear" w:pos="1620"/>
      </w:tabs>
      <w:autoSpaceDE w:val="0"/>
      <w:autoSpaceDN w:val="0"/>
      <w:adjustRightInd w:val="0"/>
      <w:spacing w:before="260" w:beforeLines="0" w:after="260" w:afterLines="0" w:line="400" w:lineRule="exact"/>
      <w:ind w:left="0" w:firstLine="0"/>
      <w:jc w:val="left"/>
    </w:pPr>
    <w:rPr>
      <w:rFonts w:eastAsia="黑体" w:cs="宋体"/>
      <w:b w:val="0"/>
      <w:bCs/>
      <w:kern w:val="0"/>
      <w:sz w:val="24"/>
      <w:szCs w:val="20"/>
    </w:rPr>
  </w:style>
  <w:style w:type="paragraph" w:customStyle="1" w:styleId="297">
    <w:name w:val="xl1129"/>
    <w:basedOn w:val="1"/>
    <w:qFormat/>
    <w:uiPriority w:val="0"/>
    <w:pPr>
      <w:widowControl/>
      <w:pBdr>
        <w:top w:val="single" w:color="auto" w:sz="4" w:space="0"/>
        <w:bottom w:val="single" w:color="auto" w:sz="4" w:space="0"/>
        <w:right w:val="single" w:color="auto" w:sz="4" w:space="0"/>
      </w:pBdr>
      <w:shd w:val="clear" w:color="000000" w:fill="DCE6F1"/>
      <w:spacing w:before="100" w:beforeAutospacing="1" w:after="100" w:afterAutospacing="1"/>
      <w:jc w:val="left"/>
    </w:pPr>
    <w:rPr>
      <w:rFonts w:ascii="宋体" w:cs="宋体"/>
      <w:b/>
      <w:bCs/>
      <w:kern w:val="0"/>
      <w:szCs w:val="21"/>
    </w:rPr>
  </w:style>
  <w:style w:type="paragraph" w:customStyle="1" w:styleId="298">
    <w:name w:val="2"/>
    <w:basedOn w:val="1"/>
    <w:next w:val="1"/>
    <w:qFormat/>
    <w:uiPriority w:val="0"/>
    <w:rPr>
      <w:rFonts w:ascii="Calibri" w:hAnsi="Calibri" w:eastAsia="仿宋_GB2312"/>
      <w:sz w:val="18"/>
    </w:rPr>
  </w:style>
  <w:style w:type="paragraph" w:customStyle="1" w:styleId="299">
    <w:name w:val="Char4"/>
    <w:basedOn w:val="1"/>
    <w:qFormat/>
    <w:uiPriority w:val="0"/>
    <w:rPr>
      <w:rFonts w:ascii="Tahoma" w:hAnsi="Tahoma"/>
      <w:sz w:val="24"/>
    </w:rPr>
  </w:style>
  <w:style w:type="paragraph" w:customStyle="1" w:styleId="300">
    <w:name w:val="Char Char Char1 Char"/>
    <w:basedOn w:val="1"/>
    <w:qFormat/>
    <w:uiPriority w:val="0"/>
    <w:pPr>
      <w:spacing w:line="360" w:lineRule="auto"/>
      <w:ind w:firstLine="200" w:firstLineChars="200"/>
    </w:pPr>
  </w:style>
  <w:style w:type="paragraph" w:customStyle="1" w:styleId="301">
    <w:name w:val="et4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02">
    <w:name w:val="Proposals body"/>
    <w:basedOn w:val="1"/>
    <w:next w:val="1"/>
    <w:qFormat/>
    <w:uiPriority w:val="0"/>
    <w:pPr>
      <w:widowControl/>
      <w:spacing w:line="360" w:lineRule="auto"/>
      <w:jc w:val="left"/>
    </w:pPr>
    <w:rPr>
      <w:rFonts w:ascii="宋体"/>
      <w:color w:val="000000"/>
      <w:kern w:val="0"/>
      <w:sz w:val="24"/>
    </w:rPr>
  </w:style>
  <w:style w:type="paragraph" w:customStyle="1" w:styleId="303">
    <w:name w:val="xl111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304">
    <w:name w:val="xl25"/>
    <w:basedOn w:val="1"/>
    <w:qFormat/>
    <w:uiPriority w:val="0"/>
    <w:pPr>
      <w:widowControl/>
      <w:spacing w:before="100" w:beforeAutospacing="1" w:after="100" w:afterAutospacing="1"/>
      <w:jc w:val="center"/>
      <w:textAlignment w:val="center"/>
    </w:pPr>
    <w:rPr>
      <w:rFonts w:ascii="宋体"/>
      <w:kern w:val="0"/>
      <w:sz w:val="20"/>
    </w:rPr>
  </w:style>
  <w:style w:type="paragraph" w:customStyle="1" w:styleId="305">
    <w:name w:val="xl1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kern w:val="0"/>
      <w:sz w:val="20"/>
    </w:rPr>
  </w:style>
  <w:style w:type="paragraph" w:customStyle="1" w:styleId="306">
    <w:name w:val="et30"/>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07">
    <w:name w:val="et2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08">
    <w:name w:val="xl1124"/>
    <w:basedOn w:val="1"/>
    <w:qFormat/>
    <w:uiPriority w:val="0"/>
    <w:pPr>
      <w:widowControl/>
      <w:spacing w:before="100" w:beforeAutospacing="1" w:after="100" w:afterAutospacing="1"/>
      <w:jc w:val="left"/>
    </w:pPr>
    <w:rPr>
      <w:rFonts w:ascii="宋体" w:cs="宋体"/>
      <w:kern w:val="0"/>
      <w:sz w:val="24"/>
      <w:szCs w:val="24"/>
    </w:rPr>
  </w:style>
  <w:style w:type="paragraph" w:customStyle="1" w:styleId="309">
    <w:name w:val="tabletext"/>
    <w:basedOn w:val="1"/>
    <w:qFormat/>
    <w:uiPriority w:val="0"/>
    <w:pPr>
      <w:widowControl/>
      <w:spacing w:before="100" w:beforeAutospacing="1" w:after="100" w:afterAutospacing="1"/>
      <w:jc w:val="left"/>
    </w:pPr>
    <w:rPr>
      <w:rFonts w:ascii="宋体" w:cs="宋体"/>
      <w:kern w:val="0"/>
      <w:sz w:val="24"/>
      <w:szCs w:val="24"/>
    </w:rPr>
  </w:style>
  <w:style w:type="paragraph" w:customStyle="1" w:styleId="310">
    <w:name w:val="列出段落11"/>
    <w:basedOn w:val="1"/>
    <w:qFormat/>
    <w:uiPriority w:val="0"/>
    <w:pPr>
      <w:ind w:firstLine="200" w:firstLineChars="200"/>
    </w:pPr>
    <w:rPr>
      <w:szCs w:val="24"/>
    </w:rPr>
  </w:style>
  <w:style w:type="paragraph" w:customStyle="1" w:styleId="311">
    <w:name w:val="xl1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312">
    <w:name w:val="xl108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cs="宋体"/>
      <w:b/>
      <w:bCs/>
      <w:kern w:val="0"/>
      <w:sz w:val="20"/>
    </w:rPr>
  </w:style>
  <w:style w:type="paragraph" w:customStyle="1" w:styleId="313">
    <w:name w:val="金保标题3"/>
    <w:basedOn w:val="4"/>
    <w:next w:val="1"/>
    <w:qFormat/>
    <w:uiPriority w:val="0"/>
    <w:pPr>
      <w:tabs>
        <w:tab w:val="left" w:pos="0"/>
        <w:tab w:val="clear" w:pos="1620"/>
      </w:tabs>
      <w:spacing w:beforeLines="0" w:afterLines="0" w:line="240" w:lineRule="auto"/>
      <w:ind w:left="0" w:firstLine="0"/>
      <w:jc w:val="left"/>
    </w:pPr>
    <w:rPr>
      <w:rFonts w:ascii="楷体" w:eastAsia="楷体"/>
      <w:kern w:val="0"/>
      <w:sz w:val="28"/>
      <w:szCs w:val="20"/>
    </w:rPr>
  </w:style>
  <w:style w:type="paragraph" w:customStyle="1" w:styleId="314">
    <w:name w:val="font6"/>
    <w:basedOn w:val="1"/>
    <w:qFormat/>
    <w:uiPriority w:val="0"/>
    <w:pPr>
      <w:widowControl/>
      <w:spacing w:before="100" w:beforeAutospacing="1" w:after="100" w:afterAutospacing="1"/>
      <w:jc w:val="left"/>
    </w:pPr>
    <w:rPr>
      <w:rFonts w:ascii="宋体" w:cs="宋体"/>
      <w:kern w:val="0"/>
      <w:sz w:val="18"/>
      <w:szCs w:val="18"/>
    </w:rPr>
  </w:style>
  <w:style w:type="paragraph" w:customStyle="1" w:styleId="315">
    <w:name w:val="xl1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cs="宋体"/>
      <w:kern w:val="0"/>
      <w:sz w:val="20"/>
    </w:rPr>
  </w:style>
  <w:style w:type="paragraph" w:customStyle="1" w:styleId="316">
    <w:name w:val="et37"/>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17">
    <w:name w:val="Char Char Char Char Char Char2 Char Char Char Char"/>
    <w:basedOn w:val="1"/>
    <w:qFormat/>
    <w:uiPriority w:val="0"/>
    <w:rPr>
      <w:szCs w:val="24"/>
    </w:rPr>
  </w:style>
  <w:style w:type="paragraph" w:customStyle="1" w:styleId="318">
    <w:name w:val="xl1096"/>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cs="宋体"/>
      <w:b/>
      <w:bCs/>
      <w:kern w:val="0"/>
      <w:sz w:val="20"/>
    </w:rPr>
  </w:style>
  <w:style w:type="paragraph" w:customStyle="1" w:styleId="319">
    <w:name w:val="et10"/>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20">
    <w:name w:val="et3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21">
    <w:name w:val="标准小四"/>
    <w:basedOn w:val="1"/>
    <w:qFormat/>
    <w:uiPriority w:val="0"/>
    <w:pPr>
      <w:spacing w:line="360" w:lineRule="auto"/>
      <w:ind w:firstLine="200" w:firstLineChars="200"/>
    </w:pPr>
    <w:rPr>
      <w:rFonts w:ascii="Arial" w:hAnsi="Arial"/>
      <w:sz w:val="24"/>
      <w:szCs w:val="21"/>
    </w:rPr>
  </w:style>
  <w:style w:type="paragraph" w:customStyle="1" w:styleId="322">
    <w:name w:val="Char12"/>
    <w:basedOn w:val="1"/>
    <w:qFormat/>
    <w:uiPriority w:val="0"/>
    <w:rPr>
      <w:szCs w:val="22"/>
    </w:rPr>
  </w:style>
  <w:style w:type="paragraph" w:customStyle="1" w:styleId="323">
    <w:name w:val="et9"/>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324">
    <w:name w:val="et2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25">
    <w:name w:val="xl1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cs="宋体"/>
      <w:kern w:val="0"/>
      <w:sz w:val="20"/>
    </w:rPr>
  </w:style>
  <w:style w:type="paragraph" w:customStyle="1" w:styleId="326">
    <w:name w:val="xl1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Cs w:val="21"/>
    </w:rPr>
  </w:style>
  <w:style w:type="paragraph" w:customStyle="1" w:styleId="327">
    <w:name w:val="et48"/>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28">
    <w:name w:val="xl1116"/>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pPr>
    <w:rPr>
      <w:rFonts w:ascii="宋体" w:cs="宋体"/>
      <w:b/>
      <w:bCs/>
      <w:kern w:val="0"/>
      <w:sz w:val="24"/>
      <w:szCs w:val="24"/>
    </w:rPr>
  </w:style>
  <w:style w:type="paragraph" w:customStyle="1" w:styleId="329">
    <w:name w:val="标准正文"/>
    <w:basedOn w:val="1"/>
    <w:qFormat/>
    <w:uiPriority w:val="0"/>
    <w:pPr>
      <w:adjustRightInd w:val="0"/>
      <w:spacing w:line="360" w:lineRule="auto"/>
      <w:ind w:firstLine="200" w:firstLineChars="200"/>
    </w:pPr>
    <w:rPr>
      <w:kern w:val="0"/>
      <w:sz w:val="24"/>
    </w:rPr>
  </w:style>
  <w:style w:type="paragraph" w:customStyle="1" w:styleId="330">
    <w:name w:val="et4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31">
    <w:name w:val="正文无缩进"/>
    <w:basedOn w:val="1"/>
    <w:qFormat/>
    <w:uiPriority w:val="0"/>
    <w:pPr>
      <w:widowControl/>
      <w:autoSpaceDE w:val="0"/>
      <w:autoSpaceDN w:val="0"/>
      <w:spacing w:line="300" w:lineRule="auto"/>
      <w:textAlignment w:val="bottom"/>
    </w:pPr>
    <w:rPr>
      <w:rFonts w:eastAsia="楷体_GB2312"/>
    </w:rPr>
  </w:style>
  <w:style w:type="paragraph" w:customStyle="1" w:styleId="332">
    <w:name w:val="xl1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eastAsia="黑体" w:cs="宋体"/>
      <w:b/>
      <w:bCs/>
      <w:kern w:val="0"/>
      <w:sz w:val="40"/>
      <w:szCs w:val="40"/>
    </w:rPr>
  </w:style>
  <w:style w:type="paragraph" w:customStyle="1" w:styleId="333">
    <w:name w:val="xl1123"/>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pPr>
    <w:rPr>
      <w:rFonts w:ascii="宋体" w:cs="宋体"/>
      <w:b/>
      <w:bCs/>
      <w:kern w:val="0"/>
      <w:sz w:val="24"/>
      <w:szCs w:val="24"/>
    </w:rPr>
  </w:style>
  <w:style w:type="paragraph" w:customStyle="1" w:styleId="334">
    <w:name w:val="部分1"/>
    <w:basedOn w:val="1"/>
    <w:qFormat/>
    <w:uiPriority w:val="0"/>
    <w:pPr>
      <w:keepNext/>
      <w:pageBreakBefore/>
      <w:tabs>
        <w:tab w:val="left" w:pos="720"/>
      </w:tabs>
      <w:spacing w:line="360" w:lineRule="auto"/>
      <w:jc w:val="center"/>
      <w:outlineLvl w:val="0"/>
    </w:pPr>
    <w:rPr>
      <w:rFonts w:eastAsia="黑体"/>
      <w:b/>
      <w:kern w:val="44"/>
      <w:sz w:val="36"/>
    </w:rPr>
  </w:style>
  <w:style w:type="paragraph" w:customStyle="1" w:styleId="335">
    <w:name w:val="Char Char Char Char Char Char Char1"/>
    <w:basedOn w:val="1"/>
    <w:qFormat/>
    <w:uiPriority w:val="0"/>
    <w:rPr>
      <w:rFonts w:ascii="仿宋_GB2312" w:eastAsia="仿宋_GB2312"/>
      <w:b/>
      <w:sz w:val="32"/>
      <w:szCs w:val="32"/>
    </w:rPr>
  </w:style>
  <w:style w:type="paragraph" w:customStyle="1" w:styleId="336">
    <w:name w:val="et20"/>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37">
    <w:name w:val="样式3"/>
    <w:basedOn w:val="26"/>
    <w:next w:val="1"/>
    <w:qFormat/>
    <w:uiPriority w:val="0"/>
    <w:pPr>
      <w:tabs>
        <w:tab w:val="left" w:pos="709"/>
      </w:tabs>
      <w:spacing w:before="0" w:after="0"/>
      <w:ind w:left="709" w:hanging="709"/>
    </w:pPr>
    <w:rPr>
      <w:rFonts w:ascii="Tahoma" w:hAnsi="Tahoma"/>
      <w:sz w:val="28"/>
    </w:rPr>
  </w:style>
  <w:style w:type="paragraph" w:customStyle="1" w:styleId="338">
    <w:name w:val="xl10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339">
    <w:name w:val="List Paragraph1"/>
    <w:basedOn w:val="1"/>
    <w:qFormat/>
    <w:uiPriority w:val="0"/>
    <w:pPr>
      <w:widowControl/>
      <w:spacing w:before="15" w:after="15" w:line="460" w:lineRule="exact"/>
      <w:ind w:firstLine="200" w:firstLineChars="200"/>
      <w:jc w:val="left"/>
    </w:pPr>
    <w:rPr>
      <w:rFonts w:ascii="Calibri" w:hAnsi="Calibri"/>
      <w:sz w:val="24"/>
      <w:szCs w:val="22"/>
    </w:rPr>
  </w:style>
  <w:style w:type="paragraph" w:customStyle="1" w:styleId="340">
    <w:name w:val="中等深浅网格 1 - 强调文字颜色 21"/>
    <w:basedOn w:val="1"/>
    <w:qFormat/>
    <w:uiPriority w:val="0"/>
    <w:pPr>
      <w:ind w:firstLine="200" w:firstLineChars="200"/>
    </w:pPr>
    <w:rPr>
      <w:rFonts w:ascii="Calibri" w:hAnsi="Calibri"/>
      <w:sz w:val="22"/>
    </w:rPr>
  </w:style>
  <w:style w:type="paragraph" w:customStyle="1" w:styleId="341">
    <w:name w:val="xl1125"/>
    <w:basedOn w:val="1"/>
    <w:qFormat/>
    <w:uiPriority w:val="0"/>
    <w:pPr>
      <w:widowControl/>
      <w:pBdr>
        <w:top w:val="single" w:color="auto" w:sz="4" w:space="0"/>
        <w:bottom w:val="single" w:color="auto" w:sz="4" w:space="0"/>
      </w:pBdr>
      <w:shd w:val="clear" w:color="000000" w:fill="DCE6F1"/>
      <w:spacing w:before="100" w:beforeAutospacing="1" w:after="100" w:afterAutospacing="1"/>
      <w:jc w:val="left"/>
    </w:pPr>
    <w:rPr>
      <w:rFonts w:ascii="宋体" w:cs="宋体"/>
      <w:b/>
      <w:bCs/>
      <w:kern w:val="0"/>
      <w:sz w:val="24"/>
      <w:szCs w:val="24"/>
    </w:rPr>
  </w:style>
  <w:style w:type="paragraph" w:customStyle="1" w:styleId="342">
    <w:name w:val="招标_表格2"/>
    <w:basedOn w:val="1"/>
    <w:next w:val="1"/>
    <w:qFormat/>
    <w:uiPriority w:val="0"/>
    <w:rPr>
      <w:rFonts w:ascii="宋体" w:hAnsi="宋体"/>
      <w:sz w:val="20"/>
    </w:rPr>
  </w:style>
  <w:style w:type="paragraph" w:customStyle="1" w:styleId="343">
    <w:name w:val="xl1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cs="宋体"/>
      <w:kern w:val="0"/>
      <w:sz w:val="20"/>
    </w:rPr>
  </w:style>
  <w:style w:type="paragraph" w:customStyle="1" w:styleId="344">
    <w:name w:val="Char"/>
    <w:basedOn w:val="1"/>
    <w:qFormat/>
    <w:uiPriority w:val="0"/>
    <w:pPr>
      <w:widowControl/>
      <w:spacing w:after="160" w:line="240" w:lineRule="exact"/>
      <w:ind w:left="-62" w:right="15" w:rightChars="15"/>
      <w:jc w:val="left"/>
    </w:pPr>
    <w:rPr>
      <w:rFonts w:ascii="Arial" w:hAnsi="Arial"/>
      <w:kern w:val="0"/>
      <w:sz w:val="20"/>
    </w:rPr>
  </w:style>
  <w:style w:type="paragraph" w:customStyle="1" w:styleId="345">
    <w:name w:val="et51"/>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46">
    <w:name w:val="样式5"/>
    <w:basedOn w:val="1"/>
    <w:qFormat/>
    <w:uiPriority w:val="0"/>
    <w:pPr>
      <w:keepNext/>
      <w:keepLines/>
      <w:spacing w:before="280" w:after="290" w:line="376" w:lineRule="auto"/>
      <w:ind w:left="100" w:leftChars="100" w:right="100" w:rightChars="100"/>
      <w:outlineLvl w:val="4"/>
    </w:pPr>
    <w:rPr>
      <w:b/>
      <w:sz w:val="28"/>
    </w:rPr>
  </w:style>
  <w:style w:type="paragraph" w:customStyle="1" w:styleId="347">
    <w:name w:val="纯文本1"/>
    <w:basedOn w:val="1"/>
    <w:qFormat/>
    <w:uiPriority w:val="0"/>
    <w:rPr>
      <w:rFonts w:ascii="宋体"/>
    </w:rPr>
  </w:style>
  <w:style w:type="paragraph" w:customStyle="1" w:styleId="348">
    <w:name w:val="[正文行首缩进]"/>
    <w:qFormat/>
    <w:uiPriority w:val="0"/>
    <w:pPr>
      <w:widowControl w:val="0"/>
      <w:spacing w:line="360" w:lineRule="auto"/>
      <w:ind w:firstLine="200" w:firstLineChars="200"/>
      <w:jc w:val="both"/>
    </w:pPr>
    <w:rPr>
      <w:rFonts w:ascii="Times New Roman" w:hAnsi="Times New Roman" w:eastAsia="宋体" w:cs="Times New Roman"/>
      <w:color w:val="000000"/>
      <w:sz w:val="24"/>
      <w:szCs w:val="24"/>
      <w:lang w:val="en-US" w:eastAsia="zh-CN" w:bidi="ar-SA"/>
    </w:rPr>
  </w:style>
  <w:style w:type="paragraph" w:customStyle="1" w:styleId="349">
    <w:name w:val="xl1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350">
    <w:name w:val="font7"/>
    <w:basedOn w:val="1"/>
    <w:qFormat/>
    <w:uiPriority w:val="0"/>
    <w:pPr>
      <w:widowControl/>
      <w:spacing w:before="100" w:beforeAutospacing="1" w:after="100" w:afterAutospacing="1"/>
      <w:jc w:val="left"/>
    </w:pPr>
    <w:rPr>
      <w:kern w:val="0"/>
      <w:sz w:val="20"/>
    </w:rPr>
  </w:style>
  <w:style w:type="paragraph" w:customStyle="1" w:styleId="351">
    <w:name w:val="2册标题2"/>
    <w:basedOn w:val="1"/>
    <w:next w:val="1"/>
    <w:qFormat/>
    <w:uiPriority w:val="0"/>
    <w:pPr>
      <w:spacing w:before="50" w:beforeLines="50" w:after="50" w:afterLines="50" w:line="300" w:lineRule="auto"/>
      <w:outlineLvl w:val="1"/>
    </w:pPr>
    <w:rPr>
      <w:rFonts w:ascii="Arial" w:hAnsi="Arial" w:eastAsia="黑体"/>
      <w:sz w:val="30"/>
      <w:szCs w:val="30"/>
    </w:rPr>
  </w:style>
  <w:style w:type="paragraph" w:customStyle="1" w:styleId="352">
    <w:name w:val="et24"/>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53">
    <w:name w:val="et59"/>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5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5">
    <w:name w:val="font5"/>
    <w:basedOn w:val="1"/>
    <w:qFormat/>
    <w:uiPriority w:val="0"/>
    <w:pPr>
      <w:widowControl/>
      <w:spacing w:before="100" w:beforeAutospacing="1" w:after="100" w:afterAutospacing="1"/>
      <w:jc w:val="left"/>
    </w:pPr>
    <w:rPr>
      <w:rFonts w:ascii="宋体" w:cs="宋体"/>
      <w:kern w:val="0"/>
      <w:sz w:val="18"/>
      <w:szCs w:val="18"/>
    </w:rPr>
  </w:style>
  <w:style w:type="paragraph" w:customStyle="1" w:styleId="356">
    <w:name w:val="Table Paragraph"/>
    <w:basedOn w:val="1"/>
    <w:qFormat/>
    <w:uiPriority w:val="0"/>
    <w:pPr>
      <w:spacing w:before="100" w:beforeAutospacing="1" w:after="100" w:afterAutospacing="1" w:line="360" w:lineRule="auto"/>
    </w:pPr>
    <w:rPr>
      <w:sz w:val="24"/>
      <w:szCs w:val="24"/>
    </w:rPr>
  </w:style>
  <w:style w:type="paragraph" w:customStyle="1" w:styleId="357">
    <w:name w:val="xl10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cs="宋体"/>
      <w:kern w:val="0"/>
      <w:sz w:val="20"/>
    </w:rPr>
  </w:style>
  <w:style w:type="paragraph" w:customStyle="1" w:styleId="358">
    <w:name w:val="et41"/>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59">
    <w:name w:val="彩色列表 - 强调文字颜色 11"/>
    <w:basedOn w:val="1"/>
    <w:qFormat/>
    <w:uiPriority w:val="0"/>
    <w:pPr>
      <w:ind w:firstLine="200" w:firstLineChars="200"/>
    </w:pPr>
    <w:rPr>
      <w:rFonts w:ascii="Calibri" w:hAnsi="Calibri"/>
      <w:szCs w:val="22"/>
    </w:rPr>
  </w:style>
  <w:style w:type="paragraph" w:customStyle="1" w:styleId="360">
    <w:name w:val="et31"/>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61">
    <w:name w:val="font3"/>
    <w:basedOn w:val="1"/>
    <w:qFormat/>
    <w:uiPriority w:val="0"/>
    <w:pPr>
      <w:widowControl/>
      <w:spacing w:before="100" w:beforeAutospacing="1" w:after="100" w:afterAutospacing="1"/>
      <w:jc w:val="left"/>
    </w:pPr>
    <w:rPr>
      <w:rFonts w:ascii="宋体" w:cs="宋体"/>
      <w:color w:val="000000"/>
      <w:kern w:val="0"/>
      <w:sz w:val="24"/>
      <w:szCs w:val="24"/>
    </w:rPr>
  </w:style>
  <w:style w:type="paragraph" w:customStyle="1" w:styleId="362">
    <w:name w:val="Char Char Char Char"/>
    <w:basedOn w:val="1"/>
    <w:qFormat/>
    <w:uiPriority w:val="0"/>
    <w:pPr>
      <w:widowControl/>
      <w:spacing w:line="400" w:lineRule="exact"/>
      <w:jc w:val="center"/>
    </w:pPr>
    <w:rPr>
      <w:rFonts w:ascii="Verdana" w:hAnsi="Verdana"/>
      <w:kern w:val="0"/>
    </w:rPr>
  </w:style>
  <w:style w:type="paragraph" w:customStyle="1" w:styleId="363">
    <w:name w:val="Char Char Char Char Char Char Char2"/>
    <w:basedOn w:val="1"/>
    <w:qFormat/>
    <w:uiPriority w:val="0"/>
    <w:rPr>
      <w:rFonts w:ascii="仿宋_GB2312" w:eastAsia="仿宋_GB2312"/>
      <w:b/>
      <w:sz w:val="32"/>
      <w:szCs w:val="32"/>
    </w:rPr>
  </w:style>
  <w:style w:type="paragraph" w:customStyle="1" w:styleId="364">
    <w:name w:val="et12"/>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65">
    <w:name w:val="表格正文"/>
    <w:basedOn w:val="1"/>
    <w:qFormat/>
    <w:uiPriority w:val="0"/>
    <w:rPr>
      <w:rFonts w:eastAsia="黑体"/>
    </w:rPr>
  </w:style>
  <w:style w:type="paragraph" w:customStyle="1" w:styleId="366">
    <w:name w:val="_Style 363"/>
    <w:basedOn w:val="1"/>
    <w:next w:val="1"/>
    <w:qFormat/>
    <w:uiPriority w:val="0"/>
    <w:pPr>
      <w:pBdr>
        <w:bottom w:val="single" w:color="auto" w:sz="6" w:space="1"/>
      </w:pBdr>
      <w:jc w:val="center"/>
    </w:pPr>
    <w:rPr>
      <w:rFonts w:ascii="Arial" w:hAnsi="Arial"/>
      <w:vanish/>
      <w:kern w:val="0"/>
      <w:sz w:val="16"/>
      <w:szCs w:val="24"/>
    </w:rPr>
  </w:style>
  <w:style w:type="paragraph" w:customStyle="1" w:styleId="367">
    <w:name w:val="et40"/>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68">
    <w:name w:val="默认段落字体 Para Char Char Char Char Char Char Char Char Char1 Char Char Char Char"/>
    <w:basedOn w:val="1"/>
    <w:qFormat/>
    <w:uiPriority w:val="0"/>
    <w:rPr>
      <w:rFonts w:ascii="Tahoma" w:hAnsi="Tahoma"/>
      <w:sz w:val="24"/>
    </w:rPr>
  </w:style>
  <w:style w:type="paragraph" w:customStyle="1" w:styleId="369">
    <w:name w:val="Char Char Char Char2"/>
    <w:basedOn w:val="1"/>
    <w:qFormat/>
    <w:uiPriority w:val="0"/>
    <w:rPr>
      <w:rFonts w:ascii="Tahoma" w:hAnsi="Tahoma"/>
      <w:sz w:val="24"/>
    </w:rPr>
  </w:style>
  <w:style w:type="paragraph" w:customStyle="1" w:styleId="370">
    <w:name w:val="xl1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cs="宋体"/>
      <w:kern w:val="0"/>
      <w:sz w:val="20"/>
    </w:rPr>
  </w:style>
  <w:style w:type="paragraph" w:customStyle="1" w:styleId="371">
    <w:name w:val="xl28"/>
    <w:basedOn w:val="1"/>
    <w:qFormat/>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rPr>
  </w:style>
  <w:style w:type="paragraph" w:customStyle="1" w:styleId="372">
    <w:name w:val="Char Char Char Char1"/>
    <w:basedOn w:val="1"/>
    <w:qFormat/>
    <w:uiPriority w:val="0"/>
    <w:rPr>
      <w:rFonts w:ascii="Tahoma" w:hAnsi="Tahoma"/>
      <w:sz w:val="24"/>
    </w:rPr>
  </w:style>
  <w:style w:type="paragraph" w:customStyle="1" w:styleId="373">
    <w:name w:val="大标题"/>
    <w:basedOn w:val="1"/>
    <w:qFormat/>
    <w:uiPriority w:val="0"/>
    <w:pPr>
      <w:autoSpaceDE w:val="0"/>
      <w:autoSpaceDN w:val="0"/>
      <w:adjustRightInd w:val="0"/>
      <w:spacing w:after="560"/>
      <w:jc w:val="center"/>
    </w:pPr>
    <w:rPr>
      <w:rFonts w:ascii="Arial Black" w:hAnsi="Arial Black"/>
      <w:b/>
      <w:kern w:val="0"/>
      <w:sz w:val="56"/>
    </w:rPr>
  </w:style>
  <w:style w:type="paragraph" w:customStyle="1" w:styleId="374">
    <w:name w:val="xl10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cs="宋体"/>
      <w:kern w:val="0"/>
      <w:sz w:val="20"/>
    </w:rPr>
  </w:style>
  <w:style w:type="paragraph" w:customStyle="1" w:styleId="375">
    <w:name w:val="xl1090"/>
    <w:basedOn w:val="1"/>
    <w:qFormat/>
    <w:uiPriority w:val="0"/>
    <w:pPr>
      <w:widowControl/>
      <w:spacing w:before="100" w:beforeAutospacing="1" w:after="100" w:afterAutospacing="1"/>
      <w:jc w:val="center"/>
    </w:pPr>
    <w:rPr>
      <w:rFonts w:ascii="宋体" w:cs="宋体"/>
      <w:kern w:val="0"/>
      <w:sz w:val="20"/>
    </w:rPr>
  </w:style>
  <w:style w:type="paragraph" w:customStyle="1" w:styleId="376">
    <w:name w:val="Char Char Char Char Char Char2 Char Char Char Char1"/>
    <w:basedOn w:val="1"/>
    <w:qFormat/>
    <w:uiPriority w:val="0"/>
    <w:rPr>
      <w:szCs w:val="24"/>
    </w:rPr>
  </w:style>
  <w:style w:type="paragraph" w:customStyle="1" w:styleId="377">
    <w:name w:val="标题1"/>
    <w:basedOn w:val="2"/>
    <w:qFormat/>
    <w:uiPriority w:val="0"/>
    <w:pPr>
      <w:keepLines/>
      <w:tabs>
        <w:tab w:val="left" w:pos="397"/>
      </w:tabs>
      <w:spacing w:before="120" w:after="120" w:line="300" w:lineRule="auto"/>
      <w:ind w:firstLine="340"/>
    </w:pPr>
    <w:rPr>
      <w:rFonts w:ascii="黑体" w:eastAsia="黑体"/>
      <w:b w:val="0"/>
      <w:bCs/>
      <w:spacing w:val="6"/>
      <w:sz w:val="36"/>
    </w:rPr>
  </w:style>
  <w:style w:type="paragraph" w:customStyle="1" w:styleId="378">
    <w:name w:val="Char1 Char Char Char"/>
    <w:basedOn w:val="1"/>
    <w:qFormat/>
    <w:uiPriority w:val="0"/>
    <w:rPr>
      <w:rFonts w:ascii="Tahoma" w:hAnsi="Tahoma"/>
      <w:sz w:val="24"/>
    </w:rPr>
  </w:style>
  <w:style w:type="paragraph" w:customStyle="1" w:styleId="379">
    <w:name w:val="et45"/>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80">
    <w:name w:val="列出段落2"/>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381">
    <w:name w:val="et11"/>
    <w:basedOn w:val="1"/>
    <w:qFormat/>
    <w:uiPriority w:val="0"/>
    <w:pPr>
      <w:widowControl/>
      <w:spacing w:before="100" w:beforeAutospacing="1" w:after="100" w:afterAutospacing="1"/>
      <w:jc w:val="left"/>
      <w:textAlignment w:val="center"/>
    </w:pPr>
    <w:rPr>
      <w:rFonts w:ascii="华文细黑" w:eastAsia="华文细黑" w:cs="宋体"/>
      <w:color w:val="000000"/>
      <w:kern w:val="0"/>
      <w:sz w:val="20"/>
    </w:rPr>
  </w:style>
  <w:style w:type="paragraph" w:customStyle="1" w:styleId="382">
    <w:name w:val="xl1117"/>
    <w:basedOn w:val="1"/>
    <w:qFormat/>
    <w:uiPriority w:val="0"/>
    <w:pPr>
      <w:widowControl/>
      <w:pBdr>
        <w:top w:val="single" w:color="auto" w:sz="4" w:space="0"/>
        <w:left w:val="single" w:color="auto" w:sz="4" w:space="0"/>
        <w:bottom w:val="single" w:color="auto" w:sz="4" w:space="0"/>
        <w:right w:val="single" w:color="auto" w:sz="4" w:space="0"/>
      </w:pBdr>
      <w:shd w:val="clear" w:color="000000" w:fill="DCE6F1"/>
      <w:spacing w:before="100" w:beforeAutospacing="1" w:after="100" w:afterAutospacing="1"/>
      <w:jc w:val="center"/>
    </w:pPr>
    <w:rPr>
      <w:rFonts w:ascii="宋体" w:cs="宋体"/>
      <w:kern w:val="0"/>
      <w:sz w:val="24"/>
      <w:szCs w:val="24"/>
    </w:rPr>
  </w:style>
  <w:style w:type="paragraph" w:customStyle="1" w:styleId="383">
    <w:name w:val="xl1108"/>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cs="宋体"/>
      <w:b/>
      <w:bCs/>
      <w:kern w:val="0"/>
      <w:sz w:val="20"/>
    </w:rPr>
  </w:style>
  <w:style w:type="paragraph" w:customStyle="1" w:styleId="384">
    <w:name w:val="tabletextchar"/>
    <w:basedOn w:val="1"/>
    <w:qFormat/>
    <w:uiPriority w:val="0"/>
    <w:pPr>
      <w:widowControl/>
      <w:spacing w:before="100" w:beforeAutospacing="1" w:after="100" w:afterAutospacing="1"/>
      <w:jc w:val="left"/>
    </w:pPr>
    <w:rPr>
      <w:rFonts w:ascii="宋体" w:cs="宋体"/>
      <w:kern w:val="0"/>
      <w:sz w:val="24"/>
      <w:szCs w:val="24"/>
    </w:rPr>
  </w:style>
  <w:style w:type="paragraph" w:styleId="385">
    <w:name w:val="No Spacing"/>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86">
    <w:name w:val="et6"/>
    <w:basedOn w:val="1"/>
    <w:qFormat/>
    <w:uiPriority w:val="0"/>
    <w:pPr>
      <w:widowControl/>
      <w:spacing w:before="100" w:beforeAutospacing="1" w:after="100" w:afterAutospacing="1"/>
      <w:jc w:val="left"/>
      <w:textAlignment w:val="center"/>
    </w:pPr>
    <w:rPr>
      <w:rFonts w:ascii="宋体" w:cs="宋体"/>
      <w:color w:val="000000"/>
      <w:kern w:val="0"/>
      <w:sz w:val="24"/>
      <w:szCs w:val="24"/>
    </w:rPr>
  </w:style>
  <w:style w:type="paragraph" w:customStyle="1" w:styleId="387">
    <w:name w:val="正文段"/>
    <w:basedOn w:val="1"/>
    <w:qFormat/>
    <w:uiPriority w:val="0"/>
    <w:pPr>
      <w:widowControl/>
      <w:snapToGrid w:val="0"/>
      <w:spacing w:after="50" w:afterLines="50"/>
      <w:ind w:firstLine="200" w:firstLineChars="200"/>
    </w:pPr>
    <w:rPr>
      <w:kern w:val="0"/>
      <w:sz w:val="24"/>
    </w:rPr>
  </w:style>
  <w:style w:type="paragraph" w:customStyle="1" w:styleId="388">
    <w:name w:val="et22"/>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89">
    <w:name w:val="font10"/>
    <w:basedOn w:val="1"/>
    <w:qFormat/>
    <w:uiPriority w:val="0"/>
    <w:pPr>
      <w:widowControl/>
      <w:spacing w:before="100" w:beforeAutospacing="1" w:after="100" w:afterAutospacing="1"/>
      <w:jc w:val="left"/>
    </w:pPr>
    <w:rPr>
      <w:rFonts w:ascii="宋体" w:cs="宋体"/>
      <w:kern w:val="0"/>
      <w:sz w:val="18"/>
      <w:szCs w:val="18"/>
    </w:rPr>
  </w:style>
  <w:style w:type="paragraph" w:customStyle="1" w:styleId="390">
    <w:name w:val="正文2"/>
    <w:basedOn w:val="1"/>
    <w:qFormat/>
    <w:uiPriority w:val="0"/>
    <w:pPr>
      <w:spacing w:before="50" w:beforeLines="50" w:after="50" w:afterLines="50" w:line="360" w:lineRule="auto"/>
      <w:ind w:firstLine="200" w:firstLineChars="200"/>
    </w:pPr>
    <w:rPr>
      <w:rFonts w:ascii="宋体"/>
      <w:sz w:val="24"/>
      <w:szCs w:val="24"/>
    </w:rPr>
  </w:style>
  <w:style w:type="paragraph" w:customStyle="1" w:styleId="391">
    <w:name w:val="1册标题1"/>
    <w:basedOn w:val="1"/>
    <w:next w:val="1"/>
    <w:qFormat/>
    <w:uiPriority w:val="0"/>
    <w:pPr>
      <w:spacing w:before="50" w:beforeLines="50" w:after="50" w:afterLines="50" w:line="300" w:lineRule="auto"/>
      <w:jc w:val="center"/>
      <w:outlineLvl w:val="0"/>
    </w:pPr>
    <w:rPr>
      <w:rFonts w:ascii="Arial" w:hAnsi="Arial" w:eastAsia="黑体"/>
      <w:b/>
      <w:bCs/>
      <w:sz w:val="48"/>
    </w:rPr>
  </w:style>
  <w:style w:type="paragraph" w:customStyle="1" w:styleId="392">
    <w:name w:val="_Style 5"/>
    <w:basedOn w:val="1"/>
    <w:qFormat/>
    <w:uiPriority w:val="0"/>
    <w:pPr>
      <w:widowControl/>
      <w:spacing w:after="160" w:line="360" w:lineRule="auto"/>
      <w:ind w:firstLine="200" w:firstLineChars="200"/>
      <w:jc w:val="left"/>
    </w:pPr>
    <w:rPr>
      <w:rFonts w:ascii="宋体"/>
      <w:sz w:val="24"/>
    </w:rPr>
  </w:style>
  <w:style w:type="paragraph" w:customStyle="1" w:styleId="393">
    <w:name w:val="et36"/>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94">
    <w:name w:val="et23"/>
    <w:basedOn w:val="1"/>
    <w:qFormat/>
    <w:uiPriority w:val="0"/>
    <w:pPr>
      <w:widowControl/>
      <w:spacing w:before="100" w:beforeAutospacing="1" w:after="100" w:afterAutospacing="1"/>
      <w:jc w:val="left"/>
      <w:textAlignment w:val="bottom"/>
    </w:pPr>
    <w:rPr>
      <w:rFonts w:ascii="宋体" w:cs="宋体"/>
      <w:color w:val="000000"/>
      <w:kern w:val="0"/>
      <w:sz w:val="22"/>
      <w:szCs w:val="22"/>
    </w:rPr>
  </w:style>
  <w:style w:type="paragraph" w:customStyle="1" w:styleId="395">
    <w:name w:val="xl1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cs="宋体"/>
      <w:kern w:val="0"/>
      <w:sz w:val="20"/>
    </w:rPr>
  </w:style>
  <w:style w:type="paragraph" w:customStyle="1" w:styleId="396">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397">
    <w:name w:val="楷体粗正文文字"/>
    <w:basedOn w:val="1"/>
    <w:next w:val="40"/>
    <w:qFormat/>
    <w:uiPriority w:val="0"/>
    <w:pPr>
      <w:snapToGrid w:val="0"/>
      <w:spacing w:line="480" w:lineRule="exact"/>
      <w:ind w:firstLine="560"/>
    </w:pPr>
    <w:rPr>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68</Pages>
  <Words>3002</Words>
  <Characters>3539</Characters>
  <Lines>273</Lines>
  <Paragraphs>77</Paragraphs>
  <TotalTime>0</TotalTime>
  <ScaleCrop>false</ScaleCrop>
  <LinksUpToDate>false</LinksUpToDate>
  <CharactersWithSpaces>3698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2022-08-11T12:43:00Z</dcterms:created>
  <dc:creator>dyp</dc:creator>
  <cp:lastModifiedBy>Helios、</cp:lastModifiedBy>
  <cp:lastPrinted>2024-01-24T02:19:00Z</cp:lastPrinted>
  <dcterms:modified xsi:type="dcterms:W3CDTF">2025-06-24T03:20:14Z</dcterms:modified>
  <dc:title>第一部分  投标方须知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vt:lpwstr>web</vt:lpwstr>
  </property>
  <property fmtid="{D5CDD505-2E9C-101B-9397-08002B2CF9AE}" pid="4" name="woTemplate">
    <vt:r8>1</vt:r8>
  </property>
  <property fmtid="{D5CDD505-2E9C-101B-9397-08002B2CF9AE}" pid="5" name="commondata">
    <vt:lpwstr>eyJoZGlkIjoiOGU2NmQ0OTI3ODRmMWE2MzA0ZGU1ZTdlMmNiMGZkZjkifQ==</vt:lpwstr>
  </property>
  <property fmtid="{D5CDD505-2E9C-101B-9397-08002B2CF9AE}" pid="6" name="ICV">
    <vt:lpwstr>F7E084D12A95453C9B7D684F013620CD_13</vt:lpwstr>
  </property>
  <property fmtid="{D5CDD505-2E9C-101B-9397-08002B2CF9AE}" pid="7" name="KSOTemplateDocerSaveRecord">
    <vt:lpwstr>eyJoZGlkIjoiNzY4NmZlNDE3MmI0NjE5NDUyMTMzNTU5NGZjZWRiNmIiLCJ1c2VySWQiOiI1MTU3OTAxNTIifQ==</vt:lpwstr>
  </property>
</Properties>
</file>