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FD4ED">
      <w:pPr>
        <w:spacing w:line="360" w:lineRule="auto"/>
        <w:jc w:val="center"/>
        <w:rPr>
          <w:rFonts w:hint="eastAsia" w:ascii="宋体" w:hAnsi="宋体" w:eastAsia="宋体" w:cs="宋体"/>
          <w:b/>
          <w:sz w:val="24"/>
        </w:rPr>
      </w:pPr>
    </w:p>
    <w:p w14:paraId="7192905D">
      <w:pPr>
        <w:spacing w:before="120" w:beforeLines="50" w:after="240" w:line="500" w:lineRule="exact"/>
        <w:ind w:right="-420" w:rightChars="-200"/>
        <w:jc w:val="center"/>
        <w:outlineLvl w:val="0"/>
        <w:rPr>
          <w:rFonts w:hint="eastAsia" w:ascii="宋体" w:hAnsi="宋体" w:eastAsia="宋体" w:cs="宋体"/>
          <w:bCs/>
          <w:color w:val="000000"/>
          <w:sz w:val="52"/>
          <w:szCs w:val="52"/>
          <w:highlight w:val="none"/>
        </w:rPr>
      </w:pPr>
      <w:bookmarkStart w:id="0" w:name="_Toc4777"/>
      <w:bookmarkStart w:id="1" w:name="_Toc24447"/>
      <w:r>
        <w:rPr>
          <w:rFonts w:hint="eastAsia" w:ascii="宋体" w:hAnsi="宋体" w:eastAsia="宋体" w:cs="宋体"/>
          <w:bCs/>
          <w:color w:val="000000"/>
          <w:sz w:val="52"/>
          <w:szCs w:val="52"/>
          <w:highlight w:val="none"/>
        </w:rPr>
        <w:t>政府采购项目</w:t>
      </w:r>
      <w:bookmarkEnd w:id="0"/>
    </w:p>
    <w:p w14:paraId="51121EE1">
      <w:pPr>
        <w:spacing w:after="120"/>
        <w:ind w:right="-420" w:rightChars="-200"/>
        <w:jc w:val="center"/>
        <w:rPr>
          <w:rFonts w:hint="eastAsia" w:ascii="宋体" w:hAnsi="宋体" w:eastAsia="宋体" w:cs="宋体"/>
          <w:bCs/>
          <w:color w:val="000000"/>
          <w:sz w:val="72"/>
          <w:highlight w:val="none"/>
        </w:rPr>
      </w:pPr>
      <w:r>
        <w:rPr>
          <w:rFonts w:hint="eastAsia" w:ascii="宋体" w:hAnsi="宋体" w:eastAsia="宋体" w:cs="宋体"/>
          <w:bCs/>
          <w:color w:val="000000"/>
          <w:sz w:val="72"/>
          <w:highlight w:val="none"/>
        </w:rPr>
        <w:t>竞争性磋商采购文件</w:t>
      </w:r>
    </w:p>
    <w:p w14:paraId="7442B8D5">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（电子交易）</w:t>
      </w:r>
    </w:p>
    <w:p w14:paraId="5F2CE781">
      <w:pPr>
        <w:ind w:right="-420" w:rightChars="-200"/>
        <w:jc w:val="center"/>
        <w:rPr>
          <w:rFonts w:hint="eastAsia" w:ascii="宋体" w:hAnsi="宋体" w:eastAsia="宋体" w:cs="宋体"/>
          <w:bCs/>
          <w:color w:val="000000"/>
          <w:sz w:val="28"/>
          <w:highlight w:val="none"/>
        </w:rPr>
      </w:pPr>
    </w:p>
    <w:p w14:paraId="1E7EE35E">
      <w:pPr>
        <w:ind w:right="-420" w:rightChars="-200"/>
        <w:jc w:val="both"/>
        <w:rPr>
          <w:rFonts w:hint="eastAsia" w:ascii="宋体" w:hAnsi="宋体" w:eastAsia="宋体" w:cs="宋体"/>
          <w:bCs/>
          <w:color w:val="000000"/>
          <w:sz w:val="28"/>
          <w:highlight w:val="none"/>
        </w:rPr>
      </w:pPr>
    </w:p>
    <w:p w14:paraId="6C05F278">
      <w:pPr>
        <w:ind w:right="-420" w:rightChars="-200"/>
        <w:rPr>
          <w:rFonts w:hint="eastAsia" w:ascii="宋体" w:hAnsi="宋体" w:eastAsia="宋体" w:cs="宋体"/>
          <w:bCs/>
          <w:color w:val="000000"/>
          <w:sz w:val="28"/>
          <w:highlight w:val="none"/>
        </w:rPr>
      </w:pPr>
    </w:p>
    <w:p w14:paraId="29A761B0">
      <w:pPr>
        <w:ind w:right="-420" w:rightChars="-200"/>
        <w:jc w:val="center"/>
        <w:rPr>
          <w:rFonts w:hint="eastAsia" w:ascii="宋体" w:hAnsi="宋体" w:eastAsia="宋体" w:cs="宋体"/>
          <w:bCs/>
          <w:color w:val="000000"/>
          <w:sz w:val="28"/>
          <w:highlight w:val="none"/>
        </w:rPr>
      </w:pPr>
    </w:p>
    <w:p w14:paraId="15A6A8D1">
      <w:pPr>
        <w:ind w:right="-420" w:rightChars="-200"/>
        <w:jc w:val="center"/>
        <w:rPr>
          <w:rFonts w:hint="eastAsia" w:ascii="宋体" w:hAnsi="宋体" w:eastAsia="宋体" w:cs="宋体"/>
          <w:bCs/>
          <w:color w:val="000000"/>
          <w:sz w:val="28"/>
          <w:highlight w:val="none"/>
        </w:rPr>
      </w:pPr>
    </w:p>
    <w:p w14:paraId="5836BD89">
      <w:pPr>
        <w:ind w:right="-420" w:rightChars="-200"/>
        <w:jc w:val="center"/>
        <w:rPr>
          <w:rFonts w:hint="eastAsia" w:ascii="宋体" w:hAnsi="宋体" w:eastAsia="宋体" w:cs="宋体"/>
          <w:bCs/>
          <w:color w:val="000000"/>
          <w:sz w:val="28"/>
          <w:highlight w:val="none"/>
        </w:rPr>
      </w:pPr>
    </w:p>
    <w:tbl>
      <w:tblPr>
        <w:tblStyle w:val="60"/>
        <w:tblW w:w="10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8804"/>
      </w:tblGrid>
      <w:tr w14:paraId="2724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03B9B5EB">
            <w:pPr>
              <w:spacing w:line="520" w:lineRule="exact"/>
              <w:ind w:right="-420" w:rightChars="-200"/>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项目编号：</w:t>
            </w:r>
          </w:p>
        </w:tc>
        <w:tc>
          <w:tcPr>
            <w:tcW w:w="8804" w:type="dxa"/>
            <w:tcBorders>
              <w:top w:val="nil"/>
              <w:left w:val="nil"/>
              <w:bottom w:val="single" w:color="auto" w:sz="4" w:space="0"/>
              <w:right w:val="nil"/>
            </w:tcBorders>
            <w:noWrap w:val="0"/>
            <w:vAlign w:val="center"/>
          </w:tcPr>
          <w:p w14:paraId="25873B97">
            <w:pPr>
              <w:spacing w:line="520" w:lineRule="exact"/>
              <w:ind w:right="-420" w:rightChars="-200"/>
              <w:jc w:val="center"/>
              <w:rPr>
                <w:rFonts w:hint="eastAsia" w:ascii="宋体" w:hAnsi="宋体" w:eastAsia="宋体" w:cs="宋体"/>
                <w:bCs/>
                <w:color w:val="000000"/>
                <w:sz w:val="32"/>
                <w:szCs w:val="32"/>
                <w:highlight w:val="none"/>
                <w:lang w:eastAsia="zh-CN"/>
              </w:rPr>
            </w:pPr>
            <w:r>
              <w:rPr>
                <w:rFonts w:hint="eastAsia" w:ascii="宋体" w:hAnsi="宋体" w:cs="宋体"/>
                <w:bCs/>
                <w:color w:val="000000"/>
                <w:sz w:val="32"/>
                <w:szCs w:val="32"/>
                <w:highlight w:val="none"/>
                <w:lang w:eastAsia="zh-CN"/>
              </w:rPr>
              <w:t>ZJTC2025-009-1</w:t>
            </w:r>
          </w:p>
        </w:tc>
      </w:tr>
      <w:tr w14:paraId="5FDF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187E8D38">
            <w:pPr>
              <w:spacing w:line="520" w:lineRule="exact"/>
              <w:ind w:right="-420" w:rightChars="-200"/>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项目名称：</w:t>
            </w:r>
          </w:p>
        </w:tc>
        <w:tc>
          <w:tcPr>
            <w:tcW w:w="8804" w:type="dxa"/>
            <w:tcBorders>
              <w:top w:val="single" w:color="auto" w:sz="4" w:space="0"/>
              <w:left w:val="nil"/>
              <w:bottom w:val="single" w:color="auto" w:sz="4" w:space="0"/>
              <w:right w:val="nil"/>
            </w:tcBorders>
            <w:noWrap w:val="0"/>
            <w:vAlign w:val="center"/>
          </w:tcPr>
          <w:p w14:paraId="30F1FC4A">
            <w:pPr>
              <w:spacing w:after="120" w:line="240" w:lineRule="auto"/>
              <w:ind w:right="-254" w:rightChars="-121"/>
              <w:jc w:val="center"/>
              <w:rPr>
                <w:rFonts w:hint="eastAsia" w:ascii="宋体" w:hAnsi="宋体" w:eastAsia="宋体" w:cs="宋体"/>
                <w:bCs/>
                <w:color w:val="000000"/>
                <w:sz w:val="32"/>
                <w:szCs w:val="32"/>
                <w:highlight w:val="none"/>
                <w:lang w:eastAsia="zh-CN"/>
              </w:rPr>
            </w:pPr>
            <w:r>
              <w:rPr>
                <w:rFonts w:hint="eastAsia" w:ascii="宋体" w:hAnsi="宋体" w:cs="宋体"/>
                <w:bCs/>
                <w:color w:val="000000"/>
                <w:sz w:val="32"/>
                <w:szCs w:val="32"/>
                <w:highlight w:val="none"/>
                <w:lang w:eastAsia="zh-CN"/>
              </w:rPr>
              <w:t>宁海县殡仪馆提升扩容工程（重发）</w:t>
            </w:r>
          </w:p>
        </w:tc>
      </w:tr>
      <w:tr w14:paraId="1148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471BC805">
            <w:pPr>
              <w:spacing w:line="520" w:lineRule="exact"/>
              <w:ind w:right="-420" w:rightChars="-200"/>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采 购 人：</w:t>
            </w:r>
          </w:p>
        </w:tc>
        <w:tc>
          <w:tcPr>
            <w:tcW w:w="8804" w:type="dxa"/>
            <w:tcBorders>
              <w:top w:val="single" w:color="auto" w:sz="4" w:space="0"/>
              <w:left w:val="nil"/>
              <w:bottom w:val="single" w:color="auto" w:sz="4" w:space="0"/>
              <w:right w:val="nil"/>
            </w:tcBorders>
            <w:noWrap w:val="0"/>
            <w:vAlign w:val="center"/>
          </w:tcPr>
          <w:p w14:paraId="218EE9AE">
            <w:pPr>
              <w:spacing w:line="520" w:lineRule="exact"/>
              <w:ind w:right="-420" w:rightChars="-200"/>
              <w:jc w:val="center"/>
              <w:rPr>
                <w:rFonts w:hint="eastAsia" w:ascii="宋体" w:hAnsi="宋体" w:eastAsia="宋体" w:cs="宋体"/>
                <w:bCs/>
                <w:color w:val="000000"/>
                <w:sz w:val="32"/>
                <w:szCs w:val="32"/>
                <w:highlight w:val="none"/>
              </w:rPr>
            </w:pPr>
            <w:r>
              <w:rPr>
                <w:rFonts w:hint="eastAsia" w:ascii="宋体" w:hAnsi="宋体" w:cs="宋体"/>
                <w:bCs/>
                <w:color w:val="000000"/>
                <w:sz w:val="32"/>
                <w:szCs w:val="32"/>
                <w:highlight w:val="none"/>
                <w:lang w:eastAsia="zh-CN"/>
              </w:rPr>
              <w:t>宁海县民政局</w:t>
            </w:r>
          </w:p>
        </w:tc>
      </w:tr>
      <w:tr w14:paraId="7725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484C4EBC">
            <w:pPr>
              <w:spacing w:line="520" w:lineRule="exact"/>
              <w:ind w:right="-420" w:rightChars="-200"/>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采购代理：</w:t>
            </w:r>
          </w:p>
        </w:tc>
        <w:tc>
          <w:tcPr>
            <w:tcW w:w="8804" w:type="dxa"/>
            <w:tcBorders>
              <w:top w:val="single" w:color="auto" w:sz="4" w:space="0"/>
              <w:left w:val="nil"/>
              <w:bottom w:val="single" w:color="auto" w:sz="4" w:space="0"/>
              <w:right w:val="nil"/>
            </w:tcBorders>
            <w:noWrap w:val="0"/>
            <w:vAlign w:val="center"/>
          </w:tcPr>
          <w:p w14:paraId="21817550">
            <w:pPr>
              <w:spacing w:line="520" w:lineRule="exact"/>
              <w:ind w:right="-420" w:rightChars="-200"/>
              <w:jc w:val="center"/>
              <w:rPr>
                <w:rFonts w:hint="eastAsia" w:ascii="宋体" w:hAnsi="宋体" w:eastAsia="宋体" w:cs="宋体"/>
                <w:bCs/>
                <w:color w:val="000000"/>
                <w:sz w:val="32"/>
                <w:szCs w:val="32"/>
                <w:highlight w:val="none"/>
                <w:lang w:eastAsia="zh-CN"/>
              </w:rPr>
            </w:pPr>
            <w:r>
              <w:rPr>
                <w:rFonts w:hint="eastAsia" w:ascii="宋体" w:hAnsi="宋体" w:eastAsia="宋体" w:cs="宋体"/>
                <w:bCs/>
                <w:color w:val="000000"/>
                <w:sz w:val="32"/>
                <w:szCs w:val="32"/>
                <w:highlight w:val="none"/>
                <w:lang w:eastAsia="zh-CN"/>
              </w:rPr>
              <w:t>浙江天诚工程咨询有限公司</w:t>
            </w:r>
          </w:p>
        </w:tc>
      </w:tr>
    </w:tbl>
    <w:p w14:paraId="61D5515D">
      <w:pPr>
        <w:ind w:right="-420" w:rightChars="-200"/>
        <w:rPr>
          <w:rFonts w:hint="eastAsia" w:ascii="宋体" w:hAnsi="宋体" w:eastAsia="宋体" w:cs="宋体"/>
          <w:bCs/>
          <w:color w:val="000000"/>
          <w:highlight w:val="none"/>
        </w:rPr>
      </w:pPr>
    </w:p>
    <w:p w14:paraId="296F7236">
      <w:pPr>
        <w:ind w:right="-420" w:rightChars="-200"/>
        <w:rPr>
          <w:rFonts w:hint="eastAsia" w:ascii="宋体" w:hAnsi="宋体" w:eastAsia="宋体" w:cs="宋体"/>
          <w:bCs/>
          <w:color w:val="000000"/>
          <w:highlight w:val="none"/>
        </w:rPr>
      </w:pPr>
    </w:p>
    <w:p w14:paraId="2C495EF8">
      <w:pPr>
        <w:ind w:right="-420" w:rightChars="-200"/>
        <w:rPr>
          <w:rFonts w:hint="eastAsia" w:ascii="宋体" w:hAnsi="宋体" w:eastAsia="宋体" w:cs="宋体"/>
          <w:bCs/>
          <w:color w:val="000000"/>
          <w:highlight w:val="none"/>
        </w:rPr>
      </w:pPr>
    </w:p>
    <w:p w14:paraId="4BC8BA21">
      <w:pPr>
        <w:ind w:right="-420" w:rightChars="-200"/>
        <w:rPr>
          <w:rFonts w:hint="eastAsia" w:ascii="宋体" w:hAnsi="宋体" w:eastAsia="宋体" w:cs="宋体"/>
          <w:bCs/>
          <w:color w:val="000000"/>
          <w:highlight w:val="none"/>
        </w:rPr>
      </w:pPr>
    </w:p>
    <w:p w14:paraId="366BE41B">
      <w:pPr>
        <w:ind w:right="-420" w:rightChars="-200"/>
        <w:rPr>
          <w:rFonts w:hint="eastAsia" w:ascii="宋体" w:hAnsi="宋体" w:eastAsia="宋体" w:cs="宋体"/>
          <w:bCs/>
          <w:color w:val="000000"/>
          <w:highlight w:val="none"/>
        </w:rPr>
      </w:pPr>
    </w:p>
    <w:p w14:paraId="539360D6">
      <w:pPr>
        <w:ind w:right="-420" w:rightChars="-200"/>
        <w:rPr>
          <w:rFonts w:hint="eastAsia" w:ascii="宋体" w:hAnsi="宋体" w:eastAsia="宋体" w:cs="宋体"/>
          <w:bCs/>
          <w:color w:val="000000"/>
          <w:highlight w:val="none"/>
        </w:rPr>
      </w:pPr>
    </w:p>
    <w:bookmarkEnd w:id="1"/>
    <w:p w14:paraId="36ADE08E">
      <w:pPr>
        <w:snapToGrid w:val="0"/>
        <w:spacing w:line="360" w:lineRule="auto"/>
        <w:jc w:val="center"/>
        <w:rPr>
          <w:rFonts w:hint="eastAsia" w:ascii="宋体" w:hAnsi="宋体" w:eastAsia="宋体" w:cs="宋体"/>
          <w:bCs/>
          <w:sz w:val="32"/>
          <w:szCs w:val="32"/>
        </w:rPr>
      </w:pPr>
    </w:p>
    <w:p w14:paraId="598A4156">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二〇二</w:t>
      </w:r>
      <w:r>
        <w:rPr>
          <w:rFonts w:hint="eastAsia" w:ascii="宋体" w:hAnsi="宋体" w:cs="宋体"/>
          <w:bCs/>
          <w:sz w:val="32"/>
          <w:szCs w:val="32"/>
          <w:lang w:val="en-US" w:eastAsia="zh-CN"/>
        </w:rPr>
        <w:t>五</w:t>
      </w:r>
      <w:r>
        <w:rPr>
          <w:rFonts w:hint="eastAsia" w:ascii="宋体" w:hAnsi="宋体" w:eastAsia="宋体" w:cs="宋体"/>
          <w:bCs/>
          <w:sz w:val="32"/>
          <w:szCs w:val="32"/>
        </w:rPr>
        <w:t>年</w:t>
      </w:r>
      <w:r>
        <w:rPr>
          <w:rFonts w:hint="eastAsia" w:ascii="宋体" w:hAnsi="宋体" w:cs="宋体"/>
          <w:bCs/>
          <w:sz w:val="32"/>
          <w:szCs w:val="32"/>
          <w:lang w:val="en-US" w:eastAsia="zh-CN"/>
        </w:rPr>
        <w:t>七</w:t>
      </w:r>
      <w:r>
        <w:rPr>
          <w:rFonts w:hint="eastAsia" w:ascii="宋体" w:hAnsi="宋体" w:eastAsia="宋体" w:cs="宋体"/>
          <w:bCs/>
          <w:sz w:val="32"/>
          <w:szCs w:val="32"/>
        </w:rPr>
        <w:t>月</w:t>
      </w:r>
    </w:p>
    <w:p w14:paraId="51C37891">
      <w:pPr>
        <w:rPr>
          <w:rFonts w:hint="eastAsia" w:ascii="宋体" w:hAnsi="宋体" w:eastAsia="宋体" w:cs="宋体"/>
          <w:sz w:val="24"/>
        </w:rPr>
        <w:sectPr>
          <w:pgSz w:w="11906" w:h="16838"/>
          <w:pgMar w:top="1417" w:right="1474" w:bottom="1247" w:left="1474" w:header="851" w:footer="850" w:gutter="0"/>
          <w:pgNumType w:fmt="decimal"/>
          <w:cols w:space="720" w:num="1"/>
          <w:docGrid w:linePitch="312" w:charSpace="0"/>
        </w:sectPr>
      </w:pPr>
    </w:p>
    <w:p w14:paraId="03EB350E">
      <w:pPr>
        <w:rPr>
          <w:rFonts w:hint="eastAsia" w:ascii="宋体" w:hAnsi="宋体" w:eastAsia="宋体" w:cs="宋体"/>
        </w:rPr>
      </w:pPr>
    </w:p>
    <w:p w14:paraId="75060392">
      <w:pPr>
        <w:pStyle w:val="31"/>
        <w:spacing w:before="120" w:after="120" w:line="360" w:lineRule="auto"/>
        <w:jc w:val="center"/>
        <w:rPr>
          <w:rFonts w:hint="eastAsia" w:ascii="宋体" w:hAnsi="宋体" w:eastAsia="宋体" w:cs="宋体"/>
          <w:sz w:val="44"/>
          <w:szCs w:val="44"/>
          <w:lang w:val="zh-CN"/>
        </w:rPr>
        <w:sectPr>
          <w:headerReference r:id="rId3" w:type="default"/>
          <w:footerReference r:id="rId4" w:type="default"/>
          <w:pgSz w:w="11906" w:h="16838"/>
          <w:pgMar w:top="1440" w:right="1440" w:bottom="1440" w:left="1440" w:header="851" w:footer="992" w:gutter="0"/>
          <w:cols w:space="720" w:num="1"/>
          <w:titlePg/>
          <w:docGrid w:linePitch="312" w:charSpace="0"/>
        </w:sectPr>
      </w:pPr>
    </w:p>
    <w:p w14:paraId="4E3FDACE">
      <w:pPr>
        <w:pStyle w:val="31"/>
        <w:spacing w:before="120" w:after="120" w:line="360" w:lineRule="auto"/>
        <w:jc w:val="center"/>
        <w:rPr>
          <w:rFonts w:hint="eastAsia" w:ascii="宋体" w:hAnsi="宋体" w:eastAsia="宋体" w:cs="宋体"/>
          <w:sz w:val="44"/>
          <w:szCs w:val="44"/>
        </w:rPr>
      </w:pPr>
      <w:r>
        <w:rPr>
          <w:rFonts w:hint="eastAsia" w:ascii="宋体" w:hAnsi="宋体" w:eastAsia="宋体" w:cs="宋体"/>
          <w:sz w:val="44"/>
          <w:szCs w:val="44"/>
          <w:lang w:val="zh-CN"/>
        </w:rPr>
        <w:t>目  录</w:t>
      </w:r>
    </w:p>
    <w:p w14:paraId="29CB7678">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sz w:val="40"/>
          <w:szCs w:val="36"/>
        </w:rPr>
      </w:pPr>
      <w:r>
        <w:rPr>
          <w:rFonts w:hint="eastAsia" w:ascii="宋体" w:hAnsi="宋体" w:eastAsia="宋体" w:cs="宋体"/>
          <w:color w:val="000000"/>
          <w:sz w:val="30"/>
        </w:rPr>
        <w:fldChar w:fldCharType="begin"/>
      </w:r>
      <w:r>
        <w:rPr>
          <w:rFonts w:hint="eastAsia" w:ascii="宋体" w:hAnsi="宋体" w:eastAsia="宋体" w:cs="宋体"/>
          <w:color w:val="000000"/>
          <w:sz w:val="30"/>
        </w:rPr>
        <w:instrText xml:space="preserve"> TOC \o "1-3" \h \z \u </w:instrText>
      </w:r>
      <w:r>
        <w:rPr>
          <w:rFonts w:hint="eastAsia" w:ascii="宋体" w:hAnsi="宋体" w:eastAsia="宋体" w:cs="宋体"/>
          <w:color w:val="000000"/>
          <w:sz w:val="30"/>
        </w:rPr>
        <w:fldChar w:fldCharType="separate"/>
      </w:r>
    </w:p>
    <w:p w14:paraId="7E573E8A">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TOC \o "1-1" \h \u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_Toc10579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第一部分  </w:t>
      </w:r>
      <w:r>
        <w:rPr>
          <w:rFonts w:hint="eastAsia" w:ascii="宋体" w:hAnsi="宋体" w:eastAsia="宋体" w:cs="宋体"/>
          <w:sz w:val="28"/>
          <w:szCs w:val="28"/>
          <w:highlight w:val="none"/>
          <w:lang w:val="en-US" w:eastAsia="zh-CN"/>
        </w:rPr>
        <w:t>竞争性磋商</w:t>
      </w:r>
      <w:r>
        <w:rPr>
          <w:rFonts w:hint="eastAsia" w:ascii="宋体" w:hAnsi="宋体" w:eastAsia="宋体" w:cs="宋体"/>
          <w:sz w:val="28"/>
          <w:szCs w:val="28"/>
          <w:highlight w:val="none"/>
        </w:rPr>
        <w:t>公告</w:t>
      </w:r>
      <w:r>
        <w:rPr>
          <w:rFonts w:hint="eastAsia" w:ascii="宋体" w:hAnsi="宋体" w:eastAsia="宋体" w:cs="宋体"/>
          <w:color w:val="000000"/>
          <w:sz w:val="28"/>
          <w:szCs w:val="28"/>
          <w:highlight w:val="none"/>
        </w:rPr>
        <w:fldChar w:fldCharType="end"/>
      </w:r>
    </w:p>
    <w:p w14:paraId="202CE50E">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_Toc31399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 xml:space="preserve">部分 </w:t>
      </w:r>
      <w:r>
        <w:rPr>
          <w:rFonts w:hint="eastAsia" w:ascii="宋体" w:hAnsi="宋体" w:eastAsia="宋体" w:cs="宋体"/>
          <w:sz w:val="28"/>
          <w:szCs w:val="28"/>
          <w:highlight w:val="none"/>
          <w:lang w:val="en-US" w:eastAsia="zh-CN"/>
        </w:rPr>
        <w:t xml:space="preserve"> </w:t>
      </w:r>
      <w:r>
        <w:rPr>
          <w:rFonts w:hint="eastAsia" w:ascii="宋体" w:hAnsi="宋体" w:eastAsia="宋体" w:cs="宋体"/>
          <w:color w:val="000000"/>
          <w:sz w:val="28"/>
          <w:szCs w:val="28"/>
          <w:highlight w:val="none"/>
        </w:rPr>
        <w:fldChar w:fldCharType="end"/>
      </w:r>
      <w:r>
        <w:rPr>
          <w:rFonts w:hint="eastAsia" w:ascii="宋体" w:hAnsi="宋体" w:eastAsia="宋体" w:cs="宋体"/>
          <w:sz w:val="28"/>
          <w:szCs w:val="28"/>
          <w:highlight w:val="none"/>
        </w:rPr>
        <w:t>竞争性磋商须知及前附表</w:t>
      </w:r>
    </w:p>
    <w:p w14:paraId="4CE7D23D">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_Toc17126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 xml:space="preserve">部分  </w:t>
      </w:r>
      <w:r>
        <w:rPr>
          <w:rFonts w:hint="eastAsia" w:ascii="宋体" w:hAnsi="宋体" w:eastAsia="宋体" w:cs="宋体"/>
          <w:color w:val="000000"/>
          <w:sz w:val="28"/>
          <w:szCs w:val="28"/>
          <w:highlight w:val="none"/>
        </w:rPr>
        <w:fldChar w:fldCharType="end"/>
      </w:r>
      <w:r>
        <w:rPr>
          <w:rFonts w:hint="eastAsia" w:ascii="宋体" w:hAnsi="宋体" w:eastAsia="宋体" w:cs="宋体"/>
          <w:sz w:val="28"/>
          <w:szCs w:val="28"/>
          <w:highlight w:val="none"/>
          <w:lang w:val="en-US" w:eastAsia="zh-CN"/>
        </w:rPr>
        <w:t>采购</w:t>
      </w:r>
      <w:r>
        <w:rPr>
          <w:rFonts w:hint="eastAsia" w:ascii="宋体" w:hAnsi="宋体" w:eastAsia="宋体" w:cs="宋体"/>
          <w:sz w:val="28"/>
          <w:szCs w:val="28"/>
          <w:highlight w:val="none"/>
        </w:rPr>
        <w:t>需求</w:t>
      </w:r>
    </w:p>
    <w:p w14:paraId="25F6F74C">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_Toc228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rPr>
        <w:t xml:space="preserve">部分  </w:t>
      </w:r>
      <w:r>
        <w:rPr>
          <w:rFonts w:hint="eastAsia" w:ascii="宋体" w:hAnsi="宋体" w:eastAsia="宋体" w:cs="宋体"/>
          <w:color w:val="000000"/>
          <w:sz w:val="28"/>
          <w:szCs w:val="28"/>
          <w:highlight w:val="none"/>
          <w:lang w:val="en-US" w:eastAsia="zh-CN"/>
        </w:rPr>
        <w:t>评审</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lang w:val="en-US" w:eastAsia="zh-CN"/>
        </w:rPr>
        <w:t>方法及评审标准</w:t>
      </w:r>
    </w:p>
    <w:p w14:paraId="5F0F04C7">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_Toc24679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第五部分  </w:t>
      </w:r>
      <w:r>
        <w:rPr>
          <w:rFonts w:hint="eastAsia" w:ascii="宋体" w:hAnsi="宋体" w:eastAsia="宋体" w:cs="宋体"/>
          <w:sz w:val="28"/>
          <w:szCs w:val="28"/>
          <w:highlight w:val="none"/>
          <w:lang w:val="en-US" w:eastAsia="zh-CN"/>
        </w:rPr>
        <w:t>拟签订的</w:t>
      </w:r>
      <w:r>
        <w:rPr>
          <w:rFonts w:hint="eastAsia" w:ascii="宋体" w:hAnsi="宋体" w:eastAsia="宋体" w:cs="宋体"/>
          <w:sz w:val="28"/>
          <w:szCs w:val="28"/>
          <w:highlight w:val="none"/>
        </w:rPr>
        <w:t>合同</w:t>
      </w:r>
      <w:r>
        <w:rPr>
          <w:rFonts w:hint="eastAsia" w:ascii="宋体" w:hAnsi="宋体" w:eastAsia="宋体" w:cs="宋体"/>
          <w:color w:val="000000"/>
          <w:sz w:val="28"/>
          <w:szCs w:val="28"/>
          <w:highlight w:val="none"/>
          <w:lang w:val="en-US" w:eastAsia="zh-CN"/>
        </w:rPr>
        <w:t>文本</w:t>
      </w:r>
      <w:r>
        <w:rPr>
          <w:rFonts w:hint="eastAsia" w:ascii="宋体" w:hAnsi="宋体" w:eastAsia="宋体" w:cs="宋体"/>
          <w:color w:val="000000"/>
          <w:sz w:val="28"/>
          <w:szCs w:val="28"/>
          <w:highlight w:val="none"/>
        </w:rPr>
        <w:fldChar w:fldCharType="end"/>
      </w:r>
    </w:p>
    <w:p w14:paraId="12BCE84D">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_Toc22255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第六部分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应提交的有关格式范例</w:t>
      </w:r>
      <w:r>
        <w:rPr>
          <w:rFonts w:hint="eastAsia" w:ascii="宋体" w:hAnsi="宋体" w:eastAsia="宋体" w:cs="宋体"/>
          <w:color w:val="000000"/>
          <w:sz w:val="28"/>
          <w:szCs w:val="28"/>
          <w:highlight w:val="none"/>
        </w:rPr>
        <w:fldChar w:fldCharType="end"/>
      </w:r>
    </w:p>
    <w:p w14:paraId="4B96FB01">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附件： 工程量清单</w:t>
      </w:r>
    </w:p>
    <w:p w14:paraId="130611AA">
      <w:pPr>
        <w:spacing w:before="120" w:beforeLines="50" w:line="360" w:lineRule="auto"/>
        <w:ind w:left="1440"/>
        <w:rPr>
          <w:rFonts w:hint="eastAsia" w:ascii="宋体" w:hAnsi="宋体" w:eastAsia="宋体" w:cs="宋体"/>
          <w:color w:val="000000"/>
          <w:sz w:val="30"/>
          <w:lang w:val="zh-CN"/>
        </w:rPr>
      </w:pPr>
      <w:r>
        <w:rPr>
          <w:rFonts w:hint="eastAsia" w:ascii="宋体" w:hAnsi="宋体" w:eastAsia="宋体" w:cs="宋体"/>
          <w:color w:val="000000"/>
          <w:sz w:val="28"/>
          <w:szCs w:val="28"/>
          <w:highlight w:val="none"/>
        </w:rPr>
        <w:fldChar w:fldCharType="end"/>
      </w:r>
    </w:p>
    <w:p w14:paraId="4506583B">
      <w:pPr>
        <w:spacing w:line="360" w:lineRule="auto"/>
        <w:rPr>
          <w:rFonts w:hint="eastAsia" w:ascii="宋体" w:hAnsi="宋体" w:eastAsia="宋体" w:cs="宋体"/>
          <w:sz w:val="32"/>
          <w:szCs w:val="32"/>
        </w:rPr>
      </w:pPr>
      <w:r>
        <w:rPr>
          <w:rFonts w:hint="eastAsia" w:ascii="宋体" w:hAnsi="宋体" w:eastAsia="宋体" w:cs="宋体"/>
          <w:color w:val="000000"/>
          <w:sz w:val="30"/>
        </w:rPr>
        <w:fldChar w:fldCharType="end"/>
      </w:r>
    </w:p>
    <w:p w14:paraId="14B67E11">
      <w:pPr>
        <w:spacing w:line="360" w:lineRule="auto"/>
        <w:ind w:firstLine="549" w:firstLineChars="229"/>
        <w:rPr>
          <w:rFonts w:hint="eastAsia" w:ascii="宋体" w:hAnsi="宋体" w:eastAsia="宋体" w:cs="宋体"/>
          <w:sz w:val="24"/>
        </w:rPr>
      </w:pPr>
      <w:bookmarkStart w:id="2" w:name="_Hlt91233176"/>
      <w:bookmarkEnd w:id="2"/>
      <w:bookmarkStart w:id="3" w:name="_Toc91899869"/>
    </w:p>
    <w:p w14:paraId="118F2CE0">
      <w:pPr>
        <w:spacing w:line="360" w:lineRule="auto"/>
        <w:ind w:firstLine="549" w:firstLineChars="229"/>
        <w:rPr>
          <w:rFonts w:hint="eastAsia" w:ascii="宋体" w:hAnsi="宋体" w:eastAsia="宋体" w:cs="宋体"/>
          <w:sz w:val="24"/>
        </w:rPr>
      </w:pPr>
    </w:p>
    <w:p w14:paraId="1E97FDCF">
      <w:pPr>
        <w:spacing w:line="360" w:lineRule="auto"/>
        <w:ind w:firstLine="549" w:firstLineChars="229"/>
        <w:rPr>
          <w:rFonts w:hint="eastAsia" w:ascii="宋体" w:hAnsi="宋体" w:eastAsia="宋体" w:cs="宋体"/>
          <w:sz w:val="24"/>
        </w:rPr>
      </w:pPr>
    </w:p>
    <w:p w14:paraId="75681818">
      <w:pPr>
        <w:spacing w:line="360" w:lineRule="auto"/>
        <w:ind w:firstLine="549" w:firstLineChars="229"/>
        <w:rPr>
          <w:rFonts w:hint="eastAsia" w:ascii="宋体" w:hAnsi="宋体" w:eastAsia="宋体" w:cs="宋体"/>
          <w:sz w:val="24"/>
        </w:rPr>
      </w:pPr>
    </w:p>
    <w:p w14:paraId="0B847CCC">
      <w:pPr>
        <w:spacing w:line="360" w:lineRule="auto"/>
        <w:ind w:firstLine="549" w:firstLineChars="229"/>
        <w:rPr>
          <w:rFonts w:hint="eastAsia" w:ascii="宋体" w:hAnsi="宋体" w:eastAsia="宋体" w:cs="宋体"/>
          <w:sz w:val="24"/>
        </w:rPr>
      </w:pPr>
    </w:p>
    <w:p w14:paraId="73F62828">
      <w:pPr>
        <w:spacing w:line="360" w:lineRule="auto"/>
        <w:rPr>
          <w:rFonts w:hint="eastAsia" w:ascii="宋体" w:hAnsi="宋体" w:eastAsia="宋体" w:cs="宋体"/>
          <w:sz w:val="24"/>
        </w:rPr>
      </w:pPr>
    </w:p>
    <w:bookmarkEnd w:id="3"/>
    <w:p w14:paraId="29959B04">
      <w:pPr>
        <w:adjustRightInd/>
        <w:spacing w:line="360" w:lineRule="auto"/>
        <w:ind w:firstLine="2891" w:firstLineChars="800"/>
        <w:outlineLvl w:val="0"/>
        <w:rPr>
          <w:rFonts w:hint="eastAsia" w:ascii="宋体" w:hAnsi="宋体" w:eastAsia="宋体" w:cs="宋体"/>
          <w:b/>
          <w:sz w:val="36"/>
          <w:szCs w:val="20"/>
        </w:rPr>
        <w:sectPr>
          <w:footerReference r:id="rId6" w:type="first"/>
          <w:footerReference r:id="rId5" w:type="default"/>
          <w:pgSz w:w="11906" w:h="16838"/>
          <w:pgMar w:top="1440" w:right="1440" w:bottom="1440" w:left="1440" w:header="851" w:footer="992" w:gutter="0"/>
          <w:cols w:space="720" w:num="1"/>
          <w:titlePg/>
          <w:docGrid w:linePitch="312" w:charSpace="0"/>
        </w:sectPr>
      </w:pPr>
      <w:bookmarkStart w:id="4" w:name="_Hlt74728647"/>
      <w:bookmarkEnd w:id="4"/>
      <w:bookmarkStart w:id="5" w:name="_Hlt74707423"/>
      <w:bookmarkEnd w:id="5"/>
      <w:bookmarkStart w:id="6" w:name="_Hlt74649545"/>
      <w:bookmarkEnd w:id="6"/>
      <w:bookmarkStart w:id="7" w:name="_Hlt74729822"/>
      <w:bookmarkEnd w:id="7"/>
      <w:bookmarkStart w:id="8" w:name="_Toc354"/>
      <w:bookmarkStart w:id="9" w:name="_Toc91899870"/>
      <w:bookmarkStart w:id="10" w:name="第二部分"/>
      <w:bookmarkStart w:id="11" w:name="_Toc91899871"/>
    </w:p>
    <w:p w14:paraId="7A8F4E22">
      <w:pPr>
        <w:adjustRightInd/>
        <w:spacing w:line="360" w:lineRule="auto"/>
        <w:ind w:firstLine="2891" w:firstLineChars="800"/>
        <w:outlineLvl w:val="0"/>
        <w:rPr>
          <w:rFonts w:hint="eastAsia" w:ascii="宋体" w:hAnsi="宋体" w:eastAsia="宋体" w:cs="宋体"/>
          <w:sz w:val="24"/>
        </w:rPr>
      </w:pPr>
      <w:r>
        <w:rPr>
          <w:rFonts w:hint="eastAsia" w:ascii="宋体" w:hAnsi="宋体" w:eastAsia="宋体" w:cs="宋体"/>
          <w:b/>
          <w:sz w:val="36"/>
          <w:szCs w:val="20"/>
        </w:rPr>
        <w:t xml:space="preserve">第一部分 </w:t>
      </w:r>
      <w:bookmarkEnd w:id="8"/>
      <w:r>
        <w:rPr>
          <w:rFonts w:hint="eastAsia" w:ascii="宋体" w:hAnsi="宋体" w:eastAsia="宋体" w:cs="宋体"/>
          <w:b/>
          <w:sz w:val="36"/>
          <w:szCs w:val="20"/>
        </w:rPr>
        <w:t>竞争性磋商公告</w:t>
      </w:r>
    </w:p>
    <w:p w14:paraId="4F8C0BA0">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1"/>
          <w:szCs w:val="21"/>
        </w:rPr>
      </w:pPr>
      <w:r>
        <w:rPr>
          <w:rFonts w:hint="eastAsia" w:ascii="宋体" w:hAnsi="宋体" w:eastAsia="宋体" w:cs="宋体"/>
          <w:sz w:val="21"/>
          <w:szCs w:val="21"/>
        </w:rPr>
        <w:t>项目概况</w:t>
      </w:r>
    </w:p>
    <w:p w14:paraId="23467396">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u w:val="single"/>
        </w:rPr>
      </w:pPr>
      <w:r>
        <w:rPr>
          <w:rFonts w:hint="eastAsia" w:ascii="宋体" w:hAnsi="宋体" w:cs="宋体"/>
          <w:szCs w:val="21"/>
          <w:highlight w:val="none"/>
          <w:u w:val="single"/>
          <w:lang w:eastAsia="zh-CN"/>
        </w:rPr>
        <w:t>宁海县殡仪馆提升扩容工程（重发）</w:t>
      </w:r>
      <w:r>
        <w:rPr>
          <w:rFonts w:hint="eastAsia" w:ascii="宋体" w:hAnsi="宋体" w:eastAsia="宋体" w:cs="宋体"/>
          <w:sz w:val="21"/>
          <w:szCs w:val="21"/>
        </w:rPr>
        <w:t>的潜在供应商应在</w:t>
      </w:r>
      <w:r>
        <w:rPr>
          <w:rFonts w:hint="eastAsia" w:ascii="宋体" w:hAnsi="宋体" w:eastAsia="宋体" w:cs="宋体"/>
          <w:sz w:val="21"/>
          <w:szCs w:val="21"/>
          <w:u w:val="single"/>
        </w:rPr>
        <w:t>政采云平台（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 </w:instrText>
      </w:r>
      <w:r>
        <w:rPr>
          <w:rFonts w:hint="eastAsia" w:ascii="宋体" w:hAnsi="宋体" w:eastAsia="宋体" w:cs="宋体"/>
          <w:sz w:val="21"/>
          <w:szCs w:val="21"/>
        </w:rPr>
        <w:fldChar w:fldCharType="separate"/>
      </w:r>
      <w:r>
        <w:rPr>
          <w:rStyle w:val="68"/>
          <w:rFonts w:hint="eastAsia" w:ascii="宋体" w:hAnsi="宋体" w:eastAsia="宋体" w:cs="宋体"/>
          <w:color w:val="auto"/>
          <w:sz w:val="21"/>
          <w:szCs w:val="21"/>
          <w:u w:val="single"/>
        </w:rPr>
        <w:t>https://www.zcygov.cn/</w:t>
      </w:r>
      <w:r>
        <w:rPr>
          <w:rStyle w:val="68"/>
          <w:rFonts w:hint="eastAsia" w:ascii="宋体" w:hAnsi="宋体" w:eastAsia="宋体" w:cs="宋体"/>
          <w:color w:val="auto"/>
          <w:sz w:val="21"/>
          <w:szCs w:val="21"/>
          <w:u w:val="single"/>
        </w:rPr>
        <w:fldChar w:fldCharType="end"/>
      </w:r>
      <w:r>
        <w:rPr>
          <w:rFonts w:hint="eastAsia" w:ascii="宋体" w:hAnsi="宋体" w:eastAsia="宋体" w:cs="宋体"/>
          <w:sz w:val="21"/>
          <w:szCs w:val="21"/>
          <w:u w:val="single"/>
        </w:rPr>
        <w:t>）</w:t>
      </w:r>
      <w:r>
        <w:rPr>
          <w:rFonts w:hint="eastAsia" w:ascii="宋体" w:hAnsi="宋体" w:eastAsia="宋体" w:cs="宋体"/>
          <w:sz w:val="21"/>
          <w:szCs w:val="21"/>
        </w:rPr>
        <w:t>获取采购文件，并于</w:t>
      </w:r>
      <w:r>
        <w:rPr>
          <w:rFonts w:hint="eastAsia" w:ascii="宋体" w:hAnsi="宋体" w:cs="宋体"/>
          <w:sz w:val="21"/>
          <w:szCs w:val="21"/>
          <w:u w:val="single"/>
          <w:lang w:eastAsia="zh-CN"/>
        </w:rPr>
        <w:t>2025</w:t>
      </w:r>
      <w:r>
        <w:rPr>
          <w:rFonts w:hint="eastAsia" w:ascii="宋体" w:hAnsi="宋体" w:eastAsia="宋体" w:cs="宋体"/>
          <w:bCs/>
          <w:sz w:val="21"/>
          <w:szCs w:val="21"/>
          <w:u w:val="single"/>
        </w:rPr>
        <w:t>年</w:t>
      </w:r>
      <w:r>
        <w:rPr>
          <w:rFonts w:hint="eastAsia" w:ascii="宋体" w:hAnsi="宋体" w:cs="宋体"/>
          <w:bCs/>
          <w:sz w:val="21"/>
          <w:szCs w:val="21"/>
          <w:u w:val="single"/>
          <w:lang w:val="en-US" w:eastAsia="zh-CN"/>
        </w:rPr>
        <w:t>07</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18</w:t>
      </w:r>
      <w:r>
        <w:rPr>
          <w:rFonts w:hint="eastAsia" w:ascii="宋体" w:hAnsi="宋体" w:eastAsia="宋体" w:cs="宋体"/>
          <w:bCs/>
          <w:sz w:val="21"/>
          <w:szCs w:val="21"/>
          <w:u w:val="single"/>
        </w:rPr>
        <w:t>日</w:t>
      </w:r>
      <w:r>
        <w:rPr>
          <w:rFonts w:hint="eastAsia" w:ascii="宋体" w:hAnsi="宋体" w:cs="宋体"/>
          <w:bCs/>
          <w:sz w:val="21"/>
          <w:szCs w:val="21"/>
          <w:u w:val="single"/>
          <w:lang w:val="en-US" w:eastAsia="zh-CN"/>
        </w:rPr>
        <w:t>13</w:t>
      </w:r>
      <w:r>
        <w:rPr>
          <w:rFonts w:hint="eastAsia" w:ascii="宋体" w:hAnsi="宋体" w:eastAsia="宋体" w:cs="宋体"/>
          <w:bCs/>
          <w:sz w:val="21"/>
          <w:szCs w:val="21"/>
          <w:u w:val="single"/>
        </w:rPr>
        <w:t>点</w:t>
      </w:r>
      <w:r>
        <w:rPr>
          <w:rFonts w:hint="eastAsia" w:ascii="宋体" w:hAnsi="宋体" w:cs="宋体"/>
          <w:bCs/>
          <w:sz w:val="21"/>
          <w:szCs w:val="21"/>
          <w:u w:val="single"/>
          <w:lang w:val="en-US" w:eastAsia="zh-CN"/>
        </w:rPr>
        <w:t>30</w:t>
      </w:r>
      <w:r>
        <w:rPr>
          <w:rFonts w:hint="eastAsia" w:ascii="宋体" w:hAnsi="宋体" w:eastAsia="宋体" w:cs="宋体"/>
          <w:bCs/>
          <w:sz w:val="21"/>
          <w:szCs w:val="21"/>
          <w:u w:val="single"/>
        </w:rPr>
        <w:t>分</w:t>
      </w:r>
      <w:r>
        <w:rPr>
          <w:rFonts w:hint="eastAsia" w:ascii="宋体" w:hAnsi="宋体" w:cs="宋体"/>
          <w:bCs/>
          <w:sz w:val="21"/>
          <w:szCs w:val="21"/>
          <w:u w:val="single"/>
          <w:lang w:val="en-US" w:eastAsia="zh-CN"/>
        </w:rPr>
        <w:t>00</w:t>
      </w:r>
      <w:r>
        <w:rPr>
          <w:rFonts w:hint="eastAsia" w:ascii="宋体" w:hAnsi="宋体" w:eastAsia="宋体" w:cs="宋体"/>
          <w:bCs/>
          <w:sz w:val="21"/>
          <w:szCs w:val="21"/>
          <w:u w:val="single"/>
        </w:rPr>
        <w:t>秒</w:t>
      </w:r>
      <w:r>
        <w:rPr>
          <w:rFonts w:hint="eastAsia" w:ascii="宋体" w:hAnsi="宋体" w:eastAsia="宋体" w:cs="宋体"/>
          <w:bCs/>
          <w:sz w:val="21"/>
          <w:szCs w:val="21"/>
        </w:rPr>
        <w:t>（北京时间）前提交</w:t>
      </w:r>
      <w:r>
        <w:rPr>
          <w:rFonts w:hint="eastAsia" w:ascii="宋体" w:hAnsi="宋体" w:cs="宋体"/>
          <w:bCs/>
          <w:sz w:val="21"/>
          <w:szCs w:val="21"/>
          <w:lang w:eastAsia="zh-CN"/>
        </w:rPr>
        <w:t>响应文件</w:t>
      </w:r>
      <w:r>
        <w:rPr>
          <w:rFonts w:hint="eastAsia" w:ascii="宋体" w:hAnsi="宋体" w:eastAsia="宋体" w:cs="宋体"/>
          <w:sz w:val="21"/>
          <w:szCs w:val="21"/>
        </w:rPr>
        <w:t>。</w:t>
      </w:r>
    </w:p>
    <w:p w14:paraId="1BC54289">
      <w:pPr>
        <w:spacing w:line="360" w:lineRule="auto"/>
        <w:rPr>
          <w:rFonts w:hint="eastAsia" w:ascii="宋体" w:hAnsi="宋体" w:eastAsia="宋体" w:cs="宋体"/>
          <w:sz w:val="21"/>
          <w:szCs w:val="21"/>
        </w:rPr>
      </w:pPr>
    </w:p>
    <w:p w14:paraId="7C1D2E63">
      <w:pPr>
        <w:tabs>
          <w:tab w:val="left" w:pos="432"/>
        </w:tabs>
        <w:spacing w:line="360" w:lineRule="auto"/>
        <w:ind w:left="432" w:hanging="432"/>
        <w:rPr>
          <w:rFonts w:hint="eastAsia" w:ascii="宋体" w:hAnsi="宋体" w:eastAsia="宋体" w:cs="宋体"/>
          <w:sz w:val="21"/>
          <w:szCs w:val="21"/>
        </w:rPr>
      </w:pPr>
      <w:bookmarkStart w:id="12" w:name="_Toc28359012"/>
      <w:bookmarkStart w:id="13" w:name="_Toc35393798"/>
      <w:bookmarkStart w:id="14" w:name="_Toc28359089"/>
      <w:bookmarkStart w:id="15" w:name="_Toc35393629"/>
      <w:r>
        <w:rPr>
          <w:rFonts w:hint="eastAsia" w:ascii="宋体" w:hAnsi="宋体" w:eastAsia="宋体" w:cs="宋体"/>
          <w:sz w:val="21"/>
          <w:szCs w:val="21"/>
        </w:rPr>
        <w:t>一、项目基本情况</w:t>
      </w:r>
      <w:bookmarkEnd w:id="12"/>
      <w:bookmarkEnd w:id="13"/>
      <w:bookmarkEnd w:id="14"/>
      <w:bookmarkEnd w:id="15"/>
    </w:p>
    <w:p w14:paraId="66279EE6">
      <w:pPr>
        <w:widowControl/>
        <w:shd w:val="clear" w:color="auto" w:fill="FFFFFF"/>
        <w:spacing w:line="360" w:lineRule="auto"/>
        <w:ind w:firstLine="422" w:firstLineChars="200"/>
        <w:contextualSpacing/>
        <w:rPr>
          <w:rFonts w:hint="eastAsia" w:ascii="宋体" w:hAnsi="宋体" w:eastAsia="宋体" w:cs="宋体"/>
          <w:sz w:val="21"/>
          <w:szCs w:val="21"/>
          <w:lang w:eastAsia="zh-CN"/>
        </w:rPr>
      </w:pPr>
      <w:r>
        <w:rPr>
          <w:rFonts w:hint="eastAsia" w:ascii="宋体" w:hAnsi="宋体" w:eastAsia="宋体" w:cs="宋体"/>
          <w:b/>
          <w:sz w:val="21"/>
          <w:szCs w:val="21"/>
        </w:rPr>
        <w:t>项目编号：</w:t>
      </w:r>
      <w:r>
        <w:rPr>
          <w:rFonts w:hint="eastAsia" w:ascii="宋体" w:hAnsi="宋体" w:cs="宋体"/>
          <w:szCs w:val="21"/>
          <w:highlight w:val="none"/>
          <w:lang w:eastAsia="zh-CN"/>
        </w:rPr>
        <w:t>ZJTC2025-009-1</w:t>
      </w:r>
    </w:p>
    <w:p w14:paraId="4FB3882A">
      <w:pPr>
        <w:spacing w:line="360" w:lineRule="auto"/>
        <w:ind w:firstLine="422" w:firstLineChars="200"/>
        <w:rPr>
          <w:rFonts w:hint="eastAsia" w:ascii="宋体" w:hAnsi="宋体" w:eastAsia="宋体" w:cs="宋体"/>
          <w:sz w:val="21"/>
          <w:szCs w:val="21"/>
          <w:u w:val="single"/>
          <w:lang w:eastAsia="zh-CN"/>
        </w:rPr>
      </w:pPr>
      <w:r>
        <w:rPr>
          <w:rFonts w:hint="eastAsia" w:ascii="宋体" w:hAnsi="宋体" w:eastAsia="宋体" w:cs="宋体"/>
          <w:b/>
          <w:sz w:val="21"/>
          <w:szCs w:val="21"/>
        </w:rPr>
        <w:t>项目名称：</w:t>
      </w:r>
      <w:r>
        <w:rPr>
          <w:rFonts w:hint="eastAsia" w:ascii="宋体" w:hAnsi="宋体" w:cs="宋体"/>
          <w:snapToGrid w:val="0"/>
          <w:kern w:val="28"/>
          <w:sz w:val="21"/>
          <w:szCs w:val="21"/>
          <w:lang w:val="en-US" w:eastAsia="zh-CN" w:bidi="ar-SA"/>
        </w:rPr>
        <w:t>宁海县殡仪馆提升扩容工程（重发）</w:t>
      </w:r>
    </w:p>
    <w:p w14:paraId="7EB09A1E">
      <w:p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采购方式：</w:t>
      </w:r>
      <w:r>
        <w:rPr>
          <w:rFonts w:hint="eastAsia" w:ascii="宋体" w:hAnsi="宋体" w:eastAsia="宋体" w:cs="宋体"/>
          <w:sz w:val="21"/>
          <w:szCs w:val="21"/>
        </w:rPr>
        <w:t>竞争性磋商</w:t>
      </w:r>
    </w:p>
    <w:p w14:paraId="612C8346">
      <w:pPr>
        <w:spacing w:line="360" w:lineRule="auto"/>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rPr>
        <w:t>预算金额（元）：</w:t>
      </w:r>
      <w:r>
        <w:rPr>
          <w:rFonts w:hint="eastAsia" w:ascii="宋体" w:hAnsi="宋体" w:cs="宋体"/>
          <w:b/>
          <w:bCs w:val="0"/>
          <w:szCs w:val="21"/>
          <w:highlight w:val="none"/>
          <w:u w:val="single"/>
          <w:lang w:eastAsia="zh-CN"/>
        </w:rPr>
        <w:t>3018661</w:t>
      </w:r>
      <w:r>
        <w:rPr>
          <w:rFonts w:hint="eastAsia" w:ascii="宋体" w:hAnsi="宋体" w:eastAsia="宋体" w:cs="宋体"/>
          <w:b/>
          <w:bCs w:val="0"/>
          <w:sz w:val="21"/>
          <w:szCs w:val="21"/>
          <w:lang w:val="en-US" w:eastAsia="zh-CN"/>
        </w:rPr>
        <w:t xml:space="preserve"> </w:t>
      </w:r>
    </w:p>
    <w:p w14:paraId="0878F2DA">
      <w:pPr>
        <w:spacing w:line="360" w:lineRule="auto"/>
        <w:ind w:firstLine="422" w:firstLineChars="200"/>
        <w:rPr>
          <w:rFonts w:hint="eastAsia" w:ascii="宋体" w:hAnsi="宋体" w:eastAsia="宋体" w:cs="宋体"/>
          <w:b/>
          <w:bCs w:val="0"/>
          <w:color w:val="auto"/>
          <w:szCs w:val="21"/>
          <w:highlight w:val="none"/>
          <w:lang w:val="en-US" w:eastAsia="zh-CN"/>
        </w:rPr>
      </w:pPr>
      <w:r>
        <w:rPr>
          <w:rFonts w:hint="eastAsia" w:ascii="宋体" w:hAnsi="宋体" w:eastAsia="宋体" w:cs="宋体"/>
          <w:b/>
          <w:bCs w:val="0"/>
          <w:sz w:val="21"/>
          <w:szCs w:val="21"/>
        </w:rPr>
        <w:t>最高限价（元）：</w:t>
      </w:r>
      <w:r>
        <w:rPr>
          <w:rFonts w:hint="eastAsia" w:ascii="宋体" w:hAnsi="宋体" w:cs="宋体"/>
          <w:b/>
          <w:bCs w:val="0"/>
          <w:szCs w:val="21"/>
          <w:highlight w:val="none"/>
          <w:u w:val="single"/>
          <w:lang w:val="en-US" w:eastAsia="zh-CN"/>
        </w:rPr>
        <w:t>2759919</w:t>
      </w:r>
      <w:r>
        <w:rPr>
          <w:rFonts w:hint="eastAsia" w:ascii="宋体" w:hAnsi="宋体" w:eastAsia="宋体" w:cs="宋体"/>
          <w:b/>
          <w:bCs w:val="0"/>
          <w:color w:val="auto"/>
          <w:szCs w:val="21"/>
          <w:highlight w:val="none"/>
          <w:lang w:val="en-US" w:eastAsia="zh-CN"/>
        </w:rPr>
        <w:t xml:space="preserve"> </w:t>
      </w:r>
    </w:p>
    <w:p w14:paraId="4C521049">
      <w:pPr>
        <w:spacing w:line="360" w:lineRule="auto"/>
        <w:ind w:firstLine="422" w:firstLineChars="200"/>
        <w:rPr>
          <w:rFonts w:hint="eastAsia" w:ascii="宋体" w:hAnsi="宋体" w:eastAsia="宋体" w:cs="宋体"/>
          <w:bCs/>
          <w:sz w:val="21"/>
          <w:szCs w:val="21"/>
          <w:lang w:eastAsia="zh-CN"/>
        </w:rPr>
      </w:pPr>
      <w:r>
        <w:rPr>
          <w:rFonts w:hint="eastAsia" w:ascii="宋体" w:hAnsi="宋体" w:eastAsia="宋体" w:cs="宋体"/>
          <w:b/>
          <w:sz w:val="21"/>
          <w:szCs w:val="21"/>
        </w:rPr>
        <w:t>采购需求：</w:t>
      </w:r>
      <w:r>
        <w:rPr>
          <w:rFonts w:hint="eastAsia" w:ascii="宋体" w:hAnsi="宋体" w:eastAsia="宋体" w:cs="宋体"/>
          <w:bCs/>
          <w:sz w:val="21"/>
          <w:szCs w:val="21"/>
          <w:lang w:val="en-US" w:eastAsia="zh-CN"/>
        </w:rPr>
        <w:t xml:space="preserve"> </w:t>
      </w:r>
    </w:p>
    <w:p w14:paraId="49D9F02C">
      <w:pPr>
        <w:pStyle w:val="22"/>
        <w:ind w:firstLine="420" w:firstLineChars="200"/>
        <w:rPr>
          <w:rFonts w:hint="eastAsia" w:hAnsi="宋体"/>
          <w:sz w:val="21"/>
          <w:highlight w:val="none"/>
        </w:rPr>
      </w:pPr>
      <w:r>
        <w:rPr>
          <w:rFonts w:hint="eastAsia" w:hAnsi="宋体"/>
          <w:sz w:val="21"/>
        </w:rPr>
        <w:t>简要规格描述</w:t>
      </w:r>
      <w:r>
        <w:rPr>
          <w:rFonts w:hint="eastAsia" w:hAnsi="宋体"/>
          <w:sz w:val="21"/>
          <w:highlight w:val="none"/>
        </w:rPr>
        <w:t>或项目基本概况介绍：本工程总用地面积约33667.3㎡，新建殡仪馆二：建筑面积为566.18㎡，框架结构，地上一层。主要包括土建、安装工程及附属工程等工程</w:t>
      </w:r>
      <w:r>
        <w:rPr>
          <w:rFonts w:hint="eastAsia" w:hAnsi="宋体"/>
          <w:sz w:val="21"/>
          <w:highlight w:val="none"/>
          <w:lang w:eastAsia="zh-CN"/>
        </w:rPr>
        <w:t>。</w:t>
      </w:r>
      <w:r>
        <w:rPr>
          <w:rFonts w:hint="eastAsia" w:hAnsi="宋体"/>
          <w:sz w:val="21"/>
          <w:highlight w:val="none"/>
        </w:rPr>
        <w:t>其他</w:t>
      </w:r>
      <w:r>
        <w:rPr>
          <w:rFonts w:hAnsi="宋体"/>
          <w:sz w:val="21"/>
          <w:highlight w:val="none"/>
        </w:rPr>
        <w:t>需求详见</w:t>
      </w:r>
      <w:r>
        <w:rPr>
          <w:rFonts w:hint="eastAsia" w:hAnsi="宋体"/>
          <w:sz w:val="21"/>
          <w:highlight w:val="none"/>
        </w:rPr>
        <w:t>本项目磋商文件第</w:t>
      </w:r>
      <w:r>
        <w:rPr>
          <w:rFonts w:hint="eastAsia" w:hAnsi="宋体"/>
          <w:sz w:val="21"/>
          <w:highlight w:val="none"/>
          <w:lang w:val="en-US"/>
        </w:rPr>
        <w:t>三部分</w:t>
      </w:r>
      <w:r>
        <w:rPr>
          <w:rFonts w:hint="eastAsia" w:hAnsi="宋体"/>
          <w:sz w:val="21"/>
          <w:highlight w:val="none"/>
        </w:rPr>
        <w:t>“采购需求”。</w:t>
      </w:r>
    </w:p>
    <w:p w14:paraId="46926664">
      <w:pPr>
        <w:pStyle w:val="22"/>
        <w:ind w:firstLine="422" w:firstLineChars="200"/>
        <w:rPr>
          <w:rFonts w:hint="eastAsia" w:ascii="宋体" w:hAnsi="宋体" w:eastAsia="宋体" w:cs="宋体"/>
          <w:sz w:val="21"/>
          <w:szCs w:val="21"/>
          <w:highlight w:val="none"/>
          <w:u w:val="single"/>
        </w:rPr>
      </w:pPr>
      <w:r>
        <w:rPr>
          <w:rFonts w:hint="eastAsia" w:ascii="宋体" w:hAnsi="宋体" w:eastAsia="宋体" w:cs="宋体"/>
          <w:b/>
          <w:sz w:val="21"/>
          <w:szCs w:val="21"/>
          <w:highlight w:val="none"/>
        </w:rPr>
        <w:t>合同履行期限</w:t>
      </w:r>
      <w:r>
        <w:rPr>
          <w:rFonts w:hint="eastAsia" w:hAnsi="宋体" w:cs="宋体"/>
          <w:b/>
          <w:sz w:val="21"/>
          <w:szCs w:val="21"/>
          <w:highlight w:val="none"/>
          <w:lang w:eastAsia="zh-CN"/>
        </w:rPr>
        <w:t>（</w:t>
      </w:r>
      <w:r>
        <w:rPr>
          <w:rFonts w:hint="eastAsia" w:hAnsi="宋体" w:cs="宋体"/>
          <w:b/>
          <w:sz w:val="21"/>
          <w:szCs w:val="21"/>
          <w:highlight w:val="none"/>
          <w:lang w:val="en-US" w:eastAsia="zh-CN"/>
        </w:rPr>
        <w:t>工期</w:t>
      </w:r>
      <w:r>
        <w:rPr>
          <w:rFonts w:hint="eastAsia" w:hAnsi="宋体" w:cs="宋体"/>
          <w:b/>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u w:val="single"/>
          <w:lang w:val="en-US" w:eastAsia="zh-CN"/>
        </w:rPr>
        <w:t>自开工令发出之日起</w:t>
      </w:r>
      <w:r>
        <w:rPr>
          <w:rFonts w:hint="eastAsia" w:hAnsi="宋体" w:cs="宋体"/>
          <w:color w:val="auto"/>
          <w:sz w:val="21"/>
          <w:szCs w:val="21"/>
          <w:highlight w:val="none"/>
          <w:u w:val="single"/>
          <w:lang w:val="en-US" w:eastAsia="zh-CN"/>
        </w:rPr>
        <w:t>60</w:t>
      </w:r>
      <w:r>
        <w:rPr>
          <w:rFonts w:hint="eastAsia" w:ascii="宋体" w:hAnsi="宋体" w:eastAsia="宋体" w:cs="宋体"/>
          <w:color w:val="auto"/>
          <w:sz w:val="21"/>
          <w:szCs w:val="21"/>
          <w:highlight w:val="none"/>
          <w:u w:val="single"/>
          <w:lang w:val="en-US" w:eastAsia="zh-CN"/>
        </w:rPr>
        <w:t>日历天内完成</w:t>
      </w:r>
      <w:r>
        <w:rPr>
          <w:rFonts w:hint="eastAsia" w:ascii="宋体" w:hAnsi="宋体" w:eastAsia="宋体" w:cs="宋体"/>
          <w:sz w:val="21"/>
          <w:szCs w:val="21"/>
          <w:highlight w:val="none"/>
        </w:rPr>
        <w:t>。</w:t>
      </w:r>
    </w:p>
    <w:p w14:paraId="2F96B885">
      <w:pPr>
        <w:spacing w:line="360" w:lineRule="auto"/>
        <w:ind w:firstLine="422" w:firstLineChars="200"/>
        <w:rPr>
          <w:rFonts w:hint="eastAsia" w:ascii="宋体" w:hAnsi="宋体" w:eastAsia="宋体" w:cs="宋体"/>
          <w:bCs/>
          <w:sz w:val="21"/>
          <w:szCs w:val="21"/>
        </w:rPr>
      </w:pPr>
      <w:r>
        <w:rPr>
          <w:rFonts w:hint="eastAsia" w:ascii="宋体" w:hAnsi="宋体" w:eastAsia="宋体" w:cs="宋体"/>
          <w:b/>
          <w:sz w:val="21"/>
          <w:szCs w:val="21"/>
        </w:rPr>
        <w:t>本项目接受联合体投标：</w:t>
      </w:r>
      <w:sdt>
        <w:sdtPr>
          <w:rPr>
            <w:rFonts w:hint="eastAsia" w:ascii="宋体" w:hAnsi="宋体" w:eastAsia="宋体" w:cs="宋体"/>
            <w:b/>
            <w:sz w:val="21"/>
            <w:szCs w:val="21"/>
          </w:rPr>
          <w:id w:val="2035453831"/>
          <w14:checkbox>
            <w14:checked w14:val="0"/>
            <w14:checkedState w14:val="00FE" w14:font="Wingdings"/>
            <w14:uncheckedState w14:val="2610" w14:font="MS Gothic"/>
          </w14:checkbox>
        </w:sdtPr>
        <w:sdtEndPr>
          <w:rPr>
            <w:rFonts w:hint="eastAsia" w:ascii="宋体" w:hAnsi="宋体" w:eastAsia="宋体" w:cs="宋体"/>
            <w:b w:val="0"/>
            <w:bCs/>
            <w:sz w:val="21"/>
            <w:szCs w:val="21"/>
          </w:rPr>
        </w:sdtEndPr>
        <w:sdtContent>
          <w:r>
            <w:rPr>
              <w:rFonts w:hint="eastAsia" w:ascii="MS Gothic" w:hAnsi="MS Gothic" w:eastAsia="宋体" w:cs="宋体"/>
              <w:bCs/>
              <w:kern w:val="2"/>
              <w:sz w:val="21"/>
              <w:szCs w:val="21"/>
              <w:lang w:val="en-US" w:eastAsia="zh-CN" w:bidi="ar-SA"/>
            </w:rPr>
            <w:t>☐</w:t>
          </w:r>
        </w:sdtContent>
      </w:sdt>
      <w:r>
        <w:rPr>
          <w:rFonts w:hint="eastAsia" w:ascii="宋体" w:hAnsi="宋体" w:eastAsia="宋体" w:cs="宋体"/>
          <w:bCs/>
          <w:sz w:val="21"/>
          <w:szCs w:val="21"/>
        </w:rPr>
        <w:t>是，</w:t>
      </w:r>
      <w:sdt>
        <w:sdtPr>
          <w:rPr>
            <w:rFonts w:hint="eastAsia" w:ascii="宋体" w:hAnsi="宋体" w:eastAsia="宋体" w:cs="宋体"/>
            <w:bCs/>
            <w:sz w:val="21"/>
            <w:szCs w:val="21"/>
          </w:rPr>
          <w:id w:val="-1"/>
          <w14:checkbox>
            <w14:checked w14:val="1"/>
            <w14:checkedState w14:val="00FE" w14:font="Wingdings"/>
            <w14:uncheckedState w14:val="2610" w14:font="MS Gothic"/>
          </w14:checkbox>
        </w:sdtPr>
        <w:sdtEndPr>
          <w:rPr>
            <w:rFonts w:hint="eastAsia" w:ascii="宋体" w:hAnsi="宋体" w:eastAsia="宋体" w:cs="宋体"/>
            <w:bCs/>
            <w:sz w:val="21"/>
            <w:szCs w:val="21"/>
          </w:rPr>
        </w:sdtEndPr>
        <w:sdtContent>
          <w:r>
            <w:rPr>
              <w:rFonts w:hint="eastAsia" w:ascii="Wingdings" w:hAnsi="Wingdings" w:eastAsia="宋体" w:cs="宋体"/>
              <w:bCs/>
              <w:kern w:val="2"/>
              <w:sz w:val="21"/>
              <w:szCs w:val="21"/>
              <w:lang w:val="en-US" w:eastAsia="zh-CN" w:bidi="ar-SA"/>
            </w:rPr>
            <w:t>þ</w:t>
          </w:r>
        </w:sdtContent>
      </w:sdt>
      <w:r>
        <w:rPr>
          <w:rFonts w:hint="eastAsia" w:ascii="宋体" w:hAnsi="宋体" w:eastAsia="宋体" w:cs="宋体"/>
          <w:bCs/>
          <w:sz w:val="21"/>
          <w:szCs w:val="21"/>
        </w:rPr>
        <w:t>否。</w:t>
      </w:r>
    </w:p>
    <w:p w14:paraId="40E59D28">
      <w:pPr>
        <w:spacing w:line="360" w:lineRule="auto"/>
        <w:rPr>
          <w:rFonts w:hint="eastAsia" w:ascii="宋体" w:hAnsi="宋体" w:eastAsia="宋体" w:cs="宋体"/>
          <w:kern w:val="0"/>
          <w:sz w:val="21"/>
          <w:szCs w:val="21"/>
        </w:rPr>
      </w:pPr>
      <w:bookmarkStart w:id="16" w:name="_Toc28359090"/>
      <w:bookmarkStart w:id="17" w:name="_Toc35393799"/>
      <w:bookmarkStart w:id="18" w:name="_Toc28359013"/>
      <w:bookmarkStart w:id="19" w:name="_Toc35393630"/>
      <w:r>
        <w:rPr>
          <w:rFonts w:hint="eastAsia" w:ascii="宋体" w:hAnsi="宋体" w:eastAsia="宋体" w:cs="宋体"/>
          <w:kern w:val="0"/>
          <w:sz w:val="21"/>
          <w:szCs w:val="21"/>
        </w:rPr>
        <w:t>二、申请人的资格要求：</w:t>
      </w:r>
      <w:bookmarkEnd w:id="16"/>
      <w:bookmarkEnd w:id="17"/>
      <w:bookmarkEnd w:id="18"/>
      <w:bookmarkEnd w:id="19"/>
    </w:p>
    <w:p w14:paraId="160DF43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B3A3686">
      <w:pPr>
        <w:spacing w:line="36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2.落实政府采购政策需满足的资格要求：工程全部由符合政策要求的中小微企业承接，提供中小微企业声明函</w:t>
      </w:r>
      <w:r>
        <w:rPr>
          <w:rFonts w:hint="eastAsia" w:ascii="宋体" w:hAnsi="宋体" w:cs="宋体"/>
          <w:kern w:val="0"/>
          <w:sz w:val="21"/>
          <w:szCs w:val="21"/>
          <w:lang w:eastAsia="zh-CN"/>
        </w:rPr>
        <w:t>。</w:t>
      </w:r>
    </w:p>
    <w:p w14:paraId="6742D38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3.本项目的特定资格要求：</w:t>
      </w:r>
      <w:r>
        <w:rPr>
          <w:rFonts w:hint="eastAsia" w:ascii="宋体" w:hAnsi="宋体" w:eastAsia="宋体" w:cs="宋体"/>
          <w:color w:val="auto"/>
          <w:sz w:val="21"/>
          <w:szCs w:val="21"/>
          <w:highlight w:val="none"/>
        </w:rPr>
        <w:t>供应商须具备建筑工程施工总承包叁级及以上资质（对应资质应在“浙江省建筑市场监管公共服务系统”上资质动态核查结果处于“合格”状态）并具备有效的建筑施工企业安全生产许可证。</w:t>
      </w:r>
    </w:p>
    <w:p w14:paraId="39EF280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DA416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59DC8595">
      <w:pPr>
        <w:tabs>
          <w:tab w:val="left" w:pos="432"/>
        </w:tabs>
        <w:spacing w:line="360" w:lineRule="auto"/>
        <w:ind w:left="432" w:hanging="432"/>
        <w:rPr>
          <w:rFonts w:hint="eastAsia" w:ascii="宋体" w:hAnsi="宋体" w:eastAsia="宋体" w:cs="宋体"/>
          <w:sz w:val="21"/>
          <w:szCs w:val="21"/>
        </w:rPr>
      </w:pPr>
      <w:bookmarkStart w:id="20" w:name="_Toc35393800"/>
      <w:bookmarkStart w:id="21" w:name="_Toc28359014"/>
      <w:bookmarkStart w:id="22" w:name="_Toc28359091"/>
      <w:bookmarkStart w:id="23" w:name="_Toc35393631"/>
      <w:r>
        <w:rPr>
          <w:rFonts w:hint="eastAsia" w:ascii="宋体" w:hAnsi="宋体" w:eastAsia="宋体" w:cs="宋体"/>
          <w:sz w:val="21"/>
          <w:szCs w:val="21"/>
        </w:rPr>
        <w:t>三、获取（下载）采购文件</w:t>
      </w:r>
      <w:bookmarkEnd w:id="20"/>
      <w:bookmarkEnd w:id="21"/>
      <w:bookmarkEnd w:id="22"/>
      <w:bookmarkEnd w:id="23"/>
    </w:p>
    <w:p w14:paraId="207626BE">
      <w:pPr>
        <w:spacing w:line="348" w:lineRule="auto"/>
        <w:ind w:firstLine="540"/>
        <w:rPr>
          <w:rFonts w:hint="eastAsia" w:ascii="宋体" w:hAnsi="宋体" w:eastAsia="宋体" w:cs="宋体"/>
          <w:sz w:val="21"/>
          <w:szCs w:val="21"/>
        </w:rPr>
      </w:pPr>
      <w:bookmarkStart w:id="24" w:name="_Toc28359092"/>
      <w:bookmarkStart w:id="25" w:name="_Toc35393801"/>
      <w:bookmarkStart w:id="26" w:name="_Toc35393632"/>
      <w:bookmarkStart w:id="27" w:name="_Toc28359015"/>
      <w:r>
        <w:rPr>
          <w:rFonts w:hint="eastAsia" w:ascii="宋体" w:hAnsi="宋体" w:eastAsia="宋体" w:cs="宋体"/>
          <w:sz w:val="21"/>
          <w:szCs w:val="21"/>
        </w:rPr>
        <w:t>时间：</w:t>
      </w:r>
      <w:r>
        <w:rPr>
          <w:rFonts w:hint="eastAsia" w:ascii="宋体" w:hAnsi="宋体" w:cs="宋体"/>
          <w:sz w:val="21"/>
          <w:szCs w:val="21"/>
          <w:u w:val="single"/>
          <w:lang w:eastAsia="zh-CN"/>
        </w:rPr>
        <w:t>2025</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07</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07</w:t>
      </w:r>
      <w:r>
        <w:rPr>
          <w:rFonts w:hint="eastAsia" w:ascii="宋体" w:hAnsi="宋体" w:eastAsia="宋体" w:cs="宋体"/>
          <w:sz w:val="21"/>
          <w:szCs w:val="21"/>
          <w:u w:val="single"/>
        </w:rPr>
        <w:t>日</w:t>
      </w:r>
      <w:r>
        <w:rPr>
          <w:rFonts w:hint="eastAsia" w:ascii="宋体" w:hAnsi="宋体" w:eastAsia="宋体" w:cs="宋体"/>
          <w:sz w:val="21"/>
          <w:szCs w:val="21"/>
        </w:rPr>
        <w:t>至</w:t>
      </w:r>
      <w:r>
        <w:rPr>
          <w:rFonts w:hint="eastAsia" w:ascii="宋体" w:hAnsi="宋体" w:cs="宋体"/>
          <w:sz w:val="21"/>
          <w:szCs w:val="21"/>
          <w:u w:val="single"/>
          <w:lang w:eastAsia="zh-CN"/>
        </w:rPr>
        <w:t>2025</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07</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14</w:t>
      </w:r>
      <w:r>
        <w:rPr>
          <w:rFonts w:hint="eastAsia" w:ascii="宋体" w:hAnsi="宋体" w:eastAsia="宋体" w:cs="宋体"/>
          <w:sz w:val="21"/>
          <w:szCs w:val="21"/>
          <w:u w:val="single"/>
        </w:rPr>
        <w:t>日</w:t>
      </w:r>
      <w:r>
        <w:rPr>
          <w:rFonts w:hint="eastAsia" w:ascii="宋体" w:hAnsi="宋体" w:eastAsia="宋体" w:cs="宋体"/>
          <w:sz w:val="21"/>
          <w:szCs w:val="21"/>
        </w:rPr>
        <w:t>，每天上午</w:t>
      </w:r>
      <w:r>
        <w:rPr>
          <w:rFonts w:hint="eastAsia" w:ascii="宋体" w:hAnsi="宋体" w:eastAsia="宋体" w:cs="宋体"/>
          <w:sz w:val="21"/>
          <w:szCs w:val="21"/>
          <w:u w:val="single"/>
        </w:rPr>
        <w:t>00:00</w:t>
      </w:r>
      <w:r>
        <w:rPr>
          <w:rFonts w:hint="eastAsia" w:ascii="宋体" w:hAnsi="宋体" w:eastAsia="宋体" w:cs="宋体"/>
          <w:sz w:val="21"/>
          <w:szCs w:val="21"/>
        </w:rPr>
        <w:t>至</w:t>
      </w:r>
      <w:r>
        <w:rPr>
          <w:rFonts w:hint="eastAsia" w:ascii="宋体" w:hAnsi="宋体" w:eastAsia="宋体" w:cs="宋体"/>
          <w:sz w:val="21"/>
          <w:szCs w:val="21"/>
          <w:u w:val="single"/>
        </w:rPr>
        <w:t>12:00</w:t>
      </w:r>
      <w:r>
        <w:rPr>
          <w:rFonts w:hint="eastAsia" w:ascii="宋体" w:hAnsi="宋体" w:eastAsia="宋体" w:cs="宋体"/>
          <w:sz w:val="21"/>
          <w:szCs w:val="21"/>
        </w:rPr>
        <w:t>，下午</w:t>
      </w:r>
      <w:r>
        <w:rPr>
          <w:rFonts w:hint="eastAsia" w:ascii="宋体" w:hAnsi="宋体" w:eastAsia="宋体" w:cs="宋体"/>
          <w:sz w:val="21"/>
          <w:szCs w:val="21"/>
          <w:u w:val="single"/>
        </w:rPr>
        <w:t>12:00</w:t>
      </w:r>
      <w:r>
        <w:rPr>
          <w:rFonts w:hint="eastAsia" w:ascii="宋体" w:hAnsi="宋体" w:eastAsia="宋体" w:cs="宋体"/>
          <w:sz w:val="21"/>
          <w:szCs w:val="21"/>
        </w:rPr>
        <w:t>至</w:t>
      </w:r>
      <w:r>
        <w:rPr>
          <w:rFonts w:hint="eastAsia" w:ascii="宋体" w:hAnsi="宋体" w:eastAsia="宋体" w:cs="宋体"/>
          <w:sz w:val="21"/>
          <w:szCs w:val="21"/>
          <w:u w:val="single"/>
        </w:rPr>
        <w:t>23:59</w:t>
      </w:r>
      <w:r>
        <w:rPr>
          <w:rFonts w:hint="eastAsia" w:ascii="宋体" w:hAnsi="宋体" w:eastAsia="宋体" w:cs="宋体"/>
          <w:sz w:val="21"/>
          <w:szCs w:val="21"/>
        </w:rPr>
        <w:t>（北京时间，线上获取法定节假日均可，线下获取文件法定节假日除外）。</w:t>
      </w:r>
    </w:p>
    <w:p w14:paraId="22B497B6">
      <w:pPr>
        <w:spacing w:line="348" w:lineRule="auto"/>
        <w:ind w:firstLine="540"/>
        <w:rPr>
          <w:rFonts w:hint="eastAsia" w:ascii="宋体" w:hAnsi="宋体" w:eastAsia="宋体" w:cs="宋体"/>
          <w:sz w:val="21"/>
          <w:szCs w:val="21"/>
          <w:u w:val="single"/>
        </w:rPr>
      </w:pPr>
      <w:r>
        <w:rPr>
          <w:rFonts w:hint="eastAsia" w:ascii="宋体" w:hAnsi="宋体" w:eastAsia="宋体" w:cs="宋体"/>
          <w:sz w:val="21"/>
          <w:szCs w:val="21"/>
        </w:rPr>
        <w:t>地点（网址）：政府采购云平台（www.zcygov.cn）。</w:t>
      </w:r>
    </w:p>
    <w:p w14:paraId="77E0443A">
      <w:pPr>
        <w:spacing w:line="348" w:lineRule="auto"/>
        <w:ind w:firstLine="540"/>
        <w:rPr>
          <w:rFonts w:hint="eastAsia" w:ascii="宋体" w:hAnsi="宋体" w:eastAsia="宋体" w:cs="宋体"/>
          <w:sz w:val="21"/>
          <w:szCs w:val="21"/>
        </w:rPr>
      </w:pPr>
      <w:r>
        <w:rPr>
          <w:rFonts w:hint="eastAsia" w:ascii="宋体" w:hAnsi="宋体" w:eastAsia="宋体" w:cs="宋体"/>
          <w:sz w:val="21"/>
          <w:szCs w:val="21"/>
        </w:rPr>
        <w:t xml:space="preserve">方式：供应商登录政采云平台https://www.zcygov.cn/在线申请获取采购文件（进入“项目采购”应用，在获取采购文件菜单中选择项目，申请获取采购文件）。 </w:t>
      </w:r>
    </w:p>
    <w:p w14:paraId="53F53639">
      <w:pPr>
        <w:spacing w:line="348" w:lineRule="auto"/>
        <w:ind w:firstLine="540"/>
        <w:rPr>
          <w:rFonts w:hint="eastAsia" w:ascii="宋体" w:hAnsi="宋体" w:eastAsia="宋体" w:cs="宋体"/>
          <w:sz w:val="21"/>
          <w:szCs w:val="21"/>
        </w:rPr>
      </w:pPr>
      <w:r>
        <w:rPr>
          <w:rFonts w:hint="eastAsia" w:ascii="宋体" w:hAnsi="宋体" w:eastAsia="宋体" w:cs="宋体"/>
          <w:sz w:val="21"/>
          <w:szCs w:val="21"/>
        </w:rPr>
        <w:t>售价（元）：0</w:t>
      </w:r>
    </w:p>
    <w:p w14:paraId="4D5CB0E6">
      <w:pPr>
        <w:spacing w:line="360" w:lineRule="auto"/>
        <w:rPr>
          <w:rFonts w:hint="eastAsia" w:ascii="宋体" w:hAnsi="宋体" w:eastAsia="宋体" w:cs="宋体"/>
          <w:b/>
          <w:sz w:val="21"/>
          <w:szCs w:val="21"/>
        </w:rPr>
      </w:pPr>
      <w:r>
        <w:rPr>
          <w:rFonts w:hint="eastAsia" w:ascii="宋体" w:hAnsi="宋体" w:eastAsia="宋体" w:cs="宋体"/>
          <w:sz w:val="21"/>
          <w:szCs w:val="21"/>
        </w:rPr>
        <w:t>四、</w:t>
      </w:r>
      <w:bookmarkEnd w:id="24"/>
      <w:bookmarkEnd w:id="25"/>
      <w:bookmarkEnd w:id="26"/>
      <w:bookmarkEnd w:id="27"/>
      <w:r>
        <w:rPr>
          <w:rFonts w:hint="eastAsia" w:ascii="宋体" w:hAnsi="宋体" w:eastAsia="宋体" w:cs="宋体"/>
          <w:b/>
          <w:sz w:val="21"/>
          <w:szCs w:val="21"/>
        </w:rPr>
        <w:t>提交</w:t>
      </w:r>
      <w:r>
        <w:rPr>
          <w:rFonts w:hint="eastAsia" w:ascii="宋体" w:hAnsi="宋体" w:cs="宋体"/>
          <w:b/>
          <w:sz w:val="21"/>
          <w:szCs w:val="21"/>
          <w:lang w:eastAsia="zh-CN"/>
        </w:rPr>
        <w:t>响应文件</w:t>
      </w:r>
      <w:r>
        <w:rPr>
          <w:rFonts w:hint="eastAsia" w:ascii="宋体" w:hAnsi="宋体" w:eastAsia="宋体" w:cs="宋体"/>
          <w:b/>
          <w:sz w:val="21"/>
          <w:szCs w:val="21"/>
        </w:rPr>
        <w:t>截止时间、开标时间和地点</w:t>
      </w:r>
    </w:p>
    <w:p w14:paraId="04E896AC">
      <w:p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提交</w:t>
      </w:r>
      <w:r>
        <w:rPr>
          <w:rFonts w:hint="eastAsia" w:ascii="宋体" w:hAnsi="宋体" w:cs="宋体"/>
          <w:b/>
          <w:sz w:val="21"/>
          <w:szCs w:val="21"/>
          <w:lang w:eastAsia="zh-CN"/>
        </w:rPr>
        <w:t>响应文件</w:t>
      </w:r>
      <w:r>
        <w:rPr>
          <w:rFonts w:hint="eastAsia" w:ascii="宋体" w:hAnsi="宋体" w:eastAsia="宋体" w:cs="宋体"/>
          <w:b/>
          <w:sz w:val="21"/>
          <w:szCs w:val="21"/>
        </w:rPr>
        <w:t>截止时间：</w:t>
      </w:r>
      <w:r>
        <w:rPr>
          <w:rFonts w:hint="eastAsia" w:ascii="宋体" w:hAnsi="宋体" w:cs="宋体"/>
          <w:sz w:val="21"/>
          <w:szCs w:val="21"/>
          <w:u w:val="single"/>
          <w:lang w:eastAsia="zh-CN"/>
        </w:rPr>
        <w:t>2025</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07</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18</w:t>
      </w:r>
      <w:r>
        <w:rPr>
          <w:rFonts w:hint="eastAsia" w:ascii="宋体" w:hAnsi="宋体" w:eastAsia="宋体" w:cs="宋体"/>
          <w:sz w:val="21"/>
          <w:szCs w:val="21"/>
          <w:u w:val="single"/>
        </w:rPr>
        <w:t>日</w:t>
      </w:r>
      <w:r>
        <w:rPr>
          <w:rFonts w:hint="eastAsia" w:ascii="宋体" w:hAnsi="宋体" w:cs="宋体"/>
          <w:sz w:val="21"/>
          <w:szCs w:val="21"/>
          <w:u w:val="single"/>
          <w:lang w:val="en-US" w:eastAsia="zh-CN"/>
        </w:rPr>
        <w:t>13</w:t>
      </w:r>
      <w:r>
        <w:rPr>
          <w:rFonts w:hint="eastAsia" w:ascii="宋体" w:hAnsi="宋体" w:eastAsia="宋体" w:cs="宋体"/>
          <w:sz w:val="21"/>
          <w:szCs w:val="21"/>
          <w:u w:val="single"/>
        </w:rPr>
        <w:t>点</w:t>
      </w:r>
      <w:r>
        <w:rPr>
          <w:rFonts w:hint="eastAsia" w:ascii="宋体" w:hAnsi="宋体" w:cs="宋体"/>
          <w:sz w:val="21"/>
          <w:szCs w:val="21"/>
          <w:u w:val="single"/>
          <w:lang w:val="en-US" w:eastAsia="zh-CN"/>
        </w:rPr>
        <w:t>30</w:t>
      </w:r>
      <w:r>
        <w:rPr>
          <w:rFonts w:hint="eastAsia" w:ascii="宋体" w:hAnsi="宋体" w:eastAsia="宋体" w:cs="宋体"/>
          <w:sz w:val="21"/>
          <w:szCs w:val="21"/>
          <w:u w:val="single"/>
        </w:rPr>
        <w:t>分</w:t>
      </w:r>
      <w:r>
        <w:rPr>
          <w:rFonts w:hint="eastAsia" w:ascii="宋体" w:hAnsi="宋体" w:cs="宋体"/>
          <w:sz w:val="21"/>
          <w:szCs w:val="21"/>
          <w:u w:val="single"/>
          <w:lang w:val="en-US" w:eastAsia="zh-CN"/>
        </w:rPr>
        <w:t>00</w:t>
      </w:r>
      <w:r>
        <w:rPr>
          <w:rFonts w:hint="eastAsia" w:ascii="宋体" w:hAnsi="宋体" w:eastAsia="宋体" w:cs="宋体"/>
          <w:sz w:val="21"/>
          <w:szCs w:val="21"/>
          <w:u w:val="single"/>
        </w:rPr>
        <w:t>秒</w:t>
      </w:r>
      <w:r>
        <w:rPr>
          <w:rFonts w:hint="eastAsia" w:ascii="宋体" w:hAnsi="宋体" w:eastAsia="宋体" w:cs="宋体"/>
          <w:sz w:val="21"/>
          <w:szCs w:val="21"/>
        </w:rPr>
        <w:t>（北京时间）</w:t>
      </w:r>
    </w:p>
    <w:p w14:paraId="73FDC3CA">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地点（网址）：</w:t>
      </w:r>
      <w:r>
        <w:rPr>
          <w:rFonts w:hint="eastAsia" w:ascii="宋体" w:hAnsi="宋体" w:eastAsia="宋体" w:cs="宋体"/>
          <w:sz w:val="21"/>
          <w:szCs w:val="21"/>
        </w:rPr>
        <w:t xml:space="preserve">政采云平台（https://www.zcygov.cn/） </w:t>
      </w:r>
    </w:p>
    <w:p w14:paraId="60626AFD">
      <w:pPr>
        <w:spacing w:line="360" w:lineRule="auto"/>
        <w:ind w:firstLine="422" w:firstLineChars="200"/>
        <w:rPr>
          <w:rFonts w:hint="eastAsia" w:ascii="宋体" w:hAnsi="宋体" w:eastAsia="宋体" w:cs="宋体"/>
          <w:bCs/>
          <w:sz w:val="21"/>
          <w:szCs w:val="21"/>
          <w:u w:val="single"/>
        </w:rPr>
      </w:pPr>
      <w:r>
        <w:rPr>
          <w:rFonts w:hint="eastAsia" w:ascii="宋体" w:hAnsi="宋体" w:cs="宋体"/>
          <w:b/>
          <w:sz w:val="21"/>
          <w:szCs w:val="21"/>
          <w:lang w:val="en-US" w:eastAsia="zh-CN"/>
        </w:rPr>
        <w:t>开启</w:t>
      </w:r>
      <w:r>
        <w:rPr>
          <w:rFonts w:hint="eastAsia" w:ascii="宋体" w:hAnsi="宋体" w:eastAsia="宋体" w:cs="宋体"/>
          <w:b/>
          <w:sz w:val="21"/>
          <w:szCs w:val="21"/>
        </w:rPr>
        <w:t>时间：</w:t>
      </w:r>
      <w:r>
        <w:rPr>
          <w:rFonts w:hint="eastAsia" w:ascii="宋体" w:hAnsi="宋体" w:cs="宋体"/>
          <w:sz w:val="21"/>
          <w:szCs w:val="21"/>
          <w:u w:val="single"/>
          <w:lang w:eastAsia="zh-CN"/>
        </w:rPr>
        <w:t>2025</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07</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18</w:t>
      </w:r>
      <w:r>
        <w:rPr>
          <w:rFonts w:hint="eastAsia" w:ascii="宋体" w:hAnsi="宋体" w:eastAsia="宋体" w:cs="宋体"/>
          <w:sz w:val="21"/>
          <w:szCs w:val="21"/>
          <w:u w:val="single"/>
        </w:rPr>
        <w:t>日</w:t>
      </w:r>
      <w:r>
        <w:rPr>
          <w:rFonts w:hint="eastAsia" w:ascii="宋体" w:hAnsi="宋体" w:cs="宋体"/>
          <w:sz w:val="21"/>
          <w:szCs w:val="21"/>
          <w:u w:val="single"/>
          <w:lang w:val="en-US" w:eastAsia="zh-CN"/>
        </w:rPr>
        <w:t>13</w:t>
      </w:r>
      <w:r>
        <w:rPr>
          <w:rFonts w:hint="eastAsia" w:ascii="宋体" w:hAnsi="宋体" w:eastAsia="宋体" w:cs="宋体"/>
          <w:sz w:val="21"/>
          <w:szCs w:val="21"/>
          <w:u w:val="single"/>
        </w:rPr>
        <w:t>点</w:t>
      </w:r>
      <w:r>
        <w:rPr>
          <w:rFonts w:hint="eastAsia" w:ascii="宋体" w:hAnsi="宋体" w:cs="宋体"/>
          <w:sz w:val="21"/>
          <w:szCs w:val="21"/>
          <w:u w:val="single"/>
          <w:lang w:val="en-US" w:eastAsia="zh-CN"/>
        </w:rPr>
        <w:t>30</w:t>
      </w:r>
      <w:r>
        <w:rPr>
          <w:rFonts w:hint="eastAsia" w:ascii="宋体" w:hAnsi="宋体" w:eastAsia="宋体" w:cs="宋体"/>
          <w:sz w:val="21"/>
          <w:szCs w:val="21"/>
          <w:u w:val="single"/>
        </w:rPr>
        <w:t>分</w:t>
      </w:r>
      <w:r>
        <w:rPr>
          <w:rFonts w:hint="eastAsia" w:ascii="宋体" w:hAnsi="宋体" w:cs="宋体"/>
          <w:sz w:val="21"/>
          <w:szCs w:val="21"/>
          <w:u w:val="single"/>
          <w:lang w:val="en-US" w:eastAsia="zh-CN"/>
        </w:rPr>
        <w:t>00</w:t>
      </w:r>
      <w:r>
        <w:rPr>
          <w:rFonts w:hint="eastAsia" w:ascii="宋体" w:hAnsi="宋体" w:eastAsia="宋体" w:cs="宋体"/>
          <w:sz w:val="21"/>
          <w:szCs w:val="21"/>
          <w:u w:val="single"/>
        </w:rPr>
        <w:t>秒</w:t>
      </w:r>
      <w:bookmarkStart w:id="626" w:name="_GoBack"/>
      <w:bookmarkEnd w:id="626"/>
    </w:p>
    <w:p w14:paraId="0A6CF91C">
      <w:pPr>
        <w:spacing w:line="360" w:lineRule="auto"/>
        <w:ind w:firstLine="422" w:firstLineChars="200"/>
        <w:rPr>
          <w:rFonts w:hint="eastAsia" w:ascii="宋体" w:hAnsi="宋体" w:eastAsia="宋体" w:cs="宋体"/>
          <w:bCs/>
          <w:sz w:val="21"/>
          <w:szCs w:val="21"/>
          <w:u w:val="single"/>
        </w:rPr>
      </w:pPr>
      <w:r>
        <w:rPr>
          <w:rFonts w:hint="eastAsia" w:ascii="宋体" w:hAnsi="宋体" w:eastAsia="宋体" w:cs="宋体"/>
          <w:b/>
          <w:sz w:val="21"/>
          <w:szCs w:val="21"/>
        </w:rPr>
        <w:t>地点（网址）：</w:t>
      </w:r>
      <w:r>
        <w:rPr>
          <w:rFonts w:hint="eastAsia" w:ascii="宋体" w:hAnsi="宋体" w:eastAsia="宋体" w:cs="宋体"/>
          <w:sz w:val="21"/>
          <w:szCs w:val="21"/>
        </w:rPr>
        <w:t>政采云平台（https://www.zcygov.cn/）</w:t>
      </w:r>
    </w:p>
    <w:p w14:paraId="0C84E470">
      <w:pPr>
        <w:tabs>
          <w:tab w:val="left" w:pos="432"/>
        </w:tabs>
        <w:spacing w:line="360" w:lineRule="auto"/>
        <w:ind w:left="432" w:hanging="432"/>
        <w:rPr>
          <w:rFonts w:hint="eastAsia" w:ascii="宋体" w:hAnsi="宋体" w:eastAsia="宋体" w:cs="宋体"/>
          <w:sz w:val="21"/>
          <w:szCs w:val="21"/>
        </w:rPr>
      </w:pPr>
      <w:bookmarkStart w:id="28" w:name="_Toc28359017"/>
      <w:bookmarkStart w:id="29" w:name="_Toc35393634"/>
      <w:bookmarkStart w:id="30" w:name="_Toc28359094"/>
      <w:bookmarkStart w:id="31" w:name="_Toc35393803"/>
      <w:r>
        <w:rPr>
          <w:rFonts w:hint="eastAsia" w:ascii="宋体" w:hAnsi="宋体" w:eastAsia="宋体" w:cs="宋体"/>
          <w:sz w:val="21"/>
          <w:szCs w:val="21"/>
        </w:rPr>
        <w:t>五、公告期限</w:t>
      </w:r>
      <w:bookmarkEnd w:id="28"/>
      <w:bookmarkEnd w:id="29"/>
      <w:bookmarkEnd w:id="30"/>
      <w:bookmarkEnd w:id="31"/>
    </w:p>
    <w:p w14:paraId="30342DD8">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6FD60D8A">
      <w:pPr>
        <w:tabs>
          <w:tab w:val="left" w:pos="432"/>
        </w:tabs>
        <w:spacing w:line="360" w:lineRule="auto"/>
        <w:ind w:left="432" w:hanging="432"/>
        <w:rPr>
          <w:rFonts w:hint="eastAsia" w:ascii="宋体" w:hAnsi="宋体" w:eastAsia="宋体" w:cs="宋体"/>
          <w:sz w:val="21"/>
          <w:szCs w:val="21"/>
        </w:rPr>
      </w:pPr>
      <w:bookmarkStart w:id="32" w:name="_Toc35393804"/>
      <w:bookmarkStart w:id="33" w:name="_Toc35393635"/>
      <w:r>
        <w:rPr>
          <w:rFonts w:hint="eastAsia" w:ascii="宋体" w:hAnsi="宋体" w:eastAsia="宋体" w:cs="宋体"/>
          <w:sz w:val="21"/>
          <w:szCs w:val="21"/>
        </w:rPr>
        <w:t>六、其他补充事宜</w:t>
      </w:r>
      <w:bookmarkEnd w:id="32"/>
      <w:bookmarkEnd w:id="33"/>
    </w:p>
    <w:p w14:paraId="4A60F033">
      <w:pPr>
        <w:spacing w:line="360"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5AB85B7F">
      <w:pPr>
        <w:spacing w:line="360"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8ADE1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3</w:t>
      </w:r>
      <w:r>
        <w:rPr>
          <w:rFonts w:hint="eastAsia" w:ascii="宋体" w:hAnsi="宋体" w:eastAsia="宋体" w:cs="宋体"/>
          <w:bCs/>
          <w:kern w:val="0"/>
          <w:sz w:val="21"/>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60DDDD">
      <w:pPr>
        <w:spacing w:line="360" w:lineRule="auto"/>
        <w:ind w:firstLine="422" w:firstLineChars="200"/>
        <w:rPr>
          <w:rFonts w:hint="eastAsia" w:ascii="宋体" w:hAnsi="宋体" w:eastAsia="宋体" w:cs="宋体"/>
          <w:b/>
          <w:kern w:val="0"/>
          <w:sz w:val="21"/>
          <w:szCs w:val="21"/>
        </w:rPr>
      </w:pPr>
      <w:r>
        <w:rPr>
          <w:rFonts w:hint="eastAsia" w:ascii="宋体" w:hAnsi="宋体" w:cs="宋体"/>
          <w:b/>
          <w:kern w:val="0"/>
          <w:sz w:val="21"/>
          <w:szCs w:val="21"/>
          <w:lang w:val="en-US" w:eastAsia="zh-CN"/>
        </w:rPr>
        <w:t>4</w:t>
      </w:r>
      <w:r>
        <w:rPr>
          <w:rFonts w:hint="eastAsia" w:ascii="宋体" w:hAnsi="宋体" w:eastAsia="宋体" w:cs="宋体"/>
          <w:b/>
          <w:kern w:val="0"/>
          <w:sz w:val="21"/>
          <w:szCs w:val="21"/>
        </w:rPr>
        <w:t>. 其他事项：</w:t>
      </w:r>
    </w:p>
    <w:p w14:paraId="2E82D339">
      <w:pPr>
        <w:spacing w:line="360" w:lineRule="auto"/>
        <w:ind w:firstLine="422" w:firstLineChars="200"/>
        <w:rPr>
          <w:rFonts w:hint="eastAsia" w:ascii="宋体" w:hAnsi="宋体" w:eastAsia="宋体" w:cs="宋体"/>
          <w:kern w:val="0"/>
          <w:sz w:val="21"/>
          <w:szCs w:val="21"/>
        </w:rPr>
      </w:pPr>
      <w:r>
        <w:rPr>
          <w:rFonts w:hint="eastAsia" w:ascii="宋体" w:hAnsi="宋体" w:eastAsia="宋体" w:cs="宋体"/>
          <w:b/>
          <w:kern w:val="0"/>
          <w:sz w:val="21"/>
          <w:szCs w:val="21"/>
        </w:rPr>
        <w:t>（1）需要落实的政府采购政策：</w:t>
      </w:r>
      <w:r>
        <w:rPr>
          <w:rFonts w:hint="eastAsia" w:ascii="宋体" w:hAnsi="宋体" w:eastAsia="宋体" w:cs="宋体"/>
          <w:kern w:val="0"/>
          <w:sz w:val="21"/>
          <w:szCs w:val="21"/>
        </w:rPr>
        <w:t>包括节约资源、保护环境、</w:t>
      </w:r>
      <w:r>
        <w:rPr>
          <w:rFonts w:hint="eastAsia" w:ascii="宋体" w:hAnsi="宋体" w:eastAsia="宋体" w:cs="宋体"/>
          <w:sz w:val="21"/>
          <w:szCs w:val="21"/>
        </w:rPr>
        <w:t>支持创新、</w:t>
      </w:r>
      <w:r>
        <w:rPr>
          <w:rFonts w:hint="eastAsia" w:ascii="宋体" w:hAnsi="宋体" w:eastAsia="宋体" w:cs="宋体"/>
          <w:kern w:val="0"/>
          <w:sz w:val="21"/>
          <w:szCs w:val="21"/>
        </w:rPr>
        <w:t>促进中小企业发展等，详见磋商文件第</w:t>
      </w:r>
      <w:r>
        <w:rPr>
          <w:rFonts w:hint="eastAsia" w:ascii="宋体" w:hAnsi="宋体" w:eastAsia="宋体" w:cs="宋体"/>
          <w:kern w:val="0"/>
          <w:sz w:val="21"/>
          <w:szCs w:val="21"/>
          <w:lang w:val="en-US" w:eastAsia="zh-CN"/>
        </w:rPr>
        <w:t>二</w:t>
      </w:r>
      <w:r>
        <w:rPr>
          <w:rFonts w:hint="eastAsia" w:ascii="宋体" w:hAnsi="宋体" w:eastAsia="宋体" w:cs="宋体"/>
          <w:kern w:val="0"/>
          <w:sz w:val="21"/>
          <w:szCs w:val="21"/>
        </w:rPr>
        <w:t>部分总则。</w:t>
      </w:r>
    </w:p>
    <w:p w14:paraId="1B2E1CC7">
      <w:pPr>
        <w:spacing w:line="360" w:lineRule="auto"/>
        <w:ind w:firstLine="422" w:firstLineChars="200"/>
        <w:rPr>
          <w:rFonts w:hint="eastAsia" w:ascii="宋体" w:hAnsi="宋体" w:eastAsia="宋体" w:cs="宋体"/>
          <w:sz w:val="21"/>
          <w:szCs w:val="21"/>
        </w:rPr>
      </w:pPr>
      <w:r>
        <w:rPr>
          <w:rFonts w:hint="eastAsia" w:ascii="宋体" w:hAnsi="宋体" w:eastAsia="宋体" w:cs="宋体"/>
          <w:b/>
          <w:kern w:val="0"/>
          <w:sz w:val="21"/>
          <w:szCs w:val="21"/>
        </w:rPr>
        <w:t>（2）</w:t>
      </w:r>
      <w:r>
        <w:rPr>
          <w:rFonts w:hint="eastAsia" w:ascii="宋体" w:hAnsi="宋体" w:eastAsia="宋体" w:cs="宋体"/>
          <w:b/>
          <w:sz w:val="21"/>
          <w:szCs w:val="21"/>
        </w:rPr>
        <w:t xml:space="preserve">电子交易的说明: </w:t>
      </w:r>
      <w:r>
        <w:rPr>
          <w:rFonts w:hint="eastAsia" w:ascii="宋体" w:hAnsi="宋体" w:eastAsia="宋体" w:cs="宋体"/>
          <w:b w:val="0"/>
          <w:bCs/>
          <w:sz w:val="21"/>
          <w:szCs w:val="21"/>
        </w:rPr>
        <w:t>1）电子交易：本项目以数据电文形式，依托“政府采购云平台（www.zcygov.cn）”进行采购活动，不接受纸质</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的制作：在“政采云电子交易客户端”中完成“填写基本信息”、“导入</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的传输提交：供应商在提交</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的截止时间前将加密的</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（文件后缀为：jmbs）上传至政府采购云平台，还可以在提交</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的截止时间前直接提交或者以邮政快递方式提交备份</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1份。备份</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的制作、存储、密封详见磋商文件第</w:t>
      </w:r>
      <w:r>
        <w:rPr>
          <w:rFonts w:hint="eastAsia" w:ascii="宋体" w:hAnsi="宋体" w:eastAsia="宋体" w:cs="宋体"/>
          <w:b w:val="0"/>
          <w:bCs/>
          <w:sz w:val="21"/>
          <w:szCs w:val="21"/>
          <w:lang w:val="en-US" w:eastAsia="zh-CN"/>
        </w:rPr>
        <w:t>二</w:t>
      </w:r>
      <w:r>
        <w:rPr>
          <w:rFonts w:hint="eastAsia" w:ascii="宋体" w:hAnsi="宋体" w:eastAsia="宋体" w:cs="宋体"/>
          <w:b w:val="0"/>
          <w:bCs/>
          <w:sz w:val="21"/>
          <w:szCs w:val="21"/>
        </w:rPr>
        <w:t>部分 “备份</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”；9）</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的解密：供应商按照平台提示和磋商文件的规定在半小时内完成在线解密。通过“政府采购云平台”上传递交的</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无法按时解密，供应商递交了备份</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的，以备份</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为依据，否则视为</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撤回。通过“政府采购云平台”上传提交的</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已按时解密的，备份</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自动失效。供应商仅提交备份</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，没有在电子交易平台传输提交</w:t>
      </w:r>
      <w:r>
        <w:rPr>
          <w:rFonts w:hint="eastAsia" w:ascii="宋体" w:hAnsi="宋体" w:cs="宋体"/>
          <w:b w:val="0"/>
          <w:bCs/>
          <w:sz w:val="21"/>
          <w:szCs w:val="21"/>
          <w:lang w:eastAsia="zh-CN"/>
        </w:rPr>
        <w:t>响应文件</w:t>
      </w:r>
      <w:r>
        <w:rPr>
          <w:rFonts w:hint="eastAsia" w:ascii="宋体" w:hAnsi="宋体" w:eastAsia="宋体" w:cs="宋体"/>
          <w:b w:val="0"/>
          <w:bCs/>
          <w:sz w:val="21"/>
          <w:szCs w:val="21"/>
        </w:rPr>
        <w:t>的，响应无效；10）具体操作指南：详见政采云平台“服务中心-帮助文档-项目采购-操作流程-电子招投标-政府采</w:t>
      </w:r>
      <w:r>
        <w:rPr>
          <w:rFonts w:hint="eastAsia" w:ascii="宋体" w:hAnsi="宋体" w:eastAsia="宋体" w:cs="宋体"/>
          <w:sz w:val="21"/>
          <w:szCs w:val="21"/>
        </w:rPr>
        <w:t>购项目电子交易管理操作指南-供应商”。</w:t>
      </w:r>
    </w:p>
    <w:p w14:paraId="379C045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（3）磋商文件公告期限与磋商公告的公告期限一致。</w:t>
      </w:r>
    </w:p>
    <w:p w14:paraId="52E089D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（4）本《第一部分  竞争性磋商公告》中二、申请人的资格要求：第一条中的“重大税收违法案件当事人名单”即为“重大税收违法失信主体”。</w:t>
      </w:r>
    </w:p>
    <w:p w14:paraId="6AB9107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（5）本公告发布媒体：浙江政府采购网（www.zjzfcg.gov.cn）、宁波政府采购(www.nbzfcg.cn)、宁波公共资源交易电子服务系统。</w:t>
      </w:r>
    </w:p>
    <w:p w14:paraId="513ED1AD">
      <w:pPr>
        <w:tabs>
          <w:tab w:val="left" w:pos="432"/>
        </w:tabs>
        <w:spacing w:line="360" w:lineRule="auto"/>
        <w:ind w:left="432" w:hanging="432"/>
        <w:rPr>
          <w:rFonts w:hint="eastAsia" w:ascii="宋体" w:hAnsi="宋体" w:eastAsia="宋体" w:cs="宋体"/>
          <w:sz w:val="21"/>
          <w:szCs w:val="21"/>
        </w:rPr>
      </w:pPr>
      <w:bookmarkStart w:id="34" w:name="_Toc35393636"/>
      <w:bookmarkStart w:id="35" w:name="_Toc35393805"/>
      <w:bookmarkStart w:id="36" w:name="_Toc28359018"/>
      <w:bookmarkStart w:id="37" w:name="_Toc28359095"/>
      <w:r>
        <w:rPr>
          <w:rFonts w:hint="eastAsia" w:ascii="宋体" w:hAnsi="宋体" w:cs="宋体"/>
          <w:sz w:val="21"/>
          <w:szCs w:val="21"/>
          <w:lang w:val="en-US" w:eastAsia="zh-CN"/>
        </w:rPr>
        <w:t>七</w:t>
      </w:r>
      <w:r>
        <w:rPr>
          <w:rFonts w:hint="eastAsia" w:ascii="宋体" w:hAnsi="宋体" w:eastAsia="宋体" w:cs="宋体"/>
          <w:sz w:val="21"/>
          <w:szCs w:val="21"/>
        </w:rPr>
        <w:t>、凡对本次采购提出询问、质疑、投诉，请按以下方式联系</w:t>
      </w:r>
      <w:bookmarkEnd w:id="34"/>
      <w:bookmarkEnd w:id="35"/>
      <w:bookmarkEnd w:id="36"/>
      <w:bookmarkEnd w:id="37"/>
    </w:p>
    <w:p w14:paraId="33E7EDA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1.采购人信息</w:t>
      </w:r>
    </w:p>
    <w:p w14:paraId="5AA6CA46">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eastAsia="zh-CN"/>
        </w:rPr>
        <w:t>宁海县民政局</w:t>
      </w:r>
    </w:p>
    <w:p w14:paraId="6AC1443D">
      <w:pPr>
        <w:spacing w:line="360" w:lineRule="auto"/>
        <w:ind w:firstLine="420" w:firstLineChars="200"/>
        <w:rPr>
          <w:rFonts w:hint="eastAsia" w:cs="Times New Roman"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rPr>
        <w:t>地址：</w:t>
      </w:r>
      <w:r>
        <w:rPr>
          <w:rFonts w:hint="eastAsia" w:asciiTheme="minorEastAsia" w:hAnsiTheme="minorEastAsia" w:eastAsiaTheme="minorEastAsia"/>
          <w:sz w:val="21"/>
          <w:szCs w:val="21"/>
          <w:lang w:eastAsia="zh-CN"/>
        </w:rPr>
        <w:t>宁</w:t>
      </w:r>
      <w:r>
        <w:rPr>
          <w:rFonts w:hint="eastAsia" w:asciiTheme="minorEastAsia" w:hAnsiTheme="minorEastAsia" w:eastAsiaTheme="minorEastAsia"/>
          <w:sz w:val="21"/>
          <w:szCs w:val="21"/>
          <w:highlight w:val="none"/>
          <w:lang w:eastAsia="zh-CN"/>
        </w:rPr>
        <w:t>海县桃源大厦A座</w:t>
      </w:r>
    </w:p>
    <w:p w14:paraId="10E4CD23">
      <w:pPr>
        <w:spacing w:line="360" w:lineRule="auto"/>
        <w:ind w:firstLine="420" w:firstLineChars="200"/>
        <w:rPr>
          <w:rFonts w:hint="default" w:asciiTheme="minorEastAsia" w:hAnsiTheme="minorEastAsia" w:eastAsiaTheme="minorEastAsia"/>
          <w:sz w:val="21"/>
          <w:szCs w:val="21"/>
          <w:highlight w:val="none"/>
          <w:lang w:val="en-US"/>
        </w:rPr>
      </w:pPr>
      <w:r>
        <w:rPr>
          <w:rFonts w:hint="eastAsia" w:asciiTheme="minorEastAsia" w:hAnsiTheme="minorEastAsia" w:eastAsiaTheme="minorEastAsia"/>
          <w:sz w:val="21"/>
          <w:szCs w:val="21"/>
          <w:highlight w:val="none"/>
        </w:rPr>
        <w:t>项目联系人：</w:t>
      </w:r>
      <w:r>
        <w:rPr>
          <w:rFonts w:hint="eastAsia" w:asciiTheme="minorEastAsia" w:hAnsiTheme="minorEastAsia" w:eastAsiaTheme="minorEastAsia"/>
          <w:sz w:val="21"/>
          <w:szCs w:val="21"/>
          <w:highlight w:val="none"/>
          <w:lang w:val="en-US" w:eastAsia="zh-CN"/>
        </w:rPr>
        <w:t>谢主任</w:t>
      </w:r>
    </w:p>
    <w:p w14:paraId="71A0D986">
      <w:pPr>
        <w:spacing w:line="360" w:lineRule="auto"/>
        <w:ind w:firstLine="420" w:firstLineChars="200"/>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项目联系方式：</w:t>
      </w:r>
      <w:r>
        <w:rPr>
          <w:rFonts w:hint="eastAsia" w:asciiTheme="minorEastAsia" w:hAnsiTheme="minorEastAsia" w:eastAsiaTheme="minorEastAsia"/>
          <w:sz w:val="21"/>
          <w:szCs w:val="21"/>
          <w:highlight w:val="none"/>
          <w:lang w:val="en-US" w:eastAsia="zh-CN"/>
        </w:rPr>
        <w:t>0574-</w:t>
      </w:r>
      <w:r>
        <w:rPr>
          <w:rFonts w:hint="eastAsia" w:asciiTheme="minorEastAsia" w:hAnsiTheme="minorEastAsia" w:eastAsiaTheme="minorEastAsia"/>
          <w:sz w:val="21"/>
          <w:szCs w:val="21"/>
          <w:highlight w:val="none"/>
        </w:rPr>
        <w:t>65531212</w:t>
      </w:r>
    </w:p>
    <w:p w14:paraId="3E1AD85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2.采购代理机构信息</w:t>
      </w:r>
    </w:p>
    <w:p w14:paraId="1DCFE72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w:t>
      </w:r>
      <w:r>
        <w:rPr>
          <w:rFonts w:hint="eastAsia" w:eastAsiaTheme="minorEastAsia"/>
          <w:szCs w:val="21"/>
          <w:lang w:eastAsia="zh-CN"/>
        </w:rPr>
        <w:t>浙江天诚工程咨询有限公司</w:t>
      </w:r>
      <w:r>
        <w:rPr>
          <w:rFonts w:hint="eastAsia" w:asciiTheme="minorEastAsia" w:hAnsiTheme="minorEastAsia" w:eastAsiaTheme="minorEastAsia"/>
          <w:szCs w:val="21"/>
        </w:rPr>
        <w:t xml:space="preserve"> </w:t>
      </w:r>
    </w:p>
    <w:p w14:paraId="1E493F24">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地址：</w:t>
      </w:r>
      <w:r>
        <w:rPr>
          <w:rFonts w:hint="eastAsia" w:asciiTheme="minorEastAsia" w:hAnsiTheme="minorEastAsia" w:eastAsiaTheme="minorEastAsia"/>
          <w:szCs w:val="21"/>
          <w:lang w:eastAsia="zh-CN"/>
        </w:rPr>
        <w:t>宁海县紫园大厦13楼</w:t>
      </w:r>
    </w:p>
    <w:p w14:paraId="4C1EC8EA">
      <w:pPr>
        <w:spacing w:line="360" w:lineRule="auto"/>
        <w:ind w:firstLine="420" w:firstLineChars="200"/>
        <w:rPr>
          <w:rFonts w:hint="default" w:eastAsiaTheme="minorEastAsia"/>
          <w:szCs w:val="21"/>
          <w:lang w:val="en-US" w:eastAsia="zh-CN"/>
        </w:rPr>
      </w:pPr>
      <w:r>
        <w:rPr>
          <w:rFonts w:hint="eastAsia" w:asciiTheme="minorEastAsia" w:hAnsiTheme="minorEastAsia" w:eastAsiaTheme="minorEastAsia"/>
          <w:szCs w:val="21"/>
        </w:rPr>
        <w:t>项目联系人：</w:t>
      </w:r>
      <w:r>
        <w:rPr>
          <w:rFonts w:hint="eastAsia" w:eastAsiaTheme="minorEastAsia"/>
          <w:szCs w:val="21"/>
          <w:lang w:val="en-US" w:eastAsia="zh-CN"/>
        </w:rPr>
        <w:t>胡韬宇</w:t>
      </w:r>
    </w:p>
    <w:p w14:paraId="1672D802">
      <w:pPr>
        <w:spacing w:line="360" w:lineRule="auto"/>
        <w:ind w:firstLine="420" w:firstLineChars="200"/>
        <w:rPr>
          <w:rFonts w:hint="eastAsia" w:cs="Times New Roman" w:asciiTheme="minorEastAsia" w:hAnsiTheme="minorEastAsia" w:eastAsiaTheme="minorEastAsia"/>
          <w:szCs w:val="21"/>
        </w:rPr>
      </w:pPr>
      <w:r>
        <w:rPr>
          <w:rFonts w:hint="eastAsia" w:asciiTheme="minorEastAsia" w:hAnsiTheme="minorEastAsia" w:eastAsiaTheme="minorEastAsia"/>
          <w:szCs w:val="21"/>
        </w:rPr>
        <w:t>项目联系方式</w:t>
      </w:r>
      <w:r>
        <w:rPr>
          <w:rFonts w:hint="eastAsia" w:ascii="Times New Roman" w:hAnsi="Times New Roman" w:eastAsia="宋体" w:cs="Times New Roman"/>
          <w:szCs w:val="21"/>
        </w:rPr>
        <w:t>：</w:t>
      </w:r>
      <w:r>
        <w:rPr>
          <w:rFonts w:hint="eastAsia" w:cs="Times New Roman" w:asciiTheme="minorEastAsia" w:hAnsiTheme="minorEastAsia" w:eastAsiaTheme="minorEastAsia"/>
          <w:szCs w:val="21"/>
          <w:lang w:val="en-US" w:eastAsia="zh-CN"/>
        </w:rPr>
        <w:t>18758356336</w:t>
      </w:r>
      <w:r>
        <w:rPr>
          <w:rFonts w:hint="eastAsia" w:cs="Times New Roman" w:asciiTheme="minorEastAsia" w:hAnsiTheme="minorEastAsia" w:eastAsiaTheme="minorEastAsia"/>
          <w:szCs w:val="21"/>
        </w:rPr>
        <w:t xml:space="preserve"> </w:t>
      </w:r>
    </w:p>
    <w:p w14:paraId="535F6989">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质疑联系人：许丹 </w:t>
      </w:r>
    </w:p>
    <w:p w14:paraId="5CFFB589">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 xml:space="preserve">  质疑联系方式：0574-87939871</w:t>
      </w:r>
    </w:p>
    <w:p w14:paraId="7C918AB8">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3.同级政府采购监督管理部门</w:t>
      </w:r>
    </w:p>
    <w:p w14:paraId="2AD58CD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称：宁海县政府采购管理办公室</w:t>
      </w:r>
    </w:p>
    <w:p w14:paraId="5C63551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址：宁海县跃龙街道桃源中路218号</w:t>
      </w:r>
    </w:p>
    <w:p w14:paraId="463DD45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联系人：王老师</w:t>
      </w:r>
    </w:p>
    <w:p w14:paraId="63BAB1E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投诉电话：0574-65265668</w:t>
      </w:r>
    </w:p>
    <w:p w14:paraId="34896BD6">
      <w:pPr>
        <w:spacing w:line="360" w:lineRule="auto"/>
        <w:ind w:firstLine="420" w:firstLineChars="200"/>
        <w:rPr>
          <w:rFonts w:hint="eastAsia" w:ascii="宋体" w:hAnsi="宋体" w:eastAsia="宋体" w:cs="宋体"/>
          <w:sz w:val="21"/>
          <w:szCs w:val="21"/>
        </w:rPr>
      </w:pPr>
    </w:p>
    <w:p w14:paraId="352D536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若对项目采购电子交易系统操作有疑问，可登录政采云（https://www.zcygov.cn/），点击右侧咨询小采，获取采小蜜智能服务管家帮助，或拨打政采云服务热线“95763”获取热线服务帮助。</w:t>
      </w:r>
    </w:p>
    <w:p w14:paraId="630B9CF6">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CA问题联系电话（人工）：汇信CA 400-888-4636；天谷CA 400-087-8198。</w:t>
      </w:r>
      <w:bookmarkStart w:id="38" w:name="_Toc2540"/>
    </w:p>
    <w:p w14:paraId="6ACBBE63">
      <w:pPr>
        <w:rPr>
          <w:rFonts w:hint="eastAsia" w:ascii="宋体" w:hAnsi="宋体" w:eastAsia="宋体" w:cs="宋体"/>
          <w:b/>
          <w:sz w:val="36"/>
          <w:szCs w:val="20"/>
        </w:rPr>
      </w:pPr>
      <w:r>
        <w:rPr>
          <w:rFonts w:hint="eastAsia" w:ascii="宋体" w:hAnsi="宋体" w:eastAsia="宋体" w:cs="宋体"/>
          <w:b/>
          <w:sz w:val="36"/>
          <w:szCs w:val="20"/>
        </w:rPr>
        <w:br w:type="page"/>
      </w:r>
    </w:p>
    <w:p w14:paraId="50686273">
      <w:pPr>
        <w:pStyle w:val="22"/>
        <w:rPr>
          <w:rFonts w:hint="eastAsia" w:ascii="宋体" w:hAnsi="宋体" w:eastAsia="宋体" w:cs="宋体"/>
          <w:color w:val="000000"/>
          <w:sz w:val="21"/>
          <w:szCs w:val="21"/>
          <w:highlight w:val="none"/>
        </w:rPr>
      </w:pPr>
    </w:p>
    <w:p w14:paraId="3B60D3C9">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w:t>
      </w:r>
      <w:r>
        <w:rPr>
          <w:rFonts w:hint="eastAsia" w:ascii="宋体" w:hAnsi="宋体" w:eastAsia="宋体" w:cs="宋体"/>
          <w:b/>
          <w:sz w:val="36"/>
          <w:szCs w:val="20"/>
          <w:lang w:val="en-US" w:eastAsia="zh-CN"/>
        </w:rPr>
        <w:t>二</w:t>
      </w:r>
      <w:r>
        <w:rPr>
          <w:rFonts w:hint="eastAsia" w:ascii="宋体" w:hAnsi="宋体" w:eastAsia="宋体" w:cs="宋体"/>
          <w:b/>
          <w:sz w:val="36"/>
          <w:szCs w:val="20"/>
        </w:rPr>
        <w:t xml:space="preserve">部分 </w:t>
      </w:r>
      <w:r>
        <w:rPr>
          <w:rFonts w:hint="eastAsia" w:ascii="宋体" w:hAnsi="宋体" w:eastAsia="宋体" w:cs="宋体"/>
          <w:b/>
          <w:color w:val="000000"/>
          <w:sz w:val="36"/>
          <w:szCs w:val="36"/>
          <w:highlight w:val="none"/>
        </w:rPr>
        <w:t>竞争性磋商须知及前附表</w:t>
      </w:r>
    </w:p>
    <w:p w14:paraId="25FAF57E">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0EC82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CA7E197">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C0B7D78">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72A7DCD">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本项目的特别规定</w:t>
            </w:r>
          </w:p>
        </w:tc>
      </w:tr>
      <w:tr w14:paraId="78FD8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2B8CD2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96C2A55">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8E81451">
            <w:pPr>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1"/>
                <w:szCs w:val="21"/>
                <w:highlight w:val="none"/>
                <w:lang w:val="en-US" w:eastAsia="zh-CN" w:bidi="ar-SA"/>
              </w:rPr>
            </w:pPr>
            <w:r>
              <w:rPr>
                <w:rFonts w:hint="eastAsia" w:ascii="宋体" w:hAnsi="宋体" w:eastAsia="宋体" w:cs="宋体"/>
                <w:kern w:val="0"/>
                <w:sz w:val="21"/>
                <w:szCs w:val="21"/>
                <w:u w:val="single"/>
              </w:rPr>
              <w:t>工程</w:t>
            </w:r>
            <w:r>
              <w:rPr>
                <w:rFonts w:hint="eastAsia" w:ascii="宋体" w:hAnsi="宋体" w:eastAsia="宋体" w:cs="宋体"/>
                <w:sz w:val="21"/>
                <w:szCs w:val="21"/>
              </w:rPr>
              <w:t>类</w:t>
            </w:r>
          </w:p>
        </w:tc>
      </w:tr>
      <w:tr w14:paraId="1A1E7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5B6552C3">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p>
          <w:p w14:paraId="408A8ED6">
            <w:pPr>
              <w:keepNext w:val="0"/>
              <w:keepLines w:val="0"/>
              <w:pageBreakBefore w:val="0"/>
              <w:kinsoku/>
              <w:wordWrap/>
              <w:overflowPunct/>
              <w:topLinePunct w:val="0"/>
              <w:bidi w:val="0"/>
              <w:snapToGrid w:val="0"/>
              <w:spacing w:line="320" w:lineRule="exact"/>
              <w:jc w:val="both"/>
              <w:rPr>
                <w:rFonts w:hint="eastAsia" w:ascii="宋体" w:hAnsi="宋体" w:eastAsia="宋体" w:cs="宋体"/>
                <w:color w:val="auto"/>
                <w:sz w:val="21"/>
                <w:szCs w:val="21"/>
                <w:highlight w:val="none"/>
                <w:lang w:val="en-US" w:eastAsia="zh-CN"/>
              </w:rPr>
            </w:pPr>
          </w:p>
          <w:p w14:paraId="7D820855">
            <w:pPr>
              <w:keepNext w:val="0"/>
              <w:keepLines w:val="0"/>
              <w:pageBreakBefore w:val="0"/>
              <w:kinsoku/>
              <w:wordWrap/>
              <w:overflowPunct/>
              <w:topLinePunct w:val="0"/>
              <w:bidi w:val="0"/>
              <w:snapToGrid w:val="0"/>
              <w:spacing w:line="320" w:lineRule="exact"/>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8F8BA47">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DCE4648">
            <w:pPr>
              <w:keepNext w:val="0"/>
              <w:keepLines w:val="0"/>
              <w:pageBreakBefore w:val="0"/>
              <w:kinsoku/>
              <w:wordWrap/>
              <w:overflowPunct/>
              <w:topLinePunct w:val="0"/>
              <w:bidi w:val="0"/>
              <w:snapToGrid w:val="0"/>
              <w:spacing w:line="320" w:lineRule="exact"/>
              <w:jc w:val="left"/>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标的：</w:t>
            </w:r>
            <w:r>
              <w:rPr>
                <w:rFonts w:hint="eastAsia" w:ascii="宋体" w:hAnsi="宋体" w:cs="宋体"/>
                <w:kern w:val="0"/>
                <w:sz w:val="21"/>
                <w:szCs w:val="21"/>
                <w:u w:val="single"/>
                <w:lang w:val="en-US" w:eastAsia="zh-CN"/>
              </w:rPr>
              <w:t>宁海县殡仪馆提升扩容工程（重发）</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属于</w:t>
            </w:r>
            <w:r>
              <w:rPr>
                <w:rFonts w:hint="eastAsia" w:ascii="宋体" w:hAnsi="宋体" w:eastAsia="宋体" w:cs="宋体"/>
                <w:color w:val="auto"/>
                <w:kern w:val="0"/>
                <w:sz w:val="21"/>
                <w:szCs w:val="21"/>
                <w:highlight w:val="none"/>
                <w:u w:val="single"/>
                <w:lang w:val="en-US" w:eastAsia="zh-CN"/>
              </w:rPr>
              <w:t>建筑业</w:t>
            </w:r>
            <w:r>
              <w:rPr>
                <w:rFonts w:hint="eastAsia" w:ascii="宋体" w:hAnsi="宋体" w:eastAsia="宋体" w:cs="宋体"/>
                <w:color w:val="auto"/>
                <w:kern w:val="0"/>
                <w:sz w:val="21"/>
                <w:szCs w:val="21"/>
                <w:highlight w:val="none"/>
                <w:lang w:val="zh-CN"/>
              </w:rPr>
              <w:t>行业；</w:t>
            </w:r>
          </w:p>
        </w:tc>
      </w:tr>
      <w:tr w14:paraId="2B1E9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5C1D40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11247E9">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1AC824E">
            <w:pPr>
              <w:keepNext w:val="0"/>
              <w:keepLines w:val="0"/>
              <w:pageBreakBefore w:val="0"/>
              <w:kinsoku/>
              <w:wordWrap/>
              <w:overflowPunct/>
              <w:topLinePunct w:val="0"/>
              <w:bidi w:val="0"/>
              <w:spacing w:line="320" w:lineRule="exact"/>
              <w:rPr>
                <w:rFonts w:hint="eastAsia" w:ascii="宋体" w:hAnsi="宋体" w:eastAsia="宋体" w:cs="宋体"/>
                <w:kern w:val="0"/>
                <w:sz w:val="21"/>
                <w:szCs w:val="21"/>
              </w:rPr>
            </w:pPr>
            <w:sdt>
              <w:sdtPr>
                <w:rPr>
                  <w:rFonts w:hint="eastAsia" w:ascii="宋体" w:hAnsi="宋体" w:eastAsia="宋体" w:cs="宋体"/>
                  <w:kern w:val="0"/>
                  <w:sz w:val="21"/>
                  <w:szCs w:val="21"/>
                </w:rPr>
                <w:id w:val="147467546"/>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sym w:font="Wingdings" w:char="F0FE"/>
                </w:r>
              </w:sdtContent>
            </w:sdt>
            <w:r>
              <w:rPr>
                <w:rFonts w:hint="eastAsia" w:ascii="宋体" w:hAnsi="宋体" w:eastAsia="宋体" w:cs="宋体"/>
                <w:kern w:val="0"/>
                <w:sz w:val="21"/>
                <w:szCs w:val="21"/>
              </w:rPr>
              <w:t>本项目不允许采购进口产品。</w:t>
            </w:r>
          </w:p>
          <w:p w14:paraId="51EC53F8">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lang w:val="en-US" w:eastAsia="zh-CN"/>
              </w:rPr>
            </w:pPr>
            <w:sdt>
              <w:sdtPr>
                <w:rPr>
                  <w:rFonts w:hint="eastAsia" w:ascii="宋体" w:hAnsi="宋体" w:eastAsia="宋体" w:cs="宋体"/>
                  <w:kern w:val="0"/>
                  <w:sz w:val="21"/>
                  <w:szCs w:val="21"/>
                </w:rPr>
                <w:id w:val="147460722"/>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可以就</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采购进口产品。</w:t>
            </w:r>
          </w:p>
        </w:tc>
      </w:tr>
      <w:tr w14:paraId="4E26A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FD2682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5BFCE75">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667BD58">
            <w:pPr>
              <w:keepNext w:val="0"/>
              <w:keepLines w:val="0"/>
              <w:pageBreakBefore w:val="0"/>
              <w:kinsoku/>
              <w:wordWrap/>
              <w:overflowPunct/>
              <w:topLinePunct w:val="0"/>
              <w:bidi w:val="0"/>
              <w:spacing w:line="320" w:lineRule="exact"/>
              <w:rPr>
                <w:rFonts w:hint="eastAsia" w:ascii="宋体" w:hAnsi="宋体" w:eastAsia="宋体" w:cs="宋体"/>
                <w:sz w:val="21"/>
                <w:szCs w:val="21"/>
              </w:rPr>
            </w:pPr>
            <w:sdt>
              <w:sdtPr>
                <w:rPr>
                  <w:rFonts w:hint="eastAsia" w:ascii="宋体" w:hAnsi="宋体" w:eastAsia="宋体" w:cs="宋体"/>
                  <w:kern w:val="0"/>
                  <w:sz w:val="21"/>
                  <w:szCs w:val="21"/>
                </w:rPr>
                <w:id w:val="147460082"/>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lang w:val="en-US" w:eastAsia="zh-CN" w:bidi="ar-SA"/>
                  </w:rPr>
                  <w:t>☐</w:t>
                </w:r>
              </w:sdtContent>
            </w:sdt>
            <w:r>
              <w:rPr>
                <w:rFonts w:hint="eastAsia" w:ascii="宋体" w:hAnsi="宋体" w:eastAsia="宋体" w:cs="宋体"/>
                <w:kern w:val="0"/>
                <w:sz w:val="21"/>
                <w:szCs w:val="21"/>
              </w:rPr>
              <w:t xml:space="preserve"> A</w:t>
            </w:r>
            <w:r>
              <w:rPr>
                <w:rFonts w:hint="eastAsia" w:ascii="宋体" w:hAnsi="宋体" w:eastAsia="宋体" w:cs="宋体"/>
                <w:sz w:val="21"/>
                <w:szCs w:val="21"/>
              </w:rPr>
              <w:t>同意将非主体、非关键性的</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工作分包。</w:t>
            </w:r>
          </w:p>
          <w:p w14:paraId="0053C18E">
            <w:pPr>
              <w:keepNext w:val="0"/>
              <w:keepLines w:val="0"/>
              <w:pageBreakBefore w:val="0"/>
              <w:kinsoku/>
              <w:wordWrap/>
              <w:overflowPunct/>
              <w:topLinePunct w:val="0"/>
              <w:bidi w:val="0"/>
              <w:spacing w:line="320" w:lineRule="exact"/>
              <w:rPr>
                <w:rFonts w:hint="eastAsia" w:ascii="宋体" w:hAnsi="宋体" w:eastAsia="宋体" w:cs="宋体"/>
                <w:sz w:val="21"/>
                <w:szCs w:val="21"/>
              </w:rPr>
            </w:pPr>
            <w:sdt>
              <w:sdtPr>
                <w:rPr>
                  <w:rFonts w:hint="eastAsia" w:ascii="宋体" w:hAnsi="宋体" w:eastAsia="宋体" w:cs="宋体"/>
                  <w:kern w:val="0"/>
                  <w:sz w:val="21"/>
                  <w:szCs w:val="21"/>
                </w:rPr>
                <w:id w:val="147478054"/>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kern w:val="0"/>
                <w:sz w:val="21"/>
                <w:szCs w:val="21"/>
              </w:rPr>
              <w:t xml:space="preserve"> B</w:t>
            </w:r>
            <w:r>
              <w:rPr>
                <w:rFonts w:hint="eastAsia" w:ascii="宋体" w:hAnsi="宋体" w:eastAsia="宋体" w:cs="宋体"/>
                <w:sz w:val="21"/>
                <w:szCs w:val="21"/>
              </w:rPr>
              <w:t>不同意分包，具体理由：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72E1DDF">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注：不得限制大中型企业向小微企业合理分包。</w:t>
            </w:r>
          </w:p>
        </w:tc>
      </w:tr>
      <w:tr w14:paraId="7A986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DC972ED">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B955605">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BFC17A2">
            <w:pPr>
              <w:keepNext w:val="0"/>
              <w:keepLines w:val="0"/>
              <w:pageBreakBefore w:val="0"/>
              <w:kinsoku/>
              <w:wordWrap/>
              <w:overflowPunct/>
              <w:topLinePunct w:val="0"/>
              <w:bidi w:val="0"/>
              <w:spacing w:line="320" w:lineRule="exact"/>
              <w:rPr>
                <w:rFonts w:hint="eastAsia" w:ascii="宋体" w:hAnsi="宋体" w:eastAsia="宋体" w:cs="宋体"/>
                <w:sz w:val="21"/>
                <w:szCs w:val="21"/>
              </w:rPr>
            </w:pPr>
            <w:sdt>
              <w:sdtPr>
                <w:rPr>
                  <w:rFonts w:hint="eastAsia" w:ascii="宋体" w:hAnsi="宋体" w:eastAsia="宋体" w:cs="宋体"/>
                  <w:kern w:val="0"/>
                  <w:sz w:val="21"/>
                  <w:szCs w:val="21"/>
                </w:rPr>
                <w:id w:val="147468673"/>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sym w:font="Wingdings" w:char="F0FE"/>
                </w:r>
              </w:sdtContent>
            </w:sdt>
            <w:r>
              <w:rPr>
                <w:rFonts w:hint="eastAsia" w:ascii="宋体" w:hAnsi="宋体" w:eastAsia="宋体" w:cs="宋体"/>
                <w:kern w:val="0"/>
                <w:sz w:val="21"/>
                <w:szCs w:val="21"/>
              </w:rPr>
              <w:t>A</w:t>
            </w:r>
            <w:r>
              <w:rPr>
                <w:rFonts w:hint="eastAsia" w:ascii="宋体" w:hAnsi="宋体" w:eastAsia="宋体" w:cs="宋体"/>
                <w:sz w:val="21"/>
                <w:szCs w:val="21"/>
              </w:rPr>
              <w:t>不组织。</w:t>
            </w:r>
          </w:p>
          <w:p w14:paraId="2CFC8674">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lang w:val="en-US" w:eastAsia="zh-CN"/>
              </w:rPr>
            </w:pPr>
            <w:sdt>
              <w:sdtPr>
                <w:rPr>
                  <w:rFonts w:hint="eastAsia" w:ascii="宋体" w:hAnsi="宋体" w:eastAsia="宋体" w:cs="宋体"/>
                  <w:kern w:val="0"/>
                  <w:sz w:val="21"/>
                  <w:szCs w:val="21"/>
                </w:rPr>
                <w:id w:val="147461980"/>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B组织，</w:t>
            </w:r>
            <w:r>
              <w:rPr>
                <w:rFonts w:hint="eastAsia" w:ascii="宋体" w:hAnsi="宋体" w:eastAsia="宋体" w:cs="宋体"/>
                <w:sz w:val="21"/>
                <w:szCs w:val="21"/>
              </w:rPr>
              <w:t>时间：</w:t>
            </w:r>
            <w:r>
              <w:rPr>
                <w:rFonts w:hint="eastAsia" w:ascii="宋体" w:hAnsi="宋体" w:eastAsia="宋体" w:cs="宋体"/>
                <w:sz w:val="21"/>
                <w:szCs w:val="21"/>
                <w:u w:val="single"/>
              </w:rPr>
              <w:t xml:space="preserve">      </w:t>
            </w:r>
            <w:r>
              <w:rPr>
                <w:rFonts w:hint="eastAsia" w:ascii="宋体" w:hAnsi="宋体" w:eastAsia="宋体" w:cs="宋体"/>
                <w:sz w:val="21"/>
                <w:szCs w:val="21"/>
              </w:rPr>
              <w:t>,地点：</w:t>
            </w:r>
            <w:r>
              <w:rPr>
                <w:rFonts w:hint="eastAsia" w:ascii="宋体" w:hAnsi="宋体" w:eastAsia="宋体" w:cs="宋体"/>
                <w:sz w:val="21"/>
                <w:szCs w:val="21"/>
                <w:u w:val="single"/>
              </w:rPr>
              <w:t xml:space="preserve">      </w:t>
            </w:r>
            <w:r>
              <w:rPr>
                <w:rFonts w:hint="eastAsia" w:ascii="宋体" w:hAnsi="宋体" w:eastAsia="宋体" w:cs="宋体"/>
                <w:sz w:val="21"/>
                <w:szCs w:val="21"/>
              </w:rPr>
              <w:t>，联系人：</w:t>
            </w:r>
            <w:r>
              <w:rPr>
                <w:rFonts w:hint="eastAsia" w:ascii="宋体" w:hAnsi="宋体" w:eastAsia="宋体" w:cs="宋体"/>
                <w:sz w:val="21"/>
                <w:szCs w:val="21"/>
                <w:u w:val="single"/>
              </w:rPr>
              <w:t xml:space="preserve">      </w:t>
            </w:r>
            <w:r>
              <w:rPr>
                <w:rFonts w:hint="eastAsia" w:ascii="宋体" w:hAnsi="宋体" w:eastAsia="宋体" w:cs="宋体"/>
                <w:sz w:val="21"/>
                <w:szCs w:val="21"/>
              </w:rPr>
              <w:t>，联系方式：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r>
      <w:tr w14:paraId="53657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4768D52">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05815FA">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1"/>
                <w:szCs w:val="21"/>
              </w:rPr>
            </w:pPr>
            <w:r>
              <w:rPr>
                <w:rFonts w:hint="eastAsia" w:ascii="宋体" w:hAnsi="宋体" w:eastAsia="宋体" w:cs="宋体"/>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3D6C3D7">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sym w:font="Wingdings" w:char="0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42411282">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B要求提供，</w:t>
            </w:r>
          </w:p>
          <w:p w14:paraId="6FA8F0F9">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D6800CB">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BE4B5BD">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62B5FA6F">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否；☐是，检测机构的要求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E419E73">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在上述时间内提供样品并按规定位置安装完毕。超过截止时间的，采购人或采购代理机构将不予接收，并将清场并封闭样品现场。</w:t>
            </w:r>
          </w:p>
          <w:p w14:paraId="2806A857">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人提供的样品，采购人、采购</w:t>
            </w:r>
            <w:r>
              <w:rPr>
                <w:rFonts w:hint="eastAsia" w:ascii="宋体" w:hAnsi="宋体" w:eastAsia="宋体" w:cs="宋体"/>
                <w:color w:val="auto"/>
                <w:sz w:val="21"/>
                <w:szCs w:val="21"/>
                <w:highlight w:val="none"/>
                <w:lang w:eastAsia="zh-CN"/>
              </w:rPr>
              <w:t>代理</w:t>
            </w:r>
            <w:r>
              <w:rPr>
                <w:rFonts w:hint="eastAsia" w:ascii="宋体" w:hAnsi="宋体" w:eastAsia="宋体" w:cs="宋体"/>
                <w:color w:val="auto"/>
                <w:sz w:val="21"/>
                <w:szCs w:val="21"/>
                <w:highlight w:val="none"/>
              </w:rPr>
              <w:t>机构将通知未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人在规定的时间内取回，逾期未取回的，采购人、采购</w:t>
            </w:r>
            <w:r>
              <w:rPr>
                <w:rFonts w:hint="eastAsia" w:ascii="宋体" w:hAnsi="宋体" w:eastAsia="宋体" w:cs="宋体"/>
                <w:color w:val="auto"/>
                <w:sz w:val="21"/>
                <w:szCs w:val="21"/>
                <w:highlight w:val="none"/>
                <w:lang w:eastAsia="zh-CN"/>
              </w:rPr>
              <w:t>代理</w:t>
            </w:r>
            <w:r>
              <w:rPr>
                <w:rFonts w:hint="eastAsia" w:ascii="宋体" w:hAnsi="宋体" w:eastAsia="宋体" w:cs="宋体"/>
                <w:color w:val="auto"/>
                <w:sz w:val="21"/>
                <w:szCs w:val="21"/>
                <w:highlight w:val="none"/>
              </w:rPr>
              <w:t>机构不负保管义务；对于</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人提供的样品，采购人将进行保管、封存，并作为履约验收的参考。</w:t>
            </w:r>
          </w:p>
          <w:p w14:paraId="6AEA116C">
            <w:pPr>
              <w:keepNext w:val="0"/>
              <w:keepLines w:val="0"/>
              <w:pageBreakBefore w:val="0"/>
              <w:kinsoku/>
              <w:wordWrap/>
              <w:overflowPunct/>
              <w:topLinePunct w:val="0"/>
              <w:bidi w:val="0"/>
              <w:spacing w:line="320" w:lineRule="exact"/>
              <w:rPr>
                <w:rFonts w:hint="eastAsia" w:ascii="宋体" w:hAnsi="宋体" w:eastAsia="宋体" w:cs="宋体"/>
                <w:kern w:val="0"/>
                <w:sz w:val="21"/>
                <w:szCs w:val="21"/>
              </w:rPr>
            </w:pPr>
            <w:r>
              <w:rPr>
                <w:rFonts w:hint="eastAsia" w:ascii="宋体" w:hAnsi="宋体" w:eastAsia="宋体" w:cs="宋体"/>
                <w:color w:val="auto"/>
                <w:sz w:val="21"/>
                <w:szCs w:val="21"/>
                <w:highlight w:val="none"/>
              </w:rPr>
              <w:t>（7）制作、运输、安装和保管样品所发生的一切费用由</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w:t>
            </w:r>
          </w:p>
        </w:tc>
      </w:tr>
      <w:tr w14:paraId="68D8D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479847A">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5C97C6E">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FAEF434">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sym w:font="Wingdings" w:char="00FE"/>
            </w:r>
            <w:r>
              <w:rPr>
                <w:rFonts w:hint="eastAsia" w:ascii="宋体" w:hAnsi="宋体" w:eastAsia="宋体" w:cs="宋体"/>
                <w:color w:val="auto"/>
                <w:sz w:val="21"/>
                <w:szCs w:val="21"/>
                <w:highlight w:val="none"/>
              </w:rPr>
              <w:t>不组织。</w:t>
            </w:r>
          </w:p>
          <w:p w14:paraId="77DF55B6">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☐B组织。</w:t>
            </w:r>
          </w:p>
          <w:p w14:paraId="364C6F4A">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rPr>
              <w:t>进行方案讲解演示。每个</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rPr>
              <w:t>时间不超过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分钟，讲解次序以</w:t>
            </w:r>
            <w:r>
              <w:rPr>
                <w:rFonts w:hint="eastAsia" w:ascii="宋体" w:hAnsi="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解密时间先后次序为准，讲解演示人员不超过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人。讲解演示结束后按要求解答</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提问。</w:t>
            </w:r>
          </w:p>
          <w:p w14:paraId="243C9DB8">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0FF1C454">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方式一：政采云平台在线讲解演示。政采云平台在线讲解需</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rPr>
              <w:t>根据政采云平台操作要求做好准备工作，提前完善软硬件配置环境。</w:t>
            </w:r>
          </w:p>
          <w:p w14:paraId="7AAAB77B">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方式二：交易中心现场讲解演示。现场讲解地点为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rPr>
              <w:t>自备。现场讲解演示人员进场时提供讲解人员名单（加盖公章）及身份证明，否则不得讲解演示。</w:t>
            </w:r>
          </w:p>
          <w:p w14:paraId="20F80C03">
            <w:pPr>
              <w:keepNext w:val="0"/>
              <w:keepLines w:val="0"/>
              <w:pageBreakBefore w:val="0"/>
              <w:kinsoku/>
              <w:wordWrap/>
              <w:overflowPunct/>
              <w:topLinePunct w:val="0"/>
              <w:bidi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注：因</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08702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EB3BBD6">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EE7CA66">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78B87C8">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：见</w:t>
            </w:r>
            <w:r>
              <w:rPr>
                <w:rFonts w:hint="eastAsia" w:ascii="宋体" w:hAnsi="宋体" w:eastAsia="宋体" w:cs="宋体"/>
                <w:color w:val="auto"/>
                <w:kern w:val="0"/>
                <w:sz w:val="21"/>
                <w:szCs w:val="21"/>
                <w:highlight w:val="none"/>
                <w:lang w:val="zh-CN"/>
              </w:rPr>
              <w:t>“采购公告”第二条申请人的资格要求</w:t>
            </w:r>
            <w:r>
              <w:rPr>
                <w:rFonts w:hint="eastAsia" w:ascii="宋体" w:hAnsi="宋体" w:eastAsia="宋体" w:cs="宋体"/>
                <w:color w:val="auto"/>
                <w:sz w:val="21"/>
                <w:szCs w:val="21"/>
                <w:highlight w:val="none"/>
              </w:rPr>
              <w:t>。</w:t>
            </w:r>
          </w:p>
          <w:p w14:paraId="6159D5A5">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资格证明文件不全的或者不符合</w:t>
            </w:r>
            <w:r>
              <w:rPr>
                <w:rFonts w:hint="eastAsia" w:ascii="宋体" w:hAnsi="宋体" w:eastAsia="宋体" w:cs="宋体"/>
                <w:color w:val="auto"/>
                <w:kern w:val="0"/>
                <w:sz w:val="21"/>
                <w:szCs w:val="21"/>
                <w:highlight w:val="none"/>
                <w:lang w:val="zh-CN"/>
              </w:rPr>
              <w:t>竞争性磋商文件</w:t>
            </w:r>
            <w:r>
              <w:rPr>
                <w:rFonts w:hint="eastAsia" w:ascii="宋体" w:hAnsi="宋体" w:eastAsia="宋体" w:cs="宋体"/>
                <w:color w:val="auto"/>
                <w:sz w:val="21"/>
                <w:szCs w:val="21"/>
                <w:highlight w:val="none"/>
              </w:rPr>
              <w:t>标明的资格要求的</w:t>
            </w:r>
            <w:r>
              <w:rPr>
                <w:rFonts w:hint="eastAsia" w:ascii="宋体" w:hAnsi="宋体" w:eastAsia="宋体" w:cs="宋体"/>
                <w:color w:val="auto"/>
                <w:sz w:val="21"/>
                <w:szCs w:val="21"/>
                <w:highlight w:val="none"/>
                <w:lang w:val="zh-CN"/>
              </w:rPr>
              <w:t>，视为供应商不具备</w:t>
            </w:r>
            <w:r>
              <w:rPr>
                <w:rFonts w:hint="eastAsia" w:ascii="宋体" w:hAnsi="宋体" w:eastAsia="宋体" w:cs="宋体"/>
                <w:color w:val="auto"/>
                <w:kern w:val="0"/>
                <w:sz w:val="21"/>
                <w:szCs w:val="21"/>
                <w:highlight w:val="none"/>
                <w:lang w:val="zh-CN"/>
              </w:rPr>
              <w:t>竞争性磋商文件</w:t>
            </w:r>
            <w:r>
              <w:rPr>
                <w:rFonts w:hint="eastAsia" w:ascii="宋体" w:hAnsi="宋体" w:eastAsia="宋体" w:cs="宋体"/>
                <w:color w:val="auto"/>
                <w:sz w:val="21"/>
                <w:szCs w:val="21"/>
                <w:highlight w:val="none"/>
                <w:lang w:val="zh-CN"/>
              </w:rPr>
              <w:t>中规定的资格要求，响应无效。</w:t>
            </w:r>
          </w:p>
        </w:tc>
      </w:tr>
      <w:tr w14:paraId="22C02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89561D5">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DA9C9B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5F3974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575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08154F9">
            <w:pPr>
              <w:snapToGrid w:val="0"/>
              <w:spacing w:line="320" w:lineRule="exact"/>
              <w:jc w:val="center"/>
              <w:rPr>
                <w:rFonts w:asciiTheme="minorEastAsia" w:hAnsiTheme="minorEastAsia" w:eastAsiaTheme="minorEastAsia" w:cstheme="minorEastAsia"/>
                <w:szCs w:val="21"/>
              </w:rPr>
            </w:pPr>
          </w:p>
          <w:p w14:paraId="4DE32C9B">
            <w:pPr>
              <w:snapToGrid w:val="0"/>
              <w:spacing w:line="320" w:lineRule="exact"/>
              <w:jc w:val="center"/>
              <w:rPr>
                <w:rFonts w:asciiTheme="minorEastAsia" w:hAnsiTheme="minorEastAsia" w:eastAsiaTheme="minorEastAsia" w:cstheme="minorEastAsia"/>
                <w:szCs w:val="21"/>
              </w:rPr>
            </w:pPr>
          </w:p>
          <w:p w14:paraId="625C3560">
            <w:pPr>
              <w:snapToGrid w:val="0"/>
              <w:spacing w:line="320" w:lineRule="exact"/>
              <w:jc w:val="center"/>
              <w:rPr>
                <w:rFonts w:asciiTheme="minorEastAsia" w:hAnsiTheme="minorEastAsia" w:eastAsiaTheme="minorEastAsia" w:cstheme="minorEastAsia"/>
                <w:szCs w:val="21"/>
              </w:rPr>
            </w:pPr>
          </w:p>
          <w:p w14:paraId="3E339502">
            <w:pPr>
              <w:snapToGrid w:val="0"/>
              <w:spacing w:line="320" w:lineRule="exact"/>
              <w:jc w:val="center"/>
              <w:rPr>
                <w:rFonts w:asciiTheme="minorEastAsia" w:hAnsiTheme="minorEastAsia" w:eastAsiaTheme="minorEastAsia" w:cstheme="minorEastAsia"/>
                <w:szCs w:val="21"/>
              </w:rPr>
            </w:pPr>
          </w:p>
          <w:p w14:paraId="08029062">
            <w:pPr>
              <w:snapToGrid w:val="0"/>
              <w:spacing w:line="320" w:lineRule="exact"/>
              <w:jc w:val="center"/>
              <w:rPr>
                <w:rFonts w:asciiTheme="minorEastAsia" w:hAnsiTheme="minorEastAsia" w:eastAsiaTheme="minorEastAsia" w:cstheme="minorEastAsia"/>
                <w:szCs w:val="21"/>
              </w:rPr>
            </w:pPr>
          </w:p>
          <w:p w14:paraId="2D78D34E">
            <w:pPr>
              <w:snapToGrid w:val="0"/>
              <w:spacing w:line="320" w:lineRule="exact"/>
              <w:jc w:val="center"/>
              <w:rPr>
                <w:rFonts w:asciiTheme="minorEastAsia" w:hAnsiTheme="minorEastAsia" w:eastAsiaTheme="minorEastAsia" w:cstheme="minorEastAsia"/>
                <w:szCs w:val="21"/>
              </w:rPr>
            </w:pPr>
          </w:p>
          <w:p w14:paraId="29CD15C8">
            <w:pPr>
              <w:snapToGrid w:val="0"/>
              <w:spacing w:line="320" w:lineRule="exact"/>
              <w:jc w:val="center"/>
              <w:rPr>
                <w:rFonts w:asciiTheme="minorEastAsia" w:hAnsiTheme="minorEastAsia" w:eastAsiaTheme="minorEastAsia" w:cstheme="minorEastAsia"/>
                <w:szCs w:val="21"/>
              </w:rPr>
            </w:pPr>
          </w:p>
          <w:p w14:paraId="0DDD57AC">
            <w:pPr>
              <w:snapToGrid w:val="0"/>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10</w:t>
            </w:r>
          </w:p>
        </w:tc>
        <w:tc>
          <w:tcPr>
            <w:tcW w:w="1843"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5EDDDDFD">
            <w:pPr>
              <w:snapToGrid w:val="0"/>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szCs w:val="21"/>
              </w:rPr>
              <w:t>报价要求</w:t>
            </w:r>
          </w:p>
        </w:tc>
        <w:tc>
          <w:tcPr>
            <w:tcW w:w="6644" w:type="dxa"/>
            <w:tcBorders>
              <w:top w:val="single" w:color="000000" w:sz="8" w:space="0"/>
              <w:left w:val="single" w:color="000000" w:sz="2" w:space="0"/>
              <w:bottom w:val="single" w:color="000000" w:sz="8" w:space="0"/>
              <w:right w:val="single" w:color="000000" w:sz="8" w:space="0"/>
            </w:tcBorders>
            <w:shd w:val="clear" w:color="auto" w:fill="auto"/>
            <w:noWrap w:val="0"/>
            <w:vAlign w:val="center"/>
          </w:tcPr>
          <w:p w14:paraId="3BB14152">
            <w:pPr>
              <w:adjustRightInd/>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有关本项目实施所需的所有费用（含税费）均计入报价。报价单是报价的唯一载体。采购文件未列明，而供应商认为必需的费用也需列入报价。</w:t>
            </w:r>
          </w:p>
          <w:p w14:paraId="4C43B1B6">
            <w:pPr>
              <w:adjustRightInd/>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最后报价出现下列情形的，响应文件无效：</w:t>
            </w:r>
          </w:p>
          <w:p w14:paraId="12091342">
            <w:pPr>
              <w:adjustRightInd/>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响应文件出现不是唯一的、有选择性最后报价的；</w:t>
            </w:r>
          </w:p>
          <w:p w14:paraId="327ABA81">
            <w:pPr>
              <w:adjustRightInd/>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报价明显低于其他通过符合性审查供应商的报价，有可能影响产品质量或者不能诚信履约的，未能按要求提供书面说明或者提交相关证明材料证明其报价合理性的；</w:t>
            </w:r>
          </w:p>
          <w:p w14:paraId="21F59050">
            <w:pPr>
              <w:adjustRightInd/>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最后报价超过采购文件中规定的</w:t>
            </w:r>
            <w:r>
              <w:rPr>
                <w:rFonts w:hint="eastAsia" w:asciiTheme="minorEastAsia" w:hAnsiTheme="minorEastAsia" w:eastAsiaTheme="minorEastAsia" w:cstheme="minorEastAsia"/>
                <w:sz w:val="21"/>
                <w:szCs w:val="21"/>
                <w:lang w:val="en-US" w:eastAsia="zh-CN"/>
              </w:rPr>
              <w:t>最高限价</w:t>
            </w:r>
            <w:r>
              <w:rPr>
                <w:rFonts w:hint="eastAsia" w:asciiTheme="minorEastAsia" w:hAnsiTheme="minorEastAsia" w:eastAsiaTheme="minorEastAsia" w:cstheme="minorEastAsia"/>
                <w:sz w:val="21"/>
                <w:szCs w:val="21"/>
              </w:rPr>
              <w:t>的；</w:t>
            </w:r>
          </w:p>
          <w:p w14:paraId="323F08A2">
            <w:pPr>
              <w:adjustRightInd/>
              <w:spacing w:line="3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供应商对根据修正原则修正后的报价不确认的。</w:t>
            </w:r>
          </w:p>
          <w:p w14:paraId="5040DBB2">
            <w:pPr>
              <w:adjustRightInd/>
              <w:spacing w:line="320" w:lineRule="exac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所有供应商初次报价须按采购文件的报价单及《工程量清单》格式报价；</w:t>
            </w:r>
          </w:p>
          <w:p w14:paraId="7FF28108">
            <w:pPr>
              <w:adjustRightInd/>
              <w:spacing w:line="320" w:lineRule="exac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所有有效供应商应在规定时间内在线提交第二次报价，只填报总价（即最终报价），磋商小组以第二次报价（即最终报价）作为价格评议的标准。</w:t>
            </w:r>
          </w:p>
          <w:p w14:paraId="3DEC7625">
            <w:pPr>
              <w:adjustRightInd/>
              <w:spacing w:line="320" w:lineRule="exact"/>
              <w:rPr>
                <w:rFonts w:hint="eastAsia" w:ascii="Times New Roman" w:hAnsi="Times New Roman" w:eastAsia="宋体" w:cs="Times New Roman"/>
                <w:kern w:val="2"/>
                <w:sz w:val="21"/>
                <w:szCs w:val="21"/>
                <w:lang w:val="en-US" w:eastAsia="zh-CN" w:bidi="ar-SA"/>
              </w:rPr>
            </w:pPr>
            <w:r>
              <w:rPr>
                <w:rFonts w:hint="eastAsia" w:asciiTheme="minorEastAsia" w:hAnsiTheme="minorEastAsia" w:eastAsiaTheme="minorEastAsia" w:cstheme="minorEastAsia"/>
                <w:b/>
                <w:bCs/>
                <w:sz w:val="21"/>
                <w:szCs w:val="21"/>
              </w:rPr>
              <w:t>注：在正式合同签订前，成交供应商必须提供与响应文件最后报价（即最终报价）相一致的已标价工程量清单明细，作为供应商响应文件的有效组成部分。</w:t>
            </w:r>
          </w:p>
        </w:tc>
      </w:tr>
      <w:tr w14:paraId="6C903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5D05BDA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rPr>
            </w:pPr>
          </w:p>
          <w:p w14:paraId="2290C02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rPr>
            </w:pPr>
          </w:p>
          <w:p w14:paraId="511EB042">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B244849">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1D18A01">
            <w:pPr>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1"/>
                <w:szCs w:val="21"/>
                <w:highlight w:val="none"/>
                <w:lang w:val="en-US" w:eastAsia="zh-CN" w:bidi="ar-SA"/>
              </w:rPr>
            </w:pPr>
            <w:r>
              <w:rPr>
                <w:rFonts w:hint="eastAsia" w:ascii="宋体" w:hAnsi="宋体" w:eastAsia="宋体" w:cs="宋体"/>
                <w:snapToGrid w:val="0"/>
                <w:color w:val="auto"/>
                <w:kern w:val="28"/>
                <w:sz w:val="21"/>
                <w:szCs w:val="21"/>
                <w:highlight w:val="none"/>
              </w:rPr>
              <w:t>供应商</w:t>
            </w:r>
            <w:r>
              <w:rPr>
                <w:rFonts w:hint="eastAsia" w:ascii="宋体" w:hAnsi="宋体" w:eastAsia="宋体" w:cs="宋体"/>
                <w:color w:val="auto"/>
                <w:sz w:val="21"/>
                <w:szCs w:val="21"/>
                <w:highlight w:val="none"/>
                <w:lang w:eastAsia="zh-CN"/>
              </w:rPr>
              <w:t>成交</w:t>
            </w:r>
            <w:r>
              <w:rPr>
                <w:rFonts w:hint="eastAsia" w:ascii="宋体" w:hAnsi="宋体" w:eastAsia="宋体" w:cs="宋体"/>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1FA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6DFEFBD">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69FD73C">
            <w:pPr>
              <w:pStyle w:val="31"/>
              <w:keepNext w:val="0"/>
              <w:keepLines w:val="0"/>
              <w:pageBreakBefore w:val="0"/>
              <w:kinsoku/>
              <w:wordWrap/>
              <w:overflowPunct/>
              <w:topLinePunct w:val="0"/>
              <w:bidi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3BC9714">
            <w:pPr>
              <w:pStyle w:val="15"/>
              <w:keepNext w:val="0"/>
              <w:keepLines w:val="0"/>
              <w:pageBreakBefore w:val="0"/>
              <w:kinsoku/>
              <w:wordWrap/>
              <w:overflowPunct/>
              <w:topLinePunct w:val="0"/>
              <w:bidi w:val="0"/>
              <w:spacing w:line="320" w:lineRule="exact"/>
              <w:ind w:left="0" w:leftChars="0" w:firstLine="0" w:firstLineChars="0"/>
              <w:jc w:val="left"/>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无</w:t>
            </w:r>
            <w:r>
              <w:rPr>
                <w:rFonts w:hint="eastAsia" w:ascii="宋体" w:hAnsi="宋体" w:eastAsia="宋体" w:cs="宋体"/>
                <w:color w:val="auto"/>
                <w:sz w:val="21"/>
                <w:szCs w:val="21"/>
                <w:highlight w:val="none"/>
              </w:rPr>
              <w:t>需缴纳投标保证金。</w:t>
            </w:r>
          </w:p>
        </w:tc>
      </w:tr>
      <w:tr w14:paraId="74D6C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89264C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4B49456">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备份</w:t>
            </w:r>
            <w:r>
              <w:rPr>
                <w:rFonts w:hint="eastAsia" w:ascii="宋体" w:hAnsi="宋体" w:cs="宋体"/>
                <w:b/>
                <w:color w:val="auto"/>
                <w:sz w:val="21"/>
                <w:szCs w:val="21"/>
                <w:highlight w:val="none"/>
                <w:lang w:eastAsia="zh-CN"/>
              </w:rPr>
              <w:t>响应文件</w:t>
            </w:r>
            <w:r>
              <w:rPr>
                <w:rFonts w:hint="eastAsia" w:ascii="宋体" w:hAnsi="宋体" w:eastAsia="宋体" w:cs="宋体"/>
                <w:b/>
                <w:color w:val="auto"/>
                <w:sz w:val="21"/>
                <w:szCs w:val="21"/>
                <w:highlight w:val="none"/>
              </w:rPr>
              <w:t>送达</w:t>
            </w:r>
            <w:r>
              <w:rPr>
                <w:rFonts w:hint="eastAsia" w:ascii="宋体" w:hAnsi="宋体" w:eastAsia="宋体" w:cs="宋体"/>
                <w:b/>
                <w:color w:val="auto"/>
                <w:sz w:val="21"/>
                <w:szCs w:val="21"/>
                <w:highlight w:val="none"/>
                <w:lang w:val="en-US" w:eastAsia="zh-CN"/>
              </w:rPr>
              <w:t>时间、</w:t>
            </w:r>
            <w:r>
              <w:rPr>
                <w:rFonts w:hint="eastAsia" w:ascii="宋体" w:hAnsi="宋体" w:eastAsia="宋体" w:cs="宋体"/>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8C5B5E6">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（1）直接提交备份</w:t>
            </w:r>
            <w:r>
              <w:rPr>
                <w:rFonts w:hint="eastAsia" w:ascii="宋体" w:hAnsi="宋体" w:cs="宋体"/>
                <w:snapToGrid w:val="0"/>
                <w:color w:val="auto"/>
                <w:kern w:val="28"/>
                <w:sz w:val="21"/>
                <w:szCs w:val="21"/>
                <w:highlight w:val="none"/>
                <w:lang w:val="en-US" w:eastAsia="zh-CN"/>
              </w:rPr>
              <w:t>响应文件</w:t>
            </w:r>
            <w:r>
              <w:rPr>
                <w:rFonts w:hint="eastAsia" w:ascii="宋体" w:hAnsi="宋体" w:eastAsia="宋体" w:cs="宋体"/>
                <w:snapToGrid w:val="0"/>
                <w:color w:val="auto"/>
                <w:kern w:val="28"/>
                <w:sz w:val="21"/>
                <w:szCs w:val="21"/>
                <w:highlight w:val="none"/>
                <w:lang w:val="en-US" w:eastAsia="zh-CN"/>
              </w:rPr>
              <w:t>的：</w:t>
            </w:r>
          </w:p>
          <w:p w14:paraId="6D568051">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备份</w:t>
            </w:r>
            <w:r>
              <w:rPr>
                <w:rFonts w:hint="eastAsia" w:ascii="宋体" w:hAnsi="宋体" w:cs="宋体"/>
                <w:snapToGrid w:val="0"/>
                <w:color w:val="auto"/>
                <w:kern w:val="28"/>
                <w:sz w:val="21"/>
                <w:szCs w:val="21"/>
                <w:highlight w:val="none"/>
                <w:lang w:val="en-US" w:eastAsia="zh-CN"/>
              </w:rPr>
              <w:t>响应文件</w:t>
            </w:r>
            <w:r>
              <w:rPr>
                <w:rFonts w:hint="eastAsia" w:ascii="宋体" w:hAnsi="宋体" w:eastAsia="宋体" w:cs="宋体"/>
                <w:snapToGrid w:val="0"/>
                <w:color w:val="auto"/>
                <w:kern w:val="28"/>
                <w:sz w:val="21"/>
                <w:szCs w:val="21"/>
                <w:highlight w:val="none"/>
                <w:lang w:val="en-US" w:eastAsia="zh-CN"/>
              </w:rPr>
              <w:t>送达地点：</w:t>
            </w:r>
            <w:r>
              <w:rPr>
                <w:rFonts w:hint="eastAsia" w:ascii="宋体" w:hAnsi="宋体" w:eastAsia="宋体" w:cs="宋体"/>
                <w:snapToGrid w:val="0"/>
                <w:color w:val="auto"/>
                <w:kern w:val="28"/>
                <w:sz w:val="21"/>
                <w:szCs w:val="21"/>
                <w:highlight w:val="none"/>
                <w:u w:val="single"/>
                <w:lang w:val="en-US" w:eastAsia="zh-CN"/>
              </w:rPr>
              <w:t>宁海县公共资源交易中心五楼</w:t>
            </w:r>
            <w:r>
              <w:rPr>
                <w:rFonts w:hint="eastAsia" w:ascii="宋体" w:hAnsi="宋体" w:eastAsia="宋体" w:cs="宋体"/>
                <w:snapToGrid w:val="0"/>
                <w:color w:val="auto"/>
                <w:kern w:val="28"/>
                <w:sz w:val="21"/>
                <w:szCs w:val="21"/>
                <w:highlight w:val="none"/>
                <w:lang w:val="en-US" w:eastAsia="zh-CN"/>
              </w:rPr>
              <w:t>【具体受理场所详见当日电子指示屏】。</w:t>
            </w:r>
          </w:p>
          <w:p w14:paraId="5E9E9169">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（2）以邮政快递方式递交备份</w:t>
            </w:r>
            <w:r>
              <w:rPr>
                <w:rFonts w:hint="eastAsia" w:ascii="宋体" w:hAnsi="宋体" w:cs="宋体"/>
                <w:snapToGrid w:val="0"/>
                <w:color w:val="auto"/>
                <w:kern w:val="28"/>
                <w:sz w:val="21"/>
                <w:szCs w:val="21"/>
                <w:highlight w:val="none"/>
                <w:lang w:val="en-US" w:eastAsia="zh-CN"/>
              </w:rPr>
              <w:t>响应文件</w:t>
            </w:r>
            <w:r>
              <w:rPr>
                <w:rFonts w:hint="eastAsia" w:ascii="宋体" w:hAnsi="宋体" w:eastAsia="宋体" w:cs="宋体"/>
                <w:snapToGrid w:val="0"/>
                <w:color w:val="auto"/>
                <w:kern w:val="28"/>
                <w:sz w:val="21"/>
                <w:szCs w:val="21"/>
                <w:highlight w:val="none"/>
                <w:lang w:val="en-US" w:eastAsia="zh-CN"/>
              </w:rPr>
              <w:t>的：</w:t>
            </w:r>
          </w:p>
          <w:p w14:paraId="0C89DE02">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1"/>
                <w:szCs w:val="21"/>
                <w:highlight w:val="none"/>
                <w:u w:val="single"/>
                <w:lang w:val="en-US" w:eastAsia="zh-CN"/>
              </w:rPr>
            </w:pPr>
            <w:r>
              <w:rPr>
                <w:rFonts w:hint="eastAsia" w:ascii="宋体" w:hAnsi="宋体" w:eastAsia="宋体" w:cs="宋体"/>
                <w:snapToGrid w:val="0"/>
                <w:color w:val="auto"/>
                <w:kern w:val="28"/>
                <w:sz w:val="21"/>
                <w:szCs w:val="21"/>
                <w:highlight w:val="none"/>
                <w:lang w:val="en-US" w:eastAsia="zh-CN"/>
              </w:rPr>
              <w:t>备份</w:t>
            </w:r>
            <w:r>
              <w:rPr>
                <w:rFonts w:hint="eastAsia" w:ascii="宋体" w:hAnsi="宋体" w:cs="宋体"/>
                <w:snapToGrid w:val="0"/>
                <w:color w:val="auto"/>
                <w:kern w:val="28"/>
                <w:sz w:val="21"/>
                <w:szCs w:val="21"/>
                <w:highlight w:val="none"/>
                <w:lang w:val="en-US" w:eastAsia="zh-CN"/>
              </w:rPr>
              <w:t>响应文件</w:t>
            </w:r>
            <w:r>
              <w:rPr>
                <w:rFonts w:hint="eastAsia" w:ascii="宋体" w:hAnsi="宋体" w:eastAsia="宋体" w:cs="宋体"/>
                <w:snapToGrid w:val="0"/>
                <w:color w:val="auto"/>
                <w:kern w:val="28"/>
                <w:sz w:val="21"/>
                <w:szCs w:val="21"/>
                <w:highlight w:val="none"/>
                <w:lang w:val="en-US" w:eastAsia="zh-CN"/>
              </w:rPr>
              <w:t>送达截止时间：</w:t>
            </w:r>
            <w:r>
              <w:rPr>
                <w:rFonts w:hint="eastAsia" w:ascii="宋体" w:hAnsi="宋体" w:eastAsia="宋体" w:cs="宋体"/>
                <w:snapToGrid w:val="0"/>
                <w:color w:val="auto"/>
                <w:kern w:val="28"/>
                <w:sz w:val="21"/>
                <w:szCs w:val="21"/>
                <w:highlight w:val="none"/>
                <w:u w:val="single"/>
                <w:lang w:val="en-US" w:eastAsia="zh-CN"/>
              </w:rPr>
              <w:t>开标时间前一个工作日的16:00止。</w:t>
            </w:r>
            <w:r>
              <w:rPr>
                <w:rFonts w:hint="eastAsia" w:ascii="宋体" w:hAnsi="宋体" w:eastAsia="宋体" w:cs="宋体"/>
                <w:snapToGrid w:val="0"/>
                <w:color w:val="auto"/>
                <w:kern w:val="28"/>
                <w:sz w:val="21"/>
                <w:szCs w:val="21"/>
                <w:highlight w:val="none"/>
                <w:lang w:val="en-US" w:eastAsia="zh-CN"/>
              </w:rPr>
              <w:t>备份</w:t>
            </w:r>
            <w:r>
              <w:rPr>
                <w:rFonts w:hint="eastAsia" w:ascii="宋体" w:hAnsi="宋体" w:cs="宋体"/>
                <w:snapToGrid w:val="0"/>
                <w:color w:val="auto"/>
                <w:kern w:val="28"/>
                <w:sz w:val="21"/>
                <w:szCs w:val="21"/>
                <w:highlight w:val="none"/>
                <w:lang w:val="en-US" w:eastAsia="zh-CN"/>
              </w:rPr>
              <w:t>响应文件</w:t>
            </w:r>
            <w:r>
              <w:rPr>
                <w:rFonts w:hint="eastAsia" w:ascii="宋体" w:hAnsi="宋体" w:eastAsia="宋体" w:cs="宋体"/>
                <w:snapToGrid w:val="0"/>
                <w:color w:val="auto"/>
                <w:kern w:val="28"/>
                <w:sz w:val="21"/>
                <w:szCs w:val="21"/>
                <w:highlight w:val="none"/>
                <w:lang w:val="en-US" w:eastAsia="zh-CN"/>
              </w:rPr>
              <w:t>送达地点</w:t>
            </w:r>
            <w:r>
              <w:rPr>
                <w:rFonts w:hint="eastAsia" w:ascii="宋体" w:hAnsi="宋体" w:eastAsia="宋体" w:cs="宋体"/>
                <w:snapToGrid w:val="0"/>
                <w:color w:val="auto"/>
                <w:kern w:val="28"/>
                <w:sz w:val="21"/>
                <w:szCs w:val="21"/>
                <w:highlight w:val="none"/>
                <w:u w:val="single"/>
                <w:lang w:val="en-US" w:eastAsia="zh-CN"/>
              </w:rPr>
              <w:t xml:space="preserve"> 宁海县紫园13楼 </w:t>
            </w:r>
            <w:r>
              <w:rPr>
                <w:rFonts w:hint="eastAsia" w:ascii="宋体" w:hAnsi="宋体" w:eastAsia="宋体" w:cs="宋体"/>
                <w:snapToGrid w:val="0"/>
                <w:color w:val="auto"/>
                <w:kern w:val="28"/>
                <w:sz w:val="21"/>
                <w:szCs w:val="21"/>
                <w:highlight w:val="none"/>
                <w:lang w:val="en-US" w:eastAsia="zh-CN"/>
              </w:rPr>
              <w:t>；备份</w:t>
            </w:r>
            <w:r>
              <w:rPr>
                <w:rFonts w:hint="eastAsia" w:ascii="宋体" w:hAnsi="宋体" w:cs="宋体"/>
                <w:snapToGrid w:val="0"/>
                <w:color w:val="auto"/>
                <w:kern w:val="28"/>
                <w:sz w:val="21"/>
                <w:szCs w:val="21"/>
                <w:highlight w:val="none"/>
                <w:lang w:val="en-US" w:eastAsia="zh-CN"/>
              </w:rPr>
              <w:t>响应文件</w:t>
            </w:r>
            <w:r>
              <w:rPr>
                <w:rFonts w:hint="eastAsia" w:ascii="宋体" w:hAnsi="宋体" w:eastAsia="宋体" w:cs="宋体"/>
                <w:snapToGrid w:val="0"/>
                <w:color w:val="auto"/>
                <w:kern w:val="28"/>
                <w:sz w:val="21"/>
                <w:szCs w:val="21"/>
                <w:highlight w:val="none"/>
                <w:lang w:val="en-US" w:eastAsia="zh-CN"/>
              </w:rPr>
              <w:t>签收人员联系电话：</w:t>
            </w:r>
            <w:r>
              <w:rPr>
                <w:rFonts w:hint="eastAsia" w:ascii="宋体" w:hAnsi="宋体" w:eastAsia="宋体" w:cs="宋体"/>
                <w:snapToGrid w:val="0"/>
                <w:color w:val="auto"/>
                <w:kern w:val="28"/>
                <w:sz w:val="21"/>
                <w:szCs w:val="21"/>
                <w:highlight w:val="none"/>
                <w:u w:val="single"/>
                <w:lang w:val="en-US" w:eastAsia="zh-CN"/>
              </w:rPr>
              <w:t xml:space="preserve"> </w:t>
            </w:r>
            <w:r>
              <w:rPr>
                <w:rFonts w:hint="eastAsia" w:ascii="宋体" w:hAnsi="宋体" w:cs="宋体"/>
                <w:snapToGrid w:val="0"/>
                <w:color w:val="auto"/>
                <w:kern w:val="28"/>
                <w:sz w:val="21"/>
                <w:szCs w:val="21"/>
                <w:highlight w:val="none"/>
                <w:u w:val="single"/>
                <w:lang w:val="en-US" w:eastAsia="zh-CN"/>
              </w:rPr>
              <w:t>胡韬宇，</w:t>
            </w:r>
            <w:r>
              <w:rPr>
                <w:rFonts w:hint="eastAsia" w:ascii="宋体" w:hAnsi="宋体" w:eastAsia="宋体" w:cs="宋体"/>
                <w:snapToGrid w:val="0"/>
                <w:color w:val="auto"/>
                <w:kern w:val="28"/>
                <w:sz w:val="21"/>
                <w:szCs w:val="21"/>
                <w:highlight w:val="none"/>
                <w:u w:val="single"/>
                <w:lang w:val="en-US" w:eastAsia="zh-CN"/>
              </w:rPr>
              <w:t xml:space="preserve">18758356336 </w:t>
            </w:r>
          </w:p>
          <w:p w14:paraId="6F2A610B">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lang w:val="en-US" w:eastAsia="zh-CN"/>
              </w:rPr>
              <w:t>采购人、采购代理机构不强制或变相强制投标人提交备份</w:t>
            </w:r>
            <w:r>
              <w:rPr>
                <w:rFonts w:hint="eastAsia" w:ascii="宋体" w:hAnsi="宋体" w:cs="宋体"/>
                <w:snapToGrid w:val="0"/>
                <w:color w:val="auto"/>
                <w:kern w:val="28"/>
                <w:sz w:val="21"/>
                <w:szCs w:val="21"/>
                <w:highlight w:val="none"/>
                <w:lang w:val="en-US" w:eastAsia="zh-CN"/>
              </w:rPr>
              <w:t>响应文件</w:t>
            </w:r>
            <w:r>
              <w:rPr>
                <w:rFonts w:hint="eastAsia" w:ascii="宋体" w:hAnsi="宋体" w:eastAsia="宋体" w:cs="宋体"/>
                <w:snapToGrid w:val="0"/>
                <w:color w:val="auto"/>
                <w:kern w:val="28"/>
                <w:sz w:val="21"/>
                <w:szCs w:val="21"/>
                <w:highlight w:val="none"/>
                <w:lang w:val="en-US" w:eastAsia="zh-CN"/>
              </w:rPr>
              <w:t>。</w:t>
            </w:r>
          </w:p>
        </w:tc>
      </w:tr>
      <w:tr w14:paraId="7BF27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5BD38C3">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ADE7010">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B771F44">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snapToGrid w:val="0"/>
                <w:kern w:val="28"/>
                <w:sz w:val="21"/>
                <w:szCs w:val="21"/>
              </w:rPr>
              <w:t>联合体或者以分包方式履行合同的，联合体各方（供应商与分包供应商）分别提供与联合体协议（分包意向协议）中规定的分工内容相应的业绩证明材料，</w:t>
            </w:r>
            <w:r>
              <w:rPr>
                <w:rFonts w:hint="eastAsia" w:ascii="宋体" w:hAnsi="宋体" w:eastAsia="宋体" w:cs="宋体"/>
                <w:snapToGrid w:val="0"/>
                <w:kern w:val="28"/>
                <w:sz w:val="21"/>
                <w:szCs w:val="21"/>
                <w:highlight w:val="none"/>
              </w:rPr>
              <w:t>业绩数量以提供材料较少的一方为准</w:t>
            </w:r>
            <w:r>
              <w:rPr>
                <w:rFonts w:hint="eastAsia" w:ascii="宋体" w:hAnsi="宋体" w:eastAsia="宋体" w:cs="宋体"/>
                <w:b/>
                <w:kern w:val="0"/>
                <w:sz w:val="21"/>
                <w:szCs w:val="21"/>
                <w:highlight w:val="none"/>
              </w:rPr>
              <w:t>。</w:t>
            </w:r>
          </w:p>
        </w:tc>
      </w:tr>
      <w:tr w14:paraId="6B551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668458B">
            <w:pPr>
              <w:keepNext w:val="0"/>
              <w:keepLines w:val="0"/>
              <w:pageBreakBefore w:val="0"/>
              <w:kinsoku/>
              <w:wordWrap/>
              <w:overflowPunct/>
              <w:topLinePunct w:val="0"/>
              <w:bidi w:val="0"/>
              <w:snapToGrid w:val="0"/>
              <w:spacing w:line="32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16B0EC1">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否决投标的情形</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2AAC559">
            <w:pPr>
              <w:keepNext w:val="0"/>
              <w:keepLines w:val="0"/>
              <w:pageBreakBefore w:val="0"/>
              <w:tabs>
                <w:tab w:val="left" w:pos="3376"/>
              </w:tabs>
              <w:kinsoku/>
              <w:wordWrap/>
              <w:overflowPunct/>
              <w:topLinePunct w:val="0"/>
              <w:bidi w:val="0"/>
              <w:adjustRightInd/>
              <w:snapToGrid/>
              <w:spacing w:line="360" w:lineRule="exact"/>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以下情形之一的，由评标委员会</w:t>
            </w:r>
            <w:r>
              <w:rPr>
                <w:rFonts w:hint="eastAsia" w:ascii="宋体" w:hAnsi="宋体" w:cs="宋体"/>
                <w:color w:val="auto"/>
                <w:sz w:val="21"/>
                <w:szCs w:val="21"/>
                <w:highlight w:val="none"/>
                <w:lang w:val="en-US" w:eastAsia="zh-CN"/>
              </w:rPr>
              <w:t>审核</w:t>
            </w:r>
            <w:r>
              <w:rPr>
                <w:rFonts w:hint="eastAsia" w:ascii="宋体" w:hAnsi="宋体" w:eastAsia="宋体" w:cs="宋体"/>
                <w:color w:val="auto"/>
                <w:sz w:val="21"/>
                <w:szCs w:val="21"/>
                <w:highlight w:val="none"/>
              </w:rPr>
              <w:t>并经过询</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程序，作否决投标处理：</w:t>
            </w:r>
          </w:p>
          <w:p w14:paraId="15A71944">
            <w:pPr>
              <w:keepNext w:val="0"/>
              <w:keepLines w:val="0"/>
              <w:pageBreakBefore w:val="0"/>
              <w:numPr>
                <w:ilvl w:val="0"/>
                <w:numId w:val="0"/>
              </w:numPr>
              <w:kinsoku/>
              <w:wordWrap/>
              <w:overflowPunct/>
              <w:topLinePunct w:val="0"/>
              <w:bidi w:val="0"/>
              <w:adjustRightInd/>
              <w:snapToGrid/>
              <w:spacing w:line="360" w:lineRule="exact"/>
              <w:ind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投标人以联合体形式投标时，</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提交符合招标文件要求的联合体协议书</w:t>
            </w:r>
            <w:r>
              <w:rPr>
                <w:rFonts w:hint="eastAsia" w:ascii="宋体" w:hAnsi="宋体" w:eastAsia="宋体" w:cs="宋体"/>
                <w:color w:val="auto"/>
                <w:sz w:val="21"/>
                <w:szCs w:val="21"/>
                <w:highlight w:val="none"/>
                <w:lang w:val="en-US" w:eastAsia="zh-CN"/>
              </w:rPr>
              <w:t>的；</w:t>
            </w:r>
          </w:p>
          <w:p w14:paraId="3D946F41">
            <w:pPr>
              <w:keepNext w:val="0"/>
              <w:keepLines w:val="0"/>
              <w:pageBreakBefore w:val="0"/>
              <w:numPr>
                <w:ilvl w:val="0"/>
                <w:numId w:val="0"/>
              </w:numPr>
              <w:kinsoku/>
              <w:wordWrap/>
              <w:overflowPunct/>
              <w:topLinePunct w:val="0"/>
              <w:bidi w:val="0"/>
              <w:adjustRightInd/>
              <w:snapToGrid/>
              <w:spacing w:line="360" w:lineRule="exact"/>
              <w:ind w:right="0" w:rightChars="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投标人递交备选投标方案的；</w:t>
            </w:r>
          </w:p>
          <w:p w14:paraId="579AFE29">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不同投标人的电子投标文件唯一标识符相同：网卡MAC地址；或硬盘（含U盘、移动硬盘等移动存储介质）序列号（Optane_0000、类似0100_0000_0000_0000或0000_0100_0000_0000或FFFF_FFFF_FFFF_FFFF等采用硬盘加速技术产生的序列号除外）；或互联网接入IP地址。</w:t>
            </w:r>
          </w:p>
          <w:p w14:paraId="0C884135">
            <w:pPr>
              <w:keepNext w:val="0"/>
              <w:keepLines w:val="0"/>
              <w:pageBreakBefore w:val="0"/>
              <w:kinsoku/>
              <w:wordWrap/>
              <w:overflowPunct/>
              <w:topLinePunct w:val="0"/>
              <w:bidi w:val="0"/>
              <w:spacing w:line="320" w:lineRule="exact"/>
              <w:rPr>
                <w:rFonts w:hint="eastAsia" w:ascii="宋体" w:hAnsi="宋体" w:eastAsia="宋体" w:cs="宋体"/>
                <w:snapToGrid w:val="0"/>
                <w:kern w:val="28"/>
                <w:sz w:val="21"/>
                <w:szCs w:val="21"/>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投标人未提供《中小企业声明函》或未按照招标文件所附的《中小企业声明函》格式提供的；</w:t>
            </w:r>
          </w:p>
        </w:tc>
      </w:tr>
      <w:tr w14:paraId="6523E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7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71A6CE5">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E8DC0AB">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E1B4D6F">
            <w:pPr>
              <w:keepNext w:val="0"/>
              <w:keepLines w:val="0"/>
              <w:pageBreakBefore w:val="0"/>
              <w:kinsoku/>
              <w:wordWrap/>
              <w:overflowPunct/>
              <w:topLinePunct w:val="0"/>
              <w:bidi w:val="0"/>
              <w:spacing w:line="320" w:lineRule="exact"/>
              <w:ind w:firstLine="420" w:firstLineChars="200"/>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浙江天诚工程咨询有限公司（本项目采购代理机构）根据关于印发《宁波市招标（采购）代理服务收费指导意见》的通知的收费标准向中标人收取招标代理服务费。</w:t>
            </w:r>
          </w:p>
          <w:p w14:paraId="4A847B4C">
            <w:pPr>
              <w:keepNext w:val="0"/>
              <w:keepLines w:val="0"/>
              <w:pageBreakBefore w:val="0"/>
              <w:kinsoku/>
              <w:wordWrap/>
              <w:overflowPunct/>
              <w:topLinePunct w:val="0"/>
              <w:bidi w:val="0"/>
              <w:spacing w:line="320" w:lineRule="exact"/>
              <w:ind w:firstLine="420" w:firstLineChars="200"/>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注：成交人接到本公司通知后5个工作日内向本采购代理机构领取成交通知书（根据成交人需求可采用邮寄或到采购代理机构现场领取）。</w:t>
            </w:r>
          </w:p>
        </w:tc>
      </w:tr>
    </w:tbl>
    <w:p w14:paraId="18E8882C">
      <w:pPr>
        <w:rPr>
          <w:rFonts w:hint="eastAsia" w:ascii="宋体" w:hAnsi="宋体" w:eastAsia="宋体" w:cs="宋体"/>
          <w:b/>
          <w:sz w:val="21"/>
          <w:szCs w:val="21"/>
        </w:rPr>
      </w:pPr>
      <w:r>
        <w:rPr>
          <w:rFonts w:hint="eastAsia" w:ascii="宋体" w:hAnsi="宋体" w:eastAsia="宋体" w:cs="宋体"/>
          <w:b/>
          <w:sz w:val="21"/>
          <w:szCs w:val="21"/>
        </w:rPr>
        <w:br w:type="page"/>
      </w:r>
    </w:p>
    <w:bookmarkEnd w:id="9"/>
    <w:bookmarkEnd w:id="10"/>
    <w:bookmarkEnd w:id="11"/>
    <w:bookmarkEnd w:id="38"/>
    <w:p w14:paraId="51F51EB8">
      <w:pPr>
        <w:snapToGrid w:val="0"/>
        <w:spacing w:line="360" w:lineRule="auto"/>
        <w:jc w:val="center"/>
        <w:outlineLvl w:val="0"/>
        <w:rPr>
          <w:rFonts w:hint="eastAsia" w:ascii="宋体" w:hAnsi="宋体" w:eastAsia="宋体" w:cs="宋体"/>
          <w:b/>
          <w:sz w:val="21"/>
          <w:szCs w:val="21"/>
        </w:rPr>
      </w:pPr>
      <w:bookmarkStart w:id="39" w:name="_Hlt75236290"/>
      <w:bookmarkEnd w:id="39"/>
      <w:bookmarkStart w:id="40" w:name="_Hlt74730295"/>
      <w:bookmarkEnd w:id="40"/>
      <w:bookmarkStart w:id="41" w:name="_Hlt75236011"/>
      <w:bookmarkEnd w:id="41"/>
      <w:bookmarkStart w:id="42" w:name="_Hlt74714665"/>
      <w:bookmarkEnd w:id="42"/>
      <w:bookmarkStart w:id="43" w:name="_Hlt68072990"/>
      <w:bookmarkEnd w:id="43"/>
      <w:bookmarkStart w:id="44" w:name="_Hlt74729768"/>
      <w:bookmarkEnd w:id="44"/>
      <w:bookmarkStart w:id="45" w:name="_Hlt74707468"/>
      <w:bookmarkEnd w:id="45"/>
      <w:bookmarkStart w:id="46" w:name="_Hlt75236101"/>
      <w:bookmarkEnd w:id="46"/>
      <w:bookmarkStart w:id="47" w:name="_Hlt68057669"/>
      <w:bookmarkEnd w:id="47"/>
      <w:bookmarkStart w:id="48" w:name="_Toc164416483"/>
      <w:bookmarkStart w:id="49" w:name="第三部分"/>
      <w:r>
        <w:rPr>
          <w:rFonts w:hint="eastAsia" w:ascii="宋体" w:hAnsi="宋体" w:eastAsia="宋体" w:cs="宋体"/>
          <w:b/>
          <w:sz w:val="32"/>
          <w:szCs w:val="32"/>
        </w:rPr>
        <w:t>一、总则</w:t>
      </w:r>
    </w:p>
    <w:p w14:paraId="491BF1FA">
      <w:pPr>
        <w:snapToGrid w:val="0"/>
        <w:spacing w:line="360" w:lineRule="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1</w:t>
      </w:r>
      <w:r>
        <w:rPr>
          <w:rFonts w:hint="eastAsia" w:ascii="宋体" w:hAnsi="宋体" w:eastAsia="宋体" w:cs="宋体"/>
          <w:b/>
          <w:sz w:val="21"/>
          <w:szCs w:val="21"/>
        </w:rPr>
        <w:t>.</w:t>
      </w:r>
      <w:r>
        <w:rPr>
          <w:rFonts w:hint="eastAsia" w:ascii="宋体" w:hAnsi="宋体" w:eastAsia="宋体" w:cs="宋体"/>
          <w:sz w:val="21"/>
          <w:szCs w:val="21"/>
        </w:rPr>
        <w:t xml:space="preserve"> </w:t>
      </w:r>
      <w:r>
        <w:rPr>
          <w:rFonts w:hint="eastAsia" w:ascii="宋体" w:hAnsi="宋体" w:eastAsia="宋体" w:cs="宋体"/>
          <w:b/>
          <w:sz w:val="21"/>
          <w:szCs w:val="21"/>
          <w:lang w:eastAsia="zh-CN"/>
        </w:rPr>
        <w:t>适用范围</w:t>
      </w:r>
    </w:p>
    <w:p w14:paraId="05DD95D8">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本采购文件适用于该项目的采购邀请、响应文件提交、响应文件开启、资格审查及信用信息查询、磋商、评审、成交供应商确定、合同、验收等行为（法律、法规另有规定的，从其规定）。</w:t>
      </w:r>
    </w:p>
    <w:p w14:paraId="6B482A64">
      <w:pPr>
        <w:snapToGrid w:val="0"/>
        <w:spacing w:line="360" w:lineRule="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2</w:t>
      </w:r>
      <w:r>
        <w:rPr>
          <w:rFonts w:hint="eastAsia" w:ascii="宋体" w:hAnsi="宋体" w:eastAsia="宋体" w:cs="宋体"/>
          <w:b/>
          <w:sz w:val="21"/>
          <w:szCs w:val="21"/>
        </w:rPr>
        <w:t>.</w:t>
      </w:r>
      <w:r>
        <w:rPr>
          <w:rFonts w:hint="eastAsia" w:ascii="宋体" w:hAnsi="宋体" w:eastAsia="宋体" w:cs="宋体"/>
          <w:sz w:val="21"/>
          <w:szCs w:val="21"/>
        </w:rPr>
        <w:t xml:space="preserve"> </w:t>
      </w:r>
      <w:r>
        <w:rPr>
          <w:rFonts w:hint="eastAsia" w:ascii="宋体" w:hAnsi="宋体" w:eastAsia="宋体" w:cs="宋体"/>
          <w:b/>
          <w:sz w:val="21"/>
          <w:szCs w:val="21"/>
          <w:lang w:eastAsia="zh-CN"/>
        </w:rPr>
        <w:t>定义</w:t>
      </w:r>
    </w:p>
    <w:p w14:paraId="58695BC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 “采购人”系指竞争性磋商公告中载明的本项目的采购人。</w:t>
      </w:r>
    </w:p>
    <w:p w14:paraId="50B9C43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 “</w:t>
      </w:r>
      <w:r>
        <w:rPr>
          <w:rFonts w:hint="eastAsia" w:ascii="宋体" w:hAnsi="宋体" w:eastAsia="宋体" w:cs="宋体"/>
          <w:sz w:val="21"/>
          <w:szCs w:val="21"/>
          <w:lang w:eastAsia="zh-CN"/>
        </w:rPr>
        <w:t>采购代理机构</w:t>
      </w:r>
      <w:r>
        <w:rPr>
          <w:rFonts w:hint="eastAsia" w:ascii="宋体" w:hAnsi="宋体" w:eastAsia="宋体" w:cs="宋体"/>
          <w:sz w:val="21"/>
          <w:szCs w:val="21"/>
        </w:rPr>
        <w:t>”系指竞争性磋商公告中载明的本项目的</w:t>
      </w:r>
      <w:r>
        <w:rPr>
          <w:rFonts w:hint="eastAsia" w:ascii="宋体" w:hAnsi="宋体" w:eastAsia="宋体" w:cs="宋体"/>
          <w:sz w:val="21"/>
          <w:szCs w:val="21"/>
          <w:lang w:eastAsia="zh-CN"/>
        </w:rPr>
        <w:t>采购代理机构</w:t>
      </w:r>
      <w:r>
        <w:rPr>
          <w:rFonts w:hint="eastAsia" w:ascii="宋体" w:hAnsi="宋体" w:eastAsia="宋体" w:cs="宋体"/>
          <w:sz w:val="21"/>
          <w:szCs w:val="21"/>
        </w:rPr>
        <w:t>。</w:t>
      </w:r>
    </w:p>
    <w:p w14:paraId="56B6C78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 “供应商”系指是指提交响应文件和报价、参与竞争性磋商采购活动的法人、其他组织或者自然人。</w:t>
      </w:r>
    </w:p>
    <w:p w14:paraId="4A78863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 “负责人”系指法人企业的法定负责人，或其他组织为法律、行政法规规定代表单位行使职权的主要负责人，或自然人本人。</w:t>
      </w:r>
    </w:p>
    <w:p w14:paraId="7EF2666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0941193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2.6“电子交易平台”</w:t>
      </w:r>
      <w:r>
        <w:rPr>
          <w:rFonts w:hint="eastAsia" w:ascii="宋体" w:hAnsi="宋体" w:eastAsia="宋体" w:cs="宋体"/>
          <w:sz w:val="21"/>
          <w:szCs w:val="21"/>
          <w:lang w:val="en-US" w:eastAsia="zh-CN"/>
        </w:rPr>
        <w:t>系</w:t>
      </w:r>
      <w:r>
        <w:rPr>
          <w:rFonts w:hint="eastAsia" w:ascii="宋体" w:hAnsi="宋体" w:eastAsia="宋体" w:cs="宋体"/>
          <w:sz w:val="21"/>
          <w:szCs w:val="21"/>
        </w:rPr>
        <w:t>指本项目政府采购活动所依托的政府采购云平台（https://www.zcygov.cn/）。</w:t>
      </w:r>
    </w:p>
    <w:p w14:paraId="59942C5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2.7 “▲” 系指实质性要求条款，“</w:t>
      </w:r>
      <w:sdt>
        <w:sdtPr>
          <w:rPr>
            <w:rFonts w:hint="eastAsia" w:ascii="宋体" w:hAnsi="宋体" w:eastAsia="宋体" w:cs="宋体"/>
            <w:kern w:val="0"/>
            <w:sz w:val="21"/>
            <w:szCs w:val="21"/>
          </w:rPr>
          <w:id w:val="512970236"/>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sz w:val="21"/>
          <w:szCs w:val="21"/>
        </w:rPr>
        <w:t>” 系指适用本项目的要求，“</w:t>
      </w:r>
      <w:sdt>
        <w:sdtPr>
          <w:rPr>
            <w:rFonts w:hint="eastAsia" w:ascii="宋体" w:hAnsi="宋体" w:eastAsia="宋体" w:cs="宋体"/>
            <w:kern w:val="0"/>
            <w:sz w:val="21"/>
            <w:szCs w:val="21"/>
          </w:rPr>
          <w:id w:val="404888855"/>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sz w:val="21"/>
          <w:szCs w:val="21"/>
        </w:rPr>
        <w:t>” 系指不适用本项目的要求，“※”系指磋商过程中可能实质性变动的内容。</w:t>
      </w:r>
    </w:p>
    <w:p w14:paraId="27118BAF">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sz w:val="21"/>
          <w:szCs w:val="21"/>
        </w:rPr>
        <w:t xml:space="preserve"> </w:t>
      </w:r>
      <w:r>
        <w:rPr>
          <w:rFonts w:hint="eastAsia" w:ascii="宋体" w:hAnsi="宋体" w:eastAsia="宋体" w:cs="宋体"/>
          <w:b/>
          <w:sz w:val="21"/>
          <w:szCs w:val="21"/>
        </w:rPr>
        <w:t>采购项目需要落实的政府采购政策</w:t>
      </w:r>
    </w:p>
    <w:p w14:paraId="265F77A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不会对其加以限制，仍将按照公平竞争原则实施采购）；</w:t>
      </w:r>
      <w:r>
        <w:rPr>
          <w:rFonts w:hint="eastAsia" w:ascii="宋体" w:hAnsi="宋体" w:eastAsia="宋体" w:cs="宋体"/>
          <w:kern w:val="0"/>
          <w:sz w:val="21"/>
          <w:szCs w:val="21"/>
        </w:rPr>
        <w:t>优先采购向我国企业转让技术、与我国企业签订消化吸收再创新方案的供应商的进口产品</w:t>
      </w:r>
      <w:r>
        <w:rPr>
          <w:rFonts w:hint="eastAsia" w:ascii="宋体" w:hAnsi="宋体" w:eastAsia="宋体" w:cs="宋体"/>
          <w:sz w:val="21"/>
          <w:szCs w:val="21"/>
        </w:rPr>
        <w:t>。</w:t>
      </w:r>
    </w:p>
    <w:p w14:paraId="0EBDDC4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 支持绿色发展</w:t>
      </w:r>
    </w:p>
    <w:p w14:paraId="575567B5">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b/>
          <w:sz w:val="21"/>
          <w:szCs w:val="21"/>
        </w:rPr>
        <w:t>采购人拟采购的产品属于政府强制采购的节能产品品目清单范围的，供应商未按采购文件要求提供国家确定的认证机构出具的、处于有效期之内的节能产品认证证书的，响应文件无效。</w:t>
      </w:r>
    </w:p>
    <w:p w14:paraId="0A76FE4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3.2.2纳入政府采购管理的修缮、装修类项目采购建材的，鼓励采购单位将绿色建材性能、指标等作为实质性条件纳入采购文件和合同，具体性能指标要求参考相关绿色建材政府采购需求标准。</w:t>
      </w:r>
    </w:p>
    <w:p w14:paraId="67B42A0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sz w:val="21"/>
          <w:szCs w:val="21"/>
          <w:highlight w:val="none"/>
        </w:rPr>
        <w:t>鼓励采购单位优先采购秸秆环保板材等资源综合利用产品。鼓励采购单位优先采购绿色物流配送服务、提供新能源交通工具的租赁服务。</w:t>
      </w:r>
    </w:p>
    <w:p w14:paraId="00360898">
      <w:pPr>
        <w:pStyle w:val="22"/>
        <w:ind w:firstLine="420" w:firstLineChars="200"/>
        <w:rPr>
          <w:rFonts w:hint="eastAsia" w:ascii="宋体" w:hAnsi="宋体" w:eastAsia="宋体" w:cs="宋体"/>
        </w:rPr>
      </w:pPr>
      <w:r>
        <w:rPr>
          <w:rFonts w:hint="eastAsia" w:ascii="宋体" w:hAnsi="宋体" w:eastAsia="宋体" w:cs="宋体"/>
          <w:sz w:val="21"/>
          <w:szCs w:val="21"/>
        </w:rPr>
        <w:t>3.2.</w:t>
      </w:r>
      <w:r>
        <w:rPr>
          <w:rFonts w:hint="eastAsia" w:ascii="宋体" w:hAnsi="宋体" w:eastAsia="宋体" w:cs="宋体"/>
          <w:sz w:val="21"/>
          <w:szCs w:val="21"/>
          <w:lang w:val="en-US" w:eastAsia="zh-CN"/>
        </w:rPr>
        <w:t>4</w:t>
      </w:r>
      <w:r>
        <w:rPr>
          <w:rFonts w:hint="eastAsia" w:ascii="宋体" w:hAnsi="宋体" w:eastAsia="宋体" w:cs="宋体"/>
          <w:sz w:val="21"/>
          <w:szCs w:val="21"/>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ascii="宋体" w:hAnsi="宋体" w:eastAsia="宋体" w:cs="宋体"/>
          <w:sz w:val="21"/>
          <w:szCs w:val="21"/>
          <w:highlight w:val="none"/>
        </w:rPr>
        <w:t>。</w:t>
      </w:r>
    </w:p>
    <w:p w14:paraId="3756098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3.3支持中小企业发展</w:t>
      </w:r>
    </w:p>
    <w:p w14:paraId="43A0B5A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6E58D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14:paraId="6ED3F36D">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bCs/>
          <w:sz w:val="21"/>
          <w:szCs w:val="21"/>
        </w:rPr>
        <w:t>3.3.2</w:t>
      </w:r>
      <w:r>
        <w:rPr>
          <w:rFonts w:hint="eastAsia" w:ascii="宋体" w:hAnsi="宋体" w:eastAsia="宋体" w:cs="宋体"/>
          <w:kern w:val="0"/>
          <w:sz w:val="21"/>
          <w:szCs w:val="21"/>
        </w:rPr>
        <w:t>在政府采购活动中，供应商提供的工程符合下列情形的，享受中小企业扶持政策：</w:t>
      </w:r>
      <w:r>
        <w:rPr>
          <w:rFonts w:hint="eastAsia" w:ascii="宋体" w:hAnsi="宋体" w:eastAsia="宋体" w:cs="宋体"/>
          <w:sz w:val="21"/>
          <w:szCs w:val="21"/>
        </w:rPr>
        <w:t>在工程采购项目中，工程由中小企业承建，即工程施工单位为中小企业</w:t>
      </w:r>
      <w:r>
        <w:rPr>
          <w:rFonts w:hint="eastAsia" w:ascii="宋体" w:hAnsi="宋体" w:eastAsia="宋体" w:cs="宋体"/>
          <w:kern w:val="0"/>
          <w:sz w:val="21"/>
          <w:szCs w:val="21"/>
        </w:rPr>
        <w:t>。</w:t>
      </w:r>
    </w:p>
    <w:p w14:paraId="5064000D">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以联合体形式参加政府采购活动，联合体各方均为中小企业的，联合体视同中小企业。其中，联合体各方均为小微企业的，联合体视同小微企业。</w:t>
      </w:r>
    </w:p>
    <w:p w14:paraId="28AF2F13">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0" w:name="_Hlk101132181"/>
      <w:r>
        <w:rPr>
          <w:rFonts w:hint="eastAsia" w:ascii="宋体" w:hAnsi="宋体" w:eastAsia="宋体" w:cs="宋体"/>
          <w:sz w:val="21"/>
          <w:szCs w:val="21"/>
        </w:rPr>
        <w:t>联合协议或者分包意向协议约定小微企业的合同份额占到合同总金额30%以上的</w:t>
      </w:r>
      <w:bookmarkEnd w:id="50"/>
      <w:r>
        <w:rPr>
          <w:rFonts w:hint="eastAsia" w:ascii="宋体" w:hAnsi="宋体" w:eastAsia="宋体" w:cs="宋体"/>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b/>
          <w:szCs w:val="21"/>
          <w:highlight w:val="none"/>
        </w:rPr>
        <w:t>注：本项目是专门面向中小企业/小微企业采购，满足要求的供应商不再享受价格扣除优惠</w:t>
      </w:r>
      <w:r>
        <w:rPr>
          <w:rFonts w:hint="eastAsia" w:ascii="宋体" w:hAnsi="宋体" w:eastAsia="宋体" w:cs="宋体"/>
          <w:b/>
          <w:szCs w:val="21"/>
          <w:highlight w:val="none"/>
          <w:lang w:eastAsia="zh-CN"/>
        </w:rPr>
        <w:t>。</w:t>
      </w:r>
    </w:p>
    <w:p w14:paraId="3D0C818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3.3.4符合《关于促进残疾人就业政府采购政策的通知》（财库〔2017〕141号）规定的条件并提供《残疾人福利性单位声明函》（附件1）的残疾人福利性单位视同小型、微型企业；</w:t>
      </w:r>
    </w:p>
    <w:p w14:paraId="2F11EA9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DFEAB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6C4186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3.3.7中小企业享受扶持政策获得政府采购合同的，小微企业不得将合同分包给大中型企业，中型企业不得将合同分包给大型企业。</w:t>
      </w:r>
    </w:p>
    <w:p w14:paraId="2D422C7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w:t>
      </w:r>
      <w:r>
        <w:rPr>
          <w:rFonts w:hint="eastAsia" w:ascii="宋体" w:hAnsi="宋体" w:eastAsia="宋体" w:cs="宋体"/>
          <w:bCs/>
          <w:sz w:val="21"/>
          <w:szCs w:val="21"/>
        </w:rPr>
        <w:t>支持创新发展</w:t>
      </w:r>
    </w:p>
    <w:p w14:paraId="030602A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3.4.1 采购人优先采购被认定为首台套产品和“制造精品”的自主创新产品。</w:t>
      </w:r>
    </w:p>
    <w:p w14:paraId="14807DD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3.4.2首台套产品被纳入《首台套产品推广应用指导目录》之日起</w:t>
      </w:r>
      <w:r>
        <w:rPr>
          <w:rFonts w:hint="eastAsia" w:ascii="宋体" w:hAnsi="宋体" w:eastAsia="宋体" w:cs="宋体"/>
          <w:color w:val="auto"/>
          <w:sz w:val="21"/>
          <w:szCs w:val="21"/>
        </w:rPr>
        <w:t>3</w:t>
      </w:r>
      <w:r>
        <w:rPr>
          <w:rFonts w:hint="eastAsia" w:ascii="宋体" w:hAnsi="宋体" w:eastAsia="宋体" w:cs="宋体"/>
          <w:sz w:val="21"/>
          <w:szCs w:val="21"/>
        </w:rPr>
        <w:t>年内，以及产品核心技术高于国内领先水平，并具有明晰自主知识产权的“制造精品”产品，自认定之日起2年内视同已具备相应销售业绩，参加政府采购活动时业绩分值为满分。</w:t>
      </w:r>
    </w:p>
    <w:p w14:paraId="475F77E5">
      <w:pPr>
        <w:snapToGrid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3.5平等对待内外资企业和符合条件的破产重整企业：</w:t>
      </w:r>
    </w:p>
    <w:p w14:paraId="7B01B2EE">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平等对待内外资企业和符合条件的破产重整企业，切实保障企业公平竞争，平等维护企业的合法利益。</w:t>
      </w:r>
      <w:r>
        <w:rPr>
          <w:rFonts w:hint="eastAsia" w:ascii="宋体" w:hAnsi="宋体" w:eastAsia="宋体" w:cs="宋体"/>
          <w:sz w:val="21"/>
          <w:szCs w:val="21"/>
        </w:rPr>
        <w:cr/>
      </w:r>
      <w:r>
        <w:rPr>
          <w:rFonts w:hint="eastAsia" w:ascii="宋体" w:hAnsi="宋体" w:eastAsia="宋体" w:cs="宋体"/>
          <w:b/>
          <w:sz w:val="21"/>
          <w:szCs w:val="21"/>
        </w:rPr>
        <w:t>4. 询问、质疑、投诉</w:t>
      </w:r>
    </w:p>
    <w:p w14:paraId="60E086A2">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4.1在线询问、质疑、投诉</w:t>
      </w:r>
    </w:p>
    <w:p w14:paraId="1AC9A913">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189DD6">
      <w:pPr>
        <w:autoSpaceDE w:val="0"/>
        <w:autoSpaceDN w:val="0"/>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4.2供应商询问</w:t>
      </w:r>
    </w:p>
    <w:p w14:paraId="638B048A">
      <w:pPr>
        <w:autoSpaceDE w:val="0"/>
        <w:autoSpaceDN w:val="0"/>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BA79D9">
      <w:pPr>
        <w:autoSpaceDE w:val="0"/>
        <w:autoSpaceDN w:val="0"/>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4.3供应商质疑</w:t>
      </w:r>
    </w:p>
    <w:p w14:paraId="1170A000">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lang w:val="zh-CN"/>
        </w:rPr>
        <w:t>4.3</w:t>
      </w:r>
      <w:r>
        <w:rPr>
          <w:rFonts w:hint="eastAsia" w:ascii="宋体" w:hAnsi="宋体" w:eastAsia="宋体" w:cs="宋体"/>
          <w:sz w:val="21"/>
          <w:szCs w:val="21"/>
        </w:rPr>
        <w:t>.1提出质疑的供应商应当是参与所质疑项目采购活动的供应商。潜在供应商已依法获取其可质疑的采购文件的，可以对该文件提出质疑。</w:t>
      </w:r>
    </w:p>
    <w:p w14:paraId="2E54C4C9">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lang w:val="zh-CN"/>
        </w:rPr>
        <w:t>4.3</w:t>
      </w:r>
      <w:r>
        <w:rPr>
          <w:rFonts w:hint="eastAsia" w:ascii="宋体" w:hAnsi="宋体" w:eastAsia="宋体" w:cs="宋体"/>
          <w:sz w:val="21"/>
          <w:szCs w:val="21"/>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提出质疑，否则，采购人或者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不予受理：</w:t>
      </w:r>
    </w:p>
    <w:p w14:paraId="4415AC17">
      <w:pPr>
        <w:pStyle w:val="15"/>
        <w:spacing w:line="360" w:lineRule="auto"/>
        <w:ind w:firstLine="420" w:firstLineChars="200"/>
        <w:rPr>
          <w:rFonts w:hint="eastAsia" w:ascii="宋体" w:hAnsi="宋体" w:eastAsia="宋体" w:cs="宋体"/>
          <w:snapToGrid/>
          <w:color w:val="auto"/>
          <w:kern w:val="2"/>
          <w:sz w:val="21"/>
          <w:szCs w:val="21"/>
        </w:rPr>
      </w:pPr>
      <w:r>
        <w:rPr>
          <w:rFonts w:hint="eastAsia" w:ascii="宋体" w:hAnsi="宋体" w:eastAsia="宋体" w:cs="宋体"/>
          <w:snapToGrid/>
          <w:color w:val="auto"/>
          <w:kern w:val="2"/>
          <w:sz w:val="21"/>
          <w:szCs w:val="21"/>
        </w:rPr>
        <w:t>4.3.2.1对采购文件提出质疑的，质疑期限为供应商获得采购文件之日或者采购文件公告期限届满之日起计算。</w:t>
      </w:r>
    </w:p>
    <w:p w14:paraId="70937775">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4.3.2.2对采购过程提出质疑的，质疑期限为各采购程序环节结束之日起计算。</w:t>
      </w:r>
    </w:p>
    <w:p w14:paraId="4269C4FB">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4.3.2.3对采购结果提出质疑的，质疑期限自采购结果公告期限届满之日起计算。</w:t>
      </w:r>
    </w:p>
    <w:p w14:paraId="105C988F">
      <w:pPr>
        <w:pStyle w:val="31"/>
        <w:snapToGri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w:t>
      </w:r>
      <w:r>
        <w:rPr>
          <w:rFonts w:hint="eastAsia" w:ascii="宋体" w:hAnsi="宋体" w:eastAsia="宋体" w:cs="宋体"/>
          <w:sz w:val="21"/>
          <w:szCs w:val="21"/>
        </w:rPr>
        <w:t>供应商提出质疑应当提交质疑函和必要的证明材料。质疑函应当包括下列内容：</w:t>
      </w:r>
    </w:p>
    <w:p w14:paraId="2E287211">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4.3.3.1供应商的姓名或者名称、地址、邮编、联系人及联系电话；</w:t>
      </w:r>
    </w:p>
    <w:p w14:paraId="29FBA06F">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4.3.3.2质疑项目的名称、编号；</w:t>
      </w:r>
    </w:p>
    <w:p w14:paraId="13258B82">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4.3.3.3具体、明确的质疑事项和与质疑事项相关的请求；</w:t>
      </w:r>
    </w:p>
    <w:p w14:paraId="1BD83B55">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4.3.3.4事实依据；</w:t>
      </w:r>
    </w:p>
    <w:p w14:paraId="55D7D6B2">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4.3.3.5必要的法律依据；</w:t>
      </w:r>
    </w:p>
    <w:p w14:paraId="30EB9480">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4.3.3.6提出质疑的日期。</w:t>
      </w:r>
    </w:p>
    <w:p w14:paraId="19E2A444">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供应商提交的质疑函需一式三份。供应商为自然人的，应当由本人签字；供应商为法人或者其他组织的，应当由法定代表人、主要负责人，或者其授权代表签字或者盖章，并加盖公章。</w:t>
      </w:r>
    </w:p>
    <w:p w14:paraId="11A1369F">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质疑函范本及制作说明详见附件2。</w:t>
      </w:r>
    </w:p>
    <w:p w14:paraId="04A97301">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4.3.4对同一采购程序环节的质疑，供应商须在法定质疑期内一次性提出。</w:t>
      </w:r>
    </w:p>
    <w:p w14:paraId="28A2E50B">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zh-CN"/>
        </w:rPr>
        <w:t>4.3</w:t>
      </w:r>
      <w:r>
        <w:rPr>
          <w:rFonts w:hint="eastAsia" w:ascii="宋体" w:hAnsi="宋体" w:eastAsia="宋体" w:cs="宋体"/>
          <w:sz w:val="21"/>
          <w:szCs w:val="21"/>
        </w:rPr>
        <w:t>.5采购人或者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在质疑回复后5个工作日内，在浙江政府采购网的“其他公告”栏目公开质疑答复，答复内容应当完整。质疑函作为附件上传。</w:t>
      </w:r>
    </w:p>
    <w:p w14:paraId="5168E0B5">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zh-CN"/>
        </w:rPr>
        <w:t>4.3</w:t>
      </w:r>
      <w:r>
        <w:rPr>
          <w:rFonts w:hint="eastAsia" w:ascii="宋体" w:hAnsi="宋体" w:eastAsia="宋体" w:cs="宋体"/>
          <w:sz w:val="21"/>
          <w:szCs w:val="21"/>
        </w:rPr>
        <w:t>.6询问或者质疑事项可能影响采购结果的，采购人应当暂停签订合同，已经签订合同的，应当中止履行合同。</w:t>
      </w:r>
    </w:p>
    <w:p w14:paraId="066B2A4A">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4.4供应商投诉</w:t>
      </w:r>
    </w:p>
    <w:p w14:paraId="3D97E147">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4.4.1质疑供应商对采购人、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的答复不满意或者采购人、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未在规定的时间内作出答复的，可以在答复期满后十五个工作日内向同级政府采购监督管理部门提出投诉。</w:t>
      </w:r>
    </w:p>
    <w:p w14:paraId="666F36DB">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w:t>
      </w:r>
      <w:r>
        <w:rPr>
          <w:rFonts w:hint="eastAsia" w:ascii="宋体" w:hAnsi="宋体" w:eastAsia="宋体" w:cs="宋体"/>
          <w:sz w:val="21"/>
          <w:szCs w:val="21"/>
          <w:lang w:val="zh-CN"/>
        </w:rPr>
        <w:t>2</w:t>
      </w:r>
      <w:r>
        <w:rPr>
          <w:rFonts w:hint="eastAsia" w:ascii="宋体" w:hAnsi="宋体" w:eastAsia="宋体" w:cs="宋体"/>
          <w:sz w:val="21"/>
          <w:szCs w:val="21"/>
        </w:rPr>
        <w:t>供应商投诉的事项不得超出已质疑事项的范围，基于质疑答复内容提出的投诉事项除外。</w:t>
      </w:r>
    </w:p>
    <w:p w14:paraId="363F78B2">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4.4.3供应商投诉应当有明确的请求和必要的证明材料。</w:t>
      </w:r>
    </w:p>
    <w:p w14:paraId="398051A8">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4.4.4以联合体形式参加政府采购活动的，其投诉应当由组成联合体的所有供应商共同提出。</w:t>
      </w:r>
    </w:p>
    <w:p w14:paraId="766EA5E4">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投诉书范本及制作说明详见附件3。</w:t>
      </w:r>
    </w:p>
    <w:p w14:paraId="54832AE0">
      <w:pPr>
        <w:pStyle w:val="397"/>
        <w:snapToGrid w:val="0"/>
        <w:spacing w:before="0"/>
        <w:ind w:firstLine="360"/>
        <w:rPr>
          <w:rFonts w:hint="eastAsia" w:ascii="宋体" w:hAnsi="宋体" w:eastAsia="宋体" w:cs="宋体"/>
          <w:sz w:val="21"/>
          <w:szCs w:val="21"/>
        </w:rPr>
      </w:pPr>
    </w:p>
    <w:p w14:paraId="4BE3F9C1">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二、采购文件的构成、澄清、修改</w:t>
      </w:r>
    </w:p>
    <w:p w14:paraId="65110F3E">
      <w:pPr>
        <w:pStyle w:val="31"/>
        <w:spacing w:line="360" w:lineRule="auto"/>
        <w:rPr>
          <w:rFonts w:hint="eastAsia" w:ascii="宋体" w:hAnsi="宋体" w:eastAsia="宋体" w:cs="宋体"/>
          <w:b/>
          <w:sz w:val="21"/>
          <w:szCs w:val="21"/>
        </w:rPr>
      </w:pPr>
      <w:r>
        <w:rPr>
          <w:rFonts w:hint="eastAsia" w:ascii="宋体" w:hAnsi="宋体" w:eastAsia="宋体" w:cs="宋体"/>
          <w:b/>
          <w:sz w:val="21"/>
          <w:szCs w:val="21"/>
        </w:rPr>
        <w:t>5．采购文件的构成</w:t>
      </w:r>
    </w:p>
    <w:p w14:paraId="40446DAF">
      <w:pPr>
        <w:pStyle w:val="31"/>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 采购文件包括下列文件及附件：</w:t>
      </w:r>
    </w:p>
    <w:p w14:paraId="66927576">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5.1.1竞争性磋商公告；</w:t>
      </w:r>
    </w:p>
    <w:p w14:paraId="1FA8F50E">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5.1.2供应商须知；</w:t>
      </w:r>
    </w:p>
    <w:p w14:paraId="5D2D80EC">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5.1.3采购需求；</w:t>
      </w:r>
    </w:p>
    <w:p w14:paraId="5DCFDFCD">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5.1.4评审办法；</w:t>
      </w:r>
    </w:p>
    <w:p w14:paraId="4A46CFE4">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5.1.5拟签订的合同文本；</w:t>
      </w:r>
    </w:p>
    <w:p w14:paraId="47E3FE3D">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5.1.6应提交的有关格式范例。</w:t>
      </w:r>
    </w:p>
    <w:p w14:paraId="1AFA2A3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5.2与本项目有关的</w:t>
      </w:r>
      <w:r>
        <w:rPr>
          <w:rFonts w:hint="eastAsia" w:ascii="宋体" w:hAnsi="宋体" w:eastAsia="宋体" w:cs="宋体"/>
          <w:bCs/>
          <w:sz w:val="21"/>
          <w:szCs w:val="21"/>
        </w:rPr>
        <w:t>澄清或者修改的内容为采购文件的组成部分</w:t>
      </w:r>
      <w:r>
        <w:rPr>
          <w:rFonts w:hint="eastAsia" w:ascii="宋体" w:hAnsi="宋体" w:eastAsia="宋体" w:cs="宋体"/>
          <w:sz w:val="21"/>
          <w:szCs w:val="21"/>
        </w:rPr>
        <w:t>。</w:t>
      </w:r>
    </w:p>
    <w:p w14:paraId="2C22099C">
      <w:pPr>
        <w:pStyle w:val="31"/>
        <w:spacing w:line="360" w:lineRule="auto"/>
        <w:rPr>
          <w:rFonts w:hint="eastAsia" w:ascii="宋体" w:hAnsi="宋体" w:eastAsia="宋体" w:cs="宋体"/>
          <w:b/>
          <w:sz w:val="21"/>
          <w:szCs w:val="21"/>
        </w:rPr>
      </w:pPr>
      <w:r>
        <w:rPr>
          <w:rFonts w:hint="eastAsia" w:ascii="宋体" w:hAnsi="宋体" w:eastAsia="宋体" w:cs="宋体"/>
          <w:b/>
          <w:sz w:val="21"/>
          <w:szCs w:val="21"/>
        </w:rPr>
        <w:t>6. 采购文件的澄清、修改</w:t>
      </w:r>
    </w:p>
    <w:p w14:paraId="326230D8">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6.1已获取采购文件的潜在供应商，若有问题需要澄清，应于响应文件提交（上传）截止时间前，以书面形式向</w:t>
      </w:r>
      <w:r>
        <w:rPr>
          <w:rFonts w:hint="eastAsia" w:ascii="宋体" w:hAnsi="宋体" w:eastAsia="宋体" w:cs="宋体"/>
          <w:sz w:val="21"/>
          <w:szCs w:val="21"/>
          <w:lang w:eastAsia="zh-CN"/>
        </w:rPr>
        <w:t>采购代理机构</w:t>
      </w:r>
      <w:r>
        <w:rPr>
          <w:rFonts w:hint="eastAsia" w:ascii="宋体" w:hAnsi="宋体" w:eastAsia="宋体" w:cs="宋体"/>
          <w:sz w:val="21"/>
          <w:szCs w:val="21"/>
        </w:rPr>
        <w:t>提出。</w:t>
      </w:r>
    </w:p>
    <w:p w14:paraId="28ADA250">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 xml:space="preserve">6.2 </w:t>
      </w:r>
      <w:r>
        <w:rPr>
          <w:rFonts w:hint="eastAsia" w:ascii="宋体" w:hAnsi="宋体" w:eastAsia="宋体" w:cs="宋体"/>
          <w:sz w:val="21"/>
          <w:szCs w:val="21"/>
          <w:lang w:eastAsia="zh-CN"/>
        </w:rPr>
        <w:t>采购代理机构</w:t>
      </w:r>
      <w:r>
        <w:rPr>
          <w:rFonts w:hint="eastAsia" w:ascii="宋体" w:hAnsi="宋体" w:eastAsia="宋体" w:cs="宋体"/>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24D6210">
      <w:pPr>
        <w:pStyle w:val="397"/>
        <w:snapToGrid w:val="0"/>
        <w:spacing w:before="0"/>
        <w:ind w:firstLine="480"/>
        <w:rPr>
          <w:rFonts w:hint="eastAsia" w:ascii="宋体" w:hAnsi="宋体" w:eastAsia="宋体" w:cs="宋体"/>
          <w:sz w:val="21"/>
          <w:szCs w:val="21"/>
          <w:lang w:val="en-US"/>
        </w:rPr>
      </w:pPr>
      <w:r>
        <w:rPr>
          <w:rFonts w:hint="eastAsia" w:ascii="宋体" w:hAnsi="宋体" w:eastAsia="宋体" w:cs="宋体"/>
          <w:sz w:val="21"/>
          <w:szCs w:val="21"/>
          <w:lang w:val="en-US"/>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4E13C579">
      <w:pPr>
        <w:pStyle w:val="397"/>
        <w:snapToGrid w:val="0"/>
        <w:spacing w:before="0"/>
        <w:ind w:firstLine="480"/>
        <w:rPr>
          <w:rFonts w:hint="eastAsia" w:ascii="宋体" w:hAnsi="宋体" w:eastAsia="宋体" w:cs="宋体"/>
          <w:sz w:val="21"/>
          <w:szCs w:val="21"/>
          <w:lang w:val="en-US"/>
        </w:rPr>
      </w:pPr>
      <w:r>
        <w:rPr>
          <w:rFonts w:hint="eastAsia" w:ascii="宋体" w:hAnsi="宋体" w:eastAsia="宋体" w:cs="宋体"/>
          <w:sz w:val="21"/>
          <w:szCs w:val="21"/>
          <w:lang w:val="en-US"/>
        </w:rPr>
        <w:t>▲响应文件未按磋商文件的澄清、修改的内容编制，又不符合实质性要求的，响应无效。</w:t>
      </w:r>
    </w:p>
    <w:p w14:paraId="556E5B55">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三、提交响应文件</w:t>
      </w:r>
    </w:p>
    <w:p w14:paraId="5201FF37">
      <w:pPr>
        <w:pStyle w:val="31"/>
        <w:spacing w:line="360" w:lineRule="auto"/>
        <w:rPr>
          <w:rFonts w:hint="eastAsia" w:ascii="宋体" w:hAnsi="宋体" w:eastAsia="宋体" w:cs="宋体"/>
          <w:b/>
          <w:sz w:val="21"/>
          <w:szCs w:val="21"/>
        </w:rPr>
      </w:pPr>
      <w:r>
        <w:rPr>
          <w:rFonts w:hint="eastAsia" w:ascii="宋体" w:hAnsi="宋体" w:eastAsia="宋体" w:cs="宋体"/>
          <w:b/>
          <w:sz w:val="21"/>
          <w:szCs w:val="21"/>
        </w:rPr>
        <w:t>7. 采购文件的获取</w:t>
      </w:r>
    </w:p>
    <w:p w14:paraId="69E71B63">
      <w:pPr>
        <w:spacing w:line="360" w:lineRule="auto"/>
        <w:ind w:firstLine="420" w:firstLineChars="200"/>
        <w:rPr>
          <w:rFonts w:hint="eastAsia" w:ascii="宋体" w:hAnsi="宋体" w:eastAsia="宋体" w:cs="宋体"/>
          <w:snapToGrid w:val="0"/>
          <w:kern w:val="28"/>
          <w:sz w:val="21"/>
          <w:szCs w:val="21"/>
        </w:rPr>
      </w:pPr>
      <w:r>
        <w:rPr>
          <w:rFonts w:hint="eastAsia" w:ascii="宋体" w:hAnsi="宋体" w:eastAsia="宋体" w:cs="宋体"/>
          <w:snapToGrid w:val="0"/>
          <w:kern w:val="28"/>
          <w:sz w:val="21"/>
          <w:szCs w:val="21"/>
        </w:rPr>
        <w:t>详见竞争性磋商公告中获取采购文件的时间期限、地点、方式及采购文件售价。</w:t>
      </w:r>
    </w:p>
    <w:p w14:paraId="3D3F1B2F">
      <w:pPr>
        <w:pStyle w:val="31"/>
        <w:numPr>
          <w:ilvl w:val="0"/>
          <w:numId w:val="7"/>
        </w:numPr>
        <w:spacing w:line="360" w:lineRule="auto"/>
        <w:rPr>
          <w:rFonts w:hint="eastAsia" w:ascii="宋体" w:hAnsi="宋体" w:eastAsia="宋体" w:cs="宋体"/>
          <w:b/>
          <w:sz w:val="21"/>
          <w:szCs w:val="21"/>
        </w:rPr>
      </w:pPr>
      <w:r>
        <w:rPr>
          <w:rFonts w:hint="eastAsia" w:ascii="宋体" w:hAnsi="宋体" w:eastAsia="宋体" w:cs="宋体"/>
          <w:b/>
          <w:sz w:val="21"/>
          <w:szCs w:val="21"/>
        </w:rPr>
        <w:t>磋商前答疑会或现场考察</w:t>
      </w:r>
    </w:p>
    <w:p w14:paraId="72FE8EA6">
      <w:pPr>
        <w:pStyle w:val="31"/>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采购人组织潜在供应商现场考察或者召开磋商前答疑会的，潜在供应商按第</w:t>
      </w:r>
      <w:r>
        <w:rPr>
          <w:rFonts w:hint="eastAsia" w:ascii="宋体" w:hAnsi="宋体" w:eastAsia="宋体" w:cs="宋体"/>
          <w:sz w:val="21"/>
          <w:szCs w:val="21"/>
          <w:lang w:val="en-US" w:eastAsia="zh-CN"/>
        </w:rPr>
        <w:t>二</w:t>
      </w:r>
      <w:r>
        <w:rPr>
          <w:rFonts w:hint="eastAsia" w:ascii="宋体" w:hAnsi="宋体" w:eastAsia="宋体" w:cs="宋体"/>
          <w:sz w:val="21"/>
          <w:szCs w:val="21"/>
        </w:rPr>
        <w:t>部分供应商须知前附表的规定参加现场考察或者磋商前答疑会。</w:t>
      </w:r>
    </w:p>
    <w:p w14:paraId="2ACD0A78">
      <w:pPr>
        <w:pStyle w:val="31"/>
        <w:numPr>
          <w:ilvl w:val="0"/>
          <w:numId w:val="7"/>
        </w:numPr>
        <w:spacing w:line="360" w:lineRule="auto"/>
        <w:ind w:left="0" w:leftChars="0" w:firstLine="0" w:firstLineChars="0"/>
        <w:rPr>
          <w:rFonts w:hint="eastAsia" w:ascii="宋体" w:hAnsi="宋体" w:eastAsia="宋体" w:cs="宋体"/>
          <w:b/>
          <w:sz w:val="21"/>
          <w:szCs w:val="21"/>
        </w:rPr>
      </w:pPr>
      <w:r>
        <w:rPr>
          <w:rFonts w:hint="eastAsia" w:ascii="宋体" w:hAnsi="宋体" w:eastAsia="宋体" w:cs="宋体"/>
          <w:b/>
          <w:kern w:val="28"/>
          <w:sz w:val="21"/>
          <w:szCs w:val="21"/>
        </w:rPr>
        <w:t>磋商保证金</w:t>
      </w:r>
    </w:p>
    <w:p w14:paraId="24361C6E">
      <w:pPr>
        <w:pStyle w:val="15"/>
        <w:spacing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本项目不需缴纳磋商保证金。</w:t>
      </w:r>
    </w:p>
    <w:p w14:paraId="010E128F">
      <w:pPr>
        <w:pStyle w:val="31"/>
        <w:spacing w:line="360" w:lineRule="auto"/>
        <w:rPr>
          <w:rFonts w:hint="eastAsia" w:ascii="宋体" w:hAnsi="宋体" w:eastAsia="宋体" w:cs="宋体"/>
          <w:b/>
          <w:sz w:val="21"/>
          <w:szCs w:val="21"/>
        </w:rPr>
      </w:pPr>
      <w:r>
        <w:rPr>
          <w:rFonts w:hint="eastAsia" w:ascii="宋体" w:hAnsi="宋体" w:eastAsia="宋体" w:cs="宋体"/>
          <w:b/>
          <w:sz w:val="21"/>
          <w:szCs w:val="21"/>
        </w:rPr>
        <w:t>10. 响应文件的语言</w:t>
      </w:r>
    </w:p>
    <w:p w14:paraId="367ED24A">
      <w:pPr>
        <w:autoSpaceDE w:val="0"/>
        <w:autoSpaceDN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响应文件及供应商与采购有关的来往通知、函件和文件均应使用中文。</w:t>
      </w:r>
    </w:p>
    <w:p w14:paraId="409EA35F">
      <w:pPr>
        <w:pStyle w:val="31"/>
        <w:spacing w:line="360" w:lineRule="auto"/>
        <w:rPr>
          <w:rFonts w:hint="eastAsia" w:ascii="宋体" w:hAnsi="宋体" w:eastAsia="宋体" w:cs="宋体"/>
          <w:b/>
          <w:sz w:val="21"/>
          <w:szCs w:val="21"/>
        </w:rPr>
      </w:pPr>
      <w:r>
        <w:rPr>
          <w:rFonts w:hint="eastAsia" w:ascii="宋体" w:hAnsi="宋体" w:eastAsia="宋体" w:cs="宋体"/>
          <w:b/>
          <w:sz w:val="21"/>
          <w:szCs w:val="21"/>
        </w:rPr>
        <w:t>11. 响应文件的组成</w:t>
      </w:r>
    </w:p>
    <w:p w14:paraId="6FAC1DA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w:t>
      </w:r>
      <w:r>
        <w:rPr>
          <w:rFonts w:hint="eastAsia" w:ascii="宋体" w:hAnsi="宋体" w:eastAsia="宋体" w:cs="宋体"/>
          <w:b/>
          <w:sz w:val="21"/>
          <w:szCs w:val="21"/>
        </w:rPr>
        <w:t>资格文件</w:t>
      </w:r>
      <w:r>
        <w:rPr>
          <w:rFonts w:hint="eastAsia" w:ascii="宋体" w:hAnsi="宋体" w:eastAsia="宋体" w:cs="宋体"/>
          <w:sz w:val="21"/>
          <w:szCs w:val="21"/>
        </w:rPr>
        <w:t>：</w:t>
      </w:r>
    </w:p>
    <w:p w14:paraId="14E12BD3">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11.1.1符合参加政府采购活动应当具备的一般条件的承诺函；</w:t>
      </w:r>
    </w:p>
    <w:p w14:paraId="104DFD79">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11.1.</w:t>
      </w:r>
      <w:r>
        <w:rPr>
          <w:rFonts w:hint="eastAsia" w:ascii="宋体" w:hAnsi="宋体" w:cs="宋体"/>
          <w:sz w:val="21"/>
          <w:szCs w:val="21"/>
          <w:lang w:val="en-US" w:eastAsia="zh-CN"/>
        </w:rPr>
        <w:t>2</w:t>
      </w:r>
      <w:r>
        <w:rPr>
          <w:rFonts w:hint="eastAsia" w:ascii="宋体" w:hAnsi="宋体" w:eastAsia="宋体" w:cs="宋体"/>
          <w:sz w:val="21"/>
          <w:szCs w:val="21"/>
        </w:rPr>
        <w:t>落实政府采购政策需满足的资格要求；</w:t>
      </w:r>
    </w:p>
    <w:p w14:paraId="5620E2CB">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11.1.</w:t>
      </w:r>
      <w:r>
        <w:rPr>
          <w:rFonts w:hint="eastAsia" w:ascii="宋体" w:hAnsi="宋体" w:cs="宋体"/>
          <w:sz w:val="21"/>
          <w:szCs w:val="21"/>
          <w:lang w:val="en-US" w:eastAsia="zh-CN"/>
        </w:rPr>
        <w:t>3</w:t>
      </w:r>
      <w:r>
        <w:rPr>
          <w:rFonts w:hint="eastAsia" w:ascii="宋体" w:hAnsi="宋体" w:eastAsia="宋体" w:cs="宋体"/>
          <w:sz w:val="21"/>
          <w:szCs w:val="21"/>
        </w:rPr>
        <w:t>本项目的特定资格要求。</w:t>
      </w:r>
    </w:p>
    <w:p w14:paraId="3052EA3C">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11.</w:t>
      </w:r>
      <w:r>
        <w:rPr>
          <w:rFonts w:hint="eastAsia" w:ascii="宋体" w:hAnsi="宋体" w:eastAsia="宋体" w:cs="宋体"/>
          <w:sz w:val="21"/>
          <w:szCs w:val="21"/>
        </w:rPr>
        <w:t>2</w:t>
      </w:r>
      <w:r>
        <w:rPr>
          <w:rFonts w:hint="eastAsia" w:ascii="宋体" w:hAnsi="宋体" w:eastAsia="宋体" w:cs="宋体"/>
          <w:sz w:val="21"/>
          <w:szCs w:val="21"/>
          <w:lang w:val="zh-CN"/>
        </w:rPr>
        <w:t xml:space="preserve">  </w:t>
      </w:r>
      <w:r>
        <w:rPr>
          <w:rFonts w:hint="eastAsia" w:ascii="宋体" w:hAnsi="宋体" w:eastAsia="宋体" w:cs="宋体"/>
          <w:sz w:val="21"/>
          <w:szCs w:val="21"/>
        </w:rPr>
        <w:t>商务技术</w:t>
      </w:r>
      <w:r>
        <w:rPr>
          <w:rFonts w:hint="eastAsia" w:ascii="宋体" w:hAnsi="宋体" w:eastAsia="宋体" w:cs="宋体"/>
          <w:sz w:val="21"/>
          <w:szCs w:val="21"/>
          <w:lang w:val="zh-CN"/>
        </w:rPr>
        <w:t>文件：</w:t>
      </w:r>
    </w:p>
    <w:p w14:paraId="48EBD86B">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11.2.1响应函；</w:t>
      </w:r>
      <w:r>
        <w:rPr>
          <w:rFonts w:hint="eastAsia" w:ascii="宋体" w:hAnsi="宋体" w:eastAsia="宋体" w:cs="宋体"/>
          <w:sz w:val="21"/>
          <w:szCs w:val="21"/>
          <w:lang w:val="zh-CN"/>
        </w:rPr>
        <w:t xml:space="preserve"> </w:t>
      </w:r>
    </w:p>
    <w:p w14:paraId="35F6D4A2">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11.2.2授权委托书或法定代表人（单位负责人、自然人本人）身份证明；</w:t>
      </w:r>
    </w:p>
    <w:p w14:paraId="2F4357E5">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w:t>
      </w:r>
      <w:r>
        <w:rPr>
          <w:rFonts w:hint="eastAsia" w:ascii="宋体" w:hAnsi="宋体" w:cs="宋体"/>
          <w:sz w:val="21"/>
          <w:szCs w:val="21"/>
          <w:lang w:val="en-US" w:eastAsia="zh-CN"/>
        </w:rPr>
        <w:t>3</w:t>
      </w:r>
      <w:r>
        <w:rPr>
          <w:rFonts w:hint="eastAsia" w:ascii="宋体" w:hAnsi="宋体" w:eastAsia="宋体" w:cs="宋体"/>
          <w:sz w:val="21"/>
          <w:szCs w:val="21"/>
        </w:rPr>
        <w:t>评审标准相应的商务技术资料；</w:t>
      </w:r>
    </w:p>
    <w:p w14:paraId="6A37BC5B">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w:t>
      </w:r>
      <w:r>
        <w:rPr>
          <w:rFonts w:hint="eastAsia" w:ascii="宋体" w:hAnsi="宋体" w:cs="宋体"/>
          <w:sz w:val="21"/>
          <w:szCs w:val="21"/>
          <w:lang w:val="en-US" w:eastAsia="zh-CN"/>
        </w:rPr>
        <w:t>4</w:t>
      </w:r>
      <w:r>
        <w:rPr>
          <w:rFonts w:hint="eastAsia" w:ascii="宋体" w:hAnsi="宋体" w:eastAsia="宋体" w:cs="宋体"/>
          <w:sz w:val="21"/>
          <w:szCs w:val="21"/>
        </w:rPr>
        <w:t>商务技术偏离表；</w:t>
      </w:r>
    </w:p>
    <w:p w14:paraId="50243772">
      <w:pPr>
        <w:snapToGrid w:val="0"/>
        <w:spacing w:line="360" w:lineRule="auto"/>
        <w:ind w:firstLine="840" w:firstLineChars="400"/>
        <w:rPr>
          <w:rFonts w:hint="eastAsia" w:ascii="宋体" w:hAnsi="宋体" w:eastAsia="宋体" w:cs="宋体"/>
          <w:sz w:val="21"/>
          <w:szCs w:val="21"/>
          <w:lang w:val="zh-CN"/>
        </w:rPr>
      </w:pPr>
      <w:r>
        <w:rPr>
          <w:rFonts w:hint="eastAsia" w:ascii="宋体" w:hAnsi="宋体" w:eastAsia="宋体" w:cs="宋体"/>
          <w:sz w:val="21"/>
          <w:szCs w:val="21"/>
          <w:lang w:val="zh-CN"/>
        </w:rPr>
        <w:t>11.</w:t>
      </w:r>
      <w:r>
        <w:rPr>
          <w:rFonts w:hint="eastAsia" w:ascii="宋体" w:hAnsi="宋体" w:eastAsia="宋体" w:cs="宋体"/>
          <w:sz w:val="21"/>
          <w:szCs w:val="21"/>
        </w:rPr>
        <w:t>2</w:t>
      </w:r>
      <w:r>
        <w:rPr>
          <w:rFonts w:hint="eastAsia" w:ascii="宋体" w:hAnsi="宋体" w:eastAsia="宋体" w:cs="宋体"/>
          <w:sz w:val="21"/>
          <w:szCs w:val="21"/>
          <w:lang w:val="zh-CN"/>
        </w:rPr>
        <w:t>.</w:t>
      </w:r>
      <w:r>
        <w:rPr>
          <w:rFonts w:hint="eastAsia" w:ascii="宋体" w:hAnsi="宋体" w:cs="宋体"/>
          <w:sz w:val="21"/>
          <w:szCs w:val="21"/>
          <w:lang w:val="en-US" w:eastAsia="zh-CN"/>
        </w:rPr>
        <w:t>5</w:t>
      </w:r>
      <w:r>
        <w:rPr>
          <w:rFonts w:hint="eastAsia" w:ascii="宋体" w:hAnsi="宋体" w:eastAsia="宋体" w:cs="宋体"/>
          <w:sz w:val="21"/>
          <w:szCs w:val="21"/>
          <w:lang w:val="zh-CN"/>
        </w:rPr>
        <w:t>政府采购供应商廉洁自律承诺书。</w:t>
      </w:r>
    </w:p>
    <w:p w14:paraId="4EBC24AF">
      <w:pPr>
        <w:snapToGrid w:val="0"/>
        <w:spacing w:line="360" w:lineRule="auto"/>
        <w:ind w:firstLine="420" w:firstLineChars="200"/>
        <w:rPr>
          <w:rFonts w:hint="eastAsia" w:ascii="宋体" w:hAnsi="宋体" w:eastAsia="宋体" w:cs="宋体"/>
          <w:sz w:val="21"/>
          <w:szCs w:val="21"/>
          <w:u w:val="single"/>
          <w:lang w:val="zh-CN"/>
        </w:rPr>
      </w:pPr>
      <w:r>
        <w:rPr>
          <w:rFonts w:hint="eastAsia" w:ascii="宋体" w:hAnsi="宋体" w:eastAsia="宋体" w:cs="宋体"/>
          <w:kern w:val="0"/>
          <w:sz w:val="21"/>
          <w:szCs w:val="21"/>
          <w:lang w:val="zh-CN"/>
        </w:rPr>
        <w:t>11.</w:t>
      </w:r>
      <w:r>
        <w:rPr>
          <w:rFonts w:hint="eastAsia" w:ascii="宋体" w:hAnsi="宋体" w:eastAsia="宋体" w:cs="宋体"/>
          <w:kern w:val="0"/>
          <w:sz w:val="21"/>
          <w:szCs w:val="21"/>
        </w:rPr>
        <w:t>3</w:t>
      </w:r>
      <w:r>
        <w:rPr>
          <w:rFonts w:hint="eastAsia" w:ascii="宋体" w:hAnsi="宋体" w:eastAsia="宋体" w:cs="宋体"/>
          <w:b/>
          <w:sz w:val="21"/>
          <w:szCs w:val="21"/>
        </w:rPr>
        <w:t>报价文件：</w:t>
      </w:r>
      <w:r>
        <w:rPr>
          <w:rFonts w:hint="eastAsia" w:ascii="宋体" w:hAnsi="宋体" w:eastAsia="宋体" w:cs="宋体"/>
          <w:sz w:val="21"/>
          <w:szCs w:val="21"/>
        </w:rPr>
        <w:t xml:space="preserve"> </w:t>
      </w:r>
    </w:p>
    <w:p w14:paraId="16E8418E">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11.3.1报价单；</w:t>
      </w:r>
    </w:p>
    <w:p w14:paraId="4873A4CE">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11.3.2已标价工程量清单；</w:t>
      </w:r>
    </w:p>
    <w:p w14:paraId="499725FD">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11.3.3中小企业声明函。</w:t>
      </w:r>
    </w:p>
    <w:p w14:paraId="0BCB5BCD">
      <w:pPr>
        <w:spacing w:line="360" w:lineRule="auto"/>
        <w:ind w:firstLine="632" w:firstLineChars="300"/>
        <w:rPr>
          <w:rFonts w:hint="eastAsia" w:ascii="宋体" w:hAnsi="宋体" w:eastAsia="宋体" w:cs="宋体"/>
          <w:b/>
          <w:sz w:val="21"/>
          <w:szCs w:val="21"/>
        </w:rPr>
      </w:pPr>
      <w:r>
        <w:rPr>
          <w:rFonts w:hint="eastAsia" w:ascii="宋体" w:hAnsi="宋体" w:eastAsia="宋体" w:cs="宋体"/>
          <w:b/>
          <w:sz w:val="21"/>
          <w:szCs w:val="21"/>
        </w:rPr>
        <w:t>响应文件含有采购人不能接受的附加条件的，响应文件无效；</w:t>
      </w:r>
    </w:p>
    <w:p w14:paraId="7A71D529">
      <w:pPr>
        <w:spacing w:line="360" w:lineRule="auto"/>
        <w:ind w:firstLine="632" w:firstLineChars="300"/>
        <w:rPr>
          <w:rFonts w:hint="eastAsia" w:ascii="宋体" w:hAnsi="宋体" w:eastAsia="宋体" w:cs="宋体"/>
          <w:b/>
          <w:sz w:val="21"/>
          <w:szCs w:val="21"/>
        </w:rPr>
      </w:pPr>
      <w:r>
        <w:rPr>
          <w:rFonts w:hint="eastAsia" w:ascii="宋体" w:hAnsi="宋体" w:eastAsia="宋体" w:cs="宋体"/>
          <w:b/>
          <w:sz w:val="21"/>
          <w:szCs w:val="21"/>
        </w:rPr>
        <w:t>供应商提供虚假材料的，响应文件无效。</w:t>
      </w:r>
    </w:p>
    <w:p w14:paraId="51773765">
      <w:pPr>
        <w:pStyle w:val="397"/>
        <w:snapToGrid w:val="0"/>
        <w:spacing w:before="0"/>
        <w:ind w:firstLine="0" w:firstLineChars="0"/>
        <w:outlineLvl w:val="0"/>
        <w:rPr>
          <w:rFonts w:hint="eastAsia" w:ascii="宋体" w:hAnsi="宋体" w:eastAsia="宋体" w:cs="宋体"/>
          <w:b/>
          <w:sz w:val="21"/>
          <w:szCs w:val="21"/>
        </w:rPr>
      </w:pPr>
      <w:r>
        <w:rPr>
          <w:rFonts w:hint="eastAsia" w:ascii="宋体" w:hAnsi="宋体" w:eastAsia="宋体" w:cs="宋体"/>
          <w:b/>
          <w:sz w:val="21"/>
          <w:szCs w:val="21"/>
        </w:rPr>
        <w:t>12</w:t>
      </w:r>
      <w:r>
        <w:rPr>
          <w:rFonts w:hint="eastAsia" w:ascii="宋体" w:hAnsi="宋体" w:eastAsia="宋体" w:cs="宋体"/>
          <w:b/>
          <w:kern w:val="0"/>
          <w:sz w:val="21"/>
          <w:szCs w:val="21"/>
          <w:lang w:val="zh-CN"/>
        </w:rPr>
        <w:t xml:space="preserve">. </w:t>
      </w:r>
      <w:r>
        <w:rPr>
          <w:rFonts w:hint="eastAsia" w:ascii="宋体" w:hAnsi="宋体" w:eastAsia="宋体" w:cs="宋体"/>
          <w:b/>
          <w:sz w:val="21"/>
          <w:szCs w:val="21"/>
        </w:rPr>
        <w:t>响应文件的编制</w:t>
      </w:r>
    </w:p>
    <w:p w14:paraId="735DC022">
      <w:pPr>
        <w:spacing w:line="360" w:lineRule="auto"/>
        <w:ind w:firstLine="420" w:firstLineChars="200"/>
        <w:rPr>
          <w:rFonts w:hint="eastAsia" w:ascii="宋体" w:hAnsi="宋体" w:eastAsia="宋体" w:cs="宋体"/>
          <w:b/>
          <w:sz w:val="21"/>
          <w:szCs w:val="21"/>
        </w:rPr>
      </w:pPr>
      <w:r>
        <w:rPr>
          <w:rFonts w:hint="eastAsia" w:ascii="宋体" w:hAnsi="宋体" w:eastAsia="宋体" w:cs="宋体"/>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3853044">
      <w:pPr>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C80619C">
      <w:pPr>
        <w:snapToGri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12.3使用“政采云电子交易客户端”需要提前申领CA数字证书，申领流程请自行前往“浙江政府采购网-下载专区-电子交易客户端-CA驱动和申领流程”进行查阅。</w:t>
      </w:r>
    </w:p>
    <w:p w14:paraId="2BE8571C">
      <w:pPr>
        <w:numPr>
          <w:ilvl w:val="0"/>
          <w:numId w:val="8"/>
        </w:num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响应文件的签署、盖章</w:t>
      </w:r>
    </w:p>
    <w:p w14:paraId="02F7F92F">
      <w:pPr>
        <w:pStyle w:val="397"/>
        <w:snapToGrid w:val="0"/>
        <w:spacing w:before="0"/>
        <w:ind w:firstLine="480"/>
        <w:rPr>
          <w:rFonts w:hint="eastAsia" w:ascii="宋体" w:hAnsi="宋体" w:eastAsia="宋体" w:cs="宋体"/>
          <w:b/>
          <w:sz w:val="21"/>
          <w:szCs w:val="21"/>
        </w:rPr>
      </w:pPr>
      <w:r>
        <w:rPr>
          <w:rFonts w:hint="eastAsia" w:ascii="宋体" w:hAnsi="宋体" w:eastAsia="宋体" w:cs="宋体"/>
          <w:sz w:val="21"/>
          <w:szCs w:val="21"/>
        </w:rPr>
        <w:t>13.1响应文件按照采购文件第六部分格式要求进行签署、盖章。</w:t>
      </w:r>
      <w:r>
        <w:rPr>
          <w:rFonts w:hint="eastAsia" w:ascii="宋体" w:hAnsi="宋体" w:eastAsia="宋体" w:cs="宋体"/>
          <w:b/>
          <w:sz w:val="21"/>
          <w:szCs w:val="21"/>
        </w:rPr>
        <w:t>▲供应商的响应文件未按照采购文件要求签署、盖章的，其响应文件无效</w:t>
      </w:r>
      <w:r>
        <w:rPr>
          <w:rFonts w:hint="eastAsia" w:ascii="宋体" w:hAnsi="宋体" w:eastAsia="宋体" w:cs="宋体"/>
          <w:sz w:val="21"/>
          <w:szCs w:val="21"/>
        </w:rPr>
        <w:t>。</w:t>
      </w:r>
    </w:p>
    <w:p w14:paraId="60F73409">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724F42DB">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13.3采购文件对响应文件签署、盖章的要求适用于电子签名。</w:t>
      </w:r>
    </w:p>
    <w:p w14:paraId="566C9BF4">
      <w:pPr>
        <w:pStyle w:val="397"/>
        <w:snapToGrid w:val="0"/>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14. 响应文件的提交、补充、修改、撤回</w:t>
      </w:r>
    </w:p>
    <w:p w14:paraId="4E40E697">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6F62000">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14.2 在响应截止时间以后，不能补充、修改响应文件。</w:t>
      </w:r>
    </w:p>
    <w:p w14:paraId="4C635037">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14.3 在提交“最后报价”后，供应商不能退出磋商。</w:t>
      </w:r>
    </w:p>
    <w:p w14:paraId="08CB2603">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14.4电子交易平台收到响应文件，将妥善保存并即时向供应商发出确认回执通知。在响应文件提交（上传）截止时间前，除供应商补充、修改或者撤回响应文件外，任何单位和个人不得解密或提取响应文件。</w:t>
      </w:r>
    </w:p>
    <w:p w14:paraId="306FA8B4">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14.5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3238FA52">
      <w:pPr>
        <w:pStyle w:val="397"/>
        <w:snapToGrid w:val="0"/>
        <w:spacing w:before="0"/>
        <w:ind w:firstLine="480"/>
        <w:rPr>
          <w:rFonts w:hint="eastAsia" w:ascii="宋体" w:hAnsi="宋体" w:eastAsia="宋体" w:cs="宋体"/>
          <w:b/>
          <w:sz w:val="21"/>
          <w:szCs w:val="21"/>
        </w:rPr>
      </w:pPr>
      <w:r>
        <w:rPr>
          <w:rFonts w:hint="eastAsia" w:ascii="宋体" w:hAnsi="宋体" w:eastAsia="宋体" w:cs="宋体"/>
          <w:b/>
          <w:sz w:val="21"/>
          <w:szCs w:val="21"/>
          <w:lang w:val="en-US" w:eastAsia="zh-CN"/>
        </w:rPr>
        <w:t xml:space="preserve">15. </w:t>
      </w:r>
      <w:r>
        <w:rPr>
          <w:rFonts w:hint="eastAsia" w:ascii="宋体" w:hAnsi="宋体" w:eastAsia="宋体" w:cs="宋体"/>
          <w:b/>
          <w:sz w:val="21"/>
          <w:szCs w:val="21"/>
        </w:rPr>
        <w:t>备份响应文件</w:t>
      </w:r>
    </w:p>
    <w:p w14:paraId="56DB6AF5">
      <w:pPr>
        <w:pStyle w:val="31"/>
        <w:snapToGrid w:val="0"/>
        <w:spacing w:line="360" w:lineRule="auto"/>
        <w:ind w:firstLine="315" w:firstLineChars="150"/>
        <w:rPr>
          <w:rFonts w:hint="eastAsia" w:ascii="宋体" w:hAnsi="宋体" w:eastAsia="宋体" w:cs="宋体"/>
          <w:b/>
          <w:sz w:val="21"/>
          <w:szCs w:val="21"/>
        </w:rPr>
      </w:pPr>
      <w:r>
        <w:rPr>
          <w:rFonts w:hint="eastAsia" w:ascii="宋体" w:hAnsi="宋体" w:eastAsia="宋体" w:cs="宋体"/>
          <w:sz w:val="21"/>
          <w:szCs w:val="21"/>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sz w:val="21"/>
          <w:szCs w:val="21"/>
        </w:rPr>
        <w:t>但采购人、</w:t>
      </w:r>
      <w:r>
        <w:rPr>
          <w:rFonts w:hint="eastAsia" w:ascii="宋体" w:hAnsi="宋体" w:eastAsia="宋体" w:cs="宋体"/>
          <w:b/>
          <w:sz w:val="21"/>
          <w:szCs w:val="21"/>
          <w:lang w:eastAsia="zh-CN"/>
        </w:rPr>
        <w:t>采购代理机构</w:t>
      </w:r>
      <w:r>
        <w:rPr>
          <w:rFonts w:hint="eastAsia" w:ascii="宋体" w:hAnsi="宋体" w:eastAsia="宋体" w:cs="宋体"/>
          <w:b/>
          <w:sz w:val="21"/>
          <w:szCs w:val="21"/>
        </w:rPr>
        <w:t>不强制或变相强制供应商提交备份响应文件。</w:t>
      </w:r>
    </w:p>
    <w:p w14:paraId="59A3879D">
      <w:pPr>
        <w:pStyle w:val="31"/>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15.2备份响应文件须在“政采云投标客户端”制作生成，并储存在DVD光盘</w:t>
      </w:r>
      <w:r>
        <w:rPr>
          <w:rFonts w:hint="eastAsia" w:ascii="宋体" w:hAnsi="宋体" w:eastAsia="宋体" w:cs="宋体"/>
          <w:sz w:val="21"/>
          <w:szCs w:val="21"/>
          <w:lang w:val="en-US" w:eastAsia="zh-CN"/>
        </w:rPr>
        <w:t>等存储介质</w:t>
      </w:r>
      <w:r>
        <w:rPr>
          <w:rFonts w:hint="eastAsia" w:ascii="宋体" w:hAnsi="宋体" w:eastAsia="宋体" w:cs="宋体"/>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sz w:val="21"/>
          <w:szCs w:val="21"/>
        </w:rPr>
        <w:t>不符合上述制作、存储、密封规定的备份响应文件将被视为无效或者被拒绝接收。</w:t>
      </w:r>
    </w:p>
    <w:p w14:paraId="4B114F7F">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15.3直接提交备份响应文件的，供应商应于响应文件提交（上传）截止时间前在竞争性磋商公告中载明的响应文件开启地点将备份响应文件提交给</w:t>
      </w:r>
      <w:r>
        <w:rPr>
          <w:rFonts w:hint="eastAsia" w:ascii="宋体" w:hAnsi="宋体" w:eastAsia="宋体" w:cs="宋体"/>
          <w:sz w:val="21"/>
          <w:szCs w:val="21"/>
          <w:lang w:eastAsia="zh-CN"/>
        </w:rPr>
        <w:t>采购代理机构</w:t>
      </w:r>
      <w:r>
        <w:rPr>
          <w:rFonts w:hint="eastAsia" w:ascii="宋体" w:hAnsi="宋体" w:eastAsia="宋体" w:cs="宋体"/>
          <w:sz w:val="21"/>
          <w:szCs w:val="21"/>
        </w:rPr>
        <w:t>，</w:t>
      </w:r>
      <w:r>
        <w:rPr>
          <w:rFonts w:hint="eastAsia" w:ascii="宋体" w:hAnsi="宋体" w:eastAsia="宋体" w:cs="宋体"/>
          <w:sz w:val="21"/>
          <w:szCs w:val="21"/>
          <w:lang w:eastAsia="zh-CN"/>
        </w:rPr>
        <w:t>采购代理机构</w:t>
      </w:r>
      <w:r>
        <w:rPr>
          <w:rFonts w:hint="eastAsia" w:ascii="宋体" w:hAnsi="宋体" w:eastAsia="宋体" w:cs="宋体"/>
          <w:sz w:val="21"/>
          <w:szCs w:val="21"/>
        </w:rPr>
        <w:t>将拒绝接受逾期送达的备份响应文件。</w:t>
      </w:r>
    </w:p>
    <w:p w14:paraId="3C826195">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sz w:val="21"/>
          <w:szCs w:val="21"/>
        </w:rPr>
        <w:t>采购文件第</w:t>
      </w:r>
      <w:r>
        <w:rPr>
          <w:rFonts w:hint="eastAsia" w:ascii="宋体" w:hAnsi="宋体" w:eastAsia="宋体" w:cs="宋体"/>
          <w:snapToGrid/>
          <w:sz w:val="21"/>
          <w:szCs w:val="21"/>
          <w:lang w:val="en-US" w:eastAsia="zh-CN"/>
        </w:rPr>
        <w:t>二</w:t>
      </w:r>
      <w:r>
        <w:rPr>
          <w:rFonts w:hint="eastAsia" w:ascii="宋体" w:hAnsi="宋体" w:eastAsia="宋体" w:cs="宋体"/>
          <w:snapToGrid/>
          <w:sz w:val="21"/>
          <w:szCs w:val="21"/>
        </w:rPr>
        <w:t>部分供应商须知前附表规定的备份响应文件送达地点；</w:t>
      </w:r>
      <w:r>
        <w:rPr>
          <w:rFonts w:hint="eastAsia" w:ascii="宋体" w:hAnsi="宋体" w:eastAsia="宋体" w:cs="宋体"/>
          <w:sz w:val="21"/>
          <w:szCs w:val="21"/>
        </w:rPr>
        <w:t>送达时间以签收人签收时间为准。</w:t>
      </w:r>
      <w:r>
        <w:rPr>
          <w:rFonts w:hint="eastAsia" w:ascii="宋体" w:hAnsi="宋体" w:eastAsia="宋体" w:cs="宋体"/>
          <w:sz w:val="21"/>
          <w:szCs w:val="21"/>
          <w:lang w:eastAsia="zh-CN"/>
        </w:rPr>
        <w:t>采购代理机构</w:t>
      </w:r>
      <w:r>
        <w:rPr>
          <w:rFonts w:hint="eastAsia" w:ascii="宋体" w:hAnsi="宋体" w:eastAsia="宋体" w:cs="宋体"/>
          <w:sz w:val="21"/>
          <w:szCs w:val="21"/>
        </w:rPr>
        <w:t>将拒绝接受逾期送达的备份响应文件。邮寄过程中，电子备份响应文件发生泄露、遗失、损坏或延期送达等情况的，由供应商自行负责。</w:t>
      </w:r>
    </w:p>
    <w:p w14:paraId="4CEA4927">
      <w:pPr>
        <w:pStyle w:val="31"/>
        <w:snapToGrid w:val="0"/>
        <w:spacing w:line="360" w:lineRule="auto"/>
        <w:ind w:firstLine="420" w:firstLineChars="199"/>
        <w:rPr>
          <w:rFonts w:hint="eastAsia" w:ascii="宋体" w:hAnsi="宋体" w:eastAsia="宋体" w:cs="宋体"/>
          <w:b/>
          <w:sz w:val="21"/>
          <w:szCs w:val="21"/>
        </w:rPr>
      </w:pPr>
      <w:r>
        <w:rPr>
          <w:rFonts w:hint="eastAsia" w:ascii="宋体" w:hAnsi="宋体" w:eastAsia="宋体" w:cs="宋体"/>
          <w:b/>
          <w:sz w:val="21"/>
          <w:szCs w:val="21"/>
        </w:rPr>
        <w:t>15.5供应商仅提交备份响应文件，未在电子交易平台传输递交响应文件的，响应文件无效。</w:t>
      </w:r>
    </w:p>
    <w:p w14:paraId="22E2EC81">
      <w:pPr>
        <w:pStyle w:val="397"/>
        <w:numPr>
          <w:ilvl w:val="0"/>
          <w:numId w:val="9"/>
        </w:numPr>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响应文件的无效处理</w:t>
      </w:r>
    </w:p>
    <w:p w14:paraId="44BCE413">
      <w:pPr>
        <w:pStyle w:val="23"/>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有采购文件第四部分4.2规定的情形之一的，响应文件无效：</w:t>
      </w:r>
    </w:p>
    <w:p w14:paraId="57F0944A">
      <w:pPr>
        <w:pStyle w:val="397"/>
        <w:numPr>
          <w:ilvl w:val="0"/>
          <w:numId w:val="9"/>
        </w:numPr>
        <w:spacing w:before="0"/>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rPr>
        <w:t>响应文件有效期</w:t>
      </w:r>
    </w:p>
    <w:p w14:paraId="2278D65B">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17.1响应文件有效期为从提交响应文件的截止之日起90天。▲</w:t>
      </w:r>
      <w:r>
        <w:rPr>
          <w:rFonts w:hint="eastAsia" w:ascii="宋体" w:hAnsi="宋体" w:eastAsia="宋体" w:cs="宋体"/>
          <w:b/>
          <w:sz w:val="21"/>
          <w:szCs w:val="21"/>
        </w:rPr>
        <w:t>供应商的响应文件中承诺的响应文件有效期少于采购文件中载明的响应文件有效期的，响应文件无效。</w:t>
      </w:r>
    </w:p>
    <w:p w14:paraId="0DFDCA69">
      <w:pPr>
        <w:pStyle w:val="397"/>
        <w:spacing w:before="0"/>
        <w:ind w:firstLine="480"/>
        <w:rPr>
          <w:rFonts w:hint="eastAsia" w:ascii="宋体" w:hAnsi="宋体" w:eastAsia="宋体" w:cs="宋体"/>
          <w:sz w:val="21"/>
          <w:szCs w:val="21"/>
        </w:rPr>
      </w:pPr>
      <w:r>
        <w:rPr>
          <w:rFonts w:hint="eastAsia" w:ascii="宋体" w:hAnsi="宋体" w:eastAsia="宋体" w:cs="宋体"/>
          <w:sz w:val="21"/>
          <w:szCs w:val="21"/>
        </w:rPr>
        <w:t>17.2响应文件合格投递后，自响应文件提交截止时间起，在响应文件有效期内有效。</w:t>
      </w:r>
    </w:p>
    <w:p w14:paraId="1879489C">
      <w:pPr>
        <w:pStyle w:val="397"/>
        <w:spacing w:before="0"/>
        <w:ind w:firstLine="480"/>
        <w:rPr>
          <w:rFonts w:hint="eastAsia" w:ascii="宋体" w:hAnsi="宋体" w:eastAsia="宋体" w:cs="宋体"/>
          <w:sz w:val="21"/>
          <w:szCs w:val="21"/>
        </w:rPr>
      </w:pPr>
      <w:r>
        <w:rPr>
          <w:rFonts w:hint="eastAsia" w:ascii="宋体" w:hAnsi="宋体" w:eastAsia="宋体" w:cs="宋体"/>
          <w:sz w:val="21"/>
          <w:szCs w:val="21"/>
        </w:rPr>
        <w:t>17.3在原定响应文件有效期满之前，如果出现特殊情况，</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可以以书面形式通知供应商延长响应文件有效期。供应商同意延长的，不得要求或被允许修改其响应文件，供应商拒绝延长的，其响应文件无效。</w:t>
      </w:r>
    </w:p>
    <w:p w14:paraId="103AFF26">
      <w:pPr>
        <w:pStyle w:val="397"/>
        <w:spacing w:before="0"/>
        <w:ind w:firstLine="643"/>
        <w:rPr>
          <w:rFonts w:hint="eastAsia" w:ascii="宋体" w:hAnsi="宋体" w:eastAsia="宋体" w:cs="宋体"/>
          <w:b/>
          <w:sz w:val="21"/>
          <w:szCs w:val="21"/>
        </w:rPr>
      </w:pPr>
    </w:p>
    <w:p w14:paraId="653955C1">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四、响应文件开启、资格审查与信用信息查询</w:t>
      </w:r>
    </w:p>
    <w:p w14:paraId="2ED3B320">
      <w:pPr>
        <w:pStyle w:val="359"/>
        <w:spacing w:before="0" w:line="360" w:lineRule="auto"/>
        <w:ind w:left="0" w:firstLine="0"/>
        <w:contextualSpacing/>
        <w:rPr>
          <w:rFonts w:hint="eastAsia" w:ascii="宋体" w:hAnsi="宋体" w:eastAsia="宋体" w:cs="宋体"/>
          <w:sz w:val="21"/>
          <w:szCs w:val="21"/>
        </w:rPr>
      </w:pPr>
      <w:r>
        <w:rPr>
          <w:rFonts w:hint="eastAsia" w:ascii="宋体" w:hAnsi="宋体" w:eastAsia="宋体" w:cs="宋体"/>
          <w:b/>
          <w:sz w:val="21"/>
          <w:szCs w:val="21"/>
        </w:rPr>
        <w:t>18.</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响应文件开启</w:t>
      </w:r>
      <w:r>
        <w:rPr>
          <w:rFonts w:hint="eastAsia" w:ascii="宋体" w:hAnsi="宋体" w:eastAsia="宋体" w:cs="宋体"/>
          <w:sz w:val="21"/>
          <w:szCs w:val="21"/>
        </w:rPr>
        <w:t xml:space="preserve"> </w:t>
      </w:r>
    </w:p>
    <w:p w14:paraId="1F76CDE9">
      <w:pPr>
        <w:pStyle w:val="359"/>
        <w:snapToGrid w:val="0"/>
        <w:spacing w:before="0" w:line="360" w:lineRule="auto"/>
        <w:ind w:left="0"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18.1</w:t>
      </w:r>
      <w:r>
        <w:rPr>
          <w:rFonts w:hint="eastAsia" w:ascii="宋体" w:hAnsi="宋体" w:eastAsia="宋体" w:cs="宋体"/>
          <w:sz w:val="21"/>
          <w:szCs w:val="21"/>
          <w:lang w:eastAsia="zh-CN"/>
        </w:rPr>
        <w:t>采购代理机构</w:t>
      </w:r>
      <w:r>
        <w:rPr>
          <w:rFonts w:hint="eastAsia" w:ascii="宋体" w:hAnsi="宋体" w:eastAsia="宋体" w:cs="宋体"/>
          <w:sz w:val="21"/>
          <w:szCs w:val="21"/>
        </w:rPr>
        <w:t>按照采购文件规定的时间通过电子交易平台组织响应文件开启，所有供应商均应当准时在线参加。供应商不足3家的，不得开启。</w:t>
      </w:r>
    </w:p>
    <w:p w14:paraId="7FC9F8B3">
      <w:pPr>
        <w:pStyle w:val="359"/>
        <w:snapToGrid w:val="0"/>
        <w:spacing w:before="0" w:line="360" w:lineRule="auto"/>
        <w:ind w:left="0"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18.2响应文件开启时，电子交易平台按响应文件开启时间自动提取所有响应文件。</w:t>
      </w:r>
      <w:r>
        <w:rPr>
          <w:rFonts w:hint="eastAsia" w:ascii="宋体" w:hAnsi="宋体" w:eastAsia="宋体" w:cs="宋体"/>
          <w:sz w:val="21"/>
          <w:szCs w:val="21"/>
          <w:lang w:eastAsia="zh-CN"/>
        </w:rPr>
        <w:t>采购代理机构</w:t>
      </w:r>
      <w:r>
        <w:rPr>
          <w:rFonts w:hint="eastAsia" w:ascii="宋体" w:hAnsi="宋体" w:eastAsia="宋体" w:cs="宋体"/>
          <w:sz w:val="21"/>
          <w:szCs w:val="21"/>
        </w:rPr>
        <w:t>依托电子交易平台发起开始解密指令，供应商按照平台提示和采购文件的规定在半小时内完成在线解密。</w:t>
      </w:r>
    </w:p>
    <w:p w14:paraId="3645BD6E">
      <w:pPr>
        <w:pStyle w:val="359"/>
        <w:snapToGrid w:val="0"/>
        <w:spacing w:before="0" w:line="360" w:lineRule="auto"/>
        <w:ind w:left="0"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18.3</w:t>
      </w:r>
      <w:r>
        <w:rPr>
          <w:rFonts w:hint="eastAsia" w:ascii="宋体" w:hAnsi="宋体" w:eastAsia="宋体" w:cs="宋体"/>
          <w:b/>
          <w:bCs/>
          <w:sz w:val="21"/>
          <w:szCs w:val="21"/>
        </w:rPr>
        <w:t>响应文件未按时解密，供应商提供了备份响应文件的，以备份响应文件作为依据，否则视为响应文件撤回。响应文件已按时解密的，备份响应文件自动失效。</w:t>
      </w:r>
    </w:p>
    <w:p w14:paraId="4831CC7F">
      <w:pPr>
        <w:pStyle w:val="359"/>
        <w:spacing w:before="0" w:line="360" w:lineRule="auto"/>
        <w:ind w:left="0" w:firstLine="0"/>
        <w:contextualSpacing/>
        <w:rPr>
          <w:rFonts w:hint="eastAsia" w:ascii="宋体" w:hAnsi="宋体" w:eastAsia="宋体" w:cs="宋体"/>
          <w:b/>
          <w:sz w:val="21"/>
          <w:szCs w:val="21"/>
        </w:rPr>
      </w:pPr>
      <w:r>
        <w:rPr>
          <w:rFonts w:hint="eastAsia" w:ascii="宋体" w:hAnsi="宋体" w:eastAsia="宋体" w:cs="宋体"/>
          <w:b/>
          <w:sz w:val="21"/>
          <w:szCs w:val="21"/>
        </w:rPr>
        <w:t>19</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资格审查</w:t>
      </w:r>
    </w:p>
    <w:p w14:paraId="3279E18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kern w:val="0"/>
          <w:sz w:val="21"/>
          <w:szCs w:val="21"/>
          <w:lang w:val="en-US" w:eastAsia="zh-CN"/>
        </w:rPr>
        <w:t>1</w:t>
      </w:r>
      <w:r>
        <w:rPr>
          <w:rFonts w:hint="eastAsia" w:ascii="宋体" w:hAnsi="宋体" w:eastAsia="宋体" w:cs="宋体"/>
          <w:sz w:val="21"/>
          <w:szCs w:val="21"/>
        </w:rPr>
        <w:t>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或磋商小组依据法律法规和采购文件的规定，对供应商的资格进行审查。</w:t>
      </w:r>
    </w:p>
    <w:p w14:paraId="71AB0A79">
      <w:pPr>
        <w:pStyle w:val="397"/>
        <w:spacing w:before="0"/>
        <w:ind w:firstLine="48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供应商未按照采购文件要求提供与</w:t>
      </w:r>
      <w:r>
        <w:rPr>
          <w:rFonts w:hint="eastAsia" w:ascii="宋体" w:hAnsi="宋体" w:eastAsia="宋体" w:cs="宋体"/>
          <w:sz w:val="21"/>
          <w:szCs w:val="21"/>
        </w:rPr>
        <w:t>资格条件相应的</w:t>
      </w:r>
      <w:r>
        <w:rPr>
          <w:rFonts w:hint="eastAsia" w:ascii="宋体" w:hAnsi="宋体" w:eastAsia="宋体" w:cs="宋体"/>
          <w:kern w:val="0"/>
          <w:sz w:val="21"/>
          <w:szCs w:val="21"/>
        </w:rPr>
        <w:t>有效资格证明材料的，视为</w:t>
      </w:r>
      <w:r>
        <w:rPr>
          <w:rFonts w:hint="eastAsia" w:ascii="宋体" w:hAnsi="宋体" w:eastAsia="宋体" w:cs="宋体"/>
          <w:sz w:val="21"/>
          <w:szCs w:val="21"/>
        </w:rPr>
        <w:t>供应商不具备采购文件中规定的资格要求，其响应文件无效。</w:t>
      </w:r>
    </w:p>
    <w:p w14:paraId="06429154">
      <w:pPr>
        <w:pStyle w:val="397"/>
        <w:spacing w:before="0"/>
        <w:ind w:firstLine="48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sz w:val="21"/>
          <w:szCs w:val="21"/>
          <w:lang w:val="en-US" w:eastAsia="zh-CN"/>
        </w:rPr>
        <w:t>3</w:t>
      </w:r>
      <w:r>
        <w:rPr>
          <w:rFonts w:hint="eastAsia" w:ascii="宋体" w:hAnsi="宋体" w:eastAsia="宋体" w:cs="宋体"/>
          <w:sz w:val="21"/>
          <w:szCs w:val="21"/>
        </w:rPr>
        <w:t>对未通过资格审查的供应商，采购人或</w:t>
      </w:r>
      <w:r>
        <w:rPr>
          <w:rFonts w:hint="eastAsia" w:ascii="宋体" w:hAnsi="宋体" w:eastAsia="宋体" w:cs="宋体"/>
          <w:sz w:val="21"/>
          <w:szCs w:val="21"/>
          <w:lang w:eastAsia="zh-CN"/>
        </w:rPr>
        <w:t>采购代理机构</w:t>
      </w:r>
      <w:r>
        <w:rPr>
          <w:rFonts w:hint="eastAsia" w:ascii="宋体" w:hAnsi="宋体" w:eastAsia="宋体" w:cs="宋体"/>
          <w:sz w:val="21"/>
          <w:szCs w:val="21"/>
        </w:rPr>
        <w:t>告知其未通过的原因。</w:t>
      </w:r>
    </w:p>
    <w:p w14:paraId="48DF3D67">
      <w:pPr>
        <w:pStyle w:val="397"/>
        <w:spacing w:before="0"/>
        <w:ind w:firstLine="48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sz w:val="21"/>
          <w:szCs w:val="21"/>
          <w:lang w:val="en-US" w:eastAsia="zh-CN"/>
        </w:rPr>
        <w:t>4</w:t>
      </w:r>
      <w:r>
        <w:rPr>
          <w:rFonts w:hint="eastAsia" w:ascii="宋体" w:hAnsi="宋体" w:eastAsia="宋体" w:cs="宋体"/>
          <w:sz w:val="21"/>
          <w:szCs w:val="21"/>
        </w:rPr>
        <w:t>合格供应商不足3家的，不再评审。</w:t>
      </w:r>
    </w:p>
    <w:p w14:paraId="11B591AA">
      <w:pPr>
        <w:pStyle w:val="397"/>
        <w:spacing w:before="0"/>
        <w:ind w:firstLine="480"/>
        <w:rPr>
          <w:rFonts w:hint="eastAsia" w:ascii="宋体" w:hAnsi="宋体" w:eastAsia="宋体" w:cs="宋体"/>
          <w:sz w:val="21"/>
          <w:szCs w:val="21"/>
        </w:rPr>
      </w:pPr>
      <w:r>
        <w:rPr>
          <w:rFonts w:hint="eastAsia" w:ascii="宋体" w:hAnsi="宋体" w:eastAsia="宋体" w:cs="宋体"/>
          <w:sz w:val="21"/>
          <w:szCs w:val="21"/>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BD03CF0">
      <w:pPr>
        <w:pStyle w:val="397"/>
        <w:numPr>
          <w:ilvl w:val="0"/>
          <w:numId w:val="10"/>
        </w:numPr>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信用信息查询</w:t>
      </w:r>
    </w:p>
    <w:p w14:paraId="50F4673C">
      <w:pPr>
        <w:pStyle w:val="397"/>
        <w:spacing w:before="0"/>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20.1信用信息查询渠道及截止时间：</w:t>
      </w:r>
      <w:r>
        <w:rPr>
          <w:rFonts w:hint="eastAsia" w:ascii="宋体" w:hAnsi="宋体" w:eastAsia="宋体" w:cs="宋体"/>
          <w:kern w:val="0"/>
          <w:sz w:val="21"/>
          <w:szCs w:val="21"/>
          <w:lang w:eastAsia="zh-CN"/>
        </w:rPr>
        <w:t>采购代理机构</w:t>
      </w:r>
      <w:r>
        <w:rPr>
          <w:rFonts w:hint="eastAsia" w:ascii="宋体" w:hAnsi="宋体" w:eastAsia="宋体" w:cs="宋体"/>
          <w:kern w:val="0"/>
          <w:sz w:val="21"/>
          <w:szCs w:val="21"/>
        </w:rPr>
        <w:t>将在资格审查时通过“信用中国”网站(www.creditchina.gov.cn)、中国政府采购网(www.ccgp.gov.cn)渠道查询供应商接受资格审查时的信用记录。</w:t>
      </w:r>
    </w:p>
    <w:p w14:paraId="5D61687F">
      <w:pPr>
        <w:pStyle w:val="397"/>
        <w:spacing w:before="0"/>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20.2信用信息查询记录和证据留存的具体方式：现场查询的供应商的信用记录、查询结果经确认后将与采购文件一起存档。</w:t>
      </w:r>
    </w:p>
    <w:p w14:paraId="0F230931">
      <w:pPr>
        <w:pStyle w:val="397"/>
        <w:spacing w:before="0"/>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5E590F41">
      <w:pPr>
        <w:pStyle w:val="397"/>
        <w:spacing w:before="0"/>
        <w:ind w:firstLine="480"/>
        <w:rPr>
          <w:rFonts w:hint="eastAsia" w:ascii="宋体" w:hAnsi="宋体" w:eastAsia="宋体" w:cs="宋体"/>
          <w:sz w:val="21"/>
          <w:szCs w:val="21"/>
        </w:rPr>
      </w:pPr>
      <w:r>
        <w:rPr>
          <w:rFonts w:hint="eastAsia" w:ascii="宋体" w:hAnsi="宋体" w:eastAsia="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1"/>
          <w:szCs w:val="21"/>
        </w:rPr>
        <w:t>。</w:t>
      </w:r>
    </w:p>
    <w:p w14:paraId="20CA0F21">
      <w:pPr>
        <w:pStyle w:val="397"/>
        <w:spacing w:before="0"/>
        <w:ind w:firstLine="0" w:firstLineChars="0"/>
        <w:rPr>
          <w:rFonts w:hint="eastAsia" w:ascii="宋体" w:hAnsi="宋体" w:eastAsia="宋体" w:cs="宋体"/>
          <w:kern w:val="0"/>
          <w:sz w:val="21"/>
          <w:szCs w:val="21"/>
        </w:rPr>
      </w:pPr>
    </w:p>
    <w:p w14:paraId="602249DF">
      <w:pPr>
        <w:snapToGrid w:val="0"/>
        <w:spacing w:line="360" w:lineRule="auto"/>
        <w:jc w:val="center"/>
        <w:outlineLvl w:val="0"/>
        <w:rPr>
          <w:rFonts w:hint="eastAsia" w:ascii="宋体" w:hAnsi="宋体" w:eastAsia="宋体" w:cs="宋体"/>
          <w:b/>
          <w:sz w:val="21"/>
          <w:szCs w:val="21"/>
        </w:rPr>
      </w:pPr>
      <w:r>
        <w:rPr>
          <w:rFonts w:hint="eastAsia" w:ascii="宋体" w:hAnsi="宋体" w:eastAsia="宋体" w:cs="宋体"/>
          <w:b/>
          <w:sz w:val="32"/>
          <w:szCs w:val="32"/>
        </w:rPr>
        <w:t>五、评审</w:t>
      </w:r>
    </w:p>
    <w:p w14:paraId="2952A9D8">
      <w:pPr>
        <w:spacing w:line="360" w:lineRule="auto"/>
        <w:rPr>
          <w:rFonts w:hint="eastAsia" w:ascii="宋体" w:hAnsi="宋体" w:eastAsia="宋体" w:cs="宋体"/>
          <w:b/>
          <w:sz w:val="21"/>
          <w:szCs w:val="21"/>
        </w:rPr>
      </w:pPr>
      <w:bookmarkStart w:id="51" w:name="_Toc91899903"/>
      <w:r>
        <w:rPr>
          <w:rFonts w:hint="eastAsia" w:ascii="宋体" w:hAnsi="宋体" w:eastAsia="宋体" w:cs="宋体"/>
          <w:b/>
          <w:sz w:val="21"/>
          <w:szCs w:val="21"/>
        </w:rPr>
        <w:t>21.</w:t>
      </w:r>
      <w:r>
        <w:rPr>
          <w:rFonts w:hint="eastAsia" w:ascii="宋体" w:hAnsi="宋体" w:eastAsia="宋体" w:cs="宋体"/>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sz w:val="21"/>
          <w:szCs w:val="21"/>
        </w:rPr>
        <w:t>详见采购文件第四部分评审办法。</w:t>
      </w:r>
    </w:p>
    <w:p w14:paraId="18A67C3C">
      <w:pPr>
        <w:spacing w:line="360" w:lineRule="auto"/>
        <w:rPr>
          <w:rFonts w:hint="eastAsia" w:ascii="宋体" w:hAnsi="宋体" w:eastAsia="宋体" w:cs="宋体"/>
          <w:b/>
          <w:sz w:val="21"/>
          <w:szCs w:val="21"/>
        </w:rPr>
      </w:pPr>
    </w:p>
    <w:p w14:paraId="4A9D59A9">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六、成交供应商确定</w:t>
      </w:r>
    </w:p>
    <w:p w14:paraId="5E7CDC37">
      <w:pPr>
        <w:pStyle w:val="23"/>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22. 确定成交供应商</w:t>
      </w:r>
    </w:p>
    <w:p w14:paraId="075830C4">
      <w:pPr>
        <w:pStyle w:val="397"/>
        <w:snapToGrid w:val="0"/>
        <w:spacing w:before="0"/>
        <w:ind w:firstLine="480"/>
        <w:rPr>
          <w:rFonts w:hint="eastAsia" w:ascii="宋体" w:hAnsi="宋体" w:eastAsia="宋体" w:cs="宋体"/>
          <w:b/>
          <w:sz w:val="21"/>
          <w:szCs w:val="21"/>
        </w:rPr>
      </w:pPr>
      <w:r>
        <w:rPr>
          <w:rFonts w:hint="eastAsia" w:ascii="宋体" w:hAnsi="宋体" w:eastAsia="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采购单位应当在评审报告推荐的中标或者成交候选人中按顺序确定中标或者成交供应商。中标、成交通知书和中标、成交结果公告应当在规定时间内同时发出。</w:t>
      </w:r>
      <w:r>
        <w:rPr>
          <w:rFonts w:hint="eastAsia" w:ascii="宋体" w:hAnsi="宋体" w:eastAsia="宋体" w:cs="宋体"/>
          <w:b/>
          <w:bCs/>
          <w:sz w:val="21"/>
          <w:szCs w:val="21"/>
        </w:rPr>
        <w:t>注：按评审后得分由高到低顺序确定1名成交人。</w:t>
      </w:r>
    </w:p>
    <w:p w14:paraId="12D77144">
      <w:pPr>
        <w:pStyle w:val="397"/>
        <w:snapToGrid w:val="0"/>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23. 成交通知与成交结果公告</w:t>
      </w:r>
    </w:p>
    <w:p w14:paraId="029C61F1">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23.1自成交供应商确定之日起1个工作日内，</w:t>
      </w:r>
      <w:r>
        <w:rPr>
          <w:rFonts w:hint="eastAsia" w:ascii="宋体" w:hAnsi="宋体" w:eastAsia="宋体" w:cs="宋体"/>
          <w:sz w:val="21"/>
          <w:szCs w:val="21"/>
          <w:lang w:eastAsia="zh-CN"/>
        </w:rPr>
        <w:t>采购代理机构</w:t>
      </w:r>
      <w:r>
        <w:rPr>
          <w:rFonts w:hint="eastAsia" w:ascii="宋体" w:hAnsi="宋体" w:eastAsia="宋体" w:cs="宋体"/>
          <w:sz w:val="21"/>
          <w:szCs w:val="21"/>
        </w:rPr>
        <w:t>通过电子交易平台向成交供应商发出成交通知书，同时编制发布采购结果公告。</w:t>
      </w:r>
      <w:r>
        <w:rPr>
          <w:rFonts w:hint="eastAsia" w:ascii="宋体" w:hAnsi="宋体" w:eastAsia="宋体" w:cs="宋体"/>
          <w:sz w:val="21"/>
          <w:szCs w:val="21"/>
          <w:lang w:eastAsia="zh-CN"/>
        </w:rPr>
        <w:t>采购代理机构</w:t>
      </w:r>
      <w:r>
        <w:rPr>
          <w:rFonts w:hint="eastAsia" w:ascii="宋体" w:hAnsi="宋体" w:eastAsia="宋体" w:cs="宋体"/>
          <w:sz w:val="21"/>
          <w:szCs w:val="21"/>
        </w:rPr>
        <w:t>也可以以纸质形式进行成交通知。</w:t>
      </w:r>
    </w:p>
    <w:p w14:paraId="198866EC">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23.2成交结果公告内容包括采购人及其委托的</w:t>
      </w:r>
      <w:r>
        <w:rPr>
          <w:rFonts w:hint="eastAsia" w:ascii="宋体" w:hAnsi="宋体" w:eastAsia="宋体" w:cs="宋体"/>
          <w:sz w:val="21"/>
          <w:szCs w:val="21"/>
          <w:lang w:eastAsia="zh-CN"/>
        </w:rPr>
        <w:t>采购代理机构</w:t>
      </w:r>
      <w:r>
        <w:rPr>
          <w:rFonts w:hint="eastAsia" w:ascii="宋体" w:hAnsi="宋体" w:eastAsia="宋体" w:cs="宋体"/>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E43D2DD">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23.3公告期限为1个工作日。</w:t>
      </w:r>
    </w:p>
    <w:p w14:paraId="1E1C26E2">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23.4由于成交供应商原因导致重新采购的，应当承担支付代理费和专家评审费等费用在内的赔偿责任。</w:t>
      </w:r>
    </w:p>
    <w:p w14:paraId="717E0AAC">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七、合同授予</w:t>
      </w:r>
    </w:p>
    <w:p w14:paraId="51C2B5EE">
      <w:pPr>
        <w:pStyle w:val="23"/>
        <w:snapToGrid w:val="0"/>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 xml:space="preserve">24. </w:t>
      </w:r>
      <w:r>
        <w:rPr>
          <w:rFonts w:hint="eastAsia" w:ascii="宋体" w:hAnsi="宋体" w:eastAsia="宋体" w:cs="宋体"/>
          <w:sz w:val="21"/>
          <w:szCs w:val="21"/>
        </w:rPr>
        <w:t>合同主要条款详见第五部分拟签订的合同文本。</w:t>
      </w:r>
    </w:p>
    <w:p w14:paraId="0127C474">
      <w:pPr>
        <w:pStyle w:val="23"/>
        <w:snapToGrid w:val="0"/>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25. 合同的签订</w:t>
      </w:r>
    </w:p>
    <w:p w14:paraId="68193C1A">
      <w:pPr>
        <w:widowControl/>
        <w:shd w:val="clear" w:color="auto" w:fill="FFFFFF"/>
        <w:snapToGrid w:val="0"/>
        <w:spacing w:line="360" w:lineRule="auto"/>
        <w:ind w:firstLine="480"/>
        <w:jc w:val="left"/>
        <w:rPr>
          <w:rFonts w:hint="eastAsia" w:ascii="宋体" w:hAnsi="宋体" w:eastAsia="宋体" w:cs="宋体"/>
          <w:kern w:val="0"/>
          <w:sz w:val="21"/>
          <w:szCs w:val="21"/>
        </w:rPr>
      </w:pPr>
      <w:r>
        <w:rPr>
          <w:rFonts w:hint="eastAsia" w:ascii="宋体" w:hAnsi="宋体" w:eastAsia="宋体" w:cs="宋体"/>
          <w:sz w:val="21"/>
          <w:szCs w:val="21"/>
        </w:rPr>
        <w:t>25.1</w:t>
      </w:r>
      <w:r>
        <w:rPr>
          <w:rFonts w:hint="eastAsia" w:ascii="宋体" w:hAnsi="宋体" w:eastAsia="宋体" w:cs="宋体"/>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E9BFAFA">
      <w:pPr>
        <w:pStyle w:val="397"/>
        <w:snapToGrid w:val="0"/>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3410A9F1">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25.3如签订合同并生效后，供应商无故拒绝或延期，除按照合同条款处理外，列入不良行为记录一次，并给予通报。</w:t>
      </w:r>
    </w:p>
    <w:p w14:paraId="0E09DB57">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63C5C5E">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25.5采购合同由采购人与成交供应商根据采购文件、响应文件等内容通过政府采购电子交易平台在线签订，自动备案。</w:t>
      </w:r>
    </w:p>
    <w:p w14:paraId="3AADFA4A">
      <w:pPr>
        <w:pStyle w:val="23"/>
        <w:snapToGrid w:val="0"/>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26. 履约保证金</w:t>
      </w:r>
    </w:p>
    <w:p w14:paraId="55228617">
      <w:pPr>
        <w:tabs>
          <w:tab w:val="left" w:pos="0"/>
        </w:tabs>
        <w:snapToGrid w:val="0"/>
        <w:spacing w:line="360" w:lineRule="auto"/>
        <w:ind w:firstLine="482"/>
        <w:rPr>
          <w:rFonts w:hint="eastAsia" w:ascii="宋体" w:hAnsi="宋体" w:eastAsia="宋体" w:cs="宋体"/>
          <w:sz w:val="21"/>
          <w:szCs w:val="21"/>
        </w:rPr>
      </w:pPr>
      <w:r>
        <w:rPr>
          <w:rFonts w:hint="eastAsia" w:ascii="宋体" w:hAnsi="宋体" w:eastAsia="宋体" w:cs="宋体"/>
          <w:kern w:val="0"/>
          <w:sz w:val="21"/>
          <w:szCs w:val="21"/>
        </w:rPr>
        <w:t>拟签订的合同文本要求成交供应商提交履约保证金的，供应商应当以支票、汇票、本票或者金融机构、担保机构出具的保函等非现金形式提交</w:t>
      </w:r>
      <w:r>
        <w:rPr>
          <w:rFonts w:hint="eastAsia" w:ascii="宋体" w:hAnsi="宋体" w:eastAsia="宋体" w:cs="宋体"/>
          <w:sz w:val="21"/>
          <w:szCs w:val="21"/>
        </w:rPr>
        <w:t>。确需收取履约保证金的，履约保证金缴纳最高比例由不超过</w:t>
      </w:r>
      <w:r>
        <w:rPr>
          <w:rFonts w:hint="eastAsia" w:ascii="宋体" w:hAnsi="宋体" w:eastAsia="宋体" w:cs="宋体"/>
          <w:kern w:val="2"/>
          <w:sz w:val="21"/>
          <w:szCs w:val="21"/>
        </w:rPr>
        <w:t>合同金额的1%</w:t>
      </w:r>
      <w:r>
        <w:rPr>
          <w:rFonts w:hint="eastAsia" w:ascii="宋体" w:hAnsi="宋体" w:eastAsia="宋体" w:cs="宋体"/>
          <w:kern w:val="2"/>
          <w:sz w:val="21"/>
          <w:szCs w:val="21"/>
          <w:highlight w:val="none"/>
        </w:rPr>
        <w:t>，鼓励根据项目特点、供应商诚信等因素免收履约保证金或降低缴纳比例</w:t>
      </w:r>
      <w:r>
        <w:rPr>
          <w:rFonts w:hint="eastAsia" w:ascii="宋体" w:hAnsi="宋体" w:eastAsia="宋体" w:cs="宋体"/>
          <w:kern w:val="2"/>
          <w:sz w:val="21"/>
          <w:szCs w:val="21"/>
        </w:rPr>
        <w:t>。</w:t>
      </w:r>
      <w:r>
        <w:rPr>
          <w:rFonts w:hint="eastAsia" w:ascii="宋体" w:hAnsi="宋体" w:eastAsia="宋体" w:cs="宋体"/>
          <w:sz w:val="21"/>
          <w:szCs w:val="21"/>
        </w:rPr>
        <w:t>采购单位鼓励供应商采取履约保函形式提供信用保证；供应商提供保函的，采购单位不得拒收。项目验收结束后应及时退还，延迟退还的，应当按照合同约定和法律规定承担相应的赔偿责任。</w:t>
      </w:r>
    </w:p>
    <w:p w14:paraId="138BC03C">
      <w:pPr>
        <w:numPr>
          <w:ilvl w:val="0"/>
          <w:numId w:val="11"/>
        </w:numPr>
        <w:adjustRightInd/>
        <w:spacing w:line="360" w:lineRule="auto"/>
        <w:rPr>
          <w:rFonts w:hint="eastAsia" w:ascii="宋体" w:hAnsi="宋体" w:eastAsia="宋体" w:cs="宋体"/>
          <w:b/>
          <w:sz w:val="21"/>
          <w:szCs w:val="21"/>
          <w:lang w:eastAsia="zh-CN"/>
        </w:rPr>
      </w:pPr>
      <w:r>
        <w:rPr>
          <w:rFonts w:hint="eastAsia" w:ascii="宋体" w:hAnsi="宋体" w:eastAsia="宋体" w:cs="宋体"/>
          <w:b/>
          <w:sz w:val="21"/>
          <w:szCs w:val="21"/>
          <w:lang w:eastAsia="zh-CN"/>
        </w:rPr>
        <w:t>预付款</w:t>
      </w:r>
    </w:p>
    <w:p w14:paraId="19DCDFCB">
      <w:pPr>
        <w:numPr>
          <w:ilvl w:val="0"/>
          <w:numId w:val="0"/>
        </w:numPr>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1"/>
          <w:szCs w:val="21"/>
        </w:rPr>
        <w:t>不低于</w:t>
      </w:r>
      <w:r>
        <w:rPr>
          <w:rFonts w:hint="eastAsia" w:ascii="宋体" w:hAnsi="宋体" w:eastAsia="宋体" w:cs="宋体"/>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cs="宋体"/>
          <w:kern w:val="2"/>
          <w:sz w:val="21"/>
          <w:szCs w:val="21"/>
          <w:highlight w:val="none"/>
          <w:lang w:val="en-US" w:eastAsia="zh-CN"/>
        </w:rPr>
        <w:t>7</w:t>
      </w:r>
      <w:r>
        <w:rPr>
          <w:rFonts w:hint="eastAsia" w:ascii="宋体" w:hAnsi="宋体" w:eastAsia="宋体" w:cs="宋体"/>
          <w:kern w:val="2"/>
          <w:sz w:val="21"/>
          <w:szCs w:val="21"/>
          <w:highlight w:val="none"/>
        </w:rPr>
        <w:t>个工作日内支付。</w:t>
      </w:r>
    </w:p>
    <w:p w14:paraId="2D7D1ACD">
      <w:pPr>
        <w:snapToGrid w:val="0"/>
        <w:spacing w:line="360" w:lineRule="auto"/>
        <w:ind w:firstLine="2203" w:firstLineChars="1045"/>
        <w:rPr>
          <w:rFonts w:hint="eastAsia" w:ascii="宋体" w:hAnsi="宋体" w:eastAsia="宋体" w:cs="宋体"/>
          <w:b/>
          <w:sz w:val="21"/>
          <w:szCs w:val="21"/>
        </w:rPr>
      </w:pPr>
    </w:p>
    <w:p w14:paraId="78CB2C16">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八、电子交易活动的中止</w:t>
      </w:r>
    </w:p>
    <w:p w14:paraId="3C420C21">
      <w:pPr>
        <w:pStyle w:val="397"/>
        <w:snapToGrid w:val="0"/>
        <w:spacing w:before="0"/>
        <w:ind w:firstLine="0" w:firstLineChars="0"/>
        <w:rPr>
          <w:rFonts w:hint="eastAsia" w:ascii="宋体" w:hAnsi="宋体" w:eastAsia="宋体" w:cs="宋体"/>
          <w:b/>
          <w:sz w:val="21"/>
          <w:szCs w:val="21"/>
        </w:rPr>
      </w:pPr>
      <w:r>
        <w:rPr>
          <w:rFonts w:hint="eastAsia" w:ascii="宋体" w:hAnsi="宋体" w:eastAsia="宋体" w:cs="宋体"/>
          <w:b/>
          <w:bCs/>
          <w:kern w:val="2"/>
          <w:sz w:val="21"/>
          <w:szCs w:val="21"/>
        </w:rPr>
        <w:t>28</w:t>
      </w:r>
      <w:r>
        <w:rPr>
          <w:rFonts w:hint="eastAsia" w:ascii="宋体" w:hAnsi="宋体" w:eastAsia="宋体" w:cs="宋体"/>
          <w:b/>
          <w:sz w:val="21"/>
          <w:szCs w:val="21"/>
        </w:rPr>
        <w:t>. 电子交易活动的中止。</w:t>
      </w:r>
    </w:p>
    <w:p w14:paraId="606FE95D">
      <w:pPr>
        <w:pStyle w:val="397"/>
        <w:snapToGrid w:val="0"/>
        <w:spacing w:before="0"/>
        <w:ind w:firstLine="420" w:firstLineChars="200"/>
        <w:rPr>
          <w:rFonts w:hint="eastAsia" w:ascii="宋体" w:hAnsi="宋体" w:eastAsia="宋体" w:cs="宋体"/>
          <w:sz w:val="21"/>
          <w:szCs w:val="21"/>
        </w:rPr>
      </w:pPr>
      <w:r>
        <w:rPr>
          <w:rFonts w:hint="eastAsia" w:ascii="宋体" w:hAnsi="宋体" w:eastAsia="宋体" w:cs="宋体"/>
          <w:sz w:val="21"/>
          <w:szCs w:val="21"/>
        </w:rPr>
        <w:t>采购过程中出现以下情形，导致电子交易平台无法正常运行，或者无法保证电子交易的公平、公正和安全时，</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可中止电子交易活动：</w:t>
      </w:r>
    </w:p>
    <w:p w14:paraId="5925581C">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 xml:space="preserve">28.1电子交易平台发生故障而无法登录访问的； </w:t>
      </w:r>
    </w:p>
    <w:p w14:paraId="3B0029CD">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28.2电子交易平台应用或数据库出现错误，不能进行正常操作的；</w:t>
      </w:r>
    </w:p>
    <w:p w14:paraId="2268FF70">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28.3电子交易平台发现严重安全漏洞，有潜在泄密危险的；</w:t>
      </w:r>
    </w:p>
    <w:p w14:paraId="5D40B20D">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 xml:space="preserve">28.4病毒发作导致不能进行正常操作的； </w:t>
      </w:r>
    </w:p>
    <w:p w14:paraId="0D8C8C37">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28.5其他无法保证电子交易的公平、公正和安全的情况。</w:t>
      </w:r>
    </w:p>
    <w:p w14:paraId="0989E19C">
      <w:pPr>
        <w:pStyle w:val="397"/>
        <w:snapToGrid w:val="0"/>
        <w:spacing w:before="0"/>
        <w:ind w:firstLine="0" w:firstLineChars="0"/>
        <w:rPr>
          <w:rFonts w:hint="eastAsia" w:ascii="宋体" w:hAnsi="宋体" w:eastAsia="宋体" w:cs="宋体"/>
          <w:sz w:val="21"/>
          <w:szCs w:val="21"/>
        </w:rPr>
      </w:pPr>
      <w:r>
        <w:rPr>
          <w:rFonts w:hint="eastAsia" w:ascii="宋体" w:hAnsi="宋体" w:eastAsia="宋体" w:cs="宋体"/>
          <w:b/>
          <w:bCs/>
          <w:sz w:val="21"/>
          <w:szCs w:val="21"/>
        </w:rPr>
        <w:t>29.</w:t>
      </w:r>
      <w:r>
        <w:rPr>
          <w:rFonts w:hint="eastAsia" w:ascii="宋体" w:hAnsi="宋体" w:eastAsia="宋体" w:cs="宋体"/>
          <w:b/>
          <w:bCs/>
          <w:sz w:val="21"/>
          <w:szCs w:val="21"/>
          <w:lang w:val="en-US" w:eastAsia="zh-CN"/>
        </w:rPr>
        <w:t xml:space="preserve"> </w:t>
      </w:r>
      <w:r>
        <w:rPr>
          <w:rFonts w:hint="eastAsia" w:ascii="宋体" w:hAnsi="宋体" w:eastAsia="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4C0D3CE0">
      <w:pPr>
        <w:tabs>
          <w:tab w:val="left" w:pos="0"/>
        </w:tabs>
        <w:spacing w:line="360" w:lineRule="auto"/>
        <w:ind w:firstLine="480"/>
        <w:rPr>
          <w:rFonts w:hint="eastAsia" w:ascii="宋体" w:hAnsi="宋体" w:eastAsia="宋体" w:cs="宋体"/>
          <w:sz w:val="21"/>
          <w:szCs w:val="21"/>
        </w:rPr>
      </w:pPr>
    </w:p>
    <w:p w14:paraId="2D581D35">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九、验收</w:t>
      </w:r>
    </w:p>
    <w:p w14:paraId="75E01FA2">
      <w:pPr>
        <w:pStyle w:val="23"/>
        <w:spacing w:line="360" w:lineRule="auto"/>
        <w:ind w:firstLine="0" w:firstLineChars="0"/>
        <w:rPr>
          <w:rFonts w:hint="eastAsia" w:ascii="宋体" w:hAnsi="宋体" w:eastAsia="宋体" w:cs="宋体"/>
          <w:b/>
          <w:sz w:val="21"/>
          <w:szCs w:val="21"/>
        </w:rPr>
      </w:pPr>
      <w:r>
        <w:rPr>
          <w:rFonts w:hint="eastAsia" w:ascii="宋体" w:hAnsi="宋体" w:eastAsia="宋体" w:cs="宋体"/>
          <w:b/>
          <w:sz w:val="21"/>
          <w:szCs w:val="21"/>
        </w:rPr>
        <w:t>30.验收</w:t>
      </w:r>
    </w:p>
    <w:p w14:paraId="30CCE8B6">
      <w:pPr>
        <w:tabs>
          <w:tab w:val="left" w:pos="0"/>
        </w:tabs>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817F6A">
      <w:pPr>
        <w:tabs>
          <w:tab w:val="left" w:pos="0"/>
        </w:tabs>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rPr>
        <w:t>30.2采购人可以邀请参加本项目的其他供应商或者第三方机构参与验收。参与验收的供应商或者第三方机构的意见作为验收书的参考资料一并存档。</w:t>
      </w:r>
    </w:p>
    <w:p w14:paraId="5D1A8965">
      <w:pPr>
        <w:tabs>
          <w:tab w:val="left" w:pos="0"/>
        </w:tabs>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B2D466">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8"/>
    <w:bookmarkEnd w:id="49"/>
    <w:bookmarkEnd w:id="51"/>
    <w:p w14:paraId="2407CD21">
      <w:pPr>
        <w:rPr>
          <w:rFonts w:hint="eastAsia" w:ascii="宋体" w:hAnsi="宋体" w:eastAsia="宋体" w:cs="宋体"/>
          <w:b/>
          <w:sz w:val="36"/>
          <w:szCs w:val="36"/>
        </w:rPr>
      </w:pPr>
      <w:bookmarkStart w:id="52" w:name="_Hlt68072998"/>
      <w:bookmarkEnd w:id="52"/>
      <w:bookmarkStart w:id="53" w:name="_Hlt68403820"/>
      <w:bookmarkEnd w:id="53"/>
      <w:bookmarkStart w:id="54" w:name="_Hlt68073093"/>
      <w:bookmarkEnd w:id="54"/>
      <w:bookmarkStart w:id="55" w:name="第四部分"/>
      <w:r>
        <w:rPr>
          <w:rFonts w:hint="eastAsia" w:ascii="宋体" w:hAnsi="宋体" w:eastAsia="宋体" w:cs="宋体"/>
          <w:b/>
          <w:sz w:val="36"/>
          <w:szCs w:val="36"/>
        </w:rPr>
        <w:br w:type="page"/>
      </w:r>
    </w:p>
    <w:p w14:paraId="11081932">
      <w:pPr>
        <w:pStyle w:val="40"/>
        <w:tabs>
          <w:tab w:val="right" w:leader="dot" w:pos="9180"/>
        </w:tabs>
        <w:spacing w:before="120" w:beforeLines="50" w:line="600" w:lineRule="exact"/>
        <w:ind w:right="-420" w:rightChars="-200"/>
        <w:jc w:val="center"/>
        <w:outlineLvl w:val="0"/>
        <w:rPr>
          <w:rFonts w:hint="eastAsia" w:ascii="宋体" w:hAnsi="宋体" w:eastAsia="宋体" w:cs="宋体"/>
          <w:b/>
          <w:color w:val="000000"/>
          <w:sz w:val="36"/>
          <w:szCs w:val="36"/>
          <w:highlight w:val="none"/>
        </w:rPr>
      </w:pPr>
      <w:bookmarkStart w:id="56" w:name="_Toc31399"/>
      <w:bookmarkStart w:id="57" w:name="_Toc462908588"/>
      <w:bookmarkStart w:id="58" w:name="OLE_LINK1"/>
      <w:bookmarkStart w:id="59" w:name="OLE_LINK3"/>
      <w:r>
        <w:rPr>
          <w:rFonts w:hint="eastAsia" w:ascii="宋体" w:hAnsi="宋体" w:eastAsia="宋体" w:cs="宋体"/>
          <w:b/>
          <w:color w:val="000000"/>
          <w:sz w:val="36"/>
          <w:szCs w:val="36"/>
          <w:highlight w:val="none"/>
        </w:rPr>
        <w:t>第</w:t>
      </w:r>
      <w:r>
        <w:rPr>
          <w:rFonts w:hint="eastAsia" w:ascii="宋体" w:hAnsi="宋体" w:eastAsia="宋体" w:cs="宋体"/>
          <w:b/>
          <w:color w:val="000000"/>
          <w:sz w:val="36"/>
          <w:szCs w:val="36"/>
          <w:highlight w:val="none"/>
          <w:lang w:val="en-US" w:eastAsia="zh-CN"/>
        </w:rPr>
        <w:t>三</w:t>
      </w:r>
      <w:r>
        <w:rPr>
          <w:rFonts w:hint="eastAsia" w:ascii="宋体" w:hAnsi="宋体" w:eastAsia="宋体" w:cs="宋体"/>
          <w:b/>
          <w:color w:val="000000"/>
          <w:sz w:val="36"/>
          <w:szCs w:val="36"/>
          <w:highlight w:val="none"/>
        </w:rPr>
        <w:t xml:space="preserve">部分 </w:t>
      </w:r>
      <w:r>
        <w:rPr>
          <w:rFonts w:hint="eastAsia" w:ascii="宋体" w:hAnsi="宋体" w:eastAsia="宋体" w:cs="宋体"/>
          <w:b/>
          <w:color w:val="000000"/>
          <w:sz w:val="36"/>
          <w:szCs w:val="36"/>
          <w:highlight w:val="none"/>
          <w:lang w:val="en-US" w:eastAsia="zh-CN"/>
        </w:rPr>
        <w:t>采购</w:t>
      </w:r>
      <w:r>
        <w:rPr>
          <w:rFonts w:hint="eastAsia" w:ascii="宋体" w:hAnsi="宋体" w:eastAsia="宋体" w:cs="宋体"/>
          <w:b/>
          <w:color w:val="000000"/>
          <w:sz w:val="36"/>
          <w:szCs w:val="36"/>
          <w:highlight w:val="none"/>
        </w:rPr>
        <w:t>需求</w:t>
      </w:r>
      <w:bookmarkEnd w:id="56"/>
      <w:r>
        <w:rPr>
          <w:rFonts w:hint="eastAsia" w:ascii="宋体" w:hAnsi="宋体" w:eastAsia="宋体" w:cs="宋体"/>
          <w:b/>
          <w:color w:val="000000"/>
          <w:sz w:val="36"/>
          <w:szCs w:val="36"/>
          <w:highlight w:val="none"/>
        </w:rPr>
        <w:t xml:space="preserve"> </w:t>
      </w:r>
      <w:bookmarkEnd w:id="57"/>
    </w:p>
    <w:p w14:paraId="4857A537">
      <w:pPr>
        <w:rPr>
          <w:rFonts w:hint="eastAsia" w:ascii="宋体" w:hAnsi="宋体" w:eastAsia="宋体" w:cs="宋体"/>
          <w:color w:val="000000"/>
          <w:highlight w:val="none"/>
        </w:rPr>
      </w:pPr>
    </w:p>
    <w:bookmarkEnd w:id="58"/>
    <w:bookmarkEnd w:id="59"/>
    <w:p w14:paraId="0841EBBB">
      <w:pPr>
        <w:spacing w:line="240" w:lineRule="exact"/>
        <w:jc w:val="center"/>
        <w:rPr>
          <w:rFonts w:hint="eastAsia" w:ascii="宋体" w:hAnsi="宋体" w:eastAsia="宋体" w:cs="宋体"/>
          <w:color w:val="000000"/>
          <w:sz w:val="44"/>
          <w:highlight w:val="none"/>
        </w:rPr>
      </w:pPr>
    </w:p>
    <w:p w14:paraId="107AA300">
      <w:pPr>
        <w:pStyle w:val="2"/>
        <w:pageBreakBefore w:val="0"/>
        <w:widowControl w:val="0"/>
        <w:numPr>
          <w:ilvl w:val="0"/>
          <w:numId w:val="0"/>
        </w:numPr>
        <w:kinsoku/>
        <w:wordWrap/>
        <w:overflowPunct/>
        <w:topLinePunct w:val="0"/>
        <w:autoSpaceDE/>
        <w:autoSpaceDN/>
        <w:bidi w:val="0"/>
        <w:adjustRightInd w:val="0"/>
        <w:snapToGrid/>
        <w:spacing w:before="0" w:after="0" w:line="440" w:lineRule="exact"/>
        <w:jc w:val="both"/>
        <w:textAlignment w:val="baseline"/>
        <w:rPr>
          <w:rFonts w:hint="eastAsia" w:ascii="宋体" w:hAnsi="宋体" w:eastAsia="宋体" w:cs="宋体"/>
          <w:color w:val="auto"/>
          <w:sz w:val="24"/>
          <w:szCs w:val="24"/>
          <w:highlight w:val="none"/>
          <w:lang w:val="en-US" w:eastAsia="zh-CN"/>
        </w:rPr>
      </w:pPr>
      <w:bookmarkStart w:id="60" w:name="_Toc29324"/>
      <w:bookmarkStart w:id="61" w:name="_Toc14965613"/>
      <w:r>
        <w:rPr>
          <w:rFonts w:hint="eastAsia" w:ascii="宋体" w:hAnsi="宋体" w:eastAsia="宋体" w:cs="宋体"/>
          <w:color w:val="auto"/>
          <w:sz w:val="24"/>
          <w:szCs w:val="24"/>
          <w:highlight w:val="none"/>
          <w:lang w:val="en-US" w:eastAsia="zh-CN"/>
        </w:rPr>
        <w:t>一、</w:t>
      </w:r>
      <w:bookmarkEnd w:id="60"/>
      <w:r>
        <w:rPr>
          <w:rFonts w:hint="eastAsia" w:ascii="宋体" w:hAnsi="宋体" w:cs="宋体"/>
          <w:color w:val="auto"/>
          <w:sz w:val="24"/>
          <w:szCs w:val="24"/>
          <w:highlight w:val="none"/>
          <w:lang w:val="en-US" w:eastAsia="zh-CN"/>
        </w:rPr>
        <w:t>工程概况</w:t>
      </w:r>
    </w:p>
    <w:p w14:paraId="55CD57A4">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建设地点：</w:t>
      </w:r>
      <w:r>
        <w:rPr>
          <w:rFonts w:hint="eastAsia" w:ascii="宋体" w:hAnsi="宋体" w:eastAsia="宋体" w:cs="宋体"/>
          <w:color w:val="auto"/>
          <w:sz w:val="22"/>
          <w:szCs w:val="22"/>
          <w:highlight w:val="none"/>
          <w:lang w:val="en-US" w:eastAsia="zh-CN"/>
        </w:rPr>
        <w:t>本工程位于</w:t>
      </w:r>
      <w:r>
        <w:rPr>
          <w:rFonts w:hint="eastAsia" w:ascii="宋体" w:hAnsi="宋体" w:cs="宋体"/>
          <w:color w:val="auto"/>
          <w:sz w:val="22"/>
          <w:szCs w:val="22"/>
          <w:highlight w:val="none"/>
          <w:lang w:eastAsia="zh-CN"/>
        </w:rPr>
        <w:t>宁海县殡仪馆</w:t>
      </w:r>
      <w:r>
        <w:rPr>
          <w:rFonts w:hint="eastAsia" w:ascii="宋体" w:hAnsi="宋体" w:eastAsia="宋体" w:cs="宋体"/>
          <w:color w:val="auto"/>
          <w:sz w:val="22"/>
          <w:szCs w:val="22"/>
          <w:highlight w:val="none"/>
          <w:lang w:val="en-US" w:eastAsia="zh-CN"/>
        </w:rPr>
        <w:t>。</w:t>
      </w:r>
    </w:p>
    <w:p w14:paraId="20DD6A35">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本工程利用原小卖部及部分停车场地新建殡仪区二，总用地面积约33667.3㎡，新建殡仪馆二：建筑面积为566.18㎡，框架结构，地上一层。主要包括土建、安装工程及附属工程等工程</w:t>
      </w:r>
      <w:r>
        <w:rPr>
          <w:rFonts w:hint="eastAsia" w:ascii="宋体" w:hAnsi="宋体" w:eastAsia="宋体" w:cs="宋体"/>
          <w:color w:val="auto"/>
          <w:sz w:val="22"/>
          <w:szCs w:val="22"/>
          <w:highlight w:val="none"/>
          <w:lang w:val="en-US" w:eastAsia="zh-CN"/>
        </w:rPr>
        <w:t>。</w:t>
      </w:r>
    </w:p>
    <w:p w14:paraId="569AC342">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质量要求：达到国家和行业施工验收规范，验收合格；</w:t>
      </w:r>
    </w:p>
    <w:p w14:paraId="1EE30C8D">
      <w:pPr>
        <w:pageBreakBefore w:val="0"/>
        <w:widowControl w:val="0"/>
        <w:kinsoku/>
        <w:wordWrap/>
        <w:overflowPunct/>
        <w:topLinePunct w:val="0"/>
        <w:autoSpaceDE/>
        <w:autoSpaceDN/>
        <w:bidi w:val="0"/>
        <w:snapToGrid/>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安全要求：合格；</w:t>
      </w:r>
    </w:p>
    <w:p w14:paraId="23353C8C">
      <w:pPr>
        <w:pageBreakBefore w:val="0"/>
        <w:widowControl w:val="0"/>
        <w:kinsoku/>
        <w:wordWrap/>
        <w:overflowPunct/>
        <w:topLinePunct w:val="0"/>
        <w:autoSpaceDE/>
        <w:autoSpaceDN/>
        <w:bidi w:val="0"/>
        <w:snapToGrid/>
        <w:spacing w:line="440" w:lineRule="exact"/>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二、项目管理机构人员配备要求</w:t>
      </w:r>
    </w:p>
    <w:bookmarkEnd w:id="61"/>
    <w:tbl>
      <w:tblPr>
        <w:tblStyle w:val="60"/>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57"/>
        <w:gridCol w:w="4773"/>
        <w:gridCol w:w="1601"/>
      </w:tblGrid>
      <w:tr w14:paraId="685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4" w:type="dxa"/>
            <w:noWrap w:val="0"/>
            <w:vAlign w:val="center"/>
          </w:tcPr>
          <w:p w14:paraId="77B6338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bookmarkStart w:id="62" w:name="_Toc31243"/>
            <w:r>
              <w:rPr>
                <w:rFonts w:hint="eastAsia" w:ascii="宋体" w:hAnsi="宋体" w:eastAsia="宋体" w:cs="宋体"/>
                <w:color w:val="auto"/>
                <w:sz w:val="22"/>
                <w:szCs w:val="22"/>
                <w:highlight w:val="none"/>
              </w:rPr>
              <w:t>序号</w:t>
            </w:r>
          </w:p>
        </w:tc>
        <w:tc>
          <w:tcPr>
            <w:tcW w:w="2157" w:type="dxa"/>
            <w:noWrap w:val="0"/>
            <w:vAlign w:val="center"/>
          </w:tcPr>
          <w:p w14:paraId="31C1FBD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本工程需设</w:t>
            </w:r>
            <w:r>
              <w:rPr>
                <w:rFonts w:hint="eastAsia" w:ascii="宋体" w:hAnsi="宋体" w:eastAsia="宋体" w:cs="宋体"/>
                <w:color w:val="auto"/>
                <w:sz w:val="22"/>
                <w:szCs w:val="22"/>
                <w:highlight w:val="none"/>
                <w:lang w:eastAsia="zh-CN"/>
              </w:rPr>
              <w:t>施工管理人员</w:t>
            </w:r>
            <w:r>
              <w:rPr>
                <w:rFonts w:hint="eastAsia" w:ascii="宋体" w:hAnsi="宋体" w:eastAsia="宋体" w:cs="宋体"/>
                <w:color w:val="auto"/>
                <w:sz w:val="22"/>
                <w:szCs w:val="22"/>
                <w:highlight w:val="none"/>
              </w:rPr>
              <w:t>的专业岗位</w:t>
            </w:r>
          </w:p>
        </w:tc>
        <w:tc>
          <w:tcPr>
            <w:tcW w:w="4773" w:type="dxa"/>
            <w:noWrap w:val="0"/>
            <w:vAlign w:val="center"/>
          </w:tcPr>
          <w:p w14:paraId="4EAB3155">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资格要求</w:t>
            </w:r>
          </w:p>
        </w:tc>
        <w:tc>
          <w:tcPr>
            <w:tcW w:w="1601" w:type="dxa"/>
            <w:noWrap w:val="0"/>
            <w:vAlign w:val="center"/>
          </w:tcPr>
          <w:p w14:paraId="7A42334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数量要求</w:t>
            </w:r>
          </w:p>
          <w:p w14:paraId="2CFDE44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w:t>
            </w:r>
          </w:p>
        </w:tc>
      </w:tr>
      <w:tr w14:paraId="6E1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4" w:type="dxa"/>
            <w:noWrap w:val="0"/>
            <w:vAlign w:val="center"/>
          </w:tcPr>
          <w:p w14:paraId="2405C1E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c>
          <w:tcPr>
            <w:tcW w:w="2157" w:type="dxa"/>
            <w:noWrap w:val="0"/>
            <w:vAlign w:val="center"/>
          </w:tcPr>
          <w:p w14:paraId="0B06CCB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项目</w:t>
            </w:r>
            <w:r>
              <w:rPr>
                <w:rFonts w:hint="eastAsia" w:ascii="宋体" w:hAnsi="宋体" w:eastAsia="宋体" w:cs="宋体"/>
                <w:i w:val="0"/>
                <w:iCs w:val="0"/>
                <w:color w:val="auto"/>
                <w:sz w:val="22"/>
                <w:szCs w:val="22"/>
                <w:highlight w:val="none"/>
                <w:lang w:val="en-US" w:eastAsia="zh-CN"/>
              </w:rPr>
              <w:t>负责人</w:t>
            </w:r>
          </w:p>
        </w:tc>
        <w:tc>
          <w:tcPr>
            <w:tcW w:w="4773" w:type="dxa"/>
            <w:noWrap w:val="0"/>
            <w:vAlign w:val="center"/>
          </w:tcPr>
          <w:p w14:paraId="64CAEFA3">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b w:val="0"/>
                <w:bCs/>
                <w:i w:val="0"/>
                <w:iCs w:val="0"/>
                <w:color w:val="auto"/>
                <w:kern w:val="58"/>
                <w:sz w:val="22"/>
                <w:szCs w:val="22"/>
                <w:highlight w:val="none"/>
                <w:u w:val="none"/>
                <w:lang w:val="en-US" w:eastAsia="zh-CN"/>
              </w:rPr>
              <w:t>具备建筑工程专业二级及以上建造师注册证书，并具有有效的安全生产考核合格证（B证），且在投标截止日不得在其他任何在建合同工程中担任项目负责人（包括工程总承包项目中的施工负责人）。</w:t>
            </w:r>
          </w:p>
        </w:tc>
        <w:tc>
          <w:tcPr>
            <w:tcW w:w="1601" w:type="dxa"/>
            <w:noWrap w:val="0"/>
            <w:vAlign w:val="center"/>
          </w:tcPr>
          <w:p w14:paraId="1742C6D0">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50E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4" w:type="dxa"/>
            <w:noWrap w:val="0"/>
            <w:vAlign w:val="center"/>
          </w:tcPr>
          <w:p w14:paraId="77C262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2</w:t>
            </w:r>
          </w:p>
        </w:tc>
        <w:tc>
          <w:tcPr>
            <w:tcW w:w="2157" w:type="dxa"/>
            <w:noWrap w:val="0"/>
            <w:vAlign w:val="center"/>
          </w:tcPr>
          <w:p w14:paraId="3B80CA6B">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技术负责人</w:t>
            </w:r>
          </w:p>
        </w:tc>
        <w:tc>
          <w:tcPr>
            <w:tcW w:w="4773" w:type="dxa"/>
            <w:noWrap w:val="0"/>
            <w:vAlign w:val="center"/>
          </w:tcPr>
          <w:p w14:paraId="44EB0A29">
            <w:pPr>
              <w:keepNext w:val="0"/>
              <w:keepLines w:val="0"/>
              <w:pageBreakBefore w:val="0"/>
              <w:kinsoku/>
              <w:wordWrap/>
              <w:overflowPunct/>
              <w:topLinePunct w:val="0"/>
              <w:bidi w:val="0"/>
              <w:snapToGrid/>
              <w:spacing w:after="0" w:line="400" w:lineRule="exact"/>
              <w:jc w:val="left"/>
              <w:textAlignment w:val="auto"/>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b w:val="0"/>
                <w:bCs/>
                <w:i w:val="0"/>
                <w:iCs w:val="0"/>
                <w:color w:val="auto"/>
                <w:kern w:val="58"/>
                <w:sz w:val="22"/>
                <w:szCs w:val="22"/>
                <w:highlight w:val="none"/>
                <w:u w:val="none"/>
                <w:lang w:val="en-US" w:eastAsia="zh-CN"/>
              </w:rPr>
              <w:t>具有</w:t>
            </w:r>
            <w:r>
              <w:rPr>
                <w:rFonts w:hint="eastAsia" w:ascii="宋体" w:hAnsi="宋体" w:cs="宋体"/>
                <w:b/>
                <w:bCs w:val="0"/>
                <w:i w:val="0"/>
                <w:iCs w:val="0"/>
                <w:color w:val="auto"/>
                <w:kern w:val="58"/>
                <w:sz w:val="22"/>
                <w:szCs w:val="22"/>
                <w:highlight w:val="none"/>
                <w:u w:val="single"/>
                <w:lang w:val="en-US" w:eastAsia="zh-CN"/>
              </w:rPr>
              <w:t>建筑</w:t>
            </w:r>
            <w:r>
              <w:rPr>
                <w:rFonts w:hint="eastAsia" w:ascii="宋体" w:hAnsi="宋体" w:eastAsia="宋体" w:cs="宋体"/>
                <w:b/>
                <w:bCs w:val="0"/>
                <w:i w:val="0"/>
                <w:iCs w:val="0"/>
                <w:color w:val="auto"/>
                <w:kern w:val="58"/>
                <w:sz w:val="22"/>
                <w:szCs w:val="22"/>
                <w:highlight w:val="none"/>
                <w:u w:val="single"/>
                <w:lang w:val="en-US" w:eastAsia="zh-CN"/>
              </w:rPr>
              <w:t>类</w:t>
            </w:r>
            <w:r>
              <w:rPr>
                <w:rFonts w:hint="eastAsia" w:ascii="宋体" w:hAnsi="宋体" w:eastAsia="宋体" w:cs="宋体"/>
                <w:b/>
                <w:bCs w:val="0"/>
                <w:i w:val="0"/>
                <w:iCs w:val="0"/>
                <w:color w:val="auto"/>
                <w:sz w:val="22"/>
                <w:szCs w:val="22"/>
                <w:highlight w:val="none"/>
                <w:u w:val="single"/>
              </w:rPr>
              <w:t>专业</w:t>
            </w:r>
            <w:r>
              <w:rPr>
                <w:rFonts w:hint="eastAsia" w:ascii="宋体" w:hAnsi="宋体" w:eastAsia="宋体" w:cs="宋体"/>
                <w:b w:val="0"/>
                <w:bCs/>
                <w:i w:val="0"/>
                <w:iCs w:val="0"/>
                <w:color w:val="auto"/>
                <w:sz w:val="22"/>
                <w:szCs w:val="22"/>
                <w:highlight w:val="none"/>
                <w:u w:val="none"/>
              </w:rPr>
              <w:t>工程师及以上职称</w:t>
            </w:r>
          </w:p>
        </w:tc>
        <w:tc>
          <w:tcPr>
            <w:tcW w:w="1601" w:type="dxa"/>
            <w:noWrap w:val="0"/>
            <w:vAlign w:val="center"/>
          </w:tcPr>
          <w:p w14:paraId="2F6B2CF4">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2C7C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noWrap w:val="0"/>
            <w:vAlign w:val="center"/>
          </w:tcPr>
          <w:p w14:paraId="2645CDD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3</w:t>
            </w:r>
          </w:p>
        </w:tc>
        <w:tc>
          <w:tcPr>
            <w:tcW w:w="2157" w:type="dxa"/>
            <w:noWrap w:val="0"/>
            <w:vAlign w:val="center"/>
          </w:tcPr>
          <w:p w14:paraId="56F943DD">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kern w:val="2"/>
                <w:sz w:val="22"/>
                <w:szCs w:val="22"/>
                <w:highlight w:val="none"/>
                <w:lang w:val="en-US" w:eastAsia="zh-CN" w:bidi="ar-SA"/>
              </w:rPr>
              <w:t>安全员</w:t>
            </w:r>
          </w:p>
        </w:tc>
        <w:tc>
          <w:tcPr>
            <w:tcW w:w="4773" w:type="dxa"/>
            <w:noWrap w:val="0"/>
            <w:vAlign w:val="center"/>
          </w:tcPr>
          <w:p w14:paraId="7909B8B1">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color w:val="000000"/>
                <w:kern w:val="0"/>
                <w:sz w:val="22"/>
                <w:szCs w:val="22"/>
                <w:lang w:val="en-US" w:eastAsia="zh-CN" w:bidi="ar"/>
              </w:rPr>
              <w:t>具备建设行政主管部门核发的《专职安全生产管理人员安全生产考核合格证书》</w:t>
            </w:r>
          </w:p>
        </w:tc>
        <w:tc>
          <w:tcPr>
            <w:tcW w:w="1601" w:type="dxa"/>
            <w:noWrap w:val="0"/>
            <w:vAlign w:val="center"/>
          </w:tcPr>
          <w:p w14:paraId="19B72F7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1</w:t>
            </w:r>
          </w:p>
        </w:tc>
      </w:tr>
      <w:tr w14:paraId="121D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4" w:type="dxa"/>
            <w:noWrap w:val="0"/>
            <w:vAlign w:val="center"/>
          </w:tcPr>
          <w:p w14:paraId="511DCBA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w:t>
            </w:r>
          </w:p>
        </w:tc>
        <w:tc>
          <w:tcPr>
            <w:tcW w:w="2157" w:type="dxa"/>
            <w:noWrap w:val="0"/>
            <w:vAlign w:val="center"/>
          </w:tcPr>
          <w:p w14:paraId="151B1AF2">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施工员</w:t>
            </w:r>
          </w:p>
        </w:tc>
        <w:tc>
          <w:tcPr>
            <w:tcW w:w="4773" w:type="dxa"/>
            <w:noWrap w:val="0"/>
            <w:vAlign w:val="center"/>
          </w:tcPr>
          <w:p w14:paraId="56D43260">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土建</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施工员《浙江省建设专业管理岗位资格证书》（《住房和城乡建设领域施工现场专业人员职业培训合格证》）</w:t>
            </w:r>
          </w:p>
        </w:tc>
        <w:tc>
          <w:tcPr>
            <w:tcW w:w="1601" w:type="dxa"/>
            <w:noWrap w:val="0"/>
            <w:vAlign w:val="center"/>
          </w:tcPr>
          <w:p w14:paraId="73A4FF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w:t>
            </w:r>
          </w:p>
        </w:tc>
      </w:tr>
      <w:tr w14:paraId="539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4" w:type="dxa"/>
            <w:noWrap w:val="0"/>
            <w:vAlign w:val="center"/>
          </w:tcPr>
          <w:p w14:paraId="12F3247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5</w:t>
            </w:r>
          </w:p>
        </w:tc>
        <w:tc>
          <w:tcPr>
            <w:tcW w:w="2157" w:type="dxa"/>
            <w:noWrap w:val="0"/>
            <w:vAlign w:val="center"/>
          </w:tcPr>
          <w:p w14:paraId="560D286F">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质量员</w:t>
            </w:r>
          </w:p>
        </w:tc>
        <w:tc>
          <w:tcPr>
            <w:tcW w:w="4773" w:type="dxa"/>
            <w:noWrap w:val="0"/>
            <w:vAlign w:val="center"/>
          </w:tcPr>
          <w:p w14:paraId="14CF003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color w:val="auto"/>
                <w:sz w:val="22"/>
                <w:szCs w:val="22"/>
                <w:highlight w:val="none"/>
              </w:rPr>
              <w:t>具备</w:t>
            </w:r>
            <w:r>
              <w:rPr>
                <w:rFonts w:hint="eastAsia" w:ascii="宋体" w:hAnsi="宋体" w:cs="宋体"/>
                <w:color w:val="auto"/>
                <w:sz w:val="22"/>
                <w:szCs w:val="22"/>
                <w:highlight w:val="none"/>
                <w:lang w:eastAsia="zh-CN"/>
              </w:rPr>
              <w:t>土建</w:t>
            </w:r>
            <w:r>
              <w:rPr>
                <w:rFonts w:hint="eastAsia" w:ascii="宋体" w:hAnsi="宋体" w:eastAsia="宋体" w:cs="宋体"/>
                <w:color w:val="auto"/>
                <w:sz w:val="22"/>
                <w:szCs w:val="22"/>
                <w:highlight w:val="none"/>
                <w:lang w:eastAsia="zh-CN"/>
              </w:rPr>
              <w:t>专业</w:t>
            </w:r>
            <w:r>
              <w:rPr>
                <w:rFonts w:hint="eastAsia" w:ascii="宋体" w:hAnsi="宋体" w:eastAsia="宋体" w:cs="宋体"/>
                <w:color w:val="auto"/>
                <w:sz w:val="22"/>
                <w:szCs w:val="22"/>
                <w:highlight w:val="none"/>
              </w:rPr>
              <w:t>质检员《浙江省建设专业管理岗位资格证书》（《住房和城乡建设领域施工现场专业人员职业培训合格证》）</w:t>
            </w:r>
          </w:p>
        </w:tc>
        <w:tc>
          <w:tcPr>
            <w:tcW w:w="1601" w:type="dxa"/>
            <w:noWrap w:val="0"/>
            <w:vAlign w:val="center"/>
          </w:tcPr>
          <w:p w14:paraId="22A9F8C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1</w:t>
            </w:r>
          </w:p>
        </w:tc>
      </w:tr>
      <w:tr w14:paraId="4E2E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245" w:type="dxa"/>
            <w:gridSpan w:val="4"/>
            <w:noWrap w:val="0"/>
            <w:vAlign w:val="center"/>
          </w:tcPr>
          <w:p w14:paraId="016FCD33">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auto"/>
                <w:sz w:val="22"/>
                <w:szCs w:val="22"/>
                <w:highlight w:val="none"/>
                <w:lang w:val="en-US" w:eastAsia="zh-CN"/>
              </w:rPr>
            </w:pPr>
            <w:bookmarkStart w:id="63" w:name="_Toc20889"/>
            <w:r>
              <w:rPr>
                <w:rFonts w:hint="eastAsia" w:ascii="宋体" w:hAnsi="宋体" w:eastAsia="宋体" w:cs="宋体"/>
                <w:b/>
                <w:bCs/>
                <w:color w:val="auto"/>
                <w:sz w:val="22"/>
                <w:szCs w:val="22"/>
                <w:highlight w:val="none"/>
                <w:lang w:val="en-US" w:eastAsia="zh-CN"/>
              </w:rPr>
              <w:t>注：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tc>
      </w:tr>
      <w:bookmarkEnd w:id="62"/>
      <w:bookmarkEnd w:id="63"/>
    </w:tbl>
    <w:p w14:paraId="308CEAFD">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p>
    <w:p w14:paraId="40128DF6">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三、项目技术要求</w:t>
      </w:r>
    </w:p>
    <w:p w14:paraId="79E934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1.本工程量清单是根据采购文件中包括的、有合同约束力的图纸以及有关工程量清单的国家标准、行业标准、合同条款中约定的工程量计算规则编制。计量采用中华人民共和国法定计量单位。</w:t>
      </w:r>
    </w:p>
    <w:p w14:paraId="3E2EA0E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2.本工程量清单应与采购文件中的竞争性磋商须知、合同条款、技术标准和要求及图纸（如有）等一起阅读和理解。</w:t>
      </w:r>
    </w:p>
    <w:p w14:paraId="097E8651">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3、本项目工程量清单中标明的单价和总价均已包括为实施本工程所需的人工、材料、机械使用等定额直接费、临时设施、施工辅助、进退场等其他直接费、间接费、管理费、措施费、规费、保险、利润、税金、中标服务费等一切费用，以及合同明示或暗示的所有责任、义务和一切风险。</w:t>
      </w:r>
    </w:p>
    <w:p w14:paraId="5A6BBBE5">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4.符合合同条款规定的全部费用应认为已被计入有标价的工程量清单所列各子目之中，未列子目不予计量的工作，其费用应视为已分摊在本合同工程的有关子目的单价或总价之中。</w:t>
      </w:r>
    </w:p>
    <w:p w14:paraId="0320F8E0">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5.供应商按采购人提供的《工程量清单》格式报价，供应商不得擅自改动采购人提供的工程量清单内容（计量单位、工程数量等），磋商报价应以采购人提供的工程量清单为基础，结合施工图纸等进行报价。</w:t>
      </w:r>
    </w:p>
    <w:p w14:paraId="245BBF84">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6.本工程要求承包人做好现场安全文明施工；现场悬挂安全文明施工警示牌、对施工造成的道路上的洒落进行清理、材料堆放要求整齐并做好维护等。</w:t>
      </w:r>
    </w:p>
    <w:p w14:paraId="21502C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四、工程管理要求</w:t>
      </w:r>
    </w:p>
    <w:p w14:paraId="16E5EE1F">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1、本工程采购范围内的工程项目，未经发包人同意一律不得分包。一经发现立即取消承包资格，作违约处理，并承担由此引起的一切经济损失。</w:t>
      </w:r>
    </w:p>
    <w:p w14:paraId="22C752C9">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4106E07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14:paraId="64158396">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14:paraId="7A2FFCD2">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、图纸及工程量清单</w:t>
      </w:r>
    </w:p>
    <w:p w14:paraId="3644700A">
      <w:pPr>
        <w:spacing w:line="500" w:lineRule="exact"/>
        <w:ind w:firstLine="440" w:firstLineChars="200"/>
        <w:rPr>
          <w:rFonts w:hint="eastAsia" w:ascii="宋体" w:hAnsi="宋体" w:eastAsia="宋体" w:cs="宋体"/>
          <w:snapToGrid w:val="0"/>
          <w:sz w:val="22"/>
          <w:szCs w:val="22"/>
          <w:highlight w:val="none"/>
          <w:lang w:val="en-US" w:eastAsia="zh-CN"/>
        </w:rPr>
      </w:pPr>
      <w:r>
        <w:rPr>
          <w:rFonts w:hint="eastAsia" w:ascii="宋体" w:hAnsi="宋体" w:eastAsia="宋体" w:cs="宋体"/>
          <w:snapToGrid w:val="0"/>
          <w:sz w:val="22"/>
          <w:szCs w:val="22"/>
          <w:highlight w:val="none"/>
          <w:lang w:val="en-US" w:eastAsia="zh-CN"/>
        </w:rPr>
        <w:t>由投标人在公告发布网站自行下载。</w:t>
      </w:r>
    </w:p>
    <w:p w14:paraId="0ED0860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、商务条款要求</w:t>
      </w:r>
    </w:p>
    <w:tbl>
      <w:tblPr>
        <w:tblStyle w:val="60"/>
        <w:tblW w:w="9321" w:type="dxa"/>
        <w:jc w:val="center"/>
        <w:tblLayout w:type="fixed"/>
        <w:tblCellMar>
          <w:top w:w="0" w:type="dxa"/>
          <w:left w:w="108" w:type="dxa"/>
          <w:bottom w:w="0" w:type="dxa"/>
          <w:right w:w="108" w:type="dxa"/>
        </w:tblCellMar>
      </w:tblPr>
      <w:tblGrid>
        <w:gridCol w:w="1097"/>
        <w:gridCol w:w="8224"/>
      </w:tblGrid>
      <w:tr w14:paraId="2F857634">
        <w:tblPrEx>
          <w:tblCellMar>
            <w:top w:w="0" w:type="dxa"/>
            <w:left w:w="108" w:type="dxa"/>
            <w:bottom w:w="0" w:type="dxa"/>
            <w:right w:w="108" w:type="dxa"/>
          </w:tblCellMar>
        </w:tblPrEx>
        <w:trPr>
          <w:trHeight w:val="477"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6C7BB276">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4D1A112A">
            <w:pPr>
              <w:autoSpaceDE w:val="0"/>
              <w:autoSpaceDN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      容</w:t>
            </w:r>
          </w:p>
        </w:tc>
      </w:tr>
      <w:tr w14:paraId="05EF9613">
        <w:tblPrEx>
          <w:tblCellMar>
            <w:top w:w="0" w:type="dxa"/>
            <w:left w:w="108" w:type="dxa"/>
            <w:bottom w:w="0" w:type="dxa"/>
            <w:right w:w="108" w:type="dxa"/>
          </w:tblCellMar>
        </w:tblPrEx>
        <w:trPr>
          <w:trHeight w:val="558"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70084A">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6F662384">
            <w:pPr>
              <w:pStyle w:val="309"/>
              <w:spacing w:line="240" w:lineRule="auto"/>
              <w:ind w:firstLine="0" w:firstLine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合同履约期限（工期）：自开工令发出之日起</w:t>
            </w:r>
            <w:r>
              <w:rPr>
                <w:rFonts w:hint="eastAsia" w:hAnsi="宋体" w:cs="宋体"/>
                <w:color w:val="000000"/>
                <w:kern w:val="2"/>
                <w:sz w:val="22"/>
                <w:szCs w:val="22"/>
                <w:highlight w:val="none"/>
                <w:lang w:val="en-US" w:eastAsia="zh-CN" w:bidi="ar-SA"/>
              </w:rPr>
              <w:t>60日历天</w:t>
            </w:r>
            <w:r>
              <w:rPr>
                <w:rFonts w:hint="eastAsia" w:ascii="宋体" w:hAnsi="宋体" w:eastAsia="宋体" w:cs="宋体"/>
                <w:color w:val="000000"/>
                <w:kern w:val="2"/>
                <w:sz w:val="22"/>
                <w:szCs w:val="22"/>
                <w:highlight w:val="none"/>
                <w:lang w:val="en-US" w:eastAsia="zh-CN" w:bidi="ar-SA"/>
              </w:rPr>
              <w:t>内完成</w:t>
            </w:r>
          </w:p>
        </w:tc>
      </w:tr>
      <w:tr w14:paraId="521B0893">
        <w:tblPrEx>
          <w:tblCellMar>
            <w:top w:w="0" w:type="dxa"/>
            <w:left w:w="108" w:type="dxa"/>
            <w:bottom w:w="0" w:type="dxa"/>
            <w:right w:w="108" w:type="dxa"/>
          </w:tblCellMar>
        </w:tblPrEx>
        <w:trPr>
          <w:trHeight w:val="2203"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0D6548">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5E43F4B1">
            <w:pPr>
              <w:spacing w:line="24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付款方法和条件：</w:t>
            </w:r>
          </w:p>
          <w:p w14:paraId="6717F6EE">
            <w:pPr>
              <w:pStyle w:val="22"/>
              <w:spacing w:line="24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1、合同生效及具备实施条件后7个工作日内，采购人支付合同总价的40%作为工程预付款；</w:t>
            </w:r>
          </w:p>
          <w:p w14:paraId="3DC12F19">
            <w:pPr>
              <w:pStyle w:val="22"/>
              <w:spacing w:line="24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2、工程验收合格后7个工作日内，采购人支付至合同总价的</w:t>
            </w:r>
            <w:r>
              <w:rPr>
                <w:rFonts w:hint="eastAsia" w:hAnsi="宋体" w:cs="宋体"/>
                <w:color w:val="000000"/>
                <w:kern w:val="2"/>
                <w:sz w:val="22"/>
                <w:szCs w:val="22"/>
                <w:highlight w:val="none"/>
                <w:lang w:val="en-US" w:eastAsia="zh-CN" w:bidi="ar-SA"/>
              </w:rPr>
              <w:t>9</w:t>
            </w:r>
            <w:r>
              <w:rPr>
                <w:rFonts w:hint="eastAsia" w:ascii="宋体" w:hAnsi="宋体" w:eastAsia="宋体" w:cs="宋体"/>
                <w:color w:val="000000"/>
                <w:kern w:val="2"/>
                <w:sz w:val="22"/>
                <w:szCs w:val="22"/>
                <w:highlight w:val="none"/>
                <w:lang w:val="en-US" w:eastAsia="zh-CN" w:bidi="ar-SA"/>
              </w:rPr>
              <w:t>0%；</w:t>
            </w:r>
          </w:p>
          <w:p w14:paraId="6A14AF90">
            <w:pPr>
              <w:pStyle w:val="22"/>
              <w:spacing w:line="24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3、工程竣工验收（终验）合格后，根据相关部门核准的决算价</w:t>
            </w:r>
            <w:r>
              <w:rPr>
                <w:rFonts w:hint="eastAsia" w:hAnsi="宋体" w:cs="宋体"/>
                <w:color w:val="000000"/>
                <w:kern w:val="2"/>
                <w:sz w:val="22"/>
                <w:szCs w:val="22"/>
                <w:highlight w:val="none"/>
                <w:lang w:val="en-US" w:eastAsia="zh-CN" w:bidi="ar-SA"/>
              </w:rPr>
              <w:t>，扣留质保保证金后一次性</w:t>
            </w:r>
            <w:r>
              <w:rPr>
                <w:rFonts w:hint="eastAsia" w:ascii="宋体" w:hAnsi="宋体" w:eastAsia="宋体" w:cs="宋体"/>
                <w:color w:val="000000"/>
                <w:kern w:val="2"/>
                <w:sz w:val="22"/>
                <w:szCs w:val="22"/>
                <w:highlight w:val="none"/>
                <w:lang w:val="en-US" w:eastAsia="zh-CN" w:bidi="ar-SA"/>
              </w:rPr>
              <w:t>付清尾款</w:t>
            </w:r>
            <w:r>
              <w:rPr>
                <w:rFonts w:hint="eastAsia" w:hAnsi="宋体" w:cs="宋体"/>
                <w:color w:val="000000"/>
                <w:kern w:val="2"/>
                <w:sz w:val="22"/>
                <w:szCs w:val="22"/>
                <w:highlight w:val="none"/>
                <w:lang w:val="en-US" w:eastAsia="zh-CN" w:bidi="ar-SA"/>
              </w:rPr>
              <w:t>（不计息）</w:t>
            </w:r>
            <w:r>
              <w:rPr>
                <w:rFonts w:hint="eastAsia" w:ascii="宋体" w:hAnsi="宋体" w:eastAsia="宋体" w:cs="宋体"/>
                <w:color w:val="000000"/>
                <w:kern w:val="2"/>
                <w:sz w:val="22"/>
                <w:szCs w:val="22"/>
                <w:highlight w:val="none"/>
                <w:lang w:val="en-US" w:eastAsia="zh-CN" w:bidi="ar-SA"/>
              </w:rPr>
              <w:t>。</w:t>
            </w:r>
          </w:p>
          <w:p w14:paraId="0A89858D">
            <w:pPr>
              <w:pStyle w:val="58"/>
              <w:spacing w:line="240" w:lineRule="auto"/>
              <w:ind w:left="0" w:leftChars="0" w:firstLine="0" w:firstLine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注：具体条款以双方签订的合同约定为准。</w:t>
            </w:r>
          </w:p>
        </w:tc>
      </w:tr>
      <w:tr w14:paraId="7140673E">
        <w:tblPrEx>
          <w:tblCellMar>
            <w:top w:w="0" w:type="dxa"/>
            <w:left w:w="108" w:type="dxa"/>
            <w:bottom w:w="0" w:type="dxa"/>
            <w:right w:w="108" w:type="dxa"/>
          </w:tblCellMar>
        </w:tblPrEx>
        <w:trPr>
          <w:trHeight w:val="1530"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14:paraId="117972A4">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w:t>
            </w:r>
          </w:p>
        </w:tc>
        <w:tc>
          <w:tcPr>
            <w:tcW w:w="8224" w:type="dxa"/>
            <w:tcBorders>
              <w:top w:val="single" w:color="000000" w:sz="6" w:space="0"/>
              <w:left w:val="single" w:color="000000" w:sz="6" w:space="0"/>
              <w:bottom w:val="single" w:color="000000" w:sz="6" w:space="0"/>
              <w:right w:val="single" w:color="auto" w:sz="4" w:space="0"/>
            </w:tcBorders>
            <w:noWrap w:val="0"/>
            <w:vAlign w:val="center"/>
          </w:tcPr>
          <w:p w14:paraId="7BA02590">
            <w:pPr>
              <w:pStyle w:val="3"/>
              <w:numPr>
                <w:ilvl w:val="0"/>
                <w:numId w:val="0"/>
              </w:numPr>
              <w:spacing w:before="0" w:after="0" w:line="240" w:lineRule="auto"/>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1、履约保证金的形式：银行保函或银行汇票或支票或保险保单方式</w:t>
            </w:r>
          </w:p>
          <w:p w14:paraId="369C5934">
            <w:pPr>
              <w:pStyle w:val="3"/>
              <w:numPr>
                <w:ilvl w:val="0"/>
                <w:numId w:val="0"/>
              </w:numPr>
              <w:spacing w:before="0" w:after="0" w:line="240" w:lineRule="auto"/>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2、担保收件人：采购人</w:t>
            </w:r>
          </w:p>
          <w:p w14:paraId="39EF8C11">
            <w:pPr>
              <w:pStyle w:val="3"/>
              <w:numPr>
                <w:ilvl w:val="0"/>
                <w:numId w:val="0"/>
              </w:numPr>
              <w:spacing w:before="0" w:after="0" w:line="240" w:lineRule="auto"/>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3、履约保证金金额：签约合同价款的1%；</w:t>
            </w:r>
          </w:p>
          <w:p w14:paraId="4B2D6F01">
            <w:pPr>
              <w:pStyle w:val="3"/>
              <w:numPr>
                <w:ilvl w:val="0"/>
                <w:numId w:val="0"/>
              </w:numPr>
              <w:spacing w:before="0" w:after="0" w:line="240" w:lineRule="auto"/>
              <w:ind w:leftChars="0"/>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4、退还时间：工程竣工验收合格后10日内全额退还无利息。</w:t>
            </w:r>
          </w:p>
        </w:tc>
      </w:tr>
      <w:tr w14:paraId="45A6C3E3">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A8DC1C1">
            <w:pPr>
              <w:autoSpaceDE w:val="0"/>
              <w:autoSpaceDN w:val="0"/>
              <w:adjustRightInd w:val="0"/>
              <w:spacing w:line="40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4</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0ABF52F0">
            <w:pPr>
              <w:widowControl/>
              <w:spacing w:line="240" w:lineRule="auto"/>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质保期：详见合同条款。</w:t>
            </w:r>
          </w:p>
        </w:tc>
      </w:tr>
      <w:tr w14:paraId="0EDFE085">
        <w:tblPrEx>
          <w:tblCellMar>
            <w:top w:w="0" w:type="dxa"/>
            <w:left w:w="108" w:type="dxa"/>
            <w:bottom w:w="0" w:type="dxa"/>
            <w:right w:w="108" w:type="dxa"/>
          </w:tblCellMar>
        </w:tblPrEx>
        <w:trPr>
          <w:trHeight w:val="2145"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25DADC2D">
            <w:pPr>
              <w:autoSpaceDE w:val="0"/>
              <w:autoSpaceDN w:val="0"/>
              <w:adjustRightInd w:val="0"/>
              <w:spacing w:line="400" w:lineRule="exact"/>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5</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5F9F3374">
            <w:pPr>
              <w:widowControl/>
              <w:spacing w:line="240" w:lineRule="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免费维修的响应期限</w:t>
            </w:r>
          </w:p>
          <w:p w14:paraId="717222C2">
            <w:pPr>
              <w:widowControl/>
              <w:spacing w:line="240" w:lineRule="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auto"/>
                <w:sz w:val="22"/>
                <w:szCs w:val="22"/>
                <w:highlight w:val="none"/>
              </w:rPr>
              <w:t>在产品保修期内，一旦发生质量问题，供应商保证在接到通知后30分钟内作出响应，2小时内到现场进行维修、更换或退货，费用由供应商负责。如供应商在接到通知的2小时内没有答复或处理问题，则视为供应商承认质量问题并承担由此而发生的一切费用。保修期间产品的一切质量问题，更换部件及产品本身质量原因造成的直接经济损失应全部由供应商自行负责，更换时间不得超过48小时。</w:t>
            </w:r>
          </w:p>
        </w:tc>
      </w:tr>
      <w:tr w14:paraId="1ECEEB60">
        <w:tblPrEx>
          <w:tblCellMar>
            <w:top w:w="0" w:type="dxa"/>
            <w:left w:w="108" w:type="dxa"/>
            <w:bottom w:w="0" w:type="dxa"/>
            <w:right w:w="108" w:type="dxa"/>
          </w:tblCellMar>
        </w:tblPrEx>
        <w:trPr>
          <w:trHeight w:val="184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6317A2D">
            <w:pPr>
              <w:spacing w:line="360" w:lineRule="exact"/>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▲7</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706DA834">
            <w:pPr>
              <w:numPr>
                <w:ilvl w:val="0"/>
                <w:numId w:val="12"/>
              </w:numPr>
              <w:spacing w:line="240" w:lineRule="auto"/>
              <w:jc w:val="lef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报价方式：按竞争性磋商文件“工程量清单”</w:t>
            </w:r>
            <w:r>
              <w:rPr>
                <w:rFonts w:hint="eastAsia" w:ascii="宋体" w:hAnsi="宋体" w:cs="宋体"/>
                <w:color w:val="000000"/>
                <w:kern w:val="2"/>
                <w:sz w:val="22"/>
                <w:szCs w:val="22"/>
                <w:highlight w:val="none"/>
                <w:lang w:val="en-US" w:eastAsia="zh-CN" w:bidi="ar-SA"/>
              </w:rPr>
              <w:t>报价</w:t>
            </w:r>
            <w:r>
              <w:rPr>
                <w:rFonts w:hint="eastAsia" w:ascii="宋体" w:hAnsi="宋体" w:eastAsia="宋体" w:cs="宋体"/>
                <w:color w:val="000000"/>
                <w:kern w:val="2"/>
                <w:sz w:val="22"/>
                <w:szCs w:val="22"/>
                <w:highlight w:val="none"/>
                <w:lang w:val="en-US" w:eastAsia="zh-CN" w:bidi="ar-SA"/>
              </w:rPr>
              <w:t>。</w:t>
            </w:r>
          </w:p>
          <w:p w14:paraId="28C5A189">
            <w:pPr>
              <w:numPr>
                <w:ilvl w:val="0"/>
                <w:numId w:val="0"/>
              </w:numPr>
              <w:spacing w:line="240" w:lineRule="auto"/>
              <w:jc w:val="left"/>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2、</w:t>
            </w:r>
            <w:r>
              <w:rPr>
                <w:rFonts w:hint="eastAsia" w:ascii="宋体" w:hAnsi="宋体" w:eastAsia="宋体" w:cs="宋体"/>
                <w:color w:val="000000"/>
                <w:kern w:val="2"/>
                <w:sz w:val="22"/>
                <w:szCs w:val="22"/>
                <w:highlight w:val="none"/>
                <w:lang w:val="en-US" w:eastAsia="zh-CN" w:bidi="ar-SA"/>
              </w:rPr>
              <w:t>最高限价</w:t>
            </w:r>
            <w:r>
              <w:rPr>
                <w:rFonts w:hint="eastAsia" w:ascii="宋体" w:hAnsi="宋体" w:cs="宋体"/>
                <w:color w:val="000000"/>
                <w:kern w:val="2"/>
                <w:sz w:val="22"/>
                <w:szCs w:val="22"/>
                <w:highlight w:val="none"/>
                <w:u w:val="single"/>
                <w:lang w:val="en-US" w:eastAsia="zh-CN" w:bidi="ar-SA"/>
              </w:rPr>
              <w:t>2759919</w:t>
            </w:r>
            <w:r>
              <w:rPr>
                <w:rFonts w:hint="eastAsia" w:ascii="宋体" w:hAnsi="宋体" w:eastAsia="宋体" w:cs="宋体"/>
                <w:color w:val="000000"/>
                <w:kern w:val="2"/>
                <w:sz w:val="22"/>
                <w:szCs w:val="22"/>
                <w:highlight w:val="none"/>
                <w:lang w:val="en-US" w:eastAsia="zh-CN" w:bidi="ar-SA"/>
              </w:rPr>
              <w:t>元，非竞争</w:t>
            </w:r>
            <w:r>
              <w:rPr>
                <w:rFonts w:hint="eastAsia" w:ascii="宋体" w:hAnsi="宋体" w:cs="宋体"/>
                <w:color w:val="000000"/>
                <w:kern w:val="2"/>
                <w:sz w:val="22"/>
                <w:szCs w:val="22"/>
                <w:highlight w:val="none"/>
                <w:lang w:val="en-US" w:eastAsia="zh-CN" w:bidi="ar-SA"/>
              </w:rPr>
              <w:t>性</w:t>
            </w:r>
            <w:r>
              <w:rPr>
                <w:rFonts w:hint="eastAsia" w:ascii="宋体" w:hAnsi="宋体" w:eastAsia="宋体" w:cs="宋体"/>
                <w:color w:val="000000"/>
                <w:kern w:val="2"/>
                <w:sz w:val="22"/>
                <w:szCs w:val="22"/>
                <w:highlight w:val="none"/>
                <w:lang w:val="en-US" w:eastAsia="zh-CN" w:bidi="ar-SA"/>
              </w:rPr>
              <w:t>项目费用</w:t>
            </w:r>
            <w:r>
              <w:rPr>
                <w:rFonts w:hint="eastAsia" w:ascii="宋体" w:hAnsi="宋体" w:cs="宋体"/>
                <w:color w:val="000000"/>
                <w:kern w:val="2"/>
                <w:sz w:val="22"/>
                <w:szCs w:val="22"/>
                <w:highlight w:val="none"/>
                <w:u w:val="single"/>
                <w:lang w:val="en-US" w:eastAsia="zh-CN" w:bidi="ar-SA"/>
              </w:rPr>
              <w:t>143746</w:t>
            </w:r>
            <w:r>
              <w:rPr>
                <w:rFonts w:hint="eastAsia" w:ascii="宋体" w:hAnsi="宋体" w:eastAsia="宋体" w:cs="宋体"/>
                <w:color w:val="000000"/>
                <w:kern w:val="2"/>
                <w:sz w:val="22"/>
                <w:szCs w:val="22"/>
                <w:highlight w:val="none"/>
                <w:lang w:val="en-US" w:eastAsia="zh-CN" w:bidi="ar-SA"/>
              </w:rPr>
              <w:t>元（含税）</w:t>
            </w:r>
          </w:p>
          <w:p w14:paraId="6EA2106A">
            <w:pPr>
              <w:spacing w:line="240" w:lineRule="auto"/>
              <w:jc w:val="left"/>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3、非竞争性项目费用包括：暂列金，不得变动，否则视为无效。</w:t>
            </w:r>
          </w:p>
          <w:p w14:paraId="55D5B421">
            <w:pPr>
              <w:spacing w:line="240" w:lineRule="auto"/>
              <w:jc w:val="left"/>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4、</w:t>
            </w:r>
            <w:r>
              <w:rPr>
                <w:rFonts w:hint="eastAsia" w:ascii="宋体" w:hAnsi="宋体" w:eastAsia="宋体" w:cs="宋体"/>
                <w:color w:val="000000"/>
                <w:kern w:val="2"/>
                <w:sz w:val="22"/>
                <w:szCs w:val="22"/>
                <w:highlight w:val="none"/>
                <w:lang w:val="en-US" w:eastAsia="zh-CN" w:bidi="ar-SA"/>
              </w:rPr>
              <w:t>本工程采用单价合同形式，工程量按实调整。</w:t>
            </w:r>
          </w:p>
        </w:tc>
      </w:tr>
    </w:tbl>
    <w:p w14:paraId="74AA0C51">
      <w:pPr>
        <w:rPr>
          <w:rFonts w:hint="eastAsia" w:ascii="宋体" w:hAnsi="宋体" w:eastAsia="宋体" w:cs="宋体"/>
          <w:b/>
          <w:sz w:val="36"/>
          <w:szCs w:val="36"/>
        </w:rPr>
      </w:pPr>
      <w:r>
        <w:rPr>
          <w:rFonts w:hint="eastAsia" w:ascii="宋体" w:hAnsi="宋体" w:eastAsia="宋体" w:cs="宋体"/>
          <w:b/>
          <w:sz w:val="36"/>
          <w:szCs w:val="36"/>
        </w:rPr>
        <w:br w:type="page"/>
      </w:r>
    </w:p>
    <w:p w14:paraId="2670D3DA">
      <w:pPr>
        <w:pStyle w:val="40"/>
        <w:tabs>
          <w:tab w:val="right" w:leader="dot" w:pos="9180"/>
        </w:tabs>
        <w:spacing w:before="120" w:beforeLines="50" w:line="600" w:lineRule="exact"/>
        <w:ind w:right="-420" w:rightChars="-200"/>
        <w:jc w:val="center"/>
        <w:outlineLvl w:val="0"/>
        <w:rPr>
          <w:rFonts w:hint="eastAsia" w:ascii="宋体" w:hAnsi="宋体" w:eastAsia="宋体" w:cs="宋体"/>
          <w:b/>
          <w:color w:val="000000"/>
          <w:sz w:val="36"/>
          <w:szCs w:val="36"/>
          <w:highlight w:val="none"/>
        </w:rPr>
      </w:pPr>
      <w:r>
        <w:rPr>
          <w:rFonts w:hint="eastAsia" w:ascii="宋体" w:hAnsi="宋体" w:eastAsia="宋体" w:cs="宋体"/>
          <w:b/>
          <w:sz w:val="36"/>
          <w:szCs w:val="36"/>
        </w:rPr>
        <w:t>第四部分 评审方法及评审</w:t>
      </w:r>
      <w:r>
        <w:rPr>
          <w:rFonts w:hint="eastAsia" w:ascii="宋体" w:hAnsi="宋体" w:eastAsia="宋体" w:cs="宋体"/>
          <w:b/>
          <w:sz w:val="36"/>
          <w:szCs w:val="36"/>
          <w:lang w:eastAsia="zh-CN"/>
        </w:rPr>
        <w:t>标准</w:t>
      </w:r>
    </w:p>
    <w:p w14:paraId="52C5BA32">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一、评审方法</w:t>
      </w:r>
    </w:p>
    <w:p w14:paraId="4737132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14:paraId="587820AE">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二、评审标准</w:t>
      </w:r>
    </w:p>
    <w:p w14:paraId="1F66A2E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14:paraId="6654609D">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三、评审程序</w:t>
      </w:r>
    </w:p>
    <w:p w14:paraId="16B59BA0">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4E7A5BB6">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p>
    <w:p w14:paraId="0D29EFEC">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14:paraId="6BF8FC1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25DDB8FB">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14:paraId="7591337E">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14:paraId="5EC09FA7">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9276E0F">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6FA0B6D">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14:paraId="43A4948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5F6CD53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963F4F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14:paraId="40CCB7B2">
      <w:pPr>
        <w:pStyle w:val="397"/>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14:paraId="33F1A094">
      <w:pPr>
        <w:pStyle w:val="39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p>
    <w:p w14:paraId="3D8C24A8">
      <w:pPr>
        <w:pStyle w:val="39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p>
    <w:p w14:paraId="28AC2B45">
      <w:pPr>
        <w:pStyle w:val="39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p>
    <w:p w14:paraId="1F9EEC14">
      <w:pPr>
        <w:pStyle w:val="39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14:paraId="25753074">
      <w:pPr>
        <w:pStyle w:val="39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14:paraId="4EB015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14:paraId="27F4E77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3.6.3最后报价超过采购文件中规定的预算金额或者最高限价的，响应文件无效。</w:t>
      </w:r>
    </w:p>
    <w:p w14:paraId="62331DEE">
      <w:pPr>
        <w:pStyle w:val="397"/>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4FC8469">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A3538E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4218D48">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四、评审中的其他事项</w:t>
      </w:r>
    </w:p>
    <w:p w14:paraId="70910BA1">
      <w:pPr>
        <w:pStyle w:val="397"/>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CD78DB2">
      <w:pPr>
        <w:pStyle w:val="2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14:paraId="1CACC5B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14:paraId="7C9E51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14:paraId="10DDDF6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1A7935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14:paraId="7E2A38D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14:paraId="2562D08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p>
    <w:p w14:paraId="4DC1E4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4.2.7最后报价超过采购文件中规定的预算金额或者最高限价的;</w:t>
      </w:r>
    </w:p>
    <w:p w14:paraId="15F4F47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741D1C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14:paraId="50B75EF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14:paraId="55A16F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14:paraId="3E2486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14:paraId="7E9347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响应文件不满足采购文件的其它实质性要求的；</w:t>
      </w:r>
    </w:p>
    <w:p w14:paraId="1F316D5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4.2.14 不同</w:t>
      </w:r>
      <w:r>
        <w:rPr>
          <w:rFonts w:hint="eastAsia" w:ascii="宋体" w:hAnsi="宋体" w:eastAsia="宋体" w:cs="宋体"/>
          <w:color w:val="auto"/>
          <w:kern w:val="0"/>
          <w:sz w:val="24"/>
          <w:highlight w:val="none"/>
          <w:lang w:val="zh-CN"/>
        </w:rPr>
        <w:t>供应商</w:t>
      </w:r>
      <w:r>
        <w:rPr>
          <w:rFonts w:hint="eastAsia" w:ascii="宋体" w:hAnsi="宋体" w:eastAsia="宋体" w:cs="宋体"/>
          <w:color w:val="auto"/>
          <w:kern w:val="0"/>
          <w:sz w:val="24"/>
          <w:highlight w:val="none"/>
          <w:lang w:val="en-US" w:eastAsia="zh-CN"/>
        </w:rPr>
        <w:t>的投标文件出自同一终端设备或在相同Internet主机分配地址（相同IP地址）进行网上报名、投标的；</w:t>
      </w:r>
    </w:p>
    <w:p w14:paraId="74FF60C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1B9E4BA">
      <w:pPr>
        <w:pStyle w:val="2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14:paraId="6F908E2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14:paraId="4329F208">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8D2BD4">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14:paraId="28444F39">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55184870">
      <w:pPr>
        <w:pStyle w:val="2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14:paraId="428D4F53">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14:paraId="125897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16755C2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14:paraId="02CCE877">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14:paraId="351FE551">
      <w:pPr>
        <w:pStyle w:val="2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0AC92DED">
      <w:pPr>
        <w:snapToGrid w:val="0"/>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五、磋商小组的组成</w:t>
      </w:r>
    </w:p>
    <w:p w14:paraId="039FF7BF">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14:paraId="1F0723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F5FFB7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DAE965B">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14:paraId="6B395185">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14:paraId="74B728D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14:paraId="7F6851C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14:paraId="010EFC2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14:paraId="72208F7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14:paraId="7D7E472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14:paraId="4B634781">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14:paraId="6BFE6EE5">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、磋商小组的职责</w:t>
      </w:r>
    </w:p>
    <w:p w14:paraId="4A252D7E">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14:paraId="0F4BB26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14:paraId="35327FA9">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14:paraId="4A807D8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14:paraId="1EE090A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14:paraId="7B4B2412">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14:paraId="15444D6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14:paraId="2368FBAC">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14:paraId="6D9C02E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14:paraId="3D21B27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1.9法律、法规、规章、磋商文件等规定的其它事项。</w:t>
      </w:r>
    </w:p>
    <w:p w14:paraId="34078C78">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14:paraId="0D154170">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14:paraId="69628D6A">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14:paraId="6D19425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14:paraId="6D1DEC56">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14:paraId="361B7748">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14:paraId="6056B97E">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14:paraId="0C5A1FEB">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14:paraId="10E2E844">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14:paraId="5E8AC12B">
      <w:pPr>
        <w:spacing w:line="400" w:lineRule="exact"/>
        <w:jc w:val="center"/>
        <w:rPr>
          <w:rFonts w:hint="eastAsia" w:ascii="宋体" w:hAnsi="宋体" w:eastAsia="宋体" w:cs="宋体"/>
          <w:b/>
          <w:sz w:val="28"/>
          <w:szCs w:val="28"/>
        </w:rPr>
      </w:pPr>
      <w:r>
        <w:rPr>
          <w:rFonts w:hint="eastAsia" w:ascii="宋体" w:hAnsi="宋体" w:eastAsia="宋体" w:cs="宋体"/>
          <w:b/>
          <w:color w:val="000000"/>
          <w:sz w:val="24"/>
          <w:szCs w:val="24"/>
          <w:highlight w:val="none"/>
        </w:rPr>
        <w:t>评分标准</w:t>
      </w:r>
    </w:p>
    <w:tbl>
      <w:tblPr>
        <w:tblStyle w:val="60"/>
        <w:tblW w:w="10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64"/>
        <w:gridCol w:w="8289"/>
      </w:tblGrid>
      <w:tr w14:paraId="7739B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378D9612">
            <w:pPr>
              <w:spacing w:line="360" w:lineRule="auto"/>
              <w:rPr>
                <w:color w:val="000000"/>
                <w:szCs w:val="21"/>
              </w:rPr>
            </w:pPr>
          </w:p>
        </w:tc>
        <w:tc>
          <w:tcPr>
            <w:tcW w:w="1164" w:type="dxa"/>
            <w:vAlign w:val="center"/>
          </w:tcPr>
          <w:p w14:paraId="4BFA9B49">
            <w:pPr>
              <w:spacing w:line="360" w:lineRule="auto"/>
              <w:jc w:val="center"/>
              <w:rPr>
                <w:color w:val="000000"/>
                <w:szCs w:val="21"/>
              </w:rPr>
            </w:pPr>
            <w:r>
              <w:rPr>
                <w:rFonts w:hint="eastAsia"/>
                <w:color w:val="000000"/>
              </w:rPr>
              <w:t>项目</w:t>
            </w:r>
          </w:p>
        </w:tc>
        <w:tc>
          <w:tcPr>
            <w:tcW w:w="8289" w:type="dxa"/>
            <w:vAlign w:val="center"/>
          </w:tcPr>
          <w:p w14:paraId="14403E97">
            <w:pPr>
              <w:tabs>
                <w:tab w:val="left" w:pos="4915"/>
              </w:tabs>
              <w:spacing w:line="360" w:lineRule="auto"/>
              <w:jc w:val="center"/>
              <w:rPr>
                <w:color w:val="000000"/>
                <w:szCs w:val="21"/>
              </w:rPr>
            </w:pPr>
            <w:r>
              <w:rPr>
                <w:rFonts w:hint="eastAsia"/>
                <w:color w:val="000000"/>
              </w:rPr>
              <w:t>评分细则</w:t>
            </w:r>
          </w:p>
        </w:tc>
      </w:tr>
      <w:tr w14:paraId="38862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3F83883B">
            <w:pPr>
              <w:spacing w:line="360" w:lineRule="auto"/>
              <w:rPr>
                <w:rFonts w:hint="eastAsia" w:ascii="宋体" w:hAnsi="宋体" w:eastAsia="宋体" w:cs="宋体"/>
                <w:color w:val="000000"/>
                <w:szCs w:val="21"/>
              </w:rPr>
            </w:pPr>
          </w:p>
        </w:tc>
        <w:tc>
          <w:tcPr>
            <w:tcW w:w="1164" w:type="dxa"/>
            <w:vAlign w:val="center"/>
          </w:tcPr>
          <w:p w14:paraId="6270F6BB">
            <w:pPr>
              <w:spacing w:line="360" w:lineRule="auto"/>
              <w:jc w:val="center"/>
              <w:rPr>
                <w:rFonts w:hint="eastAsia" w:ascii="宋体" w:hAnsi="宋体" w:eastAsia="宋体" w:cs="宋体"/>
                <w:color w:val="000000"/>
              </w:rPr>
            </w:pPr>
            <w:r>
              <w:rPr>
                <w:rFonts w:hint="eastAsia" w:ascii="宋体" w:hAnsi="宋体" w:eastAsia="宋体" w:cs="宋体"/>
                <w:szCs w:val="21"/>
              </w:rPr>
              <w:t>对本项目采购需求了解情况及现状调查（5分）</w:t>
            </w:r>
          </w:p>
        </w:tc>
        <w:tc>
          <w:tcPr>
            <w:tcW w:w="8289" w:type="dxa"/>
            <w:vAlign w:val="center"/>
          </w:tcPr>
          <w:p w14:paraId="7B33A4E2">
            <w:pPr>
              <w:keepNext w:val="0"/>
              <w:keepLines w:val="0"/>
              <w:suppressLineNumbers w:val="0"/>
              <w:autoSpaceDE w:val="0"/>
              <w:autoSpaceDN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1、根据</w:t>
            </w:r>
            <w:r>
              <w:rPr>
                <w:rFonts w:hint="eastAsia" w:ascii="宋体" w:hAnsi="宋体" w:eastAsia="宋体" w:cs="宋体"/>
                <w:color w:val="auto"/>
                <w:szCs w:val="21"/>
              </w:rPr>
              <w:t>采购人需求、工程施工、现场情况等内容了解程度进行综合评议：</w:t>
            </w:r>
          </w:p>
          <w:p w14:paraId="76496F81">
            <w:pPr>
              <w:keepNext w:val="0"/>
              <w:keepLines w:val="0"/>
              <w:suppressLineNumbers w:val="0"/>
              <w:autoSpaceDE w:val="0"/>
              <w:autoSpaceDN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①对采购人需求、工程施工内容理解充分，现场情况了解全面的，得5分；</w:t>
            </w:r>
          </w:p>
          <w:p w14:paraId="3328D14E">
            <w:pPr>
              <w:keepNext w:val="0"/>
              <w:keepLines w:val="0"/>
              <w:suppressLineNumbers w:val="0"/>
              <w:autoSpaceDE w:val="0"/>
              <w:autoSpaceDN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②对采购人需求、工程施工内容理解较为充分，现场情况了解较为全面的，得4分；</w:t>
            </w:r>
          </w:p>
          <w:p w14:paraId="126EFF9C">
            <w:pPr>
              <w:keepNext w:val="0"/>
              <w:keepLines w:val="0"/>
              <w:suppressLineNumbers w:val="0"/>
              <w:autoSpaceDE w:val="0"/>
              <w:autoSpaceDN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③对采购人需求、工程施工内容理解较一般，现场情况部分了解但未全面的，得3分；</w:t>
            </w:r>
          </w:p>
          <w:p w14:paraId="129B90F9">
            <w:pPr>
              <w:keepNext w:val="0"/>
              <w:keepLines w:val="0"/>
              <w:suppressLineNumbers w:val="0"/>
              <w:autoSpaceDE w:val="0"/>
              <w:autoSpaceDN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④对采购人需求、工程施工内容理解未充分，现场情况未全面了解的，得2分；</w:t>
            </w:r>
          </w:p>
          <w:p w14:paraId="70BCE7E2">
            <w:pPr>
              <w:keepNext w:val="0"/>
              <w:keepLines w:val="0"/>
              <w:suppressLineNumbers w:val="0"/>
              <w:autoSpaceDE w:val="0"/>
              <w:autoSpaceDN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⑤对采购人需求、工程施工内容未理解，现场情况未了解的得1分；</w:t>
            </w:r>
          </w:p>
          <w:p w14:paraId="2C56A6EC">
            <w:pPr>
              <w:tabs>
                <w:tab w:val="left" w:pos="4915"/>
              </w:tabs>
              <w:spacing w:line="360" w:lineRule="auto"/>
              <w:rPr>
                <w:rFonts w:hint="eastAsia" w:ascii="宋体" w:hAnsi="宋体" w:eastAsia="宋体" w:cs="宋体"/>
                <w:color w:val="000000"/>
              </w:rPr>
            </w:pPr>
            <w:r>
              <w:rPr>
                <w:rFonts w:hint="eastAsia" w:ascii="宋体" w:hAnsi="宋体" w:eastAsia="宋体" w:cs="宋体"/>
                <w:color w:val="auto"/>
                <w:szCs w:val="21"/>
              </w:rPr>
              <w:t>未提供相关内容不得分。</w:t>
            </w:r>
          </w:p>
        </w:tc>
      </w:tr>
      <w:tr w14:paraId="27C49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748" w:type="dxa"/>
            <w:vMerge w:val="restart"/>
            <w:vAlign w:val="center"/>
          </w:tcPr>
          <w:p w14:paraId="17F85F92">
            <w:pPr>
              <w:spacing w:line="360" w:lineRule="auto"/>
              <w:rPr>
                <w:rFonts w:hint="eastAsia" w:ascii="宋体" w:hAnsi="宋体" w:eastAsia="宋体" w:cs="宋体"/>
                <w:color w:val="000000"/>
                <w:szCs w:val="21"/>
              </w:rPr>
            </w:pPr>
            <w:r>
              <w:rPr>
                <w:rFonts w:hint="eastAsia" w:ascii="宋体" w:hAnsi="宋体" w:eastAsia="宋体" w:cs="宋体"/>
                <w:color w:val="000000"/>
                <w:szCs w:val="21"/>
              </w:rPr>
              <w:t>技术商务部分70分</w:t>
            </w:r>
          </w:p>
          <w:p w14:paraId="41FC7D64">
            <w:pPr>
              <w:widowControl/>
              <w:spacing w:line="360" w:lineRule="auto"/>
              <w:jc w:val="left"/>
              <w:rPr>
                <w:rFonts w:hint="eastAsia" w:ascii="宋体" w:hAnsi="宋体" w:eastAsia="宋体" w:cs="宋体"/>
                <w:color w:val="000000"/>
                <w:szCs w:val="21"/>
              </w:rPr>
            </w:pPr>
          </w:p>
        </w:tc>
        <w:tc>
          <w:tcPr>
            <w:tcW w:w="1164" w:type="dxa"/>
            <w:vAlign w:val="center"/>
          </w:tcPr>
          <w:p w14:paraId="708B1D38">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施工方案</w:t>
            </w:r>
          </w:p>
          <w:p w14:paraId="3383DE3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w:t>
            </w:r>
          </w:p>
        </w:tc>
        <w:tc>
          <w:tcPr>
            <w:tcW w:w="8289" w:type="dxa"/>
            <w:vAlign w:val="center"/>
          </w:tcPr>
          <w:p w14:paraId="2479BF6D">
            <w:pPr>
              <w:tabs>
                <w:tab w:val="left" w:pos="4915"/>
              </w:tabs>
              <w:spacing w:line="360" w:lineRule="auto"/>
              <w:rPr>
                <w:rFonts w:hint="eastAsia" w:ascii="宋体" w:hAnsi="宋体" w:eastAsia="宋体" w:cs="宋体"/>
                <w:color w:val="000000"/>
                <w:szCs w:val="21"/>
              </w:rPr>
            </w:pPr>
            <w:r>
              <w:rPr>
                <w:rFonts w:hint="eastAsia" w:ascii="宋体" w:hAnsi="宋体" w:eastAsia="宋体" w:cs="宋体"/>
                <w:szCs w:val="21"/>
                <w:lang w:val="en-US" w:eastAsia="zh-CN"/>
              </w:rPr>
              <w:t>2、关于本项目的</w:t>
            </w:r>
            <w:r>
              <w:rPr>
                <w:rFonts w:hint="eastAsia" w:ascii="宋体" w:hAnsi="宋体" w:eastAsia="宋体" w:cs="宋体"/>
                <w:szCs w:val="21"/>
              </w:rPr>
              <w:t>施工方案（包括</w:t>
            </w:r>
            <w:r>
              <w:rPr>
                <w:rFonts w:hint="eastAsia" w:ascii="宋体" w:hAnsi="宋体" w:eastAsia="宋体" w:cs="宋体"/>
                <w:color w:val="000000"/>
                <w:szCs w:val="21"/>
              </w:rPr>
              <w:t>各工程关键节点</w:t>
            </w:r>
            <w:r>
              <w:rPr>
                <w:rFonts w:hint="eastAsia" w:ascii="宋体" w:hAnsi="宋体" w:eastAsia="宋体" w:cs="宋体"/>
                <w:szCs w:val="21"/>
              </w:rPr>
              <w:t>）</w:t>
            </w:r>
            <w:r>
              <w:rPr>
                <w:rFonts w:hint="eastAsia" w:ascii="宋体" w:hAnsi="宋体" w:eastAsia="宋体" w:cs="宋体"/>
                <w:color w:val="000000"/>
                <w:szCs w:val="21"/>
              </w:rPr>
              <w:t>：</w:t>
            </w:r>
          </w:p>
          <w:p w14:paraId="6CF94D0A">
            <w:pPr>
              <w:tabs>
                <w:tab w:val="left" w:pos="4915"/>
              </w:tabs>
              <w:spacing w:line="360" w:lineRule="auto"/>
              <w:rPr>
                <w:rFonts w:hint="eastAsia" w:ascii="宋体" w:hAnsi="宋体" w:eastAsia="宋体" w:cs="宋体"/>
                <w:szCs w:val="21"/>
              </w:rPr>
            </w:pPr>
            <w:r>
              <w:rPr>
                <w:rFonts w:hint="eastAsia" w:ascii="宋体" w:hAnsi="宋体" w:eastAsia="宋体" w:cs="宋体"/>
                <w:szCs w:val="21"/>
              </w:rPr>
              <w:t>①方案内容详实，逻辑清晰，符合项目实际情况，切实可行，可执行力度高的得5分；</w:t>
            </w:r>
          </w:p>
          <w:p w14:paraId="16E487EA">
            <w:pPr>
              <w:tabs>
                <w:tab w:val="left" w:pos="4915"/>
              </w:tabs>
              <w:spacing w:line="360" w:lineRule="auto"/>
              <w:rPr>
                <w:rFonts w:hint="eastAsia" w:ascii="宋体" w:hAnsi="宋体" w:eastAsia="宋体" w:cs="宋体"/>
                <w:szCs w:val="21"/>
              </w:rPr>
            </w:pPr>
            <w:r>
              <w:rPr>
                <w:rFonts w:hint="eastAsia" w:ascii="宋体" w:hAnsi="宋体" w:eastAsia="宋体" w:cs="宋体"/>
                <w:szCs w:val="21"/>
              </w:rPr>
              <w:t>②方案内容详细，工作思路清楚，基本符合项目实际情况，合理可行，可执行力度较高的得4分；</w:t>
            </w:r>
          </w:p>
          <w:p w14:paraId="09495F47">
            <w:pPr>
              <w:tabs>
                <w:tab w:val="left" w:pos="4915"/>
              </w:tabs>
              <w:spacing w:line="360" w:lineRule="auto"/>
              <w:rPr>
                <w:rFonts w:hint="eastAsia" w:ascii="宋体" w:hAnsi="宋体" w:eastAsia="宋体" w:cs="宋体"/>
                <w:szCs w:val="21"/>
              </w:rPr>
            </w:pPr>
            <w:r>
              <w:rPr>
                <w:rFonts w:hint="eastAsia" w:ascii="宋体" w:hAnsi="宋体" w:eastAsia="宋体" w:cs="宋体"/>
                <w:szCs w:val="21"/>
              </w:rPr>
              <w:t>③方案内容比较简单，虽然存在一些不足但无明显重大缺陷，可执行力度一般的得3分；</w:t>
            </w:r>
          </w:p>
          <w:p w14:paraId="20344B2E">
            <w:pPr>
              <w:tabs>
                <w:tab w:val="left" w:pos="4915"/>
              </w:tabs>
              <w:spacing w:line="360" w:lineRule="auto"/>
              <w:rPr>
                <w:rFonts w:hint="eastAsia" w:ascii="宋体" w:hAnsi="宋体" w:eastAsia="宋体" w:cs="宋体"/>
                <w:szCs w:val="21"/>
              </w:rPr>
            </w:pPr>
            <w:r>
              <w:rPr>
                <w:rFonts w:hint="eastAsia" w:ascii="宋体" w:hAnsi="宋体" w:eastAsia="宋体" w:cs="宋体"/>
                <w:szCs w:val="21"/>
              </w:rPr>
              <w:t>④方案内容简单、笼统，存在较多的不足，可行性差，的得2分；</w:t>
            </w:r>
          </w:p>
          <w:p w14:paraId="62426DCD">
            <w:pPr>
              <w:tabs>
                <w:tab w:val="left" w:pos="4915"/>
              </w:tabs>
              <w:spacing w:line="360" w:lineRule="auto"/>
              <w:rPr>
                <w:rFonts w:hint="eastAsia" w:ascii="宋体" w:hAnsi="宋体" w:eastAsia="宋体" w:cs="宋体"/>
                <w:szCs w:val="21"/>
              </w:rPr>
            </w:pPr>
            <w:r>
              <w:rPr>
                <w:rFonts w:hint="eastAsia" w:ascii="宋体" w:hAnsi="宋体" w:eastAsia="宋体" w:cs="宋体"/>
                <w:szCs w:val="21"/>
              </w:rPr>
              <w:t>⑤提交的方案与实际情况存在一定偏差的得1分；</w:t>
            </w:r>
          </w:p>
          <w:p w14:paraId="5E534704">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未提供相关内容不得分。</w:t>
            </w:r>
          </w:p>
        </w:tc>
      </w:tr>
      <w:tr w14:paraId="2DFC5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6FAB15CA">
            <w:pPr>
              <w:widowControl/>
              <w:spacing w:line="360" w:lineRule="auto"/>
              <w:jc w:val="left"/>
              <w:rPr>
                <w:rFonts w:hint="eastAsia" w:ascii="宋体" w:hAnsi="宋体" w:eastAsia="宋体" w:cs="宋体"/>
                <w:color w:val="000000"/>
                <w:szCs w:val="21"/>
              </w:rPr>
            </w:pPr>
          </w:p>
        </w:tc>
        <w:tc>
          <w:tcPr>
            <w:tcW w:w="1164" w:type="dxa"/>
            <w:vAlign w:val="center"/>
          </w:tcPr>
          <w:p w14:paraId="010AE15E">
            <w:pPr>
              <w:widowControl/>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工程质量保证措施（</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w:t>
            </w:r>
          </w:p>
        </w:tc>
        <w:tc>
          <w:tcPr>
            <w:tcW w:w="8289" w:type="dxa"/>
            <w:vAlign w:val="center"/>
          </w:tcPr>
          <w:p w14:paraId="29A94DB8">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工程质量保证措施</w:t>
            </w:r>
            <w:r>
              <w:rPr>
                <w:rFonts w:hint="eastAsia" w:ascii="宋体" w:hAnsi="宋体" w:eastAsia="宋体" w:cs="宋体"/>
              </w:rPr>
              <w:t>（包含但不仅限于材料及设备质量保证措施等）</w:t>
            </w:r>
            <w:r>
              <w:rPr>
                <w:rFonts w:hint="eastAsia" w:ascii="宋体" w:hAnsi="宋体" w:eastAsia="宋体" w:cs="宋体"/>
                <w:color w:val="000000"/>
                <w:szCs w:val="21"/>
              </w:rPr>
              <w:t>：</w:t>
            </w:r>
          </w:p>
          <w:p w14:paraId="2C9375F9">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①</w:t>
            </w:r>
            <w:r>
              <w:rPr>
                <w:rFonts w:hint="eastAsia" w:ascii="宋体" w:hAnsi="宋体" w:eastAsia="宋体" w:cs="宋体"/>
                <w:szCs w:val="21"/>
              </w:rPr>
              <w:t>施工质量保证措施方案详实，针对性强，可执行力度高的</w:t>
            </w:r>
            <w:r>
              <w:rPr>
                <w:rFonts w:hint="eastAsia" w:ascii="宋体" w:hAnsi="宋体" w:eastAsia="宋体" w:cs="宋体"/>
                <w:color w:val="000000"/>
                <w:szCs w:val="21"/>
              </w:rPr>
              <w:t>得5分；</w:t>
            </w:r>
          </w:p>
          <w:p w14:paraId="01044EFE">
            <w:pPr>
              <w:pStyle w:val="73"/>
              <w:spacing w:line="360" w:lineRule="auto"/>
              <w:ind w:firstLine="0" w:firstLineChars="0"/>
              <w:rPr>
                <w:rFonts w:hint="eastAsia" w:ascii="宋体" w:hAnsi="宋体" w:eastAsia="宋体" w:cs="宋体"/>
              </w:rPr>
            </w:pPr>
            <w:r>
              <w:rPr>
                <w:rFonts w:hint="eastAsia" w:ascii="宋体" w:hAnsi="宋体" w:eastAsia="宋体" w:cs="宋体"/>
                <w:szCs w:val="21"/>
              </w:rPr>
              <w:t>②施工质量保证措施方案内容充分，有一定针对性，可执行力度较高的</w:t>
            </w:r>
            <w:r>
              <w:rPr>
                <w:rFonts w:hint="eastAsia" w:ascii="宋体" w:hAnsi="宋体" w:eastAsia="宋体" w:cs="宋体"/>
                <w:color w:val="000000"/>
                <w:szCs w:val="21"/>
              </w:rPr>
              <w:t>得4分；</w:t>
            </w:r>
          </w:p>
          <w:p w14:paraId="5BC7AB77">
            <w:pPr>
              <w:tabs>
                <w:tab w:val="left" w:pos="4915"/>
              </w:tabs>
              <w:spacing w:line="360" w:lineRule="auto"/>
              <w:rPr>
                <w:rFonts w:hint="eastAsia" w:ascii="宋体" w:hAnsi="宋体" w:eastAsia="宋体" w:cs="宋体"/>
                <w:szCs w:val="21"/>
              </w:rPr>
            </w:pPr>
            <w:r>
              <w:rPr>
                <w:rFonts w:hint="eastAsia" w:ascii="宋体" w:hAnsi="宋体" w:eastAsia="宋体" w:cs="宋体"/>
                <w:szCs w:val="21"/>
              </w:rPr>
              <w:t>③施工质量保证措施方案内容不够详实、笼统，</w:t>
            </w:r>
            <w:r>
              <w:rPr>
                <w:rFonts w:hint="eastAsia" w:ascii="宋体" w:hAnsi="宋体" w:eastAsia="宋体" w:cs="宋体"/>
                <w:color w:val="000000"/>
                <w:szCs w:val="21"/>
              </w:rPr>
              <w:t>保证项目基本能完成实施</w:t>
            </w:r>
            <w:r>
              <w:rPr>
                <w:rFonts w:hint="eastAsia" w:ascii="宋体" w:hAnsi="宋体" w:eastAsia="宋体" w:cs="宋体"/>
                <w:szCs w:val="21"/>
              </w:rPr>
              <w:t>的得3分；</w:t>
            </w:r>
          </w:p>
          <w:p w14:paraId="084C3E8D">
            <w:pPr>
              <w:tabs>
                <w:tab w:val="left" w:pos="4915"/>
              </w:tabs>
              <w:spacing w:line="360" w:lineRule="auto"/>
              <w:rPr>
                <w:rFonts w:hint="eastAsia" w:ascii="宋体" w:hAnsi="宋体" w:eastAsia="宋体" w:cs="宋体"/>
                <w:color w:val="000000"/>
                <w:szCs w:val="21"/>
              </w:rPr>
            </w:pPr>
            <w:r>
              <w:rPr>
                <w:rFonts w:hint="eastAsia" w:ascii="宋体" w:hAnsi="宋体" w:eastAsia="宋体" w:cs="宋体"/>
                <w:szCs w:val="21"/>
              </w:rPr>
              <w:t>④施工质量保证措施方案内容简单，缺乏针对性，可执行力较低的得</w:t>
            </w:r>
            <w:r>
              <w:rPr>
                <w:rFonts w:hint="eastAsia" w:ascii="宋体" w:hAnsi="宋体" w:eastAsia="宋体" w:cs="宋体"/>
                <w:color w:val="000000"/>
                <w:szCs w:val="21"/>
              </w:rPr>
              <w:t>得2分；</w:t>
            </w:r>
          </w:p>
          <w:p w14:paraId="03BA2BD7">
            <w:pPr>
              <w:tabs>
                <w:tab w:val="left" w:pos="4915"/>
              </w:tabs>
              <w:spacing w:line="360" w:lineRule="auto"/>
              <w:rPr>
                <w:rFonts w:hint="eastAsia" w:ascii="宋体" w:hAnsi="宋体" w:eastAsia="宋体" w:cs="宋体"/>
                <w:color w:val="000000"/>
                <w:szCs w:val="21"/>
              </w:rPr>
            </w:pPr>
            <w:r>
              <w:rPr>
                <w:rFonts w:hint="eastAsia" w:ascii="宋体" w:hAnsi="宋体" w:eastAsia="宋体" w:cs="宋体"/>
                <w:szCs w:val="21"/>
              </w:rPr>
              <w:t>⑤施工质量保证</w:t>
            </w:r>
            <w:r>
              <w:rPr>
                <w:rFonts w:hint="eastAsia" w:ascii="宋体" w:hAnsi="宋体" w:eastAsia="宋体" w:cs="宋体"/>
                <w:color w:val="000000"/>
                <w:szCs w:val="21"/>
              </w:rPr>
              <w:t>措施上有主体内容的缺漏或缺少具体有效的保证措施，难以保证项目顺利实施的得1分。</w:t>
            </w:r>
          </w:p>
          <w:p w14:paraId="1D33750F">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未提供相关内容不得分。</w:t>
            </w:r>
          </w:p>
        </w:tc>
      </w:tr>
      <w:tr w14:paraId="3D018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14C5ED26">
            <w:pPr>
              <w:widowControl/>
              <w:spacing w:line="360" w:lineRule="auto"/>
              <w:jc w:val="left"/>
              <w:rPr>
                <w:rFonts w:hint="eastAsia" w:ascii="宋体" w:hAnsi="宋体" w:eastAsia="宋体" w:cs="宋体"/>
                <w:color w:val="000000"/>
                <w:szCs w:val="21"/>
              </w:rPr>
            </w:pPr>
          </w:p>
        </w:tc>
        <w:tc>
          <w:tcPr>
            <w:tcW w:w="1164" w:type="dxa"/>
            <w:vAlign w:val="center"/>
          </w:tcPr>
          <w:p w14:paraId="641DF70A">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施工进度计划</w:t>
            </w:r>
          </w:p>
          <w:p w14:paraId="4C47835A">
            <w:pPr>
              <w:widowControl/>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（5分）</w:t>
            </w:r>
          </w:p>
        </w:tc>
        <w:tc>
          <w:tcPr>
            <w:tcW w:w="8289" w:type="dxa"/>
            <w:vAlign w:val="center"/>
          </w:tcPr>
          <w:p w14:paraId="6410A6D3">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施工进度管理与控制</w:t>
            </w:r>
            <w:r>
              <w:rPr>
                <w:rFonts w:hint="eastAsia" w:ascii="宋体" w:hAnsi="宋体" w:eastAsia="宋体" w:cs="宋体"/>
                <w:szCs w:val="21"/>
              </w:rPr>
              <w:t>（包含但不仅限于方案详实情况、时间节点安排情况等）</w:t>
            </w:r>
            <w:r>
              <w:rPr>
                <w:rFonts w:hint="eastAsia" w:ascii="宋体" w:hAnsi="宋体" w:eastAsia="宋体" w:cs="宋体"/>
                <w:color w:val="000000"/>
                <w:szCs w:val="21"/>
              </w:rPr>
              <w:t>：</w:t>
            </w:r>
          </w:p>
          <w:p w14:paraId="7697B817">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①施工进度计划安排得当、各时间节点明确、</w:t>
            </w:r>
            <w:r>
              <w:rPr>
                <w:rFonts w:hint="eastAsia" w:ascii="宋体" w:hAnsi="宋体" w:eastAsia="宋体" w:cs="宋体"/>
                <w:szCs w:val="21"/>
              </w:rPr>
              <w:t>具有充分可靠计划</w:t>
            </w:r>
            <w:r>
              <w:rPr>
                <w:rFonts w:hint="eastAsia" w:ascii="宋体" w:hAnsi="宋体" w:eastAsia="宋体" w:cs="宋体"/>
                <w:color w:val="000000"/>
                <w:szCs w:val="21"/>
              </w:rPr>
              <w:t>的得5分；</w:t>
            </w:r>
          </w:p>
          <w:p w14:paraId="39E51D96">
            <w:pPr>
              <w:pStyle w:val="73"/>
              <w:spacing w:line="360" w:lineRule="auto"/>
              <w:ind w:firstLine="0" w:firstLineChars="0"/>
              <w:rPr>
                <w:rFonts w:hint="eastAsia" w:ascii="宋体" w:hAnsi="宋体" w:eastAsia="宋体" w:cs="宋体"/>
              </w:rPr>
            </w:pPr>
            <w:r>
              <w:rPr>
                <w:rFonts w:hint="eastAsia" w:ascii="宋体" w:hAnsi="宋体" w:eastAsia="宋体" w:cs="宋体"/>
                <w:szCs w:val="21"/>
              </w:rPr>
              <w:t>②</w:t>
            </w:r>
            <w:r>
              <w:rPr>
                <w:rFonts w:hint="eastAsia" w:ascii="宋体" w:hAnsi="宋体" w:eastAsia="宋体" w:cs="宋体"/>
                <w:color w:val="000000"/>
                <w:szCs w:val="21"/>
              </w:rPr>
              <w:t>施工进度计划安排较为得当、各时间节点及项目工期能有基本保障的得4分</w:t>
            </w:r>
          </w:p>
          <w:p w14:paraId="47E9DC9D">
            <w:pPr>
              <w:tabs>
                <w:tab w:val="left" w:pos="4915"/>
              </w:tabs>
              <w:spacing w:line="360" w:lineRule="auto"/>
              <w:rPr>
                <w:rFonts w:hint="eastAsia" w:ascii="宋体" w:hAnsi="宋体" w:eastAsia="宋体" w:cs="宋体"/>
                <w:color w:val="000000"/>
                <w:szCs w:val="21"/>
              </w:rPr>
            </w:pPr>
            <w:r>
              <w:rPr>
                <w:rFonts w:hint="eastAsia" w:ascii="宋体" w:hAnsi="宋体" w:eastAsia="宋体" w:cs="宋体"/>
                <w:szCs w:val="21"/>
              </w:rPr>
              <w:t>③</w:t>
            </w:r>
            <w:r>
              <w:rPr>
                <w:rFonts w:hint="eastAsia" w:ascii="宋体" w:hAnsi="宋体" w:eastAsia="宋体" w:cs="宋体"/>
                <w:color w:val="000000"/>
                <w:szCs w:val="21"/>
              </w:rPr>
              <w:t>进度安排尚能满足工期需求、部分时间节点不够明确或存在前松后紧的得3分；</w:t>
            </w:r>
          </w:p>
          <w:p w14:paraId="29224197">
            <w:pPr>
              <w:pStyle w:val="73"/>
              <w:spacing w:line="360" w:lineRule="auto"/>
              <w:ind w:firstLine="0" w:firstLineChars="0"/>
              <w:rPr>
                <w:rFonts w:hint="eastAsia" w:ascii="宋体" w:hAnsi="宋体" w:eastAsia="宋体" w:cs="宋体"/>
              </w:rPr>
            </w:pPr>
            <w:r>
              <w:rPr>
                <w:rFonts w:hint="eastAsia" w:ascii="宋体" w:hAnsi="宋体" w:eastAsia="宋体" w:cs="宋体"/>
                <w:szCs w:val="21"/>
              </w:rPr>
              <w:t>④</w:t>
            </w:r>
            <w:r>
              <w:rPr>
                <w:rFonts w:hint="eastAsia" w:ascii="宋体" w:hAnsi="宋体" w:eastAsia="宋体" w:cs="宋体"/>
                <w:color w:val="000000"/>
                <w:szCs w:val="21"/>
              </w:rPr>
              <w:t>进度安排基本合理、时间节点及工期内容的欠缺的得2分；</w:t>
            </w:r>
          </w:p>
          <w:p w14:paraId="7B8888E0">
            <w:pPr>
              <w:tabs>
                <w:tab w:val="left" w:pos="4915"/>
              </w:tabs>
              <w:spacing w:line="360" w:lineRule="auto"/>
              <w:rPr>
                <w:rFonts w:hint="eastAsia" w:ascii="宋体" w:hAnsi="宋体" w:eastAsia="宋体" w:cs="宋体"/>
                <w:color w:val="000000"/>
                <w:szCs w:val="21"/>
              </w:rPr>
            </w:pPr>
            <w:r>
              <w:rPr>
                <w:rFonts w:hint="eastAsia" w:ascii="宋体" w:hAnsi="宋体" w:eastAsia="宋体" w:cs="宋体"/>
                <w:szCs w:val="21"/>
              </w:rPr>
              <w:t>⑤</w:t>
            </w:r>
            <w:r>
              <w:rPr>
                <w:rFonts w:hint="eastAsia" w:ascii="宋体" w:hAnsi="宋体" w:eastAsia="宋体" w:cs="宋体"/>
                <w:color w:val="000000"/>
                <w:szCs w:val="21"/>
              </w:rPr>
              <w:t>进度安排存在明显不合理之处、或时间节点混乱、难以保障项目工期的得1分。</w:t>
            </w:r>
          </w:p>
          <w:p w14:paraId="326981DA">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未提供相关内容不得分。</w:t>
            </w:r>
          </w:p>
        </w:tc>
      </w:tr>
      <w:tr w14:paraId="58B07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8" w:type="dxa"/>
            <w:vMerge w:val="continue"/>
            <w:vAlign w:val="center"/>
          </w:tcPr>
          <w:p w14:paraId="0F9E095E">
            <w:pPr>
              <w:widowControl/>
              <w:spacing w:line="360" w:lineRule="auto"/>
              <w:jc w:val="left"/>
              <w:rPr>
                <w:rFonts w:hint="eastAsia" w:ascii="宋体" w:hAnsi="宋体" w:eastAsia="宋体" w:cs="宋体"/>
                <w:color w:val="000000"/>
                <w:szCs w:val="21"/>
              </w:rPr>
            </w:pPr>
          </w:p>
        </w:tc>
        <w:tc>
          <w:tcPr>
            <w:tcW w:w="1164" w:type="dxa"/>
            <w:vAlign w:val="center"/>
          </w:tcPr>
          <w:p w14:paraId="6FAE28AC">
            <w:pPr>
              <w:widowControl/>
              <w:spacing w:line="360" w:lineRule="auto"/>
              <w:jc w:val="left"/>
              <w:rPr>
                <w:rFonts w:hint="eastAsia" w:ascii="宋体" w:hAnsi="宋体" w:eastAsia="宋体" w:cs="宋体"/>
                <w:color w:val="000000"/>
                <w:szCs w:val="21"/>
              </w:rPr>
            </w:pPr>
            <w:r>
              <w:rPr>
                <w:rFonts w:hint="eastAsia" w:ascii="宋体" w:hAnsi="宋体" w:eastAsia="宋体" w:cs="宋体"/>
                <w:color w:val="auto"/>
                <w:szCs w:val="21"/>
              </w:rPr>
              <w:t>环保管理体系和措施（5分）</w:t>
            </w:r>
          </w:p>
        </w:tc>
        <w:tc>
          <w:tcPr>
            <w:tcW w:w="8289" w:type="dxa"/>
            <w:vAlign w:val="center"/>
          </w:tcPr>
          <w:p w14:paraId="1BA19AC6">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环保管理体系和措施</w:t>
            </w:r>
            <w:r>
              <w:rPr>
                <w:rFonts w:hint="eastAsia" w:ascii="宋体" w:hAnsi="宋体" w:eastAsia="宋体" w:cs="宋体"/>
              </w:rPr>
              <w:t>（包含但不仅限于防噪音、防扬尘、防刺鼻气味，空气检测、空气治理等施工环境维护保障措施等）</w:t>
            </w:r>
            <w:r>
              <w:rPr>
                <w:rFonts w:hint="eastAsia" w:ascii="宋体" w:hAnsi="宋体" w:eastAsia="宋体" w:cs="宋体"/>
                <w:color w:val="000000"/>
                <w:szCs w:val="21"/>
              </w:rPr>
              <w:t>：</w:t>
            </w:r>
          </w:p>
          <w:p w14:paraId="3D442084">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①</w:t>
            </w:r>
            <w:r>
              <w:rPr>
                <w:rFonts w:hint="eastAsia" w:ascii="宋体" w:hAnsi="宋体" w:eastAsia="宋体" w:cs="宋体"/>
              </w:rPr>
              <w:t>施工环保管理完善，防噪音、防扬尘、防刺鼻气味等施工环境维护保障措施可行，空气检测及时到位，空气治理方案完善</w:t>
            </w:r>
            <w:r>
              <w:rPr>
                <w:rFonts w:hint="eastAsia" w:ascii="宋体" w:hAnsi="宋体" w:eastAsia="宋体" w:cs="宋体"/>
                <w:color w:val="000000"/>
                <w:szCs w:val="21"/>
              </w:rPr>
              <w:t>的得5分；</w:t>
            </w:r>
          </w:p>
          <w:p w14:paraId="7E632401">
            <w:pPr>
              <w:tabs>
                <w:tab w:val="left" w:pos="4915"/>
              </w:tabs>
              <w:spacing w:line="360" w:lineRule="auto"/>
              <w:rPr>
                <w:rFonts w:hint="eastAsia" w:ascii="宋体" w:hAnsi="宋体" w:eastAsia="宋体" w:cs="宋体"/>
                <w:color w:val="000000"/>
                <w:szCs w:val="21"/>
              </w:rPr>
            </w:pPr>
            <w:r>
              <w:rPr>
                <w:rFonts w:hint="eastAsia" w:ascii="宋体" w:hAnsi="宋体" w:eastAsia="宋体" w:cs="宋体"/>
                <w:szCs w:val="21"/>
              </w:rPr>
              <w:t>②</w:t>
            </w:r>
            <w:r>
              <w:rPr>
                <w:rFonts w:hint="eastAsia" w:ascii="宋体" w:hAnsi="宋体" w:eastAsia="宋体" w:cs="宋体"/>
              </w:rPr>
              <w:t>施工环保管理完善，防噪音、防扬尘、防刺鼻气味等施工环境维护保障措施基本可行，空气检测较及时到位，空气治理方案较完善的</w:t>
            </w:r>
            <w:r>
              <w:rPr>
                <w:rFonts w:hint="eastAsia" w:ascii="宋体" w:hAnsi="宋体" w:eastAsia="宋体" w:cs="宋体"/>
                <w:color w:val="000000"/>
                <w:szCs w:val="21"/>
              </w:rPr>
              <w:t>得4分；</w:t>
            </w:r>
          </w:p>
          <w:p w14:paraId="4C6CA091">
            <w:pPr>
              <w:tabs>
                <w:tab w:val="left" w:pos="4915"/>
              </w:tabs>
              <w:spacing w:line="360" w:lineRule="auto"/>
              <w:rPr>
                <w:rFonts w:hint="eastAsia" w:ascii="宋体" w:hAnsi="宋体" w:eastAsia="宋体" w:cs="宋体"/>
                <w:color w:val="000000"/>
                <w:szCs w:val="21"/>
              </w:rPr>
            </w:pPr>
            <w:r>
              <w:rPr>
                <w:rFonts w:hint="eastAsia" w:ascii="宋体" w:hAnsi="宋体" w:eastAsia="宋体" w:cs="宋体"/>
                <w:szCs w:val="21"/>
              </w:rPr>
              <w:t>③</w:t>
            </w:r>
            <w:r>
              <w:rPr>
                <w:rFonts w:hint="eastAsia" w:ascii="宋体" w:hAnsi="宋体" w:eastAsia="宋体" w:cs="宋体"/>
              </w:rPr>
              <w:t>施工环保管理完善，防噪音、防扬尘、防刺鼻气味等施工环境维护保障措施基本可行，空气检测较及时到位，空气治理方案</w:t>
            </w:r>
            <w:r>
              <w:rPr>
                <w:rFonts w:hint="eastAsia" w:ascii="宋体" w:hAnsi="宋体" w:eastAsia="宋体" w:cs="宋体"/>
                <w:color w:val="000000"/>
                <w:szCs w:val="21"/>
              </w:rPr>
              <w:t>上有部分欠缺，但尚不影响履约的得3分；</w:t>
            </w:r>
          </w:p>
          <w:p w14:paraId="67BEACFC">
            <w:pPr>
              <w:tabs>
                <w:tab w:val="left" w:pos="4915"/>
              </w:tabs>
              <w:spacing w:line="360" w:lineRule="auto"/>
              <w:rPr>
                <w:rFonts w:hint="eastAsia" w:ascii="宋体" w:hAnsi="宋体" w:eastAsia="宋体" w:cs="宋体"/>
                <w:color w:val="000000"/>
                <w:szCs w:val="21"/>
              </w:rPr>
            </w:pPr>
            <w:r>
              <w:rPr>
                <w:rFonts w:hint="eastAsia" w:ascii="宋体" w:hAnsi="宋体" w:eastAsia="宋体" w:cs="宋体"/>
                <w:szCs w:val="21"/>
              </w:rPr>
              <w:t>④</w:t>
            </w:r>
            <w:r>
              <w:rPr>
                <w:rFonts w:hint="eastAsia" w:ascii="宋体" w:hAnsi="宋体" w:eastAsia="宋体" w:cs="宋体"/>
              </w:rPr>
              <w:t>施工环保管理完善，防噪音、防扬尘、防刺鼻气味等施工环境维护保障措施基本可行，空气检测较及时到位，空气治理方案</w:t>
            </w:r>
            <w:r>
              <w:rPr>
                <w:rFonts w:hint="eastAsia" w:ascii="宋体" w:hAnsi="宋体" w:eastAsia="宋体" w:cs="宋体"/>
                <w:color w:val="000000"/>
                <w:szCs w:val="21"/>
              </w:rPr>
              <w:t>有明显缺漏项，或过于笼统但能保证项目顺利实施的得2分。</w:t>
            </w:r>
          </w:p>
          <w:p w14:paraId="19F99BE4">
            <w:pPr>
              <w:pStyle w:val="73"/>
              <w:spacing w:line="360" w:lineRule="auto"/>
              <w:ind w:firstLine="0" w:firstLineChars="0"/>
              <w:rPr>
                <w:rFonts w:hint="eastAsia" w:ascii="宋体" w:hAnsi="宋体" w:eastAsia="宋体" w:cs="宋体"/>
              </w:rPr>
            </w:pPr>
            <w:r>
              <w:rPr>
                <w:rFonts w:hint="eastAsia" w:ascii="宋体" w:hAnsi="宋体" w:eastAsia="宋体" w:cs="宋体"/>
                <w:szCs w:val="21"/>
              </w:rPr>
              <w:t>⑤</w:t>
            </w:r>
            <w:r>
              <w:rPr>
                <w:rFonts w:hint="eastAsia" w:ascii="宋体" w:hAnsi="宋体" w:eastAsia="宋体" w:cs="宋体"/>
              </w:rPr>
              <w:t>施工环保管理完善，防噪音、防扬尘、防刺鼻气味等施工环境维护保障措施基本可行，空气检测较及时到位，空气治理方案</w:t>
            </w:r>
            <w:r>
              <w:rPr>
                <w:rFonts w:hint="eastAsia" w:ascii="宋体" w:hAnsi="宋体" w:eastAsia="宋体" w:cs="宋体"/>
                <w:szCs w:val="21"/>
              </w:rPr>
              <w:t>存在一定偏差，</w:t>
            </w:r>
            <w:r>
              <w:rPr>
                <w:rFonts w:hint="eastAsia" w:ascii="宋体" w:hAnsi="宋体" w:eastAsia="宋体" w:cs="宋体"/>
                <w:color w:val="000000"/>
                <w:szCs w:val="21"/>
              </w:rPr>
              <w:t>难以保证项目顺利实施</w:t>
            </w:r>
            <w:r>
              <w:rPr>
                <w:rFonts w:hint="eastAsia" w:ascii="宋体" w:hAnsi="宋体" w:eastAsia="宋体" w:cs="宋体"/>
                <w:szCs w:val="21"/>
              </w:rPr>
              <w:t>的得1分；</w:t>
            </w:r>
          </w:p>
          <w:p w14:paraId="7824BAD7">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未提供相关内容不得分。</w:t>
            </w:r>
          </w:p>
        </w:tc>
      </w:tr>
      <w:tr w14:paraId="591A9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vAlign w:val="center"/>
          </w:tcPr>
          <w:p w14:paraId="1B66F8E3">
            <w:pPr>
              <w:widowControl/>
              <w:spacing w:line="360" w:lineRule="auto"/>
              <w:jc w:val="left"/>
              <w:rPr>
                <w:rFonts w:hint="eastAsia" w:ascii="宋体" w:hAnsi="宋体" w:eastAsia="宋体" w:cs="宋体"/>
                <w:color w:val="000000"/>
                <w:szCs w:val="21"/>
              </w:rPr>
            </w:pPr>
          </w:p>
        </w:tc>
        <w:tc>
          <w:tcPr>
            <w:tcW w:w="1164" w:type="dxa"/>
            <w:vAlign w:val="center"/>
          </w:tcPr>
          <w:p w14:paraId="0BCA6B20">
            <w:pPr>
              <w:widowControl/>
              <w:spacing w:line="360" w:lineRule="auto"/>
              <w:jc w:val="left"/>
              <w:rPr>
                <w:rFonts w:hint="eastAsia" w:ascii="宋体" w:hAnsi="宋体" w:eastAsia="宋体" w:cs="宋体"/>
                <w:color w:val="000000"/>
                <w:szCs w:val="21"/>
              </w:rPr>
            </w:pPr>
            <w:r>
              <w:rPr>
                <w:rFonts w:hint="eastAsia" w:ascii="宋体" w:hAnsi="宋体" w:eastAsia="宋体" w:cs="宋体"/>
                <w:szCs w:val="21"/>
              </w:rPr>
              <w:t>施工现场布置方案</w:t>
            </w:r>
            <w:r>
              <w:rPr>
                <w:rFonts w:hint="eastAsia" w:ascii="宋体" w:hAnsi="宋体" w:eastAsia="宋体" w:cs="宋体"/>
                <w:color w:val="auto"/>
                <w:szCs w:val="21"/>
              </w:rPr>
              <w:t>（5分）</w:t>
            </w:r>
          </w:p>
        </w:tc>
        <w:tc>
          <w:tcPr>
            <w:tcW w:w="8289" w:type="dxa"/>
            <w:vAlign w:val="center"/>
          </w:tcPr>
          <w:p w14:paraId="1946F9D1">
            <w:pPr>
              <w:autoSpaceDE w:val="0"/>
              <w:autoSpaceDN w:val="0"/>
              <w:spacing w:line="360" w:lineRule="auto"/>
              <w:jc w:val="left"/>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据供应商提供的施工现场</w:t>
            </w:r>
            <w:r>
              <w:rPr>
                <w:rFonts w:hint="eastAsia" w:ascii="宋体" w:hAnsi="宋体" w:eastAsia="宋体" w:cs="宋体"/>
                <w:szCs w:val="21"/>
                <w:lang w:val="en-US" w:eastAsia="zh-CN"/>
              </w:rPr>
              <w:t>平面</w:t>
            </w:r>
            <w:r>
              <w:rPr>
                <w:rFonts w:hint="eastAsia" w:ascii="宋体" w:hAnsi="宋体" w:eastAsia="宋体" w:cs="宋体"/>
                <w:szCs w:val="21"/>
              </w:rPr>
              <w:t>布置方案（包括施工现场临时设施布置情况、施工设备及原材料堆放情况、安全文明施工布置情况等）进行综合评议：</w:t>
            </w:r>
          </w:p>
          <w:p w14:paraId="0D5A4B03">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①布置方案详实、内容完整，临时设施考虑齐全且布置科学，施工设备及原材料堆放有序，安全文明施工布置全面且醒目，可执行力高的，得5分；</w:t>
            </w:r>
          </w:p>
          <w:p w14:paraId="1D40CF92">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②布置方案较详细、内容充分，临时设施考虑齐全且布置较合理，施工设备及原材料堆放较合理，安全文明施工布置较全面且较醒目，可执行力度较高，得4分；</w:t>
            </w:r>
          </w:p>
          <w:p w14:paraId="444A71F1">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③布置方案较详细、内容较多，临时设施考虑较齐全且布置较合理，施工设备及原材料堆放较随意，安全文明施工布置较全面但不够醒目，可勉强执行的，得3分；</w:t>
            </w:r>
          </w:p>
          <w:p w14:paraId="3A5A4680">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④布置方案较简单、内容较少，临时设施考虑不足且布置随意，施工设备及原材料堆放随意，安全文明施工布置不足且盲目，得2分；</w:t>
            </w:r>
          </w:p>
          <w:p w14:paraId="6E42213C">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⑤布置方案简单、内容少，临时设施考虑不足且布置无章法，施工设备及原材料堆放混乱，安全文明施工布置敷衍，得1分；</w:t>
            </w:r>
          </w:p>
          <w:p w14:paraId="705DFC4D">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未提供相关内容不得分。</w:t>
            </w:r>
          </w:p>
        </w:tc>
      </w:tr>
      <w:tr w14:paraId="7AEBF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vAlign w:val="center"/>
          </w:tcPr>
          <w:p w14:paraId="466DF2D2">
            <w:pPr>
              <w:widowControl/>
              <w:spacing w:line="360" w:lineRule="auto"/>
              <w:jc w:val="left"/>
              <w:rPr>
                <w:rFonts w:hint="eastAsia" w:ascii="宋体" w:hAnsi="宋体" w:eastAsia="宋体" w:cs="宋体"/>
                <w:color w:val="000000"/>
                <w:szCs w:val="21"/>
              </w:rPr>
            </w:pPr>
          </w:p>
        </w:tc>
        <w:tc>
          <w:tcPr>
            <w:tcW w:w="1164" w:type="dxa"/>
            <w:vAlign w:val="center"/>
          </w:tcPr>
          <w:p w14:paraId="7B2D7498">
            <w:pPr>
              <w:widowControl/>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安全生产、文明施工措施（5分）</w:t>
            </w:r>
          </w:p>
        </w:tc>
        <w:tc>
          <w:tcPr>
            <w:tcW w:w="8289" w:type="dxa"/>
            <w:vAlign w:val="center"/>
          </w:tcPr>
          <w:p w14:paraId="7AC1A517">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7、</w:t>
            </w:r>
            <w:r>
              <w:rPr>
                <w:rFonts w:hint="eastAsia" w:ascii="宋体" w:hAnsi="宋体" w:eastAsia="宋体" w:cs="宋体"/>
                <w:color w:val="000000"/>
                <w:szCs w:val="21"/>
              </w:rPr>
              <w:t>安全生产、文明施工措施：</w:t>
            </w:r>
          </w:p>
          <w:p w14:paraId="0276282B">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①施工作业防护、噪音、震动、扬尘各项保障措施具体有效、能保证项目顺利实施的得5分；</w:t>
            </w:r>
          </w:p>
          <w:p w14:paraId="7D46DABD">
            <w:pPr>
              <w:pStyle w:val="73"/>
              <w:spacing w:line="360" w:lineRule="auto"/>
              <w:ind w:firstLine="0" w:firstLineChars="0"/>
              <w:rPr>
                <w:rFonts w:hint="eastAsia" w:ascii="宋体" w:hAnsi="宋体" w:eastAsia="宋体" w:cs="宋体"/>
                <w:color w:val="000000"/>
                <w:szCs w:val="21"/>
              </w:rPr>
            </w:pPr>
            <w:r>
              <w:rPr>
                <w:rFonts w:hint="eastAsia" w:ascii="宋体" w:hAnsi="宋体" w:eastAsia="宋体" w:cs="宋体"/>
                <w:color w:val="000000"/>
                <w:szCs w:val="21"/>
              </w:rPr>
              <w:t>②施工作业防护、噪音、震动、扬尘各项保障措施基本有效，能保证项目顺利实施的得4分；</w:t>
            </w:r>
          </w:p>
          <w:p w14:paraId="39A3079E">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③施工作业防护、噪音、震动、扬尘保障措施上存在细节部分欠缺，尚不影响履约的得3分；</w:t>
            </w:r>
          </w:p>
          <w:p w14:paraId="6981484A">
            <w:pPr>
              <w:pStyle w:val="73"/>
              <w:spacing w:line="360" w:lineRule="auto"/>
              <w:ind w:firstLine="0" w:firstLineChars="0"/>
              <w:rPr>
                <w:rFonts w:hint="eastAsia" w:ascii="宋体" w:hAnsi="宋体" w:eastAsia="宋体" w:cs="宋体"/>
                <w:color w:val="000000"/>
                <w:szCs w:val="21"/>
              </w:rPr>
            </w:pPr>
            <w:r>
              <w:rPr>
                <w:rFonts w:hint="eastAsia" w:ascii="宋体" w:hAnsi="宋体" w:eastAsia="宋体" w:cs="宋体"/>
                <w:color w:val="000000"/>
                <w:szCs w:val="21"/>
              </w:rPr>
              <w:t>④施工作业防护、噪音、震动、扬尘保障措施有明显缺漏项，或过于笼统但能保证项目顺利实施的得2分；</w:t>
            </w:r>
          </w:p>
          <w:p w14:paraId="437166E2">
            <w:pPr>
              <w:tabs>
                <w:tab w:val="left" w:pos="4915"/>
              </w:tabs>
              <w:spacing w:line="360" w:lineRule="auto"/>
              <w:rPr>
                <w:rFonts w:hint="eastAsia" w:ascii="宋体" w:hAnsi="宋体" w:eastAsia="宋体" w:cs="宋体"/>
                <w:color w:val="000000"/>
                <w:szCs w:val="21"/>
              </w:rPr>
            </w:pPr>
            <w:r>
              <w:rPr>
                <w:rFonts w:hint="eastAsia" w:ascii="宋体" w:hAnsi="宋体" w:eastAsia="宋体" w:cs="宋体"/>
                <w:color w:val="000000"/>
                <w:szCs w:val="21"/>
              </w:rPr>
              <w:t>⑤施工作业防护、噪音、震动、扬尘保障措施措施不完整或缺少有效保障手段，难以保证项目实施的得1分。未提供相关内容不得分。</w:t>
            </w:r>
          </w:p>
        </w:tc>
      </w:tr>
      <w:tr w14:paraId="2FAA3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48" w:type="dxa"/>
            <w:vMerge w:val="continue"/>
            <w:vAlign w:val="center"/>
          </w:tcPr>
          <w:p w14:paraId="76EDF85C">
            <w:pPr>
              <w:widowControl/>
              <w:spacing w:line="360" w:lineRule="auto"/>
              <w:jc w:val="left"/>
              <w:rPr>
                <w:rFonts w:hint="eastAsia" w:ascii="宋体" w:hAnsi="宋体" w:eastAsia="宋体" w:cs="宋体"/>
                <w:color w:val="000000"/>
                <w:szCs w:val="21"/>
              </w:rPr>
            </w:pPr>
          </w:p>
        </w:tc>
        <w:tc>
          <w:tcPr>
            <w:tcW w:w="1164" w:type="dxa"/>
            <w:vAlign w:val="center"/>
          </w:tcPr>
          <w:p w14:paraId="728AB830">
            <w:pPr>
              <w:spacing w:line="360" w:lineRule="auto"/>
              <w:rPr>
                <w:rFonts w:hint="eastAsia" w:ascii="宋体" w:hAnsi="宋体" w:eastAsia="宋体" w:cs="宋体"/>
                <w:color w:val="000000"/>
                <w:szCs w:val="21"/>
              </w:rPr>
            </w:pPr>
            <w:r>
              <w:rPr>
                <w:rFonts w:hint="eastAsia" w:ascii="宋体" w:hAnsi="宋体" w:eastAsia="宋体" w:cs="宋体"/>
                <w:szCs w:val="21"/>
              </w:rPr>
              <w:t>重难点分析及解决方案（5分）</w:t>
            </w:r>
          </w:p>
        </w:tc>
        <w:tc>
          <w:tcPr>
            <w:tcW w:w="8289" w:type="dxa"/>
            <w:vAlign w:val="center"/>
          </w:tcPr>
          <w:p w14:paraId="51A80185">
            <w:pPr>
              <w:spacing w:line="360" w:lineRule="auto"/>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根据供应商提供的项目关键点、重难点分析及</w:t>
            </w:r>
            <w:r>
              <w:rPr>
                <w:rFonts w:hint="eastAsia" w:ascii="宋体" w:hAnsi="宋体" w:eastAsia="宋体" w:cs="宋体"/>
                <w:szCs w:val="21"/>
                <w:lang w:val="en-US" w:eastAsia="zh-CN"/>
              </w:rPr>
              <w:t>解决方案</w:t>
            </w:r>
            <w:r>
              <w:rPr>
                <w:rFonts w:hint="eastAsia" w:ascii="宋体" w:hAnsi="宋体" w:eastAsia="宋体" w:cs="宋体"/>
                <w:szCs w:val="21"/>
              </w:rPr>
              <w:t>进行综合评议：</w:t>
            </w:r>
          </w:p>
          <w:p w14:paraId="5702145F">
            <w:pPr>
              <w:spacing w:line="360" w:lineRule="auto"/>
              <w:rPr>
                <w:rFonts w:hint="eastAsia" w:ascii="宋体" w:hAnsi="宋体" w:eastAsia="宋体" w:cs="宋体"/>
                <w:szCs w:val="21"/>
              </w:rPr>
            </w:pPr>
            <w:r>
              <w:rPr>
                <w:rFonts w:hint="eastAsia" w:ascii="宋体" w:hAnsi="宋体" w:eastAsia="宋体" w:cs="宋体"/>
                <w:szCs w:val="21"/>
              </w:rPr>
              <w:t>①项目关键点、重难点分析到位，针对性强，具有可行的解决方案的，得5分；</w:t>
            </w:r>
          </w:p>
          <w:p w14:paraId="5424B7B2">
            <w:pPr>
              <w:spacing w:line="360" w:lineRule="auto"/>
              <w:rPr>
                <w:rFonts w:hint="eastAsia" w:ascii="宋体" w:hAnsi="宋体" w:eastAsia="宋体" w:cs="宋体"/>
                <w:szCs w:val="21"/>
              </w:rPr>
            </w:pPr>
            <w:r>
              <w:rPr>
                <w:rFonts w:hint="eastAsia" w:ascii="宋体" w:hAnsi="宋体" w:eastAsia="宋体" w:cs="宋体"/>
                <w:szCs w:val="21"/>
              </w:rPr>
              <w:t>②项目关键点、重难点分析及针对性较好，有效可行的解决方案的，得4分；</w:t>
            </w:r>
          </w:p>
          <w:p w14:paraId="7229090C">
            <w:pPr>
              <w:spacing w:line="360" w:lineRule="auto"/>
              <w:rPr>
                <w:rFonts w:hint="eastAsia" w:ascii="宋体" w:hAnsi="宋体" w:eastAsia="宋体" w:cs="宋体"/>
                <w:szCs w:val="21"/>
              </w:rPr>
            </w:pPr>
            <w:r>
              <w:rPr>
                <w:rFonts w:hint="eastAsia" w:ascii="宋体" w:hAnsi="宋体" w:eastAsia="宋体" w:cs="宋体"/>
                <w:szCs w:val="21"/>
              </w:rPr>
              <w:t>③项目关键点、重难点分析普通，针对性一般，有效可行的解决方案，得3分；</w:t>
            </w:r>
          </w:p>
          <w:p w14:paraId="601F6D1D">
            <w:pPr>
              <w:pStyle w:val="73"/>
              <w:spacing w:line="360" w:lineRule="auto"/>
              <w:ind w:firstLine="0" w:firstLineChars="0"/>
              <w:rPr>
                <w:rFonts w:hint="eastAsia" w:ascii="宋体" w:hAnsi="宋体" w:eastAsia="宋体" w:cs="宋体"/>
                <w:szCs w:val="21"/>
              </w:rPr>
            </w:pPr>
            <w:r>
              <w:rPr>
                <w:rFonts w:hint="eastAsia" w:ascii="宋体" w:hAnsi="宋体" w:eastAsia="宋体" w:cs="宋体"/>
                <w:szCs w:val="21"/>
              </w:rPr>
              <w:t>④项目关键点、重难点分析及针对性</w:t>
            </w:r>
            <w:r>
              <w:rPr>
                <w:rFonts w:hint="eastAsia" w:ascii="宋体" w:hAnsi="宋体" w:eastAsia="宋体" w:cs="宋体"/>
                <w:color w:val="000000"/>
                <w:szCs w:val="21"/>
              </w:rPr>
              <w:t>过于笼统，</w:t>
            </w:r>
            <w:r>
              <w:rPr>
                <w:rFonts w:hint="eastAsia" w:ascii="宋体" w:hAnsi="宋体" w:eastAsia="宋体" w:cs="宋体"/>
                <w:szCs w:val="21"/>
              </w:rPr>
              <w:t>解决方案</w:t>
            </w:r>
            <w:r>
              <w:rPr>
                <w:rFonts w:hint="eastAsia" w:ascii="宋体" w:hAnsi="宋体" w:eastAsia="宋体" w:cs="宋体"/>
                <w:color w:val="000000"/>
                <w:szCs w:val="21"/>
              </w:rPr>
              <w:t>内容有欠缺的，得2分</w:t>
            </w:r>
          </w:p>
          <w:p w14:paraId="08CE80A4">
            <w:pPr>
              <w:spacing w:line="360" w:lineRule="auto"/>
              <w:rPr>
                <w:rFonts w:hint="eastAsia" w:ascii="宋体" w:hAnsi="宋体" w:eastAsia="宋体" w:cs="宋体"/>
                <w:szCs w:val="21"/>
              </w:rPr>
            </w:pPr>
            <w:r>
              <w:rPr>
                <w:rFonts w:hint="eastAsia" w:ascii="宋体" w:hAnsi="宋体" w:eastAsia="宋体" w:cs="宋体"/>
                <w:szCs w:val="21"/>
              </w:rPr>
              <w:t>⑤项目关键点、重难点分析不够到位，无针对性，没有可行的解决方案的，得1分；</w:t>
            </w:r>
          </w:p>
          <w:p w14:paraId="5A5B676C">
            <w:pPr>
              <w:spacing w:line="360" w:lineRule="auto"/>
              <w:rPr>
                <w:rFonts w:hint="eastAsia" w:ascii="宋体" w:hAnsi="宋体" w:eastAsia="宋体" w:cs="宋体"/>
                <w:color w:val="000000"/>
                <w:szCs w:val="21"/>
              </w:rPr>
            </w:pPr>
            <w:r>
              <w:rPr>
                <w:rFonts w:hint="eastAsia" w:ascii="宋体" w:hAnsi="宋体" w:eastAsia="宋体" w:cs="宋体"/>
                <w:szCs w:val="21"/>
              </w:rPr>
              <w:t>注：无相关内容的不得分。</w:t>
            </w:r>
          </w:p>
        </w:tc>
      </w:tr>
      <w:tr w14:paraId="5A264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59CD449D">
            <w:pPr>
              <w:widowControl/>
              <w:spacing w:line="360" w:lineRule="auto"/>
              <w:jc w:val="left"/>
              <w:rPr>
                <w:rFonts w:hint="eastAsia" w:ascii="宋体" w:hAnsi="宋体" w:eastAsia="宋体" w:cs="宋体"/>
                <w:color w:val="000000"/>
                <w:szCs w:val="21"/>
              </w:rPr>
            </w:pPr>
          </w:p>
        </w:tc>
        <w:tc>
          <w:tcPr>
            <w:tcW w:w="1164" w:type="dxa"/>
            <w:vAlign w:val="center"/>
          </w:tcPr>
          <w:p w14:paraId="6E713105">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突发事件 应急预案 </w:t>
            </w:r>
          </w:p>
          <w:p w14:paraId="1AEACA02">
            <w:pPr>
              <w:spacing w:line="360" w:lineRule="auto"/>
              <w:rPr>
                <w:rFonts w:hint="eastAsia" w:ascii="宋体" w:hAnsi="宋体" w:eastAsia="宋体" w:cs="宋体"/>
                <w:color w:val="000000"/>
                <w:szCs w:val="21"/>
              </w:rPr>
            </w:pPr>
            <w:r>
              <w:rPr>
                <w:rFonts w:hint="eastAsia" w:ascii="宋体" w:hAnsi="宋体" w:eastAsia="宋体" w:cs="宋体"/>
                <w:color w:val="000000"/>
                <w:szCs w:val="21"/>
              </w:rPr>
              <w:t>（5 分）</w:t>
            </w:r>
          </w:p>
        </w:tc>
        <w:tc>
          <w:tcPr>
            <w:tcW w:w="8289" w:type="dxa"/>
            <w:vAlign w:val="center"/>
          </w:tcPr>
          <w:p w14:paraId="0ED53B4D">
            <w:pPr>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9、</w:t>
            </w:r>
            <w:r>
              <w:rPr>
                <w:rFonts w:hint="eastAsia" w:ascii="宋体" w:hAnsi="宋体" w:eastAsia="宋体" w:cs="宋体"/>
                <w:color w:val="000000"/>
                <w:szCs w:val="21"/>
              </w:rPr>
              <w:t xml:space="preserve">对本项目实施期间的突发事件应急预案进行评议（5分） </w:t>
            </w:r>
          </w:p>
          <w:p w14:paraId="5F0932F0">
            <w:pPr>
              <w:spacing w:line="360" w:lineRule="auto"/>
              <w:rPr>
                <w:rFonts w:hint="eastAsia" w:ascii="宋体" w:hAnsi="宋体" w:eastAsia="宋体" w:cs="宋体"/>
                <w:color w:val="000000"/>
                <w:szCs w:val="21"/>
              </w:rPr>
            </w:pPr>
            <w:r>
              <w:rPr>
                <w:rFonts w:hint="eastAsia" w:ascii="宋体" w:hAnsi="宋体" w:eastAsia="宋体" w:cs="宋体"/>
                <w:color w:val="000000"/>
                <w:szCs w:val="21"/>
              </w:rPr>
              <w:t>①应急预案条款完整、措施得力、能有效降低突发事件的不利影响的得5 分；</w:t>
            </w:r>
          </w:p>
          <w:p w14:paraId="7BD44528">
            <w:pPr>
              <w:pStyle w:val="73"/>
              <w:spacing w:line="360" w:lineRule="auto"/>
              <w:ind w:firstLine="0" w:firstLineChars="0"/>
              <w:rPr>
                <w:rFonts w:hint="eastAsia" w:ascii="宋体" w:hAnsi="宋体" w:eastAsia="宋体" w:cs="宋体"/>
              </w:rPr>
            </w:pPr>
            <w:r>
              <w:rPr>
                <w:rFonts w:hint="eastAsia" w:ascii="宋体" w:hAnsi="宋体" w:eastAsia="宋体" w:cs="宋体"/>
                <w:szCs w:val="21"/>
              </w:rPr>
              <w:t>②</w:t>
            </w:r>
            <w:r>
              <w:rPr>
                <w:rFonts w:hint="eastAsia" w:ascii="宋体" w:hAnsi="宋体" w:eastAsia="宋体" w:cs="宋体"/>
                <w:color w:val="000000"/>
                <w:szCs w:val="21"/>
              </w:rPr>
              <w:t>应急预案条款内容完整，措施基本得力，能降低突发事件的不利影响的得4 分</w:t>
            </w:r>
          </w:p>
          <w:p w14:paraId="65C873EC">
            <w:pPr>
              <w:spacing w:line="360" w:lineRule="auto"/>
              <w:rPr>
                <w:rFonts w:hint="eastAsia" w:ascii="宋体" w:hAnsi="宋体" w:eastAsia="宋体" w:cs="宋体"/>
                <w:color w:val="000000"/>
                <w:szCs w:val="21"/>
              </w:rPr>
            </w:pPr>
            <w:r>
              <w:rPr>
                <w:rFonts w:hint="eastAsia" w:ascii="宋体" w:hAnsi="宋体" w:eastAsia="宋体" w:cs="宋体"/>
                <w:szCs w:val="21"/>
              </w:rPr>
              <w:t>③</w:t>
            </w:r>
            <w:r>
              <w:rPr>
                <w:rFonts w:hint="eastAsia" w:ascii="宋体" w:hAnsi="宋体" w:eastAsia="宋体" w:cs="宋体"/>
                <w:color w:val="000000"/>
                <w:szCs w:val="21"/>
              </w:rPr>
              <w:t>条款内容完整、但具体措施与工程实际情况略有偏差、预计尚不影响履约得3分；</w:t>
            </w:r>
          </w:p>
          <w:p w14:paraId="00CA49BB">
            <w:pPr>
              <w:pStyle w:val="73"/>
              <w:spacing w:line="360" w:lineRule="auto"/>
              <w:ind w:firstLine="0" w:firstLineChars="0"/>
              <w:rPr>
                <w:rFonts w:hint="eastAsia" w:ascii="宋体" w:hAnsi="宋体" w:eastAsia="宋体" w:cs="宋体"/>
              </w:rPr>
            </w:pPr>
            <w:r>
              <w:rPr>
                <w:rFonts w:hint="eastAsia" w:ascii="宋体" w:hAnsi="宋体" w:eastAsia="宋体" w:cs="宋体"/>
                <w:szCs w:val="21"/>
              </w:rPr>
              <w:t>④</w:t>
            </w:r>
            <w:r>
              <w:rPr>
                <w:rFonts w:hint="eastAsia" w:ascii="宋体" w:hAnsi="宋体" w:eastAsia="宋体" w:cs="宋体"/>
                <w:color w:val="000000"/>
                <w:szCs w:val="21"/>
              </w:rPr>
              <w:t>条款内容具体措施有明显缺漏项，或过于笼统但能保证项目顺利实施的得2分</w:t>
            </w:r>
          </w:p>
          <w:p w14:paraId="35B7E777">
            <w:pPr>
              <w:spacing w:line="360" w:lineRule="auto"/>
              <w:rPr>
                <w:rFonts w:hint="eastAsia" w:ascii="宋体" w:hAnsi="宋体" w:eastAsia="宋体" w:cs="宋体"/>
                <w:color w:val="000000"/>
                <w:szCs w:val="21"/>
              </w:rPr>
            </w:pPr>
            <w:r>
              <w:rPr>
                <w:rFonts w:hint="eastAsia" w:ascii="宋体" w:hAnsi="宋体" w:eastAsia="宋体" w:cs="宋体"/>
                <w:szCs w:val="21"/>
              </w:rPr>
              <w:t>⑤</w:t>
            </w:r>
            <w:r>
              <w:rPr>
                <w:rFonts w:hint="eastAsia" w:ascii="宋体" w:hAnsi="宋体" w:eastAsia="宋体" w:cs="宋体"/>
                <w:color w:val="000000"/>
                <w:szCs w:val="21"/>
              </w:rPr>
              <w:t>条款内容不完整、或措施没有实际效果、无法保障项目实施的得1分。</w:t>
            </w:r>
          </w:p>
          <w:p w14:paraId="68CE6AF1">
            <w:pPr>
              <w:spacing w:line="360" w:lineRule="auto"/>
              <w:rPr>
                <w:rFonts w:hint="eastAsia" w:ascii="宋体" w:hAnsi="宋体" w:eastAsia="宋体" w:cs="宋体"/>
                <w:color w:val="000000"/>
                <w:szCs w:val="21"/>
              </w:rPr>
            </w:pPr>
            <w:r>
              <w:rPr>
                <w:rFonts w:hint="eastAsia" w:ascii="宋体" w:hAnsi="宋体" w:eastAsia="宋体" w:cs="宋体"/>
                <w:color w:val="000000"/>
                <w:szCs w:val="21"/>
              </w:rPr>
              <w:t>未提供相关内容的不得分。</w:t>
            </w:r>
          </w:p>
        </w:tc>
      </w:tr>
      <w:tr w14:paraId="2790C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065FB9B1">
            <w:pPr>
              <w:widowControl/>
              <w:spacing w:line="360" w:lineRule="auto"/>
              <w:jc w:val="left"/>
              <w:rPr>
                <w:rFonts w:hint="eastAsia" w:ascii="宋体" w:hAnsi="宋体" w:eastAsia="宋体" w:cs="宋体"/>
                <w:color w:val="000000"/>
                <w:szCs w:val="21"/>
              </w:rPr>
            </w:pPr>
          </w:p>
        </w:tc>
        <w:tc>
          <w:tcPr>
            <w:tcW w:w="1164" w:type="dxa"/>
            <w:vAlign w:val="center"/>
          </w:tcPr>
          <w:p w14:paraId="6695FEED">
            <w:pPr>
              <w:adjustRightInd w:val="0"/>
              <w:snapToGrid w:val="0"/>
              <w:spacing w:line="360" w:lineRule="auto"/>
              <w:rPr>
                <w:rFonts w:hint="eastAsia" w:ascii="宋体" w:hAnsi="宋体" w:eastAsia="宋体" w:cs="宋体"/>
                <w:szCs w:val="21"/>
              </w:rPr>
            </w:pPr>
            <w:r>
              <w:rPr>
                <w:rFonts w:hint="eastAsia" w:ascii="宋体" w:hAnsi="宋体" w:eastAsia="宋体" w:cs="宋体"/>
                <w:color w:val="000000"/>
                <w:szCs w:val="21"/>
              </w:rPr>
              <w:t>项目经理（</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w:t>
            </w:r>
          </w:p>
        </w:tc>
        <w:tc>
          <w:tcPr>
            <w:tcW w:w="8289" w:type="dxa"/>
            <w:vAlign w:val="center"/>
          </w:tcPr>
          <w:p w14:paraId="5DB46B05">
            <w:pPr>
              <w:autoSpaceDE w:val="0"/>
              <w:autoSpaceDN w:val="0"/>
              <w:spacing w:line="360" w:lineRule="auto"/>
              <w:jc w:val="lef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10、</w:t>
            </w:r>
            <w:r>
              <w:rPr>
                <w:rFonts w:hint="eastAsia" w:ascii="宋体" w:hAnsi="宋体" w:eastAsia="宋体" w:cs="宋体"/>
                <w:color w:val="auto"/>
                <w:sz w:val="21"/>
                <w:highlight w:val="none"/>
              </w:rPr>
              <w:t>拟派项目经理</w:t>
            </w:r>
            <w:r>
              <w:rPr>
                <w:rFonts w:hint="eastAsia" w:ascii="宋体" w:hAnsi="宋体" w:eastAsia="宋体" w:cs="宋体"/>
                <w:color w:val="auto"/>
                <w:sz w:val="21"/>
                <w:highlight w:val="none"/>
                <w:lang w:eastAsia="zh-CN"/>
              </w:rPr>
              <w:t>：</w:t>
            </w:r>
          </w:p>
          <w:p w14:paraId="49F77950">
            <w:pPr>
              <w:tabs>
                <w:tab w:val="left" w:pos="4915"/>
              </w:tabs>
              <w:adjustRightInd w:val="0"/>
              <w:snapToGrid w:val="0"/>
              <w:spacing w:line="360" w:lineRule="auto"/>
              <w:rPr>
                <w:rFonts w:hint="eastAsia" w:ascii="宋体" w:hAnsi="宋体" w:eastAsia="宋体" w:cs="宋体"/>
                <w:szCs w:val="21"/>
              </w:rPr>
            </w:pPr>
            <w:r>
              <w:rPr>
                <w:rFonts w:hint="eastAsia" w:ascii="宋体" w:hAnsi="宋体" w:eastAsia="宋体" w:cs="宋体"/>
                <w:color w:val="auto"/>
                <w:sz w:val="21"/>
                <w:highlight w:val="none"/>
              </w:rPr>
              <w:t>具有</w:t>
            </w:r>
            <w:r>
              <w:rPr>
                <w:rFonts w:hint="eastAsia" w:ascii="宋体" w:hAnsi="宋体" w:eastAsia="宋体" w:cs="宋体"/>
                <w:color w:val="auto"/>
                <w:sz w:val="21"/>
                <w:highlight w:val="none"/>
                <w:lang w:val="en-US" w:eastAsia="zh-CN"/>
              </w:rPr>
              <w:t>高级及以上技术职称的，得2分，具有</w:t>
            </w:r>
            <w:r>
              <w:rPr>
                <w:rFonts w:hint="eastAsia" w:ascii="宋体" w:hAnsi="宋体" w:eastAsia="宋体" w:cs="宋体"/>
                <w:color w:val="auto"/>
                <w:sz w:val="21"/>
                <w:highlight w:val="none"/>
              </w:rPr>
              <w:t>中级工程师技术职称的得</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分，没有不得分</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本项最高得2分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须</w:t>
            </w:r>
            <w:r>
              <w:rPr>
                <w:rFonts w:hint="eastAsia" w:ascii="宋体" w:hAnsi="宋体" w:eastAsia="宋体" w:cs="宋体"/>
                <w:color w:val="auto"/>
                <w:sz w:val="21"/>
                <w:highlight w:val="none"/>
              </w:rPr>
              <w:t>提供职称证书扫描件及近三个月来的社保证明材料，未提供不得分</w:t>
            </w:r>
            <w:r>
              <w:rPr>
                <w:rFonts w:hint="eastAsia" w:ascii="宋体" w:hAnsi="宋体" w:eastAsia="宋体" w:cs="宋体"/>
                <w:color w:val="auto"/>
                <w:sz w:val="21"/>
                <w:highlight w:val="none"/>
                <w:lang w:eastAsia="zh-CN"/>
              </w:rPr>
              <w:t>）</w:t>
            </w:r>
          </w:p>
        </w:tc>
      </w:tr>
      <w:tr w14:paraId="16973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48" w:type="dxa"/>
            <w:vMerge w:val="continue"/>
            <w:vAlign w:val="center"/>
          </w:tcPr>
          <w:p w14:paraId="71ED2CC2">
            <w:pPr>
              <w:widowControl/>
              <w:spacing w:line="360" w:lineRule="auto"/>
              <w:jc w:val="left"/>
              <w:rPr>
                <w:rFonts w:hint="eastAsia" w:ascii="宋体" w:hAnsi="宋体" w:eastAsia="宋体" w:cs="宋体"/>
                <w:color w:val="000000"/>
                <w:szCs w:val="21"/>
              </w:rPr>
            </w:pPr>
          </w:p>
        </w:tc>
        <w:tc>
          <w:tcPr>
            <w:tcW w:w="1164" w:type="dxa"/>
            <w:vAlign w:val="center"/>
          </w:tcPr>
          <w:p w14:paraId="379AB61E">
            <w:pPr>
              <w:spacing w:line="360" w:lineRule="auto"/>
              <w:jc w:val="both"/>
              <w:rPr>
                <w:rFonts w:hint="eastAsia" w:ascii="宋体" w:hAnsi="宋体" w:eastAsia="宋体" w:cs="宋体"/>
                <w:bCs/>
                <w:sz w:val="22"/>
                <w:szCs w:val="22"/>
              </w:rPr>
            </w:pPr>
            <w:r>
              <w:rPr>
                <w:rFonts w:hint="eastAsia" w:ascii="宋体" w:hAnsi="宋体" w:eastAsia="宋体" w:cs="宋体"/>
                <w:color w:val="000000"/>
                <w:szCs w:val="21"/>
                <w:lang w:val="en-US" w:eastAsia="zh-CN"/>
              </w:rPr>
              <w:t>现场技术人员配置</w:t>
            </w:r>
            <w:r>
              <w:rPr>
                <w:rFonts w:hint="eastAsia" w:ascii="宋体" w:hAnsi="宋体" w:eastAsia="宋体" w:cs="宋体"/>
                <w:szCs w:val="21"/>
              </w:rPr>
              <w:t>（5分）</w:t>
            </w:r>
          </w:p>
        </w:tc>
        <w:tc>
          <w:tcPr>
            <w:tcW w:w="8289" w:type="dxa"/>
            <w:vAlign w:val="center"/>
          </w:tcPr>
          <w:p w14:paraId="1A02346B">
            <w:pPr>
              <w:autoSpaceDE w:val="0"/>
              <w:autoSpaceDN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11、</w:t>
            </w: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val="en-US" w:eastAsia="zh-CN"/>
              </w:rPr>
              <w:t>供应商关于</w:t>
            </w:r>
            <w:r>
              <w:rPr>
                <w:rFonts w:hint="eastAsia" w:ascii="宋体" w:hAnsi="宋体" w:eastAsia="宋体" w:cs="宋体"/>
                <w:color w:val="auto"/>
                <w:sz w:val="21"/>
                <w:highlight w:val="none"/>
              </w:rPr>
              <w:t>拟派现场工程技术管理人员的专业配置合理性</w:t>
            </w:r>
            <w:r>
              <w:rPr>
                <w:rFonts w:hint="eastAsia" w:ascii="宋体" w:hAnsi="宋体" w:eastAsia="宋体" w:cs="宋体"/>
                <w:color w:val="auto"/>
                <w:sz w:val="21"/>
                <w:highlight w:val="none"/>
                <w:lang w:val="en-US" w:eastAsia="zh-CN"/>
              </w:rPr>
              <w:t>进行综合评议：</w:t>
            </w:r>
          </w:p>
          <w:p w14:paraId="7039FB0A">
            <w:pPr>
              <w:autoSpaceDE w:val="0"/>
              <w:autoSpaceDN w:val="0"/>
              <w:spacing w:line="360"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拟派现场工程技术管理人员</w:t>
            </w:r>
            <w:r>
              <w:rPr>
                <w:rFonts w:hint="eastAsia" w:ascii="宋体" w:hAnsi="宋体" w:eastAsia="宋体" w:cs="宋体"/>
                <w:color w:val="auto"/>
                <w:sz w:val="21"/>
                <w:highlight w:val="none"/>
                <w:lang w:val="en-US" w:eastAsia="zh-CN"/>
              </w:rPr>
              <w:t>配置充足、</w:t>
            </w:r>
            <w:r>
              <w:rPr>
                <w:rFonts w:hint="eastAsia" w:ascii="宋体" w:hAnsi="宋体" w:eastAsia="宋体" w:cs="宋体"/>
                <w:color w:val="auto"/>
                <w:sz w:val="21"/>
                <w:highlight w:val="none"/>
              </w:rPr>
              <w:t>专业配置合理</w:t>
            </w:r>
            <w:r>
              <w:rPr>
                <w:rFonts w:hint="eastAsia" w:ascii="宋体" w:hAnsi="宋体" w:eastAsia="宋体" w:cs="宋体"/>
                <w:color w:val="auto"/>
                <w:sz w:val="21"/>
                <w:highlight w:val="none"/>
                <w:lang w:val="en-US" w:eastAsia="zh-CN"/>
              </w:rPr>
              <w:t>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分；</w:t>
            </w:r>
          </w:p>
          <w:p w14:paraId="5B8FE1FE">
            <w:pPr>
              <w:autoSpaceDE w:val="0"/>
              <w:autoSpaceDN w:val="0"/>
              <w:spacing w:line="360"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拟派现场工程技术管理人员</w:t>
            </w:r>
            <w:r>
              <w:rPr>
                <w:rFonts w:hint="eastAsia" w:ascii="宋体" w:hAnsi="宋体" w:eastAsia="宋体" w:cs="宋体"/>
                <w:color w:val="auto"/>
                <w:sz w:val="21"/>
                <w:highlight w:val="none"/>
                <w:lang w:val="en-US" w:eastAsia="zh-CN"/>
              </w:rPr>
              <w:t>配置较充足、</w:t>
            </w:r>
            <w:r>
              <w:rPr>
                <w:rFonts w:hint="eastAsia" w:ascii="宋体" w:hAnsi="宋体" w:eastAsia="宋体" w:cs="宋体"/>
                <w:color w:val="auto"/>
                <w:sz w:val="21"/>
                <w:highlight w:val="none"/>
              </w:rPr>
              <w:t>专业配置</w:t>
            </w:r>
            <w:r>
              <w:rPr>
                <w:rFonts w:hint="eastAsia" w:ascii="宋体" w:hAnsi="宋体" w:eastAsia="宋体" w:cs="宋体"/>
                <w:color w:val="auto"/>
                <w:sz w:val="21"/>
                <w:highlight w:val="none"/>
                <w:lang w:val="en-US" w:eastAsia="zh-CN"/>
              </w:rPr>
              <w:t>较</w:t>
            </w:r>
            <w:r>
              <w:rPr>
                <w:rFonts w:hint="eastAsia" w:ascii="宋体" w:hAnsi="宋体" w:eastAsia="宋体" w:cs="宋体"/>
                <w:color w:val="auto"/>
                <w:sz w:val="21"/>
                <w:highlight w:val="none"/>
              </w:rPr>
              <w:t>合理</w:t>
            </w:r>
            <w:r>
              <w:rPr>
                <w:rFonts w:hint="eastAsia" w:ascii="宋体" w:hAnsi="宋体" w:eastAsia="宋体" w:cs="宋体"/>
                <w:color w:val="auto"/>
                <w:sz w:val="21"/>
                <w:highlight w:val="none"/>
                <w:lang w:val="en-US" w:eastAsia="zh-CN"/>
              </w:rPr>
              <w:t>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rPr>
              <w:t>分；</w:t>
            </w:r>
          </w:p>
          <w:p w14:paraId="2871105D">
            <w:pPr>
              <w:autoSpaceDE w:val="0"/>
              <w:autoSpaceDN w:val="0"/>
              <w:spacing w:line="360"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拟派现场工程技术管理人员</w:t>
            </w:r>
            <w:r>
              <w:rPr>
                <w:rFonts w:hint="eastAsia" w:ascii="宋体" w:hAnsi="宋体" w:eastAsia="宋体" w:cs="宋体"/>
                <w:color w:val="auto"/>
                <w:sz w:val="21"/>
                <w:highlight w:val="none"/>
                <w:lang w:val="en-US" w:eastAsia="zh-CN"/>
              </w:rPr>
              <w:t>配置可基本满足施工需要、</w:t>
            </w:r>
            <w:r>
              <w:rPr>
                <w:rFonts w:hint="eastAsia" w:ascii="宋体" w:hAnsi="宋体" w:eastAsia="宋体" w:cs="宋体"/>
                <w:color w:val="auto"/>
                <w:sz w:val="21"/>
                <w:highlight w:val="none"/>
              </w:rPr>
              <w:t>专业配置</w:t>
            </w:r>
            <w:r>
              <w:rPr>
                <w:rFonts w:hint="eastAsia" w:ascii="宋体" w:hAnsi="宋体" w:eastAsia="宋体" w:cs="宋体"/>
                <w:color w:val="auto"/>
                <w:sz w:val="21"/>
                <w:highlight w:val="none"/>
                <w:lang w:val="en-US" w:eastAsia="zh-CN"/>
              </w:rPr>
              <w:t>基本</w:t>
            </w:r>
            <w:r>
              <w:rPr>
                <w:rFonts w:hint="eastAsia" w:ascii="宋体" w:hAnsi="宋体" w:eastAsia="宋体" w:cs="宋体"/>
                <w:color w:val="auto"/>
                <w:sz w:val="21"/>
                <w:highlight w:val="none"/>
              </w:rPr>
              <w:t>合理</w:t>
            </w:r>
            <w:r>
              <w:rPr>
                <w:rFonts w:hint="eastAsia" w:ascii="宋体" w:hAnsi="宋体" w:eastAsia="宋体" w:cs="宋体"/>
                <w:color w:val="auto"/>
                <w:sz w:val="21"/>
                <w:highlight w:val="none"/>
                <w:lang w:val="en-US" w:eastAsia="zh-CN"/>
              </w:rPr>
              <w:t>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分；</w:t>
            </w:r>
          </w:p>
          <w:p w14:paraId="6CF10181">
            <w:pPr>
              <w:autoSpaceDE w:val="0"/>
              <w:autoSpaceDN w:val="0"/>
              <w:spacing w:line="360"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拟派现场工程技术管理人员</w:t>
            </w:r>
            <w:r>
              <w:rPr>
                <w:rFonts w:hint="eastAsia" w:ascii="宋体" w:hAnsi="宋体" w:eastAsia="宋体" w:cs="宋体"/>
                <w:color w:val="auto"/>
                <w:sz w:val="21"/>
                <w:highlight w:val="none"/>
                <w:lang w:val="en-US" w:eastAsia="zh-CN"/>
              </w:rPr>
              <w:t>配置和</w:t>
            </w:r>
            <w:r>
              <w:rPr>
                <w:rFonts w:hint="eastAsia" w:ascii="宋体" w:hAnsi="宋体" w:eastAsia="宋体" w:cs="宋体"/>
                <w:color w:val="auto"/>
                <w:sz w:val="21"/>
                <w:highlight w:val="none"/>
              </w:rPr>
              <w:t>专业配置</w:t>
            </w:r>
            <w:r>
              <w:rPr>
                <w:rFonts w:hint="eastAsia" w:ascii="宋体" w:hAnsi="宋体" w:eastAsia="宋体" w:cs="宋体"/>
                <w:color w:val="auto"/>
                <w:sz w:val="21"/>
                <w:highlight w:val="none"/>
                <w:lang w:val="en-US" w:eastAsia="zh-CN"/>
              </w:rPr>
              <w:t>存在缺陷或瑕疵的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分；</w:t>
            </w:r>
          </w:p>
          <w:p w14:paraId="20B24C07">
            <w:pPr>
              <w:autoSpaceDE w:val="0"/>
              <w:autoSpaceDN w:val="0"/>
              <w:spacing w:line="360"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拟派现场工程技术管理人员</w:t>
            </w:r>
            <w:r>
              <w:rPr>
                <w:rFonts w:hint="eastAsia" w:ascii="宋体" w:hAnsi="宋体" w:eastAsia="宋体" w:cs="宋体"/>
                <w:color w:val="auto"/>
                <w:sz w:val="21"/>
                <w:highlight w:val="none"/>
                <w:lang w:val="en-US" w:eastAsia="zh-CN"/>
              </w:rPr>
              <w:t>配置可能无法满足施工需要、</w:t>
            </w:r>
            <w:r>
              <w:rPr>
                <w:rFonts w:hint="eastAsia" w:ascii="宋体" w:hAnsi="宋体" w:eastAsia="宋体" w:cs="宋体"/>
                <w:color w:val="auto"/>
                <w:sz w:val="21"/>
                <w:highlight w:val="none"/>
              </w:rPr>
              <w:t>专业配置</w:t>
            </w:r>
            <w:r>
              <w:rPr>
                <w:rFonts w:hint="eastAsia" w:ascii="宋体" w:hAnsi="宋体" w:eastAsia="宋体" w:cs="宋体"/>
                <w:color w:val="auto"/>
                <w:sz w:val="21"/>
                <w:highlight w:val="none"/>
                <w:lang w:val="en-US" w:eastAsia="zh-CN"/>
              </w:rPr>
              <w:t>不</w:t>
            </w:r>
            <w:r>
              <w:rPr>
                <w:rFonts w:hint="eastAsia" w:ascii="宋体" w:hAnsi="宋体" w:eastAsia="宋体" w:cs="宋体"/>
                <w:color w:val="auto"/>
                <w:sz w:val="21"/>
                <w:highlight w:val="none"/>
              </w:rPr>
              <w:t>合理</w:t>
            </w:r>
            <w:r>
              <w:rPr>
                <w:rFonts w:hint="eastAsia" w:ascii="宋体" w:hAnsi="宋体" w:eastAsia="宋体" w:cs="宋体"/>
                <w:color w:val="auto"/>
                <w:sz w:val="21"/>
                <w:highlight w:val="none"/>
                <w:lang w:val="en-US" w:eastAsia="zh-CN"/>
              </w:rPr>
              <w:t>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分；</w:t>
            </w:r>
          </w:p>
          <w:p w14:paraId="0B680097">
            <w:pPr>
              <w:autoSpaceDE w:val="0"/>
              <w:autoSpaceDN w:val="0"/>
              <w:spacing w:line="360" w:lineRule="auto"/>
              <w:jc w:val="left"/>
              <w:rPr>
                <w:rFonts w:hint="eastAsia" w:ascii="宋体" w:hAnsi="宋体" w:eastAsia="宋体" w:cs="宋体"/>
                <w:bCs/>
                <w:sz w:val="22"/>
                <w:szCs w:val="22"/>
              </w:rPr>
            </w:pPr>
            <w:r>
              <w:rPr>
                <w:rFonts w:hint="eastAsia" w:ascii="宋体" w:hAnsi="宋体" w:eastAsia="宋体" w:cs="宋体"/>
                <w:color w:val="auto"/>
                <w:sz w:val="21"/>
                <w:highlight w:val="none"/>
              </w:rPr>
              <w:t>未提供内容本项不得分。</w:t>
            </w:r>
          </w:p>
        </w:tc>
      </w:tr>
      <w:tr w14:paraId="1E0D9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48" w:type="dxa"/>
            <w:vMerge w:val="continue"/>
            <w:vAlign w:val="center"/>
          </w:tcPr>
          <w:p w14:paraId="3F0EFBBA">
            <w:pPr>
              <w:widowControl/>
              <w:spacing w:line="360" w:lineRule="auto"/>
              <w:jc w:val="left"/>
              <w:rPr>
                <w:rFonts w:hint="eastAsia" w:ascii="宋体" w:hAnsi="宋体" w:eastAsia="宋体" w:cs="宋体"/>
                <w:color w:val="000000"/>
                <w:szCs w:val="21"/>
              </w:rPr>
            </w:pPr>
          </w:p>
        </w:tc>
        <w:tc>
          <w:tcPr>
            <w:tcW w:w="1164" w:type="dxa"/>
            <w:vAlign w:val="center"/>
          </w:tcPr>
          <w:p w14:paraId="375FCD16">
            <w:pPr>
              <w:spacing w:line="360" w:lineRule="auto"/>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专业人员和劳动力的配置</w:t>
            </w:r>
            <w:r>
              <w:rPr>
                <w:rFonts w:hint="eastAsia" w:ascii="宋体" w:hAnsi="宋体" w:eastAsia="宋体" w:cs="宋体"/>
                <w:szCs w:val="21"/>
              </w:rPr>
              <w:t>（5分）</w:t>
            </w:r>
          </w:p>
        </w:tc>
        <w:tc>
          <w:tcPr>
            <w:tcW w:w="8289" w:type="dxa"/>
            <w:vAlign w:val="center"/>
          </w:tcPr>
          <w:p w14:paraId="1F4FA6BE">
            <w:pPr>
              <w:autoSpaceDE w:val="0"/>
              <w:autoSpaceDN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12、</w:t>
            </w: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val="en-US" w:eastAsia="zh-CN"/>
              </w:rPr>
              <w:t>供应商关于</w:t>
            </w:r>
            <w:r>
              <w:rPr>
                <w:rFonts w:hint="eastAsia" w:ascii="宋体" w:hAnsi="宋体" w:eastAsia="宋体" w:cs="宋体"/>
                <w:color w:val="auto"/>
                <w:sz w:val="21"/>
                <w:highlight w:val="none"/>
              </w:rPr>
              <w:t>各专业工种的配置和劳动力的投入满足工程需要程度</w:t>
            </w:r>
            <w:r>
              <w:rPr>
                <w:rFonts w:hint="eastAsia" w:ascii="宋体" w:hAnsi="宋体" w:eastAsia="宋体" w:cs="宋体"/>
                <w:color w:val="auto"/>
                <w:sz w:val="21"/>
                <w:highlight w:val="none"/>
                <w:lang w:val="en-US" w:eastAsia="zh-CN"/>
              </w:rPr>
              <w:t>的</w:t>
            </w:r>
            <w:r>
              <w:rPr>
                <w:rFonts w:hint="eastAsia" w:ascii="宋体" w:hAnsi="宋体" w:eastAsia="宋体" w:cs="宋体"/>
                <w:color w:val="auto"/>
                <w:sz w:val="21"/>
                <w:highlight w:val="none"/>
              </w:rPr>
              <w:t>配置情况科学、合理性</w:t>
            </w:r>
            <w:r>
              <w:rPr>
                <w:rFonts w:hint="eastAsia" w:ascii="宋体" w:hAnsi="宋体" w:eastAsia="宋体" w:cs="宋体"/>
                <w:color w:val="auto"/>
                <w:sz w:val="21"/>
                <w:highlight w:val="none"/>
                <w:lang w:val="en-US" w:eastAsia="zh-CN"/>
              </w:rPr>
              <w:t>进行综合评议：</w:t>
            </w:r>
          </w:p>
          <w:p w14:paraId="2E378FF4">
            <w:pPr>
              <w:autoSpaceDE w:val="0"/>
              <w:autoSpaceDN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各专业工种的配置</w:t>
            </w:r>
            <w:r>
              <w:rPr>
                <w:rFonts w:hint="eastAsia" w:ascii="宋体" w:hAnsi="宋体" w:eastAsia="宋体" w:cs="宋体"/>
                <w:color w:val="auto"/>
                <w:sz w:val="21"/>
                <w:highlight w:val="none"/>
                <w:lang w:val="en-US" w:eastAsia="zh-CN"/>
              </w:rPr>
              <w:t>充足</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劳动力的投入满足工程需要</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方案</w:t>
            </w:r>
            <w:r>
              <w:rPr>
                <w:rFonts w:hint="eastAsia" w:ascii="宋体" w:hAnsi="宋体" w:eastAsia="宋体" w:cs="宋体"/>
                <w:color w:val="auto"/>
                <w:sz w:val="21"/>
                <w:highlight w:val="none"/>
              </w:rPr>
              <w:t>科学</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合理</w:t>
            </w:r>
            <w:r>
              <w:rPr>
                <w:rFonts w:hint="eastAsia" w:ascii="宋体" w:hAnsi="宋体" w:eastAsia="宋体" w:cs="宋体"/>
                <w:color w:val="auto"/>
                <w:sz w:val="21"/>
                <w:highlight w:val="none"/>
                <w:lang w:val="en-US" w:eastAsia="zh-CN"/>
              </w:rPr>
              <w:t>的，得5分；</w:t>
            </w:r>
          </w:p>
          <w:p w14:paraId="47DD5962">
            <w:pPr>
              <w:autoSpaceDE w:val="0"/>
              <w:autoSpaceDN w:val="0"/>
              <w:spacing w:line="360"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各专业工种的配置</w:t>
            </w:r>
            <w:r>
              <w:rPr>
                <w:rFonts w:hint="eastAsia" w:ascii="宋体" w:hAnsi="宋体" w:eastAsia="宋体" w:cs="宋体"/>
                <w:color w:val="auto"/>
                <w:sz w:val="21"/>
                <w:highlight w:val="none"/>
                <w:lang w:val="en-US" w:eastAsia="zh-CN"/>
              </w:rPr>
              <w:t>较充足、</w:t>
            </w:r>
            <w:r>
              <w:rPr>
                <w:rFonts w:hint="eastAsia" w:ascii="宋体" w:hAnsi="宋体" w:eastAsia="宋体" w:cs="宋体"/>
                <w:color w:val="auto"/>
                <w:sz w:val="21"/>
                <w:highlight w:val="none"/>
              </w:rPr>
              <w:t>劳动力的投入满足工程需要</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方案较</w:t>
            </w:r>
            <w:r>
              <w:rPr>
                <w:rFonts w:hint="eastAsia" w:ascii="宋体" w:hAnsi="宋体" w:eastAsia="宋体" w:cs="宋体"/>
                <w:color w:val="auto"/>
                <w:sz w:val="21"/>
                <w:highlight w:val="none"/>
              </w:rPr>
              <w:t>科学</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合理</w:t>
            </w:r>
            <w:r>
              <w:rPr>
                <w:rFonts w:hint="eastAsia" w:ascii="宋体" w:hAnsi="宋体" w:eastAsia="宋体" w:cs="宋体"/>
                <w:color w:val="auto"/>
                <w:sz w:val="21"/>
                <w:highlight w:val="none"/>
                <w:lang w:val="en-US" w:eastAsia="zh-CN"/>
              </w:rPr>
              <w:t>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rPr>
              <w:t>分；</w:t>
            </w:r>
          </w:p>
          <w:p w14:paraId="15F5745D">
            <w:pPr>
              <w:autoSpaceDE w:val="0"/>
              <w:autoSpaceDN w:val="0"/>
              <w:spacing w:line="360"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各专业工种的配置</w:t>
            </w:r>
            <w:r>
              <w:rPr>
                <w:rFonts w:hint="eastAsia" w:ascii="宋体" w:hAnsi="宋体" w:eastAsia="宋体" w:cs="宋体"/>
                <w:color w:val="auto"/>
                <w:sz w:val="21"/>
                <w:highlight w:val="none"/>
                <w:lang w:val="en-US" w:eastAsia="zh-CN"/>
              </w:rPr>
              <w:t>和</w:t>
            </w:r>
            <w:r>
              <w:rPr>
                <w:rFonts w:hint="eastAsia" w:ascii="宋体" w:hAnsi="宋体" w:eastAsia="宋体" w:cs="宋体"/>
                <w:color w:val="auto"/>
                <w:sz w:val="21"/>
                <w:highlight w:val="none"/>
              </w:rPr>
              <w:t>劳动力的投入</w:t>
            </w:r>
            <w:r>
              <w:rPr>
                <w:rFonts w:hint="eastAsia" w:ascii="宋体" w:hAnsi="宋体" w:eastAsia="宋体" w:cs="宋体"/>
                <w:color w:val="auto"/>
                <w:sz w:val="21"/>
                <w:highlight w:val="none"/>
                <w:lang w:val="en-US" w:eastAsia="zh-CN"/>
              </w:rPr>
              <w:t>可基本满足施工需要，方案</w:t>
            </w:r>
            <w:r>
              <w:rPr>
                <w:rFonts w:hint="eastAsia" w:ascii="宋体" w:hAnsi="宋体" w:eastAsia="宋体" w:cs="宋体"/>
                <w:color w:val="auto"/>
                <w:sz w:val="21"/>
                <w:highlight w:val="none"/>
              </w:rPr>
              <w:t>科学</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合理</w:t>
            </w:r>
            <w:r>
              <w:rPr>
                <w:rFonts w:hint="eastAsia" w:ascii="宋体" w:hAnsi="宋体" w:eastAsia="宋体" w:cs="宋体"/>
                <w:color w:val="auto"/>
                <w:sz w:val="21"/>
                <w:highlight w:val="none"/>
                <w:lang w:val="en-US" w:eastAsia="zh-CN"/>
              </w:rPr>
              <w:t>性一般的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分；</w:t>
            </w:r>
          </w:p>
          <w:p w14:paraId="40D8EC55">
            <w:pPr>
              <w:autoSpaceDE w:val="0"/>
              <w:autoSpaceDN w:val="0"/>
              <w:spacing w:line="360"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各专业工种的配置</w:t>
            </w:r>
            <w:r>
              <w:rPr>
                <w:rFonts w:hint="eastAsia" w:ascii="宋体" w:hAnsi="宋体" w:eastAsia="宋体" w:cs="宋体"/>
                <w:color w:val="auto"/>
                <w:sz w:val="21"/>
                <w:highlight w:val="none"/>
                <w:lang w:val="en-US" w:eastAsia="zh-CN"/>
              </w:rPr>
              <w:t>和</w:t>
            </w:r>
            <w:r>
              <w:rPr>
                <w:rFonts w:hint="eastAsia" w:ascii="宋体" w:hAnsi="宋体" w:eastAsia="宋体" w:cs="宋体"/>
                <w:color w:val="auto"/>
                <w:sz w:val="21"/>
                <w:highlight w:val="none"/>
              </w:rPr>
              <w:t>劳动力的投入</w:t>
            </w:r>
            <w:r>
              <w:rPr>
                <w:rFonts w:hint="eastAsia" w:ascii="宋体" w:hAnsi="宋体" w:eastAsia="宋体" w:cs="宋体"/>
                <w:color w:val="auto"/>
                <w:sz w:val="21"/>
                <w:highlight w:val="none"/>
                <w:lang w:val="en-US" w:eastAsia="zh-CN"/>
              </w:rPr>
              <w:t>存在缺陷或瑕疵的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分；</w:t>
            </w:r>
          </w:p>
          <w:p w14:paraId="3F552FE2">
            <w:pPr>
              <w:autoSpaceDE w:val="0"/>
              <w:autoSpaceDN w:val="0"/>
              <w:spacing w:line="360"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各专业工种的配置</w:t>
            </w:r>
            <w:r>
              <w:rPr>
                <w:rFonts w:hint="eastAsia" w:ascii="宋体" w:hAnsi="宋体" w:eastAsia="宋体" w:cs="宋体"/>
                <w:color w:val="auto"/>
                <w:sz w:val="21"/>
                <w:highlight w:val="none"/>
                <w:lang w:val="en-US" w:eastAsia="zh-CN"/>
              </w:rPr>
              <w:t>和</w:t>
            </w:r>
            <w:r>
              <w:rPr>
                <w:rFonts w:hint="eastAsia" w:ascii="宋体" w:hAnsi="宋体" w:eastAsia="宋体" w:cs="宋体"/>
                <w:color w:val="auto"/>
                <w:sz w:val="21"/>
                <w:highlight w:val="none"/>
              </w:rPr>
              <w:t>劳动力的投入</w:t>
            </w:r>
            <w:r>
              <w:rPr>
                <w:rFonts w:hint="eastAsia" w:ascii="宋体" w:hAnsi="宋体" w:eastAsia="宋体" w:cs="宋体"/>
                <w:color w:val="auto"/>
                <w:sz w:val="21"/>
                <w:highlight w:val="none"/>
                <w:lang w:val="en-US" w:eastAsia="zh-CN"/>
              </w:rPr>
              <w:t>可能无法满足施工需要的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分；</w:t>
            </w:r>
          </w:p>
          <w:p w14:paraId="3103CCDB">
            <w:pPr>
              <w:autoSpaceDE w:val="0"/>
              <w:autoSpaceDN w:val="0"/>
              <w:spacing w:line="360"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未提供内容本项不得分。</w:t>
            </w:r>
          </w:p>
        </w:tc>
      </w:tr>
      <w:tr w14:paraId="3D164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748" w:type="dxa"/>
            <w:vMerge w:val="continue"/>
            <w:vAlign w:val="center"/>
          </w:tcPr>
          <w:p w14:paraId="34268457">
            <w:pPr>
              <w:widowControl/>
              <w:spacing w:line="360" w:lineRule="auto"/>
              <w:jc w:val="left"/>
              <w:rPr>
                <w:rFonts w:hint="eastAsia" w:ascii="宋体" w:hAnsi="宋体" w:eastAsia="宋体" w:cs="宋体"/>
                <w:color w:val="000000"/>
                <w:szCs w:val="21"/>
              </w:rPr>
            </w:pPr>
          </w:p>
        </w:tc>
        <w:tc>
          <w:tcPr>
            <w:tcW w:w="1164" w:type="dxa"/>
            <w:vAlign w:val="center"/>
          </w:tcPr>
          <w:p w14:paraId="40D31691">
            <w:pPr>
              <w:spacing w:line="360" w:lineRule="auto"/>
              <w:rPr>
                <w:rFonts w:hint="eastAsia" w:ascii="宋体" w:hAnsi="宋体" w:eastAsia="宋体" w:cs="宋体"/>
                <w:bCs/>
                <w:sz w:val="22"/>
                <w:szCs w:val="22"/>
              </w:rPr>
            </w:pPr>
            <w:r>
              <w:rPr>
                <w:rFonts w:hint="eastAsia" w:ascii="宋体" w:hAnsi="宋体" w:eastAsia="宋体" w:cs="宋体"/>
                <w:szCs w:val="21"/>
              </w:rPr>
              <w:t>竣工资料整理方案（5分）</w:t>
            </w:r>
          </w:p>
        </w:tc>
        <w:tc>
          <w:tcPr>
            <w:tcW w:w="8289" w:type="dxa"/>
            <w:vAlign w:val="center"/>
          </w:tcPr>
          <w:p w14:paraId="1B3E7163">
            <w:pPr>
              <w:spacing w:line="360" w:lineRule="auto"/>
              <w:rPr>
                <w:rFonts w:hint="eastAsia" w:ascii="宋体" w:hAnsi="宋体" w:eastAsia="宋体" w:cs="宋体"/>
                <w:szCs w:val="21"/>
              </w:rPr>
            </w:pPr>
            <w:r>
              <w:rPr>
                <w:rFonts w:hint="eastAsia" w:ascii="宋体" w:hAnsi="宋体" w:eastAsia="宋体" w:cs="宋体"/>
                <w:szCs w:val="21"/>
                <w:lang w:val="en-US" w:eastAsia="zh-CN"/>
              </w:rPr>
              <w:t>13、</w:t>
            </w:r>
            <w:r>
              <w:rPr>
                <w:rFonts w:hint="eastAsia" w:ascii="宋体" w:hAnsi="宋体" w:eastAsia="宋体" w:cs="宋体"/>
                <w:szCs w:val="21"/>
              </w:rPr>
              <w:t>根据</w:t>
            </w:r>
            <w:r>
              <w:rPr>
                <w:rFonts w:hint="eastAsia" w:ascii="宋体" w:hAnsi="宋体" w:eastAsia="宋体" w:cs="宋体"/>
                <w:szCs w:val="21"/>
                <w:lang w:eastAsia="zh-CN"/>
              </w:rPr>
              <w:t>供应商</w:t>
            </w:r>
            <w:r>
              <w:rPr>
                <w:rFonts w:hint="eastAsia" w:ascii="宋体" w:hAnsi="宋体" w:eastAsia="宋体" w:cs="宋体"/>
                <w:szCs w:val="21"/>
              </w:rPr>
              <w:t>针对本项目拟定的竣工资料整理方案完善性、合理性等情况</w:t>
            </w:r>
            <w:r>
              <w:rPr>
                <w:rFonts w:hint="eastAsia" w:ascii="宋体" w:hAnsi="宋体" w:eastAsia="宋体" w:cs="宋体"/>
                <w:kern w:val="0"/>
                <w:szCs w:val="21"/>
              </w:rPr>
              <w:t>，</w:t>
            </w:r>
            <w:r>
              <w:rPr>
                <w:rFonts w:hint="eastAsia" w:ascii="宋体" w:hAnsi="宋体" w:eastAsia="宋体" w:cs="宋体"/>
                <w:szCs w:val="21"/>
              </w:rPr>
              <w:t>进行综合评议，</w:t>
            </w:r>
          </w:p>
          <w:p w14:paraId="0CA51E8B">
            <w:pPr>
              <w:spacing w:line="360" w:lineRule="auto"/>
              <w:rPr>
                <w:rFonts w:hint="eastAsia" w:ascii="宋体" w:hAnsi="宋体" w:eastAsia="宋体" w:cs="宋体"/>
                <w:szCs w:val="21"/>
              </w:rPr>
            </w:pPr>
            <w:r>
              <w:rPr>
                <w:rFonts w:hint="eastAsia" w:ascii="宋体" w:hAnsi="宋体" w:eastAsia="宋体" w:cs="宋体"/>
                <w:szCs w:val="21"/>
              </w:rPr>
              <w:t>①竣工资料整理方案详实、内容完整，便于留档和结算，可执行力度高，得5分；</w:t>
            </w:r>
          </w:p>
          <w:p w14:paraId="08B6D343">
            <w:pPr>
              <w:spacing w:line="360" w:lineRule="auto"/>
              <w:rPr>
                <w:rFonts w:hint="eastAsia" w:ascii="宋体" w:hAnsi="宋体" w:eastAsia="宋体" w:cs="宋体"/>
                <w:szCs w:val="21"/>
              </w:rPr>
            </w:pPr>
            <w:r>
              <w:rPr>
                <w:rFonts w:hint="eastAsia" w:ascii="宋体" w:hAnsi="宋体" w:eastAsia="宋体" w:cs="宋体"/>
                <w:szCs w:val="21"/>
              </w:rPr>
              <w:t>②竣工资料整理方案较详细、内容充分，能较好的完成留档和结算，可执行力度较高，得4分；</w:t>
            </w:r>
          </w:p>
          <w:p w14:paraId="73E5780C">
            <w:pPr>
              <w:spacing w:line="360" w:lineRule="auto"/>
              <w:rPr>
                <w:rFonts w:hint="eastAsia" w:ascii="宋体" w:hAnsi="宋体" w:eastAsia="宋体" w:cs="宋体"/>
                <w:szCs w:val="21"/>
              </w:rPr>
            </w:pPr>
            <w:r>
              <w:rPr>
                <w:rFonts w:hint="eastAsia" w:ascii="宋体" w:hAnsi="宋体" w:eastAsia="宋体" w:cs="宋体"/>
                <w:szCs w:val="21"/>
              </w:rPr>
              <w:t>③竣工资料整理方案较详细、内容较多，在留档和结算过程中不会造成返工，可执行力较低，得3分；</w:t>
            </w:r>
          </w:p>
          <w:p w14:paraId="47AC91B1">
            <w:pPr>
              <w:spacing w:line="360" w:lineRule="auto"/>
              <w:rPr>
                <w:rFonts w:hint="eastAsia" w:ascii="宋体" w:hAnsi="宋体" w:eastAsia="宋体" w:cs="宋体"/>
                <w:szCs w:val="21"/>
              </w:rPr>
            </w:pPr>
            <w:r>
              <w:rPr>
                <w:rFonts w:hint="eastAsia" w:ascii="宋体" w:hAnsi="宋体" w:eastAsia="宋体" w:cs="宋体"/>
                <w:szCs w:val="21"/>
              </w:rPr>
              <w:t>④竣工资料整理方案较简单、内容较少，会在留档和结算过程中造成返工，可执行力低，得2分；</w:t>
            </w:r>
          </w:p>
          <w:p w14:paraId="0845E124">
            <w:pPr>
              <w:spacing w:line="360" w:lineRule="auto"/>
              <w:rPr>
                <w:rFonts w:hint="eastAsia" w:ascii="宋体" w:hAnsi="宋体" w:eastAsia="宋体" w:cs="宋体"/>
                <w:bCs/>
                <w:sz w:val="22"/>
                <w:szCs w:val="22"/>
              </w:rPr>
            </w:pPr>
            <w:r>
              <w:rPr>
                <w:rFonts w:hint="eastAsia" w:ascii="宋体" w:hAnsi="宋体" w:eastAsia="宋体" w:cs="宋体"/>
                <w:szCs w:val="21"/>
              </w:rPr>
              <w:t>⑤竣工资料整理方案简单、内容少，无法用于留档和结算，基本无可执行力，得1分；注：无相关内容的不得分。</w:t>
            </w:r>
          </w:p>
        </w:tc>
      </w:tr>
      <w:tr w14:paraId="154F1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8" w:type="dxa"/>
            <w:vAlign w:val="center"/>
          </w:tcPr>
          <w:p w14:paraId="0A5C3B1D">
            <w:pPr>
              <w:widowControl/>
              <w:spacing w:line="360" w:lineRule="auto"/>
              <w:jc w:val="left"/>
              <w:rPr>
                <w:rFonts w:hint="eastAsia" w:ascii="宋体" w:hAnsi="宋体" w:eastAsia="宋体" w:cs="宋体"/>
                <w:color w:val="000000"/>
                <w:szCs w:val="21"/>
              </w:rPr>
            </w:pPr>
          </w:p>
        </w:tc>
        <w:tc>
          <w:tcPr>
            <w:tcW w:w="1164" w:type="dxa"/>
            <w:vAlign w:val="center"/>
          </w:tcPr>
          <w:p w14:paraId="6DA2E25D">
            <w:pPr>
              <w:spacing w:line="360" w:lineRule="auto"/>
              <w:rPr>
                <w:rFonts w:hint="eastAsia" w:ascii="宋体" w:hAnsi="宋体" w:eastAsia="宋体" w:cs="宋体"/>
                <w:color w:val="auto"/>
                <w:sz w:val="21"/>
                <w:highlight w:val="none"/>
              </w:rPr>
            </w:pPr>
            <w:r>
              <w:rPr>
                <w:rFonts w:hint="eastAsia" w:ascii="宋体" w:hAnsi="宋体" w:eastAsia="宋体" w:cs="宋体"/>
                <w:color w:val="000000"/>
                <w:szCs w:val="21"/>
              </w:rPr>
              <w:t>售后服务方案（</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分）</w:t>
            </w:r>
          </w:p>
        </w:tc>
        <w:tc>
          <w:tcPr>
            <w:tcW w:w="8289" w:type="dxa"/>
            <w:vAlign w:val="center"/>
          </w:tcPr>
          <w:p w14:paraId="6E0599A6">
            <w:pPr>
              <w:autoSpaceDE w:val="0"/>
              <w:autoSpaceDN w:val="0"/>
              <w:spacing w:line="360" w:lineRule="auto"/>
              <w:jc w:val="left"/>
              <w:rPr>
                <w:rFonts w:hint="eastAsia" w:ascii="宋体" w:hAnsi="宋体" w:eastAsia="宋体" w:cs="宋体"/>
                <w:szCs w:val="21"/>
              </w:rPr>
            </w:pPr>
            <w:r>
              <w:rPr>
                <w:rFonts w:hint="eastAsia" w:ascii="宋体" w:hAnsi="宋体" w:eastAsia="宋体" w:cs="宋体"/>
                <w:szCs w:val="21"/>
                <w:lang w:val="en-US" w:eastAsia="zh-CN"/>
              </w:rPr>
              <w:t>14、</w:t>
            </w:r>
            <w:r>
              <w:rPr>
                <w:rFonts w:hint="eastAsia" w:ascii="宋体" w:hAnsi="宋体" w:eastAsia="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61173FEB">
            <w:pPr>
              <w:autoSpaceDE w:val="0"/>
              <w:autoSpaceDN w:val="0"/>
              <w:spacing w:line="360" w:lineRule="auto"/>
              <w:jc w:val="left"/>
              <w:rPr>
                <w:rFonts w:hint="eastAsia" w:ascii="宋体" w:hAnsi="宋体" w:eastAsia="宋体" w:cs="宋体"/>
                <w:szCs w:val="21"/>
              </w:rPr>
            </w:pPr>
            <w:r>
              <w:rPr>
                <w:rFonts w:hint="eastAsia" w:ascii="宋体" w:hAnsi="宋体" w:eastAsia="宋体" w:cs="宋体"/>
                <w:szCs w:val="21"/>
              </w:rPr>
              <w:t>①响应时间迅速、处理方案完全满足采购需求的</w:t>
            </w:r>
            <w:r>
              <w:rPr>
                <w:rFonts w:hint="eastAsia" w:ascii="宋体" w:hAnsi="宋体" w:eastAsia="宋体" w:cs="宋体"/>
                <w:szCs w:val="21"/>
                <w:lang w:val="en-US" w:eastAsia="zh-CN"/>
              </w:rPr>
              <w:t>5</w:t>
            </w:r>
            <w:r>
              <w:rPr>
                <w:rFonts w:hint="eastAsia" w:ascii="宋体" w:hAnsi="宋体" w:eastAsia="宋体" w:cs="宋体"/>
                <w:szCs w:val="21"/>
              </w:rPr>
              <w:t>分；</w:t>
            </w:r>
          </w:p>
          <w:p w14:paraId="3D8A0FCE">
            <w:pPr>
              <w:autoSpaceDE w:val="0"/>
              <w:autoSpaceDN w:val="0"/>
              <w:spacing w:line="360" w:lineRule="auto"/>
              <w:jc w:val="left"/>
              <w:rPr>
                <w:rFonts w:hint="eastAsia" w:ascii="宋体" w:hAnsi="宋体" w:eastAsia="宋体" w:cs="宋体"/>
                <w:szCs w:val="21"/>
              </w:rPr>
            </w:pPr>
            <w:r>
              <w:rPr>
                <w:rFonts w:hint="eastAsia" w:ascii="宋体" w:hAnsi="宋体" w:eastAsia="宋体" w:cs="宋体"/>
                <w:szCs w:val="21"/>
              </w:rPr>
              <w:t>②响应时间及时、处理方案基本满足采购需求的得</w:t>
            </w:r>
            <w:r>
              <w:rPr>
                <w:rFonts w:hint="eastAsia" w:ascii="宋体" w:hAnsi="宋体" w:eastAsia="宋体" w:cs="宋体"/>
                <w:szCs w:val="21"/>
                <w:lang w:val="en-US" w:eastAsia="zh-CN"/>
              </w:rPr>
              <w:t>4</w:t>
            </w:r>
            <w:r>
              <w:rPr>
                <w:rFonts w:hint="eastAsia" w:ascii="宋体" w:hAnsi="宋体" w:eastAsia="宋体" w:cs="宋体"/>
                <w:szCs w:val="21"/>
              </w:rPr>
              <w:t>分；</w:t>
            </w:r>
          </w:p>
          <w:p w14:paraId="6551186E">
            <w:pPr>
              <w:autoSpaceDE w:val="0"/>
              <w:autoSpaceDN w:val="0"/>
              <w:spacing w:line="360" w:lineRule="auto"/>
              <w:jc w:val="left"/>
              <w:rPr>
                <w:rFonts w:hint="eastAsia" w:ascii="宋体" w:hAnsi="宋体" w:eastAsia="宋体" w:cs="宋体"/>
                <w:szCs w:val="21"/>
              </w:rPr>
            </w:pPr>
            <w:r>
              <w:rPr>
                <w:rFonts w:hint="eastAsia" w:ascii="宋体" w:hAnsi="宋体" w:eastAsia="宋体" w:cs="宋体"/>
                <w:szCs w:val="21"/>
              </w:rPr>
              <w:t>③响应时间</w:t>
            </w:r>
            <w:r>
              <w:rPr>
                <w:rFonts w:hint="eastAsia" w:ascii="宋体" w:hAnsi="宋体" w:eastAsia="宋体" w:cs="宋体"/>
                <w:szCs w:val="21"/>
                <w:lang w:val="en-US" w:eastAsia="zh-CN"/>
              </w:rPr>
              <w:t>较慢</w:t>
            </w:r>
            <w:r>
              <w:rPr>
                <w:rFonts w:hint="eastAsia" w:ascii="宋体" w:hAnsi="宋体" w:eastAsia="宋体" w:cs="宋体"/>
                <w:szCs w:val="21"/>
              </w:rPr>
              <w:t>、处理方案</w:t>
            </w:r>
            <w:r>
              <w:rPr>
                <w:rFonts w:hint="eastAsia" w:ascii="宋体" w:hAnsi="宋体" w:eastAsia="宋体" w:cs="宋体"/>
                <w:szCs w:val="21"/>
                <w:lang w:val="en-US" w:eastAsia="zh-CN"/>
              </w:rPr>
              <w:t>较</w:t>
            </w:r>
            <w:r>
              <w:rPr>
                <w:rFonts w:hint="eastAsia" w:ascii="宋体" w:hAnsi="宋体" w:eastAsia="宋体" w:cs="宋体"/>
                <w:szCs w:val="21"/>
              </w:rPr>
              <w:t>满足采购需求的得</w:t>
            </w:r>
            <w:r>
              <w:rPr>
                <w:rFonts w:hint="eastAsia" w:ascii="宋体" w:hAnsi="宋体" w:eastAsia="宋体" w:cs="宋体"/>
                <w:szCs w:val="21"/>
                <w:lang w:val="en-US" w:eastAsia="zh-CN"/>
              </w:rPr>
              <w:t>3</w:t>
            </w:r>
            <w:r>
              <w:rPr>
                <w:rFonts w:hint="eastAsia" w:ascii="宋体" w:hAnsi="宋体" w:eastAsia="宋体" w:cs="宋体"/>
                <w:szCs w:val="21"/>
              </w:rPr>
              <w:t>分；</w:t>
            </w:r>
          </w:p>
          <w:p w14:paraId="1D2A4BA1">
            <w:pPr>
              <w:autoSpaceDE w:val="0"/>
              <w:autoSpaceDN w:val="0"/>
              <w:spacing w:line="360" w:lineRule="auto"/>
              <w:jc w:val="left"/>
              <w:rPr>
                <w:rFonts w:hint="eastAsia" w:ascii="宋体" w:hAnsi="宋体" w:eastAsia="宋体" w:cs="宋体"/>
              </w:rPr>
            </w:pPr>
            <w:r>
              <w:rPr>
                <w:rFonts w:hint="eastAsia" w:ascii="宋体" w:hAnsi="宋体" w:eastAsia="宋体" w:cs="宋体"/>
                <w:szCs w:val="21"/>
              </w:rPr>
              <w:t>④响应时间</w:t>
            </w:r>
            <w:r>
              <w:rPr>
                <w:rFonts w:hint="eastAsia" w:ascii="宋体" w:hAnsi="宋体" w:eastAsia="宋体" w:cs="宋体"/>
                <w:szCs w:val="21"/>
                <w:lang w:val="en-US" w:eastAsia="zh-CN"/>
              </w:rPr>
              <w:t>较慢</w:t>
            </w:r>
            <w:r>
              <w:rPr>
                <w:rFonts w:hint="eastAsia" w:ascii="宋体" w:hAnsi="宋体" w:eastAsia="宋体" w:cs="宋体"/>
                <w:szCs w:val="21"/>
              </w:rPr>
              <w:t>、处理方案</w:t>
            </w:r>
            <w:r>
              <w:rPr>
                <w:rFonts w:hint="eastAsia" w:ascii="宋体" w:hAnsi="宋体" w:eastAsia="宋体" w:cs="宋体"/>
                <w:szCs w:val="21"/>
                <w:lang w:val="en-US" w:eastAsia="zh-CN"/>
              </w:rPr>
              <w:t>较一般</w:t>
            </w:r>
            <w:r>
              <w:rPr>
                <w:rFonts w:hint="eastAsia" w:ascii="宋体" w:hAnsi="宋体" w:eastAsia="宋体" w:cs="宋体"/>
                <w:szCs w:val="21"/>
              </w:rPr>
              <w:t>的得</w:t>
            </w:r>
            <w:r>
              <w:rPr>
                <w:rFonts w:hint="eastAsia" w:ascii="宋体" w:hAnsi="宋体" w:eastAsia="宋体" w:cs="宋体"/>
                <w:szCs w:val="21"/>
                <w:lang w:val="en-US" w:eastAsia="zh-CN"/>
              </w:rPr>
              <w:t>3</w:t>
            </w:r>
            <w:r>
              <w:rPr>
                <w:rFonts w:hint="eastAsia" w:ascii="宋体" w:hAnsi="宋体" w:eastAsia="宋体" w:cs="宋体"/>
                <w:szCs w:val="21"/>
              </w:rPr>
              <w:t>分；</w:t>
            </w:r>
          </w:p>
          <w:p w14:paraId="7D2B8A43">
            <w:pPr>
              <w:autoSpaceDE w:val="0"/>
              <w:autoSpaceDN w:val="0"/>
              <w:spacing w:line="360" w:lineRule="auto"/>
              <w:jc w:val="left"/>
              <w:rPr>
                <w:rFonts w:hint="eastAsia" w:ascii="宋体" w:hAnsi="宋体" w:eastAsia="宋体" w:cs="宋体"/>
                <w:szCs w:val="21"/>
              </w:rPr>
            </w:pPr>
            <w:r>
              <w:rPr>
                <w:rFonts w:hint="eastAsia" w:ascii="宋体" w:hAnsi="宋体" w:eastAsia="宋体" w:cs="宋体"/>
                <w:color w:val="000000"/>
                <w:szCs w:val="21"/>
              </w:rPr>
              <w:t>⑤</w:t>
            </w:r>
            <w:r>
              <w:rPr>
                <w:rFonts w:hint="eastAsia" w:ascii="宋体" w:hAnsi="宋体" w:eastAsia="宋体" w:cs="宋体"/>
                <w:szCs w:val="21"/>
              </w:rPr>
              <w:t>响应时间不及时、处理方案难以满足采购需求的得</w:t>
            </w:r>
            <w:r>
              <w:rPr>
                <w:rFonts w:hint="eastAsia" w:ascii="宋体" w:hAnsi="宋体" w:eastAsia="宋体" w:cs="宋体"/>
                <w:szCs w:val="21"/>
                <w:lang w:val="en-US" w:eastAsia="zh-CN"/>
              </w:rPr>
              <w:t>1</w:t>
            </w:r>
            <w:r>
              <w:rPr>
                <w:rFonts w:hint="eastAsia" w:ascii="宋体" w:hAnsi="宋体" w:eastAsia="宋体" w:cs="宋体"/>
                <w:szCs w:val="21"/>
              </w:rPr>
              <w:t>分；</w:t>
            </w:r>
          </w:p>
          <w:p w14:paraId="78E2EE0F">
            <w:pPr>
              <w:tabs>
                <w:tab w:val="left" w:pos="4915"/>
              </w:tabs>
              <w:spacing w:line="360" w:lineRule="auto"/>
              <w:rPr>
                <w:rFonts w:hint="eastAsia" w:ascii="宋体" w:hAnsi="宋体" w:eastAsia="宋体" w:cs="宋体"/>
                <w:color w:val="auto"/>
                <w:sz w:val="21"/>
                <w:highlight w:val="none"/>
              </w:rPr>
            </w:pPr>
            <w:r>
              <w:rPr>
                <w:rFonts w:hint="eastAsia" w:ascii="宋体" w:hAnsi="宋体" w:eastAsia="宋体" w:cs="宋体"/>
                <w:szCs w:val="21"/>
              </w:rPr>
              <w:t>未提供内容本项不得分。</w:t>
            </w:r>
          </w:p>
        </w:tc>
      </w:tr>
      <w:tr w14:paraId="4B2D4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8" w:type="dxa"/>
            <w:vAlign w:val="center"/>
          </w:tcPr>
          <w:p w14:paraId="0A1CF762">
            <w:pPr>
              <w:widowControl/>
              <w:spacing w:line="360" w:lineRule="auto"/>
              <w:jc w:val="left"/>
              <w:rPr>
                <w:rFonts w:hint="eastAsia" w:ascii="宋体" w:hAnsi="宋体" w:eastAsia="宋体" w:cs="宋体"/>
                <w:color w:val="000000"/>
                <w:szCs w:val="21"/>
              </w:rPr>
            </w:pPr>
          </w:p>
        </w:tc>
        <w:tc>
          <w:tcPr>
            <w:tcW w:w="1164" w:type="dxa"/>
            <w:vAlign w:val="center"/>
          </w:tcPr>
          <w:p w14:paraId="77464F3C">
            <w:pPr>
              <w:spacing w:line="360" w:lineRule="auto"/>
              <w:rPr>
                <w:rFonts w:hint="eastAsia" w:ascii="宋体" w:hAnsi="宋体" w:eastAsia="宋体" w:cs="宋体"/>
                <w:color w:val="000000"/>
                <w:szCs w:val="21"/>
                <w:lang w:val="en-US" w:eastAsia="zh-CN"/>
              </w:rPr>
            </w:pPr>
            <w:r>
              <w:rPr>
                <w:rFonts w:hint="eastAsia" w:ascii="宋体" w:hAnsi="宋体" w:eastAsia="宋体" w:cs="宋体"/>
                <w:szCs w:val="21"/>
              </w:rPr>
              <w:t>合理化建议</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w:t>
            </w:r>
          </w:p>
        </w:tc>
        <w:tc>
          <w:tcPr>
            <w:tcW w:w="8289" w:type="dxa"/>
            <w:vAlign w:val="center"/>
          </w:tcPr>
          <w:p w14:paraId="78F52EC7">
            <w:pPr>
              <w:autoSpaceDE w:val="0"/>
              <w:autoSpaceDN w:val="0"/>
              <w:spacing w:line="360" w:lineRule="auto"/>
              <w:jc w:val="left"/>
              <w:rPr>
                <w:rFonts w:hint="eastAsia" w:ascii="宋体" w:hAnsi="宋体" w:eastAsia="宋体" w:cs="宋体"/>
                <w:color w:val="auto"/>
                <w:sz w:val="21"/>
                <w:highlight w:val="none"/>
              </w:rPr>
            </w:pPr>
            <w:r>
              <w:rPr>
                <w:rFonts w:hint="eastAsia" w:ascii="宋体" w:hAnsi="宋体" w:eastAsia="宋体" w:cs="宋体"/>
                <w:szCs w:val="21"/>
                <w:lang w:val="en-US" w:eastAsia="zh-CN"/>
              </w:rPr>
              <w:t>15、</w:t>
            </w:r>
            <w:r>
              <w:rPr>
                <w:rFonts w:hint="eastAsia" w:ascii="宋体" w:hAnsi="宋体" w:eastAsia="宋体" w:cs="宋体"/>
                <w:szCs w:val="21"/>
              </w:rPr>
              <w:t>供应商对本项目</w:t>
            </w:r>
            <w:r>
              <w:rPr>
                <w:rFonts w:hint="eastAsia" w:ascii="宋体" w:hAnsi="宋体" w:eastAsia="宋体" w:cs="宋体"/>
                <w:szCs w:val="21"/>
                <w:lang w:val="en-US" w:eastAsia="zh-CN"/>
              </w:rPr>
              <w:t>提供的</w:t>
            </w:r>
            <w:r>
              <w:rPr>
                <w:rFonts w:hint="eastAsia" w:ascii="宋体" w:hAnsi="宋体" w:eastAsia="宋体" w:cs="宋体"/>
                <w:szCs w:val="21"/>
              </w:rPr>
              <w:t>合理化建议或优化方案</w:t>
            </w:r>
            <w:r>
              <w:rPr>
                <w:rFonts w:hint="eastAsia" w:ascii="宋体" w:hAnsi="宋体" w:eastAsia="宋体" w:cs="宋体"/>
                <w:szCs w:val="21"/>
                <w:lang w:val="en-US" w:eastAsia="zh-CN"/>
              </w:rPr>
              <w:t>完全</w:t>
            </w:r>
            <w:r>
              <w:rPr>
                <w:rFonts w:hint="eastAsia" w:ascii="宋体" w:hAnsi="宋体" w:eastAsia="宋体" w:cs="宋体"/>
                <w:color w:val="auto"/>
                <w:sz w:val="21"/>
                <w:highlight w:val="none"/>
                <w:lang w:val="en-US" w:eastAsia="zh-CN"/>
              </w:rPr>
              <w:t>满足采购人需求的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分；</w:t>
            </w:r>
          </w:p>
          <w:p w14:paraId="671A420A">
            <w:pPr>
              <w:autoSpaceDE w:val="0"/>
              <w:autoSpaceDN w:val="0"/>
              <w:spacing w:line="360" w:lineRule="auto"/>
              <w:jc w:val="left"/>
              <w:rPr>
                <w:rFonts w:hint="eastAsia" w:ascii="宋体" w:hAnsi="宋体" w:eastAsia="宋体" w:cs="宋体"/>
                <w:color w:val="auto"/>
                <w:sz w:val="21"/>
                <w:highlight w:val="none"/>
              </w:rPr>
            </w:pPr>
            <w:r>
              <w:rPr>
                <w:rFonts w:hint="eastAsia" w:ascii="宋体" w:hAnsi="宋体" w:eastAsia="宋体" w:cs="宋体"/>
                <w:szCs w:val="21"/>
              </w:rPr>
              <w:t>供应商对本项目</w:t>
            </w:r>
            <w:r>
              <w:rPr>
                <w:rFonts w:hint="eastAsia" w:ascii="宋体" w:hAnsi="宋体" w:eastAsia="宋体" w:cs="宋体"/>
                <w:szCs w:val="21"/>
                <w:lang w:val="en-US" w:eastAsia="zh-CN"/>
              </w:rPr>
              <w:t>提供的</w:t>
            </w:r>
            <w:r>
              <w:rPr>
                <w:rFonts w:hint="eastAsia" w:ascii="宋体" w:hAnsi="宋体" w:eastAsia="宋体" w:cs="宋体"/>
                <w:szCs w:val="21"/>
              </w:rPr>
              <w:t>合理化建议或优化方案</w:t>
            </w:r>
            <w:r>
              <w:rPr>
                <w:rFonts w:hint="eastAsia" w:ascii="宋体" w:hAnsi="宋体" w:eastAsia="宋体" w:cs="宋体"/>
                <w:szCs w:val="21"/>
                <w:lang w:val="en-US" w:eastAsia="zh-CN"/>
              </w:rPr>
              <w:t>一般</w:t>
            </w:r>
            <w:r>
              <w:rPr>
                <w:rFonts w:hint="eastAsia" w:ascii="宋体" w:hAnsi="宋体" w:eastAsia="宋体" w:cs="宋体"/>
                <w:color w:val="auto"/>
                <w:sz w:val="21"/>
                <w:highlight w:val="none"/>
                <w:lang w:val="en-US" w:eastAsia="zh-CN"/>
              </w:rPr>
              <w:t>的</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得</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分；</w:t>
            </w:r>
          </w:p>
          <w:p w14:paraId="0CA6134B">
            <w:pPr>
              <w:tabs>
                <w:tab w:val="left" w:pos="4915"/>
              </w:tabs>
              <w:spacing w:line="360" w:lineRule="auto"/>
              <w:rPr>
                <w:rFonts w:hint="eastAsia" w:ascii="宋体" w:hAnsi="宋体" w:eastAsia="宋体" w:cs="宋体"/>
                <w:szCs w:val="21"/>
              </w:rPr>
            </w:pPr>
            <w:r>
              <w:rPr>
                <w:rFonts w:hint="eastAsia" w:ascii="宋体" w:hAnsi="宋体" w:eastAsia="宋体" w:cs="宋体"/>
                <w:color w:val="auto"/>
                <w:sz w:val="21"/>
                <w:highlight w:val="none"/>
              </w:rPr>
              <w:t>未提供内容本项不得分。</w:t>
            </w:r>
          </w:p>
        </w:tc>
      </w:tr>
      <w:tr w14:paraId="398B0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48" w:type="dxa"/>
            <w:vAlign w:val="center"/>
          </w:tcPr>
          <w:p w14:paraId="2A1B8475">
            <w:pPr>
              <w:widowControl/>
              <w:spacing w:line="360" w:lineRule="auto"/>
              <w:jc w:val="left"/>
              <w:rPr>
                <w:rFonts w:hint="eastAsia" w:ascii="宋体" w:hAnsi="宋体" w:eastAsia="宋体" w:cs="宋体"/>
                <w:color w:val="000000"/>
                <w:szCs w:val="21"/>
              </w:rPr>
            </w:pPr>
          </w:p>
        </w:tc>
        <w:tc>
          <w:tcPr>
            <w:tcW w:w="1164" w:type="dxa"/>
            <w:vAlign w:val="center"/>
          </w:tcPr>
          <w:p w14:paraId="413D642A">
            <w:pPr>
              <w:spacing w:line="360" w:lineRule="auto"/>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业绩</w:t>
            </w:r>
            <w:r>
              <w:rPr>
                <w:rFonts w:hint="eastAsia" w:ascii="宋体" w:hAnsi="宋体" w:eastAsia="宋体" w:cs="宋体"/>
                <w:bCs/>
                <w:kern w:val="0"/>
                <w:szCs w:val="21"/>
              </w:rPr>
              <w:t>（</w:t>
            </w:r>
            <w:r>
              <w:rPr>
                <w:rFonts w:hint="eastAsia" w:ascii="宋体" w:hAnsi="宋体" w:eastAsia="宋体" w:cs="宋体"/>
                <w:bCs/>
                <w:kern w:val="0"/>
                <w:szCs w:val="21"/>
                <w:lang w:val="en-US" w:eastAsia="zh-CN"/>
              </w:rPr>
              <w:t>1</w:t>
            </w:r>
            <w:r>
              <w:rPr>
                <w:rFonts w:hint="eastAsia" w:ascii="宋体" w:hAnsi="宋体" w:eastAsia="宋体" w:cs="宋体"/>
                <w:bCs/>
                <w:kern w:val="0"/>
                <w:szCs w:val="21"/>
              </w:rPr>
              <w:t>分）</w:t>
            </w:r>
          </w:p>
        </w:tc>
        <w:tc>
          <w:tcPr>
            <w:tcW w:w="8289" w:type="dxa"/>
            <w:vAlign w:val="center"/>
          </w:tcPr>
          <w:p w14:paraId="1073DE14">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16、自2022年1月1日至投标截止日止（时间以合同签订时间为准）），投标人完成类似房建项目的。每具有1个业绩得0.5分，最高得1分。</w:t>
            </w:r>
          </w:p>
          <w:p w14:paraId="0BE2899E">
            <w:pPr>
              <w:spacing w:line="360" w:lineRule="auto"/>
              <w:rPr>
                <w:rFonts w:hint="eastAsia" w:ascii="宋体" w:hAnsi="宋体" w:eastAsia="宋体" w:cs="宋体"/>
                <w:sz w:val="24"/>
              </w:rPr>
            </w:pPr>
            <w:r>
              <w:rPr>
                <w:rFonts w:hint="eastAsia" w:ascii="宋体" w:hAnsi="宋体" w:eastAsia="宋体" w:cs="宋体"/>
                <w:szCs w:val="21"/>
                <w:lang w:val="en-US" w:eastAsia="zh-CN"/>
              </w:rPr>
              <w:t>提供①施工合同 ②中标通知书。注：两项资料必须同时具备。复印件加盖公章编入投标文件</w:t>
            </w:r>
          </w:p>
        </w:tc>
      </w:tr>
      <w:tr w14:paraId="1CD6E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4DF17BDE">
            <w:pPr>
              <w:widowControl/>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价格部分30分</w:t>
            </w:r>
          </w:p>
        </w:tc>
        <w:tc>
          <w:tcPr>
            <w:tcW w:w="1164" w:type="dxa"/>
            <w:vAlign w:val="center"/>
          </w:tcPr>
          <w:p w14:paraId="239D659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投标报价（30分）</w:t>
            </w:r>
          </w:p>
        </w:tc>
        <w:tc>
          <w:tcPr>
            <w:tcW w:w="8289" w:type="dxa"/>
            <w:vAlign w:val="center"/>
          </w:tcPr>
          <w:p w14:paraId="79C7ECC7">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参与评审的投标文件的最低报价为评标基准价，基准价得分为满分30分；</w:t>
            </w:r>
          </w:p>
          <w:p w14:paraId="79A1A3FA">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参与评审的价格 = 有效供应商的最终报价；</w:t>
            </w:r>
          </w:p>
          <w:p w14:paraId="40ED60FA">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其他供应商的价格分按照下列公式计算：</w:t>
            </w:r>
          </w:p>
          <w:p w14:paraId="3BA811BC">
            <w:pPr>
              <w:spacing w:line="360" w:lineRule="auto"/>
              <w:jc w:val="left"/>
              <w:rPr>
                <w:rFonts w:hint="eastAsia" w:ascii="宋体" w:hAnsi="宋体" w:eastAsia="宋体" w:cs="宋体"/>
                <w:szCs w:val="21"/>
              </w:rPr>
            </w:pPr>
            <w:r>
              <w:rPr>
                <w:rFonts w:hint="eastAsia" w:ascii="宋体" w:hAnsi="宋体" w:eastAsia="宋体" w:cs="宋体"/>
                <w:color w:val="000000"/>
                <w:szCs w:val="21"/>
              </w:rPr>
              <w:t>各供应商的最终报价得分 =（基准价/参与评审的价格）×30%×100</w:t>
            </w:r>
          </w:p>
        </w:tc>
      </w:tr>
    </w:tbl>
    <w:p w14:paraId="53C0E030">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p>
    <w:p w14:paraId="4F453CE2">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r>
        <w:rPr>
          <w:rFonts w:hint="eastAsia" w:ascii="宋体" w:hAnsi="宋体" w:eastAsia="宋体" w:cs="宋体"/>
          <w:b w:val="0"/>
          <w:bCs w:val="0"/>
          <w:sz w:val="21"/>
          <w:szCs w:val="24"/>
        </w:rPr>
        <w:t>备注：</w:t>
      </w:r>
    </w:p>
    <w:p w14:paraId="12353FE3">
      <w:pPr>
        <w:keepNext w:val="0"/>
        <w:keepLines w:val="0"/>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r>
        <w:rPr>
          <w:rFonts w:hint="eastAsia" w:ascii="宋体" w:hAnsi="宋体" w:eastAsia="宋体" w:cs="宋体"/>
          <w:b w:val="0"/>
          <w:bCs w:val="0"/>
          <w:sz w:val="21"/>
          <w:szCs w:val="24"/>
          <w:lang w:val="en-US" w:eastAsia="zh-CN"/>
        </w:rPr>
        <w:t>1、</w:t>
      </w:r>
      <w:r>
        <w:rPr>
          <w:rFonts w:hint="eastAsia" w:ascii="宋体" w:hAnsi="宋体" w:eastAsia="宋体" w:cs="宋体"/>
          <w:b w:val="0"/>
          <w:bCs w:val="0"/>
          <w:sz w:val="21"/>
          <w:szCs w:val="24"/>
        </w:rPr>
        <w:t>供应商编制</w:t>
      </w:r>
      <w:r>
        <w:rPr>
          <w:rFonts w:hint="eastAsia" w:ascii="宋体" w:hAnsi="宋体" w:cs="宋体"/>
          <w:b w:val="0"/>
          <w:bCs w:val="0"/>
          <w:sz w:val="21"/>
          <w:szCs w:val="24"/>
          <w:lang w:eastAsia="zh-CN"/>
        </w:rPr>
        <w:t>响应文件</w:t>
      </w:r>
      <w:r>
        <w:rPr>
          <w:rFonts w:hint="eastAsia" w:ascii="宋体" w:hAnsi="宋体" w:eastAsia="宋体" w:cs="宋体"/>
          <w:b w:val="0"/>
          <w:bCs w:val="0"/>
          <w:sz w:val="21"/>
          <w:szCs w:val="24"/>
        </w:rPr>
        <w:t>时，建议按此目录（序号和内容）提供评审标准相应的商务技术资料。</w:t>
      </w:r>
    </w:p>
    <w:p w14:paraId="4522931E">
      <w:pPr>
        <w:keepNext w:val="0"/>
        <w:keepLines w:val="0"/>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r>
        <w:rPr>
          <w:rFonts w:hint="eastAsia" w:ascii="宋体" w:hAnsi="宋体" w:eastAsia="宋体" w:cs="宋体"/>
          <w:b w:val="0"/>
          <w:bCs w:val="0"/>
          <w:sz w:val="21"/>
          <w:szCs w:val="24"/>
        </w:rPr>
        <w:t>2、小数点后保留二位数。</w:t>
      </w:r>
    </w:p>
    <w:p w14:paraId="0376DBF6">
      <w:pPr>
        <w:keepNext w:val="0"/>
        <w:keepLines w:val="0"/>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r>
        <w:rPr>
          <w:rFonts w:hint="eastAsia" w:ascii="宋体" w:hAnsi="宋体" w:eastAsia="宋体" w:cs="宋体"/>
          <w:b w:val="0"/>
          <w:bCs w:val="0"/>
          <w:sz w:val="21"/>
          <w:szCs w:val="24"/>
        </w:rPr>
        <w:t>3、各磋商小组成员自行按以上参考分值评分。</w:t>
      </w:r>
    </w:p>
    <w:p w14:paraId="4EAF01E6">
      <w:pPr>
        <w:keepNext w:val="0"/>
        <w:keepLines w:val="0"/>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r>
        <w:rPr>
          <w:rFonts w:hint="eastAsia" w:ascii="宋体" w:hAnsi="宋体" w:eastAsia="宋体" w:cs="宋体"/>
          <w:b w:val="0"/>
          <w:bCs w:val="0"/>
          <w:sz w:val="21"/>
          <w:szCs w:val="24"/>
        </w:rPr>
        <w:t>4、重大事件由磋商小组集体讨论，应当按照少数服从多数的原则作出结论。</w:t>
      </w:r>
    </w:p>
    <w:p w14:paraId="63A62E0F">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b/>
          <w:sz w:val="36"/>
          <w:szCs w:val="36"/>
        </w:rPr>
      </w:pPr>
      <w:r>
        <w:rPr>
          <w:rFonts w:hint="eastAsia" w:ascii="宋体" w:hAnsi="宋体" w:eastAsia="宋体" w:cs="宋体"/>
          <w:b/>
          <w:sz w:val="36"/>
          <w:szCs w:val="36"/>
        </w:rPr>
        <w:br w:type="page"/>
      </w:r>
    </w:p>
    <w:p w14:paraId="56FCA105">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eastAsia="zh-CN"/>
        </w:rPr>
        <w:t>五</w:t>
      </w:r>
      <w:r>
        <w:rPr>
          <w:rFonts w:hint="eastAsia" w:ascii="宋体" w:hAnsi="宋体" w:eastAsia="宋体" w:cs="宋体"/>
          <w:b/>
          <w:sz w:val="36"/>
          <w:szCs w:val="36"/>
        </w:rPr>
        <w:t>部分 拟签订的合同文本</w:t>
      </w:r>
    </w:p>
    <w:p w14:paraId="7EAE09B1">
      <w:pPr>
        <w:bidi w:val="0"/>
        <w:spacing w:line="360" w:lineRule="auto"/>
        <w:ind w:firstLine="422" w:firstLineChars="200"/>
        <w:rPr>
          <w:rFonts w:hint="eastAsia" w:ascii="宋体" w:hAnsi="宋体" w:eastAsia="宋体" w:cs="宋体"/>
        </w:rPr>
      </w:pPr>
      <w:bookmarkStart w:id="64" w:name="_Toc40964240"/>
      <w:r>
        <w:rPr>
          <w:rFonts w:hint="eastAsia"/>
          <w:b/>
          <w:szCs w:val="21"/>
          <w:highlight w:val="none"/>
        </w:rPr>
        <w:t>（本合同为合同样稿</w:t>
      </w:r>
      <w:r>
        <w:rPr>
          <w:rFonts w:hint="eastAsia" w:ascii="Times New Roman" w:hAnsi="Times New Roman" w:eastAsia="宋体" w:cs="Times New Roman"/>
          <w:b/>
          <w:szCs w:val="21"/>
          <w:highlight w:val="none"/>
        </w:rPr>
        <w:t>，参考住房城乡建设部、原国家工商行政管理总局制定的《建设工程施工合同（示范文本）》（GF-2017-0201）</w:t>
      </w:r>
      <w:r>
        <w:rPr>
          <w:rFonts w:hint="eastAsia" w:ascii="Times New Roman" w:hAnsi="Times New Roman" w:eastAsia="宋体" w:cs="Times New Roman"/>
          <w:b/>
          <w:szCs w:val="21"/>
          <w:highlight w:val="none"/>
          <w:lang w:eastAsia="zh-CN"/>
        </w:rPr>
        <w:t>，</w:t>
      </w:r>
      <w:r>
        <w:rPr>
          <w:rFonts w:hint="eastAsia"/>
          <w:b/>
          <w:szCs w:val="21"/>
          <w:highlight w:val="none"/>
        </w:rPr>
        <w:t>最终稿由买卖双方协商后确定）</w:t>
      </w:r>
      <w:bookmarkEnd w:id="64"/>
    </w:p>
    <w:p w14:paraId="4B38D359">
      <w:pPr>
        <w:bidi w:val="0"/>
        <w:rPr>
          <w:rFonts w:hint="eastAsia" w:ascii="宋体" w:hAnsi="宋体" w:eastAsia="宋体" w:cs="宋体"/>
        </w:rPr>
      </w:pPr>
    </w:p>
    <w:p w14:paraId="537AED63">
      <w:pPr>
        <w:pStyle w:val="22"/>
        <w:rPr>
          <w:rFonts w:hint="eastAsia" w:ascii="宋体" w:hAnsi="宋体" w:eastAsia="宋体" w:cs="宋体"/>
        </w:rPr>
      </w:pPr>
    </w:p>
    <w:p w14:paraId="7DA1E21D">
      <w:pPr>
        <w:rPr>
          <w:rFonts w:hint="eastAsia" w:ascii="宋体" w:hAnsi="宋体" w:eastAsia="宋体" w:cs="宋体"/>
          <w:b/>
          <w:sz w:val="32"/>
          <w:szCs w:val="32"/>
        </w:rPr>
      </w:pPr>
      <w:r>
        <w:rPr>
          <w:rFonts w:hint="eastAsia" w:ascii="宋体" w:hAnsi="宋体" w:eastAsia="宋体" w:cs="宋体"/>
          <w:b/>
          <w:sz w:val="32"/>
          <w:szCs w:val="32"/>
        </w:rPr>
        <w:br w:type="page"/>
      </w:r>
    </w:p>
    <w:p w14:paraId="1A7119F9">
      <w:pPr>
        <w:numPr>
          <w:ilvl w:val="0"/>
          <w:numId w:val="0"/>
        </w:numPr>
        <w:spacing w:line="360" w:lineRule="auto"/>
        <w:ind w:leftChars="0"/>
        <w:rPr>
          <w:rFonts w:hint="eastAsia" w:ascii="宋体" w:hAnsi="宋体" w:eastAsia="宋体" w:cs="宋体"/>
          <w:b/>
          <w:sz w:val="32"/>
          <w:szCs w:val="32"/>
        </w:rPr>
      </w:pPr>
      <w:r>
        <w:rPr>
          <w:rFonts w:hint="eastAsia" w:ascii="宋体" w:hAnsi="宋体" w:eastAsia="宋体" w:cs="宋体"/>
          <w:b/>
          <w:sz w:val="32"/>
          <w:szCs w:val="32"/>
        </w:rPr>
        <w:t>(GF-2017-0201)</w:t>
      </w:r>
    </w:p>
    <w:p w14:paraId="6BA2DED1">
      <w:pPr>
        <w:numPr>
          <w:ilvl w:val="0"/>
          <w:numId w:val="0"/>
        </w:numPr>
        <w:spacing w:line="360" w:lineRule="auto"/>
        <w:ind w:leftChars="0"/>
        <w:jc w:val="both"/>
        <w:rPr>
          <w:rFonts w:hint="eastAsia" w:ascii="宋体" w:hAnsi="宋体" w:eastAsia="宋体" w:cs="宋体"/>
          <w:b/>
          <w:sz w:val="48"/>
        </w:rPr>
      </w:pPr>
    </w:p>
    <w:p w14:paraId="75045A39">
      <w:pPr>
        <w:numPr>
          <w:ilvl w:val="0"/>
          <w:numId w:val="0"/>
        </w:numPr>
        <w:spacing w:line="360" w:lineRule="auto"/>
        <w:ind w:leftChars="0"/>
        <w:jc w:val="center"/>
        <w:rPr>
          <w:rFonts w:hint="eastAsia" w:ascii="宋体" w:hAnsi="宋体" w:eastAsia="宋体" w:cs="宋体"/>
          <w:b/>
          <w:sz w:val="32"/>
          <w:szCs w:val="32"/>
        </w:rPr>
      </w:pPr>
      <w:r>
        <w:rPr>
          <w:rFonts w:hint="eastAsia" w:ascii="宋体" w:hAnsi="宋体" w:eastAsia="宋体" w:cs="宋体"/>
          <w:b/>
          <w:spacing w:val="-100"/>
          <w:sz w:val="84"/>
          <w:szCs w:val="84"/>
        </w:rPr>
        <w:t>建 设 工 程 施 工 合 同</w:t>
      </w:r>
    </w:p>
    <w:p w14:paraId="7BFAA2BB">
      <w:pPr>
        <w:spacing w:line="360" w:lineRule="auto"/>
        <w:jc w:val="center"/>
        <w:rPr>
          <w:rFonts w:hint="eastAsia" w:ascii="宋体" w:hAnsi="宋体" w:eastAsia="宋体" w:cs="宋体"/>
          <w:b/>
          <w:sz w:val="32"/>
          <w:szCs w:val="32"/>
        </w:rPr>
      </w:pPr>
    </w:p>
    <w:p w14:paraId="229C291A">
      <w:pPr>
        <w:pStyle w:val="73"/>
        <w:rPr>
          <w:rFonts w:hint="eastAsia" w:ascii="宋体" w:hAnsi="宋体" w:eastAsia="宋体" w:cs="宋体"/>
        </w:rPr>
      </w:pPr>
    </w:p>
    <w:p w14:paraId="66DCA9F6">
      <w:pPr>
        <w:pStyle w:val="73"/>
        <w:rPr>
          <w:rFonts w:hint="eastAsia" w:ascii="宋体" w:hAnsi="宋体" w:eastAsia="宋体" w:cs="宋体"/>
        </w:rPr>
      </w:pPr>
    </w:p>
    <w:p w14:paraId="63DB69C7">
      <w:pPr>
        <w:pStyle w:val="73"/>
        <w:rPr>
          <w:rFonts w:hint="eastAsia" w:ascii="宋体" w:hAnsi="宋体" w:eastAsia="宋体" w:cs="宋体"/>
        </w:rPr>
      </w:pPr>
    </w:p>
    <w:p w14:paraId="2B0ED1F2">
      <w:pPr>
        <w:pStyle w:val="73"/>
        <w:rPr>
          <w:rFonts w:hint="eastAsia" w:ascii="宋体" w:hAnsi="宋体" w:eastAsia="宋体" w:cs="宋体"/>
        </w:rPr>
      </w:pPr>
    </w:p>
    <w:p w14:paraId="5ACB32FC">
      <w:pPr>
        <w:pStyle w:val="73"/>
        <w:rPr>
          <w:rFonts w:hint="eastAsia" w:ascii="宋体" w:hAnsi="宋体" w:eastAsia="宋体" w:cs="宋体"/>
        </w:rPr>
      </w:pPr>
    </w:p>
    <w:p w14:paraId="5D9D0CD3">
      <w:pPr>
        <w:pStyle w:val="73"/>
        <w:rPr>
          <w:rFonts w:hint="eastAsia" w:ascii="宋体" w:hAnsi="宋体" w:eastAsia="宋体" w:cs="宋体"/>
        </w:rPr>
      </w:pPr>
    </w:p>
    <w:p w14:paraId="2919A752">
      <w:pPr>
        <w:pStyle w:val="73"/>
        <w:rPr>
          <w:rFonts w:hint="eastAsia" w:ascii="宋体" w:hAnsi="宋体" w:eastAsia="宋体" w:cs="宋体"/>
        </w:rPr>
      </w:pPr>
    </w:p>
    <w:p w14:paraId="48800FD8">
      <w:pPr>
        <w:pStyle w:val="73"/>
        <w:rPr>
          <w:rFonts w:hint="eastAsia" w:ascii="宋体" w:hAnsi="宋体" w:eastAsia="宋体" w:cs="宋体"/>
        </w:rPr>
      </w:pPr>
    </w:p>
    <w:p w14:paraId="6833EB28">
      <w:pPr>
        <w:pStyle w:val="73"/>
        <w:rPr>
          <w:rFonts w:hint="eastAsia" w:ascii="宋体" w:hAnsi="宋体" w:eastAsia="宋体" w:cs="宋体"/>
        </w:rPr>
      </w:pPr>
    </w:p>
    <w:p w14:paraId="743895A8">
      <w:pPr>
        <w:pStyle w:val="73"/>
        <w:rPr>
          <w:rFonts w:hint="eastAsia" w:ascii="宋体" w:hAnsi="宋体" w:eastAsia="宋体" w:cs="宋体"/>
        </w:rPr>
      </w:pPr>
    </w:p>
    <w:p w14:paraId="1A8ACFB6">
      <w:pPr>
        <w:pStyle w:val="73"/>
        <w:rPr>
          <w:rFonts w:hint="eastAsia" w:ascii="宋体" w:hAnsi="宋体" w:eastAsia="宋体" w:cs="宋体"/>
        </w:rPr>
      </w:pPr>
    </w:p>
    <w:p w14:paraId="662C6E2B">
      <w:pPr>
        <w:pStyle w:val="73"/>
        <w:rPr>
          <w:rFonts w:hint="eastAsia" w:ascii="宋体" w:hAnsi="宋体" w:eastAsia="宋体" w:cs="宋体"/>
        </w:rPr>
      </w:pPr>
    </w:p>
    <w:p w14:paraId="7AF3356F">
      <w:pPr>
        <w:pStyle w:val="73"/>
        <w:rPr>
          <w:rFonts w:hint="eastAsia" w:ascii="宋体" w:hAnsi="宋体" w:eastAsia="宋体" w:cs="宋体"/>
        </w:rPr>
      </w:pPr>
    </w:p>
    <w:p w14:paraId="1738E1E9">
      <w:pPr>
        <w:pStyle w:val="73"/>
        <w:rPr>
          <w:rFonts w:hint="eastAsia" w:ascii="宋体" w:hAnsi="宋体" w:eastAsia="宋体" w:cs="宋体"/>
        </w:rPr>
      </w:pPr>
    </w:p>
    <w:p w14:paraId="131E3ACE">
      <w:pPr>
        <w:numPr>
          <w:ilvl w:val="0"/>
          <w:numId w:val="0"/>
        </w:numPr>
        <w:spacing w:line="360" w:lineRule="auto"/>
        <w:ind w:leftChars="0"/>
        <w:jc w:val="both"/>
        <w:rPr>
          <w:rFonts w:hint="eastAsia" w:ascii="宋体" w:hAnsi="宋体" w:eastAsia="宋体" w:cs="宋体"/>
          <w:b/>
          <w:sz w:val="32"/>
          <w:szCs w:val="32"/>
        </w:rPr>
      </w:pPr>
    </w:p>
    <w:p w14:paraId="5B6EB022">
      <w:pPr>
        <w:numPr>
          <w:ilvl w:val="0"/>
          <w:numId w:val="0"/>
        </w:numPr>
        <w:spacing w:line="360" w:lineRule="auto"/>
        <w:ind w:leftChars="0"/>
        <w:jc w:val="both"/>
        <w:rPr>
          <w:rFonts w:hint="eastAsia" w:ascii="宋体" w:hAnsi="宋体" w:eastAsia="宋体" w:cs="宋体"/>
          <w:b/>
          <w:sz w:val="32"/>
          <w:szCs w:val="32"/>
        </w:rPr>
      </w:pPr>
    </w:p>
    <w:p w14:paraId="0CCC66A5">
      <w:pPr>
        <w:numPr>
          <w:ilvl w:val="0"/>
          <w:numId w:val="0"/>
        </w:numPr>
        <w:spacing w:line="360" w:lineRule="auto"/>
        <w:ind w:leftChars="0"/>
        <w:jc w:val="both"/>
        <w:rPr>
          <w:rFonts w:hint="eastAsia" w:ascii="宋体" w:hAnsi="宋体" w:eastAsia="宋体" w:cs="宋体"/>
          <w:b/>
          <w:sz w:val="32"/>
          <w:szCs w:val="32"/>
        </w:rPr>
      </w:pPr>
    </w:p>
    <w:p w14:paraId="726C31BE">
      <w:pPr>
        <w:numPr>
          <w:ilvl w:val="0"/>
          <w:numId w:val="0"/>
        </w:numPr>
        <w:spacing w:line="360" w:lineRule="auto"/>
        <w:ind w:leftChars="0"/>
        <w:rPr>
          <w:rFonts w:hint="eastAsia" w:ascii="宋体" w:hAnsi="宋体" w:eastAsia="宋体" w:cs="宋体"/>
          <w:b/>
          <w:sz w:val="32"/>
          <w:szCs w:val="32"/>
          <w:u w:val="single"/>
          <w:lang w:val="en-US" w:eastAsia="zh-CN"/>
        </w:rPr>
      </w:pP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工程名称</w:t>
      </w:r>
      <w:r>
        <w:rPr>
          <w:rFonts w:hint="eastAsia" w:ascii="宋体" w:hAnsi="宋体" w:eastAsia="宋体" w:cs="宋体"/>
          <w:b/>
          <w:sz w:val="28"/>
          <w:szCs w:val="28"/>
        </w:rPr>
        <w:t>：</w:t>
      </w:r>
      <w:r>
        <w:rPr>
          <w:rFonts w:hint="eastAsia" w:ascii="宋体" w:hAnsi="宋体" w:eastAsia="宋体" w:cs="宋体"/>
          <w:b/>
          <w:sz w:val="28"/>
          <w:szCs w:val="28"/>
          <w:u w:val="single"/>
        </w:rPr>
        <w:t xml:space="preserve"> </w:t>
      </w:r>
      <w:r>
        <w:rPr>
          <w:rFonts w:hint="eastAsia" w:ascii="宋体" w:hAnsi="宋体" w:eastAsia="宋体" w:cs="宋体"/>
          <w:b/>
          <w:sz w:val="32"/>
          <w:szCs w:val="32"/>
          <w:u w:val="single"/>
          <w:lang w:val="en-US" w:eastAsia="zh-CN"/>
        </w:rPr>
        <w:t xml:space="preserve">                                  </w:t>
      </w:r>
    </w:p>
    <w:p w14:paraId="1E187740">
      <w:pPr>
        <w:spacing w:line="360" w:lineRule="auto"/>
        <w:ind w:left="321" w:hanging="321" w:hangingChars="100"/>
        <w:rPr>
          <w:rFonts w:hint="eastAsia" w:ascii="宋体" w:hAnsi="宋体" w:eastAsia="宋体" w:cs="宋体"/>
          <w:b/>
          <w:sz w:val="32"/>
          <w:szCs w:val="32"/>
        </w:rPr>
      </w:pP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发 包 人：</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rPr>
        <w:t xml:space="preserve"> </w:t>
      </w:r>
    </w:p>
    <w:p w14:paraId="0F6D41F5">
      <w:pPr>
        <w:spacing w:line="360" w:lineRule="auto"/>
        <w:ind w:left="319" w:leftChars="152" w:firstLine="0" w:firstLineChars="0"/>
        <w:rPr>
          <w:rFonts w:hint="eastAsia" w:ascii="宋体" w:hAnsi="宋体" w:eastAsia="宋体" w:cs="宋体"/>
          <w:b/>
          <w:sz w:val="32"/>
          <w:szCs w:val="32"/>
        </w:rPr>
      </w:pPr>
      <w:r>
        <w:rPr>
          <w:rFonts w:hint="eastAsia" w:ascii="宋体" w:hAnsi="宋体" w:eastAsia="宋体" w:cs="宋体"/>
          <w:b/>
          <w:sz w:val="32"/>
          <w:szCs w:val="32"/>
        </w:rPr>
        <w:t>承 包 人：</w:t>
      </w:r>
      <w:r>
        <w:rPr>
          <w:rFonts w:hint="eastAsia" w:ascii="宋体" w:hAnsi="宋体" w:eastAsia="宋体" w:cs="宋体"/>
          <w:b/>
          <w:sz w:val="32"/>
          <w:szCs w:val="32"/>
          <w:u w:val="single"/>
        </w:rPr>
        <w:t xml:space="preserve">                                   </w:t>
      </w:r>
    </w:p>
    <w:p w14:paraId="382DA469">
      <w:pPr>
        <w:pStyle w:val="3"/>
        <w:numPr>
          <w:ilvl w:val="0"/>
          <w:numId w:val="2"/>
        </w:numPr>
        <w:jc w:val="center"/>
        <w:rPr>
          <w:rFonts w:hint="eastAsia" w:ascii="宋体" w:hAnsi="宋体" w:eastAsia="宋体" w:cs="宋体"/>
        </w:rPr>
        <w:sectPr>
          <w:footerReference r:id="rId8" w:type="first"/>
          <w:footerReference r:id="rId7" w:type="default"/>
          <w:pgSz w:w="11906" w:h="16838"/>
          <w:pgMar w:top="1440" w:right="1440" w:bottom="1440" w:left="1440" w:header="851" w:footer="992" w:gutter="0"/>
          <w:pgNumType w:fmt="decimal" w:start="1"/>
          <w:cols w:space="720" w:num="1"/>
          <w:titlePg/>
          <w:docGrid w:linePitch="312" w:charSpace="0"/>
        </w:sectPr>
      </w:pPr>
    </w:p>
    <w:bookmarkEnd w:id="55"/>
    <w:p w14:paraId="76F272FD">
      <w:pPr>
        <w:pStyle w:val="4"/>
        <w:keepNext w:val="0"/>
        <w:keepLines w:val="0"/>
        <w:numPr>
          <w:ilvl w:val="2"/>
          <w:numId w:val="0"/>
        </w:numPr>
        <w:ind w:left="180" w:leftChars="0"/>
        <w:jc w:val="center"/>
        <w:rPr>
          <w:rFonts w:ascii="黑体" w:eastAsia="黑体"/>
          <w:b w:val="0"/>
          <w:color w:val="000000"/>
          <w:highlight w:val="none"/>
        </w:rPr>
      </w:pPr>
      <w:bookmarkStart w:id="65" w:name="_Toc24679"/>
      <w:bookmarkStart w:id="66" w:name="_Toc20617"/>
      <w:bookmarkStart w:id="67" w:name="第五部分"/>
      <w:bookmarkStart w:id="68" w:name="_Toc86217003"/>
      <w:r>
        <w:rPr>
          <w:rFonts w:ascii="黑体" w:hAnsi="华文中宋" w:eastAsia="黑体"/>
          <w:color w:val="000000"/>
          <w:highlight w:val="none"/>
        </w:rPr>
        <w:t>第一部分 合同协议书</w:t>
      </w:r>
    </w:p>
    <w:p w14:paraId="3CE55B55">
      <w:pPr>
        <w:spacing w:line="360" w:lineRule="auto"/>
        <w:rPr>
          <w:rFonts w:hint="eastAsia" w:ascii="宋体" w:hAnsi="宋体" w:eastAsia="宋体" w:cs="宋体"/>
          <w:color w:val="000000"/>
          <w:sz w:val="22"/>
          <w:szCs w:val="22"/>
          <w:highlight w:val="none"/>
          <w:u w:val="single"/>
          <w:lang w:eastAsia="zh-CN"/>
        </w:rPr>
      </w:pPr>
      <w:r>
        <w:rPr>
          <w:rFonts w:hint="eastAsia" w:ascii="宋体" w:hAnsi="宋体" w:eastAsia="宋体" w:cs="宋体"/>
          <w:color w:val="000000"/>
          <w:sz w:val="22"/>
          <w:szCs w:val="22"/>
          <w:highlight w:val="none"/>
        </w:rPr>
        <w:t>发包人（全称）：</w:t>
      </w:r>
      <w:r>
        <w:rPr>
          <w:rFonts w:hint="eastAsia" w:ascii="宋体" w:hAnsi="宋体" w:cs="宋体"/>
          <w:color w:val="000000"/>
          <w:sz w:val="22"/>
          <w:szCs w:val="22"/>
          <w:highlight w:val="none"/>
          <w:u w:val="single"/>
          <w:lang w:eastAsia="zh-CN"/>
        </w:rPr>
        <w:t>宁海县民政局</w:t>
      </w:r>
    </w:p>
    <w:p w14:paraId="58FBCC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承包人（全称）：</w:t>
      </w:r>
      <w:r>
        <w:rPr>
          <w:rFonts w:hint="eastAsia" w:ascii="宋体" w:hAnsi="宋体" w:eastAsia="宋体" w:cs="宋体"/>
          <w:color w:val="000000"/>
          <w:sz w:val="22"/>
          <w:szCs w:val="22"/>
          <w:highlight w:val="none"/>
          <w:u w:val="single"/>
        </w:rPr>
        <w:t xml:space="preserve">          </w:t>
      </w:r>
    </w:p>
    <w:p w14:paraId="4459CD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eastAsia="zh-CN"/>
        </w:rPr>
        <w:t>宁海县殡仪馆提升扩容工程（重发）</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施工及有关事项协商一致，共同达成如下协议：</w:t>
      </w:r>
    </w:p>
    <w:p w14:paraId="17367A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69" w:name="_Toc386638593"/>
      <w:r>
        <w:rPr>
          <w:rFonts w:hint="eastAsia" w:ascii="宋体" w:hAnsi="宋体" w:eastAsia="宋体" w:cs="宋体"/>
          <w:b w:val="0"/>
          <w:color w:val="000000"/>
          <w:sz w:val="22"/>
          <w:szCs w:val="22"/>
          <w:highlight w:val="none"/>
        </w:rPr>
        <w:t>一、工程概况</w:t>
      </w:r>
      <w:bookmarkEnd w:id="69"/>
    </w:p>
    <w:p w14:paraId="7EDF1AD3">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1.工程名称</w:t>
      </w:r>
      <w:r>
        <w:rPr>
          <w:rFonts w:hint="eastAsia" w:ascii="宋体" w:hAnsi="宋体" w:eastAsia="宋体" w:cs="宋体"/>
          <w:color w:val="000000"/>
          <w:sz w:val="22"/>
          <w:szCs w:val="22"/>
          <w:highlight w:val="none"/>
        </w:rPr>
        <w:t>：</w:t>
      </w:r>
      <w:r>
        <w:rPr>
          <w:rFonts w:hint="eastAsia" w:ascii="宋体" w:hAnsi="宋体" w:cs="宋体"/>
          <w:color w:val="000000"/>
          <w:sz w:val="22"/>
          <w:szCs w:val="22"/>
          <w:highlight w:val="none"/>
          <w:u w:val="single"/>
          <w:lang w:eastAsia="zh-CN"/>
        </w:rPr>
        <w:t>宁海县殡仪馆提升扩容工程（重发）</w:t>
      </w:r>
    </w:p>
    <w:p w14:paraId="145F1FF5">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2.工程地点：</w:t>
      </w:r>
      <w:r>
        <w:rPr>
          <w:rFonts w:hint="eastAsia" w:ascii="宋体" w:hAnsi="宋体" w:cs="宋体"/>
          <w:color w:val="000000"/>
          <w:sz w:val="22"/>
          <w:szCs w:val="22"/>
          <w:highlight w:val="none"/>
          <w:u w:val="single"/>
          <w:lang w:eastAsia="zh-CN"/>
        </w:rPr>
        <w:t>位于宁海县殡仪馆</w:t>
      </w:r>
      <w:r>
        <w:rPr>
          <w:rFonts w:hint="eastAsia" w:ascii="宋体" w:hAnsi="宋体" w:eastAsia="宋体" w:cs="宋体"/>
          <w:color w:val="000000"/>
          <w:sz w:val="22"/>
          <w:szCs w:val="22"/>
          <w:highlight w:val="none"/>
          <w:u w:val="single"/>
        </w:rPr>
        <w:t xml:space="preserve">    </w:t>
      </w:r>
    </w:p>
    <w:p w14:paraId="397D7737">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3.工程立项批准文号：</w:t>
      </w:r>
      <w:r>
        <w:rPr>
          <w:rFonts w:hint="eastAsia" w:ascii="宋体" w:hAnsi="宋体" w:eastAsia="宋体" w:cs="宋体"/>
          <w:bCs/>
          <w:color w:val="000000"/>
          <w:sz w:val="22"/>
          <w:szCs w:val="22"/>
          <w:highlight w:val="none"/>
          <w:u w:val="single"/>
          <w:lang w:val="en-US" w:eastAsia="zh-CN"/>
        </w:rPr>
        <w:t xml:space="preserve">                             </w:t>
      </w:r>
    </w:p>
    <w:p w14:paraId="736B1E40">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4.资金来源：</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u w:val="single"/>
          <w:lang w:val="en-US" w:eastAsia="zh-CN"/>
        </w:rPr>
        <w:t xml:space="preserve">自筹    </w:t>
      </w:r>
    </w:p>
    <w:p w14:paraId="285E9BF3">
      <w:pPr>
        <w:spacing w:line="360" w:lineRule="auto"/>
        <w:ind w:firstLine="431" w:firstLineChars="196"/>
        <w:rPr>
          <w:rFonts w:hint="eastAsia" w:ascii="宋体" w:hAnsi="宋体" w:eastAsia="宋体" w:cs="宋体"/>
          <w:color w:val="000000"/>
          <w:sz w:val="22"/>
          <w:szCs w:val="22"/>
          <w:highlight w:val="none"/>
          <w:u w:val="single"/>
          <w:lang w:eastAsia="zh-CN"/>
        </w:rPr>
      </w:pPr>
      <w:r>
        <w:rPr>
          <w:rFonts w:hint="eastAsia" w:ascii="宋体" w:hAnsi="宋体" w:eastAsia="宋体" w:cs="宋体"/>
          <w:bCs/>
          <w:color w:val="000000"/>
          <w:sz w:val="22"/>
          <w:szCs w:val="22"/>
          <w:highlight w:val="none"/>
        </w:rPr>
        <w:t>5.</w:t>
      </w:r>
      <w:r>
        <w:rPr>
          <w:rFonts w:hint="eastAsia" w:ascii="宋体" w:hAnsi="宋体" w:eastAsia="宋体" w:cs="宋体"/>
          <w:bCs/>
          <w:color w:val="000000"/>
          <w:sz w:val="22"/>
          <w:szCs w:val="22"/>
          <w:highlight w:val="none"/>
          <w:lang w:eastAsia="zh-CN"/>
        </w:rPr>
        <w:t>建筑规模</w:t>
      </w:r>
      <w:r>
        <w:rPr>
          <w:rFonts w:hint="eastAsia" w:ascii="宋体" w:hAnsi="宋体" w:eastAsia="宋体" w:cs="宋体"/>
          <w:bCs/>
          <w:color w:val="000000"/>
          <w:sz w:val="22"/>
          <w:szCs w:val="22"/>
          <w:highlight w:val="none"/>
        </w:rPr>
        <w:t>：</w:t>
      </w:r>
      <w:r>
        <w:rPr>
          <w:rFonts w:hint="eastAsia" w:ascii="宋体" w:hAnsi="宋体" w:cs="宋体"/>
          <w:color w:val="000000"/>
          <w:sz w:val="22"/>
          <w:szCs w:val="22"/>
          <w:highlight w:val="none"/>
          <w:u w:val="single"/>
          <w:lang w:val="en-US" w:eastAsia="zh-CN"/>
        </w:rPr>
        <w:t xml:space="preserve">                          。</w:t>
      </w:r>
    </w:p>
    <w:p w14:paraId="3056E4AA">
      <w:pPr>
        <w:spacing w:line="360" w:lineRule="auto"/>
        <w:ind w:firstLine="431" w:firstLineChars="196"/>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群体工程应附《承包人承揽工程项目一览表》（附件1）。</w:t>
      </w:r>
    </w:p>
    <w:p w14:paraId="182E4D3E">
      <w:pPr>
        <w:spacing w:line="360" w:lineRule="auto"/>
        <w:ind w:firstLine="431" w:firstLineChars="196"/>
        <w:rPr>
          <w:rFonts w:hint="eastAsia" w:ascii="宋体" w:hAnsi="宋体" w:eastAsia="宋体" w:cs="宋体"/>
          <w:color w:val="000000"/>
          <w:sz w:val="22"/>
          <w:szCs w:val="22"/>
          <w:highlight w:val="none"/>
          <w:u w:val="single"/>
          <w:lang w:val="en-US" w:eastAsia="zh-CN"/>
        </w:rPr>
      </w:pPr>
      <w:r>
        <w:rPr>
          <w:rFonts w:hint="eastAsia" w:ascii="宋体" w:hAnsi="宋体" w:eastAsia="宋体" w:cs="宋体"/>
          <w:bCs/>
          <w:color w:val="000000"/>
          <w:sz w:val="22"/>
          <w:szCs w:val="22"/>
          <w:highlight w:val="none"/>
        </w:rPr>
        <w:t>6.工程承包范围：</w:t>
      </w:r>
      <w:r>
        <w:rPr>
          <w:rFonts w:hint="eastAsia" w:ascii="宋体" w:hAnsi="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lang w:val="en-US" w:eastAsia="zh-CN"/>
        </w:rPr>
        <w:t>。</w:t>
      </w:r>
    </w:p>
    <w:p w14:paraId="2FE557A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color w:val="000000"/>
          <w:sz w:val="22"/>
          <w:szCs w:val="22"/>
          <w:highlight w:val="none"/>
        </w:rPr>
      </w:pPr>
      <w:r>
        <w:rPr>
          <w:rFonts w:hint="eastAsia" w:ascii="宋体" w:hAnsi="宋体" w:eastAsia="宋体" w:cs="宋体"/>
          <w:b w:val="0"/>
          <w:color w:val="000000"/>
          <w:sz w:val="22"/>
          <w:szCs w:val="22"/>
          <w:highlight w:val="none"/>
        </w:rPr>
        <w:t xml:space="preserve">  </w:t>
      </w:r>
      <w:r>
        <w:rPr>
          <w:rFonts w:hint="eastAsia" w:ascii="宋体" w:hAnsi="宋体" w:eastAsia="宋体" w:cs="宋体"/>
          <w:color w:val="000000"/>
          <w:sz w:val="22"/>
          <w:szCs w:val="22"/>
          <w:highlight w:val="none"/>
        </w:rPr>
        <w:t xml:space="preserve"> </w:t>
      </w:r>
      <w:bookmarkStart w:id="70" w:name="_Toc386638594"/>
      <w:r>
        <w:rPr>
          <w:rFonts w:hint="eastAsia" w:ascii="宋体" w:hAnsi="宋体" w:eastAsia="宋体" w:cs="宋体"/>
          <w:color w:val="000000"/>
          <w:sz w:val="22"/>
          <w:szCs w:val="22"/>
          <w:highlight w:val="none"/>
        </w:rPr>
        <w:t>二、合同工期</w:t>
      </w:r>
      <w:bookmarkEnd w:id="70"/>
    </w:p>
    <w:p w14:paraId="3614C5DA">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计划开工日期：</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日（具体开工时间以发包人签署的开工报告为准）。</w:t>
      </w:r>
    </w:p>
    <w:p w14:paraId="4B3AC8D3">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计划竣工日期：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月</w:t>
      </w:r>
      <w:r>
        <w:rPr>
          <w:rFonts w:hint="eastAsia" w:ascii="宋体" w:hAnsi="宋体" w:eastAsia="宋体" w:cs="宋体"/>
          <w:color w:val="000000"/>
          <w:sz w:val="22"/>
          <w:szCs w:val="22"/>
          <w:highlight w:val="none"/>
          <w:u w:val="single"/>
        </w:rPr>
        <w:t></w:t>
      </w:r>
      <w:r>
        <w:rPr>
          <w:rFonts w:hint="eastAsia" w:ascii="宋体" w:hAnsi="宋体" w:eastAsia="宋体" w:cs="宋体"/>
          <w:color w:val="000000"/>
          <w:sz w:val="22"/>
          <w:szCs w:val="22"/>
          <w:highlight w:val="none"/>
        </w:rPr>
        <w:t>日。</w:t>
      </w:r>
    </w:p>
    <w:p w14:paraId="6B3E903C">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工期总日历天数：</w:t>
      </w:r>
      <w:r>
        <w:rPr>
          <w:rFonts w:hint="eastAsia" w:ascii="宋体" w:hAnsi="宋体" w:cs="宋体"/>
          <w:color w:val="000000"/>
          <w:sz w:val="22"/>
          <w:szCs w:val="22"/>
          <w:highlight w:val="none"/>
          <w:u w:val="single"/>
          <w:lang w:val="en-US" w:eastAsia="zh-CN"/>
        </w:rPr>
        <w:t>60日历天</w:t>
      </w:r>
      <w:r>
        <w:rPr>
          <w:rFonts w:hint="eastAsia" w:ascii="宋体" w:hAnsi="宋体" w:eastAsia="宋体" w:cs="宋体"/>
          <w:color w:val="000000"/>
          <w:sz w:val="22"/>
          <w:szCs w:val="22"/>
          <w:highlight w:val="none"/>
        </w:rPr>
        <w:t>。工期总日历天数与根据前述计划开竣工日期计算的工期天数不一致的，以工期总日历天数为准。</w:t>
      </w:r>
    </w:p>
    <w:p w14:paraId="3D22ED33">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71" w:name="_Toc386638595"/>
      <w:r>
        <w:rPr>
          <w:rFonts w:hint="eastAsia" w:ascii="宋体" w:hAnsi="宋体" w:eastAsia="宋体" w:cs="宋体"/>
          <w:b w:val="0"/>
          <w:color w:val="000000"/>
          <w:sz w:val="22"/>
          <w:szCs w:val="22"/>
          <w:highlight w:val="none"/>
        </w:rPr>
        <w:t>三、质量标准</w:t>
      </w:r>
      <w:bookmarkEnd w:id="71"/>
    </w:p>
    <w:p w14:paraId="4160193F">
      <w:pPr>
        <w:spacing w:line="360" w:lineRule="auto"/>
        <w:ind w:firstLine="45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工程质量</w:t>
      </w:r>
      <w:r>
        <w:rPr>
          <w:rFonts w:hint="eastAsia" w:ascii="宋体" w:hAnsi="宋体" w:eastAsia="宋体" w:cs="宋体"/>
          <w:color w:val="000000"/>
          <w:sz w:val="22"/>
          <w:szCs w:val="22"/>
          <w:highlight w:val="none"/>
          <w:u w:val="single"/>
        </w:rPr>
        <w:t>符合</w:t>
      </w:r>
      <w:r>
        <w:rPr>
          <w:rFonts w:hint="eastAsia" w:ascii="宋体" w:hAnsi="宋体" w:eastAsia="宋体" w:cs="宋体"/>
          <w:bCs/>
          <w:color w:val="000000"/>
          <w:sz w:val="22"/>
          <w:szCs w:val="22"/>
          <w:highlight w:val="none"/>
          <w:u w:val="single"/>
        </w:rPr>
        <w:t>现行国家有关工程施工质量验收规范和标准要求，验收合格</w:t>
      </w:r>
      <w:r>
        <w:rPr>
          <w:rFonts w:hint="eastAsia" w:ascii="宋体" w:hAnsi="宋体" w:eastAsia="宋体" w:cs="宋体"/>
          <w:color w:val="000000"/>
          <w:sz w:val="22"/>
          <w:szCs w:val="22"/>
          <w:highlight w:val="none"/>
        </w:rPr>
        <w:t>标准。</w:t>
      </w:r>
    </w:p>
    <w:p w14:paraId="64EEFA4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72" w:name="_Toc386638596"/>
      <w:r>
        <w:rPr>
          <w:rFonts w:hint="eastAsia" w:ascii="宋体" w:hAnsi="宋体" w:eastAsia="宋体" w:cs="宋体"/>
          <w:b w:val="0"/>
          <w:color w:val="000000"/>
          <w:sz w:val="22"/>
          <w:szCs w:val="22"/>
          <w:highlight w:val="none"/>
        </w:rPr>
        <w:t>四、签约合同价与合同价格形式</w:t>
      </w:r>
      <w:bookmarkEnd w:id="72"/>
      <w:r>
        <w:rPr>
          <w:rFonts w:hint="eastAsia" w:ascii="宋体" w:hAnsi="宋体" w:eastAsia="宋体" w:cs="宋体"/>
          <w:b w:val="0"/>
          <w:color w:val="000000"/>
          <w:sz w:val="22"/>
          <w:szCs w:val="22"/>
          <w:highlight w:val="none"/>
        </w:rPr>
        <w:tab/>
      </w:r>
    </w:p>
    <w:p w14:paraId="5E33AC1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1.签约合同价为：</w:t>
      </w:r>
    </w:p>
    <w:p w14:paraId="2E797359">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70C8F02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其中：</w:t>
      </w:r>
    </w:p>
    <w:p w14:paraId="2D834F4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（1）安全文明施工费：</w:t>
      </w:r>
    </w:p>
    <w:p w14:paraId="0F01C80C">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7B0B62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（2）材料和工程设备暂估价金额：</w:t>
      </w:r>
    </w:p>
    <w:p w14:paraId="4E4C31DE">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47FA4F9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（3）专业工程暂估价金额：</w:t>
      </w:r>
    </w:p>
    <w:p w14:paraId="219D6733">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36140B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（4）暂列金额：</w:t>
      </w:r>
    </w:p>
    <w:p w14:paraId="39DCAC80">
      <w:pPr>
        <w:spacing w:line="360" w:lineRule="auto"/>
        <w:ind w:firstLine="990" w:firstLineChars="4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人民币（大写）</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元)。</w:t>
      </w:r>
    </w:p>
    <w:p w14:paraId="6D94C6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2.合同价格形式：</w:t>
      </w:r>
      <w:r>
        <w:rPr>
          <w:rFonts w:hint="eastAsia" w:ascii="宋体" w:hAnsi="宋体" w:eastAsia="宋体" w:cs="宋体"/>
          <w:color w:val="000000"/>
          <w:sz w:val="22"/>
          <w:szCs w:val="22"/>
          <w:highlight w:val="none"/>
          <w:u w:val="single"/>
        </w:rPr>
        <w:t>单价合同           </w:t>
      </w:r>
      <w:r>
        <w:rPr>
          <w:rFonts w:hint="eastAsia" w:ascii="宋体" w:hAnsi="宋体" w:eastAsia="宋体" w:cs="宋体"/>
          <w:color w:val="000000"/>
          <w:sz w:val="22"/>
          <w:szCs w:val="22"/>
          <w:highlight w:val="none"/>
        </w:rPr>
        <w:t>。</w:t>
      </w:r>
    </w:p>
    <w:p w14:paraId="1935FEB7">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73" w:name="_Toc386638597"/>
      <w:r>
        <w:rPr>
          <w:rFonts w:hint="eastAsia" w:ascii="宋体" w:hAnsi="宋体" w:eastAsia="宋体" w:cs="宋体"/>
          <w:b w:val="0"/>
          <w:color w:val="000000"/>
          <w:sz w:val="22"/>
          <w:szCs w:val="22"/>
          <w:highlight w:val="none"/>
        </w:rPr>
        <w:t>五、项目经理</w:t>
      </w:r>
      <w:bookmarkEnd w:id="73"/>
    </w:p>
    <w:p w14:paraId="0B8E83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承包人项目经理：</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A49F52F">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74" w:name="_Toc386638598"/>
      <w:r>
        <w:rPr>
          <w:rFonts w:hint="eastAsia" w:ascii="宋体" w:hAnsi="宋体" w:eastAsia="宋体" w:cs="宋体"/>
          <w:b w:val="0"/>
          <w:color w:val="000000"/>
          <w:sz w:val="22"/>
          <w:szCs w:val="22"/>
          <w:highlight w:val="none"/>
        </w:rPr>
        <w:t>六、合同文件构成</w:t>
      </w:r>
      <w:bookmarkEnd w:id="74"/>
    </w:p>
    <w:p w14:paraId="49BD0E5C">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本协议书与下列文件一起构成合同文件：</w:t>
      </w:r>
    </w:p>
    <w:p w14:paraId="79FB94D5">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（1）中标通知书（如果有）；</w:t>
      </w:r>
    </w:p>
    <w:p w14:paraId="43C8697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（2）投标函及其附录（如果有）； </w:t>
      </w:r>
    </w:p>
    <w:p w14:paraId="408DC9C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（3）专用合同条款及其附件；</w:t>
      </w:r>
    </w:p>
    <w:p w14:paraId="633E910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（4）通用合同条款；</w:t>
      </w:r>
    </w:p>
    <w:p w14:paraId="00ABBA6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（5）技术标准和要求；</w:t>
      </w:r>
    </w:p>
    <w:p w14:paraId="7E284EB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（6）图纸；</w:t>
      </w:r>
    </w:p>
    <w:p w14:paraId="50CB35B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（7）预算书；</w:t>
      </w:r>
    </w:p>
    <w:p w14:paraId="4E3EF21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（8）其他合同文件。</w:t>
      </w:r>
    </w:p>
    <w:p w14:paraId="59E5A31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在合同订立及履行过程中形成的与合同有关的文件均构成合同文件组成部分。</w:t>
      </w:r>
    </w:p>
    <w:p w14:paraId="249432D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上述各项合同文件包括合同当事人就该项合同文件所作出的补充和修改，属于同一类内容的文件，应以最新签署的为准。专用合同条款及其附件须经合同当事人签字或盖章。</w:t>
      </w:r>
    </w:p>
    <w:p w14:paraId="09C18FA4">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75" w:name="_Toc386638599"/>
      <w:r>
        <w:rPr>
          <w:rFonts w:hint="eastAsia" w:ascii="宋体" w:hAnsi="宋体" w:eastAsia="宋体" w:cs="宋体"/>
          <w:b w:val="0"/>
          <w:color w:val="000000"/>
          <w:sz w:val="22"/>
          <w:szCs w:val="22"/>
          <w:highlight w:val="none"/>
        </w:rPr>
        <w:t>七、承诺</w:t>
      </w:r>
      <w:bookmarkEnd w:id="75"/>
    </w:p>
    <w:p w14:paraId="5508901E">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1.发包人承诺按照法律规定履行项目审批手续、筹集工程建设资金并按照合同约定的期限和方式支付合同价款。</w:t>
      </w:r>
    </w:p>
    <w:p w14:paraId="5F1C995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2.承包人承诺按照法律规定及合同约定组织完成工程施工，确保工程质量和安全，不进行转包及违法分包，并在缺陷责任期及保修期内承担相应的工程维修责任。</w:t>
      </w:r>
    </w:p>
    <w:p w14:paraId="44B58B28">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3.发包人和承包人通过招投标形式签订合同的，双方理解并承诺不再就同一工程另行签订与合同实质性内容相背离的协议。</w:t>
      </w:r>
    </w:p>
    <w:p w14:paraId="0192315A">
      <w:pPr>
        <w:spacing w:line="360" w:lineRule="auto"/>
        <w:rPr>
          <w:rFonts w:hint="eastAsia" w:ascii="宋体" w:hAnsi="宋体" w:eastAsia="宋体" w:cs="宋体"/>
          <w:bCs/>
          <w:color w:val="000000"/>
          <w:sz w:val="22"/>
          <w:szCs w:val="22"/>
          <w:highlight w:val="none"/>
        </w:rPr>
      </w:pPr>
      <w:r>
        <w:rPr>
          <w:rFonts w:hint="eastAsia" w:ascii="宋体" w:hAnsi="宋体" w:eastAsia="宋体" w:cs="宋体"/>
          <w:b/>
          <w:color w:val="000000"/>
          <w:sz w:val="22"/>
          <w:szCs w:val="22"/>
          <w:highlight w:val="none"/>
        </w:rPr>
        <w:t xml:space="preserve">    八、词语含义</w:t>
      </w:r>
    </w:p>
    <w:p w14:paraId="0390FAC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本协议书中词语含义与第二部分通用合同条款中赋予的含义相同。</w:t>
      </w:r>
    </w:p>
    <w:p w14:paraId="58FE4EA8">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r>
        <w:rPr>
          <w:rFonts w:hint="eastAsia" w:ascii="宋体" w:hAnsi="宋体" w:eastAsia="宋体" w:cs="宋体"/>
          <w:b w:val="0"/>
          <w:color w:val="000000"/>
          <w:sz w:val="22"/>
          <w:szCs w:val="22"/>
          <w:highlight w:val="none"/>
        </w:rPr>
        <w:t xml:space="preserve">  </w:t>
      </w:r>
      <w:bookmarkStart w:id="76" w:name="_Toc386638600"/>
      <w:r>
        <w:rPr>
          <w:rFonts w:hint="eastAsia" w:ascii="宋体" w:hAnsi="宋体" w:eastAsia="宋体" w:cs="宋体"/>
          <w:b w:val="0"/>
          <w:color w:val="000000"/>
          <w:sz w:val="22"/>
          <w:szCs w:val="22"/>
          <w:highlight w:val="none"/>
        </w:rPr>
        <w:t>九、签订时间</w:t>
      </w:r>
      <w:bookmarkEnd w:id="76"/>
    </w:p>
    <w:p w14:paraId="79671A7D">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本合同于</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年</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日签订。</w:t>
      </w:r>
    </w:p>
    <w:p w14:paraId="63AFD30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77" w:name="_Toc386638601"/>
      <w:r>
        <w:rPr>
          <w:rFonts w:hint="eastAsia" w:ascii="宋体" w:hAnsi="宋体" w:eastAsia="宋体" w:cs="宋体"/>
          <w:b w:val="0"/>
          <w:color w:val="000000"/>
          <w:sz w:val="22"/>
          <w:szCs w:val="22"/>
          <w:highlight w:val="none"/>
        </w:rPr>
        <w:t>十、签订地点</w:t>
      </w:r>
      <w:bookmarkEnd w:id="77"/>
    </w:p>
    <w:p w14:paraId="215A681F">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本合同在</w:t>
      </w:r>
      <w:r>
        <w:rPr>
          <w:rFonts w:hint="eastAsia" w:ascii="宋体" w:hAnsi="宋体" w:eastAsia="宋体" w:cs="宋体"/>
          <w:bCs/>
          <w:color w:val="000000"/>
          <w:sz w:val="22"/>
          <w:szCs w:val="22"/>
          <w:highlight w:val="none"/>
          <w:u w:val="single"/>
        </w:rPr>
        <w:t xml:space="preserve"> </w:t>
      </w:r>
      <w:r>
        <w:rPr>
          <w:rFonts w:hint="eastAsia" w:ascii="宋体" w:hAnsi="宋体" w:cs="宋体"/>
          <w:bCs/>
          <w:color w:val="000000"/>
          <w:sz w:val="22"/>
          <w:szCs w:val="22"/>
          <w:highlight w:val="none"/>
          <w:u w:val="single"/>
          <w:lang w:eastAsia="zh-CN"/>
        </w:rPr>
        <w:t xml:space="preserve">宁海县民政局 </w:t>
      </w:r>
      <w:r>
        <w:rPr>
          <w:rFonts w:hint="eastAsia" w:ascii="宋体" w:hAnsi="宋体" w:eastAsia="宋体" w:cs="宋体"/>
          <w:bCs/>
          <w:color w:val="000000"/>
          <w:sz w:val="22"/>
          <w:szCs w:val="22"/>
          <w:highlight w:val="none"/>
        </w:rPr>
        <w:t>签订。</w:t>
      </w:r>
    </w:p>
    <w:p w14:paraId="06C841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78" w:name="_Toc386638602"/>
      <w:r>
        <w:rPr>
          <w:rFonts w:hint="eastAsia" w:ascii="宋体" w:hAnsi="宋体" w:eastAsia="宋体" w:cs="宋体"/>
          <w:b w:val="0"/>
          <w:color w:val="000000"/>
          <w:sz w:val="22"/>
          <w:szCs w:val="22"/>
          <w:highlight w:val="none"/>
        </w:rPr>
        <w:t>十一、补充协议</w:t>
      </w:r>
      <w:bookmarkEnd w:id="78"/>
    </w:p>
    <w:p w14:paraId="05185D14">
      <w:pPr>
        <w:spacing w:line="360" w:lineRule="auto"/>
        <w:ind w:firstLine="440" w:firstLineChars="200"/>
        <w:rPr>
          <w:rFonts w:hint="eastAsia" w:ascii="宋体" w:hAnsi="宋体" w:eastAsia="宋体" w:cs="宋体"/>
          <w:b/>
          <w:bCs/>
          <w:color w:val="000000"/>
          <w:sz w:val="22"/>
          <w:szCs w:val="22"/>
          <w:highlight w:val="none"/>
        </w:rPr>
      </w:pPr>
      <w:r>
        <w:rPr>
          <w:rFonts w:hint="eastAsia" w:ascii="宋体" w:hAnsi="宋体" w:eastAsia="宋体" w:cs="宋体"/>
          <w:bCs/>
          <w:color w:val="000000"/>
          <w:sz w:val="22"/>
          <w:szCs w:val="22"/>
          <w:highlight w:val="none"/>
        </w:rPr>
        <w:t>合同未尽事宜，合同当事人另行签订补充协议，补充协议是合同的组成部分。</w:t>
      </w:r>
    </w:p>
    <w:p w14:paraId="29BC7940">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79" w:name="_Toc386638603"/>
      <w:r>
        <w:rPr>
          <w:rFonts w:hint="eastAsia" w:ascii="宋体" w:hAnsi="宋体" w:eastAsia="宋体" w:cs="宋体"/>
          <w:b w:val="0"/>
          <w:color w:val="000000"/>
          <w:sz w:val="22"/>
          <w:szCs w:val="22"/>
          <w:highlight w:val="none"/>
        </w:rPr>
        <w:t>十二、合同生效</w:t>
      </w:r>
      <w:bookmarkEnd w:id="79"/>
    </w:p>
    <w:p w14:paraId="0C799912">
      <w:pPr>
        <w:spacing w:line="360" w:lineRule="auto"/>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本合同自</w:t>
      </w:r>
      <w:r>
        <w:rPr>
          <w:rFonts w:hint="eastAsia" w:ascii="宋体" w:hAnsi="宋体" w:eastAsia="宋体" w:cs="宋体"/>
          <w:bCs/>
          <w:color w:val="000000"/>
          <w:sz w:val="22"/>
          <w:szCs w:val="22"/>
          <w:highlight w:val="none"/>
          <w:u w:val="single"/>
        </w:rPr>
        <w:t>双方加盖单位印章并经法定代表人或其委托代理人签字，并按约定提供履约担保后</w:t>
      </w:r>
      <w:r>
        <w:rPr>
          <w:rFonts w:hint="eastAsia" w:ascii="宋体" w:hAnsi="宋体" w:eastAsia="宋体" w:cs="宋体"/>
          <w:bCs/>
          <w:color w:val="000000"/>
          <w:sz w:val="22"/>
          <w:szCs w:val="22"/>
          <w:highlight w:val="none"/>
        </w:rPr>
        <w:t>生效。</w:t>
      </w:r>
    </w:p>
    <w:p w14:paraId="1D14523C">
      <w:pPr>
        <w:pStyle w:val="5"/>
        <w:keepNext w:val="0"/>
        <w:keepLines w:val="0"/>
        <w:numPr>
          <w:ilvl w:val="3"/>
          <w:numId w:val="0"/>
        </w:numPr>
        <w:tabs>
          <w:tab w:val="clear" w:pos="864"/>
        </w:tabs>
        <w:spacing w:before="120" w:after="120" w:line="360" w:lineRule="auto"/>
        <w:ind w:left="864" w:hanging="864"/>
        <w:rPr>
          <w:rFonts w:hint="eastAsia" w:ascii="宋体" w:hAnsi="宋体" w:eastAsia="宋体" w:cs="宋体"/>
          <w:bCs w:val="0"/>
          <w:color w:val="000000"/>
          <w:sz w:val="22"/>
          <w:szCs w:val="22"/>
          <w:highlight w:val="none"/>
        </w:rPr>
      </w:pPr>
      <w:r>
        <w:rPr>
          <w:rFonts w:hint="eastAsia" w:ascii="宋体" w:hAnsi="宋体" w:eastAsia="宋体" w:cs="宋体"/>
          <w:bCs w:val="0"/>
          <w:color w:val="000000"/>
          <w:sz w:val="22"/>
          <w:szCs w:val="22"/>
          <w:highlight w:val="none"/>
        </w:rPr>
        <w:t xml:space="preserve">    </w:t>
      </w:r>
      <w:bookmarkStart w:id="80" w:name="_Toc386638604"/>
      <w:r>
        <w:rPr>
          <w:rFonts w:hint="eastAsia" w:ascii="宋体" w:hAnsi="宋体" w:eastAsia="宋体" w:cs="宋体"/>
          <w:b w:val="0"/>
          <w:color w:val="000000"/>
          <w:sz w:val="22"/>
          <w:szCs w:val="22"/>
          <w:highlight w:val="none"/>
        </w:rPr>
        <w:t>十三、合同份数</w:t>
      </w:r>
      <w:bookmarkEnd w:id="80"/>
    </w:p>
    <w:p w14:paraId="339BDAF4">
      <w:pPr>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本合同一式</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u w:val="single"/>
          <w:lang w:val="en-US" w:eastAsia="zh-CN"/>
        </w:rPr>
        <w:t>捌</w:t>
      </w:r>
      <w:r>
        <w:rPr>
          <w:rFonts w:hint="eastAsia" w:ascii="宋体" w:hAnsi="宋体" w:eastAsia="宋体" w:cs="宋体"/>
          <w:bCs/>
          <w:sz w:val="22"/>
          <w:szCs w:val="22"/>
          <w:highlight w:val="none"/>
          <w:u w:val="single"/>
        </w:rPr>
        <w:t xml:space="preserve"> </w:t>
      </w:r>
      <w:r>
        <w:rPr>
          <w:rFonts w:hint="eastAsia" w:ascii="宋体" w:hAnsi="宋体" w:eastAsia="宋体" w:cs="宋体"/>
          <w:bCs/>
          <w:sz w:val="22"/>
          <w:szCs w:val="22"/>
          <w:highlight w:val="none"/>
        </w:rPr>
        <w:t>份，均具有同等法律效力，发包人执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份，承包人执</w:t>
      </w:r>
      <w:r>
        <w:rPr>
          <w:rFonts w:hint="eastAsia" w:ascii="宋体" w:hAnsi="宋体" w:eastAsia="宋体" w:cs="宋体"/>
          <w:bCs/>
          <w:sz w:val="22"/>
          <w:szCs w:val="22"/>
          <w:highlight w:val="none"/>
          <w:u w:val="single"/>
        </w:rPr>
        <w:t xml:space="preserve"> 叁 </w:t>
      </w:r>
      <w:r>
        <w:rPr>
          <w:rFonts w:hint="eastAsia" w:ascii="宋体" w:hAnsi="宋体" w:eastAsia="宋体" w:cs="宋体"/>
          <w:bCs/>
          <w:sz w:val="22"/>
          <w:szCs w:val="22"/>
          <w:highlight w:val="none"/>
        </w:rPr>
        <w:t>份，送甲、乙双方的监督单位各一份。</w:t>
      </w:r>
    </w:p>
    <w:p w14:paraId="598F4999">
      <w:pPr>
        <w:spacing w:line="360" w:lineRule="auto"/>
        <w:rPr>
          <w:rFonts w:hint="eastAsia" w:ascii="宋体" w:hAnsi="宋体" w:eastAsia="宋体" w:cs="宋体"/>
          <w:bCs/>
          <w:sz w:val="22"/>
          <w:szCs w:val="22"/>
          <w:highlight w:val="none"/>
        </w:rPr>
      </w:pPr>
    </w:p>
    <w:p w14:paraId="494F9C6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  (公章)             承包人：  (公章)</w:t>
      </w:r>
    </w:p>
    <w:p w14:paraId="4C49EB35">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 xml:space="preserve">                                 </w:t>
      </w:r>
    </w:p>
    <w:p w14:paraId="1AD9E81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法定代表人或其委托代理人：  法定代表人或其委托代理人：</w:t>
      </w:r>
    </w:p>
    <w:p w14:paraId="0AEE3E6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（签字）                    （签字）</w:t>
      </w:r>
    </w:p>
    <w:p w14:paraId="442EB3E9">
      <w:pPr>
        <w:tabs>
          <w:tab w:val="left" w:pos="4410"/>
        </w:tabs>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组织机构代码：</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18D481F9">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  址：</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地  址：</w:t>
      </w:r>
      <w:r>
        <w:rPr>
          <w:rFonts w:hint="eastAsia" w:ascii="宋体" w:hAnsi="宋体" w:eastAsia="宋体" w:cs="宋体"/>
          <w:color w:val="000000"/>
          <w:sz w:val="22"/>
          <w:szCs w:val="22"/>
          <w:highlight w:val="none"/>
          <w:u w:val="single"/>
        </w:rPr>
        <w:t xml:space="preserve">        </w:t>
      </w:r>
    </w:p>
    <w:p w14:paraId="03CF41C1">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邮政编码：</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 xml:space="preserve">  邮政编码：</w:t>
      </w:r>
      <w:r>
        <w:rPr>
          <w:rFonts w:hint="eastAsia" w:ascii="宋体" w:hAnsi="宋体" w:eastAsia="宋体" w:cs="宋体"/>
          <w:color w:val="000000"/>
          <w:sz w:val="22"/>
          <w:szCs w:val="22"/>
          <w:highlight w:val="none"/>
          <w:u w:val="single"/>
        </w:rPr>
        <w:t xml:space="preserve">   </w:t>
      </w:r>
    </w:p>
    <w:p w14:paraId="3F9C64A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法定代表人：</w:t>
      </w:r>
      <w:r>
        <w:rPr>
          <w:rFonts w:hint="eastAsia" w:ascii="宋体" w:hAnsi="宋体" w:eastAsia="宋体" w:cs="宋体"/>
          <w:color w:val="000000"/>
          <w:sz w:val="22"/>
          <w:szCs w:val="22"/>
          <w:highlight w:val="none"/>
          <w:u w:val="single"/>
        </w:rPr>
        <w:t xml:space="preserve">             </w:t>
      </w:r>
    </w:p>
    <w:p w14:paraId="4965016E">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委托代理人：</w:t>
      </w:r>
      <w:r>
        <w:rPr>
          <w:rFonts w:hint="eastAsia" w:ascii="宋体" w:hAnsi="宋体" w:eastAsia="宋体" w:cs="宋体"/>
          <w:color w:val="000000"/>
          <w:sz w:val="22"/>
          <w:szCs w:val="22"/>
          <w:highlight w:val="none"/>
          <w:u w:val="single"/>
        </w:rPr>
        <w:t xml:space="preserve">             </w:t>
      </w:r>
    </w:p>
    <w:p w14:paraId="5D61E4D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  话：</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  话：</w:t>
      </w:r>
      <w:r>
        <w:rPr>
          <w:rFonts w:hint="eastAsia" w:ascii="宋体" w:hAnsi="宋体" w:eastAsia="宋体" w:cs="宋体"/>
          <w:color w:val="000000"/>
          <w:sz w:val="22"/>
          <w:szCs w:val="22"/>
          <w:highlight w:val="none"/>
          <w:u w:val="single"/>
        </w:rPr>
        <w:t xml:space="preserve">     </w:t>
      </w:r>
    </w:p>
    <w:p w14:paraId="50CEC58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传  真：</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传  真：</w:t>
      </w:r>
      <w:r>
        <w:rPr>
          <w:rFonts w:hint="eastAsia" w:ascii="宋体" w:hAnsi="宋体" w:eastAsia="宋体" w:cs="宋体"/>
          <w:color w:val="000000"/>
          <w:sz w:val="22"/>
          <w:szCs w:val="22"/>
          <w:highlight w:val="none"/>
          <w:u w:val="single"/>
        </w:rPr>
        <w:t xml:space="preserve">     </w:t>
      </w:r>
    </w:p>
    <w:p w14:paraId="0D323EB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电子信箱：</w:t>
      </w:r>
      <w:r>
        <w:rPr>
          <w:rFonts w:hint="eastAsia" w:ascii="宋体" w:hAnsi="宋体" w:eastAsia="宋体" w:cs="宋体"/>
          <w:color w:val="000000"/>
          <w:sz w:val="22"/>
          <w:szCs w:val="22"/>
          <w:highlight w:val="none"/>
          <w:u w:val="single"/>
        </w:rPr>
        <w:t xml:space="preserve">   </w:t>
      </w:r>
    </w:p>
    <w:p w14:paraId="01803DA5">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开户银行：</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开户银行：</w:t>
      </w:r>
      <w:r>
        <w:rPr>
          <w:rFonts w:hint="eastAsia" w:ascii="宋体" w:hAnsi="宋体" w:eastAsia="宋体" w:cs="宋体"/>
          <w:color w:val="000000"/>
          <w:sz w:val="22"/>
          <w:szCs w:val="22"/>
          <w:highlight w:val="none"/>
          <w:u w:val="single"/>
        </w:rPr>
        <w:t xml:space="preserve">   </w:t>
      </w:r>
    </w:p>
    <w:p w14:paraId="0CF594F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账  号：</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账  号：</w:t>
      </w:r>
      <w:r>
        <w:rPr>
          <w:rFonts w:hint="eastAsia" w:ascii="宋体" w:hAnsi="宋体" w:eastAsia="宋体" w:cs="宋体"/>
          <w:color w:val="000000"/>
          <w:sz w:val="22"/>
          <w:szCs w:val="22"/>
          <w:highlight w:val="none"/>
          <w:u w:val="single"/>
        </w:rPr>
        <w:t xml:space="preserve">     </w:t>
      </w:r>
    </w:p>
    <w:p w14:paraId="1D724CDF">
      <w:pPr>
        <w:rPr>
          <w:rFonts w:ascii="黑体" w:hAnsi="宋体" w:eastAsia="黑体"/>
          <w:color w:val="000000"/>
          <w:highlight w:val="none"/>
        </w:rPr>
      </w:pPr>
      <w:bookmarkStart w:id="81" w:name="_Toc386638605"/>
      <w:r>
        <w:rPr>
          <w:rFonts w:ascii="黑体" w:hAnsi="宋体" w:eastAsia="黑体"/>
          <w:color w:val="000000"/>
          <w:highlight w:val="none"/>
        </w:rPr>
        <w:br w:type="page"/>
      </w:r>
    </w:p>
    <w:p w14:paraId="7CCD29D9">
      <w:pPr>
        <w:pStyle w:val="4"/>
        <w:keepNext w:val="0"/>
        <w:keepLines w:val="0"/>
        <w:numPr>
          <w:ilvl w:val="2"/>
          <w:numId w:val="0"/>
        </w:numPr>
        <w:tabs>
          <w:tab w:val="clear" w:pos="900"/>
        </w:tabs>
        <w:ind w:left="900" w:hanging="720"/>
        <w:jc w:val="center"/>
        <w:rPr>
          <w:rFonts w:hint="eastAsia" w:ascii="黑体" w:hAnsi="宋体" w:eastAsia="黑体"/>
          <w:color w:val="000000"/>
          <w:highlight w:val="none"/>
        </w:rPr>
      </w:pPr>
      <w:r>
        <w:rPr>
          <w:rFonts w:ascii="黑体" w:hAnsi="宋体" w:eastAsia="黑体"/>
          <w:color w:val="000000"/>
          <w:highlight w:val="none"/>
        </w:rPr>
        <w:t>第二部分 通用合同条款</w:t>
      </w:r>
      <w:bookmarkEnd w:id="81"/>
      <w:bookmarkStart w:id="82" w:name="_Toc337558727"/>
    </w:p>
    <w:p w14:paraId="27191CE4">
      <w:pPr>
        <w:spacing w:line="440" w:lineRule="exact"/>
        <w:ind w:firstLine="503" w:firstLineChars="22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通用合同条款直接引用中国建筑工业出版社出版的《建设工程施工合同（示范文本）（GF-2013-0201）第二部分“通用合同条款”内容。</w:t>
      </w:r>
    </w:p>
    <w:bookmarkEnd w:id="82"/>
    <w:p w14:paraId="346F16CA">
      <w:pPr>
        <w:spacing w:line="360" w:lineRule="auto"/>
        <w:jc w:val="center"/>
        <w:outlineLvl w:val="1"/>
        <w:rPr>
          <w:rFonts w:hint="eastAsia" w:eastAsia="黑体"/>
          <w:color w:val="000000"/>
          <w:sz w:val="32"/>
          <w:highlight w:val="none"/>
        </w:rPr>
      </w:pPr>
      <w:bookmarkStart w:id="83" w:name="_Toc411083384"/>
      <w:bookmarkStart w:id="84" w:name="_Toc296944502"/>
      <w:bookmarkStart w:id="85" w:name="_Toc292559872"/>
      <w:bookmarkStart w:id="86" w:name="_Toc296503163"/>
      <w:bookmarkStart w:id="87" w:name="_Toc296346664"/>
      <w:bookmarkStart w:id="88" w:name="_Toc296890991"/>
      <w:bookmarkStart w:id="89" w:name="_Toc292559367"/>
      <w:bookmarkStart w:id="90" w:name="_Toc297120463"/>
      <w:bookmarkStart w:id="91" w:name="_Toc297048349"/>
      <w:bookmarkStart w:id="92" w:name="_Toc296347162"/>
      <w:bookmarkStart w:id="93" w:name="_Toc296891203"/>
    </w:p>
    <w:p w14:paraId="1F0EDF7E">
      <w:pPr>
        <w:spacing w:line="360" w:lineRule="auto"/>
        <w:jc w:val="center"/>
        <w:outlineLvl w:val="1"/>
        <w:rPr>
          <w:rFonts w:eastAsia="黑体"/>
          <w:color w:val="000000"/>
          <w:sz w:val="32"/>
          <w:highlight w:val="none"/>
        </w:rPr>
      </w:pPr>
      <w:r>
        <w:rPr>
          <w:rFonts w:hint="eastAsia" w:eastAsia="黑体"/>
          <w:color w:val="000000"/>
          <w:sz w:val="32"/>
          <w:highlight w:val="none"/>
        </w:rPr>
        <w:t>第三部分</w:t>
      </w:r>
      <w:r>
        <w:rPr>
          <w:rFonts w:eastAsia="黑体"/>
          <w:color w:val="000000"/>
          <w:sz w:val="32"/>
          <w:highlight w:val="none"/>
        </w:rPr>
        <w:t xml:space="preserve"> </w:t>
      </w:r>
      <w:r>
        <w:rPr>
          <w:rFonts w:hint="eastAsia" w:eastAsia="黑体"/>
          <w:color w:val="000000"/>
          <w:sz w:val="32"/>
          <w:highlight w:val="none"/>
        </w:rPr>
        <w:t>专用条款</w:t>
      </w:r>
      <w:bookmarkEnd w:id="83"/>
    </w:p>
    <w:p w14:paraId="6F14FE1B">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94" w:name="_Toc351203633"/>
      <w:bookmarkStart w:id="95" w:name="_Toc386638607"/>
      <w:r>
        <w:rPr>
          <w:rFonts w:hint="eastAsia" w:ascii="宋体" w:hAnsi="宋体" w:eastAsia="宋体" w:cs="宋体"/>
          <w:b w:val="0"/>
          <w:color w:val="000000"/>
          <w:sz w:val="22"/>
          <w:szCs w:val="22"/>
          <w:highlight w:val="none"/>
        </w:rPr>
        <w:t>1</w:t>
      </w:r>
      <w:bookmarkStart w:id="96" w:name="_Toc292559866"/>
      <w:bookmarkStart w:id="97" w:name="_Toc296347155"/>
      <w:bookmarkStart w:id="98" w:name="_Toc292559361"/>
      <w:bookmarkStart w:id="99" w:name="_Toc296944495"/>
      <w:bookmarkStart w:id="100" w:name="_Toc297048342"/>
      <w:bookmarkStart w:id="101" w:name="_Toc296891196"/>
      <w:bookmarkStart w:id="102" w:name="_Toc297120456"/>
      <w:bookmarkStart w:id="103" w:name="_Toc296503156"/>
      <w:bookmarkStart w:id="104" w:name="_Toc296346657"/>
      <w:bookmarkStart w:id="105" w:name="_Toc296890984"/>
      <w:r>
        <w:rPr>
          <w:rFonts w:hint="eastAsia" w:ascii="宋体" w:hAnsi="宋体" w:eastAsia="宋体" w:cs="宋体"/>
          <w:b w:val="0"/>
          <w:color w:val="000000"/>
          <w:sz w:val="22"/>
          <w:szCs w:val="22"/>
          <w:highlight w:val="none"/>
        </w:rPr>
        <w:t>. 一般约定</w:t>
      </w:r>
      <w:bookmarkEnd w:id="94"/>
      <w:bookmarkEnd w:id="95"/>
    </w:p>
    <w:bookmarkEnd w:id="96"/>
    <w:bookmarkEnd w:id="97"/>
    <w:bookmarkEnd w:id="98"/>
    <w:bookmarkEnd w:id="99"/>
    <w:bookmarkEnd w:id="100"/>
    <w:bookmarkEnd w:id="101"/>
    <w:bookmarkEnd w:id="102"/>
    <w:bookmarkEnd w:id="103"/>
    <w:bookmarkEnd w:id="104"/>
    <w:bookmarkEnd w:id="105"/>
    <w:p w14:paraId="150133B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 词语定义</w:t>
      </w:r>
    </w:p>
    <w:p w14:paraId="0DF62E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1.1.1合同</w:t>
      </w:r>
    </w:p>
    <w:p w14:paraId="12C7E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1.1.1.10其他合同文件包括：</w:t>
      </w:r>
      <w:r>
        <w:rPr>
          <w:rFonts w:hint="eastAsia" w:ascii="宋体" w:hAnsi="宋体" w:eastAsia="宋体" w:cs="宋体"/>
          <w:color w:val="000000"/>
          <w:sz w:val="22"/>
          <w:szCs w:val="22"/>
          <w:highlight w:val="none"/>
          <w:u w:val="single"/>
        </w:rPr>
        <w:t xml:space="preserve">双方与合同有关的工程设计变更联系单、洽商、签证等书面协议或文件 </w:t>
      </w:r>
      <w:r>
        <w:rPr>
          <w:rFonts w:hint="eastAsia" w:ascii="宋体" w:hAnsi="宋体" w:eastAsia="宋体" w:cs="宋体"/>
          <w:color w:val="000000"/>
          <w:sz w:val="22"/>
          <w:szCs w:val="22"/>
          <w:highlight w:val="none"/>
        </w:rPr>
        <w:t>。</w:t>
      </w:r>
    </w:p>
    <w:p w14:paraId="7ADC81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合同当事人及其他相关方</w:t>
      </w:r>
    </w:p>
    <w:p w14:paraId="7C2B283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1.1.2.4监理人：</w:t>
      </w:r>
    </w:p>
    <w:p w14:paraId="3268B2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BF683F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34F280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E2344A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DCB4B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25E2F5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1.1.2.5 设计人：</w:t>
      </w:r>
    </w:p>
    <w:p w14:paraId="6504F3F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名    称：</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1342CB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资质类别和等级：</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4082AB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F2148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4DD774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9DDB11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 工程和设备</w:t>
      </w:r>
    </w:p>
    <w:p w14:paraId="2A9A20F1">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1.1.3.7 作为施工现场组成部分的其他场所包括：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803307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1.1.3.9 永久占地包括：</w:t>
      </w:r>
      <w:r>
        <w:rPr>
          <w:rFonts w:hint="eastAsia" w:ascii="宋体" w:hAnsi="宋体" w:eastAsia="宋体" w:cs="宋体"/>
          <w:color w:val="000000"/>
          <w:sz w:val="22"/>
          <w:szCs w:val="22"/>
          <w:highlight w:val="none"/>
          <w:u w:val="single"/>
        </w:rPr>
        <w:t xml:space="preserve">            /            </w:t>
      </w:r>
      <w:r>
        <w:rPr>
          <w:rFonts w:hint="eastAsia" w:ascii="宋体" w:hAnsi="宋体" w:eastAsia="宋体" w:cs="宋体"/>
          <w:color w:val="000000"/>
          <w:sz w:val="22"/>
          <w:szCs w:val="22"/>
          <w:highlight w:val="none"/>
        </w:rPr>
        <w:t>。</w:t>
      </w:r>
    </w:p>
    <w:p w14:paraId="4C75694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1.1.3.10 临时占地包括：</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6728723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1.3法律 </w:t>
      </w:r>
    </w:p>
    <w:p w14:paraId="180B7D29">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适用于合同的其他规范性文件：</w:t>
      </w:r>
      <w:r>
        <w:rPr>
          <w:rFonts w:hint="eastAsia" w:ascii="宋体" w:hAnsi="宋体" w:eastAsia="宋体" w:cs="宋体"/>
          <w:color w:val="000000"/>
          <w:sz w:val="22"/>
          <w:szCs w:val="22"/>
          <w:highlight w:val="none"/>
          <w:u w:val="single"/>
        </w:rPr>
        <w:t>浙江省、宁波市、宁海县有关工程建设的法规、规章及规范性文件</w:t>
      </w:r>
      <w:r>
        <w:rPr>
          <w:rFonts w:hint="eastAsia" w:ascii="宋体" w:hAnsi="宋体" w:eastAsia="宋体" w:cs="宋体"/>
          <w:color w:val="000000"/>
          <w:sz w:val="22"/>
          <w:szCs w:val="22"/>
          <w:highlight w:val="none"/>
        </w:rPr>
        <w:t>。</w:t>
      </w:r>
    </w:p>
    <w:p w14:paraId="407FE2E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 标准和规范</w:t>
      </w:r>
    </w:p>
    <w:p w14:paraId="79B702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1.4.1适用于工程的标准规范包括：</w:t>
      </w:r>
      <w:r>
        <w:rPr>
          <w:rFonts w:hint="eastAsia" w:ascii="宋体" w:hAnsi="宋体" w:eastAsia="宋体" w:cs="宋体"/>
          <w:color w:val="000000"/>
          <w:sz w:val="22"/>
          <w:szCs w:val="22"/>
          <w:highlight w:val="none"/>
          <w:u w:val="single"/>
        </w:rPr>
        <w:t>国家、浙江省、宁波市有关工程建设相关的施工及验收规范和标准</w:t>
      </w:r>
      <w:r>
        <w:rPr>
          <w:rFonts w:hint="eastAsia" w:ascii="宋体" w:hAnsi="宋体" w:eastAsia="宋体" w:cs="宋体"/>
          <w:color w:val="000000"/>
          <w:sz w:val="22"/>
          <w:szCs w:val="22"/>
          <w:highlight w:val="none"/>
        </w:rPr>
        <w:t>。</w:t>
      </w:r>
    </w:p>
    <w:p w14:paraId="113B89E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 发包人提供国外标准、规范的名称：</w:t>
      </w:r>
    </w:p>
    <w:p w14:paraId="6F0A0EC7">
      <w:pPr>
        <w:spacing w:line="360" w:lineRule="auto"/>
        <w:ind w:firstLine="330" w:firstLineChars="1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2698A3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发包人提供国外标准、规范的份数：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4AFD2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发包人提供国外标准、规范的名称：</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8DDB3BD">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1.4.3发包人对工程的技术标准和功能要求的特殊要求：</w:t>
      </w:r>
    </w:p>
    <w:p w14:paraId="20F3920A">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124E47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 合同文件的优先顺序</w:t>
      </w:r>
    </w:p>
    <w:p w14:paraId="6A5020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合同文件组成及优先顺序为：</w:t>
      </w:r>
      <w:r>
        <w:rPr>
          <w:rFonts w:hint="eastAsia" w:ascii="宋体" w:hAnsi="宋体" w:eastAsia="宋体" w:cs="宋体"/>
          <w:color w:val="000000"/>
          <w:sz w:val="22"/>
          <w:szCs w:val="22"/>
          <w:highlight w:val="none"/>
          <w:u w:val="single"/>
        </w:rPr>
        <w:t>（1）合同协议书；（2）中标通知书；（3）投标函及其附录；（4）专用合同条款及其附件；（5）通用合同条款；（6）技术标准和要求；（7）图纸；（8）预算书；（9）其他合同文件。</w:t>
      </w:r>
    </w:p>
    <w:p w14:paraId="2DFF4C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 图纸和承包人文件</w:t>
      </w:r>
      <w:r>
        <w:rPr>
          <w:rFonts w:hint="eastAsia" w:ascii="宋体" w:hAnsi="宋体" w:eastAsia="宋体" w:cs="宋体"/>
          <w:color w:val="000000"/>
          <w:sz w:val="22"/>
          <w:szCs w:val="22"/>
          <w:highlight w:val="none"/>
        </w:rPr>
        <w:tab/>
      </w:r>
    </w:p>
    <w:p w14:paraId="1D0887E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图纸的提供</w:t>
      </w:r>
    </w:p>
    <w:p w14:paraId="771EFFA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发包人向承包人提供图纸的期限：</w:t>
      </w:r>
      <w:r>
        <w:rPr>
          <w:rFonts w:hint="eastAsia" w:ascii="宋体" w:hAnsi="宋体" w:eastAsia="宋体" w:cs="宋体"/>
          <w:color w:val="000000"/>
          <w:sz w:val="22"/>
          <w:szCs w:val="22"/>
          <w:highlight w:val="none"/>
          <w:u w:val="single"/>
        </w:rPr>
        <w:t>向承包人发出中标通知书后3天内</w:t>
      </w:r>
      <w:r>
        <w:rPr>
          <w:rFonts w:hint="eastAsia" w:ascii="宋体" w:hAnsi="宋体" w:eastAsia="宋体" w:cs="宋体"/>
          <w:color w:val="000000"/>
          <w:sz w:val="22"/>
          <w:szCs w:val="22"/>
          <w:highlight w:val="none"/>
        </w:rPr>
        <w:t>；</w:t>
      </w:r>
    </w:p>
    <w:p w14:paraId="6F667EF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发包人向承包人提供图纸的数量：</w:t>
      </w:r>
      <w:r>
        <w:rPr>
          <w:rFonts w:hint="eastAsia" w:ascii="宋体" w:hAnsi="宋体" w:eastAsia="宋体" w:cs="宋体"/>
          <w:color w:val="000000"/>
          <w:sz w:val="22"/>
          <w:szCs w:val="22"/>
          <w:highlight w:val="none"/>
          <w:u w:val="single"/>
        </w:rPr>
        <w:t>2套</w:t>
      </w:r>
      <w:r>
        <w:rPr>
          <w:rFonts w:hint="eastAsia" w:ascii="宋体" w:hAnsi="宋体" w:eastAsia="宋体" w:cs="宋体"/>
          <w:color w:val="000000"/>
          <w:sz w:val="22"/>
          <w:szCs w:val="22"/>
          <w:highlight w:val="none"/>
        </w:rPr>
        <w:t>；</w:t>
      </w:r>
    </w:p>
    <w:p w14:paraId="095961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发包人向承包人提供图纸的内容：</w:t>
      </w:r>
      <w:r>
        <w:rPr>
          <w:rFonts w:hint="eastAsia" w:ascii="宋体" w:hAnsi="宋体" w:eastAsia="宋体" w:cs="宋体"/>
          <w:color w:val="000000"/>
          <w:sz w:val="22"/>
          <w:szCs w:val="22"/>
          <w:highlight w:val="none"/>
          <w:u w:val="single"/>
        </w:rPr>
        <w:t>工程承包范围内的各专业工程</w:t>
      </w:r>
      <w:r>
        <w:rPr>
          <w:rFonts w:hint="eastAsia" w:ascii="宋体" w:hAnsi="宋体" w:eastAsia="宋体" w:cs="宋体"/>
          <w:color w:val="000000"/>
          <w:sz w:val="22"/>
          <w:szCs w:val="22"/>
          <w:highlight w:val="none"/>
        </w:rPr>
        <w:t>。</w:t>
      </w:r>
    </w:p>
    <w:p w14:paraId="6425794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1.6.4 承包人文件</w:t>
      </w:r>
    </w:p>
    <w:p w14:paraId="1B6226EA">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需要由承包人提供的文件，包括：</w:t>
      </w:r>
      <w:r>
        <w:rPr>
          <w:rFonts w:hint="eastAsia" w:ascii="宋体" w:hAnsi="宋体" w:eastAsia="宋体" w:cs="宋体"/>
          <w:color w:val="000000"/>
          <w:sz w:val="22"/>
          <w:szCs w:val="22"/>
          <w:highlight w:val="none"/>
          <w:u w:val="single"/>
        </w:rPr>
        <w:t>施工组织设计、工程进度计划、专项施工方案、加工图、大样图、协调配合图等</w:t>
      </w:r>
      <w:r>
        <w:rPr>
          <w:rFonts w:hint="eastAsia" w:ascii="宋体" w:hAnsi="宋体" w:eastAsia="宋体" w:cs="宋体"/>
          <w:color w:val="000000"/>
          <w:sz w:val="22"/>
          <w:szCs w:val="22"/>
          <w:highlight w:val="none"/>
        </w:rPr>
        <w:t>；</w:t>
      </w:r>
    </w:p>
    <w:p w14:paraId="5A4FCE9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承包人提供的文件的期限为：</w:t>
      </w:r>
      <w:r>
        <w:rPr>
          <w:rFonts w:hint="eastAsia" w:ascii="宋体" w:hAnsi="宋体" w:eastAsia="宋体" w:cs="宋体"/>
          <w:color w:val="000000"/>
          <w:sz w:val="22"/>
          <w:szCs w:val="22"/>
          <w:highlight w:val="none"/>
          <w:u w:val="single"/>
        </w:rPr>
        <w:t>施工组织设计、工程进度计划在工程开工前15天，其他文件在相应专项工程或部位施工前5天</w:t>
      </w:r>
      <w:r>
        <w:rPr>
          <w:rFonts w:hint="eastAsia" w:ascii="宋体" w:hAnsi="宋体" w:eastAsia="宋体" w:cs="宋体"/>
          <w:color w:val="000000"/>
          <w:sz w:val="22"/>
          <w:szCs w:val="22"/>
          <w:highlight w:val="none"/>
        </w:rPr>
        <w:t>；</w:t>
      </w:r>
    </w:p>
    <w:p w14:paraId="4DC24F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承包人提供的文件的数量为：</w:t>
      </w:r>
      <w:r>
        <w:rPr>
          <w:rFonts w:hint="eastAsia" w:ascii="宋体" w:hAnsi="宋体" w:eastAsia="宋体" w:cs="宋体"/>
          <w:color w:val="000000"/>
          <w:sz w:val="22"/>
          <w:szCs w:val="22"/>
          <w:highlight w:val="none"/>
          <w:u w:val="single"/>
        </w:rPr>
        <w:t>   一式五套、电子版一套        </w:t>
      </w:r>
      <w:r>
        <w:rPr>
          <w:rFonts w:hint="eastAsia" w:ascii="宋体" w:hAnsi="宋体" w:eastAsia="宋体" w:cs="宋体"/>
          <w:color w:val="000000"/>
          <w:sz w:val="22"/>
          <w:szCs w:val="22"/>
          <w:highlight w:val="none"/>
        </w:rPr>
        <w:t>；</w:t>
      </w:r>
    </w:p>
    <w:p w14:paraId="08E46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承包人提供的文件的形式为：</w:t>
      </w:r>
      <w:r>
        <w:rPr>
          <w:rFonts w:hint="eastAsia" w:ascii="宋体" w:hAnsi="宋体" w:eastAsia="宋体" w:cs="宋体"/>
          <w:color w:val="000000"/>
          <w:sz w:val="22"/>
          <w:szCs w:val="22"/>
          <w:highlight w:val="none"/>
          <w:u w:val="single"/>
        </w:rPr>
        <w:t>纸质版本及电子版本       </w:t>
      </w:r>
      <w:r>
        <w:rPr>
          <w:rFonts w:hint="eastAsia" w:ascii="宋体" w:hAnsi="宋体" w:eastAsia="宋体" w:cs="宋体"/>
          <w:color w:val="000000"/>
          <w:sz w:val="22"/>
          <w:szCs w:val="22"/>
          <w:highlight w:val="none"/>
        </w:rPr>
        <w:t>；</w:t>
      </w:r>
    </w:p>
    <w:p w14:paraId="51682D2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发包人审批承包人文件的期限：</w:t>
      </w:r>
      <w:r>
        <w:rPr>
          <w:rFonts w:hint="eastAsia" w:ascii="宋体" w:hAnsi="宋体" w:eastAsia="宋体" w:cs="宋体"/>
          <w:color w:val="000000"/>
          <w:sz w:val="22"/>
          <w:szCs w:val="22"/>
          <w:highlight w:val="none"/>
          <w:u w:val="single"/>
        </w:rPr>
        <w:t xml:space="preserve">                 </w:t>
      </w:r>
      <w:r>
        <w:rPr>
          <w:rFonts w:hint="eastAsia" w:ascii="宋体" w:hAnsi="宋体" w:eastAsia="宋体" w:cs="宋体"/>
          <w:color w:val="000000"/>
          <w:sz w:val="22"/>
          <w:szCs w:val="22"/>
          <w:highlight w:val="none"/>
        </w:rPr>
        <w:t>。</w:t>
      </w:r>
    </w:p>
    <w:p w14:paraId="2E1564A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1.6.5 现场图纸准备</w:t>
      </w:r>
    </w:p>
    <w:p w14:paraId="0414B5F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关于现场图纸准备的约定：</w:t>
      </w:r>
      <w:r>
        <w:rPr>
          <w:rFonts w:hint="eastAsia" w:ascii="宋体" w:hAnsi="宋体" w:eastAsia="宋体" w:cs="宋体"/>
          <w:color w:val="000000"/>
          <w:sz w:val="22"/>
          <w:szCs w:val="22"/>
          <w:highlight w:val="none"/>
          <w:u w:val="single"/>
        </w:rPr>
        <w:t>承包人在施工现场保存至少一套完整的图纸和承包人文件</w:t>
      </w:r>
      <w:r>
        <w:rPr>
          <w:rFonts w:hint="eastAsia" w:ascii="宋体" w:hAnsi="宋体" w:eastAsia="宋体" w:cs="宋体"/>
          <w:color w:val="000000"/>
          <w:sz w:val="22"/>
          <w:szCs w:val="22"/>
          <w:highlight w:val="none"/>
        </w:rPr>
        <w:t>。</w:t>
      </w:r>
    </w:p>
    <w:p w14:paraId="4A0D3A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 联络</w:t>
      </w:r>
    </w:p>
    <w:p w14:paraId="0601B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1.7.1发包人和承包人应当在</w:t>
      </w:r>
      <w:r>
        <w:rPr>
          <w:rFonts w:hint="eastAsia" w:ascii="宋体" w:hAnsi="宋体" w:eastAsia="宋体" w:cs="宋体"/>
          <w:color w:val="000000"/>
          <w:sz w:val="22"/>
          <w:szCs w:val="22"/>
          <w:highlight w:val="none"/>
          <w:u w:val="single"/>
        </w:rPr>
        <w:t xml:space="preserve">  通用条款规定的时间  </w:t>
      </w:r>
      <w:r>
        <w:rPr>
          <w:rFonts w:hint="eastAsia" w:ascii="宋体" w:hAnsi="宋体" w:eastAsia="宋体" w:cs="宋体"/>
          <w:color w:val="000000"/>
          <w:sz w:val="22"/>
          <w:szCs w:val="22"/>
          <w:highlight w:val="none"/>
        </w:rPr>
        <w:t>内将与合同有关的通知、批准、证明、证书、指示、指令、要求、请求、同意、意见、确定和决定等书面函件送达对方当事人。</w:t>
      </w:r>
    </w:p>
    <w:p w14:paraId="6B7BBC6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1.7.2 发包人接收文件的地点：</w:t>
      </w:r>
      <w:r>
        <w:rPr>
          <w:rFonts w:hint="eastAsia" w:ascii="宋体" w:hAnsi="宋体" w:eastAsia="宋体" w:cs="宋体"/>
          <w:color w:val="000000"/>
          <w:sz w:val="22"/>
          <w:szCs w:val="22"/>
          <w:highlight w:val="none"/>
          <w:u w:val="single"/>
        </w:rPr>
        <w:t>发包人驻办公所在地</w:t>
      </w:r>
      <w:r>
        <w:rPr>
          <w:rFonts w:hint="eastAsia" w:ascii="宋体" w:hAnsi="宋体" w:eastAsia="宋体" w:cs="宋体"/>
          <w:color w:val="000000"/>
          <w:sz w:val="22"/>
          <w:szCs w:val="22"/>
          <w:highlight w:val="none"/>
        </w:rPr>
        <w:t>；</w:t>
      </w:r>
    </w:p>
    <w:p w14:paraId="11BC4F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发包人指定的接收人为：</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78A50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承包人接收文件的地点：</w:t>
      </w:r>
      <w:r>
        <w:rPr>
          <w:rFonts w:hint="eastAsia" w:ascii="宋体" w:hAnsi="宋体" w:eastAsia="宋体" w:cs="宋体"/>
          <w:color w:val="000000"/>
          <w:sz w:val="22"/>
          <w:szCs w:val="22"/>
          <w:highlight w:val="none"/>
          <w:u w:val="single"/>
        </w:rPr>
        <w:t>承包人驻办公所在地    </w:t>
      </w:r>
      <w:r>
        <w:rPr>
          <w:rFonts w:hint="eastAsia" w:ascii="宋体" w:hAnsi="宋体" w:eastAsia="宋体" w:cs="宋体"/>
          <w:color w:val="000000"/>
          <w:sz w:val="22"/>
          <w:szCs w:val="22"/>
          <w:highlight w:val="none"/>
        </w:rPr>
        <w:t>；</w:t>
      </w:r>
    </w:p>
    <w:p w14:paraId="21D5593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FEC0B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监理人接收文件的地点：</w:t>
      </w:r>
      <w:r>
        <w:rPr>
          <w:rFonts w:hint="eastAsia" w:ascii="宋体" w:hAnsi="宋体" w:eastAsia="宋体" w:cs="宋体"/>
          <w:color w:val="000000"/>
          <w:sz w:val="22"/>
          <w:szCs w:val="22"/>
          <w:highlight w:val="none"/>
          <w:u w:val="single"/>
        </w:rPr>
        <w:t>监理人驻办公所在地      </w:t>
      </w:r>
      <w:r>
        <w:rPr>
          <w:rFonts w:hint="eastAsia" w:ascii="宋体" w:hAnsi="宋体" w:eastAsia="宋体" w:cs="宋体"/>
          <w:color w:val="000000"/>
          <w:sz w:val="22"/>
          <w:szCs w:val="22"/>
          <w:highlight w:val="none"/>
        </w:rPr>
        <w:t>；</w:t>
      </w:r>
    </w:p>
    <w:p w14:paraId="221A66B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监理人指定的接收人为：</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6E79BA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 交通运输</w:t>
      </w:r>
    </w:p>
    <w:p w14:paraId="7578166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06" w:name="_Toc312677986"/>
      <w:bookmarkStart w:id="107" w:name="_Toc300934943"/>
      <w:bookmarkStart w:id="108" w:name="_Toc318581155"/>
      <w:bookmarkStart w:id="109" w:name="_Toc304295521"/>
      <w:bookmarkStart w:id="110" w:name="_Toc303539100"/>
      <w:r>
        <w:rPr>
          <w:rFonts w:hint="eastAsia" w:ascii="宋体" w:hAnsi="宋体" w:eastAsia="宋体" w:cs="宋体"/>
          <w:color w:val="000000"/>
          <w:sz w:val="22"/>
          <w:szCs w:val="22"/>
          <w:highlight w:val="none"/>
        </w:rPr>
        <w:t>.10.1 出入现场的权利</w:t>
      </w:r>
    </w:p>
    <w:p w14:paraId="0C45FFF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关于出入现场的权利的约定：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bookmarkEnd w:id="106"/>
    <w:bookmarkEnd w:id="107"/>
    <w:bookmarkEnd w:id="108"/>
    <w:bookmarkEnd w:id="109"/>
    <w:bookmarkEnd w:id="110"/>
    <w:p w14:paraId="0EB190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111" w:name="_Toc300934944"/>
      <w:bookmarkStart w:id="112" w:name="_Toc304295522"/>
      <w:bookmarkStart w:id="113" w:name="_Toc303539101"/>
      <w:bookmarkStart w:id="114" w:name="_Toc318581156"/>
      <w:bookmarkStart w:id="115" w:name="_Toc312677987"/>
      <w:r>
        <w:rPr>
          <w:rFonts w:hint="eastAsia" w:ascii="宋体" w:hAnsi="宋体" w:eastAsia="宋体" w:cs="宋体"/>
          <w:color w:val="000000"/>
          <w:sz w:val="22"/>
          <w:szCs w:val="22"/>
          <w:highlight w:val="none"/>
        </w:rPr>
        <w:t>.10.3 场内交通</w:t>
      </w:r>
    </w:p>
    <w:p w14:paraId="75A907D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关于场外交通和场内交通的边界的约定：</w:t>
      </w:r>
      <w:r>
        <w:rPr>
          <w:rFonts w:hint="eastAsia" w:ascii="宋体" w:hAnsi="宋体" w:eastAsia="宋体" w:cs="宋体"/>
          <w:color w:val="000000"/>
          <w:sz w:val="22"/>
          <w:szCs w:val="22"/>
          <w:highlight w:val="none"/>
          <w:u w:val="single"/>
        </w:rPr>
        <w:t>按本工程规划红线范围及桩号界定</w:t>
      </w:r>
      <w:r>
        <w:rPr>
          <w:rFonts w:hint="eastAsia" w:ascii="宋体" w:hAnsi="宋体" w:eastAsia="宋体" w:cs="宋体"/>
          <w:color w:val="000000"/>
          <w:sz w:val="22"/>
          <w:szCs w:val="22"/>
          <w:highlight w:val="none"/>
        </w:rPr>
        <w:t>。</w:t>
      </w:r>
    </w:p>
    <w:p w14:paraId="4B8C2E7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关于发包人向承包人免费提供满足工程施工需要的场内道路和交通设施的约定：  </w:t>
      </w:r>
      <w:r>
        <w:rPr>
          <w:rFonts w:hint="eastAsia" w:ascii="宋体" w:hAnsi="宋体" w:eastAsia="宋体" w:cs="宋体"/>
          <w:color w:val="000000"/>
          <w:sz w:val="22"/>
          <w:szCs w:val="22"/>
          <w:highlight w:val="none"/>
          <w:u w:val="single"/>
        </w:rPr>
        <w:t>承包人负责修建、维修、养护和管理施工所需的场内临时道路和交通设施，费用由承包人自行负责</w:t>
      </w:r>
      <w:r>
        <w:rPr>
          <w:rFonts w:hint="eastAsia" w:ascii="宋体" w:hAnsi="宋体" w:eastAsia="宋体" w:cs="宋体"/>
          <w:color w:val="000000"/>
          <w:sz w:val="22"/>
          <w:szCs w:val="22"/>
          <w:highlight w:val="none"/>
        </w:rPr>
        <w:t>。</w:t>
      </w:r>
      <w:bookmarkEnd w:id="111"/>
      <w:bookmarkEnd w:id="112"/>
      <w:bookmarkEnd w:id="113"/>
      <w:bookmarkEnd w:id="114"/>
      <w:bookmarkEnd w:id="115"/>
      <w:r>
        <w:rPr>
          <w:rFonts w:hint="eastAsia" w:ascii="宋体" w:hAnsi="宋体" w:eastAsia="宋体" w:cs="宋体"/>
          <w:color w:val="000000"/>
          <w:sz w:val="22"/>
          <w:szCs w:val="22"/>
          <w:highlight w:val="none"/>
        </w:rPr>
        <w:t xml:space="preserve">  </w:t>
      </w:r>
      <w:bookmarkStart w:id="116" w:name="_Toc318581157"/>
    </w:p>
    <w:p w14:paraId="24A3F60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1.10.4超大件和超重件的运输</w:t>
      </w:r>
    </w:p>
    <w:p w14:paraId="7AA6912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运输超大件或超重件所需的道路和桥梁临时加固改造费用和其他有关费用由</w:t>
      </w:r>
      <w:r>
        <w:rPr>
          <w:rFonts w:hint="eastAsia" w:ascii="宋体" w:hAnsi="宋体" w:eastAsia="宋体" w:cs="宋体"/>
          <w:color w:val="000000"/>
          <w:sz w:val="22"/>
          <w:szCs w:val="22"/>
          <w:highlight w:val="none"/>
          <w:u w:val="single"/>
        </w:rPr>
        <w:t xml:space="preserve"> 承包人</w:t>
      </w:r>
      <w:r>
        <w:rPr>
          <w:rFonts w:hint="eastAsia" w:ascii="宋体" w:hAnsi="宋体" w:eastAsia="宋体" w:cs="宋体"/>
          <w:color w:val="000000"/>
          <w:sz w:val="22"/>
          <w:szCs w:val="22"/>
          <w:highlight w:val="none"/>
        </w:rPr>
        <w:t>承担。</w:t>
      </w:r>
    </w:p>
    <w:bookmarkEnd w:id="116"/>
    <w:p w14:paraId="771BA3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 知识产权</w:t>
      </w:r>
    </w:p>
    <w:p w14:paraId="6EC2E2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E3DE80">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关于发包人提供的上述文件的使用限制的要求：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900585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1.11.2 关于承包人为实施工程所编制文件的著作权的归属：</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3B75356">
      <w:pPr>
        <w:spacing w:line="360" w:lineRule="auto"/>
        <w:ind w:firstLine="550" w:firstLineChars="25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关于承包人提供的上述文件的使用限制的要求：</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222908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1.11.4 承包人在施工过程中所采用的专利、专有技术、技术秘密的使用费的承担方式：</w:t>
      </w:r>
      <w:r>
        <w:rPr>
          <w:rFonts w:hint="eastAsia" w:ascii="宋体" w:hAnsi="宋体" w:eastAsia="宋体" w:cs="宋体"/>
          <w:color w:val="000000"/>
          <w:sz w:val="22"/>
          <w:szCs w:val="22"/>
          <w:highlight w:val="none"/>
          <w:u w:val="single"/>
        </w:rPr>
        <w:t xml:space="preserve">           /                 </w:t>
      </w:r>
      <w:r>
        <w:rPr>
          <w:rFonts w:hint="eastAsia" w:ascii="宋体" w:hAnsi="宋体" w:eastAsia="宋体" w:cs="宋体"/>
          <w:color w:val="000000"/>
          <w:sz w:val="22"/>
          <w:szCs w:val="22"/>
          <w:highlight w:val="none"/>
        </w:rPr>
        <w:t>。</w:t>
      </w:r>
    </w:p>
    <w:p w14:paraId="762EEEE4">
      <w:pPr>
        <w:spacing w:line="360" w:lineRule="auto"/>
        <w:ind w:firstLine="440" w:firstLineChars="200"/>
        <w:rPr>
          <w:rFonts w:hint="eastAsia" w:ascii="宋体" w:hAnsi="宋体" w:eastAsia="宋体" w:cs="宋体"/>
          <w:color w:val="000000"/>
          <w:sz w:val="22"/>
          <w:szCs w:val="22"/>
          <w:highlight w:val="none"/>
        </w:rPr>
      </w:pPr>
      <w:bookmarkStart w:id="117" w:name="_Toc386638608"/>
      <w:bookmarkStart w:id="118" w:name="_Toc351203634"/>
      <w:r>
        <w:rPr>
          <w:rFonts w:hint="eastAsia" w:ascii="宋体" w:hAnsi="宋体" w:eastAsia="宋体" w:cs="宋体"/>
          <w:color w:val="000000"/>
          <w:sz w:val="22"/>
          <w:szCs w:val="22"/>
          <w:highlight w:val="none"/>
        </w:rPr>
        <w:t>1.13工程量清单错误的修正</w:t>
      </w:r>
    </w:p>
    <w:p w14:paraId="06AE6FE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允出现工程量清单错误时，是否调整合同价格：</w:t>
      </w:r>
      <w:r>
        <w:rPr>
          <w:rFonts w:hint="eastAsia" w:ascii="宋体" w:hAnsi="宋体" w:eastAsia="宋体" w:cs="宋体"/>
          <w:color w:val="000000"/>
          <w:sz w:val="22"/>
          <w:szCs w:val="22"/>
          <w:highlight w:val="none"/>
          <w:u w:val="single"/>
        </w:rPr>
        <w:t xml:space="preserve">     是   </w:t>
      </w:r>
      <w:r>
        <w:rPr>
          <w:rFonts w:hint="eastAsia" w:ascii="宋体" w:hAnsi="宋体" w:eastAsia="宋体" w:cs="宋体"/>
          <w:color w:val="000000"/>
          <w:sz w:val="22"/>
          <w:szCs w:val="22"/>
          <w:highlight w:val="none"/>
        </w:rPr>
        <w:t>。</w:t>
      </w:r>
    </w:p>
    <w:p w14:paraId="10817E9D">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允许调整合同价格的工程量偏差范围：</w:t>
      </w:r>
      <w:r>
        <w:rPr>
          <w:rFonts w:hint="eastAsia" w:ascii="宋体" w:hAnsi="宋体" w:eastAsia="宋体" w:cs="宋体"/>
          <w:color w:val="000000"/>
          <w:sz w:val="22"/>
          <w:szCs w:val="22"/>
          <w:highlight w:val="none"/>
          <w:u w:val="single"/>
        </w:rPr>
        <w:t>(1)工程量清单项目缺项、项目多列或重复列项；(2)工程量清单项目数量有误；(3)未按照国家现行计量规范中强制性规定计量的。</w:t>
      </w:r>
    </w:p>
    <w:p w14:paraId="01C821C6">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w:t>
      </w:r>
      <w:bookmarkStart w:id="119" w:name="_Toc297048343"/>
      <w:bookmarkStart w:id="120" w:name="_Toc297120457"/>
      <w:bookmarkStart w:id="121" w:name="_Toc296346658"/>
      <w:bookmarkStart w:id="122" w:name="_Toc296503157"/>
      <w:bookmarkStart w:id="123" w:name="_Toc296347156"/>
      <w:bookmarkStart w:id="124" w:name="_Toc296891197"/>
      <w:bookmarkStart w:id="125" w:name="_Toc292559867"/>
      <w:bookmarkStart w:id="126" w:name="_Toc296944496"/>
      <w:bookmarkStart w:id="127" w:name="_Toc292559362"/>
      <w:bookmarkStart w:id="128" w:name="_Toc296890985"/>
      <w:r>
        <w:rPr>
          <w:rFonts w:hint="eastAsia" w:ascii="宋体" w:hAnsi="宋体" w:eastAsia="宋体" w:cs="宋体"/>
          <w:b w:val="0"/>
          <w:color w:val="000000"/>
          <w:sz w:val="22"/>
          <w:szCs w:val="22"/>
          <w:highlight w:val="none"/>
        </w:rPr>
        <w:t>. 发包人</w:t>
      </w:r>
      <w:bookmarkEnd w:id="117"/>
      <w:bookmarkEnd w:id="118"/>
    </w:p>
    <w:bookmarkEnd w:id="119"/>
    <w:bookmarkEnd w:id="120"/>
    <w:bookmarkEnd w:id="121"/>
    <w:bookmarkEnd w:id="122"/>
    <w:bookmarkEnd w:id="123"/>
    <w:bookmarkEnd w:id="124"/>
    <w:bookmarkEnd w:id="125"/>
    <w:bookmarkEnd w:id="126"/>
    <w:bookmarkEnd w:id="127"/>
    <w:bookmarkEnd w:id="128"/>
    <w:p w14:paraId="5EC3714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2.2 发包人代表</w:t>
      </w:r>
    </w:p>
    <w:p w14:paraId="2C3F221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发包人派驻施工现场代表：</w:t>
      </w:r>
    </w:p>
    <w:p w14:paraId="71D2E32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75FC98C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DD2278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61C0BD8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3C5FD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  </w:t>
      </w:r>
      <w:r>
        <w:rPr>
          <w:rFonts w:hint="eastAsia" w:ascii="宋体" w:hAnsi="宋体" w:eastAsia="宋体" w:cs="宋体"/>
          <w:color w:val="000000"/>
          <w:sz w:val="22"/>
          <w:szCs w:val="22"/>
          <w:highlight w:val="none"/>
        </w:rPr>
        <w:t>；</w:t>
      </w:r>
    </w:p>
    <w:p w14:paraId="20C3BE9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5DC7093">
      <w:pPr>
        <w:spacing w:line="360" w:lineRule="auto"/>
        <w:ind w:firstLine="440" w:firstLineChars="200"/>
        <w:rPr>
          <w:rFonts w:hint="eastAsia" w:ascii="宋体" w:hAnsi="宋体" w:eastAsia="宋体" w:cs="宋体"/>
          <w:b/>
          <w:color w:val="000000"/>
          <w:sz w:val="22"/>
          <w:szCs w:val="22"/>
          <w:highlight w:val="none"/>
        </w:rPr>
      </w:pPr>
      <w:r>
        <w:rPr>
          <w:rFonts w:hint="eastAsia" w:ascii="宋体" w:hAnsi="宋体" w:eastAsia="宋体" w:cs="宋体"/>
          <w:color w:val="000000"/>
          <w:sz w:val="22"/>
          <w:szCs w:val="22"/>
          <w:highlight w:val="none"/>
        </w:rPr>
        <w:t>发包人对发包人代表的授权范围如下：</w:t>
      </w:r>
      <w:r>
        <w:rPr>
          <w:rFonts w:hint="eastAsia" w:ascii="宋体" w:hAnsi="宋体" w:eastAsia="宋体" w:cs="宋体"/>
          <w:color w:val="000000"/>
          <w:sz w:val="22"/>
          <w:szCs w:val="22"/>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eastAsia="宋体" w:cs="宋体"/>
          <w:color w:val="000000"/>
          <w:sz w:val="22"/>
          <w:szCs w:val="22"/>
          <w:highlight w:val="none"/>
        </w:rPr>
        <w:t>。</w:t>
      </w:r>
    </w:p>
    <w:p w14:paraId="77BAF86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 施工现场、施工条件和基础资料的提供</w:t>
      </w:r>
    </w:p>
    <w:p w14:paraId="5EE54FD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2.4.1 提供施工现场</w:t>
      </w:r>
    </w:p>
    <w:p w14:paraId="24310EC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关于发包人移交施工现场的期限要求：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BD1413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2.4.2 提供施工条件关于发包人应负责提供施工所需要的条件，包括：</w:t>
      </w:r>
      <w:r>
        <w:rPr>
          <w:rFonts w:hint="eastAsia" w:ascii="宋体" w:hAnsi="宋体" w:eastAsia="宋体" w:cs="宋体"/>
          <w:color w:val="000000"/>
          <w:sz w:val="22"/>
          <w:szCs w:val="22"/>
          <w:highlight w:val="none"/>
          <w:u w:val="single"/>
        </w:rPr>
        <w:t>施工所需水、电接至施工现场；施工场地与公共道路的通道开通；工程地质和地下管线资料；发包人办理的施工所需证件等。</w:t>
      </w:r>
    </w:p>
    <w:p w14:paraId="4CF068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2.5 资金来源证明及支付担保：</w:t>
      </w:r>
    </w:p>
    <w:p w14:paraId="530E913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发包人提供资金来源证明的期限要求：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ECF2B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发包人是否提供支付担保：</w:t>
      </w:r>
      <w:r>
        <w:rPr>
          <w:rFonts w:hint="eastAsia" w:ascii="宋体" w:hAnsi="宋体" w:eastAsia="宋体" w:cs="宋体"/>
          <w:color w:val="000000"/>
          <w:sz w:val="22"/>
          <w:szCs w:val="22"/>
          <w:highlight w:val="none"/>
          <w:u w:val="single"/>
        </w:rPr>
        <w:t xml:space="preserve">不需提供 </w:t>
      </w:r>
      <w:r>
        <w:rPr>
          <w:rFonts w:hint="eastAsia" w:ascii="宋体" w:hAnsi="宋体" w:eastAsia="宋体" w:cs="宋体"/>
          <w:color w:val="000000"/>
          <w:sz w:val="22"/>
          <w:szCs w:val="22"/>
          <w:highlight w:val="none"/>
        </w:rPr>
        <w:t>。</w:t>
      </w:r>
    </w:p>
    <w:p w14:paraId="7B90CF8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发包人提供支付担保的形式：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32DD0C73">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29" w:name="_Toc386638609"/>
      <w:bookmarkStart w:id="130" w:name="_Toc351203635"/>
      <w:r>
        <w:rPr>
          <w:rFonts w:hint="eastAsia" w:ascii="宋体" w:hAnsi="宋体" w:eastAsia="宋体" w:cs="宋体"/>
          <w:b w:val="0"/>
          <w:color w:val="000000"/>
          <w:sz w:val="22"/>
          <w:szCs w:val="22"/>
          <w:highlight w:val="none"/>
        </w:rPr>
        <w:t>3</w:t>
      </w:r>
      <w:bookmarkStart w:id="131" w:name="_Toc296891198"/>
      <w:bookmarkStart w:id="132" w:name="_Toc292559868"/>
      <w:bookmarkStart w:id="133" w:name="_Toc296347157"/>
      <w:bookmarkStart w:id="134" w:name="_Toc292559363"/>
      <w:bookmarkStart w:id="135" w:name="_Toc296890986"/>
      <w:bookmarkStart w:id="136" w:name="_Toc296944497"/>
      <w:bookmarkStart w:id="137" w:name="_Toc296346659"/>
      <w:bookmarkStart w:id="138" w:name="_Toc296503158"/>
      <w:bookmarkStart w:id="139" w:name="_Toc297120458"/>
      <w:bookmarkStart w:id="140" w:name="_Toc297048344"/>
      <w:r>
        <w:rPr>
          <w:rFonts w:hint="eastAsia" w:ascii="宋体" w:hAnsi="宋体" w:eastAsia="宋体" w:cs="宋体"/>
          <w:b w:val="0"/>
          <w:color w:val="000000"/>
          <w:sz w:val="22"/>
          <w:szCs w:val="22"/>
          <w:highlight w:val="none"/>
        </w:rPr>
        <w:t>. 承包人</w:t>
      </w:r>
      <w:bookmarkEnd w:id="129"/>
      <w:bookmarkEnd w:id="130"/>
    </w:p>
    <w:bookmarkEnd w:id="131"/>
    <w:bookmarkEnd w:id="132"/>
    <w:bookmarkEnd w:id="133"/>
    <w:bookmarkEnd w:id="134"/>
    <w:bookmarkEnd w:id="135"/>
    <w:bookmarkEnd w:id="136"/>
    <w:bookmarkEnd w:id="137"/>
    <w:bookmarkEnd w:id="138"/>
    <w:bookmarkEnd w:id="139"/>
    <w:bookmarkEnd w:id="140"/>
    <w:p w14:paraId="78992DE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3.1 承包人的一般义务</w:t>
      </w:r>
    </w:p>
    <w:p w14:paraId="2CF31ADE">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（5）承包人提交的竣工资料的内容：</w:t>
      </w:r>
      <w:r>
        <w:rPr>
          <w:rFonts w:hint="eastAsia" w:ascii="宋体" w:hAnsi="宋体" w:eastAsia="宋体" w:cs="宋体"/>
          <w:color w:val="000000"/>
          <w:sz w:val="22"/>
          <w:szCs w:val="22"/>
          <w:highlight w:val="none"/>
          <w:u w:val="single"/>
        </w:rPr>
        <w:t xml:space="preserve"> 按宁海县城建档案归档要求提交竣工资料</w:t>
      </w:r>
      <w:r>
        <w:rPr>
          <w:rFonts w:hint="eastAsia" w:ascii="宋体" w:hAnsi="宋体" w:eastAsia="宋体" w:cs="宋体"/>
          <w:color w:val="000000"/>
          <w:sz w:val="22"/>
          <w:szCs w:val="22"/>
          <w:highlight w:val="none"/>
        </w:rPr>
        <w:t>。</w:t>
      </w:r>
    </w:p>
    <w:p w14:paraId="70FBB92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承包人需要提交的竣工资料套数：</w:t>
      </w:r>
      <w:r>
        <w:rPr>
          <w:rFonts w:hint="eastAsia" w:ascii="宋体" w:hAnsi="宋体" w:eastAsia="宋体" w:cs="宋体"/>
          <w:color w:val="000000"/>
          <w:sz w:val="22"/>
          <w:szCs w:val="22"/>
          <w:highlight w:val="none"/>
          <w:u w:val="single"/>
        </w:rPr>
        <w:t xml:space="preserve">   肆套   </w:t>
      </w:r>
      <w:r>
        <w:rPr>
          <w:rFonts w:hint="eastAsia" w:ascii="宋体" w:hAnsi="宋体" w:eastAsia="宋体" w:cs="宋体"/>
          <w:color w:val="000000"/>
          <w:sz w:val="22"/>
          <w:szCs w:val="22"/>
          <w:highlight w:val="none"/>
        </w:rPr>
        <w:t>。</w:t>
      </w:r>
    </w:p>
    <w:p w14:paraId="65E1077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承包人提交的竣工资料的费用承担：</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p w14:paraId="47E79357">
      <w:pPr>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承包人提交的竣工资料移交时间：</w:t>
      </w:r>
      <w:r>
        <w:rPr>
          <w:rFonts w:hint="eastAsia" w:ascii="宋体" w:hAnsi="宋体" w:eastAsia="宋体" w:cs="宋体"/>
          <w:color w:val="000000"/>
          <w:sz w:val="22"/>
          <w:szCs w:val="22"/>
          <w:highlight w:val="none"/>
          <w:u w:val="single"/>
        </w:rPr>
        <w:t xml:space="preserve"> 在具备竣工验收合格条件后2个月内     </w:t>
      </w:r>
      <w:r>
        <w:rPr>
          <w:rFonts w:hint="eastAsia" w:ascii="宋体" w:hAnsi="宋体" w:eastAsia="宋体" w:cs="宋体"/>
          <w:color w:val="000000"/>
          <w:sz w:val="22"/>
          <w:szCs w:val="22"/>
          <w:highlight w:val="none"/>
        </w:rPr>
        <w:t>。</w:t>
      </w:r>
    </w:p>
    <w:p w14:paraId="04C32D3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承包人提交的竣工资料形式要求：</w:t>
      </w:r>
      <w:r>
        <w:rPr>
          <w:rFonts w:hint="eastAsia" w:ascii="宋体" w:hAnsi="宋体" w:eastAsia="宋体" w:cs="宋体"/>
          <w:color w:val="000000"/>
          <w:sz w:val="22"/>
          <w:szCs w:val="22"/>
          <w:highlight w:val="none"/>
          <w:u w:val="single"/>
        </w:rPr>
        <w:t xml:space="preserve">  纸质和电子资料       </w:t>
      </w:r>
      <w:r>
        <w:rPr>
          <w:rFonts w:hint="eastAsia" w:ascii="宋体" w:hAnsi="宋体" w:eastAsia="宋体" w:cs="宋体"/>
          <w:color w:val="000000"/>
          <w:sz w:val="22"/>
          <w:szCs w:val="22"/>
          <w:highlight w:val="none"/>
        </w:rPr>
        <w:t>。</w:t>
      </w:r>
    </w:p>
    <w:p w14:paraId="21A65BC1">
      <w:pPr>
        <w:spacing w:line="360" w:lineRule="auto"/>
        <w:ind w:firstLine="450" w:firstLineChars="205"/>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（6）承包人应履行的其他义务：</w:t>
      </w:r>
    </w:p>
    <w:p w14:paraId="7C50FDE9">
      <w:pPr>
        <w:spacing w:line="360" w:lineRule="auto"/>
        <w:ind w:firstLine="450" w:firstLineChars="205"/>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0D07F28D">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(1)因患病等身体原因无法坚持施工现场管理工作的；</w:t>
      </w:r>
    </w:p>
    <w:p w14:paraId="3F4C026E">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(2)退休或离开本单位的；</w:t>
      </w:r>
    </w:p>
    <w:p w14:paraId="07F55D21">
      <w:pPr>
        <w:spacing w:line="360" w:lineRule="auto"/>
        <w:ind w:firstLine="57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(3)工程因故停止(或暂停3个月以上)建设或领取中标通知书后未开工达3个月以上的；</w:t>
      </w:r>
    </w:p>
    <w:p w14:paraId="2F7E542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(4)被建设主管部门责令停止(暂停)上岗资格、建议吊销或吊销相关证书，或被有关部门依法追究刑事责任的。</w:t>
      </w:r>
    </w:p>
    <w:p w14:paraId="5D60C3C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 项目负责人</w:t>
      </w:r>
    </w:p>
    <w:p w14:paraId="597D39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3.2.1 项目负责人：</w:t>
      </w:r>
    </w:p>
    <w:p w14:paraId="1D6EF2C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1244DF1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51CF68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建造师执业资格等级：</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3BCFCB2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建造师注册证书号：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17E367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建造师执业印章号：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0C2DAC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安全生产考核合格证书号：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645D531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 </w:t>
      </w:r>
      <w:r>
        <w:rPr>
          <w:rFonts w:hint="eastAsia" w:ascii="宋体" w:hAnsi="宋体" w:eastAsia="宋体" w:cs="宋体"/>
          <w:color w:val="000000"/>
          <w:sz w:val="22"/>
          <w:szCs w:val="22"/>
          <w:highlight w:val="none"/>
        </w:rPr>
        <w:t>；</w:t>
      </w:r>
    </w:p>
    <w:p w14:paraId="075FCC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2D46BE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D672F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承包人对项目负责人的授权范围如下：</w:t>
      </w:r>
      <w:r>
        <w:rPr>
          <w:rFonts w:hint="eastAsia" w:ascii="宋体" w:hAnsi="宋体" w:eastAsia="宋体" w:cs="宋体"/>
          <w:color w:val="000000"/>
          <w:sz w:val="22"/>
          <w:szCs w:val="22"/>
          <w:highlight w:val="none"/>
          <w:u w:val="single"/>
        </w:rPr>
        <w:t>在承包人授权范围内履行承包人的职权，对工程建设的质量、安全、工期以及工程造价控制负责，所有上报给发包人的文件均需项目负责人签字</w:t>
      </w:r>
      <w:r>
        <w:rPr>
          <w:rFonts w:hint="eastAsia" w:ascii="宋体" w:hAnsi="宋体" w:eastAsia="宋体" w:cs="宋体"/>
          <w:color w:val="000000"/>
          <w:sz w:val="22"/>
          <w:szCs w:val="22"/>
          <w:highlight w:val="none"/>
        </w:rPr>
        <w:t>。</w:t>
      </w:r>
    </w:p>
    <w:p w14:paraId="6C0B9E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关于项目经理每月在施工现场的时间要求：</w:t>
      </w:r>
      <w:r>
        <w:rPr>
          <w:rFonts w:hint="eastAsia" w:ascii="宋体" w:hAnsi="宋体" w:eastAsia="宋体" w:cs="宋体"/>
          <w:color w:val="000000"/>
          <w:sz w:val="22"/>
          <w:szCs w:val="22"/>
          <w:highlight w:val="none"/>
          <w:u w:val="single"/>
        </w:rPr>
        <w:t>月到位率不少于每月20日历天，</w:t>
      </w:r>
      <w:r>
        <w:rPr>
          <w:rFonts w:hint="eastAsia" w:ascii="宋体" w:hAnsi="宋体" w:eastAsia="宋体" w:cs="宋体"/>
          <w:b/>
          <w:color w:val="000000"/>
          <w:sz w:val="22"/>
          <w:szCs w:val="22"/>
          <w:highlight w:val="none"/>
          <w:u w:val="single"/>
        </w:rPr>
        <w:t>（除特殊情况外）</w:t>
      </w:r>
      <w:r>
        <w:rPr>
          <w:rFonts w:hint="eastAsia" w:ascii="宋体" w:hAnsi="宋体" w:eastAsia="宋体" w:cs="宋体"/>
          <w:color w:val="000000"/>
          <w:sz w:val="22"/>
          <w:szCs w:val="22"/>
          <w:highlight w:val="none"/>
          <w:u w:val="single"/>
        </w:rPr>
        <w:t>且重要工程例会及验收环节等必须由项目经理参加，否则处违约金1000元/人/天</w:t>
      </w:r>
      <w:r>
        <w:rPr>
          <w:rFonts w:hint="eastAsia" w:ascii="宋体" w:hAnsi="宋体" w:eastAsia="宋体" w:cs="宋体"/>
          <w:color w:val="000000"/>
          <w:sz w:val="22"/>
          <w:szCs w:val="22"/>
          <w:highlight w:val="none"/>
        </w:rPr>
        <w:t>。</w:t>
      </w:r>
    </w:p>
    <w:p w14:paraId="41F2D9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承包人未提交劳动合同，以及没有为项目经理缴纳社会保险证明的违约责任：</w:t>
      </w:r>
      <w:r>
        <w:rPr>
          <w:rFonts w:hint="eastAsia" w:ascii="宋体" w:hAnsi="宋体" w:eastAsia="宋体" w:cs="宋体"/>
          <w:color w:val="000000"/>
          <w:sz w:val="22"/>
          <w:szCs w:val="22"/>
          <w:highlight w:val="none"/>
          <w:u w:val="single"/>
        </w:rPr>
        <w:t>发包人有权解除合同，由此造成的费用增加和工期延误损失均由承包人承担</w:t>
      </w:r>
      <w:r>
        <w:rPr>
          <w:rFonts w:hint="eastAsia" w:ascii="宋体" w:hAnsi="宋体" w:eastAsia="宋体" w:cs="宋体"/>
          <w:color w:val="000000"/>
          <w:sz w:val="22"/>
          <w:szCs w:val="22"/>
          <w:highlight w:val="none"/>
        </w:rPr>
        <w:t>。</w:t>
      </w:r>
    </w:p>
    <w:p w14:paraId="379C9924">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3.2.3 承包人擅自更换项目经理的违约责任：</w:t>
      </w:r>
      <w:r>
        <w:rPr>
          <w:rFonts w:hint="eastAsia" w:ascii="宋体" w:hAnsi="宋体" w:eastAsia="宋体" w:cs="宋体"/>
          <w:color w:val="000000"/>
          <w:sz w:val="22"/>
          <w:szCs w:val="22"/>
          <w:highlight w:val="none"/>
          <w:u w:val="single"/>
        </w:rPr>
        <w:t>处违约金</w:t>
      </w:r>
      <w:r>
        <w:rPr>
          <w:rFonts w:hint="eastAsia" w:ascii="宋体" w:hAnsi="宋体" w:eastAsia="宋体" w:cs="宋体"/>
          <w:color w:val="000000"/>
          <w:sz w:val="22"/>
          <w:szCs w:val="22"/>
          <w:highlight w:val="none"/>
          <w:u w:val="single"/>
          <w:lang w:eastAsia="zh-CN"/>
        </w:rPr>
        <w:t>10000</w:t>
      </w:r>
      <w:r>
        <w:rPr>
          <w:rFonts w:hint="eastAsia" w:ascii="宋体" w:hAnsi="宋体" w:eastAsia="宋体" w:cs="宋体"/>
          <w:color w:val="000000"/>
          <w:sz w:val="22"/>
          <w:szCs w:val="22"/>
          <w:highlight w:val="none"/>
          <w:u w:val="single"/>
        </w:rPr>
        <w:t xml:space="preserve"> 元/次，违约金从监理和发包人发现违约情况的当月工程款中扣除。</w:t>
      </w:r>
    </w:p>
    <w:p w14:paraId="51E9776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3.2.4 承包人无正当理由拒绝更换项目经理的违约责任：</w:t>
      </w:r>
      <w:r>
        <w:rPr>
          <w:rFonts w:hint="eastAsia" w:ascii="宋体" w:hAnsi="宋体" w:eastAsia="宋体" w:cs="宋体"/>
          <w:color w:val="000000"/>
          <w:sz w:val="22"/>
          <w:szCs w:val="22"/>
          <w:highlight w:val="none"/>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B744C2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 承包人人员</w:t>
      </w:r>
    </w:p>
    <w:p w14:paraId="7624B31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3.3.1 承包人提交项目管理机构及施工现场管理人员安排报告的期限：</w:t>
      </w:r>
      <w:r>
        <w:rPr>
          <w:rFonts w:hint="eastAsia" w:ascii="宋体" w:hAnsi="宋体" w:eastAsia="宋体" w:cs="宋体"/>
          <w:color w:val="000000"/>
          <w:sz w:val="22"/>
          <w:szCs w:val="22"/>
          <w:highlight w:val="none"/>
          <w:u w:val="single"/>
        </w:rPr>
        <w:t xml:space="preserve"> 承包人应在合同备案前将项目管理机构及施工现场管理人员报招标代理机构审查，并报发包人备案。(详见附表二：项目部关键岗位人员配备表) 。</w:t>
      </w:r>
    </w:p>
    <w:p w14:paraId="4A7DFD5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3.3.3承包人无正当理由拒绝撤换项目部关键岗位人员的违约责任：</w:t>
      </w:r>
      <w:r>
        <w:rPr>
          <w:rFonts w:hint="eastAsia" w:ascii="宋体" w:hAnsi="宋体" w:eastAsia="宋体" w:cs="宋体"/>
          <w:color w:val="000000"/>
          <w:sz w:val="22"/>
          <w:szCs w:val="22"/>
          <w:highlight w:val="none"/>
          <w:u w:val="single"/>
        </w:rPr>
        <w:t>发包人认为项目部关键岗位人员（指技术负责人、安全员、施工员、质量员、材料员）无法履行职责的，应提供相关证明材料，并签发《整改通知书》</w:t>
      </w:r>
      <w:r>
        <w:rPr>
          <w:rFonts w:hint="eastAsia" w:ascii="宋体" w:hAnsi="宋体" w:eastAsia="宋体" w:cs="宋体"/>
          <w:color w:val="000000"/>
          <w:sz w:val="22"/>
          <w:szCs w:val="22"/>
          <w:highlight w:val="none"/>
        </w:rPr>
        <w:t>。</w:t>
      </w:r>
    </w:p>
    <w:p w14:paraId="2B8CDE1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3.3.4承包人项目部关键岗位人员离开施工现场的批准要求：</w:t>
      </w:r>
      <w:r>
        <w:rPr>
          <w:rFonts w:hint="eastAsia" w:ascii="宋体" w:hAnsi="宋体" w:eastAsia="宋体" w:cs="宋体"/>
          <w:color w:val="000000"/>
          <w:sz w:val="22"/>
          <w:szCs w:val="22"/>
          <w:highlight w:val="none"/>
          <w:u w:val="single"/>
        </w:rPr>
        <w:t xml:space="preserve"> 书面形式，并由发包人及总监工程师签字确认 </w:t>
      </w:r>
    </w:p>
    <w:p w14:paraId="0F3683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3.3.5承包人擅自更换项目部关键岗位人员的违约责任：</w:t>
      </w:r>
      <w:r>
        <w:rPr>
          <w:rFonts w:hint="eastAsia" w:ascii="宋体" w:hAnsi="宋体" w:eastAsia="宋体" w:cs="宋体"/>
          <w:color w:val="000000"/>
          <w:sz w:val="22"/>
          <w:szCs w:val="22"/>
          <w:highlight w:val="none"/>
          <w:u w:val="single"/>
        </w:rPr>
        <w:t xml:space="preserve">/ </w:t>
      </w:r>
    </w:p>
    <w:p w14:paraId="5B4441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41" w:name="_Toc296890987"/>
      <w:bookmarkStart w:id="142" w:name="_Toc297048345"/>
      <w:bookmarkStart w:id="143" w:name="_Toc292559869"/>
      <w:bookmarkStart w:id="144" w:name="_Toc296944498"/>
      <w:bookmarkStart w:id="145" w:name="_Toc296347158"/>
      <w:bookmarkStart w:id="146" w:name="_Toc304295523"/>
      <w:bookmarkStart w:id="147" w:name="_Toc296503159"/>
      <w:bookmarkStart w:id="148" w:name="_Toc300934945"/>
      <w:bookmarkStart w:id="149" w:name="_Toc297123492"/>
      <w:bookmarkStart w:id="150" w:name="_Toc297120459"/>
      <w:bookmarkStart w:id="151" w:name="_Toc296346660"/>
      <w:bookmarkStart w:id="152" w:name="_Toc296891199"/>
      <w:bookmarkStart w:id="153" w:name="_Toc303539102"/>
      <w:bookmarkStart w:id="154" w:name="_Toc297216151"/>
      <w:bookmarkStart w:id="155" w:name="_Toc312677988"/>
      <w:bookmarkStart w:id="156" w:name="_Toc292559364"/>
      <w:r>
        <w:rPr>
          <w:rFonts w:hint="eastAsia" w:ascii="宋体" w:hAnsi="宋体" w:eastAsia="宋体" w:cs="宋体"/>
          <w:color w:val="000000"/>
          <w:sz w:val="22"/>
          <w:szCs w:val="22"/>
          <w:highlight w:val="none"/>
        </w:rPr>
        <w:t>.5 分包</w:t>
      </w:r>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3303AB9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57" w:name="_Toc297120460"/>
      <w:bookmarkStart w:id="158" w:name="_Toc296944499"/>
      <w:bookmarkStart w:id="159" w:name="_Toc296347159"/>
      <w:bookmarkStart w:id="160" w:name="_Toc297216152"/>
      <w:bookmarkStart w:id="161" w:name="_Toc292559365"/>
      <w:bookmarkStart w:id="162" w:name="_Toc318581158"/>
      <w:bookmarkStart w:id="163" w:name="_Toc303539103"/>
      <w:bookmarkStart w:id="164" w:name="_Toc296890988"/>
      <w:bookmarkStart w:id="165" w:name="_Toc296346661"/>
      <w:bookmarkStart w:id="166" w:name="_Toc297048346"/>
      <w:bookmarkStart w:id="167" w:name="_Toc304295524"/>
      <w:bookmarkStart w:id="168" w:name="_Toc297123493"/>
      <w:bookmarkStart w:id="169" w:name="_Toc296891200"/>
      <w:bookmarkStart w:id="170" w:name="_Toc296503160"/>
      <w:bookmarkStart w:id="171" w:name="_Toc292559870"/>
      <w:bookmarkStart w:id="172" w:name="_Toc312677989"/>
      <w:bookmarkStart w:id="173" w:name="_Toc300934946"/>
      <w:r>
        <w:rPr>
          <w:rFonts w:hint="eastAsia" w:ascii="宋体" w:hAnsi="宋体" w:eastAsia="宋体" w:cs="宋体"/>
          <w:color w:val="000000"/>
          <w:sz w:val="22"/>
          <w:szCs w:val="22"/>
          <w:highlight w:val="none"/>
        </w:rPr>
        <w:t>.5.1 分包的一般约定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hint="eastAsia" w:ascii="宋体" w:hAnsi="宋体" w:eastAsia="宋体" w:cs="宋体"/>
          <w:color w:val="000000"/>
          <w:sz w:val="22"/>
          <w:szCs w:val="22"/>
          <w:highlight w:val="none"/>
        </w:rPr>
        <w:t>：</w:t>
      </w:r>
    </w:p>
    <w:p w14:paraId="2DB68F3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禁止分包的工程包括：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w:t>
      </w:r>
    </w:p>
    <w:p w14:paraId="6140B80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主体结构、关键性工作的范围：</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C0FC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bookmarkStart w:id="174" w:name="_Toc318581159"/>
      <w:bookmarkStart w:id="175" w:name="_Toc312677990"/>
      <w:r>
        <w:rPr>
          <w:rFonts w:hint="eastAsia" w:ascii="宋体" w:hAnsi="宋体" w:eastAsia="宋体" w:cs="宋体"/>
          <w:color w:val="000000"/>
          <w:sz w:val="22"/>
          <w:szCs w:val="22"/>
          <w:highlight w:val="none"/>
        </w:rPr>
        <w:t>.5.2分包的确定</w:t>
      </w:r>
    </w:p>
    <w:p w14:paraId="1AF14257">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允许分包的专业工程包括：</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C90468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其他关于分包的约定：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174"/>
    <w:bookmarkEnd w:id="175"/>
    <w:p w14:paraId="4918545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3.6 工程照管与成品、半成品保护</w:t>
      </w:r>
    </w:p>
    <w:p w14:paraId="4C07C3EB">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承包人负责照管工程及工程相关的材料、工程设备的起始时间：</w:t>
      </w:r>
      <w:r>
        <w:rPr>
          <w:rFonts w:hint="eastAsia" w:ascii="宋体" w:hAnsi="宋体" w:eastAsia="宋体" w:cs="宋体"/>
          <w:color w:val="000000"/>
          <w:sz w:val="22"/>
          <w:szCs w:val="22"/>
          <w:highlight w:val="none"/>
          <w:u w:val="single"/>
        </w:rPr>
        <w:t>工程开工令发布之日</w:t>
      </w:r>
      <w:r>
        <w:rPr>
          <w:rFonts w:hint="eastAsia" w:ascii="宋体" w:hAnsi="宋体" w:eastAsia="宋体" w:cs="宋体"/>
          <w:color w:val="000000"/>
          <w:sz w:val="22"/>
          <w:szCs w:val="22"/>
          <w:highlight w:val="none"/>
        </w:rPr>
        <w:t>。</w:t>
      </w:r>
    </w:p>
    <w:p w14:paraId="38CDBC8D">
      <w:pPr>
        <w:spacing w:line="480" w:lineRule="exact"/>
        <w:ind w:firstLine="440" w:firstLineChars="200"/>
        <w:rPr>
          <w:rFonts w:hint="eastAsia" w:ascii="宋体" w:hAnsi="宋体" w:eastAsia="宋体" w:cs="宋体"/>
          <w:sz w:val="22"/>
          <w:szCs w:val="22"/>
          <w:highlight w:val="none"/>
        </w:rPr>
      </w:pPr>
      <w:bookmarkStart w:id="176" w:name="_Toc386638610"/>
      <w:bookmarkStart w:id="177" w:name="_Toc351203636"/>
      <w:r>
        <w:rPr>
          <w:rFonts w:hint="eastAsia" w:ascii="宋体" w:hAnsi="宋体" w:eastAsia="宋体" w:cs="宋体"/>
          <w:sz w:val="22"/>
          <w:szCs w:val="22"/>
          <w:highlight w:val="none"/>
        </w:rPr>
        <w:t>3.7 履约担保</w:t>
      </w:r>
    </w:p>
    <w:p w14:paraId="070DE245">
      <w:pPr>
        <w:spacing w:line="4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承包人是否提供履约担保：</w:t>
      </w:r>
      <w:r>
        <w:rPr>
          <w:rFonts w:hint="eastAsia" w:ascii="宋体" w:hAnsi="宋体" w:eastAsia="宋体" w:cs="宋体"/>
          <w:sz w:val="22"/>
          <w:szCs w:val="22"/>
          <w:highlight w:val="none"/>
          <w:u w:val="single"/>
        </w:rPr>
        <w:t xml:space="preserve">  是</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023E1A33">
      <w:pPr>
        <w:spacing w:line="480" w:lineRule="exact"/>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承包人提供履约担保的形式、金额及期限的约定：</w:t>
      </w:r>
    </w:p>
    <w:p w14:paraId="2CCFEEB8">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（1）</w:t>
      </w:r>
      <w:r>
        <w:rPr>
          <w:rFonts w:hint="eastAsia" w:ascii="宋体" w:hAnsi="宋体" w:eastAsia="宋体" w:cs="宋体"/>
          <w:color w:val="000000"/>
          <w:kern w:val="0"/>
          <w:sz w:val="22"/>
          <w:szCs w:val="22"/>
          <w:highlight w:val="none"/>
          <w:u w:val="single"/>
        </w:rPr>
        <w:t xml:space="preserve"> 履约保证金的形式为电汇、银行或保险公司出具的履约保函，本合同签订后7日内承包人将履约保证金提交给发包人</w:t>
      </w:r>
      <w:r>
        <w:rPr>
          <w:rFonts w:hint="eastAsia" w:ascii="宋体" w:hAnsi="宋体" w:eastAsia="宋体" w:cs="宋体"/>
          <w:kern w:val="0"/>
          <w:sz w:val="22"/>
          <w:szCs w:val="22"/>
          <w:highlight w:val="none"/>
          <w:u w:val="single"/>
        </w:rPr>
        <w:t>。</w:t>
      </w:r>
    </w:p>
    <w:p w14:paraId="68E3F77A">
      <w:pPr>
        <w:spacing w:line="360" w:lineRule="auto"/>
        <w:ind w:firstLine="462" w:firstLineChars="21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u w:val="single"/>
        </w:rPr>
        <w:t>（2）履约担保期限自合同生效之日起至发包人签认并由发包人向承包人出具工程接收证书之日止。</w:t>
      </w:r>
    </w:p>
    <w:p w14:paraId="1497F73B">
      <w:pPr>
        <w:spacing w:line="420" w:lineRule="exact"/>
        <w:ind w:firstLine="462" w:firstLineChars="21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color w:val="000000"/>
          <w:kern w:val="0"/>
          <w:sz w:val="22"/>
          <w:szCs w:val="22"/>
          <w:highlight w:val="none"/>
        </w:rPr>
        <w:t>履约担保金额为签约合同价的</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kern w:val="0"/>
          <w:sz w:val="22"/>
          <w:szCs w:val="22"/>
          <w:highlight w:val="none"/>
          <w:u w:val="single"/>
          <w:lang w:val="en-US" w:eastAsia="zh-CN"/>
        </w:rPr>
        <w:t>1%</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kern w:val="0"/>
          <w:sz w:val="22"/>
          <w:szCs w:val="22"/>
          <w:highlight w:val="none"/>
        </w:rPr>
        <w:t>。</w:t>
      </w:r>
    </w:p>
    <w:p w14:paraId="3A679C88">
      <w:pPr>
        <w:spacing w:line="420" w:lineRule="exact"/>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4）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5B15867">
      <w:pPr>
        <w:spacing w:line="420" w:lineRule="exact"/>
        <w:ind w:firstLine="440" w:firstLineChars="200"/>
        <w:rPr>
          <w:rFonts w:hint="eastAsia" w:ascii="宋体" w:hAnsi="宋体" w:eastAsia="宋体" w:cs="宋体"/>
          <w:kern w:val="0"/>
          <w:sz w:val="21"/>
          <w:szCs w:val="21"/>
          <w:highlight w:val="none"/>
        </w:rPr>
      </w:pPr>
      <w:r>
        <w:rPr>
          <w:rFonts w:hint="eastAsia" w:ascii="宋体" w:hAnsi="宋体" w:eastAsia="宋体" w:cs="宋体"/>
          <w:kern w:val="0"/>
          <w:sz w:val="22"/>
          <w:szCs w:val="22"/>
          <w:highlight w:val="none"/>
        </w:rPr>
        <w:t>（5）履约担保返还期限：在工程竣工验收合格后10日内全额</w:t>
      </w:r>
      <w:r>
        <w:rPr>
          <w:rFonts w:hint="eastAsia" w:ascii="宋体" w:hAnsi="宋体" w:eastAsia="宋体" w:cs="宋体"/>
          <w:kern w:val="0"/>
          <w:sz w:val="22"/>
          <w:szCs w:val="22"/>
          <w:highlight w:val="none"/>
          <w:lang w:eastAsia="zh-CN"/>
        </w:rPr>
        <w:t>无息</w:t>
      </w:r>
      <w:r>
        <w:rPr>
          <w:rFonts w:hint="eastAsia" w:ascii="宋体" w:hAnsi="宋体" w:eastAsia="宋体" w:cs="宋体"/>
          <w:kern w:val="0"/>
          <w:sz w:val="22"/>
          <w:szCs w:val="22"/>
          <w:highlight w:val="none"/>
        </w:rPr>
        <w:t>返还。</w:t>
      </w:r>
    </w:p>
    <w:p w14:paraId="497AE3EC">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4</w:t>
      </w:r>
      <w:bookmarkStart w:id="178" w:name="_Toc292559871"/>
      <w:bookmarkStart w:id="179" w:name="_Toc296891202"/>
      <w:bookmarkStart w:id="180" w:name="_Toc297120462"/>
      <w:bookmarkStart w:id="181" w:name="_Toc296890990"/>
      <w:bookmarkStart w:id="182" w:name="_Toc297048348"/>
      <w:bookmarkStart w:id="183" w:name="_Toc296347161"/>
      <w:bookmarkStart w:id="184" w:name="_Toc296346663"/>
      <w:bookmarkStart w:id="185" w:name="_Toc292559366"/>
      <w:bookmarkStart w:id="186" w:name="_Toc296944501"/>
      <w:bookmarkStart w:id="187" w:name="_Toc296503162"/>
      <w:bookmarkStart w:id="188" w:name="_Toc267251413"/>
      <w:r>
        <w:rPr>
          <w:rFonts w:hint="eastAsia" w:ascii="宋体" w:hAnsi="宋体" w:eastAsia="宋体" w:cs="宋体"/>
          <w:b w:val="0"/>
          <w:color w:val="000000"/>
          <w:sz w:val="22"/>
          <w:szCs w:val="22"/>
          <w:highlight w:val="none"/>
        </w:rPr>
        <w:t>. 监</w:t>
      </w:r>
      <w:bookmarkEnd w:id="178"/>
      <w:bookmarkEnd w:id="179"/>
      <w:bookmarkEnd w:id="180"/>
      <w:bookmarkEnd w:id="181"/>
      <w:bookmarkEnd w:id="182"/>
      <w:bookmarkEnd w:id="183"/>
      <w:bookmarkEnd w:id="184"/>
      <w:bookmarkEnd w:id="185"/>
      <w:bookmarkEnd w:id="186"/>
      <w:bookmarkEnd w:id="187"/>
      <w:bookmarkEnd w:id="188"/>
      <w:r>
        <w:rPr>
          <w:rFonts w:hint="eastAsia" w:ascii="宋体" w:hAnsi="宋体" w:eastAsia="宋体" w:cs="宋体"/>
          <w:b w:val="0"/>
          <w:color w:val="000000"/>
          <w:sz w:val="22"/>
          <w:szCs w:val="22"/>
          <w:highlight w:val="none"/>
        </w:rPr>
        <w:t>理人</w:t>
      </w:r>
      <w:bookmarkEnd w:id="176"/>
      <w:bookmarkEnd w:id="177"/>
    </w:p>
    <w:p w14:paraId="6112CDF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4.1监理人的一般规定</w:t>
      </w:r>
    </w:p>
    <w:p w14:paraId="7BB7375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关于监理人的监理内容：</w:t>
      </w:r>
      <w:r>
        <w:rPr>
          <w:rFonts w:hint="eastAsia" w:ascii="宋体" w:hAnsi="宋体" w:eastAsia="宋体" w:cs="宋体"/>
          <w:color w:val="000000"/>
          <w:sz w:val="22"/>
          <w:szCs w:val="22"/>
          <w:highlight w:val="none"/>
          <w:u w:val="single"/>
        </w:rPr>
        <w:t>工程建设监理合同授予监理人的权利</w:t>
      </w:r>
      <w:r>
        <w:rPr>
          <w:rFonts w:hint="eastAsia" w:ascii="宋体" w:hAnsi="宋体" w:eastAsia="宋体" w:cs="宋体"/>
          <w:color w:val="000000"/>
          <w:sz w:val="22"/>
          <w:szCs w:val="22"/>
          <w:highlight w:val="none"/>
        </w:rPr>
        <w:t>。</w:t>
      </w:r>
    </w:p>
    <w:p w14:paraId="5CFD2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关于监理人的监理权限：</w:t>
      </w:r>
      <w:r>
        <w:rPr>
          <w:rFonts w:hint="eastAsia" w:ascii="宋体" w:hAnsi="宋体" w:eastAsia="宋体" w:cs="宋体"/>
          <w:color w:val="000000"/>
          <w:sz w:val="22"/>
          <w:szCs w:val="22"/>
          <w:highlight w:val="none"/>
          <w:u w:val="single"/>
        </w:rPr>
        <w:t>涉及费用、工期、图纸更改等工程变更指令和付款、暂停工程施工指令的下达权需取得发包人书面批准后方可执行</w:t>
      </w:r>
      <w:r>
        <w:rPr>
          <w:rFonts w:hint="eastAsia" w:ascii="宋体" w:hAnsi="宋体" w:eastAsia="宋体" w:cs="宋体"/>
          <w:color w:val="000000"/>
          <w:sz w:val="22"/>
          <w:szCs w:val="22"/>
          <w:highlight w:val="none"/>
        </w:rPr>
        <w:t xml:space="preserve">。 </w:t>
      </w:r>
    </w:p>
    <w:p w14:paraId="34F8B1C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关于监理人在施工现场的办公场所、生活场所的提供和费用承担的约定：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3FCE74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4.2 监理人员</w:t>
      </w:r>
    </w:p>
    <w:p w14:paraId="037B308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总监理工程师：</w:t>
      </w:r>
    </w:p>
    <w:p w14:paraId="3CCF6A4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53DDC6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职    务：</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015312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监理工程师执业资格证书号：</w:t>
      </w:r>
      <w:r>
        <w:rPr>
          <w:rFonts w:hint="eastAsia" w:ascii="宋体" w:hAnsi="宋体" w:eastAsia="宋体" w:cs="宋体"/>
          <w:color w:val="000000"/>
          <w:sz w:val="22"/>
          <w:szCs w:val="22"/>
          <w:highlight w:val="none"/>
          <w:u w:val="single"/>
        </w:rPr>
        <w:t> </w:t>
      </w:r>
      <w:r>
        <w:rPr>
          <w:rFonts w:hint="eastAsia" w:ascii="宋体" w:hAnsi="宋体" w:eastAsia="宋体" w:cs="宋体"/>
          <w:color w:val="000000"/>
          <w:sz w:val="22"/>
          <w:szCs w:val="22"/>
          <w:highlight w:val="none"/>
        </w:rPr>
        <w:t>；</w:t>
      </w:r>
    </w:p>
    <w:p w14:paraId="41E3996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联系电话：</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2AC47E1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电子信箱：</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417FBA0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通信地址：</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787EB0C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关于监理人的其他约定：</w:t>
      </w:r>
      <w:r>
        <w:rPr>
          <w:rFonts w:hint="eastAsia" w:ascii="宋体" w:hAnsi="宋体" w:eastAsia="宋体" w:cs="宋体"/>
          <w:color w:val="000000"/>
          <w:sz w:val="22"/>
          <w:szCs w:val="22"/>
          <w:highlight w:val="none"/>
          <w:u w:val="single"/>
        </w:rPr>
        <w:t>/   </w:t>
      </w:r>
      <w:r>
        <w:rPr>
          <w:rFonts w:hint="eastAsia" w:ascii="宋体" w:hAnsi="宋体" w:eastAsia="宋体" w:cs="宋体"/>
          <w:color w:val="000000"/>
          <w:sz w:val="22"/>
          <w:szCs w:val="22"/>
          <w:highlight w:val="none"/>
        </w:rPr>
        <w:t>。</w:t>
      </w:r>
    </w:p>
    <w:p w14:paraId="15610C40">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4.4 商定或确定：</w:t>
      </w:r>
    </w:p>
    <w:p w14:paraId="004F1B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u w:val="single"/>
        </w:rPr>
        <w:t>在发包人和承包人不能通过协商达成一致意见时，总监理工程师应按照合同约定作出公正确定，应在合同发包人会商之日起7天内提供书面确定意见。</w:t>
      </w:r>
    </w:p>
    <w:p w14:paraId="48A02FCF">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89" w:name="_Toc267251418"/>
      <w:bookmarkStart w:id="190" w:name="_Toc351203637"/>
      <w:bookmarkStart w:id="191" w:name="_Toc386638611"/>
      <w:r>
        <w:rPr>
          <w:rFonts w:hint="eastAsia" w:ascii="宋体" w:hAnsi="宋体" w:eastAsia="宋体" w:cs="宋体"/>
          <w:b w:val="0"/>
          <w:color w:val="000000"/>
          <w:sz w:val="22"/>
          <w:szCs w:val="22"/>
          <w:highlight w:val="none"/>
        </w:rPr>
        <w:t>5</w:t>
      </w:r>
      <w:bookmarkEnd w:id="189"/>
      <w:r>
        <w:rPr>
          <w:rFonts w:hint="eastAsia" w:ascii="宋体" w:hAnsi="宋体" w:eastAsia="宋体" w:cs="宋体"/>
          <w:b w:val="0"/>
          <w:color w:val="000000"/>
          <w:sz w:val="22"/>
          <w:szCs w:val="22"/>
          <w:highlight w:val="none"/>
        </w:rPr>
        <w:t>. 工程质量</w:t>
      </w:r>
      <w:bookmarkEnd w:id="190"/>
      <w:bookmarkEnd w:id="191"/>
    </w:p>
    <w:p w14:paraId="5DFD77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5.1 质量要求</w:t>
      </w:r>
    </w:p>
    <w:p w14:paraId="4B147864">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bCs/>
          <w:color w:val="000000"/>
          <w:sz w:val="22"/>
          <w:szCs w:val="22"/>
          <w:highlight w:val="none"/>
        </w:rPr>
        <w:t>5.1.1</w:t>
      </w:r>
      <w:r>
        <w:rPr>
          <w:rFonts w:hint="eastAsia" w:ascii="宋体" w:hAnsi="宋体" w:eastAsia="宋体" w:cs="宋体"/>
          <w:color w:val="000000"/>
          <w:sz w:val="22"/>
          <w:szCs w:val="22"/>
          <w:highlight w:val="none"/>
          <w:u w:val="single"/>
        </w:rPr>
        <w:t>质量</w:t>
      </w:r>
      <w:r>
        <w:rPr>
          <w:rFonts w:hint="eastAsia" w:ascii="宋体" w:hAnsi="宋体" w:eastAsia="宋体" w:cs="宋体"/>
          <w:bCs/>
          <w:color w:val="000000"/>
          <w:sz w:val="22"/>
          <w:szCs w:val="22"/>
          <w:highlight w:val="none"/>
        </w:rPr>
        <w:t>要求：</w:t>
      </w:r>
      <w:r>
        <w:rPr>
          <w:rFonts w:hint="eastAsia" w:ascii="宋体" w:hAnsi="宋体" w:eastAsia="宋体" w:cs="宋体"/>
          <w:color w:val="000000"/>
          <w:sz w:val="22"/>
          <w:szCs w:val="22"/>
          <w:highlight w:val="none"/>
          <w:u w:val="single"/>
        </w:rPr>
        <w:t>符合现行国家有关工程施工质量验收规范和标准要求，验收合格。</w:t>
      </w:r>
    </w:p>
    <w:p w14:paraId="0F2DD10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bookmarkStart w:id="192" w:name="_Toc303539106"/>
      <w:bookmarkStart w:id="193" w:name="_Toc304295527"/>
      <w:bookmarkStart w:id="194" w:name="_Toc297123496"/>
      <w:bookmarkStart w:id="195" w:name="_Toc318581164"/>
      <w:bookmarkStart w:id="196" w:name="_Toc297216155"/>
      <w:bookmarkStart w:id="197" w:name="_Toc300934949"/>
      <w:bookmarkStart w:id="198" w:name="_Toc312677997"/>
      <w:r>
        <w:rPr>
          <w:rFonts w:hint="eastAsia" w:ascii="宋体" w:hAnsi="宋体" w:eastAsia="宋体" w:cs="宋体"/>
          <w:color w:val="000000"/>
          <w:sz w:val="22"/>
          <w:szCs w:val="22"/>
          <w:highlight w:val="none"/>
        </w:rPr>
        <w:t>.1.2 特殊质量标准和要求：</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6231A1">
      <w:pPr>
        <w:spacing w:line="360" w:lineRule="auto"/>
        <w:ind w:firstLine="550" w:firstLineChars="2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关于工程奖项的约定：</w:t>
      </w:r>
      <w:r>
        <w:rPr>
          <w:rFonts w:hint="eastAsia" w:ascii="宋体" w:hAnsi="宋体" w:eastAsia="宋体" w:cs="宋体"/>
          <w:color w:val="000000"/>
          <w:sz w:val="22"/>
          <w:szCs w:val="22"/>
          <w:highlight w:val="none"/>
          <w:u w:val="single"/>
        </w:rPr>
        <w:t xml:space="preserve">      无     </w:t>
      </w:r>
      <w:r>
        <w:rPr>
          <w:rFonts w:hint="eastAsia" w:ascii="宋体" w:hAnsi="宋体" w:eastAsia="宋体" w:cs="宋体"/>
          <w:color w:val="000000"/>
          <w:sz w:val="22"/>
          <w:szCs w:val="22"/>
          <w:highlight w:val="none"/>
        </w:rPr>
        <w:t>。</w:t>
      </w:r>
    </w:p>
    <w:p w14:paraId="7BCAE8A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 隐蔽工程检查</w:t>
      </w:r>
    </w:p>
    <w:p w14:paraId="248E99F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5.3.2承包人提前通知监理人隐蔽工程检查的期限的约定：</w:t>
      </w:r>
      <w:r>
        <w:rPr>
          <w:rFonts w:hint="eastAsia" w:ascii="宋体" w:hAnsi="宋体" w:eastAsia="宋体" w:cs="宋体"/>
          <w:color w:val="000000"/>
          <w:sz w:val="22"/>
          <w:szCs w:val="22"/>
          <w:highlight w:val="none"/>
          <w:u w:val="single"/>
        </w:rPr>
        <w:t xml:space="preserve">承包人应在共同检查前48小时书面通知监理人检查 </w:t>
      </w:r>
      <w:r>
        <w:rPr>
          <w:rFonts w:hint="eastAsia" w:ascii="宋体" w:hAnsi="宋体" w:eastAsia="宋体" w:cs="宋体"/>
          <w:color w:val="000000"/>
          <w:sz w:val="22"/>
          <w:szCs w:val="22"/>
          <w:highlight w:val="none"/>
        </w:rPr>
        <w:t>。</w:t>
      </w:r>
    </w:p>
    <w:p w14:paraId="4D4F4AB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监理人不能按时进行检查时，应提前</w:t>
      </w:r>
      <w:r>
        <w:rPr>
          <w:rFonts w:hint="eastAsia" w:ascii="宋体" w:hAnsi="宋体" w:eastAsia="宋体" w:cs="宋体"/>
          <w:color w:val="000000"/>
          <w:sz w:val="22"/>
          <w:szCs w:val="22"/>
          <w:highlight w:val="none"/>
          <w:u w:val="single"/>
        </w:rPr>
        <w:t>24</w:t>
      </w:r>
      <w:r>
        <w:rPr>
          <w:rFonts w:hint="eastAsia" w:ascii="宋体" w:hAnsi="宋体" w:eastAsia="宋体" w:cs="宋体"/>
          <w:color w:val="000000"/>
          <w:sz w:val="22"/>
          <w:szCs w:val="22"/>
          <w:highlight w:val="none"/>
        </w:rPr>
        <w:t>小时提交书面延期要求。</w:t>
      </w:r>
    </w:p>
    <w:p w14:paraId="6B9218A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关于延期最长不得超过：</w:t>
      </w:r>
      <w:r>
        <w:rPr>
          <w:rFonts w:hint="eastAsia" w:ascii="宋体" w:hAnsi="宋体" w:eastAsia="宋体" w:cs="宋体"/>
          <w:color w:val="000000"/>
          <w:sz w:val="22"/>
          <w:szCs w:val="22"/>
          <w:highlight w:val="none"/>
          <w:u w:val="single"/>
        </w:rPr>
        <w:t xml:space="preserve"> 48</w:t>
      </w:r>
      <w:r>
        <w:rPr>
          <w:rFonts w:hint="eastAsia" w:ascii="宋体" w:hAnsi="宋体" w:eastAsia="宋体" w:cs="宋体"/>
          <w:color w:val="000000"/>
          <w:sz w:val="22"/>
          <w:szCs w:val="22"/>
          <w:highlight w:val="none"/>
        </w:rPr>
        <w:t>小时。</w:t>
      </w:r>
    </w:p>
    <w:p w14:paraId="092EB722">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199" w:name="_Toc386638612"/>
      <w:bookmarkStart w:id="200" w:name="_Toc351203638"/>
      <w:r>
        <w:rPr>
          <w:rFonts w:hint="eastAsia" w:ascii="宋体" w:hAnsi="宋体" w:eastAsia="宋体" w:cs="宋体"/>
          <w:b w:val="0"/>
          <w:color w:val="000000"/>
          <w:sz w:val="22"/>
          <w:szCs w:val="22"/>
          <w:highlight w:val="none"/>
        </w:rPr>
        <w:t>6. 安全文明施工与环境保护</w:t>
      </w:r>
      <w:bookmarkEnd w:id="199"/>
      <w:bookmarkEnd w:id="200"/>
    </w:p>
    <w:p w14:paraId="6380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6.1安全文明施工</w:t>
      </w:r>
    </w:p>
    <w:p w14:paraId="4914D5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6.1.1 项目安全生产的达标目标及相应事项的约定：</w:t>
      </w:r>
      <w:r>
        <w:rPr>
          <w:rFonts w:hint="eastAsia" w:ascii="宋体" w:hAnsi="宋体" w:eastAsia="宋体" w:cs="宋体"/>
          <w:color w:val="000000"/>
          <w:sz w:val="22"/>
          <w:szCs w:val="22"/>
          <w:highlight w:val="none"/>
          <w:u w:val="single"/>
        </w:rPr>
        <w:t xml:space="preserve"> 合格，若有工伤事故、工料损失和其他任何损失，概由乙方负责 </w:t>
      </w:r>
      <w:r>
        <w:rPr>
          <w:rFonts w:hint="eastAsia" w:ascii="宋体" w:hAnsi="宋体" w:eastAsia="宋体" w:cs="宋体"/>
          <w:color w:val="000000"/>
          <w:sz w:val="22"/>
          <w:szCs w:val="22"/>
          <w:highlight w:val="none"/>
        </w:rPr>
        <w:t>。</w:t>
      </w:r>
    </w:p>
    <w:p w14:paraId="5508653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6.1.4 关于治安保卫的特别约定：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85F7DE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关于编制施工场地治安管理计划的约定：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56B25F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6.1.5 文明施工</w:t>
      </w:r>
    </w:p>
    <w:p w14:paraId="2F27423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合同当事人对文明施工的要求：</w:t>
      </w:r>
      <w:r>
        <w:rPr>
          <w:rFonts w:hint="eastAsia" w:ascii="宋体" w:hAnsi="宋体" w:eastAsia="宋体" w:cs="宋体"/>
          <w:sz w:val="22"/>
          <w:szCs w:val="22"/>
          <w:highlight w:val="none"/>
          <w:u w:val="single"/>
        </w:rPr>
        <w:t>按《宁波市建设工程文明施工管理规定》(宁波市政府令第195号)、《宁海县人民政府办公室关于印发宁海县扬尘污染防治暂行管理办法的通知》(宁政办发〔2020〕32号)等文件要求执行。</w:t>
      </w:r>
    </w:p>
    <w:p w14:paraId="41348EBA">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color w:val="000000"/>
          <w:sz w:val="22"/>
          <w:szCs w:val="22"/>
          <w:highlight w:val="none"/>
        </w:rPr>
        <w:t>6.1.6 关于安全文明施工费支付比例和支付期限的约定：</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开工报告批准后 7个工作 日内支付安全文明施工费总额的100%</w:t>
      </w:r>
      <w:r>
        <w:rPr>
          <w:rFonts w:hint="eastAsia" w:ascii="宋体" w:hAnsi="宋体" w:eastAsia="宋体" w:cs="宋体"/>
          <w:sz w:val="22"/>
          <w:szCs w:val="22"/>
          <w:highlight w:val="none"/>
          <w:u w:val="single"/>
        </w:rPr>
        <w:t>。</w:t>
      </w:r>
    </w:p>
    <w:bookmarkEnd w:id="192"/>
    <w:bookmarkEnd w:id="193"/>
    <w:bookmarkEnd w:id="194"/>
    <w:bookmarkEnd w:id="195"/>
    <w:bookmarkEnd w:id="196"/>
    <w:bookmarkEnd w:id="197"/>
    <w:bookmarkEnd w:id="198"/>
    <w:p w14:paraId="400C78D9">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01" w:name="_Toc351203639"/>
      <w:bookmarkStart w:id="202" w:name="_Toc386638613"/>
      <w:r>
        <w:rPr>
          <w:rFonts w:hint="eastAsia" w:ascii="宋体" w:hAnsi="宋体" w:eastAsia="宋体" w:cs="宋体"/>
          <w:b w:val="0"/>
          <w:color w:val="000000"/>
          <w:sz w:val="22"/>
          <w:szCs w:val="22"/>
          <w:highlight w:val="none"/>
        </w:rPr>
        <w:t>7. 工期和进度</w:t>
      </w:r>
      <w:bookmarkEnd w:id="201"/>
      <w:bookmarkEnd w:id="202"/>
    </w:p>
    <w:p w14:paraId="6CBDF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 施工组织设计</w:t>
      </w:r>
    </w:p>
    <w:p w14:paraId="301C43B6">
      <w:pPr>
        <w:autoSpaceDE w:val="0"/>
        <w:autoSpaceDN w:val="0"/>
        <w:adjustRightInd w:val="0"/>
        <w:spacing w:line="360" w:lineRule="auto"/>
        <w:ind w:firstLine="462" w:firstLineChars="21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7.1.1 合同当事人约定的施工组织设计应包括的其他内容：</w:t>
      </w:r>
      <w:r>
        <w:rPr>
          <w:rFonts w:hint="eastAsia" w:ascii="宋体" w:hAnsi="宋体" w:eastAsia="宋体" w:cs="宋体"/>
          <w:color w:val="000000"/>
          <w:sz w:val="22"/>
          <w:szCs w:val="22"/>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color w:val="000000"/>
          <w:sz w:val="22"/>
          <w:szCs w:val="22"/>
          <w:highlight w:val="none"/>
        </w:rPr>
        <w:t>。</w:t>
      </w:r>
    </w:p>
    <w:p w14:paraId="56CA244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7.1.2 施工组织设计的提交和修改</w:t>
      </w:r>
    </w:p>
    <w:p w14:paraId="7F002A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承包人提交详细施工组织设计的期限的约定：</w:t>
      </w:r>
      <w:r>
        <w:rPr>
          <w:rFonts w:hint="eastAsia" w:ascii="宋体" w:hAnsi="宋体" w:eastAsia="宋体" w:cs="宋体"/>
          <w:color w:val="000000"/>
          <w:sz w:val="22"/>
          <w:szCs w:val="22"/>
          <w:highlight w:val="none"/>
          <w:u w:val="single"/>
        </w:rPr>
        <w:t xml:space="preserve">合同签订后14天内，但至迟不得晚于开工前7天 </w:t>
      </w:r>
      <w:r>
        <w:rPr>
          <w:rFonts w:hint="eastAsia" w:ascii="宋体" w:hAnsi="宋体" w:eastAsia="宋体" w:cs="宋体"/>
          <w:color w:val="000000"/>
          <w:sz w:val="22"/>
          <w:szCs w:val="22"/>
          <w:highlight w:val="none"/>
        </w:rPr>
        <w:t>。</w:t>
      </w:r>
    </w:p>
    <w:p w14:paraId="703B70C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发包人和监理人在收到详细的施工组织设计后确认或提出修改意见的期限：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5C3475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03" w:name="_Toc300934966"/>
      <w:bookmarkStart w:id="204" w:name="_Toc304295541"/>
      <w:bookmarkStart w:id="205" w:name="_Toc297123514"/>
      <w:bookmarkStart w:id="206" w:name="_Toc312677479"/>
      <w:bookmarkStart w:id="207" w:name="_Toc312678005"/>
      <w:bookmarkStart w:id="208" w:name="_Toc297216173"/>
      <w:bookmarkStart w:id="209" w:name="_Toc303539123"/>
      <w:r>
        <w:rPr>
          <w:rFonts w:hint="eastAsia" w:ascii="宋体" w:hAnsi="宋体" w:eastAsia="宋体" w:cs="宋体"/>
          <w:color w:val="000000"/>
          <w:sz w:val="22"/>
          <w:szCs w:val="22"/>
          <w:highlight w:val="none"/>
        </w:rPr>
        <w:t>.2 施工进度计划</w:t>
      </w:r>
    </w:p>
    <w:p w14:paraId="67709AA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7.2.2 施工进度计划的修订</w:t>
      </w:r>
    </w:p>
    <w:p w14:paraId="38F499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发包人和监理人在收到修订的施工进度计划后确认或提出修改意见的期限：</w:t>
      </w:r>
      <w:r>
        <w:rPr>
          <w:rFonts w:hint="eastAsia" w:ascii="宋体" w:hAnsi="宋体" w:eastAsia="宋体" w:cs="宋体"/>
          <w:color w:val="000000"/>
          <w:sz w:val="22"/>
          <w:szCs w:val="22"/>
          <w:highlight w:val="none"/>
          <w:u w:val="single"/>
        </w:rPr>
        <w:t>收到7天内</w:t>
      </w:r>
      <w:r>
        <w:rPr>
          <w:rFonts w:hint="eastAsia" w:ascii="宋体" w:hAnsi="宋体" w:eastAsia="宋体" w:cs="宋体"/>
          <w:color w:val="000000"/>
          <w:sz w:val="22"/>
          <w:szCs w:val="22"/>
          <w:highlight w:val="none"/>
        </w:rPr>
        <w:t>。</w:t>
      </w:r>
    </w:p>
    <w:p w14:paraId="728FF4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 开工</w:t>
      </w:r>
    </w:p>
    <w:p w14:paraId="2D5670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7.3.1 开工准备</w:t>
      </w:r>
    </w:p>
    <w:p w14:paraId="4909446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发包人应按约定完成开工准备工作。</w:t>
      </w:r>
    </w:p>
    <w:p w14:paraId="0EF0867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7.3.2开工通知</w:t>
      </w:r>
    </w:p>
    <w:p w14:paraId="6137039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因发包人原因造成监理人未能在计划开工日期之日起</w:t>
      </w:r>
      <w:r>
        <w:rPr>
          <w:rFonts w:hint="eastAsia" w:ascii="宋体" w:hAnsi="宋体" w:eastAsia="宋体" w:cs="宋体"/>
          <w:color w:val="000000"/>
          <w:sz w:val="22"/>
          <w:szCs w:val="22"/>
          <w:highlight w:val="none"/>
          <w:u w:val="single"/>
        </w:rPr>
        <w:t xml:space="preserve"> 90 </w:t>
      </w:r>
      <w:r>
        <w:rPr>
          <w:rFonts w:hint="eastAsia" w:ascii="宋体" w:hAnsi="宋体" w:eastAsia="宋体" w:cs="宋体"/>
          <w:color w:val="000000"/>
          <w:sz w:val="22"/>
          <w:szCs w:val="22"/>
          <w:highlight w:val="none"/>
        </w:rPr>
        <w:t>天内发出开工通知的，承包人有权提出价格调整要求，或者解除合同。</w:t>
      </w:r>
    </w:p>
    <w:bookmarkEnd w:id="203"/>
    <w:bookmarkEnd w:id="204"/>
    <w:bookmarkEnd w:id="205"/>
    <w:bookmarkEnd w:id="206"/>
    <w:bookmarkEnd w:id="207"/>
    <w:bookmarkEnd w:id="208"/>
    <w:bookmarkEnd w:id="209"/>
    <w:p w14:paraId="0269B5B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7.4 测量放线</w:t>
      </w:r>
    </w:p>
    <w:p w14:paraId="65F6299D">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7.4.1发包人通过监理人向承包人提供测量基准点、基准线和水准点及其书面资料的期限：</w:t>
      </w:r>
      <w:r>
        <w:rPr>
          <w:rFonts w:hint="eastAsia" w:ascii="宋体" w:hAnsi="宋体" w:eastAsia="宋体" w:cs="宋体"/>
          <w:color w:val="000000"/>
          <w:sz w:val="22"/>
          <w:szCs w:val="22"/>
          <w:highlight w:val="none"/>
          <w:u w:val="single"/>
        </w:rPr>
        <w:t xml:space="preserve">不得晚于开工通知中载明的开工日期前7天 </w:t>
      </w:r>
      <w:r>
        <w:rPr>
          <w:rFonts w:hint="eastAsia" w:ascii="宋体" w:hAnsi="宋体" w:eastAsia="宋体" w:cs="宋体"/>
          <w:color w:val="000000"/>
          <w:sz w:val="22"/>
          <w:szCs w:val="22"/>
          <w:highlight w:val="none"/>
        </w:rPr>
        <w:t>。</w:t>
      </w:r>
    </w:p>
    <w:p w14:paraId="46570C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10" w:name="_Toc297123516"/>
      <w:bookmarkStart w:id="211" w:name="_Toc312678010"/>
      <w:bookmarkStart w:id="212" w:name="_Toc312677484"/>
      <w:bookmarkStart w:id="213" w:name="_Toc304295546"/>
      <w:bookmarkStart w:id="214" w:name="_Toc297216175"/>
      <w:bookmarkStart w:id="215" w:name="_Toc303539125"/>
      <w:bookmarkStart w:id="216" w:name="_Toc300934968"/>
      <w:r>
        <w:rPr>
          <w:rFonts w:hint="eastAsia" w:ascii="宋体" w:hAnsi="宋体" w:eastAsia="宋体" w:cs="宋体"/>
          <w:color w:val="000000"/>
          <w:sz w:val="22"/>
          <w:szCs w:val="22"/>
          <w:highlight w:val="none"/>
        </w:rPr>
        <w:t>.5 工期延误</w:t>
      </w:r>
    </w:p>
    <w:bookmarkEnd w:id="210"/>
    <w:bookmarkEnd w:id="211"/>
    <w:bookmarkEnd w:id="212"/>
    <w:bookmarkEnd w:id="213"/>
    <w:bookmarkEnd w:id="214"/>
    <w:bookmarkEnd w:id="215"/>
    <w:bookmarkEnd w:id="216"/>
    <w:p w14:paraId="7FC6CF8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7.5.1 因发包人原因导致工期延误</w:t>
      </w:r>
    </w:p>
    <w:p w14:paraId="15D18D2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（7）因发包人原因导致工期延误的其他情形：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2062E2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17" w:name="_Toc318581169"/>
      <w:bookmarkStart w:id="218" w:name="_Toc312678012"/>
      <w:bookmarkStart w:id="219" w:name="_Toc312677486"/>
      <w:bookmarkStart w:id="220" w:name="_Toc300934970"/>
      <w:bookmarkStart w:id="221" w:name="_Toc297216177"/>
      <w:bookmarkStart w:id="222" w:name="_Toc297123518"/>
      <w:bookmarkStart w:id="223" w:name="_Toc303539127"/>
      <w:bookmarkStart w:id="224" w:name="_Toc304295548"/>
      <w:r>
        <w:rPr>
          <w:rFonts w:hint="eastAsia" w:ascii="宋体" w:hAnsi="宋体" w:eastAsia="宋体" w:cs="宋体"/>
          <w:color w:val="000000"/>
          <w:sz w:val="22"/>
          <w:szCs w:val="22"/>
          <w:highlight w:val="none"/>
        </w:rPr>
        <w:t>.5.2 因承包人原因导致工期延误</w:t>
      </w:r>
    </w:p>
    <w:bookmarkEnd w:id="217"/>
    <w:bookmarkEnd w:id="218"/>
    <w:bookmarkEnd w:id="219"/>
    <w:p w14:paraId="41E5CFE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w:t>
      </w:r>
      <w:bookmarkStart w:id="225" w:name="_Toc312678013"/>
      <w:bookmarkStart w:id="226" w:name="_Toc312677487"/>
      <w:bookmarkStart w:id="227" w:name="_Toc318581170"/>
      <w:r>
        <w:rPr>
          <w:rFonts w:hint="eastAsia" w:ascii="宋体" w:hAnsi="宋体" w:eastAsia="宋体" w:cs="宋体"/>
          <w:color w:val="000000"/>
          <w:sz w:val="22"/>
          <w:szCs w:val="22"/>
          <w:highlight w:val="none"/>
        </w:rPr>
        <w:t>承包人原因造成工期延误，逾期竣工违约金的计算方法为</w:t>
      </w:r>
      <w:r>
        <w:rPr>
          <w:rFonts w:hint="eastAsia" w:ascii="宋体" w:hAnsi="宋体" w:eastAsia="宋体" w:cs="宋体"/>
          <w:color w:val="000000"/>
          <w:sz w:val="22"/>
          <w:szCs w:val="22"/>
          <w:highlight w:val="none"/>
          <w:u w:val="none"/>
        </w:rPr>
        <w:t>：</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000元/天</w:t>
      </w:r>
      <w:r>
        <w:rPr>
          <w:rFonts w:hint="eastAsia" w:ascii="宋体" w:hAnsi="宋体" w:eastAsia="宋体" w:cs="宋体"/>
          <w:color w:val="000000"/>
          <w:sz w:val="22"/>
          <w:szCs w:val="22"/>
          <w:highlight w:val="none"/>
        </w:rPr>
        <w:t>。</w:t>
      </w:r>
      <w:bookmarkEnd w:id="220"/>
      <w:bookmarkEnd w:id="221"/>
      <w:bookmarkEnd w:id="222"/>
      <w:bookmarkEnd w:id="223"/>
      <w:bookmarkEnd w:id="224"/>
      <w:bookmarkEnd w:id="225"/>
      <w:bookmarkEnd w:id="226"/>
    </w:p>
    <w:bookmarkEnd w:id="227"/>
    <w:p w14:paraId="4CBE777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因承包人原因造成工期延误，逾</w:t>
      </w:r>
      <w:bookmarkStart w:id="228" w:name="_Toc318581171"/>
      <w:bookmarkStart w:id="229" w:name="_Toc312678014"/>
      <w:r>
        <w:rPr>
          <w:rFonts w:hint="eastAsia" w:ascii="宋体" w:hAnsi="宋体" w:eastAsia="宋体" w:cs="宋体"/>
          <w:color w:val="000000"/>
          <w:sz w:val="22"/>
          <w:szCs w:val="22"/>
          <w:highlight w:val="none"/>
        </w:rPr>
        <w:t>期竣工违约金的上限：</w:t>
      </w:r>
      <w:r>
        <w:rPr>
          <w:rFonts w:hint="eastAsia" w:ascii="宋体" w:hAnsi="宋体" w:eastAsia="宋体" w:cs="宋体"/>
          <w:color w:val="000000"/>
          <w:sz w:val="22"/>
          <w:szCs w:val="22"/>
          <w:highlight w:val="none"/>
          <w:u w:val="single"/>
        </w:rPr>
        <w:t xml:space="preserve">合同价款的3% </w:t>
      </w:r>
      <w:r>
        <w:rPr>
          <w:rFonts w:hint="eastAsia" w:ascii="宋体" w:hAnsi="宋体" w:eastAsia="宋体" w:cs="宋体"/>
          <w:color w:val="000000"/>
          <w:sz w:val="22"/>
          <w:szCs w:val="22"/>
          <w:highlight w:val="none"/>
        </w:rPr>
        <w:t>。</w:t>
      </w:r>
    </w:p>
    <w:bookmarkEnd w:id="228"/>
    <w:bookmarkEnd w:id="229"/>
    <w:p w14:paraId="2E6FB84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30" w:name="_Toc303539128"/>
      <w:bookmarkStart w:id="231" w:name="_Toc297216178"/>
      <w:bookmarkStart w:id="232" w:name="_Toc297123519"/>
      <w:bookmarkStart w:id="233" w:name="_Toc300934971"/>
      <w:bookmarkStart w:id="234" w:name="_Toc304295549"/>
      <w:bookmarkStart w:id="235" w:name="_Toc312678015"/>
      <w:r>
        <w:rPr>
          <w:rFonts w:hint="eastAsia" w:ascii="宋体" w:hAnsi="宋体" w:eastAsia="宋体" w:cs="宋体"/>
          <w:color w:val="000000"/>
          <w:sz w:val="22"/>
          <w:szCs w:val="22"/>
          <w:highlight w:val="none"/>
        </w:rPr>
        <w:t>.6 不</w:t>
      </w:r>
      <w:bookmarkEnd w:id="230"/>
      <w:bookmarkEnd w:id="231"/>
      <w:bookmarkEnd w:id="232"/>
      <w:bookmarkEnd w:id="233"/>
      <w:bookmarkEnd w:id="234"/>
      <w:bookmarkEnd w:id="235"/>
      <w:r>
        <w:rPr>
          <w:rFonts w:hint="eastAsia" w:ascii="宋体" w:hAnsi="宋体" w:eastAsia="宋体" w:cs="宋体"/>
          <w:color w:val="000000"/>
          <w:sz w:val="22"/>
          <w:szCs w:val="22"/>
          <w:highlight w:val="none"/>
        </w:rPr>
        <w:t>利物质条件</w:t>
      </w:r>
    </w:p>
    <w:p w14:paraId="410C5EA9">
      <w:pPr>
        <w:spacing w:line="360" w:lineRule="auto"/>
        <w:ind w:firstLine="330" w:firstLineChars="150"/>
        <w:jc w:val="left"/>
        <w:rPr>
          <w:rFonts w:hint="eastAsia" w:ascii="宋体" w:hAnsi="宋体" w:eastAsia="宋体" w:cs="宋体"/>
          <w:color w:val="000000"/>
          <w:sz w:val="22"/>
          <w:szCs w:val="22"/>
          <w:highlight w:val="none"/>
          <w:u w:val="single"/>
        </w:rPr>
      </w:pPr>
      <w:bookmarkStart w:id="236" w:name="_Toc304295550"/>
      <w:bookmarkStart w:id="237" w:name="_Toc297123520"/>
      <w:bookmarkStart w:id="238" w:name="_Toc297216179"/>
      <w:bookmarkStart w:id="239" w:name="_Toc303539129"/>
      <w:bookmarkStart w:id="240" w:name="_Toc312678016"/>
      <w:bookmarkStart w:id="241" w:name="_Toc300934972"/>
      <w:bookmarkStart w:id="242" w:name="_Toc318581172"/>
      <w:r>
        <w:rPr>
          <w:rFonts w:hint="eastAsia" w:ascii="宋体" w:hAnsi="宋体" w:eastAsia="宋体" w:cs="宋体"/>
          <w:color w:val="000000"/>
          <w:sz w:val="22"/>
          <w:szCs w:val="22"/>
          <w:highlight w:val="none"/>
        </w:rPr>
        <w:t>不利物质条件的其他情形和有关约定：</w:t>
      </w:r>
      <w:bookmarkEnd w:id="236"/>
      <w:bookmarkEnd w:id="237"/>
      <w:bookmarkEnd w:id="238"/>
      <w:bookmarkEnd w:id="239"/>
      <w:bookmarkEnd w:id="240"/>
      <w:bookmarkEnd w:id="241"/>
      <w:bookmarkEnd w:id="242"/>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B6AE853">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bookmarkStart w:id="243" w:name="_Toc297123521"/>
      <w:bookmarkStart w:id="244" w:name="_Toc297216180"/>
      <w:bookmarkStart w:id="245" w:name="_Toc304295551"/>
      <w:bookmarkStart w:id="246" w:name="_Toc312678017"/>
      <w:bookmarkStart w:id="247" w:name="_Toc300934973"/>
      <w:bookmarkStart w:id="248" w:name="_Toc303539130"/>
      <w:r>
        <w:rPr>
          <w:rFonts w:hint="eastAsia" w:ascii="宋体" w:hAnsi="宋体" w:eastAsia="宋体" w:cs="宋体"/>
          <w:color w:val="000000"/>
          <w:sz w:val="22"/>
          <w:szCs w:val="22"/>
          <w:highlight w:val="none"/>
        </w:rPr>
        <w:t>.7异常恶劣的气候条件</w:t>
      </w:r>
      <w:bookmarkEnd w:id="243"/>
      <w:bookmarkEnd w:id="244"/>
      <w:bookmarkEnd w:id="245"/>
      <w:bookmarkEnd w:id="246"/>
      <w:bookmarkEnd w:id="247"/>
      <w:bookmarkEnd w:id="248"/>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4CD9D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 提前竣工的奖励</w:t>
      </w:r>
    </w:p>
    <w:p w14:paraId="033B8FB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7.9.2提前竣工的奖励：</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5B01FA7">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49" w:name="_Toc386638614"/>
      <w:bookmarkStart w:id="250" w:name="_Toc351203640"/>
      <w:r>
        <w:rPr>
          <w:rFonts w:hint="eastAsia" w:ascii="宋体" w:hAnsi="宋体" w:eastAsia="宋体" w:cs="宋体"/>
          <w:b w:val="0"/>
          <w:color w:val="000000"/>
          <w:sz w:val="22"/>
          <w:szCs w:val="22"/>
          <w:highlight w:val="none"/>
        </w:rPr>
        <w:t>8. 材料与设备</w:t>
      </w:r>
      <w:bookmarkEnd w:id="249"/>
      <w:bookmarkEnd w:id="250"/>
    </w:p>
    <w:bookmarkEnd w:id="84"/>
    <w:bookmarkEnd w:id="85"/>
    <w:bookmarkEnd w:id="86"/>
    <w:bookmarkEnd w:id="87"/>
    <w:bookmarkEnd w:id="88"/>
    <w:bookmarkEnd w:id="89"/>
    <w:bookmarkEnd w:id="90"/>
    <w:bookmarkEnd w:id="91"/>
    <w:bookmarkEnd w:id="92"/>
    <w:bookmarkEnd w:id="93"/>
    <w:p w14:paraId="4029985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8.2承包人采购材料与工程设备：</w:t>
      </w:r>
    </w:p>
    <w:p w14:paraId="0DEC032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⑴同类材料的品牌应一致，质量、规格、型号均应符合国家标准并须提供合格证、质保单和检验报告，经监理认证、甲方验收审核合格后方可使用，否则由此造成的损失由承包人承担。</w:t>
      </w:r>
    </w:p>
    <w:p w14:paraId="0DE5004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⑵在材料、设备采购前15天将采购清单提交监理和发包人审核。采购清单中应明确采购材料的品种、数量、品牌、生产厂商及技术规格，如未经发包人审核，发包人有权不予支付对应工程款。</w:t>
      </w:r>
    </w:p>
    <w:p w14:paraId="06BB29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bookmarkStart w:id="251" w:name="_Toc292559877"/>
      <w:bookmarkStart w:id="252" w:name="_Toc296346668"/>
      <w:bookmarkStart w:id="253" w:name="_Toc300934979"/>
      <w:bookmarkStart w:id="254" w:name="_Toc296347166"/>
      <w:bookmarkStart w:id="255" w:name="_Toc303539136"/>
      <w:bookmarkStart w:id="256" w:name="_Toc280868654"/>
      <w:bookmarkStart w:id="257" w:name="_Toc297123527"/>
      <w:bookmarkStart w:id="258" w:name="_Toc292559372"/>
      <w:bookmarkStart w:id="259" w:name="_Toc296890995"/>
      <w:bookmarkStart w:id="260" w:name="_Toc312677493"/>
      <w:bookmarkStart w:id="261" w:name="_Toc312678019"/>
      <w:bookmarkStart w:id="262" w:name="_Toc297048353"/>
      <w:bookmarkStart w:id="263" w:name="_Toc304295556"/>
      <w:bookmarkStart w:id="264" w:name="_Toc296503167"/>
      <w:bookmarkStart w:id="265" w:name="_Toc297120467"/>
      <w:bookmarkStart w:id="266" w:name="_Toc296944506"/>
      <w:bookmarkStart w:id="267" w:name="_Toc297216186"/>
      <w:bookmarkStart w:id="268" w:name="_Toc296891207"/>
      <w:bookmarkStart w:id="269" w:name="_Toc280868655"/>
      <w:bookmarkStart w:id="270" w:name="_Toc267251424"/>
      <w:bookmarkStart w:id="271" w:name="_Toc280868656"/>
      <w:r>
        <w:rPr>
          <w:rFonts w:hint="eastAsia" w:ascii="宋体" w:hAnsi="宋体" w:eastAsia="宋体" w:cs="宋体"/>
          <w:color w:val="000000"/>
          <w:sz w:val="22"/>
          <w:szCs w:val="22"/>
          <w:highlight w:val="none"/>
        </w:rPr>
        <w:t>.4材料与工程设备的保管与使用</w:t>
      </w:r>
    </w:p>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14:paraId="0106ED2D">
      <w:pPr>
        <w:spacing w:line="360" w:lineRule="auto"/>
        <w:ind w:firstLine="440" w:firstLineChars="200"/>
        <w:rPr>
          <w:rFonts w:hint="eastAsia" w:ascii="宋体" w:hAnsi="宋体" w:eastAsia="宋体" w:cs="宋体"/>
          <w:b w:val="0"/>
          <w:bCs w:val="0"/>
          <w:color w:val="auto"/>
          <w:sz w:val="22"/>
          <w:szCs w:val="22"/>
          <w:highlight w:val="none"/>
          <w:u w:val="single"/>
          <w:lang w:eastAsia="zh-CN"/>
        </w:rPr>
      </w:pPr>
      <w:bookmarkStart w:id="272" w:name="_Toc312677494"/>
      <w:bookmarkStart w:id="273" w:name="_Toc318581173"/>
      <w:bookmarkStart w:id="274" w:name="_Toc304295557"/>
      <w:bookmarkStart w:id="275" w:name="_Toc296891208"/>
      <w:bookmarkStart w:id="276" w:name="_Toc296944507"/>
      <w:bookmarkStart w:id="277" w:name="_Toc296347167"/>
      <w:bookmarkStart w:id="278" w:name="_Toc297120468"/>
      <w:bookmarkStart w:id="279" w:name="_Toc296890996"/>
      <w:bookmarkStart w:id="280" w:name="_Toc296503168"/>
      <w:bookmarkStart w:id="281" w:name="_Toc303539137"/>
      <w:bookmarkStart w:id="282" w:name="_Toc296346669"/>
      <w:bookmarkStart w:id="283" w:name="_Toc297048354"/>
      <w:bookmarkStart w:id="284" w:name="_Toc297123528"/>
      <w:bookmarkStart w:id="285" w:name="_Toc312678020"/>
      <w:bookmarkStart w:id="286" w:name="_Toc297216187"/>
      <w:bookmarkStart w:id="287" w:name="_Toc300934980"/>
      <w:r>
        <w:rPr>
          <w:rFonts w:hint="eastAsia" w:ascii="宋体" w:hAnsi="宋体" w:eastAsia="宋体" w:cs="宋体"/>
          <w:b w:val="0"/>
          <w:bCs w:val="0"/>
          <w:color w:val="auto"/>
          <w:sz w:val="22"/>
          <w:szCs w:val="22"/>
          <w:highlight w:val="none"/>
        </w:rPr>
        <w:t>8.4.1发包人供应的材料设备的保管费用的承担：</w:t>
      </w:r>
      <w:r>
        <w:rPr>
          <w:rFonts w:hint="eastAsia" w:ascii="宋体" w:hAnsi="宋体" w:cs="宋体"/>
          <w:color w:val="000000"/>
          <w:sz w:val="24"/>
        </w:rPr>
        <w:t>：</w:t>
      </w:r>
      <w:r>
        <w:rPr>
          <w:rFonts w:hint="eastAsia" w:ascii="宋体" w:hAnsi="宋体" w:cs="宋体"/>
          <w:color w:val="000000"/>
          <w:sz w:val="24"/>
          <w:u w:val="single"/>
        </w:rPr>
        <w:t xml:space="preserve">        /        </w:t>
      </w:r>
    </w:p>
    <w:p w14:paraId="67AA9146">
      <w:pPr>
        <w:spacing w:line="360" w:lineRule="auto"/>
        <w:ind w:firstLine="396" w:firstLineChars="18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8.4.2材料的管理</w:t>
      </w:r>
      <w:r>
        <w:rPr>
          <w:rFonts w:hint="eastAsia" w:ascii="宋体" w:hAnsi="宋体" w:eastAsia="宋体" w:cs="宋体"/>
          <w:b w:val="0"/>
          <w:bCs w:val="0"/>
          <w:color w:val="auto"/>
          <w:sz w:val="22"/>
          <w:szCs w:val="22"/>
          <w:highlight w:val="none"/>
          <w:lang w:eastAsia="zh-CN"/>
        </w:rPr>
        <w:t>：</w:t>
      </w:r>
      <w:r>
        <w:rPr>
          <w:rFonts w:hint="eastAsia" w:ascii="宋体" w:hAnsi="宋体" w:cs="宋体"/>
          <w:color w:val="000000"/>
          <w:sz w:val="24"/>
        </w:rPr>
        <w:t>：</w:t>
      </w:r>
      <w:r>
        <w:rPr>
          <w:rFonts w:hint="eastAsia" w:ascii="宋体" w:hAnsi="宋体" w:cs="宋体"/>
          <w:color w:val="000000"/>
          <w:sz w:val="24"/>
          <w:u w:val="single"/>
        </w:rPr>
        <w:t xml:space="preserve">        /        </w:t>
      </w:r>
    </w:p>
    <w:p w14:paraId="4E65CB1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 xml:space="preserve"> 样品</w:t>
      </w:r>
    </w:p>
    <w:p w14:paraId="6D8A091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.1</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样品的报送与封存</w:t>
      </w:r>
    </w:p>
    <w:p w14:paraId="2F4DC26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需要承包人报送样品的材料或工程设备，样品的种类、名称、规格、数量要求：</w:t>
      </w:r>
    </w:p>
    <w:p w14:paraId="64E9C006">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u w:val="single"/>
        </w:rPr>
        <w:t xml:space="preserve">                     /                                </w:t>
      </w:r>
    </w:p>
    <w:p w14:paraId="2FECC0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 xml:space="preserve"> 施工设备和临时设施</w:t>
      </w:r>
    </w:p>
    <w:p w14:paraId="271C620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.1 承包人提供的施工设备和临时设施</w:t>
      </w:r>
    </w:p>
    <w:p w14:paraId="578BB2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关于修建临时设施费用承担的约定：</w:t>
      </w:r>
      <w:r>
        <w:rPr>
          <w:rFonts w:hint="eastAsia" w:ascii="宋体" w:hAnsi="宋体" w:eastAsia="宋体" w:cs="宋体"/>
          <w:color w:val="000000"/>
          <w:sz w:val="22"/>
          <w:szCs w:val="22"/>
          <w:highlight w:val="none"/>
          <w:u w:val="single"/>
        </w:rPr>
        <w:t xml:space="preserve"> 由承包人自行承担  </w:t>
      </w:r>
      <w:r>
        <w:rPr>
          <w:rFonts w:hint="eastAsia" w:ascii="宋体" w:hAnsi="宋体" w:eastAsia="宋体" w:cs="宋体"/>
          <w:color w:val="000000"/>
          <w:sz w:val="22"/>
          <w:szCs w:val="22"/>
          <w:highlight w:val="none"/>
        </w:rPr>
        <w:t>。</w:t>
      </w: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14:paraId="5B6799CE">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288" w:name="_Toc386638615"/>
      <w:bookmarkStart w:id="289" w:name="_Toc351203641"/>
      <w:r>
        <w:rPr>
          <w:rFonts w:hint="eastAsia" w:ascii="宋体" w:hAnsi="宋体" w:eastAsia="宋体" w:cs="宋体"/>
          <w:b w:val="0"/>
          <w:color w:val="000000"/>
          <w:sz w:val="22"/>
          <w:szCs w:val="22"/>
          <w:highlight w:val="none"/>
        </w:rPr>
        <w:t>9</w:t>
      </w:r>
      <w:bookmarkEnd w:id="269"/>
      <w:bookmarkEnd w:id="270"/>
      <w:bookmarkEnd w:id="271"/>
      <w:bookmarkStart w:id="290" w:name="_Toc312678021"/>
      <w:bookmarkStart w:id="291" w:name="_Toc312677495"/>
      <w:bookmarkStart w:id="292" w:name="_Toc297123533"/>
      <w:bookmarkStart w:id="293" w:name="_Toc297216192"/>
      <w:bookmarkStart w:id="294" w:name="_Toc304295559"/>
      <w:bookmarkStart w:id="295" w:name="_Toc303539139"/>
      <w:bookmarkStart w:id="296" w:name="_Toc300934982"/>
      <w:bookmarkStart w:id="297" w:name="_Toc292559378"/>
      <w:bookmarkStart w:id="298" w:name="_Toc267251428"/>
      <w:bookmarkStart w:id="299" w:name="_Toc296346674"/>
      <w:bookmarkStart w:id="300" w:name="_Toc296347172"/>
      <w:bookmarkStart w:id="301" w:name="_Toc296891001"/>
      <w:bookmarkStart w:id="302" w:name="_Toc296944512"/>
      <w:bookmarkStart w:id="303" w:name="_Toc296503173"/>
      <w:bookmarkStart w:id="304" w:name="_Toc296891213"/>
      <w:bookmarkStart w:id="305" w:name="_Toc297048359"/>
      <w:bookmarkStart w:id="306" w:name="_Toc267251427"/>
      <w:bookmarkStart w:id="307" w:name="_Toc297120473"/>
      <w:bookmarkStart w:id="308" w:name="_Toc292559883"/>
      <w:r>
        <w:rPr>
          <w:rFonts w:hint="eastAsia" w:ascii="宋体" w:hAnsi="宋体" w:eastAsia="宋体" w:cs="宋体"/>
          <w:b w:val="0"/>
          <w:color w:val="000000"/>
          <w:sz w:val="22"/>
          <w:szCs w:val="22"/>
          <w:highlight w:val="none"/>
        </w:rPr>
        <w:t>. 试验与检验</w:t>
      </w:r>
      <w:bookmarkEnd w:id="288"/>
      <w:bookmarkEnd w:id="289"/>
    </w:p>
    <w:bookmarkEnd w:id="290"/>
    <w:bookmarkEnd w:id="291"/>
    <w:bookmarkEnd w:id="292"/>
    <w:bookmarkEnd w:id="293"/>
    <w:bookmarkEnd w:id="294"/>
    <w:bookmarkEnd w:id="295"/>
    <w:bookmarkEnd w:id="296"/>
    <w:p w14:paraId="6205794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09" w:name="_Toc297216193"/>
      <w:bookmarkStart w:id="310" w:name="_Toc312677496"/>
      <w:bookmarkStart w:id="311" w:name="_Toc297123534"/>
      <w:bookmarkStart w:id="312" w:name="_Toc304295560"/>
      <w:bookmarkStart w:id="313" w:name="_Toc303539140"/>
      <w:bookmarkStart w:id="314" w:name="_Toc300934983"/>
      <w:bookmarkStart w:id="315" w:name="_Toc312678022"/>
      <w:r>
        <w:rPr>
          <w:rFonts w:hint="eastAsia" w:ascii="宋体" w:hAnsi="宋体" w:eastAsia="宋体" w:cs="宋体"/>
          <w:color w:val="000000"/>
          <w:sz w:val="22"/>
          <w:szCs w:val="22"/>
          <w:highlight w:val="none"/>
        </w:rPr>
        <w:t>.1试验设备与试验人员</w:t>
      </w:r>
    </w:p>
    <w:bookmarkEnd w:id="309"/>
    <w:bookmarkEnd w:id="310"/>
    <w:bookmarkEnd w:id="311"/>
    <w:bookmarkEnd w:id="312"/>
    <w:bookmarkEnd w:id="313"/>
    <w:bookmarkEnd w:id="314"/>
    <w:bookmarkEnd w:id="315"/>
    <w:p w14:paraId="285D98C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bookmarkStart w:id="316" w:name="_Toc312677497"/>
      <w:bookmarkStart w:id="317" w:name="_Toc297123535"/>
      <w:bookmarkStart w:id="318" w:name="_Toc312678023"/>
      <w:bookmarkStart w:id="319" w:name="_Toc297216194"/>
      <w:bookmarkStart w:id="320" w:name="_Toc300934984"/>
      <w:bookmarkStart w:id="321" w:name="_Toc303539141"/>
      <w:bookmarkStart w:id="322" w:name="_Toc304295561"/>
      <w:bookmarkStart w:id="323" w:name="_Toc318581174"/>
      <w:r>
        <w:rPr>
          <w:rFonts w:hint="eastAsia" w:ascii="宋体" w:hAnsi="宋体" w:eastAsia="宋体" w:cs="宋体"/>
          <w:color w:val="000000"/>
          <w:sz w:val="22"/>
          <w:szCs w:val="22"/>
          <w:highlight w:val="none"/>
        </w:rPr>
        <w:t>.1.2 试验设备</w:t>
      </w:r>
    </w:p>
    <w:p w14:paraId="7AD82AFA">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施工现场需要配置的试验场所：</w:t>
      </w:r>
      <w:bookmarkEnd w:id="316"/>
      <w:bookmarkEnd w:id="317"/>
      <w:bookmarkEnd w:id="318"/>
      <w:bookmarkEnd w:id="319"/>
      <w:bookmarkEnd w:id="320"/>
      <w:bookmarkEnd w:id="321"/>
      <w:bookmarkEnd w:id="322"/>
      <w:bookmarkStart w:id="324" w:name="_Toc297216195"/>
      <w:bookmarkStart w:id="325" w:name="_Toc297123536"/>
      <w:bookmarkStart w:id="326" w:name="_Toc300934985"/>
      <w:bookmarkStart w:id="327" w:name="_Toc312678024"/>
      <w:bookmarkStart w:id="328" w:name="_Toc312677498"/>
      <w:bookmarkStart w:id="329" w:name="_Toc303539142"/>
      <w:bookmarkStart w:id="330" w:name="_Toc304295562"/>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 xml:space="preserve">。 </w:t>
      </w:r>
    </w:p>
    <w:p w14:paraId="57BA17D5">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施工现场需要配备的试验设备：</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67B419E1">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施工现场需要具备的其他试验条件：</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E2E2C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9.4 现场工艺试验 </w:t>
      </w:r>
    </w:p>
    <w:p w14:paraId="163D1C26">
      <w:pPr>
        <w:spacing w:line="360" w:lineRule="auto"/>
        <w:ind w:firstLine="385" w:firstLineChars="17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现场工艺试验的有关约定：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bookmarkEnd w:id="297"/>
    <w:bookmarkEnd w:id="298"/>
    <w:bookmarkEnd w:id="299"/>
    <w:bookmarkEnd w:id="300"/>
    <w:bookmarkEnd w:id="301"/>
    <w:bookmarkEnd w:id="302"/>
    <w:bookmarkEnd w:id="303"/>
    <w:bookmarkEnd w:id="304"/>
    <w:bookmarkEnd w:id="305"/>
    <w:bookmarkEnd w:id="306"/>
    <w:bookmarkEnd w:id="307"/>
    <w:bookmarkEnd w:id="308"/>
    <w:bookmarkEnd w:id="323"/>
    <w:bookmarkEnd w:id="324"/>
    <w:bookmarkEnd w:id="325"/>
    <w:bookmarkEnd w:id="326"/>
    <w:bookmarkEnd w:id="327"/>
    <w:bookmarkEnd w:id="328"/>
    <w:bookmarkEnd w:id="329"/>
    <w:bookmarkEnd w:id="330"/>
    <w:p w14:paraId="6DEB3794">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331" w:name="_Toc386638616"/>
      <w:bookmarkStart w:id="332" w:name="_Toc351203642"/>
      <w:bookmarkStart w:id="333" w:name="_Toc267251442"/>
      <w:bookmarkStart w:id="334" w:name="_Toc267251437"/>
      <w:bookmarkStart w:id="335" w:name="_Toc267251441"/>
      <w:bookmarkStart w:id="336" w:name="_Toc267251439"/>
      <w:bookmarkStart w:id="337" w:name="_Toc267251435"/>
      <w:bookmarkStart w:id="338" w:name="_Toc267251440"/>
      <w:bookmarkStart w:id="339" w:name="_Toc267251433"/>
      <w:r>
        <w:rPr>
          <w:rFonts w:hint="eastAsia" w:ascii="宋体" w:hAnsi="宋体" w:eastAsia="宋体" w:cs="宋体"/>
          <w:b w:val="0"/>
          <w:color w:val="000000"/>
          <w:sz w:val="22"/>
          <w:szCs w:val="22"/>
          <w:highlight w:val="none"/>
        </w:rPr>
        <w:t>1</w:t>
      </w:r>
      <w:bookmarkStart w:id="340" w:name="_Toc303539146"/>
      <w:bookmarkStart w:id="341" w:name="_Toc292559903"/>
      <w:bookmarkStart w:id="342" w:name="_Toc297216199"/>
      <w:bookmarkStart w:id="343" w:name="_Toc296347192"/>
      <w:bookmarkStart w:id="344" w:name="_Toc297123540"/>
      <w:bookmarkStart w:id="345" w:name="_Toc300934989"/>
      <w:bookmarkStart w:id="346" w:name="_Toc297120493"/>
      <w:bookmarkStart w:id="347" w:name="_Toc296346694"/>
      <w:bookmarkStart w:id="348" w:name="_Toc304295566"/>
      <w:bookmarkStart w:id="349" w:name="_Toc297048379"/>
      <w:bookmarkStart w:id="350" w:name="_Toc296503193"/>
      <w:bookmarkStart w:id="351" w:name="_Toc292559398"/>
      <w:bookmarkStart w:id="352" w:name="_Toc296891021"/>
      <w:bookmarkStart w:id="353" w:name="_Toc296891233"/>
      <w:bookmarkStart w:id="354" w:name="_Toc296944532"/>
      <w:bookmarkStart w:id="355" w:name="_Toc312678025"/>
      <w:bookmarkStart w:id="356" w:name="_Toc312677499"/>
      <w:r>
        <w:rPr>
          <w:rFonts w:hint="eastAsia" w:ascii="宋体" w:hAnsi="宋体" w:eastAsia="宋体" w:cs="宋体"/>
          <w:b w:val="0"/>
          <w:color w:val="000000"/>
          <w:sz w:val="22"/>
          <w:szCs w:val="22"/>
          <w:highlight w:val="none"/>
        </w:rPr>
        <w:t>0. 变更</w:t>
      </w:r>
      <w:bookmarkEnd w:id="331"/>
      <w:bookmarkEnd w:id="332"/>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bookmarkEnd w:id="355"/>
    <w:bookmarkEnd w:id="356"/>
    <w:p w14:paraId="0534C48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357" w:name="_Toc297123541"/>
      <w:bookmarkStart w:id="358" w:name="_Toc297120494"/>
      <w:bookmarkStart w:id="359" w:name="_Toc296891022"/>
      <w:bookmarkStart w:id="360" w:name="_Toc297048380"/>
      <w:bookmarkStart w:id="361" w:name="_Toc312678026"/>
      <w:bookmarkStart w:id="362" w:name="_Toc296346695"/>
      <w:bookmarkStart w:id="363" w:name="_Toc312677500"/>
      <w:bookmarkStart w:id="364" w:name="_Toc296891234"/>
      <w:bookmarkStart w:id="365" w:name="_Toc304295567"/>
      <w:bookmarkStart w:id="366" w:name="_Toc296944533"/>
      <w:bookmarkStart w:id="367" w:name="_Toc292559904"/>
      <w:bookmarkStart w:id="368" w:name="_Toc300934990"/>
      <w:bookmarkStart w:id="369" w:name="_Toc303539147"/>
      <w:bookmarkStart w:id="370" w:name="_Toc296347193"/>
      <w:bookmarkStart w:id="371" w:name="_Toc292559399"/>
      <w:bookmarkStart w:id="372" w:name="_Toc296503194"/>
      <w:bookmarkStart w:id="373" w:name="_Toc297216200"/>
      <w:r>
        <w:rPr>
          <w:rFonts w:hint="eastAsia" w:ascii="宋体" w:hAnsi="宋体" w:eastAsia="宋体" w:cs="宋体"/>
          <w:color w:val="000000"/>
          <w:sz w:val="22"/>
          <w:szCs w:val="22"/>
          <w:highlight w:val="none"/>
        </w:rPr>
        <w:t>0.1变更的范围</w:t>
      </w:r>
    </w:p>
    <w:p w14:paraId="27A5E23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关于变更的范围的约定：</w:t>
      </w:r>
      <w:r>
        <w:rPr>
          <w:rFonts w:hint="eastAsia" w:ascii="宋体" w:hAnsi="宋体" w:eastAsia="宋体" w:cs="宋体"/>
          <w:i w:val="0"/>
          <w:iCs w:val="0"/>
          <w:color w:val="auto"/>
          <w:kern w:val="0"/>
          <w:sz w:val="22"/>
          <w:szCs w:val="22"/>
          <w:u w:val="single"/>
        </w:rPr>
        <w:t>除了通用合同条款明确的以外还包括：</w:t>
      </w:r>
      <w:r>
        <w:rPr>
          <w:rFonts w:hint="eastAsia" w:ascii="宋体" w:hAnsi="宋体" w:eastAsia="宋体" w:cs="宋体"/>
          <w:i w:val="0"/>
          <w:iCs w:val="0"/>
          <w:color w:val="auto"/>
          <w:sz w:val="22"/>
          <w:szCs w:val="22"/>
          <w:u w:val="single"/>
        </w:rPr>
        <w:t>非施工方原因引起的工程设计变更和涉及工程费用增减的施工组织方案调整、材料与设备的调整、工程施工内容的增减以及其他实质性变更</w:t>
      </w:r>
      <w:r>
        <w:rPr>
          <w:rFonts w:hint="eastAsia" w:ascii="宋体" w:hAnsi="宋体" w:eastAsia="宋体" w:cs="宋体"/>
          <w:color w:val="000000"/>
          <w:sz w:val="22"/>
          <w:szCs w:val="22"/>
          <w:highlight w:val="none"/>
        </w:rPr>
        <w:t>。</w:t>
      </w:r>
    </w:p>
    <w:p w14:paraId="3B652D9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10.2变更权</w:t>
      </w:r>
    </w:p>
    <w:p w14:paraId="00537C7C">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合同履行过程中发生工程变更的，工程变更权限按以下文件执行：</w:t>
      </w:r>
      <w:r>
        <w:rPr>
          <w:rFonts w:hint="eastAsia" w:ascii="宋体" w:hAnsi="宋体" w:eastAsia="宋体" w:cs="宋体"/>
          <w:i w:val="0"/>
          <w:iCs w:val="0"/>
          <w:color w:val="auto"/>
          <w:sz w:val="22"/>
          <w:szCs w:val="22"/>
          <w:u w:val="single"/>
        </w:rPr>
        <w:t>《宁海县政府投资项目工程造价管控办法》（宁发改〔2023〕51号）和建设单位工程变更管理办法</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p>
    <w:p w14:paraId="5E3CFB4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10.3变更程序</w:t>
      </w:r>
    </w:p>
    <w:bookmarkEnd w:id="333"/>
    <w:bookmarkEnd w:id="334"/>
    <w:bookmarkEnd w:id="335"/>
    <w:bookmarkEnd w:id="336"/>
    <w:bookmarkEnd w:id="337"/>
    <w:bookmarkEnd w:id="338"/>
    <w:bookmarkEnd w:id="339"/>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14:paraId="59D524A7">
      <w:pPr>
        <w:spacing w:line="360" w:lineRule="auto"/>
        <w:ind w:firstLine="440" w:firstLineChars="200"/>
        <w:rPr>
          <w:rFonts w:hint="eastAsia" w:ascii="宋体" w:hAnsi="宋体" w:eastAsia="宋体" w:cs="宋体"/>
          <w:color w:val="000000"/>
          <w:sz w:val="22"/>
          <w:szCs w:val="22"/>
          <w:highlight w:val="none"/>
        </w:rPr>
      </w:pPr>
      <w:bookmarkStart w:id="374" w:name="_Toc386638619"/>
      <w:bookmarkStart w:id="375" w:name="_Toc351203645"/>
      <w:bookmarkStart w:id="376" w:name="_Toc312678053"/>
      <w:bookmarkStart w:id="377" w:name="_Toc296503219"/>
      <w:bookmarkStart w:id="378" w:name="_Toc297216223"/>
      <w:bookmarkStart w:id="379" w:name="_Toc296891047"/>
      <w:bookmarkStart w:id="380" w:name="_Toc300935015"/>
      <w:bookmarkStart w:id="381" w:name="_Toc296347218"/>
      <w:bookmarkStart w:id="382" w:name="_Toc292559424"/>
      <w:bookmarkStart w:id="383" w:name="_Toc296891259"/>
      <w:bookmarkStart w:id="384" w:name="_Toc297120519"/>
      <w:bookmarkStart w:id="385" w:name="_Toc303539172"/>
      <w:bookmarkStart w:id="386" w:name="_Toc304295593"/>
      <w:bookmarkStart w:id="387" w:name="_Toc297048405"/>
      <w:bookmarkStart w:id="388" w:name="_Toc297123564"/>
      <w:bookmarkStart w:id="389" w:name="_Toc296346720"/>
      <w:bookmarkStart w:id="390" w:name="_Toc292559929"/>
      <w:bookmarkStart w:id="391" w:name="_Toc296944558"/>
      <w:r>
        <w:rPr>
          <w:rFonts w:hint="eastAsia" w:ascii="宋体" w:hAnsi="宋体" w:eastAsia="宋体" w:cs="宋体"/>
          <w:sz w:val="22"/>
          <w:szCs w:val="22"/>
          <w:highlight w:val="none"/>
        </w:rPr>
        <w:t>合同履行过程中发生工程变更的，工程变更按</w:t>
      </w:r>
      <w:r>
        <w:rPr>
          <w:rFonts w:hint="eastAsia" w:ascii="宋体" w:hAnsi="宋体" w:eastAsia="宋体" w:cs="宋体"/>
          <w:sz w:val="22"/>
          <w:szCs w:val="22"/>
          <w:highlight w:val="none"/>
          <w:u w:val="single"/>
        </w:rPr>
        <w:t>《宁海县政府投资项目工程造价管控办法》（宁发改〔2023〕51号）和建设单位工程变更管理办法规定的程序办理</w:t>
      </w:r>
      <w:r>
        <w:rPr>
          <w:rFonts w:hint="eastAsia" w:ascii="宋体" w:hAnsi="宋体" w:eastAsia="宋体" w:cs="宋体"/>
          <w:sz w:val="22"/>
          <w:szCs w:val="22"/>
          <w:highlight w:val="none"/>
        </w:rPr>
        <w:t>。</w:t>
      </w:r>
    </w:p>
    <w:p w14:paraId="0FFD5BE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10.4 变更估价</w:t>
      </w:r>
    </w:p>
    <w:p w14:paraId="63F594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10.4.1 变更估价原则</w:t>
      </w:r>
    </w:p>
    <w:p w14:paraId="1165CE8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关于变更估价的约定: </w:t>
      </w:r>
    </w:p>
    <w:p w14:paraId="021F916F">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合同履行过程中，发生下列情况之一的，工程量清单项目及其工程量均应按实调整： </w:t>
      </w:r>
    </w:p>
    <w:p w14:paraId="5769F20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（1）设计变更引起新增清单项目或取消原有项目；</w:t>
      </w:r>
    </w:p>
    <w:p w14:paraId="3D3E7F1C">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（2）设计变更引起的工程量清单项目数量的增减。</w:t>
      </w:r>
    </w:p>
    <w:p w14:paraId="564CE06D">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5AF41705">
      <w:pPr>
        <w:spacing w:line="360" w:lineRule="auto"/>
        <w:ind w:firstLine="330" w:firstLineChars="150"/>
        <w:rPr>
          <w:rFonts w:hint="eastAsia" w:ascii="宋体" w:hAnsi="宋体" w:eastAsia="宋体" w:cs="宋体"/>
          <w:color w:val="0000FF"/>
          <w:sz w:val="22"/>
          <w:szCs w:val="22"/>
          <w:highlight w:val="none"/>
        </w:rPr>
      </w:pPr>
      <w:r>
        <w:rPr>
          <w:rFonts w:hint="eastAsia" w:ascii="宋体" w:hAnsi="宋体" w:eastAsia="宋体" w:cs="宋体"/>
          <w:sz w:val="22"/>
          <w:szCs w:val="22"/>
          <w:highlight w:val="none"/>
        </w:rPr>
        <w:t xml:space="preserve">（1）非承包人原因引起的工程量偏差，该项工程量变化幅度在规定范围以内的，应执行合同原有的综合单价； </w:t>
      </w:r>
      <w:r>
        <w:rPr>
          <w:rFonts w:hint="eastAsia" w:ascii="宋体" w:hAnsi="宋体" w:eastAsia="宋体" w:cs="宋体"/>
          <w:color w:val="0000FF"/>
          <w:sz w:val="22"/>
          <w:szCs w:val="22"/>
          <w:highlight w:val="none"/>
        </w:rPr>
        <w:t xml:space="preserve"> </w:t>
      </w:r>
    </w:p>
    <w:p w14:paraId="3D80CAFE">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合价金额占合同总价2%及以上的分部分项清单项目其工程量增减超过本项工程量15%及以上，或合价金额占合同总价不到2%的分部分项清单项目，但其工程量增减超过本项目工程数量15%及以上时，则超过部分应重新确定综合单价。综合单价由承包人按合同约定(招标文件)的计价依据并取费结合《关于进一步加强建设工程要素价格动态管理工作的通知》(甬建价〔2021〕9号)文件按</w:t>
      </w:r>
      <w:r>
        <w:rPr>
          <w:rFonts w:hint="eastAsia" w:ascii="宋体" w:hAnsi="宋体" w:eastAsia="宋体" w:cs="宋体"/>
          <w:sz w:val="22"/>
          <w:szCs w:val="22"/>
          <w:highlight w:val="none"/>
          <w:lang w:eastAsia="zh-CN"/>
        </w:rPr>
        <w:t>中标下浮率</w:t>
      </w:r>
      <w:r>
        <w:rPr>
          <w:rFonts w:hint="eastAsia" w:ascii="宋体" w:hAnsi="宋体" w:eastAsia="宋体" w:cs="宋体"/>
          <w:sz w:val="22"/>
          <w:szCs w:val="22"/>
          <w:highlight w:val="none"/>
        </w:rPr>
        <w:t>组价后提出，经发包人确认后调整。[工程类别：</w:t>
      </w:r>
      <w:r>
        <w:rPr>
          <w:rFonts w:hint="eastAsia" w:ascii="宋体" w:hAnsi="宋体" w:eastAsia="宋体" w:cs="宋体"/>
          <w:sz w:val="22"/>
          <w:szCs w:val="22"/>
          <w:highlight w:val="none"/>
          <w:lang w:eastAsia="zh-CN"/>
        </w:rPr>
        <w:t>建筑工程按房屋建筑及构筑物工程中值计取，附属工程按道路、排水、河道护岸、水处理构筑物及城市综合管廊、生活垃圾处理工程中值计取，安装工程按水、电、暖通、消防、智能、自控及通信安装工程中值计取；</w:t>
      </w:r>
      <w:r>
        <w:rPr>
          <w:rFonts w:hint="eastAsia" w:ascii="宋体" w:hAnsi="宋体" w:eastAsia="宋体" w:cs="宋体"/>
          <w:sz w:val="22"/>
          <w:szCs w:val="22"/>
          <w:highlight w:val="none"/>
          <w:lang w:val="en-US" w:eastAsia="zh-CN"/>
        </w:rPr>
        <w:t>施工组织措施项目费根据相应专业工程按中值计取；规费按相应专业标准费率的30%计取；税金按《关于增值税调整后我省建设工程计价依据增值税税率及有关计价调整的通知》（浙建建发【2019】92号规定，增值税税率按9%计取。</w:t>
      </w:r>
      <w:r>
        <w:rPr>
          <w:rFonts w:hint="eastAsia" w:ascii="宋体" w:hAnsi="宋体" w:eastAsia="宋体" w:cs="宋体"/>
          <w:sz w:val="22"/>
          <w:szCs w:val="22"/>
          <w:highlight w:val="none"/>
        </w:rPr>
        <w:t>]</w:t>
      </w:r>
    </w:p>
    <w:p w14:paraId="09BD734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1AC9C2D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（2）因施工中出现施工图纸与工程量清单项目特征描述不符、分部分项工程量清单项目缺项(或漏项)、非承包人原因的工程变更等，引起新的工程项目，其相应的综合单价按以下方法确定：</w:t>
      </w:r>
    </w:p>
    <w:p w14:paraId="08F841DA">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①已标价工程量清单中存在适用于变更工程项目的，采用该项目的单价；</w:t>
      </w:r>
    </w:p>
    <w:p w14:paraId="3AB63AE2">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②已标价工程量清单中不存在适用单价但存在与变更工程类似项目价格的，可以参照类似项目的单价；如</w:t>
      </w:r>
      <w:r>
        <w:rPr>
          <w:rFonts w:hint="eastAsia" w:ascii="宋体" w:hAnsi="宋体" w:eastAsia="宋体" w:cs="宋体"/>
          <w:kern w:val="0"/>
          <w:sz w:val="22"/>
          <w:szCs w:val="22"/>
          <w:highlight w:val="none"/>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eastAsia="宋体" w:cs="宋体"/>
          <w:sz w:val="22"/>
          <w:szCs w:val="22"/>
          <w:highlight w:val="none"/>
        </w:rPr>
        <w:t>；</w:t>
      </w:r>
    </w:p>
    <w:p w14:paraId="360EA7FD">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③已标价工程量清单中不存在适用的价格也没有类似的变更工程项目价格的(一般指新增项目)，则由承包人按照变更工程资料、合同约定或者招标文件采用的计价依据、取费结合</w:t>
      </w:r>
      <w:r>
        <w:rPr>
          <w:rFonts w:hint="eastAsia" w:ascii="宋体" w:hAnsi="宋体" w:eastAsia="宋体" w:cs="宋体"/>
          <w:i w:val="0"/>
          <w:iCs w:val="0"/>
          <w:color w:val="000000"/>
          <w:sz w:val="22"/>
          <w:szCs w:val="22"/>
        </w:rPr>
        <w:t>《关于进一步加强建设工程要素价格动态管理工作的通知》(甬建价〔2021〕9号)</w:t>
      </w:r>
      <w:r>
        <w:rPr>
          <w:rFonts w:hint="eastAsia" w:ascii="宋体" w:hAnsi="宋体" w:eastAsia="宋体" w:cs="宋体"/>
          <w:sz w:val="22"/>
          <w:szCs w:val="22"/>
          <w:highlight w:val="none"/>
        </w:rPr>
        <w:t>文件按</w:t>
      </w:r>
      <w:r>
        <w:rPr>
          <w:rFonts w:hint="eastAsia" w:ascii="宋体" w:hAnsi="宋体" w:cs="宋体"/>
          <w:sz w:val="22"/>
          <w:szCs w:val="22"/>
          <w:highlight w:val="none"/>
          <w:lang w:eastAsia="zh-CN"/>
        </w:rPr>
        <w:t>中标下</w:t>
      </w:r>
      <w:r>
        <w:rPr>
          <w:rFonts w:hint="eastAsia" w:ascii="宋体" w:hAnsi="宋体" w:eastAsia="宋体" w:cs="宋体"/>
          <w:sz w:val="22"/>
          <w:szCs w:val="22"/>
          <w:highlight w:val="none"/>
        </w:rPr>
        <w:t>浮率组价后提出，经发包人确认后调整。[工程类别：</w:t>
      </w:r>
      <w:r>
        <w:rPr>
          <w:rFonts w:hint="eastAsia" w:ascii="宋体" w:hAnsi="宋体" w:eastAsia="宋体" w:cs="宋体"/>
          <w:sz w:val="22"/>
          <w:szCs w:val="22"/>
          <w:highlight w:val="none"/>
          <w:lang w:eastAsia="zh-CN"/>
        </w:rPr>
        <w:t>建筑工程按房屋建筑及构筑物工程中值计取，附属工程按道路、排水、河道护岸、水处理构筑物及城市综合管廊、生活垃圾处理工程中值计取，安装工程按水、电、暖通、消防、智能、自控及通信安装工程中值计取；</w:t>
      </w:r>
      <w:r>
        <w:rPr>
          <w:rFonts w:hint="eastAsia" w:ascii="宋体" w:hAnsi="宋体" w:eastAsia="宋体" w:cs="宋体"/>
          <w:sz w:val="22"/>
          <w:szCs w:val="22"/>
          <w:highlight w:val="none"/>
          <w:lang w:val="en-US" w:eastAsia="zh-CN"/>
        </w:rPr>
        <w:t>施工组织措施项目费根据相应专业工程按中值计取；规费按相应专业标准费率的30%计取；税金按《关于增值税调整后我省建设工程计价依据增值税税率及有关计价调整的通知》（浙建建发【2019】92号规定，增值税税率按9%计取。</w:t>
      </w:r>
      <w:r>
        <w:rPr>
          <w:rFonts w:hint="eastAsia" w:ascii="宋体" w:hAnsi="宋体" w:eastAsia="宋体" w:cs="宋体"/>
          <w:sz w:val="22"/>
          <w:szCs w:val="22"/>
          <w:highlight w:val="none"/>
        </w:rPr>
        <w:t>]</w:t>
      </w:r>
    </w:p>
    <w:p w14:paraId="2B3EA305">
      <w:pPr>
        <w:spacing w:line="360" w:lineRule="auto"/>
        <w:ind w:firstLine="462" w:firstLineChars="210"/>
        <w:rPr>
          <w:rFonts w:hint="eastAsia" w:ascii="宋体" w:hAnsi="宋体" w:eastAsia="宋体" w:cs="宋体"/>
          <w:sz w:val="22"/>
          <w:szCs w:val="22"/>
          <w:highlight w:val="none"/>
        </w:rPr>
      </w:pPr>
      <w:r>
        <w:rPr>
          <w:rFonts w:hint="eastAsia" w:ascii="宋体" w:hAnsi="宋体" w:eastAsia="宋体" w:cs="宋体"/>
          <w:sz w:val="22"/>
          <w:szCs w:val="22"/>
          <w:highlight w:val="none"/>
        </w:rPr>
        <w:t>具体的下浮率为【1-（中标</w:t>
      </w:r>
      <w:r>
        <w:rPr>
          <w:rFonts w:hint="eastAsia" w:ascii="宋体" w:hAnsi="宋体" w:eastAsia="宋体" w:cs="宋体"/>
          <w:sz w:val="22"/>
          <w:szCs w:val="22"/>
          <w:highlight w:val="none"/>
          <w:lang w:eastAsia="zh-CN"/>
        </w:rPr>
        <w:t>价</w:t>
      </w:r>
      <w:r>
        <w:rPr>
          <w:rFonts w:hint="eastAsia" w:ascii="宋体" w:hAnsi="宋体" w:eastAsia="宋体" w:cs="宋体"/>
          <w:sz w:val="22"/>
          <w:szCs w:val="22"/>
          <w:highlight w:val="none"/>
        </w:rPr>
        <w:t>-非竞争</w:t>
      </w:r>
      <w:r>
        <w:rPr>
          <w:rFonts w:hint="eastAsia" w:ascii="宋体" w:hAnsi="宋体" w:cs="宋体"/>
          <w:sz w:val="22"/>
          <w:szCs w:val="22"/>
          <w:highlight w:val="none"/>
          <w:lang w:eastAsia="zh-CN"/>
        </w:rPr>
        <w:t>性</w:t>
      </w:r>
      <w:r>
        <w:rPr>
          <w:rFonts w:hint="eastAsia" w:ascii="宋体" w:hAnsi="宋体" w:eastAsia="宋体" w:cs="宋体"/>
          <w:sz w:val="22"/>
          <w:szCs w:val="22"/>
          <w:highlight w:val="none"/>
        </w:rPr>
        <w:t>项目费用）/（招标</w:t>
      </w:r>
      <w:r>
        <w:rPr>
          <w:rFonts w:hint="eastAsia" w:ascii="宋体" w:hAnsi="宋体" w:eastAsia="宋体" w:cs="宋体"/>
          <w:sz w:val="22"/>
          <w:szCs w:val="22"/>
          <w:highlight w:val="none"/>
          <w:lang w:eastAsia="zh-CN"/>
        </w:rPr>
        <w:t>预算</w:t>
      </w:r>
      <w:r>
        <w:rPr>
          <w:rFonts w:hint="eastAsia" w:ascii="宋体" w:hAnsi="宋体" w:eastAsia="宋体" w:cs="宋体"/>
          <w:sz w:val="22"/>
          <w:szCs w:val="22"/>
          <w:highlight w:val="none"/>
        </w:rPr>
        <w:t>价-非竞争</w:t>
      </w:r>
      <w:r>
        <w:rPr>
          <w:rFonts w:hint="eastAsia" w:ascii="宋体" w:hAnsi="宋体" w:cs="宋体"/>
          <w:sz w:val="22"/>
          <w:szCs w:val="22"/>
          <w:highlight w:val="none"/>
          <w:lang w:eastAsia="zh-CN"/>
        </w:rPr>
        <w:t>性</w:t>
      </w:r>
      <w:r>
        <w:rPr>
          <w:rFonts w:hint="eastAsia" w:ascii="宋体" w:hAnsi="宋体" w:eastAsia="宋体" w:cs="宋体"/>
          <w:sz w:val="22"/>
          <w:szCs w:val="22"/>
          <w:highlight w:val="none"/>
        </w:rPr>
        <w:t>项目费用）】*100%。</w:t>
      </w:r>
    </w:p>
    <w:p w14:paraId="16C9FA70">
      <w:pPr>
        <w:spacing w:line="360" w:lineRule="auto"/>
        <w:ind w:firstLine="440" w:firstLineChars="200"/>
        <w:rPr>
          <w:rFonts w:hint="default" w:ascii="宋体" w:hAnsi="宋体" w:eastAsia="宋体" w:cs="宋体"/>
          <w:snapToGrid w:val="0"/>
          <w:color w:val="auto"/>
          <w:sz w:val="22"/>
          <w:szCs w:val="22"/>
          <w:u w:val="single"/>
          <w:lang w:val="en-US" w:eastAsia="zh-CN"/>
        </w:rPr>
      </w:pPr>
      <w:r>
        <w:rPr>
          <w:rFonts w:hint="eastAsia" w:ascii="宋体" w:hAnsi="宋体" w:cs="宋体"/>
          <w:snapToGrid w:val="0"/>
          <w:color w:val="auto"/>
          <w:sz w:val="22"/>
          <w:szCs w:val="22"/>
          <w:lang w:eastAsia="zh-CN"/>
        </w:rPr>
        <w:t>招标预算价</w:t>
      </w:r>
      <w:r>
        <w:rPr>
          <w:rFonts w:hint="eastAsia" w:ascii="宋体" w:hAnsi="宋体" w:cs="宋体"/>
          <w:snapToGrid w:val="0"/>
          <w:color w:val="auto"/>
          <w:sz w:val="22"/>
          <w:szCs w:val="22"/>
          <w:u w:val="single"/>
          <w:lang w:val="en-US" w:eastAsia="zh-CN"/>
        </w:rPr>
        <w:t xml:space="preserve"> 3018661</w:t>
      </w:r>
      <w:r>
        <w:rPr>
          <w:rFonts w:hint="eastAsia" w:ascii="宋体" w:hAnsi="宋体" w:cs="宋体"/>
          <w:snapToGrid w:val="0"/>
          <w:color w:val="auto"/>
          <w:sz w:val="22"/>
          <w:szCs w:val="22"/>
          <w:u w:val="none"/>
          <w:lang w:val="en-US" w:eastAsia="zh-CN"/>
        </w:rPr>
        <w:t>元，非竞争性项目费用</w:t>
      </w:r>
      <w:r>
        <w:rPr>
          <w:rFonts w:hint="eastAsia" w:ascii="宋体" w:hAnsi="宋体" w:cs="宋体"/>
          <w:snapToGrid w:val="0"/>
          <w:color w:val="auto"/>
          <w:sz w:val="22"/>
          <w:szCs w:val="22"/>
          <w:u w:val="single"/>
          <w:lang w:val="en-US" w:eastAsia="zh-CN"/>
        </w:rPr>
        <w:t>143746</w:t>
      </w:r>
      <w:r>
        <w:rPr>
          <w:rFonts w:hint="eastAsia" w:ascii="宋体" w:hAnsi="宋体" w:cs="宋体"/>
          <w:snapToGrid w:val="0"/>
          <w:color w:val="auto"/>
          <w:sz w:val="22"/>
          <w:szCs w:val="22"/>
          <w:u w:val="none"/>
          <w:lang w:val="en-US" w:eastAsia="zh-CN"/>
        </w:rPr>
        <w:t>元（含税）。</w:t>
      </w:r>
    </w:p>
    <w:p w14:paraId="1DA560CB">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10.4.1.2 关于变更措施项目费的约定：</w:t>
      </w:r>
    </w:p>
    <w:p w14:paraId="5D7976DE">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分部分项工程量清单非承包人原因的工程变更，造成施工组织设计或施工方案变更，以及分部分项工程量变化，引起措施项目数量、内容发生变化，措施项目费按以下原则调整：</w:t>
      </w:r>
    </w:p>
    <w:p w14:paraId="27E5A38F">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（1）施工组织措施费（按取费定额计取部分）按</w:t>
      </w:r>
      <w:r>
        <w:rPr>
          <w:rFonts w:hint="eastAsia" w:ascii="宋体" w:hAnsi="宋体" w:eastAsia="宋体" w:cs="宋体"/>
          <w:sz w:val="22"/>
          <w:szCs w:val="22"/>
          <w:highlight w:val="none"/>
        </w:rPr>
        <w:t>已标价工程量清单中的所列</w:t>
      </w:r>
      <w:r>
        <w:rPr>
          <w:rFonts w:hint="eastAsia" w:ascii="宋体" w:hAnsi="宋体" w:eastAsia="宋体" w:cs="宋体"/>
          <w:kern w:val="0"/>
          <w:sz w:val="22"/>
          <w:szCs w:val="22"/>
          <w:highlight w:val="none"/>
        </w:rPr>
        <w:t>费用包干使用，结算时无论工程量增减是否超过15%或新增项目均不作调整；新增的单项或单位工程施工组织措施费按相应工程计取。</w:t>
      </w:r>
    </w:p>
    <w:p w14:paraId="085451AC">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（2）大型机械设备进退场费及安拆费按</w:t>
      </w:r>
      <w:r>
        <w:rPr>
          <w:rFonts w:hint="eastAsia" w:ascii="宋体" w:hAnsi="宋体" w:eastAsia="宋体" w:cs="宋体"/>
          <w:sz w:val="22"/>
          <w:szCs w:val="22"/>
          <w:highlight w:val="none"/>
        </w:rPr>
        <w:t>已标价工程量清单中</w:t>
      </w:r>
      <w:r>
        <w:rPr>
          <w:rFonts w:hint="eastAsia" w:ascii="宋体" w:hAnsi="宋体" w:eastAsia="宋体" w:cs="宋体"/>
          <w:kern w:val="0"/>
          <w:sz w:val="22"/>
          <w:szCs w:val="22"/>
          <w:highlight w:val="none"/>
        </w:rPr>
        <w:t>施工技术措施清单所列数量包干使用，结算时不作调整；</w:t>
      </w:r>
    </w:p>
    <w:p w14:paraId="3D86E72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（3）施工技术措施项目（按现行定额部分）</w:t>
      </w:r>
      <w:r>
        <w:rPr>
          <w:rFonts w:hint="eastAsia" w:ascii="宋体" w:hAnsi="宋体" w:eastAsia="宋体" w:cs="宋体"/>
          <w:sz w:val="22"/>
          <w:szCs w:val="22"/>
          <w:highlight w:val="none"/>
          <w:u w:val="single"/>
        </w:rPr>
        <w:t>按工程量清单项目结算办法结算</w:t>
      </w:r>
      <w:r>
        <w:rPr>
          <w:rFonts w:hint="eastAsia" w:ascii="宋体" w:hAnsi="宋体" w:eastAsia="宋体" w:cs="宋体"/>
          <w:sz w:val="22"/>
          <w:szCs w:val="22"/>
          <w:highlight w:val="none"/>
        </w:rPr>
        <w:t>。</w:t>
      </w:r>
    </w:p>
    <w:p w14:paraId="51B6FDD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bookmarkStart w:id="392" w:name="_Toc297120497"/>
      <w:bookmarkStart w:id="393" w:name="_Toc292559907"/>
      <w:bookmarkStart w:id="394" w:name="_Toc296891237"/>
      <w:bookmarkStart w:id="395" w:name="_Toc296503197"/>
      <w:bookmarkStart w:id="396" w:name="_Toc297216203"/>
      <w:bookmarkStart w:id="397" w:name="_Toc296346698"/>
      <w:bookmarkStart w:id="398" w:name="_Toc300934993"/>
      <w:bookmarkStart w:id="399" w:name="_Toc297123544"/>
      <w:bookmarkStart w:id="400" w:name="_Toc296891025"/>
      <w:bookmarkStart w:id="401" w:name="_Toc303539150"/>
      <w:bookmarkStart w:id="402" w:name="_Toc296944536"/>
      <w:bookmarkStart w:id="403" w:name="_Toc292559402"/>
      <w:bookmarkStart w:id="404" w:name="_Toc296347196"/>
      <w:bookmarkStart w:id="405" w:name="_Toc297048383"/>
      <w:bookmarkStart w:id="406" w:name="_Toc312678029"/>
      <w:bookmarkStart w:id="407" w:name="_Toc312677503"/>
      <w:bookmarkStart w:id="408" w:name="_Toc304295570"/>
      <w:r>
        <w:rPr>
          <w:rFonts w:hint="eastAsia" w:ascii="宋体" w:hAnsi="宋体" w:eastAsia="宋体" w:cs="宋体"/>
          <w:color w:val="000000"/>
          <w:sz w:val="22"/>
          <w:szCs w:val="22"/>
          <w:highlight w:val="none"/>
        </w:rPr>
        <w:t>0.5承</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Start w:id="409" w:name="_Toc292559408"/>
      <w:bookmarkStart w:id="410" w:name="_Toc296503203"/>
      <w:bookmarkStart w:id="411" w:name="_Toc296891243"/>
      <w:bookmarkStart w:id="412" w:name="_Toc296347202"/>
      <w:bookmarkStart w:id="413" w:name="_Toc296891031"/>
      <w:bookmarkStart w:id="414" w:name="_Toc297123545"/>
      <w:bookmarkStart w:id="415" w:name="_Toc300934994"/>
      <w:bookmarkStart w:id="416" w:name="_Toc303539151"/>
      <w:bookmarkStart w:id="417" w:name="_Toc297216204"/>
      <w:bookmarkStart w:id="418" w:name="_Toc296346704"/>
      <w:bookmarkStart w:id="419" w:name="_Toc297120503"/>
      <w:bookmarkStart w:id="420" w:name="_Toc296944542"/>
      <w:bookmarkStart w:id="421" w:name="_Toc292559913"/>
      <w:bookmarkStart w:id="422" w:name="_Toc297048389"/>
      <w:r>
        <w:rPr>
          <w:rFonts w:hint="eastAsia" w:ascii="宋体" w:hAnsi="宋体" w:eastAsia="宋体" w:cs="宋体"/>
          <w:color w:val="000000"/>
          <w:sz w:val="22"/>
          <w:szCs w:val="22"/>
          <w:highlight w:val="none"/>
        </w:rPr>
        <w:t>包人的合理化建议</w:t>
      </w:r>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4D1B796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监理人审查承包人合理化建议的期限：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45F85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发包人审批承包人合理化建议的期限：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B5D8614">
      <w:pPr>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w:t>
      </w:r>
      <w:bookmarkStart w:id="423" w:name="_Toc304295571"/>
      <w:bookmarkStart w:id="424" w:name="_Toc296891244"/>
      <w:bookmarkStart w:id="425" w:name="_Toc296347203"/>
      <w:bookmarkStart w:id="426" w:name="_Toc297123546"/>
      <w:bookmarkStart w:id="427" w:name="_Toc312678030"/>
      <w:bookmarkStart w:id="428" w:name="_Toc312677504"/>
      <w:bookmarkStart w:id="429" w:name="_Toc297048390"/>
      <w:bookmarkStart w:id="430" w:name="_Toc292559409"/>
      <w:bookmarkStart w:id="431" w:name="_Toc292559914"/>
      <w:bookmarkStart w:id="432" w:name="_Toc297120504"/>
      <w:bookmarkStart w:id="433" w:name="_Toc296944543"/>
      <w:bookmarkStart w:id="434" w:name="_Toc296346705"/>
      <w:bookmarkStart w:id="435" w:name="_Toc303539152"/>
      <w:bookmarkStart w:id="436" w:name="_Toc296503204"/>
      <w:bookmarkStart w:id="437" w:name="_Toc300934995"/>
      <w:bookmarkStart w:id="438" w:name="_Toc297216205"/>
      <w:bookmarkStart w:id="439" w:name="_Toc318581175"/>
      <w:bookmarkStart w:id="440" w:name="_Toc296891032"/>
      <w:r>
        <w:rPr>
          <w:rFonts w:hint="eastAsia" w:ascii="宋体" w:hAnsi="宋体" w:eastAsia="宋体" w:cs="宋体"/>
          <w:color w:val="000000"/>
          <w:sz w:val="22"/>
          <w:szCs w:val="22"/>
          <w:highlight w:val="none"/>
        </w:rPr>
        <w:t>包人提出的合理化建议降低了合同价格或者提高了工程经济效益的奖励的方法和金额为：</w:t>
      </w:r>
      <w:r>
        <w:rPr>
          <w:rFonts w:hint="eastAsia" w:ascii="宋体" w:hAnsi="宋体" w:eastAsia="宋体" w:cs="宋体"/>
          <w:color w:val="000000"/>
          <w:kern w:val="0"/>
          <w:sz w:val="22"/>
          <w:szCs w:val="22"/>
          <w:highlight w:val="none"/>
        </w:rPr>
        <w:t>奖励由承包人的合理化建议带给发包人利益的</w:t>
      </w:r>
      <w:r>
        <w:rPr>
          <w:rFonts w:hint="eastAsia" w:ascii="宋体" w:hAnsi="宋体" w:eastAsia="宋体" w:cs="宋体"/>
          <w:color w:val="000000"/>
          <w:kern w:val="0"/>
          <w:sz w:val="22"/>
          <w:szCs w:val="22"/>
          <w:highlight w:val="none"/>
          <w:u w:val="single"/>
        </w:rPr>
        <w:t xml:space="preserve">   /   </w:t>
      </w:r>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7AF1957C">
      <w:pPr>
        <w:spacing w:line="360" w:lineRule="auto"/>
        <w:ind w:firstLine="440" w:firstLineChars="200"/>
        <w:rPr>
          <w:rFonts w:hint="eastAsia" w:ascii="宋体" w:hAnsi="宋体" w:eastAsia="宋体" w:cs="宋体"/>
          <w:color w:val="000000"/>
          <w:sz w:val="22"/>
          <w:szCs w:val="22"/>
          <w:highlight w:val="none"/>
        </w:rPr>
      </w:pPr>
      <w:bookmarkStart w:id="441" w:name="_Toc312677508"/>
      <w:bookmarkStart w:id="442" w:name="_Toc312678034"/>
      <w:bookmarkStart w:id="443" w:name="_Toc318581176"/>
      <w:r>
        <w:rPr>
          <w:rFonts w:hint="eastAsia" w:ascii="宋体" w:hAnsi="宋体" w:eastAsia="宋体" w:cs="宋体"/>
          <w:color w:val="000000"/>
          <w:sz w:val="22"/>
          <w:szCs w:val="22"/>
          <w:highlight w:val="none"/>
        </w:rPr>
        <w:t>1</w:t>
      </w:r>
      <w:bookmarkStart w:id="444" w:name="_Toc297048385"/>
      <w:bookmarkStart w:id="445" w:name="_Toc300934997"/>
      <w:bookmarkStart w:id="446" w:name="_Toc303539154"/>
      <w:bookmarkStart w:id="447" w:name="_Toc296347198"/>
      <w:bookmarkStart w:id="448" w:name="_Toc312678033"/>
      <w:bookmarkStart w:id="449" w:name="_Toc297123548"/>
      <w:bookmarkStart w:id="450" w:name="_Toc292559404"/>
      <w:bookmarkStart w:id="451" w:name="_Toc296891027"/>
      <w:bookmarkStart w:id="452" w:name="_Toc296891239"/>
      <w:bookmarkStart w:id="453" w:name="_Toc297120499"/>
      <w:bookmarkStart w:id="454" w:name="_Toc297216207"/>
      <w:bookmarkStart w:id="455" w:name="_Toc312677507"/>
      <w:bookmarkStart w:id="456" w:name="_Toc292559909"/>
      <w:bookmarkStart w:id="457" w:name="_Toc304295574"/>
      <w:bookmarkStart w:id="458" w:name="_Toc296503199"/>
      <w:bookmarkStart w:id="459" w:name="_Toc296346700"/>
      <w:bookmarkStart w:id="460" w:name="_Toc296944538"/>
      <w:r>
        <w:rPr>
          <w:rFonts w:hint="eastAsia" w:ascii="宋体" w:hAnsi="宋体" w:eastAsia="宋体" w:cs="宋体"/>
          <w:color w:val="000000"/>
          <w:sz w:val="22"/>
          <w:szCs w:val="22"/>
          <w:highlight w:val="none"/>
        </w:rPr>
        <w:t>0.7 暂估价</w:t>
      </w:r>
    </w:p>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14:paraId="2DBD79B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暂估价材料和工程设备的明细详见附件13-1和13-3：《材料</w:t>
      </w:r>
      <w:r>
        <w:rPr>
          <w:rFonts w:hint="eastAsia" w:ascii="宋体" w:hAnsi="宋体" w:eastAsia="宋体" w:cs="宋体"/>
          <w:color w:val="000000"/>
          <w:sz w:val="22"/>
          <w:szCs w:val="22"/>
          <w:highlight w:val="none"/>
        </w:rPr>
        <w:t>暂</w:t>
      </w:r>
      <w:r>
        <w:rPr>
          <w:rFonts w:hint="eastAsia" w:ascii="宋体" w:hAnsi="宋体" w:eastAsia="宋体" w:cs="宋体"/>
          <w:color w:val="000000"/>
          <w:sz w:val="22"/>
          <w:szCs w:val="22"/>
          <w:highlight w:val="none"/>
          <w:lang w:eastAsia="zh-CN"/>
        </w:rPr>
        <w:t>定</w:t>
      </w:r>
      <w:r>
        <w:rPr>
          <w:rFonts w:hint="eastAsia" w:ascii="宋体" w:hAnsi="宋体" w:eastAsia="宋体" w:cs="宋体"/>
          <w:color w:val="000000"/>
          <w:sz w:val="22"/>
          <w:szCs w:val="22"/>
          <w:highlight w:val="none"/>
        </w:rPr>
        <w:t>价一览表》和、《专业工程暂估价表》</w:t>
      </w:r>
      <w:r>
        <w:rPr>
          <w:rFonts w:hint="eastAsia" w:ascii="宋体" w:hAnsi="宋体" w:eastAsia="宋体" w:cs="宋体"/>
          <w:color w:val="000000"/>
          <w:kern w:val="0"/>
          <w:sz w:val="22"/>
          <w:szCs w:val="22"/>
          <w:highlight w:val="none"/>
        </w:rPr>
        <w:t>。</w:t>
      </w:r>
    </w:p>
    <w:p w14:paraId="132817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10.7.1 依法必须招标的暂估价项目</w:t>
      </w:r>
    </w:p>
    <w:p w14:paraId="7EF8F57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对于依法必须招标的暂估价项目的确认和批准采取第</w:t>
      </w:r>
      <w:r>
        <w:rPr>
          <w:rFonts w:hint="eastAsia" w:ascii="宋体" w:hAnsi="宋体" w:eastAsia="宋体" w:cs="宋体"/>
          <w:color w:val="000000"/>
          <w:sz w:val="22"/>
          <w:szCs w:val="22"/>
          <w:highlight w:val="none"/>
          <w:u w:val="single"/>
        </w:rPr>
        <w:t xml:space="preserve"> 1 </w:t>
      </w:r>
      <w:r>
        <w:rPr>
          <w:rFonts w:hint="eastAsia" w:ascii="宋体" w:hAnsi="宋体" w:eastAsia="宋体" w:cs="宋体"/>
          <w:color w:val="000000"/>
          <w:sz w:val="22"/>
          <w:szCs w:val="22"/>
          <w:highlight w:val="none"/>
        </w:rPr>
        <w:t>种方式确定。</w:t>
      </w:r>
    </w:p>
    <w:p w14:paraId="3D3EC0F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10.7.2 不属于依法必须招标的暂估价项目</w:t>
      </w:r>
    </w:p>
    <w:p w14:paraId="4BE0E6C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对于不属于依法必须招标的暂估价项目的确认和批准采取第</w:t>
      </w:r>
      <w:r>
        <w:rPr>
          <w:rFonts w:hint="eastAsia" w:ascii="宋体" w:hAnsi="宋体" w:eastAsia="宋体" w:cs="宋体"/>
          <w:color w:val="000000"/>
          <w:sz w:val="22"/>
          <w:szCs w:val="22"/>
          <w:highlight w:val="none"/>
          <w:u w:val="single"/>
        </w:rPr>
        <w:t>3</w:t>
      </w:r>
      <w:r>
        <w:rPr>
          <w:rFonts w:hint="eastAsia" w:ascii="宋体" w:hAnsi="宋体" w:eastAsia="宋体" w:cs="宋体"/>
          <w:color w:val="000000"/>
          <w:sz w:val="22"/>
          <w:szCs w:val="22"/>
          <w:highlight w:val="none"/>
        </w:rPr>
        <w:t>种方式确定。</w:t>
      </w:r>
    </w:p>
    <w:bookmarkEnd w:id="441"/>
    <w:bookmarkEnd w:id="442"/>
    <w:bookmarkEnd w:id="443"/>
    <w:p w14:paraId="5D9C191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第3种方式：承包人直接实施的暂估价项目</w:t>
      </w:r>
    </w:p>
    <w:p w14:paraId="180A9CB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r>
        <w:rPr>
          <w:rFonts w:hint="eastAsia" w:ascii="宋体" w:hAnsi="宋体" w:eastAsia="宋体" w:cs="宋体"/>
          <w:color w:val="000000"/>
          <w:sz w:val="22"/>
          <w:szCs w:val="22"/>
          <w:highlight w:val="none"/>
          <w:lang w:val="en-US" w:eastAsia="zh-CN"/>
        </w:rPr>
        <w:t>9</w:t>
      </w:r>
      <w:r>
        <w:rPr>
          <w:rFonts w:hint="eastAsia" w:ascii="宋体" w:hAnsi="宋体" w:eastAsia="宋体" w:cs="宋体"/>
          <w:color w:val="000000"/>
          <w:sz w:val="22"/>
          <w:szCs w:val="22"/>
          <w:highlight w:val="none"/>
        </w:rPr>
        <w:t xml:space="preserve"> 暂列金额</w:t>
      </w:r>
    </w:p>
    <w:p w14:paraId="3C5A594A">
      <w:pPr>
        <w:autoSpaceDE w:val="0"/>
        <w:autoSpaceDN w:val="0"/>
        <w:adjustRightInd w:val="0"/>
        <w:spacing w:line="360" w:lineRule="auto"/>
        <w:ind w:firstLine="550" w:firstLineChars="2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合同当事人关于暂列金额使用的约定：</w:t>
      </w:r>
      <w:r>
        <w:rPr>
          <w:rFonts w:hint="eastAsia" w:ascii="宋体" w:hAnsi="宋体" w:eastAsia="宋体" w:cs="宋体"/>
          <w:color w:val="000000"/>
          <w:kern w:val="0"/>
          <w:sz w:val="22"/>
          <w:szCs w:val="22"/>
          <w:highlight w:val="none"/>
          <w:u w:val="single"/>
          <w:lang w:val="en-US" w:eastAsia="zh-CN"/>
        </w:rPr>
        <w:t>不可预见费项目费用，由发包人掌握使用</w:t>
      </w:r>
      <w:r>
        <w:rPr>
          <w:rFonts w:hint="eastAsia" w:ascii="宋体" w:hAnsi="宋体" w:eastAsia="宋体" w:cs="宋体"/>
          <w:color w:val="000000"/>
          <w:kern w:val="0"/>
          <w:sz w:val="22"/>
          <w:szCs w:val="22"/>
          <w:highlight w:val="none"/>
        </w:rPr>
        <w:t>。</w:t>
      </w:r>
    </w:p>
    <w:p w14:paraId="43E2A3B5">
      <w:pPr>
        <w:pStyle w:val="5"/>
        <w:numPr>
          <w:ilvl w:val="3"/>
          <w:numId w:val="0"/>
        </w:numPr>
        <w:tabs>
          <w:tab w:val="clear" w:pos="864"/>
        </w:tabs>
        <w:spacing w:before="0" w:after="0" w:line="360" w:lineRule="auto"/>
        <w:rPr>
          <w:rFonts w:hint="eastAsia" w:ascii="宋体" w:hAnsi="宋体" w:eastAsia="宋体" w:cs="宋体"/>
          <w:b w:val="0"/>
          <w:color w:val="000000"/>
          <w:sz w:val="22"/>
          <w:szCs w:val="22"/>
          <w:highlight w:val="none"/>
        </w:rPr>
      </w:pPr>
      <w:bookmarkStart w:id="461" w:name="_Toc386638617"/>
      <w:bookmarkStart w:id="462" w:name="_Toc351203643"/>
      <w:r>
        <w:rPr>
          <w:rFonts w:hint="eastAsia" w:ascii="宋体" w:hAnsi="宋体" w:eastAsia="宋体" w:cs="宋体"/>
          <w:b w:val="0"/>
          <w:color w:val="000000"/>
          <w:sz w:val="22"/>
          <w:szCs w:val="22"/>
          <w:highlight w:val="none"/>
        </w:rPr>
        <w:t>11. 价格调整</w:t>
      </w:r>
      <w:bookmarkEnd w:id="461"/>
      <w:bookmarkEnd w:id="462"/>
    </w:p>
    <w:p w14:paraId="629F39BD">
      <w:pPr>
        <w:spacing w:line="360" w:lineRule="auto"/>
        <w:ind w:firstLine="440" w:firstLineChars="200"/>
        <w:rPr>
          <w:rFonts w:hint="eastAsia" w:ascii="宋体" w:hAnsi="宋体" w:eastAsia="宋体" w:cs="宋体"/>
          <w:sz w:val="22"/>
          <w:szCs w:val="22"/>
          <w:highlight w:val="none"/>
        </w:rPr>
      </w:pPr>
      <w:bookmarkStart w:id="463" w:name="_Toc296347200"/>
      <w:bookmarkStart w:id="464" w:name="_Toc296346702"/>
      <w:bookmarkStart w:id="465" w:name="_Toc312678039"/>
      <w:bookmarkStart w:id="466" w:name="_Toc292559406"/>
      <w:bookmarkStart w:id="467" w:name="_Toc296944540"/>
      <w:bookmarkStart w:id="468" w:name="_Toc296891029"/>
      <w:bookmarkStart w:id="469" w:name="_Toc297048387"/>
      <w:bookmarkStart w:id="470" w:name="_Toc297120501"/>
      <w:bookmarkStart w:id="471" w:name="_Toc304295577"/>
      <w:bookmarkStart w:id="472" w:name="_Toc296503201"/>
      <w:bookmarkStart w:id="473" w:name="_Toc292559911"/>
      <w:bookmarkStart w:id="474" w:name="_Toc303539157"/>
      <w:bookmarkStart w:id="475" w:name="_Toc297123550"/>
      <w:bookmarkStart w:id="476" w:name="_Toc297216209"/>
      <w:bookmarkStart w:id="477" w:name="_Toc296891241"/>
      <w:bookmarkStart w:id="478" w:name="_Toc300935000"/>
      <w:r>
        <w:rPr>
          <w:rFonts w:hint="eastAsia" w:ascii="宋体" w:hAnsi="宋体" w:eastAsia="宋体" w:cs="宋体"/>
          <w:sz w:val="22"/>
          <w:szCs w:val="22"/>
          <w:highlight w:val="none"/>
        </w:rPr>
        <w:t>11.1 市场价格波动引起的调整</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14:paraId="3BDAE9A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市场价格波动是否调整合同价格的约定：</w:t>
      </w:r>
      <w:r>
        <w:rPr>
          <w:rFonts w:hint="eastAsia" w:ascii="宋体" w:hAnsi="宋体" w:cs="宋体"/>
          <w:color w:val="000000"/>
          <w:sz w:val="22"/>
          <w:szCs w:val="22"/>
          <w:highlight w:val="none"/>
          <w:u w:val="single"/>
          <w:lang w:eastAsia="zh-CN"/>
        </w:rPr>
        <w:t>不作调整</w:t>
      </w:r>
      <w:r>
        <w:rPr>
          <w:rFonts w:hint="eastAsia" w:ascii="宋体" w:hAnsi="宋体" w:eastAsia="宋体" w:cs="宋体"/>
          <w:color w:val="000000"/>
          <w:sz w:val="22"/>
          <w:szCs w:val="22"/>
          <w:highlight w:val="none"/>
        </w:rPr>
        <w:t>。</w:t>
      </w:r>
    </w:p>
    <w:p w14:paraId="34422A99">
      <w:pPr>
        <w:pStyle w:val="638"/>
        <w:spacing w:line="360" w:lineRule="auto"/>
        <w:ind w:firstLine="420" w:firstLineChars="19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11.2 法律变化引起的调整</w:t>
      </w:r>
    </w:p>
    <w:p w14:paraId="213A1E5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合同当事人关于本条的补充约定：</w:t>
      </w:r>
    </w:p>
    <w:p w14:paraId="48D8E6B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（1）本条所称的法律包括法律、法规、规章及规范性文件。</w:t>
      </w:r>
    </w:p>
    <w:p w14:paraId="6ADD66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基准日期后，法律变化引起工程造价增减变化的，发包人和承包人双方应按照省级或行业建设主管部门或其授权的工程造价管理机构据此发布的规定调整合同价款。</w:t>
      </w:r>
    </w:p>
    <w:p w14:paraId="2733E6A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11.3 其他项目费用的调整</w:t>
      </w:r>
    </w:p>
    <w:p w14:paraId="1A191F7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395147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（2）计日工应按发包人实际签证确认的事项所发生的数量计算。</w:t>
      </w:r>
    </w:p>
    <w:p w14:paraId="36EB814B">
      <w:pPr>
        <w:pStyle w:val="5"/>
        <w:numPr>
          <w:ilvl w:val="3"/>
          <w:numId w:val="0"/>
        </w:numPr>
        <w:tabs>
          <w:tab w:val="clear" w:pos="864"/>
        </w:tabs>
        <w:spacing w:before="0" w:after="0" w:line="360" w:lineRule="auto"/>
        <w:ind w:left="864" w:hanging="864"/>
        <w:rPr>
          <w:rFonts w:hint="eastAsia" w:ascii="宋体" w:hAnsi="宋体" w:eastAsia="宋体" w:cs="宋体"/>
          <w:b w:val="0"/>
          <w:sz w:val="22"/>
          <w:szCs w:val="22"/>
          <w:highlight w:val="none"/>
        </w:rPr>
      </w:pPr>
      <w:bookmarkStart w:id="479" w:name="_Toc296944544"/>
      <w:bookmarkStart w:id="480" w:name="_Toc297120505"/>
      <w:bookmarkStart w:id="481" w:name="_Toc296891245"/>
      <w:bookmarkStart w:id="482" w:name="_Toc296347204"/>
      <w:bookmarkStart w:id="483" w:name="_Toc292559410"/>
      <w:bookmarkStart w:id="484" w:name="_Toc297048391"/>
      <w:bookmarkStart w:id="485" w:name="_Toc292559915"/>
      <w:bookmarkStart w:id="486" w:name="_Toc296503205"/>
      <w:bookmarkStart w:id="487" w:name="_Toc296346706"/>
      <w:bookmarkStart w:id="488" w:name="_Toc296891033"/>
      <w:bookmarkStart w:id="489" w:name="_Toc386638618"/>
      <w:bookmarkStart w:id="490" w:name="_Toc351203644"/>
      <w:bookmarkStart w:id="491" w:name="_Toc312678040"/>
      <w:bookmarkStart w:id="492" w:name="_Toc297216211"/>
      <w:bookmarkStart w:id="493" w:name="_Toc304295579"/>
      <w:bookmarkStart w:id="494" w:name="_Toc297123552"/>
      <w:bookmarkStart w:id="495" w:name="_Toc300935002"/>
      <w:bookmarkStart w:id="496" w:name="_Toc303539159"/>
      <w:bookmarkStart w:id="497" w:name="_Toc296347206"/>
      <w:bookmarkStart w:id="498" w:name="_Toc296891247"/>
      <w:bookmarkStart w:id="499" w:name="_Toc292559412"/>
      <w:bookmarkStart w:id="500" w:name="_Toc296503207"/>
      <w:bookmarkStart w:id="501" w:name="_Toc296891035"/>
      <w:bookmarkStart w:id="502" w:name="_Toc297216213"/>
      <w:bookmarkStart w:id="503" w:name="_Toc296346708"/>
      <w:bookmarkStart w:id="504" w:name="_Toc297120507"/>
      <w:bookmarkStart w:id="505" w:name="_Toc303539161"/>
      <w:bookmarkStart w:id="506" w:name="_Toc300935004"/>
      <w:bookmarkStart w:id="507" w:name="_Toc297123554"/>
      <w:bookmarkStart w:id="508" w:name="_Toc296944546"/>
      <w:bookmarkStart w:id="509" w:name="_Toc297048393"/>
      <w:bookmarkStart w:id="510" w:name="_Toc312678042"/>
      <w:bookmarkStart w:id="511" w:name="_Toc304295581"/>
      <w:bookmarkStart w:id="512" w:name="_Toc292559917"/>
      <w:r>
        <w:rPr>
          <w:rFonts w:hint="eastAsia" w:ascii="宋体" w:hAnsi="宋体" w:eastAsia="宋体" w:cs="宋体"/>
          <w:b w:val="0"/>
          <w:sz w:val="22"/>
          <w:szCs w:val="22"/>
          <w:highlight w:val="none"/>
        </w:rPr>
        <w:t xml:space="preserve">12. </w:t>
      </w:r>
      <w:bookmarkEnd w:id="479"/>
      <w:bookmarkEnd w:id="480"/>
      <w:bookmarkEnd w:id="481"/>
      <w:bookmarkEnd w:id="482"/>
      <w:bookmarkEnd w:id="483"/>
      <w:bookmarkEnd w:id="484"/>
      <w:bookmarkEnd w:id="485"/>
      <w:bookmarkEnd w:id="486"/>
      <w:bookmarkEnd w:id="487"/>
      <w:bookmarkEnd w:id="488"/>
      <w:r>
        <w:rPr>
          <w:rFonts w:hint="eastAsia" w:ascii="宋体" w:hAnsi="宋体" w:eastAsia="宋体" w:cs="宋体"/>
          <w:b w:val="0"/>
          <w:sz w:val="22"/>
          <w:szCs w:val="22"/>
          <w:highlight w:val="none"/>
        </w:rPr>
        <w:t>合同价格、计量与支付</w:t>
      </w:r>
      <w:bookmarkEnd w:id="489"/>
      <w:bookmarkEnd w:id="490"/>
    </w:p>
    <w:bookmarkEnd w:id="491"/>
    <w:bookmarkEnd w:id="492"/>
    <w:bookmarkEnd w:id="493"/>
    <w:bookmarkEnd w:id="494"/>
    <w:bookmarkEnd w:id="495"/>
    <w:bookmarkEnd w:id="496"/>
    <w:p w14:paraId="105FFA8C">
      <w:pPr>
        <w:spacing w:line="360" w:lineRule="auto"/>
        <w:ind w:firstLine="440" w:firstLineChars="200"/>
        <w:rPr>
          <w:rFonts w:hint="eastAsia" w:ascii="宋体" w:hAnsi="宋体" w:eastAsia="宋体" w:cs="宋体"/>
          <w:sz w:val="22"/>
          <w:szCs w:val="22"/>
          <w:highlight w:val="none"/>
        </w:rPr>
      </w:pPr>
      <w:bookmarkStart w:id="513" w:name="_Toc292559916"/>
      <w:bookmarkStart w:id="514" w:name="_Toc292559411"/>
      <w:bookmarkStart w:id="515" w:name="_Toc267251461"/>
      <w:bookmarkStart w:id="516" w:name="_Toc296944545"/>
      <w:bookmarkStart w:id="517" w:name="_Toc296503206"/>
      <w:bookmarkStart w:id="518" w:name="_Toc296891034"/>
      <w:bookmarkStart w:id="519" w:name="_Toc296347205"/>
      <w:bookmarkStart w:id="520" w:name="_Toc297048392"/>
      <w:bookmarkStart w:id="521" w:name="_Toc296346707"/>
      <w:bookmarkStart w:id="522" w:name="_Toc296891246"/>
      <w:bookmarkStart w:id="523" w:name="_Toc297120506"/>
      <w:bookmarkStart w:id="524" w:name="_Toc312678041"/>
      <w:bookmarkStart w:id="525" w:name="_Toc304295580"/>
      <w:bookmarkStart w:id="526" w:name="_Toc297123553"/>
      <w:bookmarkStart w:id="527" w:name="_Toc297216212"/>
      <w:bookmarkStart w:id="528" w:name="_Toc300935003"/>
      <w:bookmarkStart w:id="529" w:name="_Toc303539160"/>
      <w:r>
        <w:rPr>
          <w:rFonts w:hint="eastAsia" w:ascii="宋体" w:hAnsi="宋体" w:eastAsia="宋体" w:cs="宋体"/>
          <w:sz w:val="22"/>
          <w:szCs w:val="22"/>
          <w:highlight w:val="none"/>
        </w:rPr>
        <w:t>12.1 合</w:t>
      </w:r>
      <w:bookmarkEnd w:id="513"/>
      <w:bookmarkEnd w:id="514"/>
      <w:bookmarkEnd w:id="515"/>
      <w:r>
        <w:rPr>
          <w:rFonts w:hint="eastAsia" w:ascii="宋体" w:hAnsi="宋体" w:eastAsia="宋体" w:cs="宋体"/>
          <w:sz w:val="22"/>
          <w:szCs w:val="22"/>
          <w:highlight w:val="none"/>
        </w:rPr>
        <w:t>同价</w:t>
      </w:r>
      <w:bookmarkEnd w:id="516"/>
      <w:bookmarkEnd w:id="517"/>
      <w:bookmarkEnd w:id="518"/>
      <w:bookmarkEnd w:id="519"/>
      <w:bookmarkEnd w:id="520"/>
      <w:bookmarkEnd w:id="521"/>
      <w:bookmarkEnd w:id="522"/>
      <w:bookmarkEnd w:id="523"/>
      <w:r>
        <w:rPr>
          <w:rFonts w:hint="eastAsia" w:ascii="宋体" w:hAnsi="宋体" w:eastAsia="宋体" w:cs="宋体"/>
          <w:sz w:val="22"/>
          <w:szCs w:val="22"/>
          <w:highlight w:val="none"/>
        </w:rPr>
        <w:t>格形式</w:t>
      </w:r>
    </w:p>
    <w:bookmarkEnd w:id="524"/>
    <w:bookmarkEnd w:id="525"/>
    <w:bookmarkEnd w:id="526"/>
    <w:bookmarkEnd w:id="527"/>
    <w:bookmarkEnd w:id="528"/>
    <w:bookmarkEnd w:id="529"/>
    <w:p w14:paraId="631CEE6E">
      <w:pPr>
        <w:spacing w:line="360" w:lineRule="auto"/>
        <w:ind w:firstLine="440" w:firstLineChars="200"/>
        <w:rPr>
          <w:rFonts w:hint="eastAsia" w:ascii="宋体" w:hAnsi="宋体" w:eastAsia="宋体" w:cs="宋体"/>
          <w:kern w:val="0"/>
          <w:sz w:val="22"/>
          <w:szCs w:val="22"/>
          <w:highlight w:val="none"/>
          <w:u w:val="single"/>
        </w:rPr>
      </w:pPr>
      <w:r>
        <w:rPr>
          <w:rFonts w:hint="eastAsia" w:ascii="宋体" w:hAnsi="宋体" w:eastAsia="宋体" w:cs="宋体"/>
          <w:kern w:val="0"/>
          <w:sz w:val="22"/>
          <w:szCs w:val="22"/>
          <w:highlight w:val="none"/>
        </w:rPr>
        <w:t>1、本合同采用合同当事人签订的合同协议书中约定的价格形式，即：</w:t>
      </w:r>
      <w:r>
        <w:rPr>
          <w:rFonts w:hint="eastAsia" w:ascii="宋体" w:hAnsi="宋体" w:eastAsia="宋体" w:cs="宋体"/>
          <w:b/>
          <w:kern w:val="0"/>
          <w:sz w:val="22"/>
          <w:szCs w:val="22"/>
          <w:highlight w:val="none"/>
          <w:u w:val="single"/>
        </w:rPr>
        <w:t xml:space="preserve">单价合同。 </w:t>
      </w:r>
    </w:p>
    <w:p w14:paraId="520471E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（1）综合单价包含的风险范围：</w:t>
      </w:r>
      <w:r>
        <w:rPr>
          <w:rFonts w:hint="eastAsia" w:ascii="宋体" w:hAnsi="宋体" w:cs="宋体"/>
          <w:sz w:val="22"/>
          <w:szCs w:val="22"/>
          <w:highlight w:val="none"/>
          <w:u w:val="single"/>
          <w:lang w:eastAsia="zh-CN"/>
        </w:rPr>
        <w:t>不作调整</w:t>
      </w:r>
      <w:r>
        <w:rPr>
          <w:rFonts w:hint="eastAsia" w:ascii="宋体" w:hAnsi="宋体" w:eastAsia="宋体" w:cs="宋体"/>
          <w:sz w:val="22"/>
          <w:szCs w:val="22"/>
          <w:highlight w:val="none"/>
        </w:rPr>
        <w:t>。</w:t>
      </w:r>
    </w:p>
    <w:p w14:paraId="48A0BCC3">
      <w:pPr>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none"/>
        </w:rPr>
        <w:t>（2）人工价差调整的结算期及方法：</w:t>
      </w:r>
      <w:r>
        <w:rPr>
          <w:rFonts w:hint="eastAsia" w:ascii="宋体" w:hAnsi="宋体" w:cs="宋体"/>
          <w:sz w:val="22"/>
          <w:szCs w:val="22"/>
          <w:highlight w:val="none"/>
          <w:u w:val="single"/>
          <w:lang w:eastAsia="zh-CN"/>
        </w:rPr>
        <w:t>不作调整。</w:t>
      </w:r>
    </w:p>
    <w:p w14:paraId="15B0D9F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（3）材料价差调整的结算期及方法：</w:t>
      </w:r>
      <w:r>
        <w:rPr>
          <w:rFonts w:hint="eastAsia" w:ascii="宋体" w:hAnsi="宋体" w:cs="宋体"/>
          <w:sz w:val="22"/>
          <w:szCs w:val="22"/>
          <w:highlight w:val="none"/>
          <w:u w:val="single"/>
          <w:lang w:eastAsia="zh-CN"/>
        </w:rPr>
        <w:t>不作调整。</w:t>
      </w:r>
    </w:p>
    <w:p w14:paraId="54726901">
      <w:pPr>
        <w:numPr>
          <w:ilvl w:val="0"/>
          <w:numId w:val="13"/>
        </w:num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合同采用的计价依据：《建设工程工程量清单计价规范》（GB50500-2013）、《市政工程工程量计算规范》（GB50857-2013）、《浙江省建设工程计价规则》（2018版）、《浙江省市政工程预算定额》（2018版）、《浙江省房屋建筑与装饰工程预算定额》（2018版）、《浙江省通用安装工程预算定额》（2018版）、《浙江省建设工程施工机械台班费用定额》（2018版）</w:t>
      </w:r>
      <w:r>
        <w:rPr>
          <w:rFonts w:hint="eastAsia" w:ascii="宋体" w:hAnsi="宋体" w:eastAsia="宋体" w:cs="宋体"/>
          <w:sz w:val="22"/>
          <w:szCs w:val="22"/>
          <w:highlight w:val="none"/>
          <w:lang w:eastAsia="zh-CN"/>
        </w:rPr>
        <w:t>和</w:t>
      </w:r>
      <w:r>
        <w:rPr>
          <w:rFonts w:hint="eastAsia" w:ascii="宋体" w:hAnsi="宋体" w:eastAsia="宋体" w:cs="宋体"/>
          <w:sz w:val="22"/>
          <w:szCs w:val="22"/>
          <w:highlight w:val="none"/>
        </w:rPr>
        <w:t>其他现行、合法的相关规定、政策性文件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相关补充文件。</w:t>
      </w:r>
    </w:p>
    <w:p w14:paraId="688462F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12.2 预付款</w:t>
      </w:r>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14:paraId="73C21EA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rPr>
        <w:t>在签订施工合同后，开工报告批准后</w:t>
      </w:r>
      <w:r>
        <w:rPr>
          <w:rFonts w:hint="eastAsia" w:ascii="宋体" w:hAnsi="宋体" w:eastAsia="宋体" w:cs="宋体"/>
          <w:sz w:val="22"/>
          <w:szCs w:val="22"/>
          <w:highlight w:val="none"/>
          <w:u w:val="single"/>
        </w:rPr>
        <w:t xml:space="preserve"> 7 </w:t>
      </w:r>
      <w:r>
        <w:rPr>
          <w:rFonts w:hint="eastAsia" w:ascii="宋体" w:hAnsi="宋体" w:cs="宋体"/>
          <w:sz w:val="22"/>
          <w:szCs w:val="22"/>
          <w:highlight w:val="none"/>
          <w:lang w:eastAsia="zh-CN"/>
        </w:rPr>
        <w:t>个工作日内</w:t>
      </w:r>
      <w:r>
        <w:rPr>
          <w:rFonts w:hint="eastAsia" w:ascii="宋体" w:hAnsi="宋体" w:eastAsia="宋体" w:cs="宋体"/>
          <w:sz w:val="22"/>
          <w:szCs w:val="22"/>
          <w:highlight w:val="none"/>
        </w:rPr>
        <w:t>，发包人支付给承包人合同价的</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4</w:t>
      </w:r>
      <w:r>
        <w:rPr>
          <w:rFonts w:hint="eastAsia" w:ascii="宋体" w:hAnsi="宋体" w:eastAsia="宋体" w:cs="宋体"/>
          <w:sz w:val="22"/>
          <w:szCs w:val="22"/>
          <w:highlight w:val="none"/>
          <w:u w:val="single"/>
        </w:rPr>
        <w:t xml:space="preserve">0 </w:t>
      </w:r>
      <w:r>
        <w:rPr>
          <w:rFonts w:hint="eastAsia" w:ascii="宋体" w:hAnsi="宋体" w:eastAsia="宋体" w:cs="宋体"/>
          <w:sz w:val="22"/>
          <w:szCs w:val="22"/>
          <w:highlight w:val="none"/>
        </w:rPr>
        <w:t>%作为工程预付款。</w:t>
      </w:r>
    </w:p>
    <w:p w14:paraId="7A942A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付款扣回的方式(时间、金额)：</w:t>
      </w:r>
      <w:r>
        <w:rPr>
          <w:rFonts w:hint="eastAsia" w:ascii="宋体" w:hAnsi="宋体" w:eastAsia="宋体" w:cs="宋体"/>
          <w:sz w:val="22"/>
          <w:szCs w:val="22"/>
          <w:highlight w:val="none"/>
          <w:u w:val="single"/>
          <w:lang w:val="en-US" w:eastAsia="zh-CN"/>
        </w:rPr>
        <w:t>不扣回</w:t>
      </w:r>
      <w:r>
        <w:rPr>
          <w:rFonts w:hint="eastAsia" w:ascii="宋体" w:hAnsi="宋体" w:eastAsia="宋体" w:cs="宋体"/>
          <w:sz w:val="22"/>
          <w:szCs w:val="22"/>
          <w:highlight w:val="none"/>
        </w:rPr>
        <w:t>。</w:t>
      </w:r>
    </w:p>
    <w:p w14:paraId="5B61AC6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 计量</w:t>
      </w:r>
    </w:p>
    <w:p w14:paraId="359B22A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12.3.1 计量原则</w:t>
      </w:r>
    </w:p>
    <w:p w14:paraId="300B2E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工程量计算规则：</w:t>
      </w:r>
      <w:r>
        <w:rPr>
          <w:rFonts w:hint="eastAsia" w:ascii="宋体" w:hAnsi="宋体" w:eastAsia="宋体" w:cs="宋体"/>
          <w:color w:val="000000"/>
          <w:sz w:val="22"/>
          <w:szCs w:val="22"/>
          <w:highlight w:val="none"/>
          <w:u w:val="single"/>
        </w:rPr>
        <w:t xml:space="preserve"> 按现行的工程量计算规则执行 </w:t>
      </w:r>
      <w:r>
        <w:rPr>
          <w:rFonts w:hint="eastAsia" w:ascii="宋体" w:hAnsi="宋体" w:eastAsia="宋体" w:cs="宋体"/>
          <w:color w:val="000000"/>
          <w:sz w:val="22"/>
          <w:szCs w:val="22"/>
          <w:highlight w:val="none"/>
        </w:rPr>
        <w:t>。</w:t>
      </w:r>
    </w:p>
    <w:p w14:paraId="227D5FD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12.3.2 计量周期</w:t>
      </w:r>
    </w:p>
    <w:p w14:paraId="3540A0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关于计量周期的约定：</w:t>
      </w:r>
      <w:r>
        <w:rPr>
          <w:rFonts w:hint="eastAsia" w:ascii="宋体" w:hAnsi="宋体" w:eastAsia="宋体" w:cs="宋体"/>
          <w:color w:val="000000"/>
          <w:sz w:val="22"/>
          <w:szCs w:val="22"/>
          <w:highlight w:val="none"/>
          <w:u w:val="single"/>
        </w:rPr>
        <w:t xml:space="preserve">      按进度进行        </w:t>
      </w:r>
      <w:r>
        <w:rPr>
          <w:rFonts w:hint="eastAsia" w:ascii="宋体" w:hAnsi="宋体" w:eastAsia="宋体" w:cs="宋体"/>
          <w:color w:val="000000"/>
          <w:sz w:val="22"/>
          <w:szCs w:val="22"/>
          <w:highlight w:val="none"/>
        </w:rPr>
        <w:t>。</w:t>
      </w:r>
    </w:p>
    <w:p w14:paraId="1FD10F2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12.3.3 单价合同的计量</w:t>
      </w:r>
    </w:p>
    <w:p w14:paraId="57A60F6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关于单价合同计量的约定：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57B65F6">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12.3.4 总价合同的计量</w:t>
      </w:r>
    </w:p>
    <w:p w14:paraId="604DB9FF">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关于总价合同计量的约定：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ED4E2B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12.3.5总价合同采用支付分解表计量支付的，是否适用第12.3.4 项〔总价合同的计量〕约定进行计量：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4A5D2AF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12.3.6 其他价格形式合同的计量</w:t>
      </w:r>
    </w:p>
    <w:p w14:paraId="38E3A50F">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其他价格形式的计量方式和程序：</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19A5E620">
      <w:pPr>
        <w:spacing w:line="360" w:lineRule="auto"/>
        <w:ind w:firstLine="440" w:firstLineChars="200"/>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12.4 工程进度款支付</w:t>
      </w:r>
    </w:p>
    <w:p w14:paraId="6D26579A">
      <w:pPr>
        <w:spacing w:line="360" w:lineRule="auto"/>
        <w:ind w:firstLine="440" w:firstLineChars="200"/>
        <w:jc w:val="left"/>
        <w:rPr>
          <w:rFonts w:hint="eastAsia" w:ascii="宋体" w:hAnsi="宋体" w:eastAsia="宋体" w:cs="宋体"/>
          <w:i w:val="0"/>
          <w:iCs w:val="0"/>
          <w:color w:val="auto"/>
          <w:sz w:val="22"/>
          <w:szCs w:val="22"/>
        </w:rPr>
      </w:pPr>
      <w:bookmarkStart w:id="530" w:name="_Toc297120511"/>
      <w:bookmarkStart w:id="531" w:name="_Toc297216215"/>
      <w:bookmarkStart w:id="532" w:name="_Toc296891039"/>
      <w:bookmarkStart w:id="533" w:name="_Toc297048397"/>
      <w:bookmarkStart w:id="534" w:name="_Toc292559921"/>
      <w:bookmarkStart w:id="535" w:name="_Toc292559416"/>
      <w:bookmarkStart w:id="536" w:name="_Toc296347210"/>
      <w:bookmarkStart w:id="537" w:name="_Toc303539163"/>
      <w:bookmarkStart w:id="538" w:name="_Toc300935006"/>
      <w:bookmarkStart w:id="539" w:name="_Toc296503211"/>
      <w:bookmarkStart w:id="540" w:name="_Toc296891251"/>
      <w:bookmarkStart w:id="541" w:name="_Toc296944550"/>
      <w:bookmarkStart w:id="542" w:name="_Toc297123556"/>
      <w:bookmarkStart w:id="543" w:name="_Toc296346712"/>
      <w:r>
        <w:rPr>
          <w:rFonts w:hint="eastAsia" w:ascii="宋体" w:hAnsi="宋体" w:eastAsia="宋体" w:cs="宋体"/>
          <w:i w:val="0"/>
          <w:iCs w:val="0"/>
          <w:color w:val="auto"/>
          <w:sz w:val="22"/>
          <w:szCs w:val="22"/>
        </w:rPr>
        <w:t>关于付款周期的约定：</w:t>
      </w:r>
      <w:r>
        <w:rPr>
          <w:rFonts w:hint="eastAsia" w:ascii="宋体" w:hAnsi="宋体" w:eastAsia="宋体" w:cs="宋体"/>
          <w:i w:val="0"/>
          <w:iCs w:val="0"/>
          <w:color w:val="auto"/>
          <w:sz w:val="22"/>
          <w:szCs w:val="22"/>
          <w:u w:val="single"/>
        </w:rPr>
        <w:t>按进度审核支付，竣工后清算的办法</w:t>
      </w:r>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3BC24B4C">
      <w:pPr>
        <w:widowControl/>
        <w:spacing w:line="360" w:lineRule="auto"/>
        <w:ind w:firstLine="431" w:firstLineChars="196"/>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rPr>
        <w:t>关于进度款支付程序、支付比例和期限的约定：</w:t>
      </w:r>
    </w:p>
    <w:p w14:paraId="2C59A04D">
      <w:pPr>
        <w:spacing w:line="360" w:lineRule="auto"/>
        <w:ind w:firstLine="440" w:firstLineChars="200"/>
        <w:jc w:val="left"/>
        <w:rPr>
          <w:rFonts w:hint="eastAsia" w:ascii="宋体" w:hAnsi="宋体" w:eastAsia="宋体" w:cs="宋体"/>
          <w:i w:val="0"/>
          <w:iCs w:val="0"/>
          <w:color w:val="auto"/>
          <w:sz w:val="22"/>
          <w:szCs w:val="22"/>
          <w:lang w:val="en-US" w:eastAsia="zh-CN"/>
        </w:rPr>
      </w:pPr>
      <w:r>
        <w:rPr>
          <w:rFonts w:hint="eastAsia" w:ascii="宋体" w:hAnsi="宋体" w:eastAsia="宋体" w:cs="宋体"/>
          <w:i w:val="0"/>
          <w:iCs w:val="0"/>
          <w:color w:val="auto"/>
          <w:sz w:val="22"/>
          <w:szCs w:val="22"/>
          <w:lang w:val="en-US" w:eastAsia="zh-CN"/>
        </w:rPr>
        <w:t>（1）工程验收合格后7个工作日内，采购人支付至合同总价的</w:t>
      </w:r>
      <w:r>
        <w:rPr>
          <w:rFonts w:hint="eastAsia" w:ascii="宋体" w:hAnsi="宋体" w:cs="宋体"/>
          <w:i w:val="0"/>
          <w:iCs w:val="0"/>
          <w:color w:val="auto"/>
          <w:sz w:val="22"/>
          <w:szCs w:val="22"/>
          <w:lang w:val="en-US" w:eastAsia="zh-CN"/>
        </w:rPr>
        <w:t>9</w:t>
      </w:r>
      <w:r>
        <w:rPr>
          <w:rFonts w:hint="eastAsia" w:ascii="宋体" w:hAnsi="宋体" w:eastAsia="宋体" w:cs="宋体"/>
          <w:i w:val="0"/>
          <w:iCs w:val="0"/>
          <w:color w:val="auto"/>
          <w:sz w:val="22"/>
          <w:szCs w:val="22"/>
          <w:lang w:val="en-US" w:eastAsia="zh-CN"/>
        </w:rPr>
        <w:t>0%；</w:t>
      </w:r>
    </w:p>
    <w:p w14:paraId="0C865684">
      <w:pPr>
        <w:spacing w:line="360" w:lineRule="auto"/>
        <w:ind w:firstLine="440" w:firstLineChars="200"/>
        <w:jc w:val="left"/>
        <w:rPr>
          <w:rFonts w:hint="eastAsia" w:ascii="宋体" w:hAnsi="宋体" w:eastAsia="宋体" w:cs="宋体"/>
          <w:i w:val="0"/>
          <w:iCs w:val="0"/>
          <w:color w:val="auto"/>
          <w:sz w:val="22"/>
          <w:szCs w:val="22"/>
        </w:rPr>
      </w:pP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lang w:val="en-US" w:eastAsia="zh-CN"/>
        </w:rPr>
        <w:t>2</w:t>
      </w:r>
      <w:r>
        <w:rPr>
          <w:rFonts w:hint="eastAsia" w:ascii="宋体" w:hAnsi="宋体" w:eastAsia="宋体" w:cs="宋体"/>
          <w:i w:val="0"/>
          <w:iCs w:val="0"/>
          <w:color w:val="auto"/>
          <w:sz w:val="22"/>
          <w:szCs w:val="22"/>
          <w:lang w:eastAsia="zh-CN"/>
        </w:rPr>
        <w:t>）</w:t>
      </w:r>
      <w:r>
        <w:rPr>
          <w:rFonts w:hint="eastAsia" w:ascii="宋体" w:hAnsi="宋体" w:eastAsia="宋体" w:cs="宋体"/>
          <w:i w:val="0"/>
          <w:iCs w:val="0"/>
          <w:color w:val="auto"/>
          <w:sz w:val="22"/>
          <w:szCs w:val="22"/>
        </w:rPr>
        <w:t>工程竣工验收（终验）合格后，根据相关部门核准的决算价，扣留质保保证金后一次性付清尾款（不计息）。</w:t>
      </w:r>
    </w:p>
    <w:p w14:paraId="7891C83D">
      <w:pPr>
        <w:spacing w:line="360" w:lineRule="auto"/>
        <w:ind w:firstLine="440" w:firstLineChars="200"/>
        <w:jc w:val="left"/>
        <w:rPr>
          <w:rFonts w:hint="eastAsia" w:ascii="宋体" w:hAnsi="宋体" w:eastAsia="宋体" w:cs="宋体"/>
          <w:i w:val="0"/>
          <w:iCs w:val="0"/>
          <w:color w:val="auto"/>
          <w:sz w:val="22"/>
          <w:szCs w:val="22"/>
        </w:rPr>
      </w:pPr>
      <w:bookmarkStart w:id="544" w:name="_Hlk89721287"/>
      <w:r>
        <w:rPr>
          <w:rFonts w:hint="eastAsia" w:ascii="宋体" w:hAnsi="宋体" w:eastAsia="宋体" w:cs="宋体"/>
          <w:i w:val="0"/>
          <w:iCs w:val="0"/>
          <w:color w:val="auto"/>
          <w:sz w:val="22"/>
          <w:szCs w:val="22"/>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544"/>
    <w:p w14:paraId="639A3196">
      <w:pPr>
        <w:widowControl/>
        <w:spacing w:line="360" w:lineRule="auto"/>
        <w:ind w:firstLine="480"/>
        <w:rPr>
          <w:rFonts w:hint="eastAsia" w:ascii="宋体" w:hAnsi="宋体" w:eastAsia="宋体" w:cs="宋体"/>
          <w:b/>
          <w:bCs/>
          <w:color w:val="000000"/>
          <w:sz w:val="22"/>
          <w:szCs w:val="22"/>
          <w:highlight w:val="none"/>
          <w:u w:val="single"/>
          <w:lang w:val="en-US" w:eastAsia="zh-CN"/>
        </w:rPr>
      </w:pPr>
      <w:r>
        <w:rPr>
          <w:rFonts w:hint="eastAsia" w:ascii="宋体" w:hAnsi="宋体" w:eastAsia="宋体" w:cs="宋体"/>
          <w:i w:val="0"/>
          <w:iCs w:val="0"/>
          <w:color w:val="auto"/>
          <w:sz w:val="22"/>
          <w:szCs w:val="22"/>
        </w:rPr>
        <w:t>未规定程序批准调整的工程变更价款，不列入工程进度款的支付范围。规定程序指《宁海县政府投资项目工程造价管控办法》（宁发改〔2023〕51号）及发包人相应工程变更管理办法。</w:t>
      </w:r>
    </w:p>
    <w:p w14:paraId="03DCC03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13. 验收和工程试车</w:t>
      </w:r>
      <w:bookmarkEnd w:id="374"/>
      <w:bookmarkEnd w:id="375"/>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7ABF03BF">
      <w:pPr>
        <w:spacing w:line="360" w:lineRule="auto"/>
        <w:ind w:firstLine="440" w:firstLineChars="200"/>
        <w:rPr>
          <w:rFonts w:hint="eastAsia" w:ascii="宋体" w:hAnsi="宋体" w:eastAsia="宋体" w:cs="宋体"/>
          <w:sz w:val="22"/>
          <w:szCs w:val="22"/>
          <w:highlight w:val="none"/>
        </w:rPr>
      </w:pPr>
      <w:bookmarkStart w:id="545" w:name="_Toc304295596"/>
      <w:bookmarkStart w:id="546" w:name="_Toc297120523"/>
      <w:bookmarkStart w:id="547" w:name="_Toc300935016"/>
      <w:bookmarkStart w:id="548" w:name="_Toc297123565"/>
      <w:bookmarkStart w:id="549" w:name="_Toc296891263"/>
      <w:bookmarkStart w:id="550" w:name="_Toc296503223"/>
      <w:bookmarkStart w:id="551" w:name="_Toc297216224"/>
      <w:bookmarkStart w:id="552" w:name="_Toc296346724"/>
      <w:bookmarkStart w:id="553" w:name="_Toc292559428"/>
      <w:bookmarkStart w:id="554" w:name="_Toc292559933"/>
      <w:bookmarkStart w:id="555" w:name="_Toc312678056"/>
      <w:bookmarkStart w:id="556" w:name="_Toc296347222"/>
      <w:bookmarkStart w:id="557" w:name="_Toc296944562"/>
      <w:bookmarkStart w:id="558" w:name="_Toc296891051"/>
      <w:bookmarkStart w:id="559" w:name="_Toc297048409"/>
      <w:bookmarkStart w:id="560" w:name="_Toc303539173"/>
      <w:bookmarkStart w:id="561" w:name="_Toc351203646"/>
      <w:bookmarkStart w:id="562" w:name="_Toc386638620"/>
      <w:bookmarkStart w:id="563" w:name="_Toc386638621"/>
      <w:bookmarkStart w:id="564" w:name="_Toc351203647"/>
      <w:bookmarkStart w:id="565" w:name="_Toc267251483"/>
      <w:bookmarkStart w:id="566" w:name="_Toc267251484"/>
      <w:bookmarkStart w:id="567" w:name="_Toc267251482"/>
      <w:bookmarkStart w:id="568" w:name="_Toc267251485"/>
      <w:bookmarkStart w:id="569" w:name="_Toc267251488"/>
      <w:bookmarkStart w:id="570" w:name="_Toc267251489"/>
      <w:bookmarkStart w:id="571" w:name="_Toc267251490"/>
      <w:bookmarkStart w:id="572" w:name="_Toc267251486"/>
      <w:bookmarkStart w:id="573" w:name="_Toc267251495"/>
      <w:bookmarkStart w:id="574" w:name="_Toc267251494"/>
      <w:bookmarkStart w:id="575" w:name="_Toc267251492"/>
      <w:bookmarkStart w:id="576" w:name="_Toc267251493"/>
      <w:bookmarkStart w:id="577" w:name="_Toc267251503"/>
      <w:bookmarkStart w:id="578" w:name="_Toc267251491"/>
      <w:bookmarkStart w:id="579" w:name="_Toc267251499"/>
      <w:bookmarkStart w:id="580" w:name="_Toc267251501"/>
      <w:bookmarkStart w:id="581" w:name="_Toc267251502"/>
      <w:bookmarkStart w:id="582" w:name="_Toc267251498"/>
      <w:bookmarkStart w:id="583" w:name="_Toc267251497"/>
      <w:bookmarkStart w:id="584" w:name="_Toc267251496"/>
      <w:bookmarkStart w:id="585" w:name="_Toc267251504"/>
      <w:bookmarkStart w:id="586" w:name="_Toc267251507"/>
      <w:bookmarkStart w:id="587" w:name="_Toc267251513"/>
      <w:bookmarkStart w:id="588" w:name="_Toc267251514"/>
      <w:bookmarkStart w:id="589" w:name="_Toc267251511"/>
      <w:bookmarkStart w:id="590" w:name="_Toc267251509"/>
      <w:bookmarkStart w:id="591" w:name="_Toc267251515"/>
      <w:bookmarkStart w:id="592" w:name="_Toc267251508"/>
      <w:bookmarkStart w:id="593" w:name="_Toc267251510"/>
      <w:bookmarkStart w:id="594" w:name="_Toc267251506"/>
      <w:r>
        <w:rPr>
          <w:rFonts w:hint="eastAsia" w:ascii="宋体" w:hAnsi="宋体" w:eastAsia="宋体" w:cs="宋体"/>
          <w:sz w:val="22"/>
          <w:szCs w:val="22"/>
          <w:highlight w:val="none"/>
        </w:rPr>
        <w:t>13.1 分部分项工程验收</w:t>
      </w:r>
    </w:p>
    <w:p w14:paraId="312BA86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13.1.2监理人不能按时进行验收时，应提前</w:t>
      </w:r>
      <w:r>
        <w:rPr>
          <w:rFonts w:hint="eastAsia" w:ascii="宋体" w:hAnsi="宋体" w:eastAsia="宋体" w:cs="宋体"/>
          <w:sz w:val="22"/>
          <w:szCs w:val="22"/>
          <w:highlight w:val="none"/>
          <w:u w:val="single"/>
        </w:rPr>
        <w:t xml:space="preserve"> 24 </w:t>
      </w:r>
      <w:r>
        <w:rPr>
          <w:rFonts w:hint="eastAsia" w:ascii="宋体" w:hAnsi="宋体" w:eastAsia="宋体" w:cs="宋体"/>
          <w:sz w:val="22"/>
          <w:szCs w:val="22"/>
          <w:highlight w:val="none"/>
        </w:rPr>
        <w:t>小时提交书面延期要求。</w:t>
      </w:r>
    </w:p>
    <w:p w14:paraId="0BB43E58">
      <w:pPr>
        <w:spacing w:line="360" w:lineRule="auto"/>
        <w:ind w:firstLine="440" w:firstLineChars="200"/>
        <w:jc w:val="left"/>
        <w:rPr>
          <w:rFonts w:hint="eastAsia" w:ascii="宋体" w:hAnsi="宋体" w:eastAsia="宋体" w:cs="宋体"/>
          <w:b/>
          <w:sz w:val="22"/>
          <w:szCs w:val="22"/>
          <w:highlight w:val="none"/>
        </w:rPr>
      </w:pPr>
      <w:r>
        <w:rPr>
          <w:rFonts w:hint="eastAsia" w:ascii="宋体" w:hAnsi="宋体" w:eastAsia="宋体" w:cs="宋体"/>
          <w:sz w:val="22"/>
          <w:szCs w:val="22"/>
          <w:highlight w:val="none"/>
        </w:rPr>
        <w:t>关于延期最长不得超过：</w:t>
      </w:r>
      <w:r>
        <w:rPr>
          <w:rFonts w:hint="eastAsia" w:ascii="宋体" w:hAnsi="宋体" w:eastAsia="宋体" w:cs="宋体"/>
          <w:sz w:val="22"/>
          <w:szCs w:val="22"/>
          <w:highlight w:val="none"/>
          <w:u w:val="single"/>
        </w:rPr>
        <w:t>48</w:t>
      </w:r>
      <w:r>
        <w:rPr>
          <w:rFonts w:hint="eastAsia" w:ascii="宋体" w:hAnsi="宋体" w:eastAsia="宋体" w:cs="宋体"/>
          <w:sz w:val="22"/>
          <w:szCs w:val="22"/>
          <w:highlight w:val="none"/>
        </w:rPr>
        <w:t>小时。</w:t>
      </w:r>
    </w:p>
    <w:p w14:paraId="43CAA80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13.2 竣工验收</w:t>
      </w:r>
    </w:p>
    <w:p w14:paraId="5A23C123">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13.2.1竣工验收条件</w:t>
      </w:r>
    </w:p>
    <w:p w14:paraId="00C7651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工程具备以下条件的，承包人可以申请竣工验收：</w:t>
      </w:r>
    </w:p>
    <w:p w14:paraId="315DE23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（1）除发包人同意的甩项工作和缺陷修补工作外，合同范围内的全部工程以及有关工作，包括合同要求的试验、试运行以及检验均已完成，并符合合同要求；</w:t>
      </w:r>
    </w:p>
    <w:p w14:paraId="138D074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（2）已按合同约定编制了甩项工作和缺陷修补工作清单以及相应的施工计划；</w:t>
      </w:r>
    </w:p>
    <w:p w14:paraId="5732BD69">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（3）已按合同约定的内容和份数备齐竣工资料。</w:t>
      </w:r>
    </w:p>
    <w:p w14:paraId="38F9D1E1">
      <w:pPr>
        <w:spacing w:line="360" w:lineRule="auto"/>
        <w:ind w:firstLine="440" w:firstLineChars="200"/>
        <w:jc w:val="left"/>
        <w:rPr>
          <w:rFonts w:hint="eastAsia" w:ascii="宋体" w:hAnsi="宋体" w:eastAsia="宋体" w:cs="宋体"/>
          <w:sz w:val="22"/>
          <w:szCs w:val="22"/>
          <w:highlight w:val="none"/>
        </w:rPr>
      </w:pPr>
      <w:bookmarkStart w:id="595" w:name="_Toc280868704"/>
      <w:bookmarkStart w:id="596" w:name="_Toc280868705"/>
      <w:bookmarkStart w:id="597" w:name="_Toc280868706"/>
      <w:bookmarkStart w:id="598" w:name="_Toc280868707"/>
      <w:bookmarkStart w:id="599" w:name="_Toc280868708"/>
      <w:r>
        <w:rPr>
          <w:rFonts w:hint="eastAsia" w:ascii="宋体" w:hAnsi="宋体" w:eastAsia="宋体" w:cs="宋体"/>
          <w:sz w:val="22"/>
          <w:szCs w:val="22"/>
          <w:highlight w:val="none"/>
        </w:rPr>
        <w:t>13.2.2竣工验收程序</w:t>
      </w:r>
    </w:p>
    <w:bookmarkEnd w:id="595"/>
    <w:p w14:paraId="5EFE05B8">
      <w:pPr>
        <w:spacing w:line="360" w:lineRule="auto"/>
        <w:ind w:firstLine="440" w:firstLineChars="200"/>
        <w:jc w:val="left"/>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关于竣工验收程序的约定：</w:t>
      </w:r>
      <w:r>
        <w:rPr>
          <w:rFonts w:hint="eastAsia" w:ascii="宋体" w:hAnsi="宋体" w:eastAsia="宋体" w:cs="宋体"/>
          <w:sz w:val="22"/>
          <w:szCs w:val="22"/>
          <w:highlight w:val="none"/>
          <w:u w:val="single"/>
        </w:rPr>
        <w:t xml:space="preserve"> 具备验收的3个条件后，承包人提起竣工验收申请、监理人收到后14天完成审查并报发包人，发包人28天内审批完。发包人组织监、承等相关单位完成竣工验收，竣工验收合格后14天内，承包人提交完整的验收资料，如未在上述时间提交，则按延误工期承担违约金。</w:t>
      </w:r>
    </w:p>
    <w:p w14:paraId="7007561B">
      <w:pPr>
        <w:widowControl/>
        <w:autoSpaceDN w:val="0"/>
        <w:spacing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发包人不按照本项约定组织竣工验收、颁发工程接收证书的违约金的计算方法：</w:t>
      </w:r>
    </w:p>
    <w:p w14:paraId="6F4BA998">
      <w:pPr>
        <w:spacing w:line="360" w:lineRule="auto"/>
        <w:jc w:val="left"/>
        <w:rPr>
          <w:rFonts w:hint="eastAsia" w:ascii="宋体" w:hAnsi="宋体" w:eastAsia="宋体" w:cs="宋体"/>
          <w:sz w:val="22"/>
          <w:szCs w:val="22"/>
          <w:highlight w:val="none"/>
        </w:rPr>
      </w:pP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bookmarkEnd w:id="596"/>
    <w:p w14:paraId="58457902">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13.2.5移交、接收全部与部分工程</w:t>
      </w:r>
    </w:p>
    <w:bookmarkEnd w:id="597"/>
    <w:p w14:paraId="7BA78617">
      <w:pPr>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承包人向发包人移交工程的期限：在颁发工程接收证书后</w:t>
      </w:r>
      <w:r>
        <w:rPr>
          <w:rFonts w:hint="eastAsia" w:ascii="宋体" w:hAnsi="宋体" w:eastAsia="宋体" w:cs="宋体"/>
          <w:sz w:val="22"/>
          <w:szCs w:val="22"/>
          <w:highlight w:val="none"/>
          <w:u w:val="single"/>
        </w:rPr>
        <w:t xml:space="preserve"> 7</w:t>
      </w:r>
      <w:r>
        <w:rPr>
          <w:rFonts w:hint="eastAsia" w:ascii="宋体" w:hAnsi="宋体" w:eastAsia="宋体" w:cs="宋体"/>
          <w:sz w:val="22"/>
          <w:szCs w:val="22"/>
          <w:highlight w:val="none"/>
        </w:rPr>
        <w:t>天内完成工程的移交。</w:t>
      </w:r>
    </w:p>
    <w:bookmarkEnd w:id="598"/>
    <w:p w14:paraId="1A120D1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13.3 工程试车</w:t>
      </w:r>
    </w:p>
    <w:bookmarkEnd w:id="599"/>
    <w:p w14:paraId="3B3C6C1B">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13.3.1 试车程序</w:t>
      </w:r>
    </w:p>
    <w:p w14:paraId="497DF607">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工程试车内容：</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24AB09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（1）单机无负荷试车费用由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CB9BBCA">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（2）无负荷联动试车费用由</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承担。</w:t>
      </w:r>
    </w:p>
    <w:p w14:paraId="60E184EC">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13.3.3 投料试车</w:t>
      </w:r>
    </w:p>
    <w:p w14:paraId="47BBCFE5">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关于投料试车相关事项的约定：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10130D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13.6 竣工退场</w:t>
      </w:r>
    </w:p>
    <w:p w14:paraId="0677F86E">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13.6.1 竣工退场</w:t>
      </w:r>
    </w:p>
    <w:p w14:paraId="2DB3971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sz w:val="22"/>
          <w:szCs w:val="22"/>
          <w:highlight w:val="none"/>
        </w:rPr>
        <w:t>承包人完成竣工退场的期限：承包人应当在发包人颁发工程接收证书后</w:t>
      </w:r>
      <w:r>
        <w:rPr>
          <w:rFonts w:hint="eastAsia" w:ascii="宋体" w:hAnsi="宋体" w:eastAsia="宋体" w:cs="宋体"/>
          <w:sz w:val="22"/>
          <w:szCs w:val="22"/>
          <w:highlight w:val="none"/>
          <w:u w:val="single"/>
        </w:rPr>
        <w:t>14</w:t>
      </w:r>
      <w:r>
        <w:rPr>
          <w:rFonts w:hint="eastAsia" w:ascii="宋体" w:hAnsi="宋体" w:eastAsia="宋体" w:cs="宋体"/>
          <w:sz w:val="22"/>
          <w:szCs w:val="22"/>
          <w:highlight w:val="none"/>
        </w:rPr>
        <w:t>天内完成竣工退场，逾期未完成的，按通用条款执行。</w:t>
      </w:r>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14:paraId="756856E3">
      <w:pPr>
        <w:pStyle w:val="5"/>
        <w:keepNext w:val="0"/>
        <w:keepLines w:val="0"/>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 竣工结算</w:t>
      </w:r>
      <w:bookmarkEnd w:id="561"/>
      <w:bookmarkEnd w:id="562"/>
    </w:p>
    <w:p w14:paraId="17416DA6">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14.1竣工结算款的申请</w:t>
      </w:r>
    </w:p>
    <w:p w14:paraId="4F297259">
      <w:pPr>
        <w:pStyle w:val="63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承包人应在工程竣工结算审核完成、竣工验收并取得《建筑工程竣工档案专项验收意见书》、竣工结算审核结论及相关资料备案后</w:t>
      </w:r>
      <w:r>
        <w:rPr>
          <w:rFonts w:hint="eastAsia" w:ascii="宋体" w:hAnsi="宋体" w:eastAsia="宋体" w:cs="宋体"/>
          <w:b w:val="0"/>
          <w:color w:val="000000"/>
          <w:sz w:val="22"/>
          <w:szCs w:val="22"/>
          <w:highlight w:val="none"/>
          <w:u w:val="single"/>
        </w:rPr>
        <w:t xml:space="preserve">  7 </w:t>
      </w:r>
      <w:r>
        <w:rPr>
          <w:rFonts w:hint="eastAsia" w:ascii="宋体" w:hAnsi="宋体" w:eastAsia="宋体" w:cs="宋体"/>
          <w:b w:val="0"/>
          <w:color w:val="000000"/>
          <w:sz w:val="22"/>
          <w:szCs w:val="22"/>
          <w:highlight w:val="none"/>
        </w:rPr>
        <w:t>天内向发包人提交竣工结算申请单（附相关结算资料）。</w:t>
      </w:r>
    </w:p>
    <w:p w14:paraId="3EE536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14.2竣工结算书的提交和核对</w:t>
      </w:r>
    </w:p>
    <w:p w14:paraId="23400515">
      <w:pPr>
        <w:pStyle w:val="638"/>
        <w:spacing w:line="360" w:lineRule="auto"/>
        <w:ind w:firstLine="418" w:firstLineChars="19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承包人应当在工程竣工验收合格后</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 xml:space="preserve">天内向发包人提交工程竣工结算书及其完整的结算资料 </w:t>
      </w:r>
      <w:r>
        <w:rPr>
          <w:rFonts w:hint="eastAsia" w:ascii="宋体" w:hAnsi="宋体" w:eastAsia="宋体" w:cs="宋体"/>
          <w:b w:val="0"/>
          <w:sz w:val="22"/>
          <w:szCs w:val="22"/>
          <w:highlight w:val="none"/>
          <w:u w:val="single"/>
        </w:rPr>
        <w:t>肆</w:t>
      </w:r>
      <w:r>
        <w:rPr>
          <w:rFonts w:hint="eastAsia" w:ascii="宋体" w:hAnsi="宋体" w:eastAsia="宋体" w:cs="宋体"/>
          <w:b w:val="0"/>
          <w:sz w:val="22"/>
          <w:szCs w:val="22"/>
          <w:highlight w:val="none"/>
        </w:rPr>
        <w:t>份；超过</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天未提交竣工结算书及其完整的结算资料，支付违约金按 1000 元/天累计计算，</w:t>
      </w:r>
      <w:r>
        <w:rPr>
          <w:rFonts w:hint="eastAsia" w:ascii="宋体" w:hAnsi="宋体" w:eastAsia="宋体" w:cs="宋体"/>
          <w:b w:val="0"/>
          <w:sz w:val="22"/>
          <w:szCs w:val="22"/>
          <w:highlight w:val="none"/>
          <w:u w:val="single"/>
        </w:rPr>
        <w:t>上限为中标价的1%</w:t>
      </w:r>
      <w:r>
        <w:rPr>
          <w:rFonts w:hint="eastAsia" w:ascii="宋体" w:hAnsi="宋体" w:eastAsia="宋体" w:cs="宋体"/>
          <w:b w:val="0"/>
          <w:sz w:val="22"/>
          <w:szCs w:val="22"/>
          <w:highlight w:val="none"/>
        </w:rPr>
        <w:t>。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b w:val="0"/>
          <w:sz w:val="22"/>
          <w:szCs w:val="22"/>
          <w:highlight w:val="none"/>
          <w:u w:val="single"/>
        </w:rPr>
        <w:t xml:space="preserve"> 30 </w:t>
      </w:r>
      <w:r>
        <w:rPr>
          <w:rFonts w:hint="eastAsia" w:ascii="宋体" w:hAnsi="宋体" w:eastAsia="宋体" w:cs="宋体"/>
          <w:b w:val="0"/>
          <w:sz w:val="22"/>
          <w:szCs w:val="22"/>
          <w:highlight w:val="none"/>
        </w:rPr>
        <w:t>日内完成对竣工结算书的核对。</w:t>
      </w:r>
    </w:p>
    <w:p w14:paraId="13EC0B3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 竣工结算审核</w:t>
      </w:r>
    </w:p>
    <w:p w14:paraId="4B2366A3">
      <w:pPr>
        <w:spacing w:line="360" w:lineRule="auto"/>
        <w:ind w:firstLine="440" w:firstLineChars="200"/>
        <w:rPr>
          <w:rFonts w:hint="eastAsia" w:ascii="宋体" w:hAnsi="宋体" w:eastAsia="宋体" w:cs="宋体"/>
          <w:b w:val="0"/>
          <w:kern w:val="2"/>
          <w:sz w:val="22"/>
          <w:szCs w:val="22"/>
          <w:highlight w:val="none"/>
          <w:lang w:val="en-US" w:eastAsia="zh-CN" w:bidi="ar-SA"/>
        </w:rPr>
      </w:pPr>
      <w:r>
        <w:rPr>
          <w:rFonts w:hint="eastAsia" w:ascii="宋体" w:hAnsi="宋体" w:eastAsia="宋体" w:cs="宋体"/>
          <w:b w:val="0"/>
          <w:kern w:val="2"/>
          <w:sz w:val="22"/>
          <w:szCs w:val="22"/>
          <w:highlight w:val="none"/>
          <w:lang w:val="en-US" w:eastAsia="zh-CN" w:bidi="ar-SA"/>
        </w:rPr>
        <w:t>本工程的竣工结算由发包人核对后报宁海县西店镇财政局审核，经宁海县西店镇财政局审核后方可办理工程竣工结算手续，作为支付工程价款最终结算支付的依据。</w:t>
      </w:r>
    </w:p>
    <w:p w14:paraId="3353EF5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 最终结清</w:t>
      </w:r>
    </w:p>
    <w:p w14:paraId="44BA6434">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14.4.1 最终结清申请单</w:t>
      </w:r>
    </w:p>
    <w:p w14:paraId="3E10BF48">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承包人提交最终结清申请单的份数：</w:t>
      </w:r>
      <w:r>
        <w:rPr>
          <w:rFonts w:hint="eastAsia" w:ascii="宋体" w:hAnsi="宋体" w:eastAsia="宋体" w:cs="宋体"/>
          <w:color w:val="000000"/>
          <w:sz w:val="22"/>
          <w:szCs w:val="22"/>
          <w:highlight w:val="none"/>
          <w:u w:val="single"/>
        </w:rPr>
        <w:t xml:space="preserve">   3份   </w:t>
      </w:r>
      <w:r>
        <w:rPr>
          <w:rFonts w:hint="eastAsia" w:ascii="宋体" w:hAnsi="宋体" w:eastAsia="宋体" w:cs="宋体"/>
          <w:color w:val="000000"/>
          <w:sz w:val="22"/>
          <w:szCs w:val="22"/>
          <w:highlight w:val="none"/>
        </w:rPr>
        <w:t>。</w:t>
      </w:r>
    </w:p>
    <w:p w14:paraId="0E0D27E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承包人提交最终结算申请单的期限：</w:t>
      </w:r>
      <w:r>
        <w:rPr>
          <w:rFonts w:hint="eastAsia" w:ascii="宋体" w:hAnsi="宋体" w:eastAsia="宋体" w:cs="宋体"/>
          <w:color w:val="000000"/>
          <w:sz w:val="22"/>
          <w:szCs w:val="22"/>
          <w:highlight w:val="none"/>
          <w:u w:val="single"/>
        </w:rPr>
        <w:t xml:space="preserve"> 承包人应在缺陷责任期终止证书颁发后7天内提交 </w:t>
      </w:r>
      <w:r>
        <w:rPr>
          <w:rFonts w:hint="eastAsia" w:ascii="宋体" w:hAnsi="宋体" w:eastAsia="宋体" w:cs="宋体"/>
          <w:color w:val="000000"/>
          <w:sz w:val="22"/>
          <w:szCs w:val="22"/>
          <w:highlight w:val="none"/>
        </w:rPr>
        <w:t xml:space="preserve">。 </w:t>
      </w:r>
    </w:p>
    <w:p w14:paraId="398101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发包人对最终结结算申请单内容有异议的，有权要求承包人进行修正和提供补充资料，但应当出具书面意见。承包人应当按照发包人的书面意见提交修正后的最终结算申请单。</w:t>
      </w:r>
    </w:p>
    <w:p w14:paraId="3A260E1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14.4.2 最终结清证书和支付</w:t>
      </w:r>
    </w:p>
    <w:p w14:paraId="344307C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（1）发包人完成最终结清申请单的审批并颁发最终结清证书的期限：发包人应在收到承包人提交的最终结清申请单后</w:t>
      </w:r>
      <w:r>
        <w:rPr>
          <w:rFonts w:hint="eastAsia" w:ascii="宋体" w:hAnsi="宋体" w:eastAsia="宋体" w:cs="宋体"/>
          <w:color w:val="000000"/>
          <w:sz w:val="22"/>
          <w:szCs w:val="22"/>
          <w:highlight w:val="none"/>
          <w:u w:val="single"/>
        </w:rPr>
        <w:t>　14</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sz w:val="22"/>
          <w:szCs w:val="22"/>
          <w:highlight w:val="none"/>
        </w:rPr>
        <w:t>天内完成审批并向承包人颁发最终结清证书。发包人逾期未完成审批，又未提出修改意见的，视为发包人同意承包人提交的最终结清申请单并已颁发最终结清证书。</w:t>
      </w:r>
    </w:p>
    <w:p w14:paraId="3E6AE68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（2）发包人完成支付的期限：</w:t>
      </w:r>
    </w:p>
    <w:p w14:paraId="6F25EF55">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发包人应在颁发最终结清证书后</w:t>
      </w:r>
      <w:r>
        <w:rPr>
          <w:rFonts w:hint="eastAsia" w:ascii="宋体" w:hAnsi="宋体" w:eastAsia="宋体" w:cs="宋体"/>
          <w:color w:val="000000"/>
          <w:sz w:val="22"/>
          <w:szCs w:val="22"/>
          <w:highlight w:val="none"/>
          <w:u w:val="single"/>
        </w:rPr>
        <w:t>　14　</w:t>
      </w:r>
      <w:r>
        <w:rPr>
          <w:rFonts w:hint="eastAsia" w:ascii="宋体" w:hAnsi="宋体" w:eastAsia="宋体" w:cs="宋体"/>
          <w:color w:val="000000"/>
          <w:kern w:val="0"/>
          <w:sz w:val="22"/>
          <w:szCs w:val="22"/>
          <w:highlight w:val="none"/>
        </w:rPr>
        <w:t>天</w:t>
      </w:r>
      <w:r>
        <w:rPr>
          <w:rFonts w:hint="eastAsia" w:ascii="宋体" w:hAnsi="宋体" w:eastAsia="宋体" w:cs="宋体"/>
          <w:color w:val="000000"/>
          <w:sz w:val="22"/>
          <w:szCs w:val="22"/>
          <w:highlight w:val="none"/>
        </w:rPr>
        <w:t>内完成支付。发包人逾期支付的违约责任按通用条款执行。</w:t>
      </w:r>
    </w:p>
    <w:p w14:paraId="3E3CD091">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15. 缺陷责任期与保修</w:t>
      </w:r>
      <w:bookmarkEnd w:id="563"/>
      <w:bookmarkEnd w:id="564"/>
    </w:p>
    <w:p w14:paraId="350A5FA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15.2缺陷责任期</w:t>
      </w:r>
      <w:bookmarkEnd w:id="565"/>
    </w:p>
    <w:p w14:paraId="6C1FDC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15.2.1 本合同缺陷责任期为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6619E80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bookmarkEnd w:id="566"/>
    <w:bookmarkEnd w:id="567"/>
    <w:p w14:paraId="143460B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15.3 质量保证金</w:t>
      </w:r>
    </w:p>
    <w:p w14:paraId="2BAA87A3">
      <w:pPr>
        <w:autoSpaceDE w:val="0"/>
        <w:autoSpaceDN w:val="0"/>
        <w:adjustRightInd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关于是否扣留质量保证金的约定：</w:t>
      </w:r>
    </w:p>
    <w:p w14:paraId="26DF14DA">
      <w:pPr>
        <w:keepNext w:val="0"/>
        <w:keepLines w:val="0"/>
        <w:pageBreakBefore w:val="0"/>
        <w:widowControl w:val="0"/>
        <w:wordWrap/>
        <w:overflowPunct/>
        <w:topLinePunct w:val="0"/>
        <w:bidi w:val="0"/>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（1）承包人提供的质量保证担保形式为</w:t>
      </w:r>
      <w:r>
        <w:rPr>
          <w:rFonts w:hint="eastAsia" w:ascii="宋体" w:hAnsi="宋体" w:eastAsia="宋体" w:cs="宋体"/>
          <w:color w:val="000000"/>
          <w:sz w:val="22"/>
          <w:szCs w:val="22"/>
          <w:u w:val="single" w:color="000000"/>
        </w:rPr>
        <w:t>银行保函或保险机构保证保险保单或现金</w:t>
      </w:r>
      <w:r>
        <w:rPr>
          <w:rFonts w:hint="eastAsia" w:ascii="宋体" w:hAnsi="宋体" w:eastAsia="宋体" w:cs="宋体"/>
          <w:color w:val="000000"/>
          <w:sz w:val="22"/>
          <w:szCs w:val="22"/>
        </w:rPr>
        <w:t>。</w:t>
      </w:r>
    </w:p>
    <w:p w14:paraId="5D19D3A7">
      <w:pPr>
        <w:keepNext w:val="0"/>
        <w:keepLines w:val="0"/>
        <w:pageBreakBefore w:val="0"/>
        <w:widowControl w:val="0"/>
        <w:wordWrap/>
        <w:overflowPunct/>
        <w:topLinePunct w:val="0"/>
        <w:bidi w:val="0"/>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（2）质量保证金保函担保时间或质量保证金扣留期限与第15.2款约定的缺陷责任期保持一致。</w:t>
      </w:r>
    </w:p>
    <w:p w14:paraId="6040AC92">
      <w:pPr>
        <w:keepNext w:val="0"/>
        <w:keepLines w:val="0"/>
        <w:pageBreakBefore w:val="0"/>
        <w:widowControl w:val="0"/>
        <w:wordWrap/>
        <w:overflowPunct/>
        <w:topLinePunct w:val="0"/>
        <w:bidi w:val="0"/>
        <w:spacing w:line="360" w:lineRule="auto"/>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（3）质量保证金额为</w:t>
      </w:r>
      <w:r>
        <w:rPr>
          <w:rFonts w:hint="eastAsia" w:ascii="宋体" w:hAnsi="宋体" w:eastAsia="宋体" w:cs="宋体"/>
          <w:color w:val="000000"/>
          <w:sz w:val="22"/>
          <w:szCs w:val="22"/>
          <w:lang w:eastAsia="zh-CN"/>
        </w:rPr>
        <w:t>工程结算价</w:t>
      </w:r>
      <w:r>
        <w:rPr>
          <w:rFonts w:hint="eastAsia" w:ascii="宋体" w:hAnsi="宋体" w:eastAsia="宋体" w:cs="宋体"/>
          <w:color w:val="000000"/>
          <w:sz w:val="22"/>
          <w:szCs w:val="22"/>
        </w:rPr>
        <w:t>的</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5</w:t>
      </w:r>
      <w:r>
        <w:rPr>
          <w:rFonts w:hint="eastAsia" w:ascii="宋体" w:hAnsi="宋体" w:eastAsia="宋体" w:cs="宋体"/>
          <w:color w:val="000000"/>
          <w:sz w:val="22"/>
          <w:szCs w:val="22"/>
          <w:u w:val="single"/>
          <w:lang w:val="en-US" w:eastAsia="zh-CN"/>
        </w:rPr>
        <w:t>%</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lang w:eastAsia="zh-CN"/>
        </w:rPr>
        <w:t>。</w:t>
      </w:r>
    </w:p>
    <w:p w14:paraId="2FE8E289">
      <w:pPr>
        <w:keepNext w:val="0"/>
        <w:keepLines w:val="0"/>
        <w:pageBreakBefore w:val="0"/>
        <w:widowControl w:val="0"/>
        <w:wordWrap/>
        <w:overflowPunct/>
        <w:topLinePunct w:val="0"/>
        <w:bidi w:val="0"/>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（4）承包人与质量保证担保有关的任何利息或其它类似的费用或者收益由承包人承担；因承包人原因导致缺陷责任期延长的，继续提供质量保证担保所增加的费用由承包人承担。</w:t>
      </w:r>
    </w:p>
    <w:p w14:paraId="0E429B8C">
      <w:pPr>
        <w:keepNext w:val="0"/>
        <w:keepLines w:val="0"/>
        <w:pageBreakBefore w:val="0"/>
        <w:widowControl w:val="0"/>
        <w:wordWrap/>
        <w:overflowPunct/>
        <w:topLinePunct w:val="0"/>
        <w:bidi w:val="0"/>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15.3.3 质量保修金的退还</w:t>
      </w:r>
    </w:p>
    <w:p w14:paraId="14DC8880">
      <w:pPr>
        <w:keepNext w:val="0"/>
        <w:keepLines w:val="0"/>
        <w:pageBreakBefore w:val="0"/>
        <w:widowControl w:val="0"/>
        <w:wordWrap/>
        <w:overflowPunct/>
        <w:topLinePunct w:val="0"/>
        <w:bidi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color w:val="000000"/>
          <w:sz w:val="22"/>
          <w:szCs w:val="22"/>
          <w:u w:val="single"/>
        </w:rPr>
        <w:t>本工程质量保修金退回期限为</w:t>
      </w:r>
      <w:r>
        <w:rPr>
          <w:rFonts w:hint="eastAsia" w:ascii="宋体" w:hAnsi="宋体" w:cs="宋体"/>
          <w:color w:val="000000"/>
          <w:sz w:val="22"/>
          <w:szCs w:val="22"/>
          <w:u w:val="single"/>
          <w:lang w:val="en-US" w:eastAsia="zh-CN"/>
        </w:rPr>
        <w:t>1</w:t>
      </w:r>
      <w:r>
        <w:rPr>
          <w:rFonts w:hint="eastAsia" w:ascii="宋体" w:hAnsi="宋体" w:eastAsia="宋体" w:cs="宋体"/>
          <w:color w:val="000000"/>
          <w:sz w:val="22"/>
          <w:szCs w:val="22"/>
          <w:u w:val="single"/>
        </w:rPr>
        <w:t>年，进入保修期后，如未发生保修责任事件，退回质量保证金保函（或质量保证金保险保单）</w:t>
      </w:r>
      <w:r>
        <w:rPr>
          <w:rFonts w:hint="eastAsia" w:ascii="宋体" w:hAnsi="宋体" w:eastAsia="宋体" w:cs="宋体"/>
          <w:color w:val="000000"/>
          <w:sz w:val="22"/>
          <w:szCs w:val="22"/>
          <w:u w:val="single"/>
          <w:lang w:eastAsia="zh-CN"/>
        </w:rPr>
        <w:t>或保证金</w:t>
      </w:r>
      <w:r>
        <w:rPr>
          <w:rFonts w:hint="eastAsia" w:ascii="宋体" w:hAnsi="宋体" w:eastAsia="宋体" w:cs="宋体"/>
          <w:color w:val="000000"/>
          <w:sz w:val="22"/>
          <w:szCs w:val="22"/>
          <w:u w:val="single"/>
        </w:rPr>
        <w:t>；如发生保修事件，退回保修金时间顺延一年。保修期内保修金不计息。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64B26F5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15.4保修</w:t>
      </w:r>
    </w:p>
    <w:bookmarkEnd w:id="568"/>
    <w:p w14:paraId="32B49842">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15.4.1 保修责任</w:t>
      </w:r>
    </w:p>
    <w:p w14:paraId="084A17D7">
      <w:pPr>
        <w:autoSpaceDE w:val="0"/>
        <w:autoSpaceDN w:val="0"/>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工程保修期为：</w:t>
      </w:r>
    </w:p>
    <w:p w14:paraId="24A2EA1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273E2A4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rPr>
        <w:t>年；</w:t>
      </w:r>
    </w:p>
    <w:p w14:paraId="0688250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10B93A8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50654D8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个采暖期、供冷期；</w:t>
      </w:r>
    </w:p>
    <w:p w14:paraId="325C706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w:t>
      </w:r>
    </w:p>
    <w:p w14:paraId="02752E99">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年；[确保100%成活率，待养护期满后地苗木死亡问题的一个月内付清（不计息），如出现苗木枯死时，不补种，按实扣减费用]；</w:t>
      </w:r>
    </w:p>
    <w:p w14:paraId="2064F07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p>
    <w:p w14:paraId="687AB654">
      <w:pPr>
        <w:spacing w:line="360" w:lineRule="auto"/>
        <w:ind w:firstLine="429" w:firstLineChars="195"/>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15.4.3 修复通知</w:t>
      </w:r>
    </w:p>
    <w:p w14:paraId="5C93B19B">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承包人收到保修通知并到达工程现场的合理时间：</w:t>
      </w:r>
      <w:r>
        <w:rPr>
          <w:rFonts w:hint="eastAsia" w:ascii="宋体" w:hAnsi="宋体" w:eastAsia="宋体" w:cs="宋体"/>
          <w:color w:val="000000"/>
          <w:sz w:val="22"/>
          <w:szCs w:val="22"/>
          <w:highlight w:val="none"/>
          <w:u w:val="single"/>
        </w:rPr>
        <w:t xml:space="preserve"> 48小时内(含48小时) </w:t>
      </w:r>
      <w:r>
        <w:rPr>
          <w:rFonts w:hint="eastAsia" w:ascii="宋体" w:hAnsi="宋体" w:eastAsia="宋体" w:cs="宋体"/>
          <w:color w:val="000000"/>
          <w:sz w:val="22"/>
          <w:szCs w:val="22"/>
          <w:highlight w:val="none"/>
        </w:rPr>
        <w:t>。</w:t>
      </w:r>
    </w:p>
    <w:bookmarkEnd w:id="569"/>
    <w:bookmarkEnd w:id="570"/>
    <w:bookmarkEnd w:id="571"/>
    <w:bookmarkEnd w:id="572"/>
    <w:p w14:paraId="1B2B37D5">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00" w:name="_Toc351203648"/>
      <w:bookmarkStart w:id="601" w:name="_Toc386638622"/>
      <w:bookmarkStart w:id="602" w:name="_Toc280868717"/>
      <w:bookmarkStart w:id="603" w:name="_Toc280868718"/>
      <w:r>
        <w:rPr>
          <w:rFonts w:hint="eastAsia" w:ascii="宋体" w:hAnsi="宋体" w:eastAsia="宋体" w:cs="宋体"/>
          <w:b w:val="0"/>
          <w:color w:val="000000"/>
          <w:sz w:val="22"/>
          <w:szCs w:val="22"/>
          <w:highlight w:val="none"/>
        </w:rPr>
        <w:t>16. 违约</w:t>
      </w:r>
      <w:bookmarkEnd w:id="600"/>
      <w:bookmarkEnd w:id="601"/>
    </w:p>
    <w:p w14:paraId="5C50862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 发包人违约</w:t>
      </w:r>
    </w:p>
    <w:p w14:paraId="5E3FFD08">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16.1.1发包人违约的情形</w:t>
      </w:r>
    </w:p>
    <w:p w14:paraId="1F16B38E">
      <w:pPr>
        <w:spacing w:line="360" w:lineRule="auto"/>
        <w:ind w:left="720" w:hanging="660" w:hangingChars="3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C884B5A">
      <w:pPr>
        <w:spacing w:line="360" w:lineRule="auto"/>
        <w:ind w:left="1200" w:hanging="1100" w:hangingChars="5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16.1.2 发包人违约的责任</w:t>
      </w:r>
    </w:p>
    <w:p w14:paraId="71F055B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发包人违约责任的承担方式和计算方法：</w:t>
      </w:r>
    </w:p>
    <w:p w14:paraId="581F96A2">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（1）因发包人原因未能在计划开工日期前7天内下达开工通知的违约责任：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5F62712">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（2）因发包人原因未能按合同约定支付合同价款的违约责任：</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w:t>
      </w:r>
    </w:p>
    <w:p w14:paraId="05FC9F53">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（3）发包人违反第10.1款〔变更的范围〕第（2）项约定，自行实施被取消的工作或转由他人实施的违约责任：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FB632F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369A184">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（5）因发包人违反合同约定造成暂停施工的违约责任：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DED67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（6）发包人无正当理由没有在约定期限内发出复工指示，导致承包人无法复工的违约责任：</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5A2C6A8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（7）其他：</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2F9E6BBC">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16.1.3 因发包人违约解除合同</w:t>
      </w:r>
    </w:p>
    <w:p w14:paraId="1711A7C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承包人按16.1.1项〔发包人违约的情形〕约定暂停施工满</w:t>
      </w:r>
      <w:r>
        <w:rPr>
          <w:rFonts w:hint="eastAsia" w:ascii="宋体" w:hAnsi="宋体" w:eastAsia="宋体" w:cs="宋体"/>
          <w:color w:val="000000"/>
          <w:sz w:val="22"/>
          <w:szCs w:val="22"/>
          <w:highlight w:val="none"/>
          <w:u w:val="single"/>
        </w:rPr>
        <w:t xml:space="preserve"> 28 </w:t>
      </w:r>
      <w:r>
        <w:rPr>
          <w:rFonts w:hint="eastAsia" w:ascii="宋体" w:hAnsi="宋体" w:eastAsia="宋体" w:cs="宋体"/>
          <w:color w:val="000000"/>
          <w:sz w:val="22"/>
          <w:szCs w:val="22"/>
          <w:highlight w:val="none"/>
        </w:rPr>
        <w:t>天后发包人仍不纠正其违约行为并致使合同目的不能实现的，承包人有权解除合同。</w:t>
      </w:r>
    </w:p>
    <w:p w14:paraId="775405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 承包人违约</w:t>
      </w:r>
    </w:p>
    <w:p w14:paraId="00E6EC29">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16.2.1 承包人违约的情形、承担方式和计算方法</w:t>
      </w:r>
    </w:p>
    <w:p w14:paraId="4F280057">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（1）发生下列情况之一，视作承包人违约，并承担相应金额违约金，违约金从工程款中扣除。</w:t>
      </w:r>
    </w:p>
    <w:p w14:paraId="5D864508">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①未达到工程质量验收合格标准违约金为中标价的2.5%</w:t>
      </w:r>
    </w:p>
    <w:p w14:paraId="2E383210">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②未履行安全文明施工承诺违约金为中标价的2.5%</w:t>
      </w:r>
    </w:p>
    <w:p w14:paraId="1AA15A7C">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③主要机械设备：未履行按竞包文件配备施工所需的主要机械设备到场承诺的，承担违约金为中标价1%；</w:t>
      </w:r>
    </w:p>
    <w:p w14:paraId="00413426">
      <w:pPr>
        <w:spacing w:line="360" w:lineRule="auto"/>
        <w:ind w:firstLine="330" w:firstLineChars="15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（2）发生下列情况之一，视作承包人违约:实际施工期到位率以监理和发包人当月统计情况为准，违约金从月报工程款中扣除。</w:t>
      </w:r>
    </w:p>
    <w:p w14:paraId="7B6EB4D3">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sz w:val="22"/>
          <w:szCs w:val="22"/>
          <w:highlight w:val="none"/>
        </w:rPr>
        <w:t>1、未履行项目经理及项目部关键岗位人员月实际施工期到场承诺违约金</w:t>
      </w:r>
      <w:r>
        <w:rPr>
          <w:rFonts w:hint="eastAsia" w:ascii="宋体" w:hAnsi="宋体" w:eastAsia="宋体" w:cs="宋体"/>
          <w:color w:val="000000"/>
          <w:sz w:val="22"/>
          <w:szCs w:val="22"/>
          <w:highlight w:val="none"/>
          <w:u w:val="single"/>
        </w:rPr>
        <w:t>1000</w:t>
      </w:r>
      <w:r>
        <w:rPr>
          <w:rFonts w:hint="eastAsia" w:ascii="宋体" w:hAnsi="宋体" w:eastAsia="宋体" w:cs="宋体"/>
          <w:color w:val="000000"/>
          <w:sz w:val="22"/>
          <w:szCs w:val="22"/>
          <w:highlight w:val="none"/>
        </w:rPr>
        <w:t>元/人/天。</w:t>
      </w:r>
    </w:p>
    <w:p w14:paraId="1CA4FEFE">
      <w:pPr>
        <w:spacing w:line="360" w:lineRule="auto"/>
        <w:ind w:firstLine="440" w:firstLineChars="200"/>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2、承包人擅自更换项目负责人违约金</w:t>
      </w:r>
      <w:r>
        <w:rPr>
          <w:rFonts w:hint="eastAsia" w:ascii="宋体" w:hAnsi="宋体" w:eastAsia="宋体" w:cs="宋体"/>
          <w:color w:val="000000"/>
          <w:kern w:val="0"/>
          <w:sz w:val="22"/>
          <w:szCs w:val="22"/>
          <w:highlight w:val="none"/>
          <w:u w:val="single"/>
          <w:lang w:eastAsia="zh-CN"/>
        </w:rPr>
        <w:t>10000</w:t>
      </w:r>
      <w:r>
        <w:rPr>
          <w:rFonts w:hint="eastAsia" w:ascii="宋体" w:hAnsi="宋体" w:eastAsia="宋体" w:cs="宋体"/>
          <w:color w:val="000000"/>
          <w:kern w:val="0"/>
          <w:sz w:val="22"/>
          <w:szCs w:val="22"/>
          <w:highlight w:val="none"/>
        </w:rPr>
        <w:t>元/次。</w:t>
      </w:r>
    </w:p>
    <w:p w14:paraId="65FD6E01">
      <w:pPr>
        <w:spacing w:line="360" w:lineRule="auto"/>
        <w:ind w:firstLine="330" w:firstLineChars="15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 3、承包人擅自更换项目部其余关键岗位人员违约金</w:t>
      </w:r>
      <w:r>
        <w:rPr>
          <w:rFonts w:hint="eastAsia" w:ascii="宋体" w:hAnsi="宋体" w:eastAsia="宋体" w:cs="宋体"/>
          <w:color w:val="000000"/>
          <w:kern w:val="0"/>
          <w:sz w:val="22"/>
          <w:szCs w:val="22"/>
          <w:highlight w:val="none"/>
          <w:u w:val="single"/>
        </w:rPr>
        <w:t>5000</w:t>
      </w:r>
      <w:r>
        <w:rPr>
          <w:rFonts w:hint="eastAsia" w:ascii="宋体" w:hAnsi="宋体" w:eastAsia="宋体" w:cs="宋体"/>
          <w:color w:val="000000"/>
          <w:kern w:val="0"/>
          <w:sz w:val="22"/>
          <w:szCs w:val="22"/>
          <w:highlight w:val="none"/>
        </w:rPr>
        <w:t>元/人/次。</w:t>
      </w:r>
    </w:p>
    <w:p w14:paraId="5B5E92E0">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16.2.3 因承包人违约解除合同</w:t>
      </w:r>
    </w:p>
    <w:p w14:paraId="4BED69C4">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关于承包人违约解除合同的特别约定：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10F00A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2"/>
          <w:szCs w:val="22"/>
          <w:highlight w:val="none"/>
          <w:u w:val="single"/>
        </w:rPr>
        <w:t>产生的费用未超过承包人应承担的违约赔偿限额的，由承包人承担；产生的费用超出承包人应承担的违约赔偿限额部分，由发包人承担</w:t>
      </w:r>
      <w:r>
        <w:rPr>
          <w:rFonts w:hint="eastAsia" w:ascii="宋体" w:hAnsi="宋体" w:eastAsia="宋体" w:cs="宋体"/>
          <w:color w:val="000000"/>
          <w:sz w:val="22"/>
          <w:szCs w:val="22"/>
          <w:highlight w:val="none"/>
        </w:rPr>
        <w:t>。</w:t>
      </w:r>
    </w:p>
    <w:p w14:paraId="2642AB1E">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04" w:name="_Toc351203649"/>
      <w:bookmarkStart w:id="605" w:name="_Toc386638623"/>
      <w:r>
        <w:rPr>
          <w:rFonts w:hint="eastAsia" w:ascii="宋体" w:hAnsi="宋体" w:eastAsia="宋体" w:cs="宋体"/>
          <w:b w:val="0"/>
          <w:color w:val="000000"/>
          <w:sz w:val="22"/>
          <w:szCs w:val="22"/>
          <w:highlight w:val="none"/>
        </w:rPr>
        <w:t>17. 不可抗力</w:t>
      </w:r>
      <w:bookmarkEnd w:id="604"/>
      <w:bookmarkEnd w:id="605"/>
      <w:r>
        <w:rPr>
          <w:rFonts w:hint="eastAsia" w:ascii="宋体" w:hAnsi="宋体" w:eastAsia="宋体" w:cs="宋体"/>
          <w:b w:val="0"/>
          <w:color w:val="000000"/>
          <w:sz w:val="22"/>
          <w:szCs w:val="22"/>
          <w:highlight w:val="none"/>
        </w:rPr>
        <w:t xml:space="preserve"> </w:t>
      </w:r>
      <w:bookmarkEnd w:id="602"/>
    </w:p>
    <w:p w14:paraId="3F80FC6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17.1 不可抗力的确认</w:t>
      </w:r>
    </w:p>
    <w:p w14:paraId="12CCD5F5">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除通用合同条款约定的不可抗力事件之外，视为不可抗力的其他情形</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50BFF6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17.4 因不可抗力解除合同</w:t>
      </w:r>
    </w:p>
    <w:p w14:paraId="6CA7112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合同解除后，发包人应在商定或确定发包人应支付款项后</w:t>
      </w:r>
      <w:r>
        <w:rPr>
          <w:rFonts w:hint="eastAsia" w:ascii="宋体" w:hAnsi="宋体" w:eastAsia="宋体" w:cs="宋体"/>
          <w:color w:val="000000"/>
          <w:sz w:val="22"/>
          <w:szCs w:val="22"/>
          <w:highlight w:val="none"/>
          <w:u w:val="single"/>
        </w:rPr>
        <w:t>28</w:t>
      </w:r>
      <w:r>
        <w:rPr>
          <w:rFonts w:hint="eastAsia" w:ascii="宋体" w:hAnsi="宋体" w:eastAsia="宋体" w:cs="宋体"/>
          <w:color w:val="000000"/>
          <w:sz w:val="22"/>
          <w:szCs w:val="22"/>
          <w:highlight w:val="none"/>
        </w:rPr>
        <w:t>天内完成款项的支付。</w:t>
      </w:r>
    </w:p>
    <w:p w14:paraId="0C2F828D">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bookmarkStart w:id="606" w:name="_Toc386638624"/>
      <w:bookmarkStart w:id="607" w:name="_Toc351203650"/>
      <w:r>
        <w:rPr>
          <w:rFonts w:hint="eastAsia" w:ascii="宋体" w:hAnsi="宋体" w:eastAsia="宋体" w:cs="宋体"/>
          <w:b w:val="0"/>
          <w:color w:val="000000"/>
          <w:sz w:val="22"/>
          <w:szCs w:val="22"/>
          <w:highlight w:val="none"/>
        </w:rPr>
        <w:t>18. 保险</w:t>
      </w:r>
      <w:bookmarkEnd w:id="606"/>
      <w:bookmarkEnd w:id="607"/>
    </w:p>
    <w:bookmarkEnd w:id="573"/>
    <w:bookmarkEnd w:id="574"/>
    <w:bookmarkEnd w:id="575"/>
    <w:bookmarkEnd w:id="576"/>
    <w:bookmarkEnd w:id="577"/>
    <w:bookmarkEnd w:id="578"/>
    <w:bookmarkEnd w:id="579"/>
    <w:bookmarkEnd w:id="580"/>
    <w:bookmarkEnd w:id="581"/>
    <w:bookmarkEnd w:id="582"/>
    <w:bookmarkEnd w:id="583"/>
    <w:bookmarkEnd w:id="584"/>
    <w:bookmarkEnd w:id="603"/>
    <w:p w14:paraId="2FDE6E43">
      <w:pPr>
        <w:spacing w:line="360" w:lineRule="auto"/>
        <w:ind w:firstLine="440" w:firstLineChars="200"/>
        <w:rPr>
          <w:rFonts w:hint="eastAsia" w:ascii="宋体" w:hAnsi="宋体" w:eastAsia="宋体" w:cs="宋体"/>
          <w:sz w:val="22"/>
          <w:szCs w:val="22"/>
          <w:highlight w:val="none"/>
        </w:rPr>
      </w:pPr>
      <w:bookmarkStart w:id="608" w:name="_Toc386638625"/>
      <w:bookmarkStart w:id="609" w:name="_Toc351203651"/>
      <w:r>
        <w:rPr>
          <w:rFonts w:hint="eastAsia" w:ascii="宋体" w:hAnsi="宋体" w:eastAsia="宋体" w:cs="宋体"/>
          <w:sz w:val="22"/>
          <w:szCs w:val="22"/>
          <w:highlight w:val="none"/>
        </w:rPr>
        <w:t>18.1 工程保险</w:t>
      </w:r>
    </w:p>
    <w:p w14:paraId="62332071">
      <w:pPr>
        <w:spacing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关于工程保险的特别约定：</w:t>
      </w:r>
      <w:r>
        <w:rPr>
          <w:rFonts w:hint="eastAsia" w:ascii="宋体" w:hAnsi="宋体" w:cs="宋体"/>
          <w:i w:val="0"/>
          <w:iCs w:val="0"/>
          <w:color w:val="auto"/>
          <w:sz w:val="22"/>
          <w:szCs w:val="22"/>
          <w:u w:val="single"/>
          <w:lang w:val="en-US" w:eastAsia="zh-CN"/>
        </w:rPr>
        <w:t xml:space="preserve">        /         </w:t>
      </w:r>
      <w:r>
        <w:rPr>
          <w:rFonts w:hint="eastAsia" w:ascii="宋体" w:hAnsi="宋体" w:eastAsia="宋体" w:cs="宋体"/>
          <w:kern w:val="0"/>
          <w:sz w:val="22"/>
          <w:szCs w:val="22"/>
          <w:highlight w:val="none"/>
        </w:rPr>
        <w:t>。</w:t>
      </w:r>
    </w:p>
    <w:p w14:paraId="2ABE958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18.3 其他保险</w:t>
      </w:r>
    </w:p>
    <w:p w14:paraId="616EAA23">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关于其他保险的约定：</w:t>
      </w:r>
      <w:r>
        <w:rPr>
          <w:rFonts w:hint="eastAsia" w:ascii="宋体" w:hAnsi="宋体" w:eastAsia="宋体" w:cs="宋体"/>
          <w:kern w:val="0"/>
          <w:sz w:val="22"/>
          <w:szCs w:val="22"/>
          <w:highlight w:val="none"/>
          <w:u w:val="single"/>
        </w:rPr>
        <w:t xml:space="preserve">  民工工伤保险   </w:t>
      </w:r>
      <w:r>
        <w:rPr>
          <w:rFonts w:hint="eastAsia" w:ascii="宋体" w:hAnsi="宋体" w:eastAsia="宋体" w:cs="宋体"/>
          <w:kern w:val="0"/>
          <w:sz w:val="22"/>
          <w:szCs w:val="22"/>
          <w:highlight w:val="none"/>
        </w:rPr>
        <w:t>。</w:t>
      </w:r>
    </w:p>
    <w:p w14:paraId="0FB1E6AC">
      <w:pPr>
        <w:spacing w:line="360" w:lineRule="auto"/>
        <w:ind w:firstLine="440" w:firstLineChars="200"/>
        <w:jc w:val="left"/>
        <w:rPr>
          <w:rFonts w:hint="eastAsia" w:ascii="宋体" w:hAnsi="宋体" w:eastAsia="宋体" w:cs="宋体"/>
          <w:kern w:val="0"/>
          <w:sz w:val="22"/>
          <w:szCs w:val="22"/>
          <w:highlight w:val="none"/>
        </w:rPr>
      </w:pPr>
      <w:r>
        <w:rPr>
          <w:rFonts w:hint="eastAsia" w:ascii="宋体" w:hAnsi="宋体" w:eastAsia="宋体" w:cs="宋体"/>
          <w:sz w:val="22"/>
          <w:szCs w:val="22"/>
          <w:highlight w:val="none"/>
        </w:rPr>
        <w:t>承包人是否应为其施工设备等办理财产保险：承包人</w:t>
      </w:r>
      <w:r>
        <w:rPr>
          <w:rFonts w:hint="eastAsia" w:ascii="宋体" w:hAnsi="宋体" w:eastAsia="宋体" w:cs="宋体"/>
          <w:sz w:val="22"/>
          <w:szCs w:val="22"/>
          <w:highlight w:val="none"/>
          <w:u w:val="single"/>
        </w:rPr>
        <w:t>应当</w:t>
      </w:r>
      <w:r>
        <w:rPr>
          <w:rFonts w:hint="eastAsia" w:ascii="宋体" w:hAnsi="宋体" w:eastAsia="宋体" w:cs="宋体"/>
          <w:sz w:val="22"/>
          <w:szCs w:val="22"/>
          <w:highlight w:val="none"/>
        </w:rPr>
        <w:t>为其施工设备等办理财产保险</w:t>
      </w:r>
    </w:p>
    <w:p w14:paraId="5154035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18.7 通知义务</w:t>
      </w:r>
    </w:p>
    <w:p w14:paraId="4BF91C5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kern w:val="0"/>
          <w:sz w:val="22"/>
          <w:szCs w:val="22"/>
          <w:highlight w:val="none"/>
        </w:rPr>
        <w:t>关于变更保险合同时的通知义务的约定：</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3115CFD7">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本工程的民工工伤保险和建筑施工人员团体意外伤害保险由承包人一次性支付。</w:t>
      </w:r>
    </w:p>
    <w:p w14:paraId="2AAC78F1">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5ADDA45">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承包人为建设项目缴纳工伤保险费后，应当将《建设项目工伤保险参保登记表》和《建设项目从业人员工伤保险费代缴协议》发送给本建设项目中各分包单位。</w:t>
      </w:r>
    </w:p>
    <w:p w14:paraId="7329D22C">
      <w:pPr>
        <w:spacing w:line="360" w:lineRule="auto"/>
        <w:ind w:firstLine="331" w:firstLineChars="150"/>
        <w:jc w:val="left"/>
        <w:rPr>
          <w:rFonts w:hint="eastAsia" w:ascii="宋体" w:hAnsi="宋体" w:eastAsia="宋体" w:cs="宋体"/>
          <w:b/>
          <w:sz w:val="22"/>
          <w:szCs w:val="22"/>
          <w:highlight w:val="none"/>
        </w:rPr>
      </w:pPr>
      <w:r>
        <w:rPr>
          <w:rFonts w:hint="eastAsia" w:ascii="宋体" w:hAnsi="宋体" w:eastAsia="宋体" w:cs="宋体"/>
          <w:b/>
          <w:sz w:val="22"/>
          <w:szCs w:val="22"/>
          <w:highlight w:val="none"/>
        </w:rPr>
        <w:t>承包人缴纳建筑施工人员团体意外伤害保险时应按照《团体建筑工人意外伤害保险条款（2012 版）》规定采用按总造价计算保险费用的方法缴纳。</w:t>
      </w:r>
    </w:p>
    <w:p w14:paraId="7FA78E36">
      <w:pPr>
        <w:spacing w:line="360" w:lineRule="auto"/>
        <w:ind w:firstLine="330" w:firstLineChars="15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为其施工设备等办理财产保险：承包人</w:t>
      </w:r>
      <w:r>
        <w:rPr>
          <w:rFonts w:hint="eastAsia" w:ascii="宋体" w:hAnsi="宋体" w:eastAsia="宋体" w:cs="宋体"/>
          <w:sz w:val="22"/>
          <w:szCs w:val="22"/>
          <w:highlight w:val="none"/>
          <w:u w:val="single"/>
        </w:rPr>
        <w:t xml:space="preserve"> 应当 </w:t>
      </w:r>
      <w:r>
        <w:rPr>
          <w:rFonts w:hint="eastAsia" w:ascii="宋体" w:hAnsi="宋体" w:eastAsia="宋体" w:cs="宋体"/>
          <w:sz w:val="22"/>
          <w:szCs w:val="22"/>
          <w:highlight w:val="none"/>
        </w:rPr>
        <w:t>为其施工设备等办理财产保险</w:t>
      </w:r>
    </w:p>
    <w:p w14:paraId="646C9110">
      <w:pPr>
        <w:pStyle w:val="5"/>
        <w:numPr>
          <w:ilvl w:val="3"/>
          <w:numId w:val="0"/>
        </w:numPr>
        <w:tabs>
          <w:tab w:val="clear" w:pos="864"/>
        </w:tabs>
        <w:spacing w:before="0" w:after="0" w:line="360" w:lineRule="auto"/>
        <w:ind w:left="864" w:hanging="864"/>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20. 争议解决</w:t>
      </w:r>
    </w:p>
    <w:p w14:paraId="134276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 争议评审</w:t>
      </w:r>
    </w:p>
    <w:p w14:paraId="27A6568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合同当事人是否同意将工程争议提交争议评审小组决定：</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w:t>
      </w:r>
    </w:p>
    <w:p w14:paraId="0585390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20.3.1 争议评审小组的确定</w:t>
      </w:r>
    </w:p>
    <w:p w14:paraId="7EB6B12F">
      <w:pPr>
        <w:spacing w:line="360" w:lineRule="auto"/>
        <w:ind w:firstLine="440" w:firstLineChars="200"/>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争议评审小组成员的确定：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90EEE5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选定争议评审员的期限：</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3C8D05D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争议评审小组成员的报酬承担方式：</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771213DA">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其他事项的约定：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4C10928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20.3.2 争议评审小组的决定</w:t>
      </w:r>
    </w:p>
    <w:p w14:paraId="10A613B6">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合同当事人关于本项的约定：</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w:t>
      </w:r>
    </w:p>
    <w:p w14:paraId="0D54A11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20.4仲裁或诉讼</w:t>
      </w:r>
    </w:p>
    <w:p w14:paraId="7EC93F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发包人同承包人发生合同价款、工程结算和其他造价事项争议，一般采用下列程序解决：</w:t>
      </w:r>
    </w:p>
    <w:p w14:paraId="2E3284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（1）由合同双方本着合法、客观、平等、合理的原则进行协商；</w:t>
      </w:r>
    </w:p>
    <w:p w14:paraId="58BA9B9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（2）提请建设工程造价管理机构进行调解；</w:t>
      </w:r>
    </w:p>
    <w:p w14:paraId="65D8695B">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（3）不愿协商、调解，或者协商、调解不成的</w:t>
      </w:r>
      <w:r>
        <w:rPr>
          <w:rFonts w:hint="eastAsia" w:ascii="宋体" w:hAnsi="宋体" w:eastAsia="宋体" w:cs="宋体"/>
          <w:b/>
          <w:color w:val="000000"/>
          <w:sz w:val="22"/>
          <w:szCs w:val="22"/>
          <w:highlight w:val="none"/>
        </w:rPr>
        <w:t>，</w:t>
      </w:r>
      <w:r>
        <w:rPr>
          <w:rFonts w:hint="eastAsia" w:ascii="宋体" w:hAnsi="宋体" w:eastAsia="宋体" w:cs="宋体"/>
          <w:color w:val="000000"/>
          <w:sz w:val="22"/>
          <w:szCs w:val="22"/>
          <w:highlight w:val="none"/>
        </w:rPr>
        <w:t>可以选择采用第</w:t>
      </w:r>
      <w:r>
        <w:rPr>
          <w:rFonts w:hint="eastAsia" w:ascii="宋体" w:hAnsi="宋体" w:eastAsia="宋体" w:cs="宋体"/>
          <w:color w:val="000000"/>
          <w:sz w:val="22"/>
          <w:szCs w:val="22"/>
          <w:highlight w:val="none"/>
          <w:u w:val="single"/>
        </w:rPr>
        <w:t xml:space="preserve"> 2 </w:t>
      </w:r>
      <w:r>
        <w:rPr>
          <w:rFonts w:hint="eastAsia" w:ascii="宋体" w:hAnsi="宋体" w:eastAsia="宋体" w:cs="宋体"/>
          <w:color w:val="000000"/>
          <w:sz w:val="22"/>
          <w:szCs w:val="22"/>
          <w:highlight w:val="none"/>
        </w:rPr>
        <w:t xml:space="preserve">种下列方式解决： </w:t>
      </w:r>
    </w:p>
    <w:p w14:paraId="5B6ECD58">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1、向</w:t>
      </w:r>
      <w:r>
        <w:rPr>
          <w:rFonts w:hint="eastAsia" w:ascii="宋体" w:hAnsi="宋体" w:eastAsia="宋体" w:cs="宋体"/>
          <w:color w:val="000000"/>
          <w:sz w:val="22"/>
          <w:szCs w:val="22"/>
          <w:highlight w:val="none"/>
          <w:u w:val="single"/>
        </w:rPr>
        <w:t xml:space="preserve">      /    </w:t>
      </w:r>
      <w:r>
        <w:rPr>
          <w:rFonts w:hint="eastAsia" w:ascii="宋体" w:hAnsi="宋体" w:eastAsia="宋体" w:cs="宋体"/>
          <w:color w:val="000000"/>
          <w:sz w:val="22"/>
          <w:szCs w:val="22"/>
          <w:highlight w:val="none"/>
        </w:rPr>
        <w:t>仲裁委员会申请仲裁；</w:t>
      </w:r>
    </w:p>
    <w:p w14:paraId="05E6C14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2、向</w:t>
      </w:r>
      <w:r>
        <w:rPr>
          <w:rFonts w:hint="eastAsia" w:ascii="宋体" w:hAnsi="宋体" w:eastAsia="宋体" w:cs="宋体"/>
          <w:color w:val="000000"/>
          <w:sz w:val="22"/>
          <w:szCs w:val="22"/>
          <w:highlight w:val="none"/>
          <w:u w:val="single"/>
        </w:rPr>
        <w:t xml:space="preserve">  宁海县 </w:t>
      </w:r>
      <w:r>
        <w:rPr>
          <w:rFonts w:hint="eastAsia" w:ascii="宋体" w:hAnsi="宋体" w:eastAsia="宋体" w:cs="宋体"/>
          <w:color w:val="000000"/>
          <w:sz w:val="22"/>
          <w:szCs w:val="22"/>
          <w:highlight w:val="none"/>
        </w:rPr>
        <w:t>人民法院提起诉讼。</w:t>
      </w:r>
    </w:p>
    <w:p w14:paraId="212063F4">
      <w:pPr>
        <w:spacing w:line="360" w:lineRule="auto"/>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21、补充条款</w:t>
      </w:r>
    </w:p>
    <w:bookmarkEnd w:id="585"/>
    <w:bookmarkEnd w:id="586"/>
    <w:bookmarkEnd w:id="587"/>
    <w:bookmarkEnd w:id="588"/>
    <w:bookmarkEnd w:id="589"/>
    <w:bookmarkEnd w:id="590"/>
    <w:bookmarkEnd w:id="591"/>
    <w:bookmarkEnd w:id="592"/>
    <w:bookmarkEnd w:id="593"/>
    <w:bookmarkEnd w:id="594"/>
    <w:bookmarkEnd w:id="608"/>
    <w:bookmarkEnd w:id="609"/>
    <w:p w14:paraId="11BD430D">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21.1实际施工时，无论工程量增减多少，承包人均应无条件服从。增减工程量或工程项目按价款结算的有关条款结算，承包人不得提出额外索赔。</w:t>
      </w:r>
    </w:p>
    <w:p w14:paraId="1C4B0C3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21.2在工程开工后直至完工退场，工地现场发生的卫生费、治安费等均由承包人承担。</w:t>
      </w:r>
    </w:p>
    <w:p w14:paraId="6EC6067C">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21.3承包人须自备发电机，保证在停电时能连续施工，费用由承包人自理。</w:t>
      </w:r>
    </w:p>
    <w:p w14:paraId="3DD242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21.4根据 《宁海县人民政府办公室关于印发宁海县扬尘污染防治暂行管理办法的通知》(宁政办发〔2020〕32号) 规定，中标人应做好防止扬尘污染环境等相关工作,该费用已按规定计入招</w:t>
      </w:r>
      <w:r>
        <w:rPr>
          <w:rFonts w:hint="eastAsia" w:ascii="宋体" w:hAnsi="宋体" w:eastAsia="宋体" w:cs="宋体"/>
          <w:bCs/>
          <w:color w:val="000000"/>
          <w:sz w:val="22"/>
          <w:szCs w:val="22"/>
          <w:highlight w:val="none"/>
        </w:rPr>
        <w:t>标控制价中</w:t>
      </w:r>
      <w:r>
        <w:rPr>
          <w:rFonts w:hint="eastAsia" w:ascii="宋体" w:hAnsi="宋体" w:eastAsia="宋体" w:cs="宋体"/>
          <w:color w:val="000000"/>
          <w:sz w:val="22"/>
          <w:szCs w:val="22"/>
          <w:highlight w:val="none"/>
        </w:rPr>
        <w:t>。</w:t>
      </w:r>
    </w:p>
    <w:p w14:paraId="115BFB46">
      <w:pPr>
        <w:spacing w:line="360" w:lineRule="auto"/>
        <w:ind w:firstLine="440" w:firstLineChars="200"/>
        <w:rPr>
          <w:rFonts w:hint="eastAsia" w:ascii="宋体" w:hAnsi="宋体" w:eastAsia="宋体" w:cs="宋体"/>
          <w:color w:val="000000"/>
          <w:spacing w:val="8"/>
          <w:sz w:val="22"/>
          <w:szCs w:val="22"/>
          <w:highlight w:val="none"/>
        </w:rPr>
      </w:pPr>
      <w:r>
        <w:rPr>
          <w:rFonts w:hint="eastAsia" w:ascii="宋体" w:hAnsi="宋体" w:eastAsia="宋体" w:cs="宋体"/>
          <w:color w:val="000000"/>
          <w:sz w:val="22"/>
          <w:szCs w:val="22"/>
          <w:highlight w:val="none"/>
        </w:rPr>
        <w:t>21.5</w:t>
      </w:r>
      <w:r>
        <w:rPr>
          <w:rFonts w:hint="eastAsia" w:ascii="宋体" w:hAnsi="宋体" w:eastAsia="宋体" w:cs="宋体"/>
          <w:color w:val="000000"/>
          <w:spacing w:val="8"/>
          <w:sz w:val="22"/>
          <w:szCs w:val="22"/>
          <w:highlight w:val="none"/>
        </w:rPr>
        <w:t>民工工伤保险费按甬发改投资［2014］540号，</w:t>
      </w:r>
      <w:r>
        <w:rPr>
          <w:rFonts w:hint="eastAsia" w:ascii="宋体" w:hAnsi="宋体" w:eastAsia="宋体" w:cs="宋体"/>
          <w:color w:val="000000"/>
          <w:sz w:val="22"/>
          <w:szCs w:val="22"/>
          <w:highlight w:val="none"/>
        </w:rPr>
        <w:t>该费用已包括在合同价中，</w:t>
      </w:r>
      <w:r>
        <w:rPr>
          <w:rFonts w:hint="eastAsia" w:ascii="宋体" w:hAnsi="宋体" w:eastAsia="宋体" w:cs="宋体"/>
          <w:color w:val="000000"/>
          <w:spacing w:val="8"/>
          <w:sz w:val="22"/>
          <w:szCs w:val="22"/>
          <w:highlight w:val="none"/>
        </w:rPr>
        <w:t>中标人应办理相关险种</w:t>
      </w:r>
      <w:r>
        <w:rPr>
          <w:rFonts w:hint="eastAsia" w:ascii="宋体" w:hAnsi="宋体" w:eastAsia="宋体" w:cs="宋体"/>
          <w:color w:val="000000"/>
          <w:sz w:val="22"/>
          <w:szCs w:val="22"/>
          <w:highlight w:val="none"/>
        </w:rPr>
        <w:t>。</w:t>
      </w:r>
    </w:p>
    <w:p w14:paraId="4F2B6110">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21.6施工场地周围邻近建筑物、地下管线、构筑物由中标人负责保护及承担措施费用。保护期间若发生损坏，由承包人承担。</w:t>
      </w:r>
    </w:p>
    <w:p w14:paraId="4DDBD4AA">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21.7施工过程中临时围护费用由竞包人根据实地情况，在投标报价时综合考虑，包含在合同价中。</w:t>
      </w:r>
    </w:p>
    <w:p w14:paraId="0036B46D">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21.8承包人应充分考虑施工过程中的各种不利因素，合理安排施工人员，在合同工期内保质保量完成施工任务。</w:t>
      </w:r>
    </w:p>
    <w:p w14:paraId="6743B01E">
      <w:pPr>
        <w:adjustRightInd w:val="0"/>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21.9工程务工工资专用账户管理：发包人、承包人必须按照宁海县住房和城乡于建设局转发市住建委关于《宁波市房屋建筑和市政基础设施工程工资专用账户管理实施细则（试行）》的通知（宁建发【 2018 】77号）、《关于在全省工程领域改革保证金制度的通知》（浙建【2020】7号）及宁波市人力和社会保障局等6部门关于印发《宁波市工程建设领域农民工工资专用账户管理实施细则（试行）的通知》（甬人社发（2022）29号）的文件规定执行。</w:t>
      </w:r>
    </w:p>
    <w:p w14:paraId="061A2B8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0</w:t>
      </w:r>
      <w:r>
        <w:rPr>
          <w:rFonts w:hint="eastAsia" w:ascii="宋体" w:hAnsi="宋体" w:eastAsia="宋体" w:cs="宋体"/>
          <w:color w:val="000000"/>
          <w:sz w:val="22"/>
          <w:szCs w:val="22"/>
          <w:highlight w:val="none"/>
        </w:rPr>
        <w:t>承包人需配合发包人做好上级领导的检查工作。发包人在不妨碍承包人正常作业的情况下，可以随时对作业质量安全进行检查。</w:t>
      </w:r>
    </w:p>
    <w:p w14:paraId="041508E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承包人签订施工合同后由于非承包人原因造成延期开工的，且在延期开工期间主要材料价格、人工信息出现涨跌波动的，承发包双方按预算编制期的信息价与开工前一个月的当期信息价进行价格调整，调整价差部分按</w:t>
      </w:r>
      <w:r>
        <w:rPr>
          <w:rFonts w:hint="eastAsia" w:ascii="宋体" w:hAnsi="宋体" w:cs="宋体"/>
          <w:color w:val="000000"/>
          <w:sz w:val="22"/>
          <w:szCs w:val="22"/>
          <w:highlight w:val="none"/>
          <w:lang w:eastAsia="zh-CN"/>
        </w:rPr>
        <w:t>中标下浮率</w:t>
      </w:r>
      <w:r>
        <w:rPr>
          <w:rFonts w:hint="eastAsia" w:ascii="宋体" w:hAnsi="宋体" w:eastAsia="宋体" w:cs="宋体"/>
          <w:color w:val="000000"/>
          <w:sz w:val="22"/>
          <w:szCs w:val="22"/>
          <w:highlight w:val="none"/>
        </w:rPr>
        <w:t>下浮后，调整合同总价。</w:t>
      </w:r>
    </w:p>
    <w:p w14:paraId="3C4F19DA">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21.1</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rPr>
        <w:t>按规定计取的安全文明施工费不得挪作它用，应能保障工程现场的安全文明施工，并按相关文件执行。</w:t>
      </w:r>
    </w:p>
    <w:p w14:paraId="7A75DE5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21.1</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承包人必须配合发包人另行发包的项目施工，配合服务费用已包含在投标报价中，</w:t>
      </w:r>
      <w:r>
        <w:rPr>
          <w:rFonts w:hint="eastAsia" w:ascii="宋体" w:hAnsi="宋体" w:cs="宋体"/>
          <w:sz w:val="22"/>
          <w:szCs w:val="22"/>
          <w:highlight w:val="none"/>
          <w:lang w:eastAsia="zh-CN"/>
        </w:rPr>
        <w:t>承包人</w:t>
      </w:r>
      <w:r>
        <w:rPr>
          <w:rFonts w:hint="eastAsia" w:ascii="宋体" w:hAnsi="宋体" w:eastAsia="宋体" w:cs="宋体"/>
          <w:sz w:val="22"/>
          <w:szCs w:val="22"/>
          <w:highlight w:val="none"/>
        </w:rPr>
        <w:t>不得向发包人提出任何补偿费用。</w:t>
      </w:r>
    </w:p>
    <w:p w14:paraId="0BCCB5B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21.14</w:t>
      </w:r>
      <w:r>
        <w:rPr>
          <w:rFonts w:hint="eastAsia" w:ascii="宋体" w:hAnsi="宋体" w:eastAsia="宋体" w:cs="宋体"/>
          <w:color w:val="000000"/>
          <w:sz w:val="22"/>
          <w:szCs w:val="22"/>
          <w:highlight w:val="none"/>
        </w:rPr>
        <w:t>中标人不得因本项目涉及到的地下综合管线复杂、行车干扰等各种因素，而影响工程进度，并不得向发包人提出任何索赔。</w:t>
      </w:r>
    </w:p>
    <w:p w14:paraId="095CE42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21.15</w:t>
      </w:r>
      <w:r>
        <w:rPr>
          <w:rFonts w:hint="eastAsia" w:ascii="宋体" w:hAnsi="宋体" w:eastAsia="宋体" w:cs="宋体"/>
          <w:color w:val="000000"/>
          <w:sz w:val="22"/>
          <w:szCs w:val="22"/>
          <w:highlight w:val="none"/>
        </w:rPr>
        <w:t>施工过程中因地下管线被挖破而造成的损失由承包人自行承担。</w:t>
      </w:r>
    </w:p>
    <w:p w14:paraId="420E397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color w:val="000000"/>
          <w:sz w:val="22"/>
          <w:szCs w:val="22"/>
          <w:highlight w:val="none"/>
          <w:lang w:val="en-US" w:eastAsia="zh-CN"/>
        </w:rPr>
        <w:t>21.1</w:t>
      </w:r>
      <w:r>
        <w:rPr>
          <w:rFonts w:hint="eastAsia" w:ascii="宋体" w:hAnsi="宋体" w:cs="宋体"/>
          <w:color w:val="000000"/>
          <w:sz w:val="22"/>
          <w:szCs w:val="22"/>
          <w:highlight w:val="none"/>
          <w:lang w:val="en-US" w:eastAsia="zh-CN"/>
        </w:rPr>
        <w:t>6</w:t>
      </w:r>
      <w:r>
        <w:rPr>
          <w:rFonts w:hint="eastAsia" w:ascii="宋体" w:hAnsi="宋体" w:eastAsia="宋体" w:cs="宋体"/>
          <w:sz w:val="22"/>
          <w:szCs w:val="22"/>
          <w:highlight w:val="none"/>
        </w:rPr>
        <w:t>本合同未尽事宜，由双方协商解决。</w:t>
      </w:r>
    </w:p>
    <w:p w14:paraId="71F1252D">
      <w:pPr>
        <w:spacing w:line="480" w:lineRule="exact"/>
        <w:jc w:val="left"/>
        <w:rPr>
          <w:rFonts w:hint="eastAsia" w:ascii="宋体" w:hAnsi="宋体" w:eastAsia="宋体" w:cs="宋体"/>
          <w:b/>
          <w:color w:val="000000"/>
          <w:sz w:val="22"/>
          <w:szCs w:val="22"/>
          <w:highlight w:val="none"/>
        </w:rPr>
      </w:pPr>
    </w:p>
    <w:p w14:paraId="74BA12B3">
      <w:pPr>
        <w:spacing w:line="480" w:lineRule="exact"/>
        <w:jc w:val="left"/>
        <w:rPr>
          <w:rFonts w:hint="eastAsia" w:ascii="宋体" w:hAnsi="宋体" w:cs="宋体"/>
          <w:b/>
          <w:color w:val="000000"/>
          <w:sz w:val="24"/>
          <w:highlight w:val="none"/>
        </w:rPr>
      </w:pPr>
    </w:p>
    <w:p w14:paraId="4D26F690">
      <w:pPr>
        <w:pStyle w:val="109"/>
        <w:rPr>
          <w:rFonts w:hint="eastAsia" w:ascii="宋体" w:hAnsi="宋体" w:cs="宋体"/>
          <w:b/>
          <w:color w:val="000000"/>
          <w:sz w:val="24"/>
          <w:highlight w:val="none"/>
        </w:rPr>
      </w:pPr>
    </w:p>
    <w:p w14:paraId="298CDC16">
      <w:pPr>
        <w:pStyle w:val="109"/>
        <w:rPr>
          <w:rFonts w:hint="eastAsia" w:ascii="宋体" w:hAnsi="宋体" w:cs="宋体"/>
          <w:b/>
          <w:color w:val="000000"/>
          <w:sz w:val="24"/>
          <w:highlight w:val="none"/>
        </w:rPr>
      </w:pPr>
    </w:p>
    <w:p w14:paraId="1EC6217D">
      <w:pPr>
        <w:spacing w:line="480" w:lineRule="exact"/>
        <w:jc w:val="left"/>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rPr>
        <w:t>附件</w:t>
      </w:r>
      <w:r>
        <w:rPr>
          <w:rFonts w:hint="eastAsia" w:ascii="宋体" w:hAnsi="宋体" w:eastAsia="宋体" w:cs="宋体"/>
          <w:b/>
          <w:color w:val="000000"/>
          <w:sz w:val="22"/>
          <w:szCs w:val="22"/>
          <w:highlight w:val="none"/>
          <w:lang w:val="en-US" w:eastAsia="zh-CN"/>
        </w:rPr>
        <w:t>:</w:t>
      </w:r>
    </w:p>
    <w:p w14:paraId="038F7692">
      <w:pPr>
        <w:spacing w:line="360" w:lineRule="auto"/>
        <w:jc w:val="left"/>
        <w:rPr>
          <w:rFonts w:hint="eastAsia" w:ascii="宋体" w:hAnsi="宋体" w:eastAsia="宋体" w:cs="宋体"/>
          <w:color w:val="000000"/>
          <w:sz w:val="22"/>
          <w:szCs w:val="22"/>
          <w:highlight w:val="none"/>
        </w:rPr>
      </w:pPr>
    </w:p>
    <w:p w14:paraId="01EB57EE">
      <w:pPr>
        <w:spacing w:line="360" w:lineRule="auto"/>
        <w:ind w:firstLine="420" w:firstLineChars="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专用合同条款附件：</w:t>
      </w:r>
    </w:p>
    <w:p w14:paraId="422297CF">
      <w:pPr>
        <w:pStyle w:val="109"/>
        <w:spacing w:line="360" w:lineRule="auto"/>
        <w:ind w:left="475" w:leftChars="200" w:hanging="55" w:hangingChars="25"/>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lang w:eastAsia="zh-CN"/>
        </w:rPr>
        <w:t>：工程质量保修书</w:t>
      </w:r>
    </w:p>
    <w:p w14:paraId="228DE9EF">
      <w:pPr>
        <w:pStyle w:val="109"/>
        <w:spacing w:line="360" w:lineRule="auto"/>
        <w:ind w:left="475" w:leftChars="200" w:hanging="55" w:hangingChars="25"/>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2</w:t>
      </w:r>
      <w:r>
        <w:rPr>
          <w:rFonts w:hint="eastAsia" w:ascii="宋体" w:hAnsi="宋体" w:eastAsia="宋体" w:cs="宋体"/>
          <w:color w:val="000000"/>
          <w:sz w:val="22"/>
          <w:szCs w:val="22"/>
          <w:highlight w:val="none"/>
          <w:lang w:eastAsia="zh-CN"/>
        </w:rPr>
        <w:t>：承包人用于本工程施工的机械设备表</w:t>
      </w:r>
    </w:p>
    <w:p w14:paraId="0C1A7222">
      <w:pPr>
        <w:pStyle w:val="109"/>
        <w:spacing w:line="360" w:lineRule="auto"/>
        <w:ind w:left="475" w:leftChars="200" w:hanging="55" w:hangingChars="25"/>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lang w:eastAsia="zh-CN"/>
        </w:rPr>
        <w:t>：项目部关键岗位人员配备表</w:t>
      </w:r>
    </w:p>
    <w:p w14:paraId="2573F3C2">
      <w:pPr>
        <w:pStyle w:val="109"/>
        <w:spacing w:line="360" w:lineRule="auto"/>
        <w:ind w:left="475" w:leftChars="200" w:hanging="55" w:hangingChars="25"/>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lang w:eastAsia="zh-CN"/>
        </w:rPr>
        <w:t>：廉政建设责任书</w:t>
      </w:r>
    </w:p>
    <w:p w14:paraId="2F666B50">
      <w:pPr>
        <w:pStyle w:val="109"/>
        <w:spacing w:line="360" w:lineRule="auto"/>
        <w:ind w:left="475" w:leftChars="200" w:hanging="55" w:hangingChars="25"/>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lang w:eastAsia="zh-CN"/>
        </w:rPr>
        <w:t>：暂列金表</w:t>
      </w:r>
    </w:p>
    <w:p w14:paraId="5C63D644">
      <w:pPr>
        <w:pStyle w:val="109"/>
        <w:spacing w:line="360" w:lineRule="auto"/>
        <w:ind w:left="475" w:leftChars="200" w:hanging="55" w:hangingChars="25"/>
        <w:rPr>
          <w:rFonts w:hint="eastAsia" w:ascii="宋体" w:hAnsi="宋体" w:eastAsia="宋体" w:cs="宋体"/>
          <w:color w:val="000000"/>
          <w:sz w:val="22"/>
          <w:szCs w:val="22"/>
          <w:highlight w:val="none"/>
          <w:lang w:eastAsia="zh-CN"/>
        </w:rPr>
        <w:sectPr>
          <w:footerReference r:id="rId9" w:type="default"/>
          <w:pgSz w:w="11906" w:h="16838"/>
          <w:pgMar w:top="1418" w:right="1555" w:bottom="1418" w:left="1531" w:header="851" w:footer="992" w:gutter="0"/>
          <w:cols w:space="720" w:num="1"/>
          <w:titlePg/>
          <w:docGrid w:type="lines" w:linePitch="312" w:charSpace="0"/>
        </w:sectPr>
      </w:pPr>
      <w:r>
        <w:rPr>
          <w:rFonts w:hint="eastAsia" w:ascii="宋体" w:hAnsi="宋体" w:eastAsia="宋体" w:cs="宋体"/>
          <w:color w:val="000000"/>
          <w:sz w:val="22"/>
          <w:szCs w:val="22"/>
          <w:highlight w:val="none"/>
          <w:lang w:eastAsia="zh-CN"/>
        </w:rPr>
        <w:t>附件</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lang w:eastAsia="zh-CN"/>
        </w:rPr>
        <w:t>：已标价的工程量清单</w:t>
      </w:r>
    </w:p>
    <w:p w14:paraId="74616CBA">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附件</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 xml:space="preserve">：    </w:t>
      </w:r>
    </w:p>
    <w:p w14:paraId="2587F7C2">
      <w:pPr>
        <w:spacing w:line="480" w:lineRule="auto"/>
        <w:ind w:firstLine="442" w:firstLineChars="200"/>
        <w:jc w:val="center"/>
        <w:outlineLvl w:val="1"/>
        <w:rPr>
          <w:rFonts w:hint="eastAsia" w:ascii="宋体" w:hAnsi="宋体" w:eastAsia="宋体" w:cs="宋体"/>
          <w:b/>
          <w:color w:val="000000"/>
          <w:sz w:val="22"/>
          <w:szCs w:val="22"/>
          <w:highlight w:val="none"/>
        </w:rPr>
      </w:pPr>
      <w:bookmarkStart w:id="610" w:name="_Toc411083385"/>
      <w:r>
        <w:rPr>
          <w:rFonts w:hint="eastAsia" w:ascii="宋体" w:hAnsi="宋体" w:eastAsia="宋体" w:cs="宋体"/>
          <w:b/>
          <w:color w:val="000000"/>
          <w:sz w:val="22"/>
          <w:szCs w:val="22"/>
          <w:highlight w:val="none"/>
        </w:rPr>
        <w:t>工程质量保修书</w:t>
      </w:r>
      <w:bookmarkEnd w:id="610"/>
    </w:p>
    <w:p w14:paraId="74C57D1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p>
    <w:p w14:paraId="1C930939">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承包商：</w:t>
      </w:r>
      <w:r>
        <w:rPr>
          <w:rFonts w:hint="eastAsia" w:ascii="宋体" w:hAnsi="宋体" w:eastAsia="宋体" w:cs="宋体"/>
          <w:color w:val="000000"/>
          <w:sz w:val="22"/>
          <w:szCs w:val="22"/>
          <w:highlight w:val="none"/>
          <w:u w:val="single"/>
        </w:rPr>
        <w:t xml:space="preserve">                                               </w:t>
      </w:r>
    </w:p>
    <w:p w14:paraId="1601110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发包人、承包商根据《中华人民共和国建筑法》、《建设工程质量管理条例》和《房屋建筑工程质量保修办法》，经协商一致，对</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rPr>
        <w:t>（工程名称）签订保修书。</w:t>
      </w:r>
    </w:p>
    <w:p w14:paraId="2C3E0035">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一、工程保修范围和内容</w:t>
      </w:r>
    </w:p>
    <w:p w14:paraId="461476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承包商在保修期内，按照有关法律、法规、规章的管理规定和双方约定，承担本工程保修责任。</w:t>
      </w:r>
    </w:p>
    <w:p w14:paraId="4022CB6C">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具体保修内容双方约定如下：</w:t>
      </w:r>
      <w:r>
        <w:rPr>
          <w:rFonts w:hint="eastAsia" w:ascii="宋体" w:hAnsi="宋体" w:eastAsia="宋体" w:cs="宋体"/>
          <w:color w:val="000000"/>
          <w:sz w:val="22"/>
          <w:szCs w:val="22"/>
          <w:highlight w:val="none"/>
          <w:u w:val="single"/>
        </w:rPr>
        <w:t xml:space="preserve">   施工合同约定的工程均为保修项目    </w:t>
      </w:r>
    </w:p>
    <w:p w14:paraId="35A9D5B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二、保修期</w:t>
      </w:r>
    </w:p>
    <w:p w14:paraId="347FC2A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双方根据《建设工程质量管理条例》及有关规定，约定本工程的保修期如下：</w:t>
      </w:r>
    </w:p>
    <w:p w14:paraId="6BF42BE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58EFE04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426C29F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62B6AC8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年；</w:t>
      </w:r>
    </w:p>
    <w:p w14:paraId="4CFA3E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个采暖期、供冷期；</w:t>
      </w:r>
    </w:p>
    <w:p w14:paraId="2DB2C2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none"/>
          <w:lang w:val="en-US" w:eastAsia="zh-CN"/>
        </w:rPr>
        <w:t>年</w:t>
      </w:r>
      <w:r>
        <w:rPr>
          <w:rFonts w:hint="eastAsia" w:ascii="宋体" w:hAnsi="宋体" w:eastAsia="宋体" w:cs="宋体"/>
          <w:color w:val="000000"/>
          <w:sz w:val="22"/>
          <w:szCs w:val="22"/>
          <w:highlight w:val="none"/>
        </w:rPr>
        <w:t>；</w:t>
      </w:r>
    </w:p>
    <w:p w14:paraId="3D9810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年；[确保100%成活率，待养护期满后地苗木死亡问题的一个月内付清（不计息），如出现苗木枯死时，不补种，按实扣减费用]；</w:t>
      </w:r>
    </w:p>
    <w:p w14:paraId="720A77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single"/>
        </w:rPr>
        <w:t>年</w:t>
      </w:r>
      <w:r>
        <w:rPr>
          <w:rFonts w:hint="eastAsia" w:ascii="宋体" w:hAnsi="宋体" w:eastAsia="宋体" w:cs="宋体"/>
          <w:color w:val="000000"/>
          <w:sz w:val="22"/>
          <w:szCs w:val="22"/>
          <w:highlight w:val="none"/>
        </w:rPr>
        <w:t>。</w:t>
      </w:r>
    </w:p>
    <w:p w14:paraId="48E8599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三、缺陷责任期</w:t>
      </w:r>
    </w:p>
    <w:p w14:paraId="1A9CBBE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工程缺陷责任期为</w:t>
      </w:r>
      <w:r>
        <w:rPr>
          <w:rFonts w:hint="eastAsia" w:ascii="宋体" w:hAnsi="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2"/>
          <w:szCs w:val="22"/>
          <w:highlight w:val="none"/>
          <w:u w:val="single"/>
          <w:lang w:val="en-US" w:eastAsia="zh-CN"/>
        </w:rPr>
        <w:t>12</w:t>
      </w:r>
      <w:r>
        <w:rPr>
          <w:rFonts w:hint="eastAsia" w:ascii="宋体" w:hAnsi="宋体" w:eastAsia="宋体" w:cs="宋体"/>
          <w:color w:val="000000"/>
          <w:sz w:val="22"/>
          <w:szCs w:val="22"/>
          <w:highlight w:val="none"/>
        </w:rPr>
        <w:t>个月。</w:t>
      </w:r>
    </w:p>
    <w:p w14:paraId="7129B6D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四、保修责任</w:t>
      </w:r>
    </w:p>
    <w:p w14:paraId="6AC8392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1、属于责任范围、内容的项目，承包商应当在接到保修通知之日起7天内派人保修。承包商不在约定期限内派人保修的，发包人可以委托他人修理。</w:t>
      </w:r>
    </w:p>
    <w:p w14:paraId="1334D0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2、发生紧急抢修事故的，承包商在接到事故通知后，应当立即到达事故现场抢修。</w:t>
      </w:r>
    </w:p>
    <w:p w14:paraId="5DA2274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D44F3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4、质量保修完成后，由发包人组织验收。</w:t>
      </w:r>
    </w:p>
    <w:p w14:paraId="50BE1B53">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五、保修费用</w:t>
      </w:r>
    </w:p>
    <w:p w14:paraId="51D740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保修费用由造成质量缺陷的责任方承担。</w:t>
      </w:r>
    </w:p>
    <w:p w14:paraId="3CF748FB">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六、其他</w:t>
      </w:r>
    </w:p>
    <w:p w14:paraId="14230C7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双方约定的其他工程保修责任事项：</w:t>
      </w:r>
    </w:p>
    <w:p w14:paraId="522B77D2">
      <w:pPr>
        <w:spacing w:line="360" w:lineRule="auto"/>
        <w:ind w:firstLine="547" w:firstLineChars="249"/>
        <w:rPr>
          <w:rFonts w:hint="default" w:ascii="宋体" w:hAnsi="宋体" w:eastAsia="宋体" w:cs="宋体"/>
          <w:sz w:val="22"/>
          <w:szCs w:val="22"/>
          <w:highlight w:val="none"/>
          <w:u w:val="single"/>
          <w:lang w:val="en-US" w:eastAsia="zh-CN"/>
        </w:rPr>
      </w:pPr>
      <w:r>
        <w:rPr>
          <w:rFonts w:hint="eastAsia" w:ascii="宋体" w:hAnsi="宋体" w:cs="宋体"/>
          <w:sz w:val="22"/>
          <w:szCs w:val="22"/>
          <w:highlight w:val="none"/>
          <w:u w:val="single"/>
          <w:lang w:val="en-US" w:eastAsia="zh-CN"/>
        </w:rPr>
        <w:t xml:space="preserve">                        /                                              </w:t>
      </w:r>
    </w:p>
    <w:p w14:paraId="366CEA6C">
      <w:pPr>
        <w:spacing w:line="360" w:lineRule="auto"/>
        <w:ind w:firstLine="547" w:firstLineChars="24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本工程保修书，由施工合同发包人、承包商双方在竣工验收前共同签署，作为施工合同附件，其有效期限至保修期满。</w:t>
      </w:r>
    </w:p>
    <w:p w14:paraId="3BE66741">
      <w:pPr>
        <w:spacing w:line="360" w:lineRule="auto"/>
        <w:rPr>
          <w:rFonts w:hint="eastAsia" w:ascii="宋体" w:hAnsi="宋体" w:eastAsia="宋体" w:cs="宋体"/>
          <w:color w:val="000000"/>
          <w:sz w:val="22"/>
          <w:szCs w:val="22"/>
          <w:highlight w:val="none"/>
        </w:rPr>
      </w:pPr>
    </w:p>
    <w:p w14:paraId="2ABBE66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    承包商：</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w:t>
      </w:r>
    </w:p>
    <w:p w14:paraId="42F59124">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法定地址：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法定地址：</w:t>
      </w:r>
      <w:r>
        <w:rPr>
          <w:rFonts w:hint="eastAsia" w:ascii="宋体" w:hAnsi="宋体" w:eastAsia="宋体" w:cs="宋体"/>
          <w:color w:val="000000"/>
          <w:sz w:val="22"/>
          <w:szCs w:val="22"/>
          <w:highlight w:val="none"/>
          <w:u w:val="single"/>
        </w:rPr>
        <w:t xml:space="preserve">                      </w:t>
      </w:r>
    </w:p>
    <w:p w14:paraId="3890C9C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                           法定代表人或其</w:t>
      </w:r>
    </w:p>
    <w:p w14:paraId="5D693F7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     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w:t>
      </w:r>
    </w:p>
    <w:p w14:paraId="682CEC59">
      <w:pPr>
        <w:spacing w:line="440" w:lineRule="exact"/>
        <w:rPr>
          <w:rFonts w:hint="eastAsia" w:ascii="宋体" w:hAnsi="宋体" w:eastAsia="宋体" w:cs="宋体"/>
          <w:color w:val="000000"/>
          <w:sz w:val="22"/>
          <w:szCs w:val="22"/>
          <w:highlight w:val="none"/>
        </w:rPr>
      </w:pPr>
    </w:p>
    <w:p w14:paraId="705999E2">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r>
        <w:rPr>
          <w:rFonts w:hint="eastAsia" w:ascii="宋体" w:hAnsi="宋体" w:eastAsia="宋体" w:cs="宋体"/>
          <w:color w:val="000000"/>
          <w:sz w:val="22"/>
          <w:szCs w:val="22"/>
          <w:highlight w:val="none"/>
        </w:rPr>
        <w:t>附</w:t>
      </w:r>
      <w:bookmarkStart w:id="611" w:name="_Toc296347226"/>
      <w:bookmarkStart w:id="612" w:name="_Toc296346728"/>
      <w:bookmarkStart w:id="613" w:name="_Toc296944566"/>
      <w:bookmarkStart w:id="614" w:name="_Toc296503227"/>
      <w:bookmarkStart w:id="615" w:name="_Toc296891055"/>
      <w:bookmarkStart w:id="616" w:name="_Toc267261698"/>
      <w:bookmarkStart w:id="617" w:name="_Toc296891267"/>
      <w:r>
        <w:rPr>
          <w:rFonts w:hint="eastAsia" w:ascii="宋体" w:hAnsi="宋体" w:eastAsia="宋体" w:cs="宋体"/>
          <w:color w:val="000000"/>
          <w:sz w:val="22"/>
          <w:szCs w:val="22"/>
          <w:highlight w:val="none"/>
        </w:rPr>
        <w:t>件</w:t>
      </w: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w:t>
      </w:r>
    </w:p>
    <w:bookmarkEnd w:id="611"/>
    <w:bookmarkEnd w:id="612"/>
    <w:bookmarkEnd w:id="613"/>
    <w:bookmarkEnd w:id="614"/>
    <w:bookmarkEnd w:id="615"/>
    <w:bookmarkEnd w:id="616"/>
    <w:bookmarkEnd w:id="617"/>
    <w:p w14:paraId="49A20ED6">
      <w:pPr>
        <w:spacing w:before="120" w:beforeLines="50" w:after="120" w:afterLines="50" w:line="44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9"/>
        <w:gridCol w:w="1691"/>
        <w:gridCol w:w="982"/>
        <w:gridCol w:w="926"/>
        <w:gridCol w:w="880"/>
        <w:gridCol w:w="1020"/>
        <w:gridCol w:w="1480"/>
        <w:gridCol w:w="1020"/>
        <w:gridCol w:w="921"/>
      </w:tblGrid>
      <w:tr w14:paraId="14A36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8" w:hRule="atLeast"/>
          <w:jc w:val="center"/>
        </w:trPr>
        <w:tc>
          <w:tcPr>
            <w:tcW w:w="889" w:type="dxa"/>
            <w:tcBorders>
              <w:top w:val="single" w:color="auto" w:sz="12" w:space="0"/>
              <w:left w:val="single" w:color="auto" w:sz="12" w:space="0"/>
              <w:bottom w:val="double" w:color="auto" w:sz="6" w:space="0"/>
              <w:right w:val="single" w:color="auto" w:sz="6" w:space="0"/>
            </w:tcBorders>
            <w:noWrap w:val="0"/>
            <w:vAlign w:val="center"/>
          </w:tcPr>
          <w:p w14:paraId="4DA8EC9A">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序号</w:t>
            </w:r>
          </w:p>
        </w:tc>
        <w:tc>
          <w:tcPr>
            <w:tcW w:w="1691" w:type="dxa"/>
            <w:tcBorders>
              <w:top w:val="single" w:color="auto" w:sz="12" w:space="0"/>
              <w:left w:val="single" w:color="auto" w:sz="6" w:space="0"/>
              <w:bottom w:val="double" w:color="auto" w:sz="6" w:space="0"/>
              <w:right w:val="single" w:color="auto" w:sz="6" w:space="0"/>
            </w:tcBorders>
            <w:noWrap w:val="0"/>
            <w:vAlign w:val="center"/>
          </w:tcPr>
          <w:p w14:paraId="323CDB4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机械或设备名称</w:t>
            </w:r>
          </w:p>
        </w:tc>
        <w:tc>
          <w:tcPr>
            <w:tcW w:w="982" w:type="dxa"/>
            <w:tcBorders>
              <w:top w:val="single" w:color="auto" w:sz="12" w:space="0"/>
              <w:left w:val="single" w:color="auto" w:sz="6" w:space="0"/>
              <w:bottom w:val="double" w:color="auto" w:sz="6" w:space="0"/>
              <w:right w:val="single" w:color="auto" w:sz="6" w:space="0"/>
            </w:tcBorders>
            <w:noWrap w:val="0"/>
            <w:vAlign w:val="center"/>
          </w:tcPr>
          <w:p w14:paraId="32E4E428">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规格型号</w:t>
            </w:r>
          </w:p>
        </w:tc>
        <w:tc>
          <w:tcPr>
            <w:tcW w:w="926" w:type="dxa"/>
            <w:tcBorders>
              <w:top w:val="single" w:color="auto" w:sz="12" w:space="0"/>
              <w:left w:val="single" w:color="auto" w:sz="6" w:space="0"/>
              <w:bottom w:val="double" w:color="auto" w:sz="6" w:space="0"/>
              <w:right w:val="single" w:color="auto" w:sz="6" w:space="0"/>
            </w:tcBorders>
            <w:noWrap w:val="0"/>
            <w:vAlign w:val="center"/>
          </w:tcPr>
          <w:p w14:paraId="278CED63">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0B8A3567">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2D8EA1C4">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56D237F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161E218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2459E202">
            <w:pPr>
              <w:pStyle w:val="22"/>
              <w:keepNext/>
              <w:spacing w:line="240" w:lineRule="auto"/>
              <w:ind w:left="63" w:right="63"/>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tc>
      </w:tr>
      <w:tr w14:paraId="35DCB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double" w:color="auto" w:sz="6" w:space="0"/>
              <w:left w:val="single" w:color="auto" w:sz="12" w:space="0"/>
              <w:bottom w:val="single" w:color="auto" w:sz="6" w:space="0"/>
              <w:right w:val="single" w:color="auto" w:sz="6" w:space="0"/>
            </w:tcBorders>
            <w:noWrap w:val="0"/>
            <w:vAlign w:val="center"/>
          </w:tcPr>
          <w:p w14:paraId="7BFB8554">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double" w:color="auto" w:sz="6" w:space="0"/>
              <w:left w:val="single" w:color="auto" w:sz="6" w:space="0"/>
              <w:bottom w:val="single" w:color="auto" w:sz="6" w:space="0"/>
              <w:right w:val="single" w:color="auto" w:sz="6" w:space="0"/>
            </w:tcBorders>
            <w:noWrap w:val="0"/>
            <w:vAlign w:val="center"/>
          </w:tcPr>
          <w:p w14:paraId="7207E44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double" w:color="auto" w:sz="6" w:space="0"/>
              <w:left w:val="single" w:color="auto" w:sz="6" w:space="0"/>
              <w:bottom w:val="single" w:color="auto" w:sz="6" w:space="0"/>
              <w:right w:val="single" w:color="auto" w:sz="6" w:space="0"/>
            </w:tcBorders>
            <w:noWrap w:val="0"/>
            <w:vAlign w:val="center"/>
          </w:tcPr>
          <w:p w14:paraId="020A81B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double" w:color="auto" w:sz="6" w:space="0"/>
              <w:left w:val="single" w:color="auto" w:sz="6" w:space="0"/>
              <w:bottom w:val="single" w:color="auto" w:sz="6" w:space="0"/>
              <w:right w:val="single" w:color="auto" w:sz="6" w:space="0"/>
            </w:tcBorders>
            <w:noWrap w:val="0"/>
            <w:vAlign w:val="center"/>
          </w:tcPr>
          <w:p w14:paraId="367DD4C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6AFA6148">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0CDDF1C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3A98E4A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241F73B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16E6C9BF">
            <w:pPr>
              <w:pStyle w:val="22"/>
              <w:keepNext/>
              <w:spacing w:line="240" w:lineRule="auto"/>
              <w:ind w:left="63" w:right="63"/>
              <w:rPr>
                <w:rFonts w:hint="eastAsia" w:ascii="宋体" w:hAnsi="宋体" w:eastAsia="宋体" w:cs="宋体"/>
                <w:color w:val="000000"/>
                <w:sz w:val="22"/>
                <w:szCs w:val="22"/>
                <w:highlight w:val="none"/>
              </w:rPr>
            </w:pPr>
          </w:p>
        </w:tc>
      </w:tr>
      <w:tr w14:paraId="5B0EE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nil"/>
              <w:left w:val="single" w:color="auto" w:sz="12" w:space="0"/>
              <w:bottom w:val="single" w:color="auto" w:sz="6" w:space="0"/>
              <w:right w:val="single" w:color="auto" w:sz="6" w:space="0"/>
            </w:tcBorders>
            <w:noWrap w:val="0"/>
            <w:vAlign w:val="center"/>
          </w:tcPr>
          <w:p w14:paraId="0C20403C">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nil"/>
              <w:left w:val="single" w:color="auto" w:sz="6" w:space="0"/>
              <w:bottom w:val="single" w:color="auto" w:sz="6" w:space="0"/>
              <w:right w:val="single" w:color="auto" w:sz="6" w:space="0"/>
            </w:tcBorders>
            <w:noWrap w:val="0"/>
            <w:vAlign w:val="center"/>
          </w:tcPr>
          <w:p w14:paraId="68BE1971">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nil"/>
              <w:left w:val="single" w:color="auto" w:sz="6" w:space="0"/>
              <w:bottom w:val="single" w:color="auto" w:sz="6" w:space="0"/>
              <w:right w:val="single" w:color="auto" w:sz="6" w:space="0"/>
            </w:tcBorders>
            <w:noWrap w:val="0"/>
            <w:vAlign w:val="center"/>
          </w:tcPr>
          <w:p w14:paraId="513D2724">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nil"/>
              <w:left w:val="single" w:color="auto" w:sz="6" w:space="0"/>
              <w:bottom w:val="single" w:color="auto" w:sz="6" w:space="0"/>
              <w:right w:val="single" w:color="auto" w:sz="6" w:space="0"/>
            </w:tcBorders>
            <w:noWrap w:val="0"/>
            <w:vAlign w:val="center"/>
          </w:tcPr>
          <w:p w14:paraId="56EDAF2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237564F2">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5000C8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4DAC263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7EF511A3">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5F38A86">
            <w:pPr>
              <w:pStyle w:val="22"/>
              <w:keepNext/>
              <w:spacing w:line="240" w:lineRule="auto"/>
              <w:ind w:left="63" w:right="63"/>
              <w:rPr>
                <w:rFonts w:hint="eastAsia" w:ascii="宋体" w:hAnsi="宋体" w:eastAsia="宋体" w:cs="宋体"/>
                <w:color w:val="000000"/>
                <w:sz w:val="22"/>
                <w:szCs w:val="22"/>
                <w:highlight w:val="none"/>
              </w:rPr>
            </w:pPr>
          </w:p>
        </w:tc>
      </w:tr>
      <w:tr w14:paraId="74008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37C2D478">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6DA9B33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0663EBED">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E7B92BC">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D967BF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51346F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07B5BE1">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87D7E8">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9175876">
            <w:pPr>
              <w:pStyle w:val="22"/>
              <w:keepNext/>
              <w:spacing w:line="240" w:lineRule="auto"/>
              <w:ind w:left="63" w:right="63"/>
              <w:rPr>
                <w:rFonts w:hint="eastAsia" w:ascii="宋体" w:hAnsi="宋体" w:eastAsia="宋体" w:cs="宋体"/>
                <w:color w:val="000000"/>
                <w:sz w:val="22"/>
                <w:szCs w:val="22"/>
                <w:highlight w:val="none"/>
              </w:rPr>
            </w:pPr>
          </w:p>
        </w:tc>
      </w:tr>
      <w:tr w14:paraId="5DEE6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F4E1320">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185822F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CA57D8B">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667E9DF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311D28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C35A938">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7F5442D">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BACE8F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74756EF">
            <w:pPr>
              <w:pStyle w:val="22"/>
              <w:keepNext/>
              <w:spacing w:line="240" w:lineRule="auto"/>
              <w:ind w:left="63" w:right="63"/>
              <w:rPr>
                <w:rFonts w:hint="eastAsia" w:ascii="宋体" w:hAnsi="宋体" w:eastAsia="宋体" w:cs="宋体"/>
                <w:color w:val="000000"/>
                <w:sz w:val="22"/>
                <w:szCs w:val="22"/>
                <w:highlight w:val="none"/>
              </w:rPr>
            </w:pPr>
          </w:p>
        </w:tc>
      </w:tr>
      <w:tr w14:paraId="1712A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AA6778B">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4D2B4B44">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38176189">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2315B17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53E175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B90F66A">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4925EB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8B095E">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ACAD649">
            <w:pPr>
              <w:pStyle w:val="22"/>
              <w:keepNext/>
              <w:spacing w:line="240" w:lineRule="auto"/>
              <w:ind w:left="63" w:right="63"/>
              <w:rPr>
                <w:rFonts w:hint="eastAsia" w:ascii="宋体" w:hAnsi="宋体" w:eastAsia="宋体" w:cs="宋体"/>
                <w:color w:val="000000"/>
                <w:sz w:val="22"/>
                <w:szCs w:val="22"/>
                <w:highlight w:val="none"/>
              </w:rPr>
            </w:pPr>
          </w:p>
        </w:tc>
      </w:tr>
      <w:tr w14:paraId="45CE4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65E9417">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FD655F0">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8F7CA6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5031FE55">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9A45105">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3F69A54">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DDCC4F9">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4654741">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F88899">
            <w:pPr>
              <w:pStyle w:val="22"/>
              <w:keepNext/>
              <w:spacing w:line="240" w:lineRule="auto"/>
              <w:ind w:left="63" w:right="63"/>
              <w:rPr>
                <w:rFonts w:hint="eastAsia" w:ascii="宋体" w:hAnsi="宋体" w:eastAsia="宋体" w:cs="宋体"/>
                <w:color w:val="000000"/>
                <w:sz w:val="22"/>
                <w:szCs w:val="22"/>
                <w:highlight w:val="none"/>
              </w:rPr>
            </w:pPr>
          </w:p>
        </w:tc>
      </w:tr>
      <w:tr w14:paraId="144B9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C21CA6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90ABE0C">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7ADA02CE">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7FB47681">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692BB7">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2051671">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C2087AC">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6E90FF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0C7D641">
            <w:pPr>
              <w:pStyle w:val="22"/>
              <w:keepNext/>
              <w:spacing w:line="240" w:lineRule="auto"/>
              <w:ind w:left="63" w:right="63"/>
              <w:rPr>
                <w:rFonts w:hint="eastAsia" w:ascii="宋体" w:hAnsi="宋体" w:eastAsia="宋体" w:cs="宋体"/>
                <w:color w:val="000000"/>
                <w:sz w:val="22"/>
                <w:szCs w:val="22"/>
                <w:highlight w:val="none"/>
              </w:rPr>
            </w:pPr>
          </w:p>
        </w:tc>
      </w:tr>
      <w:tr w14:paraId="14504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4C6A110F">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5CA86EC8">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51280966">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327903CD">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56D287E">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F3D360">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7AAD49B">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D2730AA">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09D5C80">
            <w:pPr>
              <w:pStyle w:val="22"/>
              <w:keepNext/>
              <w:spacing w:line="240" w:lineRule="auto"/>
              <w:ind w:left="63" w:right="63"/>
              <w:rPr>
                <w:rFonts w:hint="eastAsia" w:ascii="宋体" w:hAnsi="宋体" w:eastAsia="宋体" w:cs="宋体"/>
                <w:color w:val="000000"/>
                <w:sz w:val="22"/>
                <w:szCs w:val="22"/>
                <w:highlight w:val="none"/>
              </w:rPr>
            </w:pPr>
          </w:p>
        </w:tc>
      </w:tr>
      <w:tr w14:paraId="0ADD0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7B4CA8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504313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9F08B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23AAE5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598B8F1">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1AC6CE">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4BE61C">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2B8DD89">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F51D80F">
            <w:pPr>
              <w:spacing w:line="240" w:lineRule="auto"/>
              <w:rPr>
                <w:rFonts w:hint="eastAsia" w:ascii="宋体" w:hAnsi="宋体" w:eastAsia="宋体" w:cs="宋体"/>
                <w:color w:val="000000"/>
                <w:sz w:val="22"/>
                <w:szCs w:val="22"/>
                <w:highlight w:val="none"/>
              </w:rPr>
            </w:pPr>
          </w:p>
        </w:tc>
      </w:tr>
      <w:tr w14:paraId="49704D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center"/>
          </w:tcPr>
          <w:p w14:paraId="0720EF01">
            <w:pPr>
              <w:pStyle w:val="22"/>
              <w:keepNext/>
              <w:spacing w:line="240" w:lineRule="auto"/>
              <w:ind w:left="63" w:right="63"/>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center"/>
          </w:tcPr>
          <w:p w14:paraId="0C071833">
            <w:pPr>
              <w:pStyle w:val="22"/>
              <w:keepNext/>
              <w:spacing w:line="240" w:lineRule="auto"/>
              <w:ind w:left="63" w:right="63"/>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center"/>
          </w:tcPr>
          <w:p w14:paraId="155F12B5">
            <w:pPr>
              <w:pStyle w:val="22"/>
              <w:keepNext/>
              <w:spacing w:line="240" w:lineRule="auto"/>
              <w:ind w:left="63" w:right="63"/>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center"/>
          </w:tcPr>
          <w:p w14:paraId="4452BD16">
            <w:pPr>
              <w:pStyle w:val="22"/>
              <w:keepNext/>
              <w:spacing w:line="240" w:lineRule="auto"/>
              <w:ind w:left="63" w:right="63"/>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E84EA0F">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046483F">
            <w:pPr>
              <w:pStyle w:val="22"/>
              <w:keepNext/>
              <w:spacing w:line="240" w:lineRule="auto"/>
              <w:ind w:left="63" w:right="63"/>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85C0956">
            <w:pPr>
              <w:pStyle w:val="22"/>
              <w:keepNext/>
              <w:spacing w:line="240" w:lineRule="auto"/>
              <w:ind w:left="63" w:right="63"/>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F89873F">
            <w:pPr>
              <w:pStyle w:val="22"/>
              <w:keepNext/>
              <w:spacing w:line="240" w:lineRule="auto"/>
              <w:ind w:left="63" w:right="63"/>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F9AADA">
            <w:pPr>
              <w:pStyle w:val="22"/>
              <w:keepNext/>
              <w:spacing w:line="240" w:lineRule="auto"/>
              <w:ind w:left="63" w:right="63"/>
              <w:rPr>
                <w:rFonts w:hint="eastAsia" w:ascii="宋体" w:hAnsi="宋体" w:eastAsia="宋体" w:cs="宋体"/>
                <w:color w:val="000000"/>
                <w:sz w:val="22"/>
                <w:szCs w:val="22"/>
                <w:highlight w:val="none"/>
              </w:rPr>
            </w:pPr>
          </w:p>
        </w:tc>
      </w:tr>
      <w:tr w14:paraId="7ABAA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06C0F86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CA9517A">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69EE518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7376F6C">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E40B893">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3BF90">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CDE4E7A">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3FAA42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52070E5">
            <w:pPr>
              <w:spacing w:line="240" w:lineRule="auto"/>
              <w:rPr>
                <w:rFonts w:hint="eastAsia" w:ascii="宋体" w:hAnsi="宋体" w:eastAsia="宋体" w:cs="宋体"/>
                <w:color w:val="000000"/>
                <w:sz w:val="22"/>
                <w:szCs w:val="22"/>
                <w:highlight w:val="none"/>
              </w:rPr>
            </w:pPr>
          </w:p>
        </w:tc>
      </w:tr>
      <w:tr w14:paraId="7ECB7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F0270F8">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275509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E87A4F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C88C3CF">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E908B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F8137C6">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7F6309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9659A4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A87CEDB">
            <w:pPr>
              <w:spacing w:line="240" w:lineRule="auto"/>
              <w:rPr>
                <w:rFonts w:hint="eastAsia" w:ascii="宋体" w:hAnsi="宋体" w:eastAsia="宋体" w:cs="宋体"/>
                <w:color w:val="000000"/>
                <w:sz w:val="22"/>
                <w:szCs w:val="22"/>
                <w:highlight w:val="none"/>
              </w:rPr>
            </w:pPr>
          </w:p>
        </w:tc>
      </w:tr>
      <w:tr w14:paraId="6F40D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1B18C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375EC8C4">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049CDF86">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1ADB9BED">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A54315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07C2B7C">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124BB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474EE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483943E">
            <w:pPr>
              <w:spacing w:line="240" w:lineRule="auto"/>
              <w:rPr>
                <w:rFonts w:hint="eastAsia" w:ascii="宋体" w:hAnsi="宋体" w:eastAsia="宋体" w:cs="宋体"/>
                <w:color w:val="000000"/>
                <w:sz w:val="22"/>
                <w:szCs w:val="22"/>
                <w:highlight w:val="none"/>
              </w:rPr>
            </w:pPr>
          </w:p>
        </w:tc>
      </w:tr>
      <w:tr w14:paraId="7A079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7950E30F">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5DE03208">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5C7EA94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8F7CF72">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AE88D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A18F4E9">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403A8A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B69CF03">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7DB767B">
            <w:pPr>
              <w:spacing w:line="240" w:lineRule="auto"/>
              <w:rPr>
                <w:rFonts w:hint="eastAsia" w:ascii="宋体" w:hAnsi="宋体" w:eastAsia="宋体" w:cs="宋体"/>
                <w:color w:val="000000"/>
                <w:sz w:val="22"/>
                <w:szCs w:val="22"/>
                <w:highlight w:val="none"/>
              </w:rPr>
            </w:pPr>
          </w:p>
        </w:tc>
      </w:tr>
      <w:tr w14:paraId="01774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18790990">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24CFCEF2">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1AA3DAD7">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3A301069">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11A08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1DBC25">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A2EF4CF">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7D70FC">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5EAE0A0">
            <w:pPr>
              <w:spacing w:line="240" w:lineRule="auto"/>
              <w:rPr>
                <w:rFonts w:hint="eastAsia" w:ascii="宋体" w:hAnsi="宋体" w:eastAsia="宋体" w:cs="宋体"/>
                <w:color w:val="000000"/>
                <w:sz w:val="22"/>
                <w:szCs w:val="22"/>
                <w:highlight w:val="none"/>
              </w:rPr>
            </w:pPr>
          </w:p>
        </w:tc>
      </w:tr>
      <w:tr w14:paraId="197E9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CDC8607">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A3B80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C888E4F">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594DA15A">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67E2BED">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6EE2DA">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B8FC75">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7A513B">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CCA0718">
            <w:pPr>
              <w:spacing w:line="240" w:lineRule="auto"/>
              <w:rPr>
                <w:rFonts w:hint="eastAsia" w:ascii="宋体" w:hAnsi="宋体" w:eastAsia="宋体" w:cs="宋体"/>
                <w:color w:val="000000"/>
                <w:sz w:val="22"/>
                <w:szCs w:val="22"/>
                <w:highlight w:val="none"/>
              </w:rPr>
            </w:pPr>
          </w:p>
        </w:tc>
      </w:tr>
      <w:tr w14:paraId="03B78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3D2ABDB9">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6A0D96B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456693C5">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79026CD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11FA6E4">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9D18CA7">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AEBFD9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6E8CD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78734A9">
            <w:pPr>
              <w:spacing w:line="240" w:lineRule="auto"/>
              <w:rPr>
                <w:rFonts w:hint="eastAsia" w:ascii="宋体" w:hAnsi="宋体" w:eastAsia="宋体" w:cs="宋体"/>
                <w:color w:val="000000"/>
                <w:sz w:val="22"/>
                <w:szCs w:val="22"/>
                <w:highlight w:val="none"/>
              </w:rPr>
            </w:pPr>
          </w:p>
        </w:tc>
      </w:tr>
      <w:tr w14:paraId="70B67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6" w:space="0"/>
              <w:right w:val="single" w:color="auto" w:sz="6" w:space="0"/>
            </w:tcBorders>
            <w:noWrap w:val="0"/>
            <w:vAlign w:val="top"/>
          </w:tcPr>
          <w:p w14:paraId="517337C5">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6" w:space="0"/>
              <w:right w:val="single" w:color="auto" w:sz="6" w:space="0"/>
            </w:tcBorders>
            <w:noWrap w:val="0"/>
            <w:vAlign w:val="top"/>
          </w:tcPr>
          <w:p w14:paraId="16BE10F9">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6" w:space="0"/>
              <w:right w:val="single" w:color="auto" w:sz="6" w:space="0"/>
            </w:tcBorders>
            <w:noWrap w:val="0"/>
            <w:vAlign w:val="top"/>
          </w:tcPr>
          <w:p w14:paraId="72993DE4">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6" w:space="0"/>
              <w:right w:val="single" w:color="auto" w:sz="6" w:space="0"/>
            </w:tcBorders>
            <w:noWrap w:val="0"/>
            <w:vAlign w:val="top"/>
          </w:tcPr>
          <w:p w14:paraId="6113C3FB">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DD8422E">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390486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AC2DF99">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7CB5CC8">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1BBEF73">
            <w:pPr>
              <w:spacing w:line="240" w:lineRule="auto"/>
              <w:rPr>
                <w:rFonts w:hint="eastAsia" w:ascii="宋体" w:hAnsi="宋体" w:eastAsia="宋体" w:cs="宋体"/>
                <w:color w:val="000000"/>
                <w:sz w:val="22"/>
                <w:szCs w:val="22"/>
                <w:highlight w:val="none"/>
              </w:rPr>
            </w:pPr>
          </w:p>
        </w:tc>
      </w:tr>
      <w:tr w14:paraId="76F35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9" w:type="dxa"/>
            <w:tcBorders>
              <w:top w:val="single" w:color="auto" w:sz="6" w:space="0"/>
              <w:left w:val="single" w:color="auto" w:sz="12" w:space="0"/>
              <w:bottom w:val="single" w:color="auto" w:sz="12" w:space="0"/>
              <w:right w:val="single" w:color="auto" w:sz="6" w:space="0"/>
            </w:tcBorders>
            <w:noWrap w:val="0"/>
            <w:vAlign w:val="top"/>
          </w:tcPr>
          <w:p w14:paraId="672398A2">
            <w:pPr>
              <w:spacing w:line="240" w:lineRule="auto"/>
              <w:rPr>
                <w:rFonts w:hint="eastAsia" w:ascii="宋体" w:hAnsi="宋体" w:eastAsia="宋体" w:cs="宋体"/>
                <w:color w:val="000000"/>
                <w:sz w:val="22"/>
                <w:szCs w:val="22"/>
                <w:highlight w:val="none"/>
              </w:rPr>
            </w:pPr>
          </w:p>
        </w:tc>
        <w:tc>
          <w:tcPr>
            <w:tcW w:w="1691" w:type="dxa"/>
            <w:tcBorders>
              <w:top w:val="single" w:color="auto" w:sz="6" w:space="0"/>
              <w:left w:val="single" w:color="auto" w:sz="6" w:space="0"/>
              <w:bottom w:val="single" w:color="auto" w:sz="12" w:space="0"/>
              <w:right w:val="single" w:color="auto" w:sz="6" w:space="0"/>
            </w:tcBorders>
            <w:noWrap w:val="0"/>
            <w:vAlign w:val="top"/>
          </w:tcPr>
          <w:p w14:paraId="3AD25EDC">
            <w:pPr>
              <w:spacing w:line="240" w:lineRule="auto"/>
              <w:rPr>
                <w:rFonts w:hint="eastAsia" w:ascii="宋体" w:hAnsi="宋体" w:eastAsia="宋体" w:cs="宋体"/>
                <w:color w:val="000000"/>
                <w:sz w:val="22"/>
                <w:szCs w:val="22"/>
                <w:highlight w:val="none"/>
              </w:rPr>
            </w:pPr>
          </w:p>
        </w:tc>
        <w:tc>
          <w:tcPr>
            <w:tcW w:w="982" w:type="dxa"/>
            <w:tcBorders>
              <w:top w:val="single" w:color="auto" w:sz="6" w:space="0"/>
              <w:left w:val="single" w:color="auto" w:sz="6" w:space="0"/>
              <w:bottom w:val="single" w:color="auto" w:sz="12" w:space="0"/>
              <w:right w:val="single" w:color="auto" w:sz="6" w:space="0"/>
            </w:tcBorders>
            <w:noWrap w:val="0"/>
            <w:vAlign w:val="top"/>
          </w:tcPr>
          <w:p w14:paraId="50D44A7D">
            <w:pPr>
              <w:spacing w:line="240" w:lineRule="auto"/>
              <w:rPr>
                <w:rFonts w:hint="eastAsia" w:ascii="宋体" w:hAnsi="宋体" w:eastAsia="宋体" w:cs="宋体"/>
                <w:color w:val="000000"/>
                <w:sz w:val="22"/>
                <w:szCs w:val="22"/>
                <w:highlight w:val="none"/>
              </w:rPr>
            </w:pPr>
          </w:p>
        </w:tc>
        <w:tc>
          <w:tcPr>
            <w:tcW w:w="926" w:type="dxa"/>
            <w:tcBorders>
              <w:top w:val="single" w:color="auto" w:sz="6" w:space="0"/>
              <w:left w:val="single" w:color="auto" w:sz="6" w:space="0"/>
              <w:bottom w:val="single" w:color="auto" w:sz="12" w:space="0"/>
              <w:right w:val="single" w:color="auto" w:sz="6" w:space="0"/>
            </w:tcBorders>
            <w:noWrap w:val="0"/>
            <w:vAlign w:val="top"/>
          </w:tcPr>
          <w:p w14:paraId="2B4C53A6">
            <w:pPr>
              <w:spacing w:line="240" w:lineRule="auto"/>
              <w:rPr>
                <w:rFonts w:hint="eastAsia" w:ascii="宋体" w:hAnsi="宋体" w:eastAsia="宋体" w:cs="宋体"/>
                <w:color w:val="000000"/>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100F402B">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7A199B8">
            <w:pPr>
              <w:spacing w:line="240" w:lineRule="auto"/>
              <w:rPr>
                <w:rFonts w:hint="eastAsia" w:ascii="宋体" w:hAnsi="宋体" w:eastAsia="宋体" w:cs="宋体"/>
                <w:color w:val="000000"/>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120FCF2">
            <w:pPr>
              <w:spacing w:line="240" w:lineRule="auto"/>
              <w:rPr>
                <w:rFonts w:hint="eastAsia" w:ascii="宋体" w:hAnsi="宋体" w:eastAsia="宋体" w:cs="宋体"/>
                <w:color w:val="000000"/>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1CDFA85">
            <w:pPr>
              <w:spacing w:line="240" w:lineRule="auto"/>
              <w:rPr>
                <w:rFonts w:hint="eastAsia" w:ascii="宋体" w:hAnsi="宋体" w:eastAsia="宋体" w:cs="宋体"/>
                <w:color w:val="000000"/>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0D65A74E">
            <w:pPr>
              <w:spacing w:line="240" w:lineRule="auto"/>
              <w:rPr>
                <w:rFonts w:hint="eastAsia" w:ascii="宋体" w:hAnsi="宋体" w:eastAsia="宋体" w:cs="宋体"/>
                <w:color w:val="000000"/>
                <w:sz w:val="22"/>
                <w:szCs w:val="22"/>
                <w:highlight w:val="none"/>
              </w:rPr>
            </w:pPr>
          </w:p>
        </w:tc>
      </w:tr>
    </w:tbl>
    <w:p w14:paraId="54180672">
      <w:pPr>
        <w:spacing w:line="440" w:lineRule="exact"/>
        <w:rPr>
          <w:rFonts w:hint="eastAsia" w:ascii="宋体" w:hAnsi="宋体" w:eastAsia="宋体" w:cs="宋体"/>
          <w:color w:val="000000"/>
          <w:sz w:val="22"/>
          <w:szCs w:val="22"/>
          <w:highlight w:val="none"/>
        </w:rPr>
      </w:pPr>
    </w:p>
    <w:p w14:paraId="441DCE8F">
      <w:pPr>
        <w:spacing w:line="440" w:lineRule="exact"/>
        <w:rPr>
          <w:rFonts w:hint="eastAsia" w:ascii="宋体" w:hAnsi="宋体" w:eastAsia="宋体" w:cs="宋体"/>
          <w:color w:val="000000"/>
          <w:sz w:val="22"/>
          <w:szCs w:val="22"/>
          <w:highlight w:val="none"/>
        </w:rPr>
      </w:pPr>
    </w:p>
    <w:p w14:paraId="22F630E4">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2A330B39">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3</w:t>
      </w:r>
      <w:r>
        <w:rPr>
          <w:rFonts w:hint="eastAsia" w:ascii="宋体" w:hAnsi="宋体" w:eastAsia="宋体" w:cs="宋体"/>
          <w:color w:val="000000"/>
          <w:sz w:val="22"/>
          <w:szCs w:val="22"/>
          <w:highlight w:val="none"/>
        </w:rPr>
        <w:t>：</w:t>
      </w:r>
    </w:p>
    <w:p w14:paraId="487842B4">
      <w:pPr>
        <w:spacing w:line="360" w:lineRule="auto"/>
        <w:jc w:val="center"/>
        <w:outlineLvl w:val="1"/>
        <w:rPr>
          <w:rFonts w:hint="eastAsia" w:ascii="宋体" w:hAnsi="宋体" w:cs="宋体"/>
          <w:color w:val="auto"/>
          <w:sz w:val="24"/>
          <w:highlight w:val="none"/>
        </w:rPr>
      </w:pPr>
      <w:bookmarkStart w:id="618" w:name="_Toc390952984"/>
      <w:bookmarkStart w:id="619" w:name="_Toc398383034"/>
      <w:bookmarkStart w:id="620" w:name="_Toc411083386"/>
      <w:r>
        <w:rPr>
          <w:rFonts w:hint="eastAsia" w:ascii="宋体" w:hAnsi="宋体" w:cs="宋体"/>
          <w:color w:val="auto"/>
          <w:sz w:val="24"/>
          <w:highlight w:val="none"/>
        </w:rPr>
        <w:t>项目部关键岗位人员配备表</w:t>
      </w:r>
      <w:bookmarkEnd w:id="618"/>
      <w:bookmarkEnd w:id="619"/>
      <w:bookmarkEnd w:id="620"/>
    </w:p>
    <w:tbl>
      <w:tblPr>
        <w:tblStyle w:val="6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14"/>
        <w:gridCol w:w="1979"/>
        <w:gridCol w:w="2564"/>
        <w:gridCol w:w="2907"/>
      </w:tblGrid>
      <w:tr w14:paraId="263F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90BF32D">
            <w:pPr>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5CFC041">
            <w:pPr>
              <w:rPr>
                <w:rFonts w:hint="eastAsia" w:ascii="宋体" w:hAnsi="宋体" w:cs="宋体"/>
                <w:color w:val="auto"/>
                <w:sz w:val="24"/>
                <w:highlight w:val="none"/>
              </w:rPr>
            </w:pPr>
          </w:p>
        </w:tc>
      </w:tr>
      <w:tr w14:paraId="4672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E4080C4">
            <w:pPr>
              <w:jc w:val="center"/>
              <w:rPr>
                <w:rFonts w:hint="eastAsia" w:ascii="宋体" w:hAnsi="宋体" w:cs="宋体"/>
                <w:color w:val="auto"/>
                <w:sz w:val="24"/>
                <w:highlight w:val="none"/>
              </w:rPr>
            </w:pPr>
            <w:r>
              <w:rPr>
                <w:rFonts w:hint="eastAsia" w:ascii="宋体" w:hAnsi="宋体" w:cs="宋体"/>
                <w:color w:val="auto"/>
                <w:sz w:val="24"/>
                <w:highlight w:val="none"/>
              </w:rPr>
              <w:t>竞包人名称</w:t>
            </w:r>
          </w:p>
          <w:p w14:paraId="7326F3C7">
            <w:pPr>
              <w:jc w:val="center"/>
              <w:rPr>
                <w:rFonts w:hint="eastAsia" w:ascii="宋体" w:hAnsi="宋体" w:cs="宋体"/>
                <w:color w:val="auto"/>
                <w:sz w:val="24"/>
                <w:highlight w:val="none"/>
              </w:rPr>
            </w:pPr>
            <w:r>
              <w:rPr>
                <w:rFonts w:hint="eastAsia" w:ascii="宋体" w:hAnsi="宋体" w:cs="宋体"/>
                <w:color w:val="auto"/>
                <w:sz w:val="24"/>
                <w:highlight w:val="none"/>
              </w:rPr>
              <w:t>(公章)</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A0155B4">
            <w:pPr>
              <w:jc w:val="center"/>
              <w:rPr>
                <w:rFonts w:hint="eastAsia" w:ascii="宋体" w:hAnsi="宋体" w:cs="宋体"/>
                <w:color w:val="auto"/>
                <w:sz w:val="24"/>
                <w:highlight w:val="none"/>
              </w:rPr>
            </w:pPr>
          </w:p>
        </w:tc>
      </w:tr>
      <w:tr w14:paraId="48AB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178785B4">
            <w:pPr>
              <w:jc w:val="center"/>
              <w:rPr>
                <w:rFonts w:hint="eastAsia" w:ascii="宋体" w:hAnsi="宋体" w:cs="宋体"/>
                <w:color w:val="auto"/>
                <w:sz w:val="24"/>
                <w:highlight w:val="none"/>
              </w:rPr>
            </w:pPr>
            <w:r>
              <w:rPr>
                <w:rFonts w:hint="eastAsia" w:ascii="宋体" w:hAnsi="宋体" w:cs="宋体"/>
                <w:color w:val="auto"/>
                <w:sz w:val="24"/>
                <w:highlight w:val="none"/>
              </w:rPr>
              <w:t>岗位名称</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DC15388">
            <w:pPr>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7F884F5">
            <w:pPr>
              <w:jc w:val="center"/>
              <w:rPr>
                <w:rFonts w:hint="eastAsia" w:ascii="宋体" w:hAnsi="宋体" w:cs="宋体"/>
                <w:color w:val="auto"/>
                <w:sz w:val="24"/>
                <w:highlight w:val="none"/>
              </w:rPr>
            </w:pPr>
            <w:r>
              <w:rPr>
                <w:rFonts w:hint="eastAsia" w:ascii="宋体" w:hAnsi="宋体" w:cs="宋体"/>
                <w:color w:val="auto"/>
                <w:sz w:val="24"/>
                <w:highlight w:val="none"/>
              </w:rPr>
              <w:t>身份证号</w:t>
            </w: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D50FBA7">
            <w:pPr>
              <w:jc w:val="center"/>
              <w:rPr>
                <w:rFonts w:hint="eastAsia" w:ascii="宋体" w:hAnsi="宋体" w:cs="宋体"/>
                <w:color w:val="auto"/>
                <w:sz w:val="24"/>
                <w:highlight w:val="none"/>
              </w:rPr>
            </w:pPr>
            <w:r>
              <w:rPr>
                <w:rFonts w:hint="eastAsia" w:ascii="宋体" w:hAnsi="宋体" w:cs="宋体"/>
                <w:color w:val="auto"/>
                <w:sz w:val="24"/>
                <w:highlight w:val="none"/>
              </w:rPr>
              <w:t>岗位证书编号</w:t>
            </w:r>
          </w:p>
        </w:tc>
      </w:tr>
      <w:tr w14:paraId="1D1C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7628B1F0">
            <w:pPr>
              <w:jc w:val="center"/>
              <w:rPr>
                <w:rFonts w:hint="eastAsia" w:ascii="宋体" w:hAnsi="宋体" w:cs="宋体"/>
                <w:color w:val="auto"/>
                <w:sz w:val="24"/>
                <w:highlight w:val="none"/>
              </w:rPr>
            </w:pPr>
            <w:r>
              <w:rPr>
                <w:rFonts w:hint="eastAsia" w:ascii="宋体" w:hAnsi="宋体" w:cs="宋体"/>
                <w:color w:val="auto"/>
                <w:sz w:val="24"/>
                <w:highlight w:val="none"/>
              </w:rPr>
              <w:t>项目负责人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CE6731F">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6057DE6">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F12C2A9">
            <w:pPr>
              <w:jc w:val="center"/>
              <w:rPr>
                <w:rFonts w:hint="eastAsia" w:ascii="宋体" w:hAnsi="宋体" w:cs="宋体"/>
                <w:color w:val="auto"/>
                <w:sz w:val="24"/>
                <w:highlight w:val="none"/>
              </w:rPr>
            </w:pPr>
          </w:p>
        </w:tc>
      </w:tr>
      <w:tr w14:paraId="7F95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7A193637">
            <w:pPr>
              <w:jc w:val="center"/>
              <w:rPr>
                <w:rFonts w:hint="eastAsia" w:ascii="宋体" w:hAnsi="宋体" w:cs="宋体"/>
                <w:color w:val="auto"/>
                <w:sz w:val="24"/>
                <w:highlight w:val="none"/>
              </w:rPr>
            </w:pPr>
            <w:r>
              <w:rPr>
                <w:rFonts w:hint="eastAsia" w:ascii="宋体" w:hAnsi="宋体" w:cs="宋体"/>
                <w:color w:val="auto"/>
                <w:sz w:val="24"/>
                <w:highlight w:val="none"/>
              </w:rPr>
              <w:t>项目技术</w:t>
            </w:r>
          </w:p>
          <w:p w14:paraId="47D45B29">
            <w:pPr>
              <w:jc w:val="center"/>
              <w:rPr>
                <w:rFonts w:hint="eastAsia" w:ascii="宋体" w:hAnsi="宋体" w:cs="宋体"/>
                <w:color w:val="auto"/>
                <w:sz w:val="24"/>
                <w:highlight w:val="none"/>
              </w:rPr>
            </w:pPr>
            <w:r>
              <w:rPr>
                <w:rFonts w:hint="eastAsia" w:ascii="宋体" w:hAnsi="宋体" w:cs="宋体"/>
                <w:color w:val="auto"/>
                <w:sz w:val="24"/>
                <w:highlight w:val="none"/>
              </w:rPr>
              <w:t>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F5CA49B">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BC47E9">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7E4C74C">
            <w:pPr>
              <w:jc w:val="center"/>
              <w:rPr>
                <w:rFonts w:hint="eastAsia" w:ascii="宋体" w:hAnsi="宋体" w:cs="宋体"/>
                <w:color w:val="auto"/>
                <w:sz w:val="24"/>
                <w:highlight w:val="none"/>
              </w:rPr>
            </w:pPr>
          </w:p>
        </w:tc>
      </w:tr>
      <w:tr w14:paraId="546B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1E6FA13C">
            <w:pPr>
              <w:jc w:val="center"/>
              <w:rPr>
                <w:rFonts w:hint="eastAsia" w:ascii="宋体" w:hAnsi="宋体" w:cs="宋体"/>
                <w:color w:val="auto"/>
                <w:sz w:val="24"/>
                <w:highlight w:val="none"/>
              </w:rPr>
            </w:pPr>
            <w:r>
              <w:rPr>
                <w:rFonts w:hint="eastAsia" w:ascii="宋体" w:hAnsi="宋体" w:cs="宋体"/>
                <w:color w:val="auto"/>
                <w:sz w:val="24"/>
                <w:highlight w:val="none"/>
              </w:rPr>
              <w:t>施工员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A0EA864">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821C6DA">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4F0FC83">
            <w:pPr>
              <w:jc w:val="center"/>
              <w:rPr>
                <w:rFonts w:hint="eastAsia" w:ascii="宋体" w:hAnsi="宋体" w:cs="宋体"/>
                <w:color w:val="auto"/>
                <w:sz w:val="24"/>
                <w:highlight w:val="none"/>
              </w:rPr>
            </w:pPr>
          </w:p>
        </w:tc>
      </w:tr>
      <w:tr w14:paraId="46C1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66916C74">
            <w:pPr>
              <w:jc w:val="center"/>
              <w:rPr>
                <w:rFonts w:hint="eastAsia" w:ascii="宋体" w:hAnsi="宋体" w:cs="宋体"/>
                <w:color w:val="auto"/>
                <w:sz w:val="24"/>
                <w:highlight w:val="none"/>
              </w:rPr>
            </w:pPr>
            <w:r>
              <w:rPr>
                <w:rFonts w:hint="eastAsia" w:ascii="宋体" w:hAnsi="宋体" w:cs="宋体"/>
                <w:color w:val="auto"/>
                <w:sz w:val="24"/>
                <w:highlight w:val="none"/>
              </w:rPr>
              <w:t>质检员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6B42BC5">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EBA39E5">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15505BD">
            <w:pPr>
              <w:jc w:val="center"/>
              <w:rPr>
                <w:rFonts w:hint="eastAsia" w:ascii="宋体" w:hAnsi="宋体" w:cs="宋体"/>
                <w:color w:val="auto"/>
                <w:sz w:val="24"/>
                <w:highlight w:val="none"/>
              </w:rPr>
            </w:pPr>
          </w:p>
        </w:tc>
      </w:tr>
      <w:tr w14:paraId="093D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50BAB24">
            <w:pPr>
              <w:jc w:val="center"/>
              <w:rPr>
                <w:rFonts w:hint="eastAsia" w:ascii="宋体" w:hAnsi="宋体" w:cs="宋体"/>
                <w:color w:val="auto"/>
                <w:sz w:val="24"/>
                <w:highlight w:val="none"/>
              </w:rPr>
            </w:pPr>
            <w:r>
              <w:rPr>
                <w:rFonts w:hint="eastAsia" w:ascii="宋体" w:hAnsi="宋体" w:cs="宋体"/>
                <w:color w:val="auto"/>
                <w:sz w:val="24"/>
                <w:highlight w:val="none"/>
              </w:rPr>
              <w:t>安全员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DDC6FF2">
            <w:pPr>
              <w:jc w:val="center"/>
              <w:rPr>
                <w:rFonts w:hint="eastAsia" w:ascii="宋体" w:hAnsi="宋体" w:cs="宋体"/>
                <w:color w:val="auto"/>
                <w:sz w:val="24"/>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E6CBDDB">
            <w:pPr>
              <w:jc w:val="center"/>
              <w:rPr>
                <w:rFonts w:hint="eastAsia" w:ascii="宋体" w:hAnsi="宋体" w:cs="宋体"/>
                <w:color w:val="auto"/>
                <w:sz w:val="24"/>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3124D2C">
            <w:pPr>
              <w:jc w:val="center"/>
              <w:rPr>
                <w:rFonts w:hint="eastAsia" w:ascii="宋体" w:hAnsi="宋体" w:cs="宋体"/>
                <w:color w:val="auto"/>
                <w:sz w:val="24"/>
                <w:highlight w:val="none"/>
              </w:rPr>
            </w:pPr>
          </w:p>
        </w:tc>
      </w:tr>
      <w:tr w14:paraId="253C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8252883">
            <w:pPr>
              <w:jc w:val="center"/>
              <w:rPr>
                <w:rFonts w:hint="eastAsia" w:ascii="宋体" w:hAnsi="宋体" w:cs="宋体"/>
                <w:color w:val="auto"/>
                <w:sz w:val="24"/>
                <w:highlight w:val="none"/>
              </w:rPr>
            </w:pPr>
            <w:r>
              <w:rPr>
                <w:rFonts w:hint="eastAsia" w:ascii="宋体" w:hAnsi="宋体" w:cs="宋体"/>
                <w:color w:val="auto"/>
                <w:sz w:val="24"/>
                <w:highlight w:val="none"/>
              </w:rPr>
              <w:t>招标代理</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61275C1">
            <w:pPr>
              <w:rPr>
                <w:rFonts w:hint="eastAsia" w:ascii="宋体" w:hAnsi="宋体" w:cs="宋体"/>
                <w:color w:val="auto"/>
                <w:sz w:val="24"/>
                <w:highlight w:val="none"/>
              </w:rPr>
            </w:pPr>
            <w:r>
              <w:rPr>
                <w:rFonts w:hint="eastAsia" w:ascii="宋体" w:hAnsi="宋体" w:cs="宋体"/>
                <w:color w:val="auto"/>
                <w:sz w:val="24"/>
                <w:highlight w:val="none"/>
              </w:rPr>
              <w:t>审查意见：</w:t>
            </w:r>
          </w:p>
          <w:p w14:paraId="40FA77DE">
            <w:pPr>
              <w:jc w:val="center"/>
              <w:rPr>
                <w:rFonts w:hint="eastAsia" w:ascii="宋体" w:hAnsi="宋体" w:cs="宋体"/>
                <w:color w:val="auto"/>
                <w:sz w:val="24"/>
                <w:highlight w:val="none"/>
              </w:rPr>
            </w:pPr>
          </w:p>
          <w:p w14:paraId="79C4356D">
            <w:pPr>
              <w:jc w:val="center"/>
              <w:rPr>
                <w:rFonts w:hint="eastAsia" w:ascii="宋体" w:hAnsi="宋体" w:cs="宋体"/>
                <w:color w:val="auto"/>
                <w:sz w:val="24"/>
                <w:highlight w:val="none"/>
              </w:rPr>
            </w:pPr>
          </w:p>
          <w:p w14:paraId="40F5A750">
            <w:pPr>
              <w:jc w:val="center"/>
              <w:rPr>
                <w:rFonts w:hint="eastAsia" w:ascii="宋体" w:hAnsi="宋体" w:cs="宋体"/>
                <w:color w:val="auto"/>
                <w:sz w:val="24"/>
                <w:highlight w:val="none"/>
              </w:rPr>
            </w:pPr>
            <w:r>
              <w:rPr>
                <w:rFonts w:hint="eastAsia" w:ascii="宋体" w:hAnsi="宋体" w:cs="宋体"/>
                <w:color w:val="auto"/>
                <w:sz w:val="24"/>
                <w:highlight w:val="none"/>
              </w:rPr>
              <w:t xml:space="preserve">                          (公章)</w:t>
            </w:r>
          </w:p>
          <w:p w14:paraId="63D007E2">
            <w:pPr>
              <w:jc w:val="center"/>
              <w:rPr>
                <w:rFonts w:hint="eastAsia" w:ascii="宋体" w:hAnsi="宋体" w:cs="宋体"/>
                <w:color w:val="auto"/>
                <w:sz w:val="24"/>
                <w:highlight w:val="none"/>
              </w:rPr>
            </w:pPr>
          </w:p>
          <w:p w14:paraId="4868A239">
            <w:pPr>
              <w:ind w:firstLine="5640" w:firstLineChars="2350"/>
              <w:rPr>
                <w:rFonts w:hint="eastAsia" w:ascii="宋体" w:hAnsi="宋体" w:cs="宋体"/>
                <w:color w:val="auto"/>
                <w:sz w:val="24"/>
                <w:highlight w:val="none"/>
              </w:rPr>
            </w:pPr>
            <w:r>
              <w:rPr>
                <w:rFonts w:hint="eastAsia" w:ascii="宋体" w:hAnsi="宋体" w:cs="宋体"/>
                <w:color w:val="auto"/>
                <w:sz w:val="24"/>
                <w:highlight w:val="none"/>
              </w:rPr>
              <w:t>年    月    日</w:t>
            </w:r>
          </w:p>
        </w:tc>
      </w:tr>
      <w:tr w14:paraId="025C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940E40">
            <w:pPr>
              <w:jc w:val="center"/>
              <w:rPr>
                <w:rFonts w:hint="eastAsia" w:ascii="宋体" w:hAnsi="宋体" w:cs="宋体"/>
                <w:color w:val="auto"/>
                <w:sz w:val="24"/>
                <w:highlight w:val="none"/>
              </w:rPr>
            </w:pPr>
            <w:r>
              <w:rPr>
                <w:rFonts w:hint="eastAsia" w:ascii="宋体" w:hAnsi="宋体" w:cs="宋体"/>
                <w:color w:val="auto"/>
                <w:sz w:val="24"/>
                <w:highlight w:val="none"/>
              </w:rPr>
              <w:t>建设单位</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E6A9BCC">
            <w:pPr>
              <w:rPr>
                <w:rFonts w:hint="eastAsia" w:ascii="宋体" w:hAnsi="宋体" w:cs="宋体"/>
                <w:color w:val="auto"/>
                <w:sz w:val="24"/>
                <w:highlight w:val="none"/>
              </w:rPr>
            </w:pPr>
            <w:r>
              <w:rPr>
                <w:rFonts w:hint="eastAsia" w:ascii="宋体" w:hAnsi="宋体" w:cs="宋体"/>
                <w:color w:val="auto"/>
                <w:sz w:val="24"/>
                <w:highlight w:val="none"/>
              </w:rPr>
              <w:t>审核意见：</w:t>
            </w:r>
          </w:p>
          <w:p w14:paraId="0BCE28D1">
            <w:pPr>
              <w:jc w:val="center"/>
              <w:rPr>
                <w:rFonts w:hint="eastAsia" w:ascii="宋体" w:hAnsi="宋体" w:cs="宋体"/>
                <w:color w:val="auto"/>
                <w:sz w:val="24"/>
                <w:highlight w:val="none"/>
              </w:rPr>
            </w:pPr>
          </w:p>
          <w:p w14:paraId="7EA70A8D">
            <w:pPr>
              <w:jc w:val="center"/>
              <w:rPr>
                <w:rFonts w:hint="eastAsia" w:ascii="宋体" w:hAnsi="宋体" w:cs="宋体"/>
                <w:color w:val="auto"/>
                <w:sz w:val="24"/>
                <w:highlight w:val="none"/>
              </w:rPr>
            </w:pPr>
          </w:p>
          <w:p w14:paraId="30C82F73">
            <w:pPr>
              <w:jc w:val="center"/>
              <w:rPr>
                <w:rFonts w:hint="eastAsia" w:ascii="宋体" w:hAnsi="宋体" w:cs="宋体"/>
                <w:color w:val="auto"/>
                <w:sz w:val="24"/>
                <w:highlight w:val="none"/>
              </w:rPr>
            </w:pPr>
          </w:p>
          <w:p w14:paraId="163AAC64">
            <w:pPr>
              <w:jc w:val="center"/>
              <w:rPr>
                <w:rFonts w:hint="eastAsia" w:ascii="宋体" w:hAnsi="宋体" w:cs="宋体"/>
                <w:color w:val="auto"/>
                <w:sz w:val="24"/>
                <w:highlight w:val="none"/>
              </w:rPr>
            </w:pPr>
            <w:r>
              <w:rPr>
                <w:rFonts w:hint="eastAsia" w:ascii="宋体" w:hAnsi="宋体" w:cs="宋体"/>
                <w:color w:val="auto"/>
                <w:sz w:val="24"/>
                <w:highlight w:val="none"/>
              </w:rPr>
              <w:t xml:space="preserve">                          (公章)</w:t>
            </w:r>
          </w:p>
          <w:p w14:paraId="1383AF2F">
            <w:pPr>
              <w:jc w:val="center"/>
              <w:rPr>
                <w:rFonts w:hint="eastAsia" w:ascii="宋体" w:hAnsi="宋体" w:cs="宋体"/>
                <w:color w:val="auto"/>
                <w:sz w:val="24"/>
                <w:highlight w:val="none"/>
              </w:rPr>
            </w:pPr>
          </w:p>
          <w:p w14:paraId="2144B8CF">
            <w:pPr>
              <w:ind w:firstLine="5400" w:firstLineChars="2250"/>
              <w:rPr>
                <w:rFonts w:hint="eastAsia" w:ascii="宋体" w:hAnsi="宋体" w:cs="宋体"/>
                <w:color w:val="auto"/>
                <w:sz w:val="24"/>
                <w:highlight w:val="none"/>
              </w:rPr>
            </w:pPr>
            <w:r>
              <w:rPr>
                <w:rFonts w:hint="eastAsia" w:ascii="宋体" w:hAnsi="宋体" w:cs="宋体"/>
                <w:color w:val="auto"/>
                <w:sz w:val="24"/>
                <w:highlight w:val="none"/>
              </w:rPr>
              <w:t>年    月    日</w:t>
            </w:r>
          </w:p>
        </w:tc>
      </w:tr>
    </w:tbl>
    <w:p w14:paraId="641997D2">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注：本表作为合同的附件；</w:t>
      </w:r>
    </w:p>
    <w:p w14:paraId="23FC6DC3">
      <w:pP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br w:type="page"/>
      </w:r>
    </w:p>
    <w:p w14:paraId="45A854A5">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4</w:t>
      </w:r>
      <w:r>
        <w:rPr>
          <w:rFonts w:hint="eastAsia" w:ascii="宋体" w:hAnsi="宋体" w:eastAsia="宋体" w:cs="宋体"/>
          <w:color w:val="000000"/>
          <w:sz w:val="22"/>
          <w:szCs w:val="22"/>
          <w:highlight w:val="none"/>
        </w:rPr>
        <w:t>：</w:t>
      </w:r>
    </w:p>
    <w:p w14:paraId="64F8FABF">
      <w:pPr>
        <w:spacing w:line="410" w:lineRule="exact"/>
        <w:ind w:left="120" w:leftChars="57" w:firstLine="480" w:firstLineChars="20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工程项目廉政合同</w:t>
      </w:r>
    </w:p>
    <w:p w14:paraId="3028608E">
      <w:pPr>
        <w:autoSpaceDE w:val="0"/>
        <w:autoSpaceDN w:val="0"/>
        <w:adjustRightInd w:val="0"/>
        <w:spacing w:line="480" w:lineRule="exact"/>
        <w:jc w:val="center"/>
        <w:outlineLvl w:val="1"/>
        <w:rPr>
          <w:rFonts w:hint="eastAsia" w:ascii="宋体" w:hAnsi="宋体" w:eastAsia="宋体" w:cs="宋体"/>
          <w:color w:val="000000"/>
          <w:sz w:val="22"/>
          <w:szCs w:val="22"/>
          <w:highlight w:val="none"/>
          <w:lang w:val="zh-CN"/>
        </w:rPr>
      </w:pPr>
    </w:p>
    <w:p w14:paraId="7B2FC85D">
      <w:pPr>
        <w:autoSpaceDE w:val="0"/>
        <w:autoSpaceDN w:val="0"/>
        <w:adjustRightInd w:val="0"/>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lang w:val="zh-CN"/>
        </w:rPr>
        <w:t>工程项目名称：</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10440A5C">
      <w:pPr>
        <w:autoSpaceDE w:val="0"/>
        <w:autoSpaceDN w:val="0"/>
        <w:adjustRightInd w:val="0"/>
        <w:spacing w:line="360" w:lineRule="auto"/>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发包人名称(以下称甲方)：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47B6A6CF">
      <w:pPr>
        <w:spacing w:line="360" w:lineRule="auto"/>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承包人名称(以下称乙方)：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lang w:val="zh-CN"/>
        </w:rPr>
        <w:t xml:space="preserve">  </w:t>
      </w:r>
    </w:p>
    <w:p w14:paraId="71E10B2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363490A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第一条  甲乙双方的权利和义务    </w:t>
      </w:r>
    </w:p>
    <w:p w14:paraId="570DC52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(一)严格遵守国家关于市场准入、勘测设计、施工监理、招标询价、工程施工、设备安装和市场经营活动等有关法律法规和相关政策，以及廉政建设的各项规定。    </w:t>
      </w:r>
    </w:p>
    <w:p w14:paraId="650B485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(二)严格执行本项目发包承包双方签订的 (施工合同、监理合同、勘测设计合同、采购合同、代理合同等)合同，自觉按合同办事。    </w:t>
      </w:r>
    </w:p>
    <w:p w14:paraId="674614A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45A320B4">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7E493A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第二条  甲方的责任    </w:t>
      </w:r>
    </w:p>
    <w:p w14:paraId="3DA77D8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甲方的负责人和从事该工程项目的工作人员，在工程项目的事前、事中、事后应遵守以下规定：    </w:t>
      </w:r>
    </w:p>
    <w:p w14:paraId="1D191A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(一)不以任何理由向乙方索要或接受回扣、礼金、有价证券、贵重物品和好处费、感谢费等；不在乙方报销应由甲方或个人支付的费用。    </w:t>
      </w:r>
    </w:p>
    <w:p w14:paraId="22D5658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(二)不参加乙方安排的宴请及其他消费活动；不接受乙方提供的通讯工具、交通工具、高档办公用品等。    </w:t>
      </w:r>
    </w:p>
    <w:p w14:paraId="3D1DD6D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(三)不要求、暗示和接受乙方为个人装修住房、为配偶子女的工作安排以及本人或亲属旅游、出国(境)等提供方便。    </w:t>
      </w:r>
    </w:p>
    <w:p w14:paraId="7532B17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(四)配偶、子女不得从事与乙方承包工程有关的设备材料供应、工程分包、劳务等经济活动。    </w:t>
      </w:r>
    </w:p>
    <w:p w14:paraId="5C248D61">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（五)不以任何理由向乙方推荐分包人或要求乙方购买项目合同规定以外的材料、设备和服务等。</w:t>
      </w:r>
    </w:p>
    <w:p w14:paraId="62C48F9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第三条  乙方的责任</w:t>
      </w:r>
    </w:p>
    <w:p w14:paraId="044857E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30A35CF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(一)不以任何理由向甲方及其工作人员行贿或赠送礼金、有价证券、贵重物品。    </w:t>
      </w:r>
    </w:p>
    <w:p w14:paraId="10E12AB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(二)不以任何名义为甲方及其工作人员报销应由对方支付的费用。    </w:t>
      </w:r>
    </w:p>
    <w:p w14:paraId="696C434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(三)不以任何理由宴请甲方工作人员或安排其他消费活动。    </w:t>
      </w:r>
    </w:p>
    <w:p w14:paraId="547C00B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(四)不为甲方和工作人员购置或提供通讯工具、交通工具、高档办公用品和装修住房等。 </w:t>
      </w:r>
    </w:p>
    <w:p w14:paraId="36D38A4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第四条  违约责任 </w:t>
      </w:r>
    </w:p>
    <w:p w14:paraId="4A94B5C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22259FE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D494C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73107B5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第五条  双方约定：在自觉履行合同的同时，由甲、乙双方的监督单位负责对本合同履行情况进行监督检查。</w:t>
      </w:r>
    </w:p>
    <w:p w14:paraId="48FB5659">
      <w:pPr>
        <w:spacing w:line="360" w:lineRule="auto"/>
        <w:ind w:firstLine="422" w:firstLineChars="192"/>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第六条  本合同作为</w:t>
      </w:r>
      <w:r>
        <w:rPr>
          <w:rFonts w:hint="eastAsia" w:ascii="宋体" w:hAnsi="宋体" w:eastAsia="宋体" w:cs="宋体"/>
          <w:color w:val="000000"/>
          <w:sz w:val="22"/>
          <w:szCs w:val="22"/>
          <w:highlight w:val="none"/>
          <w:u w:val="single"/>
          <w:lang w:val="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施工合同的附件，与主合同具有</w:t>
      </w:r>
      <w:r>
        <w:rPr>
          <w:rFonts w:hint="eastAsia" w:ascii="宋体" w:hAnsi="宋体" w:eastAsia="宋体" w:cs="宋体"/>
          <w:color w:val="000000"/>
          <w:sz w:val="22"/>
          <w:szCs w:val="22"/>
          <w:highlight w:val="none"/>
          <w:lang w:val="zh-CN"/>
        </w:rPr>
        <w:t>同等法律效力。甲乙双方签署后立即生效。</w:t>
      </w:r>
    </w:p>
    <w:p w14:paraId="16C5F05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第七条  本合同的有效期为双方签署之日起至该工程项目竣工验收合格时止。    </w:t>
      </w:r>
    </w:p>
    <w:p w14:paraId="2BB454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第八条  本合同一式五份，由甲、乙双方各执一份，送交甲、乙双方的监督单位各一份。</w:t>
      </w:r>
    </w:p>
    <w:p w14:paraId="2B3E7A88">
      <w:pPr>
        <w:spacing w:line="360" w:lineRule="auto"/>
        <w:ind w:firstLine="440" w:firstLineChars="200"/>
        <w:rPr>
          <w:rFonts w:hint="eastAsia" w:ascii="宋体" w:hAnsi="宋体" w:eastAsia="宋体" w:cs="宋体"/>
          <w:color w:val="000000"/>
          <w:sz w:val="22"/>
          <w:szCs w:val="22"/>
          <w:highlight w:val="none"/>
        </w:rPr>
      </w:pPr>
    </w:p>
    <w:p w14:paraId="608EB8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乙方（盖章）：</w:t>
      </w:r>
    </w:p>
    <w:p w14:paraId="0FB7FB5A">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法定代表人：</w:t>
      </w:r>
    </w:p>
    <w:p w14:paraId="2DC50AC7">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地址：</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地址：</w:t>
      </w:r>
    </w:p>
    <w:p w14:paraId="3929CA55">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电话：</w:t>
      </w:r>
    </w:p>
    <w:p w14:paraId="07E4060E">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年   月   日</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年   月   日</w:t>
      </w:r>
    </w:p>
    <w:p w14:paraId="4443297F">
      <w:pPr>
        <w:tabs>
          <w:tab w:val="left" w:pos="4962"/>
        </w:tabs>
        <w:spacing w:line="360" w:lineRule="auto"/>
        <w:ind w:firstLine="440" w:firstLineChars="200"/>
        <w:rPr>
          <w:rFonts w:hint="eastAsia" w:ascii="宋体" w:hAnsi="宋体" w:eastAsia="宋体" w:cs="宋体"/>
          <w:color w:val="000000"/>
          <w:sz w:val="22"/>
          <w:szCs w:val="22"/>
          <w:highlight w:val="none"/>
        </w:rPr>
      </w:pPr>
    </w:p>
    <w:p w14:paraId="3B284A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甲方监督单位（盖章）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乙方监督单位（盖章）</w:t>
      </w:r>
    </w:p>
    <w:p w14:paraId="45C16CD8">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年   月   日 </w:t>
      </w:r>
      <w:r>
        <w:rPr>
          <w:rFonts w:hint="eastAsia" w:ascii="宋体" w:hAnsi="宋体" w:eastAsia="宋体" w:cs="宋体"/>
          <w:color w:val="000000"/>
          <w:sz w:val="22"/>
          <w:szCs w:val="22"/>
          <w:highlight w:val="none"/>
          <w:lang w:val="en-US" w:eastAsia="zh-CN"/>
        </w:rPr>
        <w:tab/>
      </w:r>
      <w:r>
        <w:rPr>
          <w:rFonts w:hint="eastAsia" w:ascii="宋体" w:hAnsi="宋体" w:eastAsia="宋体" w:cs="宋体"/>
          <w:color w:val="000000"/>
          <w:sz w:val="22"/>
          <w:szCs w:val="22"/>
          <w:highlight w:val="none"/>
        </w:rPr>
        <w:t xml:space="preserve">年   月  日 </w:t>
      </w:r>
    </w:p>
    <w:p w14:paraId="6814CFDC">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6342D2C4">
      <w:pPr>
        <w:spacing w:before="156" w:beforeLines="50" w:after="156" w:afterLines="50" w:line="440" w:lineRule="exact"/>
        <w:jc w:val="left"/>
        <w:rPr>
          <w:rFonts w:hint="eastAsia" w:hAnsi="宋体" w:eastAsia="宋体"/>
          <w:lang w:eastAsia="zh-CN"/>
        </w:rPr>
      </w:pPr>
      <w:r>
        <w:rPr>
          <w:rFonts w:hint="eastAsia" w:hAnsi="宋体"/>
        </w:rPr>
        <w:t>附件</w:t>
      </w:r>
      <w:r>
        <w:rPr>
          <w:rFonts w:hint="eastAsia" w:hAnsi="宋体"/>
          <w:lang w:val="en-US" w:eastAsia="zh-CN"/>
        </w:rPr>
        <w:t>5</w:t>
      </w:r>
    </w:p>
    <w:p w14:paraId="76CDDED0">
      <w:pPr>
        <w:spacing w:before="120" w:beforeLines="50" w:after="120" w:afterLines="50" w:line="440" w:lineRule="exact"/>
        <w:jc w:val="center"/>
        <w:rPr>
          <w:rFonts w:hint="eastAsia" w:ascii="宋体" w:hAnsi="宋体"/>
          <w:color w:val="auto"/>
          <w:sz w:val="30"/>
          <w:szCs w:val="30"/>
          <w:highlight w:val="none"/>
        </w:rPr>
      </w:pPr>
      <w:r>
        <w:rPr>
          <w:rFonts w:hint="eastAsia" w:ascii="宋体" w:hAnsi="宋体" w:eastAsia="宋体" w:cs="宋体"/>
          <w:color w:val="auto"/>
          <w:sz w:val="24"/>
          <w:highlight w:val="none"/>
        </w:rPr>
        <w:t>暂列金表</w:t>
      </w:r>
    </w:p>
    <w:tbl>
      <w:tblPr>
        <w:tblStyle w:val="60"/>
        <w:tblW w:w="9550"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7"/>
        <w:gridCol w:w="2485"/>
        <w:gridCol w:w="842"/>
        <w:gridCol w:w="793"/>
        <w:gridCol w:w="1384"/>
        <w:gridCol w:w="1452"/>
        <w:gridCol w:w="1577"/>
      </w:tblGrid>
      <w:tr w14:paraId="0509B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1017" w:type="dxa"/>
            <w:tcBorders>
              <w:top w:val="single" w:color="auto" w:sz="12" w:space="0"/>
              <w:bottom w:val="double" w:color="auto" w:sz="6" w:space="0"/>
            </w:tcBorders>
            <w:noWrap w:val="0"/>
            <w:vAlign w:val="center"/>
          </w:tcPr>
          <w:p w14:paraId="0935991A">
            <w:pPr>
              <w:pStyle w:val="22"/>
              <w:spacing w:after="0"/>
              <w:ind w:left="63" w:right="63"/>
              <w:jc w:val="center"/>
              <w:rPr>
                <w:rFonts w:ascii="宋体" w:hAnsi="宋体"/>
                <w:color w:val="auto"/>
                <w:sz w:val="24"/>
                <w:highlight w:val="none"/>
              </w:rPr>
            </w:pPr>
            <w:r>
              <w:rPr>
                <w:rFonts w:ascii="宋体" w:hAnsi="宋体"/>
                <w:color w:val="auto"/>
                <w:sz w:val="24"/>
                <w:highlight w:val="none"/>
              </w:rPr>
              <w:t>序号</w:t>
            </w:r>
          </w:p>
        </w:tc>
        <w:tc>
          <w:tcPr>
            <w:tcW w:w="2485" w:type="dxa"/>
            <w:tcBorders>
              <w:top w:val="single" w:color="auto" w:sz="12" w:space="0"/>
              <w:bottom w:val="double" w:color="auto" w:sz="6" w:space="0"/>
            </w:tcBorders>
            <w:noWrap w:val="0"/>
            <w:vAlign w:val="center"/>
          </w:tcPr>
          <w:p w14:paraId="34130B51">
            <w:pPr>
              <w:pStyle w:val="22"/>
              <w:spacing w:after="0"/>
              <w:ind w:left="63" w:right="63"/>
              <w:jc w:val="center"/>
              <w:rPr>
                <w:rFonts w:ascii="宋体" w:hAnsi="宋体"/>
                <w:color w:val="auto"/>
                <w:sz w:val="24"/>
                <w:highlight w:val="none"/>
              </w:rPr>
            </w:pPr>
            <w:r>
              <w:rPr>
                <w:rFonts w:ascii="宋体" w:hAnsi="宋体"/>
                <w:color w:val="auto"/>
                <w:sz w:val="24"/>
                <w:highlight w:val="none"/>
              </w:rPr>
              <w:t>名称</w:t>
            </w:r>
          </w:p>
        </w:tc>
        <w:tc>
          <w:tcPr>
            <w:tcW w:w="842" w:type="dxa"/>
            <w:tcBorders>
              <w:top w:val="single" w:color="auto" w:sz="12" w:space="0"/>
              <w:bottom w:val="double" w:color="auto" w:sz="6" w:space="0"/>
            </w:tcBorders>
            <w:noWrap w:val="0"/>
            <w:vAlign w:val="center"/>
          </w:tcPr>
          <w:p w14:paraId="39DB0288">
            <w:pPr>
              <w:pStyle w:val="22"/>
              <w:spacing w:after="0"/>
              <w:ind w:left="63" w:right="63"/>
              <w:jc w:val="center"/>
              <w:rPr>
                <w:rFonts w:ascii="宋体" w:hAnsi="宋体"/>
                <w:color w:val="auto"/>
                <w:sz w:val="24"/>
                <w:highlight w:val="none"/>
              </w:rPr>
            </w:pPr>
            <w:r>
              <w:rPr>
                <w:rFonts w:ascii="宋体" w:hAnsi="宋体"/>
                <w:color w:val="auto"/>
                <w:sz w:val="24"/>
                <w:highlight w:val="none"/>
              </w:rPr>
              <w:t>单位</w:t>
            </w:r>
          </w:p>
        </w:tc>
        <w:tc>
          <w:tcPr>
            <w:tcW w:w="793" w:type="dxa"/>
            <w:tcBorders>
              <w:top w:val="single" w:color="auto" w:sz="12" w:space="0"/>
              <w:bottom w:val="double" w:color="auto" w:sz="6" w:space="0"/>
            </w:tcBorders>
            <w:noWrap w:val="0"/>
            <w:vAlign w:val="center"/>
          </w:tcPr>
          <w:p w14:paraId="048B5FDA">
            <w:pPr>
              <w:pStyle w:val="22"/>
              <w:spacing w:after="0"/>
              <w:ind w:left="63" w:right="63"/>
              <w:jc w:val="center"/>
              <w:rPr>
                <w:rFonts w:ascii="宋体" w:hAnsi="宋体"/>
                <w:color w:val="auto"/>
                <w:sz w:val="24"/>
                <w:highlight w:val="none"/>
              </w:rPr>
            </w:pPr>
            <w:r>
              <w:rPr>
                <w:rFonts w:ascii="宋体" w:hAnsi="宋体"/>
                <w:color w:val="auto"/>
                <w:sz w:val="24"/>
                <w:highlight w:val="none"/>
              </w:rPr>
              <w:t>数量</w:t>
            </w:r>
          </w:p>
        </w:tc>
        <w:tc>
          <w:tcPr>
            <w:tcW w:w="1384" w:type="dxa"/>
            <w:tcBorders>
              <w:top w:val="single" w:color="auto" w:sz="12" w:space="0"/>
              <w:bottom w:val="double" w:color="auto" w:sz="6" w:space="0"/>
            </w:tcBorders>
            <w:noWrap w:val="0"/>
            <w:vAlign w:val="center"/>
          </w:tcPr>
          <w:p w14:paraId="08A32393">
            <w:pPr>
              <w:pStyle w:val="22"/>
              <w:spacing w:after="0"/>
              <w:ind w:left="63" w:right="63"/>
              <w:jc w:val="center"/>
              <w:rPr>
                <w:rFonts w:ascii="宋体" w:hAnsi="宋体"/>
                <w:color w:val="auto"/>
                <w:sz w:val="24"/>
                <w:highlight w:val="none"/>
              </w:rPr>
            </w:pPr>
            <w:r>
              <w:rPr>
                <w:rFonts w:ascii="宋体" w:hAnsi="宋体"/>
                <w:color w:val="auto"/>
                <w:sz w:val="24"/>
                <w:highlight w:val="none"/>
              </w:rPr>
              <w:t>单价</w:t>
            </w:r>
            <w:r>
              <w:rPr>
                <w:rFonts w:hint="eastAsia" w:ascii="宋体" w:hAnsi="宋体"/>
                <w:color w:val="auto"/>
                <w:sz w:val="24"/>
                <w:highlight w:val="none"/>
              </w:rPr>
              <w:t>（元）</w:t>
            </w:r>
          </w:p>
        </w:tc>
        <w:tc>
          <w:tcPr>
            <w:tcW w:w="1452" w:type="dxa"/>
            <w:tcBorders>
              <w:top w:val="single" w:color="auto" w:sz="12" w:space="0"/>
              <w:bottom w:val="double" w:color="auto" w:sz="6" w:space="0"/>
            </w:tcBorders>
            <w:noWrap w:val="0"/>
            <w:vAlign w:val="center"/>
          </w:tcPr>
          <w:p w14:paraId="5F47BE64">
            <w:pPr>
              <w:pStyle w:val="22"/>
              <w:spacing w:after="0"/>
              <w:ind w:left="63" w:right="63"/>
              <w:jc w:val="center"/>
              <w:rPr>
                <w:rFonts w:ascii="宋体" w:hAnsi="宋体"/>
                <w:color w:val="auto"/>
                <w:sz w:val="24"/>
                <w:highlight w:val="none"/>
              </w:rPr>
            </w:pPr>
            <w:r>
              <w:rPr>
                <w:rFonts w:ascii="宋体" w:hAnsi="宋体"/>
                <w:color w:val="auto"/>
                <w:sz w:val="24"/>
                <w:highlight w:val="none"/>
              </w:rPr>
              <w:t>合价</w:t>
            </w:r>
            <w:r>
              <w:rPr>
                <w:rFonts w:hint="eastAsia" w:ascii="宋体" w:hAnsi="宋体"/>
                <w:color w:val="auto"/>
                <w:sz w:val="24"/>
                <w:highlight w:val="none"/>
              </w:rPr>
              <w:t>（元）</w:t>
            </w:r>
          </w:p>
        </w:tc>
        <w:tc>
          <w:tcPr>
            <w:tcW w:w="1577" w:type="dxa"/>
            <w:tcBorders>
              <w:top w:val="single" w:color="auto" w:sz="12" w:space="0"/>
              <w:bottom w:val="double" w:color="auto" w:sz="6" w:space="0"/>
            </w:tcBorders>
            <w:noWrap w:val="0"/>
            <w:vAlign w:val="center"/>
          </w:tcPr>
          <w:p w14:paraId="084F4C8C">
            <w:pPr>
              <w:pStyle w:val="22"/>
              <w:spacing w:after="0"/>
              <w:ind w:left="63" w:right="63"/>
              <w:jc w:val="center"/>
              <w:rPr>
                <w:rFonts w:ascii="宋体" w:hAnsi="宋体"/>
                <w:color w:val="auto"/>
                <w:sz w:val="24"/>
                <w:highlight w:val="none"/>
              </w:rPr>
            </w:pPr>
            <w:r>
              <w:rPr>
                <w:rFonts w:ascii="宋体" w:hAnsi="宋体"/>
                <w:color w:val="auto"/>
                <w:sz w:val="24"/>
                <w:highlight w:val="none"/>
              </w:rPr>
              <w:t>备注</w:t>
            </w:r>
          </w:p>
        </w:tc>
      </w:tr>
      <w:tr w14:paraId="6E170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double" w:color="auto" w:sz="6" w:space="0"/>
              <w:bottom w:val="single" w:color="auto" w:sz="6" w:space="0"/>
            </w:tcBorders>
            <w:noWrap w:val="0"/>
            <w:vAlign w:val="center"/>
          </w:tcPr>
          <w:p w14:paraId="7617A1F4">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lang w:val="en-US" w:eastAsia="zh-CN"/>
              </w:rPr>
              <w:t>1</w:t>
            </w:r>
          </w:p>
        </w:tc>
        <w:tc>
          <w:tcPr>
            <w:tcW w:w="2485" w:type="dxa"/>
            <w:tcBorders>
              <w:top w:val="double" w:color="auto" w:sz="6" w:space="0"/>
              <w:bottom w:val="single" w:color="auto" w:sz="6" w:space="0"/>
            </w:tcBorders>
            <w:noWrap w:val="0"/>
            <w:vAlign w:val="center"/>
          </w:tcPr>
          <w:p w14:paraId="601DFE11">
            <w:pPr>
              <w:widowControl/>
              <w:jc w:val="center"/>
              <w:textAlignment w:val="center"/>
              <w:rPr>
                <w:rFonts w:hint="eastAsia" w:ascii="宋体" w:hAnsi="宋体" w:cs="Arial"/>
                <w:color w:val="000000"/>
                <w:kern w:val="2"/>
                <w:sz w:val="24"/>
                <w:szCs w:val="24"/>
                <w:lang w:val="en-US" w:eastAsia="zh-CN" w:bidi="ar-SA"/>
              </w:rPr>
            </w:pPr>
            <w:r>
              <w:rPr>
                <w:rFonts w:hint="eastAsia" w:ascii="宋体" w:hAnsi="宋体" w:cs="Arial"/>
                <w:color w:val="000000"/>
                <w:sz w:val="24"/>
                <w:lang w:val="en-US" w:eastAsia="zh-CN"/>
              </w:rPr>
              <w:t>其他暂列金额</w:t>
            </w:r>
          </w:p>
        </w:tc>
        <w:tc>
          <w:tcPr>
            <w:tcW w:w="842" w:type="dxa"/>
            <w:tcBorders>
              <w:top w:val="double" w:color="auto" w:sz="6" w:space="0"/>
              <w:bottom w:val="single" w:color="auto" w:sz="6" w:space="0"/>
            </w:tcBorders>
            <w:noWrap w:val="0"/>
            <w:vAlign w:val="center"/>
          </w:tcPr>
          <w:p w14:paraId="55732E0F">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项</w:t>
            </w:r>
          </w:p>
        </w:tc>
        <w:tc>
          <w:tcPr>
            <w:tcW w:w="793" w:type="dxa"/>
            <w:tcBorders>
              <w:top w:val="double" w:color="auto" w:sz="6" w:space="0"/>
              <w:bottom w:val="single" w:color="auto" w:sz="6" w:space="0"/>
            </w:tcBorders>
            <w:noWrap w:val="0"/>
            <w:vAlign w:val="center"/>
          </w:tcPr>
          <w:p w14:paraId="72ADD22A">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1384" w:type="dxa"/>
            <w:tcBorders>
              <w:top w:val="double" w:color="auto" w:sz="6" w:space="0"/>
              <w:bottom w:val="single" w:color="auto" w:sz="6" w:space="0"/>
            </w:tcBorders>
            <w:noWrap w:val="0"/>
            <w:vAlign w:val="center"/>
          </w:tcPr>
          <w:p w14:paraId="752B2122">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sz w:val="24"/>
                <w:lang w:val="en-US" w:eastAsia="zh-CN"/>
              </w:rPr>
              <w:t>131877</w:t>
            </w:r>
          </w:p>
        </w:tc>
        <w:tc>
          <w:tcPr>
            <w:tcW w:w="1452" w:type="dxa"/>
            <w:tcBorders>
              <w:top w:val="double" w:color="auto" w:sz="6" w:space="0"/>
              <w:bottom w:val="single" w:color="auto" w:sz="6" w:space="0"/>
            </w:tcBorders>
            <w:noWrap w:val="0"/>
            <w:vAlign w:val="center"/>
          </w:tcPr>
          <w:p w14:paraId="5B1C4CE0">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sz w:val="24"/>
                <w:lang w:val="en-US" w:eastAsia="zh-CN"/>
              </w:rPr>
              <w:t>131877</w:t>
            </w:r>
          </w:p>
        </w:tc>
        <w:tc>
          <w:tcPr>
            <w:tcW w:w="1577" w:type="dxa"/>
            <w:tcBorders>
              <w:top w:val="double" w:color="auto" w:sz="6" w:space="0"/>
              <w:bottom w:val="single" w:color="auto" w:sz="6" w:space="0"/>
            </w:tcBorders>
            <w:noWrap w:val="0"/>
            <w:vAlign w:val="center"/>
          </w:tcPr>
          <w:p w14:paraId="3E351286">
            <w:pPr>
              <w:widowControl/>
              <w:jc w:val="center"/>
              <w:textAlignment w:val="center"/>
              <w:rPr>
                <w:rFonts w:hint="eastAsia" w:ascii="宋体" w:hAnsi="宋体" w:cs="Arial"/>
                <w:color w:val="auto"/>
                <w:sz w:val="24"/>
                <w:highlight w:val="none"/>
              </w:rPr>
            </w:pPr>
          </w:p>
        </w:tc>
      </w:tr>
      <w:tr w14:paraId="205495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nil"/>
            </w:tcBorders>
            <w:noWrap w:val="0"/>
            <w:vAlign w:val="center"/>
          </w:tcPr>
          <w:p w14:paraId="7DB39731">
            <w:pPr>
              <w:widowControl/>
              <w:jc w:val="center"/>
              <w:textAlignment w:val="center"/>
              <w:rPr>
                <w:rFonts w:hint="eastAsia" w:ascii="宋体" w:hAnsi="宋体" w:cs="宋体"/>
                <w:color w:val="auto"/>
                <w:kern w:val="0"/>
                <w:sz w:val="24"/>
                <w:highlight w:val="none"/>
              </w:rPr>
            </w:pPr>
          </w:p>
        </w:tc>
        <w:tc>
          <w:tcPr>
            <w:tcW w:w="2485" w:type="dxa"/>
            <w:tcBorders>
              <w:top w:val="nil"/>
            </w:tcBorders>
            <w:noWrap w:val="0"/>
            <w:vAlign w:val="center"/>
          </w:tcPr>
          <w:p w14:paraId="1DEB56BE">
            <w:pPr>
              <w:widowControl/>
              <w:jc w:val="center"/>
              <w:textAlignment w:val="center"/>
              <w:rPr>
                <w:rFonts w:hint="eastAsia" w:ascii="宋体" w:hAnsi="宋体" w:cs="宋体"/>
                <w:color w:val="auto"/>
                <w:kern w:val="0"/>
                <w:sz w:val="24"/>
                <w:highlight w:val="none"/>
              </w:rPr>
            </w:pPr>
          </w:p>
        </w:tc>
        <w:tc>
          <w:tcPr>
            <w:tcW w:w="842" w:type="dxa"/>
            <w:tcBorders>
              <w:top w:val="nil"/>
            </w:tcBorders>
            <w:noWrap w:val="0"/>
            <w:vAlign w:val="center"/>
          </w:tcPr>
          <w:p w14:paraId="299AA681">
            <w:pPr>
              <w:widowControl/>
              <w:jc w:val="center"/>
              <w:textAlignment w:val="center"/>
              <w:rPr>
                <w:rFonts w:hint="eastAsia" w:ascii="宋体" w:hAnsi="宋体" w:cs="宋体"/>
                <w:color w:val="auto"/>
                <w:kern w:val="0"/>
                <w:sz w:val="24"/>
                <w:highlight w:val="none"/>
              </w:rPr>
            </w:pPr>
          </w:p>
        </w:tc>
        <w:tc>
          <w:tcPr>
            <w:tcW w:w="793" w:type="dxa"/>
            <w:tcBorders>
              <w:top w:val="nil"/>
            </w:tcBorders>
            <w:noWrap w:val="0"/>
            <w:vAlign w:val="center"/>
          </w:tcPr>
          <w:p w14:paraId="247E6322">
            <w:pPr>
              <w:jc w:val="center"/>
              <w:rPr>
                <w:rFonts w:hint="eastAsia" w:ascii="宋体" w:hAnsi="宋体" w:cs="宋体"/>
                <w:color w:val="auto"/>
                <w:kern w:val="0"/>
                <w:sz w:val="24"/>
                <w:highlight w:val="none"/>
              </w:rPr>
            </w:pPr>
          </w:p>
        </w:tc>
        <w:tc>
          <w:tcPr>
            <w:tcW w:w="1384" w:type="dxa"/>
            <w:tcBorders>
              <w:top w:val="nil"/>
            </w:tcBorders>
            <w:noWrap w:val="0"/>
            <w:vAlign w:val="center"/>
          </w:tcPr>
          <w:p w14:paraId="2093118A">
            <w:pPr>
              <w:jc w:val="center"/>
              <w:rPr>
                <w:rFonts w:hint="eastAsia" w:ascii="宋体" w:hAnsi="宋体" w:cs="宋体"/>
                <w:color w:val="auto"/>
                <w:kern w:val="0"/>
                <w:sz w:val="24"/>
                <w:highlight w:val="none"/>
              </w:rPr>
            </w:pPr>
          </w:p>
        </w:tc>
        <w:tc>
          <w:tcPr>
            <w:tcW w:w="1452" w:type="dxa"/>
            <w:tcBorders>
              <w:top w:val="nil"/>
            </w:tcBorders>
            <w:noWrap w:val="0"/>
            <w:vAlign w:val="center"/>
          </w:tcPr>
          <w:p w14:paraId="0F8084BF">
            <w:pPr>
              <w:widowControl/>
              <w:jc w:val="center"/>
              <w:textAlignment w:val="center"/>
              <w:rPr>
                <w:rFonts w:ascii="宋体" w:hAnsi="宋体"/>
                <w:color w:val="auto"/>
                <w:sz w:val="24"/>
                <w:highlight w:val="none"/>
              </w:rPr>
            </w:pPr>
          </w:p>
        </w:tc>
        <w:tc>
          <w:tcPr>
            <w:tcW w:w="1577" w:type="dxa"/>
            <w:tcBorders>
              <w:top w:val="nil"/>
            </w:tcBorders>
            <w:noWrap w:val="0"/>
            <w:vAlign w:val="center"/>
          </w:tcPr>
          <w:p w14:paraId="2B725973">
            <w:pPr>
              <w:jc w:val="center"/>
              <w:rPr>
                <w:rFonts w:ascii="宋体" w:hAnsi="宋体"/>
                <w:color w:val="auto"/>
                <w:sz w:val="24"/>
                <w:highlight w:val="none"/>
              </w:rPr>
            </w:pPr>
          </w:p>
        </w:tc>
      </w:tr>
      <w:tr w14:paraId="4F815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0FC61C8">
            <w:pPr>
              <w:widowControl/>
              <w:jc w:val="center"/>
              <w:textAlignment w:val="center"/>
              <w:rPr>
                <w:rFonts w:hint="eastAsia" w:ascii="宋体" w:hAnsi="宋体" w:cs="宋体"/>
                <w:color w:val="auto"/>
                <w:kern w:val="0"/>
                <w:sz w:val="24"/>
                <w:highlight w:val="none"/>
              </w:rPr>
            </w:pPr>
          </w:p>
        </w:tc>
        <w:tc>
          <w:tcPr>
            <w:tcW w:w="2485" w:type="dxa"/>
            <w:noWrap w:val="0"/>
            <w:vAlign w:val="center"/>
          </w:tcPr>
          <w:p w14:paraId="6CF2F672">
            <w:pPr>
              <w:widowControl/>
              <w:jc w:val="center"/>
              <w:textAlignment w:val="center"/>
              <w:rPr>
                <w:rFonts w:hint="eastAsia" w:ascii="宋体" w:hAnsi="宋体" w:cs="宋体"/>
                <w:color w:val="auto"/>
                <w:kern w:val="0"/>
                <w:sz w:val="24"/>
                <w:highlight w:val="none"/>
              </w:rPr>
            </w:pPr>
          </w:p>
        </w:tc>
        <w:tc>
          <w:tcPr>
            <w:tcW w:w="842" w:type="dxa"/>
            <w:noWrap w:val="0"/>
            <w:vAlign w:val="center"/>
          </w:tcPr>
          <w:p w14:paraId="5ACFD306">
            <w:pPr>
              <w:widowControl/>
              <w:jc w:val="center"/>
              <w:textAlignment w:val="center"/>
              <w:rPr>
                <w:rFonts w:hint="eastAsia" w:ascii="宋体" w:hAnsi="宋体" w:cs="宋体"/>
                <w:color w:val="auto"/>
                <w:kern w:val="0"/>
                <w:sz w:val="24"/>
                <w:highlight w:val="none"/>
              </w:rPr>
            </w:pPr>
          </w:p>
        </w:tc>
        <w:tc>
          <w:tcPr>
            <w:tcW w:w="793" w:type="dxa"/>
            <w:noWrap w:val="0"/>
            <w:vAlign w:val="center"/>
          </w:tcPr>
          <w:p w14:paraId="7B401838">
            <w:pPr>
              <w:jc w:val="center"/>
              <w:rPr>
                <w:rFonts w:hint="eastAsia" w:ascii="宋体" w:hAnsi="宋体" w:cs="宋体"/>
                <w:color w:val="auto"/>
                <w:kern w:val="0"/>
                <w:sz w:val="24"/>
                <w:highlight w:val="none"/>
              </w:rPr>
            </w:pPr>
          </w:p>
        </w:tc>
        <w:tc>
          <w:tcPr>
            <w:tcW w:w="1384" w:type="dxa"/>
            <w:noWrap w:val="0"/>
            <w:vAlign w:val="center"/>
          </w:tcPr>
          <w:p w14:paraId="0449F2DD">
            <w:pPr>
              <w:widowControl/>
              <w:jc w:val="center"/>
              <w:textAlignment w:val="center"/>
              <w:rPr>
                <w:rFonts w:hint="eastAsia" w:ascii="宋体" w:hAnsi="宋体" w:cs="宋体"/>
                <w:color w:val="auto"/>
                <w:kern w:val="0"/>
                <w:sz w:val="24"/>
                <w:highlight w:val="none"/>
              </w:rPr>
            </w:pPr>
          </w:p>
        </w:tc>
        <w:tc>
          <w:tcPr>
            <w:tcW w:w="1452" w:type="dxa"/>
            <w:noWrap w:val="0"/>
            <w:vAlign w:val="center"/>
          </w:tcPr>
          <w:p w14:paraId="1F269CFD">
            <w:pPr>
              <w:widowControl/>
              <w:jc w:val="center"/>
              <w:textAlignment w:val="center"/>
              <w:rPr>
                <w:rFonts w:ascii="宋体" w:hAnsi="宋体"/>
                <w:color w:val="auto"/>
                <w:sz w:val="24"/>
                <w:highlight w:val="none"/>
              </w:rPr>
            </w:pPr>
          </w:p>
        </w:tc>
        <w:tc>
          <w:tcPr>
            <w:tcW w:w="1577" w:type="dxa"/>
            <w:noWrap w:val="0"/>
            <w:vAlign w:val="center"/>
          </w:tcPr>
          <w:p w14:paraId="48468727">
            <w:pPr>
              <w:jc w:val="center"/>
              <w:rPr>
                <w:rFonts w:ascii="宋体" w:hAnsi="宋体"/>
                <w:color w:val="auto"/>
                <w:sz w:val="24"/>
                <w:highlight w:val="none"/>
              </w:rPr>
            </w:pPr>
          </w:p>
        </w:tc>
      </w:tr>
      <w:tr w14:paraId="2FDFF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964BEAB">
            <w:pPr>
              <w:widowControl/>
              <w:jc w:val="center"/>
              <w:textAlignment w:val="center"/>
              <w:rPr>
                <w:rFonts w:hint="eastAsia" w:ascii="宋体" w:hAnsi="宋体" w:cs="宋体"/>
                <w:color w:val="auto"/>
                <w:kern w:val="0"/>
                <w:sz w:val="24"/>
                <w:highlight w:val="none"/>
              </w:rPr>
            </w:pPr>
          </w:p>
        </w:tc>
        <w:tc>
          <w:tcPr>
            <w:tcW w:w="2485" w:type="dxa"/>
            <w:noWrap w:val="0"/>
            <w:vAlign w:val="center"/>
          </w:tcPr>
          <w:p w14:paraId="719BD6B5">
            <w:pPr>
              <w:widowControl/>
              <w:jc w:val="center"/>
              <w:textAlignment w:val="center"/>
              <w:rPr>
                <w:rFonts w:ascii="宋体" w:hAnsi="宋体" w:cs="宋体"/>
                <w:color w:val="auto"/>
                <w:kern w:val="0"/>
                <w:sz w:val="24"/>
                <w:highlight w:val="none"/>
              </w:rPr>
            </w:pPr>
          </w:p>
        </w:tc>
        <w:tc>
          <w:tcPr>
            <w:tcW w:w="842" w:type="dxa"/>
            <w:noWrap w:val="0"/>
            <w:vAlign w:val="center"/>
          </w:tcPr>
          <w:p w14:paraId="3C4C8D67">
            <w:pPr>
              <w:widowControl/>
              <w:jc w:val="center"/>
              <w:textAlignment w:val="center"/>
              <w:rPr>
                <w:rFonts w:hint="eastAsia" w:ascii="宋体" w:hAnsi="宋体" w:cs="宋体"/>
                <w:color w:val="auto"/>
                <w:kern w:val="0"/>
                <w:sz w:val="24"/>
                <w:highlight w:val="none"/>
              </w:rPr>
            </w:pPr>
          </w:p>
        </w:tc>
        <w:tc>
          <w:tcPr>
            <w:tcW w:w="793" w:type="dxa"/>
            <w:noWrap w:val="0"/>
            <w:vAlign w:val="center"/>
          </w:tcPr>
          <w:p w14:paraId="3929071E">
            <w:pPr>
              <w:jc w:val="center"/>
              <w:rPr>
                <w:rFonts w:hint="eastAsia" w:ascii="宋体" w:hAnsi="宋体" w:cs="宋体"/>
                <w:color w:val="auto"/>
                <w:kern w:val="0"/>
                <w:sz w:val="24"/>
                <w:highlight w:val="none"/>
              </w:rPr>
            </w:pPr>
          </w:p>
        </w:tc>
        <w:tc>
          <w:tcPr>
            <w:tcW w:w="1384" w:type="dxa"/>
            <w:noWrap w:val="0"/>
            <w:vAlign w:val="center"/>
          </w:tcPr>
          <w:p w14:paraId="333C0CD9">
            <w:pPr>
              <w:rPr>
                <w:rFonts w:hint="eastAsia" w:ascii="宋体" w:hAnsi="宋体" w:cs="宋体"/>
                <w:color w:val="auto"/>
                <w:kern w:val="0"/>
                <w:sz w:val="24"/>
                <w:highlight w:val="none"/>
              </w:rPr>
            </w:pPr>
          </w:p>
        </w:tc>
        <w:tc>
          <w:tcPr>
            <w:tcW w:w="1452" w:type="dxa"/>
            <w:noWrap w:val="0"/>
            <w:vAlign w:val="center"/>
          </w:tcPr>
          <w:p w14:paraId="47277339">
            <w:pPr>
              <w:widowControl/>
              <w:jc w:val="center"/>
              <w:textAlignment w:val="center"/>
              <w:rPr>
                <w:rFonts w:ascii="宋体" w:hAnsi="宋体"/>
                <w:color w:val="auto"/>
                <w:sz w:val="24"/>
                <w:highlight w:val="none"/>
              </w:rPr>
            </w:pPr>
          </w:p>
        </w:tc>
        <w:tc>
          <w:tcPr>
            <w:tcW w:w="1577" w:type="dxa"/>
            <w:noWrap w:val="0"/>
            <w:vAlign w:val="center"/>
          </w:tcPr>
          <w:p w14:paraId="3BFC0615">
            <w:pPr>
              <w:jc w:val="center"/>
              <w:rPr>
                <w:rFonts w:ascii="宋体" w:hAnsi="宋体"/>
                <w:color w:val="auto"/>
                <w:sz w:val="24"/>
                <w:highlight w:val="none"/>
              </w:rPr>
            </w:pPr>
          </w:p>
        </w:tc>
      </w:tr>
      <w:tr w14:paraId="63240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F69E0FB">
            <w:pPr>
              <w:widowControl/>
              <w:jc w:val="center"/>
              <w:textAlignment w:val="center"/>
              <w:rPr>
                <w:rFonts w:hint="eastAsia" w:ascii="宋体" w:hAnsi="宋体" w:cs="宋体"/>
                <w:color w:val="auto"/>
                <w:kern w:val="0"/>
                <w:sz w:val="22"/>
                <w:szCs w:val="22"/>
                <w:highlight w:val="none"/>
              </w:rPr>
            </w:pPr>
          </w:p>
        </w:tc>
        <w:tc>
          <w:tcPr>
            <w:tcW w:w="2485" w:type="dxa"/>
            <w:noWrap w:val="0"/>
            <w:vAlign w:val="center"/>
          </w:tcPr>
          <w:p w14:paraId="7A42BF91">
            <w:pPr>
              <w:widowControl/>
              <w:jc w:val="left"/>
              <w:textAlignment w:val="center"/>
              <w:rPr>
                <w:rFonts w:ascii="宋体" w:hAnsi="宋体" w:cs="宋体"/>
                <w:color w:val="auto"/>
                <w:kern w:val="0"/>
                <w:sz w:val="22"/>
                <w:szCs w:val="22"/>
                <w:highlight w:val="none"/>
              </w:rPr>
            </w:pPr>
          </w:p>
        </w:tc>
        <w:tc>
          <w:tcPr>
            <w:tcW w:w="842" w:type="dxa"/>
            <w:noWrap w:val="0"/>
            <w:vAlign w:val="center"/>
          </w:tcPr>
          <w:p w14:paraId="157DBB50">
            <w:pPr>
              <w:widowControl/>
              <w:jc w:val="center"/>
              <w:textAlignment w:val="center"/>
              <w:rPr>
                <w:rFonts w:hint="eastAsia" w:ascii="宋体" w:hAnsi="宋体" w:cs="宋体"/>
                <w:color w:val="auto"/>
                <w:kern w:val="0"/>
                <w:sz w:val="22"/>
                <w:szCs w:val="22"/>
                <w:highlight w:val="none"/>
              </w:rPr>
            </w:pPr>
          </w:p>
        </w:tc>
        <w:tc>
          <w:tcPr>
            <w:tcW w:w="793" w:type="dxa"/>
            <w:noWrap w:val="0"/>
            <w:vAlign w:val="center"/>
          </w:tcPr>
          <w:p w14:paraId="71AB8B3B">
            <w:pPr>
              <w:widowControl/>
              <w:jc w:val="center"/>
              <w:textAlignment w:val="center"/>
              <w:rPr>
                <w:rFonts w:hint="eastAsia" w:ascii="宋体" w:hAnsi="宋体" w:cs="宋体"/>
                <w:color w:val="auto"/>
                <w:kern w:val="0"/>
                <w:sz w:val="22"/>
                <w:szCs w:val="22"/>
                <w:highlight w:val="none"/>
              </w:rPr>
            </w:pPr>
          </w:p>
        </w:tc>
        <w:tc>
          <w:tcPr>
            <w:tcW w:w="1384" w:type="dxa"/>
            <w:noWrap w:val="0"/>
            <w:vAlign w:val="center"/>
          </w:tcPr>
          <w:p w14:paraId="34ECC522">
            <w:pPr>
              <w:widowControl/>
              <w:jc w:val="center"/>
              <w:textAlignment w:val="center"/>
              <w:rPr>
                <w:rFonts w:hint="eastAsia" w:ascii="宋体" w:hAnsi="宋体" w:cs="宋体"/>
                <w:color w:val="auto"/>
                <w:kern w:val="0"/>
                <w:sz w:val="22"/>
                <w:szCs w:val="22"/>
                <w:highlight w:val="none"/>
              </w:rPr>
            </w:pPr>
          </w:p>
        </w:tc>
        <w:tc>
          <w:tcPr>
            <w:tcW w:w="1452" w:type="dxa"/>
            <w:noWrap w:val="0"/>
            <w:vAlign w:val="center"/>
          </w:tcPr>
          <w:p w14:paraId="128320F9">
            <w:pPr>
              <w:widowControl/>
              <w:jc w:val="center"/>
              <w:textAlignment w:val="center"/>
              <w:rPr>
                <w:rFonts w:hint="eastAsia" w:ascii="宋体" w:hAnsi="宋体"/>
                <w:color w:val="auto"/>
                <w:sz w:val="24"/>
                <w:highlight w:val="none"/>
              </w:rPr>
            </w:pPr>
          </w:p>
        </w:tc>
        <w:tc>
          <w:tcPr>
            <w:tcW w:w="1577" w:type="dxa"/>
            <w:noWrap w:val="0"/>
            <w:vAlign w:val="center"/>
          </w:tcPr>
          <w:p w14:paraId="26F70707">
            <w:pPr>
              <w:widowControl/>
              <w:jc w:val="center"/>
              <w:textAlignment w:val="center"/>
              <w:rPr>
                <w:rFonts w:ascii="宋体" w:hAnsi="宋体"/>
                <w:color w:val="auto"/>
                <w:sz w:val="24"/>
                <w:highlight w:val="none"/>
              </w:rPr>
            </w:pPr>
          </w:p>
        </w:tc>
      </w:tr>
      <w:tr w14:paraId="75BAD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4ADFEEE">
            <w:pPr>
              <w:widowControl/>
              <w:jc w:val="center"/>
              <w:textAlignment w:val="center"/>
              <w:rPr>
                <w:rFonts w:ascii="宋体" w:hAnsi="宋体" w:cs="宋体"/>
                <w:color w:val="auto"/>
                <w:kern w:val="0"/>
                <w:sz w:val="22"/>
                <w:szCs w:val="22"/>
                <w:highlight w:val="none"/>
              </w:rPr>
            </w:pPr>
          </w:p>
        </w:tc>
        <w:tc>
          <w:tcPr>
            <w:tcW w:w="2485" w:type="dxa"/>
            <w:noWrap w:val="0"/>
            <w:vAlign w:val="center"/>
          </w:tcPr>
          <w:p w14:paraId="7D1FD52C">
            <w:pPr>
              <w:widowControl/>
              <w:jc w:val="center"/>
              <w:textAlignment w:val="center"/>
              <w:rPr>
                <w:rFonts w:ascii="宋体" w:hAnsi="宋体" w:cs="宋体"/>
                <w:color w:val="auto"/>
                <w:kern w:val="0"/>
                <w:sz w:val="22"/>
                <w:szCs w:val="22"/>
                <w:highlight w:val="none"/>
              </w:rPr>
            </w:pPr>
          </w:p>
        </w:tc>
        <w:tc>
          <w:tcPr>
            <w:tcW w:w="842" w:type="dxa"/>
            <w:noWrap w:val="0"/>
            <w:vAlign w:val="center"/>
          </w:tcPr>
          <w:p w14:paraId="65DC8CDF">
            <w:pPr>
              <w:widowControl/>
              <w:jc w:val="center"/>
              <w:textAlignment w:val="center"/>
              <w:rPr>
                <w:rFonts w:ascii="宋体" w:hAnsi="宋体" w:cs="宋体"/>
                <w:color w:val="auto"/>
                <w:kern w:val="0"/>
                <w:sz w:val="22"/>
                <w:szCs w:val="22"/>
                <w:highlight w:val="none"/>
              </w:rPr>
            </w:pPr>
          </w:p>
        </w:tc>
        <w:tc>
          <w:tcPr>
            <w:tcW w:w="793" w:type="dxa"/>
            <w:noWrap w:val="0"/>
            <w:vAlign w:val="center"/>
          </w:tcPr>
          <w:p w14:paraId="68BEC0E7">
            <w:pPr>
              <w:jc w:val="center"/>
              <w:rPr>
                <w:rFonts w:hint="eastAsia" w:ascii="宋体" w:hAnsi="宋体" w:cs="宋体"/>
                <w:color w:val="auto"/>
                <w:kern w:val="0"/>
                <w:sz w:val="22"/>
                <w:szCs w:val="22"/>
                <w:highlight w:val="none"/>
              </w:rPr>
            </w:pPr>
          </w:p>
        </w:tc>
        <w:tc>
          <w:tcPr>
            <w:tcW w:w="1384" w:type="dxa"/>
            <w:noWrap w:val="0"/>
            <w:vAlign w:val="center"/>
          </w:tcPr>
          <w:p w14:paraId="4BA47514">
            <w:pPr>
              <w:jc w:val="center"/>
              <w:rPr>
                <w:rFonts w:ascii="宋体" w:hAnsi="宋体" w:cs="宋体"/>
                <w:color w:val="auto"/>
                <w:kern w:val="0"/>
                <w:sz w:val="22"/>
                <w:szCs w:val="22"/>
                <w:highlight w:val="none"/>
              </w:rPr>
            </w:pPr>
          </w:p>
        </w:tc>
        <w:tc>
          <w:tcPr>
            <w:tcW w:w="1452" w:type="dxa"/>
            <w:noWrap w:val="0"/>
            <w:vAlign w:val="center"/>
          </w:tcPr>
          <w:p w14:paraId="1FE54483">
            <w:pPr>
              <w:widowControl/>
              <w:jc w:val="center"/>
              <w:textAlignment w:val="center"/>
              <w:rPr>
                <w:rFonts w:hint="eastAsia" w:ascii="宋体" w:hAnsi="宋体"/>
                <w:color w:val="auto"/>
                <w:sz w:val="24"/>
                <w:highlight w:val="none"/>
              </w:rPr>
            </w:pPr>
          </w:p>
        </w:tc>
        <w:tc>
          <w:tcPr>
            <w:tcW w:w="1577" w:type="dxa"/>
            <w:noWrap w:val="0"/>
            <w:vAlign w:val="center"/>
          </w:tcPr>
          <w:p w14:paraId="18A7CAE5">
            <w:pPr>
              <w:jc w:val="center"/>
              <w:rPr>
                <w:rFonts w:ascii="宋体" w:hAnsi="宋体"/>
                <w:color w:val="auto"/>
                <w:sz w:val="24"/>
                <w:highlight w:val="none"/>
              </w:rPr>
            </w:pPr>
          </w:p>
        </w:tc>
      </w:tr>
      <w:tr w14:paraId="3FAF9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3054B25">
            <w:pPr>
              <w:widowControl/>
              <w:jc w:val="center"/>
              <w:rPr>
                <w:rFonts w:ascii="宋体" w:hAnsi="宋体" w:cs="宋体"/>
                <w:color w:val="auto"/>
                <w:kern w:val="0"/>
                <w:sz w:val="22"/>
                <w:szCs w:val="22"/>
                <w:highlight w:val="none"/>
              </w:rPr>
            </w:pPr>
          </w:p>
        </w:tc>
        <w:tc>
          <w:tcPr>
            <w:tcW w:w="2485" w:type="dxa"/>
            <w:noWrap w:val="0"/>
            <w:vAlign w:val="center"/>
          </w:tcPr>
          <w:p w14:paraId="558D8EBF">
            <w:pPr>
              <w:widowControl/>
              <w:rPr>
                <w:rFonts w:ascii="宋体" w:hAnsi="宋体" w:cs="宋体"/>
                <w:color w:val="auto"/>
                <w:kern w:val="0"/>
                <w:sz w:val="22"/>
                <w:szCs w:val="22"/>
                <w:highlight w:val="none"/>
              </w:rPr>
            </w:pPr>
          </w:p>
        </w:tc>
        <w:tc>
          <w:tcPr>
            <w:tcW w:w="842" w:type="dxa"/>
            <w:noWrap w:val="0"/>
            <w:vAlign w:val="center"/>
          </w:tcPr>
          <w:p w14:paraId="30305915">
            <w:pPr>
              <w:widowControl/>
              <w:jc w:val="center"/>
              <w:rPr>
                <w:rFonts w:ascii="宋体" w:hAnsi="宋体" w:cs="宋体"/>
                <w:color w:val="auto"/>
                <w:kern w:val="0"/>
                <w:sz w:val="22"/>
                <w:szCs w:val="22"/>
                <w:highlight w:val="none"/>
              </w:rPr>
            </w:pPr>
          </w:p>
        </w:tc>
        <w:tc>
          <w:tcPr>
            <w:tcW w:w="793" w:type="dxa"/>
            <w:noWrap w:val="0"/>
            <w:vAlign w:val="center"/>
          </w:tcPr>
          <w:p w14:paraId="277455F7">
            <w:pPr>
              <w:widowControl/>
              <w:jc w:val="center"/>
              <w:rPr>
                <w:rFonts w:hint="eastAsia" w:ascii="宋体" w:hAnsi="宋体" w:cs="宋体"/>
                <w:color w:val="auto"/>
                <w:kern w:val="0"/>
                <w:sz w:val="22"/>
                <w:szCs w:val="22"/>
                <w:highlight w:val="none"/>
              </w:rPr>
            </w:pPr>
          </w:p>
        </w:tc>
        <w:tc>
          <w:tcPr>
            <w:tcW w:w="1384" w:type="dxa"/>
            <w:noWrap w:val="0"/>
            <w:vAlign w:val="center"/>
          </w:tcPr>
          <w:p w14:paraId="1B0EC3EE">
            <w:pPr>
              <w:widowControl/>
              <w:jc w:val="center"/>
              <w:rPr>
                <w:rFonts w:ascii="宋体" w:hAnsi="宋体" w:cs="宋体"/>
                <w:color w:val="auto"/>
                <w:kern w:val="0"/>
                <w:sz w:val="22"/>
                <w:szCs w:val="22"/>
                <w:highlight w:val="none"/>
              </w:rPr>
            </w:pPr>
          </w:p>
        </w:tc>
        <w:tc>
          <w:tcPr>
            <w:tcW w:w="1452" w:type="dxa"/>
            <w:noWrap w:val="0"/>
            <w:vAlign w:val="center"/>
          </w:tcPr>
          <w:p w14:paraId="02E5D76E">
            <w:pPr>
              <w:pStyle w:val="22"/>
              <w:spacing w:after="0"/>
              <w:ind w:left="63" w:right="63"/>
              <w:rPr>
                <w:rFonts w:hint="eastAsia" w:ascii="宋体" w:hAnsi="宋体"/>
                <w:color w:val="auto"/>
                <w:sz w:val="24"/>
                <w:highlight w:val="none"/>
              </w:rPr>
            </w:pPr>
          </w:p>
        </w:tc>
        <w:tc>
          <w:tcPr>
            <w:tcW w:w="1577" w:type="dxa"/>
            <w:noWrap w:val="0"/>
            <w:vAlign w:val="center"/>
          </w:tcPr>
          <w:p w14:paraId="649D5929">
            <w:pPr>
              <w:pStyle w:val="22"/>
              <w:spacing w:after="0"/>
              <w:ind w:left="63" w:right="63"/>
              <w:rPr>
                <w:rFonts w:ascii="宋体" w:hAnsi="宋体"/>
                <w:color w:val="auto"/>
                <w:sz w:val="24"/>
                <w:highlight w:val="none"/>
              </w:rPr>
            </w:pPr>
          </w:p>
        </w:tc>
      </w:tr>
      <w:tr w14:paraId="5FB7E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B842ABE">
            <w:pPr>
              <w:widowControl/>
              <w:jc w:val="center"/>
              <w:rPr>
                <w:rFonts w:ascii="宋体" w:hAnsi="宋体" w:cs="宋体"/>
                <w:color w:val="auto"/>
                <w:kern w:val="0"/>
                <w:sz w:val="22"/>
                <w:szCs w:val="22"/>
                <w:highlight w:val="none"/>
              </w:rPr>
            </w:pPr>
          </w:p>
        </w:tc>
        <w:tc>
          <w:tcPr>
            <w:tcW w:w="2485" w:type="dxa"/>
            <w:noWrap w:val="0"/>
            <w:vAlign w:val="center"/>
          </w:tcPr>
          <w:p w14:paraId="68BDDFF7">
            <w:pPr>
              <w:widowControl/>
              <w:rPr>
                <w:rFonts w:ascii="宋体" w:hAnsi="宋体" w:cs="宋体"/>
                <w:color w:val="auto"/>
                <w:kern w:val="0"/>
                <w:sz w:val="22"/>
                <w:szCs w:val="22"/>
                <w:highlight w:val="none"/>
              </w:rPr>
            </w:pPr>
          </w:p>
        </w:tc>
        <w:tc>
          <w:tcPr>
            <w:tcW w:w="842" w:type="dxa"/>
            <w:noWrap w:val="0"/>
            <w:vAlign w:val="center"/>
          </w:tcPr>
          <w:p w14:paraId="1AA3BAFC">
            <w:pPr>
              <w:widowControl/>
              <w:jc w:val="center"/>
              <w:rPr>
                <w:rFonts w:ascii="宋体" w:hAnsi="宋体" w:cs="宋体"/>
                <w:color w:val="auto"/>
                <w:kern w:val="0"/>
                <w:sz w:val="22"/>
                <w:szCs w:val="22"/>
                <w:highlight w:val="none"/>
              </w:rPr>
            </w:pPr>
          </w:p>
        </w:tc>
        <w:tc>
          <w:tcPr>
            <w:tcW w:w="793" w:type="dxa"/>
            <w:noWrap w:val="0"/>
            <w:vAlign w:val="center"/>
          </w:tcPr>
          <w:p w14:paraId="554C2E87">
            <w:pPr>
              <w:widowControl/>
              <w:jc w:val="center"/>
              <w:rPr>
                <w:rFonts w:hint="eastAsia" w:ascii="宋体" w:hAnsi="宋体" w:cs="宋体"/>
                <w:color w:val="auto"/>
                <w:kern w:val="0"/>
                <w:sz w:val="22"/>
                <w:szCs w:val="22"/>
                <w:highlight w:val="none"/>
              </w:rPr>
            </w:pPr>
          </w:p>
        </w:tc>
        <w:tc>
          <w:tcPr>
            <w:tcW w:w="1384" w:type="dxa"/>
            <w:noWrap w:val="0"/>
            <w:vAlign w:val="center"/>
          </w:tcPr>
          <w:p w14:paraId="1591BED1">
            <w:pPr>
              <w:widowControl/>
              <w:jc w:val="center"/>
              <w:rPr>
                <w:rFonts w:ascii="宋体" w:hAnsi="宋体" w:cs="宋体"/>
                <w:color w:val="auto"/>
                <w:kern w:val="0"/>
                <w:sz w:val="22"/>
                <w:szCs w:val="22"/>
                <w:highlight w:val="none"/>
              </w:rPr>
            </w:pPr>
          </w:p>
        </w:tc>
        <w:tc>
          <w:tcPr>
            <w:tcW w:w="1452" w:type="dxa"/>
            <w:noWrap w:val="0"/>
            <w:vAlign w:val="center"/>
          </w:tcPr>
          <w:p w14:paraId="64E58D2B">
            <w:pPr>
              <w:pStyle w:val="22"/>
              <w:spacing w:after="0"/>
              <w:ind w:left="63" w:right="63"/>
              <w:rPr>
                <w:rFonts w:hint="eastAsia" w:ascii="宋体" w:hAnsi="宋体"/>
                <w:color w:val="auto"/>
                <w:sz w:val="24"/>
                <w:highlight w:val="none"/>
              </w:rPr>
            </w:pPr>
          </w:p>
        </w:tc>
        <w:tc>
          <w:tcPr>
            <w:tcW w:w="1577" w:type="dxa"/>
            <w:noWrap w:val="0"/>
            <w:vAlign w:val="center"/>
          </w:tcPr>
          <w:p w14:paraId="752374A2">
            <w:pPr>
              <w:pStyle w:val="22"/>
              <w:spacing w:after="0"/>
              <w:ind w:left="63" w:right="63"/>
              <w:rPr>
                <w:rFonts w:ascii="宋体" w:hAnsi="宋体"/>
                <w:color w:val="auto"/>
                <w:sz w:val="24"/>
                <w:highlight w:val="none"/>
              </w:rPr>
            </w:pPr>
          </w:p>
        </w:tc>
      </w:tr>
      <w:tr w14:paraId="56FBA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86EDC8E">
            <w:pPr>
              <w:widowControl/>
              <w:jc w:val="center"/>
              <w:rPr>
                <w:rFonts w:ascii="宋体" w:hAnsi="宋体" w:cs="宋体"/>
                <w:color w:val="auto"/>
                <w:kern w:val="0"/>
                <w:sz w:val="22"/>
                <w:szCs w:val="22"/>
                <w:highlight w:val="none"/>
              </w:rPr>
            </w:pPr>
          </w:p>
        </w:tc>
        <w:tc>
          <w:tcPr>
            <w:tcW w:w="2485" w:type="dxa"/>
            <w:noWrap w:val="0"/>
            <w:vAlign w:val="center"/>
          </w:tcPr>
          <w:p w14:paraId="7E590C17">
            <w:pPr>
              <w:widowControl/>
              <w:rPr>
                <w:rFonts w:ascii="宋体" w:hAnsi="宋体" w:cs="宋体"/>
                <w:color w:val="auto"/>
                <w:kern w:val="0"/>
                <w:sz w:val="22"/>
                <w:szCs w:val="22"/>
                <w:highlight w:val="none"/>
              </w:rPr>
            </w:pPr>
          </w:p>
        </w:tc>
        <w:tc>
          <w:tcPr>
            <w:tcW w:w="842" w:type="dxa"/>
            <w:noWrap w:val="0"/>
            <w:vAlign w:val="center"/>
          </w:tcPr>
          <w:p w14:paraId="1E36E2BE">
            <w:pPr>
              <w:widowControl/>
              <w:jc w:val="center"/>
              <w:rPr>
                <w:rFonts w:ascii="宋体" w:hAnsi="宋体" w:cs="宋体"/>
                <w:color w:val="auto"/>
                <w:kern w:val="0"/>
                <w:sz w:val="22"/>
                <w:szCs w:val="22"/>
                <w:highlight w:val="none"/>
              </w:rPr>
            </w:pPr>
          </w:p>
        </w:tc>
        <w:tc>
          <w:tcPr>
            <w:tcW w:w="793" w:type="dxa"/>
            <w:noWrap w:val="0"/>
            <w:vAlign w:val="center"/>
          </w:tcPr>
          <w:p w14:paraId="528B80B3">
            <w:pPr>
              <w:widowControl/>
              <w:jc w:val="center"/>
              <w:rPr>
                <w:rFonts w:hint="eastAsia" w:ascii="宋体" w:hAnsi="宋体" w:cs="宋体"/>
                <w:color w:val="auto"/>
                <w:kern w:val="0"/>
                <w:sz w:val="22"/>
                <w:szCs w:val="22"/>
                <w:highlight w:val="none"/>
              </w:rPr>
            </w:pPr>
          </w:p>
        </w:tc>
        <w:tc>
          <w:tcPr>
            <w:tcW w:w="1384" w:type="dxa"/>
            <w:noWrap w:val="0"/>
            <w:vAlign w:val="center"/>
          </w:tcPr>
          <w:p w14:paraId="0F59CA9E">
            <w:pPr>
              <w:widowControl/>
              <w:jc w:val="center"/>
              <w:rPr>
                <w:rFonts w:ascii="宋体" w:hAnsi="宋体" w:cs="宋体"/>
                <w:color w:val="auto"/>
                <w:kern w:val="0"/>
                <w:sz w:val="22"/>
                <w:szCs w:val="22"/>
                <w:highlight w:val="none"/>
              </w:rPr>
            </w:pPr>
          </w:p>
        </w:tc>
        <w:tc>
          <w:tcPr>
            <w:tcW w:w="1452" w:type="dxa"/>
            <w:noWrap w:val="0"/>
            <w:vAlign w:val="center"/>
          </w:tcPr>
          <w:p w14:paraId="2C1CB2FF">
            <w:pPr>
              <w:pStyle w:val="22"/>
              <w:spacing w:after="0"/>
              <w:ind w:left="63" w:right="63"/>
              <w:rPr>
                <w:rFonts w:hint="eastAsia" w:ascii="宋体" w:hAnsi="宋体"/>
                <w:color w:val="auto"/>
                <w:sz w:val="24"/>
                <w:highlight w:val="none"/>
              </w:rPr>
            </w:pPr>
          </w:p>
        </w:tc>
        <w:tc>
          <w:tcPr>
            <w:tcW w:w="1577" w:type="dxa"/>
            <w:noWrap w:val="0"/>
            <w:vAlign w:val="center"/>
          </w:tcPr>
          <w:p w14:paraId="62395F34">
            <w:pPr>
              <w:pStyle w:val="22"/>
              <w:spacing w:after="0"/>
              <w:ind w:left="63" w:right="63"/>
              <w:rPr>
                <w:rFonts w:ascii="宋体" w:hAnsi="宋体"/>
                <w:color w:val="auto"/>
                <w:sz w:val="24"/>
                <w:highlight w:val="none"/>
              </w:rPr>
            </w:pPr>
          </w:p>
        </w:tc>
      </w:tr>
      <w:tr w14:paraId="3C770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50CEAAC">
            <w:pPr>
              <w:widowControl/>
              <w:jc w:val="center"/>
              <w:rPr>
                <w:rFonts w:ascii="宋体" w:hAnsi="宋体" w:cs="宋体"/>
                <w:color w:val="auto"/>
                <w:kern w:val="0"/>
                <w:sz w:val="22"/>
                <w:szCs w:val="22"/>
                <w:highlight w:val="none"/>
              </w:rPr>
            </w:pPr>
          </w:p>
        </w:tc>
        <w:tc>
          <w:tcPr>
            <w:tcW w:w="2485" w:type="dxa"/>
            <w:noWrap w:val="0"/>
            <w:vAlign w:val="center"/>
          </w:tcPr>
          <w:p w14:paraId="707B7CEB">
            <w:pPr>
              <w:widowControl/>
              <w:rPr>
                <w:rFonts w:ascii="宋体" w:hAnsi="宋体" w:cs="宋体"/>
                <w:color w:val="auto"/>
                <w:kern w:val="0"/>
                <w:sz w:val="22"/>
                <w:szCs w:val="22"/>
                <w:highlight w:val="none"/>
              </w:rPr>
            </w:pPr>
          </w:p>
        </w:tc>
        <w:tc>
          <w:tcPr>
            <w:tcW w:w="842" w:type="dxa"/>
            <w:noWrap w:val="0"/>
            <w:vAlign w:val="center"/>
          </w:tcPr>
          <w:p w14:paraId="1B69067D">
            <w:pPr>
              <w:widowControl/>
              <w:jc w:val="center"/>
              <w:rPr>
                <w:rFonts w:ascii="宋体" w:hAnsi="宋体" w:cs="宋体"/>
                <w:color w:val="auto"/>
                <w:kern w:val="0"/>
                <w:sz w:val="22"/>
                <w:szCs w:val="22"/>
                <w:highlight w:val="none"/>
              </w:rPr>
            </w:pPr>
          </w:p>
        </w:tc>
        <w:tc>
          <w:tcPr>
            <w:tcW w:w="793" w:type="dxa"/>
            <w:noWrap w:val="0"/>
            <w:vAlign w:val="center"/>
          </w:tcPr>
          <w:p w14:paraId="03815F1E">
            <w:pPr>
              <w:widowControl/>
              <w:jc w:val="center"/>
              <w:rPr>
                <w:rFonts w:hint="eastAsia" w:ascii="宋体" w:hAnsi="宋体" w:cs="宋体"/>
                <w:color w:val="auto"/>
                <w:kern w:val="0"/>
                <w:sz w:val="22"/>
                <w:szCs w:val="22"/>
                <w:highlight w:val="none"/>
              </w:rPr>
            </w:pPr>
          </w:p>
        </w:tc>
        <w:tc>
          <w:tcPr>
            <w:tcW w:w="1384" w:type="dxa"/>
            <w:noWrap w:val="0"/>
            <w:vAlign w:val="center"/>
          </w:tcPr>
          <w:p w14:paraId="7561D7FC">
            <w:pPr>
              <w:widowControl/>
              <w:jc w:val="center"/>
              <w:rPr>
                <w:rFonts w:ascii="宋体" w:hAnsi="宋体" w:cs="宋体"/>
                <w:color w:val="auto"/>
                <w:kern w:val="0"/>
                <w:sz w:val="22"/>
                <w:szCs w:val="22"/>
                <w:highlight w:val="none"/>
              </w:rPr>
            </w:pPr>
          </w:p>
        </w:tc>
        <w:tc>
          <w:tcPr>
            <w:tcW w:w="1452" w:type="dxa"/>
            <w:noWrap w:val="0"/>
            <w:vAlign w:val="center"/>
          </w:tcPr>
          <w:p w14:paraId="21471262">
            <w:pPr>
              <w:pStyle w:val="22"/>
              <w:spacing w:after="0"/>
              <w:ind w:left="63" w:right="63"/>
              <w:rPr>
                <w:rFonts w:hint="eastAsia" w:ascii="宋体" w:hAnsi="宋体"/>
                <w:color w:val="auto"/>
                <w:sz w:val="24"/>
                <w:highlight w:val="none"/>
              </w:rPr>
            </w:pPr>
          </w:p>
        </w:tc>
        <w:tc>
          <w:tcPr>
            <w:tcW w:w="1577" w:type="dxa"/>
            <w:noWrap w:val="0"/>
            <w:vAlign w:val="center"/>
          </w:tcPr>
          <w:p w14:paraId="1820A00A">
            <w:pPr>
              <w:pStyle w:val="22"/>
              <w:spacing w:after="0"/>
              <w:ind w:left="63" w:right="63"/>
              <w:rPr>
                <w:rFonts w:ascii="宋体" w:hAnsi="宋体"/>
                <w:color w:val="auto"/>
                <w:sz w:val="24"/>
                <w:highlight w:val="none"/>
              </w:rPr>
            </w:pPr>
          </w:p>
        </w:tc>
      </w:tr>
      <w:tr w14:paraId="2232F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411EEC7">
            <w:pPr>
              <w:widowControl/>
              <w:jc w:val="center"/>
              <w:rPr>
                <w:rFonts w:ascii="宋体" w:hAnsi="宋体" w:cs="宋体"/>
                <w:color w:val="auto"/>
                <w:kern w:val="0"/>
                <w:sz w:val="22"/>
                <w:szCs w:val="22"/>
                <w:highlight w:val="none"/>
              </w:rPr>
            </w:pPr>
          </w:p>
        </w:tc>
        <w:tc>
          <w:tcPr>
            <w:tcW w:w="2485" w:type="dxa"/>
            <w:noWrap w:val="0"/>
            <w:vAlign w:val="center"/>
          </w:tcPr>
          <w:p w14:paraId="5DEBF93B">
            <w:pPr>
              <w:widowControl/>
              <w:rPr>
                <w:rFonts w:ascii="宋体" w:hAnsi="宋体" w:cs="宋体"/>
                <w:color w:val="auto"/>
                <w:kern w:val="0"/>
                <w:sz w:val="22"/>
                <w:szCs w:val="22"/>
                <w:highlight w:val="none"/>
              </w:rPr>
            </w:pPr>
          </w:p>
        </w:tc>
        <w:tc>
          <w:tcPr>
            <w:tcW w:w="842" w:type="dxa"/>
            <w:noWrap w:val="0"/>
            <w:vAlign w:val="center"/>
          </w:tcPr>
          <w:p w14:paraId="032AB2DC">
            <w:pPr>
              <w:widowControl/>
              <w:jc w:val="center"/>
              <w:rPr>
                <w:rFonts w:ascii="宋体" w:hAnsi="宋体" w:cs="宋体"/>
                <w:color w:val="auto"/>
                <w:kern w:val="0"/>
                <w:sz w:val="22"/>
                <w:szCs w:val="22"/>
                <w:highlight w:val="none"/>
              </w:rPr>
            </w:pPr>
          </w:p>
        </w:tc>
        <w:tc>
          <w:tcPr>
            <w:tcW w:w="793" w:type="dxa"/>
            <w:noWrap w:val="0"/>
            <w:vAlign w:val="center"/>
          </w:tcPr>
          <w:p w14:paraId="5F4532C9">
            <w:pPr>
              <w:widowControl/>
              <w:jc w:val="center"/>
              <w:rPr>
                <w:rFonts w:hint="eastAsia" w:ascii="宋体" w:hAnsi="宋体" w:cs="宋体"/>
                <w:color w:val="auto"/>
                <w:kern w:val="0"/>
                <w:sz w:val="22"/>
                <w:szCs w:val="22"/>
                <w:highlight w:val="none"/>
              </w:rPr>
            </w:pPr>
          </w:p>
        </w:tc>
        <w:tc>
          <w:tcPr>
            <w:tcW w:w="1384" w:type="dxa"/>
            <w:noWrap w:val="0"/>
            <w:vAlign w:val="center"/>
          </w:tcPr>
          <w:p w14:paraId="709F9769">
            <w:pPr>
              <w:widowControl/>
              <w:jc w:val="center"/>
              <w:rPr>
                <w:rFonts w:ascii="宋体" w:hAnsi="宋体" w:cs="宋体"/>
                <w:color w:val="auto"/>
                <w:kern w:val="0"/>
                <w:sz w:val="22"/>
                <w:szCs w:val="22"/>
                <w:highlight w:val="none"/>
              </w:rPr>
            </w:pPr>
          </w:p>
        </w:tc>
        <w:tc>
          <w:tcPr>
            <w:tcW w:w="1452" w:type="dxa"/>
            <w:noWrap w:val="0"/>
            <w:vAlign w:val="center"/>
          </w:tcPr>
          <w:p w14:paraId="50881F57">
            <w:pPr>
              <w:pStyle w:val="22"/>
              <w:spacing w:after="0"/>
              <w:ind w:left="63" w:right="63"/>
              <w:rPr>
                <w:rFonts w:hint="eastAsia" w:ascii="宋体" w:hAnsi="宋体"/>
                <w:color w:val="auto"/>
                <w:sz w:val="24"/>
                <w:highlight w:val="none"/>
              </w:rPr>
            </w:pPr>
          </w:p>
        </w:tc>
        <w:tc>
          <w:tcPr>
            <w:tcW w:w="1577" w:type="dxa"/>
            <w:noWrap w:val="0"/>
            <w:vAlign w:val="center"/>
          </w:tcPr>
          <w:p w14:paraId="696934E7">
            <w:pPr>
              <w:pStyle w:val="22"/>
              <w:spacing w:after="0"/>
              <w:ind w:left="63" w:right="63"/>
              <w:rPr>
                <w:rFonts w:ascii="宋体" w:hAnsi="宋体"/>
                <w:color w:val="auto"/>
                <w:sz w:val="24"/>
                <w:highlight w:val="none"/>
              </w:rPr>
            </w:pPr>
          </w:p>
        </w:tc>
      </w:tr>
      <w:tr w14:paraId="295CD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CEA5C60">
            <w:pPr>
              <w:widowControl/>
              <w:jc w:val="center"/>
              <w:rPr>
                <w:rFonts w:ascii="宋体" w:hAnsi="宋体" w:cs="宋体"/>
                <w:color w:val="auto"/>
                <w:kern w:val="0"/>
                <w:sz w:val="22"/>
                <w:szCs w:val="22"/>
                <w:highlight w:val="none"/>
              </w:rPr>
            </w:pPr>
          </w:p>
        </w:tc>
        <w:tc>
          <w:tcPr>
            <w:tcW w:w="2485" w:type="dxa"/>
            <w:noWrap w:val="0"/>
            <w:vAlign w:val="center"/>
          </w:tcPr>
          <w:p w14:paraId="43E0A05D">
            <w:pPr>
              <w:widowControl/>
              <w:rPr>
                <w:rFonts w:ascii="宋体" w:hAnsi="宋体" w:cs="宋体"/>
                <w:color w:val="auto"/>
                <w:kern w:val="0"/>
                <w:sz w:val="22"/>
                <w:szCs w:val="22"/>
                <w:highlight w:val="none"/>
              </w:rPr>
            </w:pPr>
          </w:p>
        </w:tc>
        <w:tc>
          <w:tcPr>
            <w:tcW w:w="842" w:type="dxa"/>
            <w:noWrap w:val="0"/>
            <w:vAlign w:val="center"/>
          </w:tcPr>
          <w:p w14:paraId="5287032F">
            <w:pPr>
              <w:widowControl/>
              <w:jc w:val="center"/>
              <w:rPr>
                <w:rFonts w:ascii="宋体" w:hAnsi="宋体" w:cs="宋体"/>
                <w:color w:val="auto"/>
                <w:kern w:val="0"/>
                <w:sz w:val="22"/>
                <w:szCs w:val="22"/>
                <w:highlight w:val="none"/>
              </w:rPr>
            </w:pPr>
          </w:p>
        </w:tc>
        <w:tc>
          <w:tcPr>
            <w:tcW w:w="793" w:type="dxa"/>
            <w:noWrap w:val="0"/>
            <w:vAlign w:val="center"/>
          </w:tcPr>
          <w:p w14:paraId="5F6891DE">
            <w:pPr>
              <w:widowControl/>
              <w:jc w:val="center"/>
              <w:rPr>
                <w:rFonts w:hint="eastAsia" w:ascii="宋体" w:hAnsi="宋体" w:cs="宋体"/>
                <w:color w:val="auto"/>
                <w:kern w:val="0"/>
                <w:sz w:val="22"/>
                <w:szCs w:val="22"/>
                <w:highlight w:val="none"/>
              </w:rPr>
            </w:pPr>
          </w:p>
        </w:tc>
        <w:tc>
          <w:tcPr>
            <w:tcW w:w="1384" w:type="dxa"/>
            <w:noWrap w:val="0"/>
            <w:vAlign w:val="center"/>
          </w:tcPr>
          <w:p w14:paraId="22BD4C55">
            <w:pPr>
              <w:widowControl/>
              <w:jc w:val="center"/>
              <w:rPr>
                <w:rFonts w:ascii="宋体" w:hAnsi="宋体" w:cs="宋体"/>
                <w:color w:val="auto"/>
                <w:kern w:val="0"/>
                <w:sz w:val="22"/>
                <w:szCs w:val="22"/>
                <w:highlight w:val="none"/>
              </w:rPr>
            </w:pPr>
          </w:p>
        </w:tc>
        <w:tc>
          <w:tcPr>
            <w:tcW w:w="1452" w:type="dxa"/>
            <w:noWrap w:val="0"/>
            <w:vAlign w:val="center"/>
          </w:tcPr>
          <w:p w14:paraId="320603F8">
            <w:pPr>
              <w:pStyle w:val="22"/>
              <w:spacing w:after="0"/>
              <w:ind w:left="63" w:right="63"/>
              <w:rPr>
                <w:rFonts w:hint="eastAsia" w:ascii="宋体" w:hAnsi="宋体"/>
                <w:color w:val="auto"/>
                <w:sz w:val="24"/>
                <w:highlight w:val="none"/>
              </w:rPr>
            </w:pPr>
          </w:p>
        </w:tc>
        <w:tc>
          <w:tcPr>
            <w:tcW w:w="1577" w:type="dxa"/>
            <w:noWrap w:val="0"/>
            <w:vAlign w:val="center"/>
          </w:tcPr>
          <w:p w14:paraId="553ED7AD">
            <w:pPr>
              <w:pStyle w:val="22"/>
              <w:spacing w:after="0"/>
              <w:ind w:left="63" w:right="63"/>
              <w:rPr>
                <w:rFonts w:ascii="宋体" w:hAnsi="宋体"/>
                <w:color w:val="auto"/>
                <w:sz w:val="24"/>
                <w:highlight w:val="none"/>
              </w:rPr>
            </w:pPr>
          </w:p>
        </w:tc>
      </w:tr>
      <w:tr w14:paraId="37478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FBD3864">
            <w:pPr>
              <w:widowControl/>
              <w:jc w:val="center"/>
              <w:rPr>
                <w:rFonts w:ascii="宋体" w:hAnsi="宋体" w:cs="宋体"/>
                <w:color w:val="auto"/>
                <w:kern w:val="0"/>
                <w:sz w:val="22"/>
                <w:szCs w:val="22"/>
                <w:highlight w:val="none"/>
              </w:rPr>
            </w:pPr>
          </w:p>
        </w:tc>
        <w:tc>
          <w:tcPr>
            <w:tcW w:w="2485" w:type="dxa"/>
            <w:noWrap w:val="0"/>
            <w:vAlign w:val="center"/>
          </w:tcPr>
          <w:p w14:paraId="1518994F">
            <w:pPr>
              <w:widowControl/>
              <w:rPr>
                <w:rFonts w:ascii="宋体" w:hAnsi="宋体" w:cs="宋体"/>
                <w:color w:val="auto"/>
                <w:kern w:val="0"/>
                <w:sz w:val="22"/>
                <w:szCs w:val="22"/>
                <w:highlight w:val="none"/>
              </w:rPr>
            </w:pPr>
          </w:p>
        </w:tc>
        <w:tc>
          <w:tcPr>
            <w:tcW w:w="842" w:type="dxa"/>
            <w:noWrap w:val="0"/>
            <w:vAlign w:val="center"/>
          </w:tcPr>
          <w:p w14:paraId="45B84B5D">
            <w:pPr>
              <w:widowControl/>
              <w:jc w:val="center"/>
              <w:rPr>
                <w:rFonts w:ascii="宋体" w:hAnsi="宋体" w:cs="宋体"/>
                <w:color w:val="auto"/>
                <w:kern w:val="0"/>
                <w:sz w:val="22"/>
                <w:szCs w:val="22"/>
                <w:highlight w:val="none"/>
              </w:rPr>
            </w:pPr>
          </w:p>
        </w:tc>
        <w:tc>
          <w:tcPr>
            <w:tcW w:w="793" w:type="dxa"/>
            <w:noWrap w:val="0"/>
            <w:vAlign w:val="center"/>
          </w:tcPr>
          <w:p w14:paraId="0E5570DD">
            <w:pPr>
              <w:widowControl/>
              <w:jc w:val="center"/>
              <w:rPr>
                <w:rFonts w:hint="eastAsia" w:ascii="宋体" w:hAnsi="宋体" w:cs="宋体"/>
                <w:color w:val="auto"/>
                <w:kern w:val="0"/>
                <w:sz w:val="22"/>
                <w:szCs w:val="22"/>
                <w:highlight w:val="none"/>
              </w:rPr>
            </w:pPr>
          </w:p>
        </w:tc>
        <w:tc>
          <w:tcPr>
            <w:tcW w:w="1384" w:type="dxa"/>
            <w:noWrap w:val="0"/>
            <w:vAlign w:val="center"/>
          </w:tcPr>
          <w:p w14:paraId="496FF850">
            <w:pPr>
              <w:widowControl/>
              <w:jc w:val="center"/>
              <w:rPr>
                <w:rFonts w:ascii="宋体" w:hAnsi="宋体" w:cs="宋体"/>
                <w:color w:val="auto"/>
                <w:kern w:val="0"/>
                <w:sz w:val="22"/>
                <w:szCs w:val="22"/>
                <w:highlight w:val="none"/>
              </w:rPr>
            </w:pPr>
          </w:p>
        </w:tc>
        <w:tc>
          <w:tcPr>
            <w:tcW w:w="1452" w:type="dxa"/>
            <w:noWrap w:val="0"/>
            <w:vAlign w:val="center"/>
          </w:tcPr>
          <w:p w14:paraId="38A821E0">
            <w:pPr>
              <w:pStyle w:val="22"/>
              <w:spacing w:after="0"/>
              <w:ind w:left="63" w:right="63"/>
              <w:rPr>
                <w:rFonts w:hint="eastAsia" w:ascii="宋体" w:hAnsi="宋体"/>
                <w:color w:val="auto"/>
                <w:sz w:val="24"/>
                <w:highlight w:val="none"/>
              </w:rPr>
            </w:pPr>
          </w:p>
        </w:tc>
        <w:tc>
          <w:tcPr>
            <w:tcW w:w="1577" w:type="dxa"/>
            <w:noWrap w:val="0"/>
            <w:vAlign w:val="center"/>
          </w:tcPr>
          <w:p w14:paraId="4809848B">
            <w:pPr>
              <w:pStyle w:val="22"/>
              <w:spacing w:after="0"/>
              <w:ind w:left="63" w:right="63"/>
              <w:rPr>
                <w:rFonts w:ascii="宋体" w:hAnsi="宋体"/>
                <w:color w:val="auto"/>
                <w:sz w:val="24"/>
                <w:highlight w:val="none"/>
              </w:rPr>
            </w:pPr>
          </w:p>
        </w:tc>
      </w:tr>
      <w:tr w14:paraId="0F5F7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A78C4A1">
            <w:pPr>
              <w:widowControl/>
              <w:jc w:val="center"/>
              <w:rPr>
                <w:rFonts w:ascii="宋体" w:hAnsi="宋体" w:cs="宋体"/>
                <w:color w:val="auto"/>
                <w:kern w:val="0"/>
                <w:sz w:val="22"/>
                <w:szCs w:val="22"/>
                <w:highlight w:val="none"/>
              </w:rPr>
            </w:pPr>
          </w:p>
        </w:tc>
        <w:tc>
          <w:tcPr>
            <w:tcW w:w="2485" w:type="dxa"/>
            <w:noWrap w:val="0"/>
            <w:vAlign w:val="center"/>
          </w:tcPr>
          <w:p w14:paraId="376F045D">
            <w:pPr>
              <w:widowControl/>
              <w:rPr>
                <w:rFonts w:ascii="宋体" w:hAnsi="宋体" w:cs="宋体"/>
                <w:color w:val="auto"/>
                <w:kern w:val="0"/>
                <w:sz w:val="22"/>
                <w:szCs w:val="22"/>
                <w:highlight w:val="none"/>
              </w:rPr>
            </w:pPr>
          </w:p>
        </w:tc>
        <w:tc>
          <w:tcPr>
            <w:tcW w:w="842" w:type="dxa"/>
            <w:noWrap w:val="0"/>
            <w:vAlign w:val="center"/>
          </w:tcPr>
          <w:p w14:paraId="7EC699C2">
            <w:pPr>
              <w:widowControl/>
              <w:jc w:val="center"/>
              <w:rPr>
                <w:rFonts w:ascii="宋体" w:hAnsi="宋体" w:cs="宋体"/>
                <w:color w:val="auto"/>
                <w:kern w:val="0"/>
                <w:sz w:val="22"/>
                <w:szCs w:val="22"/>
                <w:highlight w:val="none"/>
              </w:rPr>
            </w:pPr>
          </w:p>
        </w:tc>
        <w:tc>
          <w:tcPr>
            <w:tcW w:w="793" w:type="dxa"/>
            <w:noWrap w:val="0"/>
            <w:vAlign w:val="center"/>
          </w:tcPr>
          <w:p w14:paraId="0CDD9FF6">
            <w:pPr>
              <w:widowControl/>
              <w:jc w:val="center"/>
              <w:rPr>
                <w:rFonts w:hint="eastAsia" w:ascii="宋体" w:hAnsi="宋体" w:cs="宋体"/>
                <w:color w:val="auto"/>
                <w:kern w:val="0"/>
                <w:sz w:val="22"/>
                <w:szCs w:val="22"/>
                <w:highlight w:val="none"/>
              </w:rPr>
            </w:pPr>
          </w:p>
        </w:tc>
        <w:tc>
          <w:tcPr>
            <w:tcW w:w="1384" w:type="dxa"/>
            <w:noWrap w:val="0"/>
            <w:vAlign w:val="center"/>
          </w:tcPr>
          <w:p w14:paraId="58ADB270">
            <w:pPr>
              <w:widowControl/>
              <w:jc w:val="center"/>
              <w:rPr>
                <w:rFonts w:ascii="宋体" w:hAnsi="宋体" w:cs="宋体"/>
                <w:color w:val="auto"/>
                <w:kern w:val="0"/>
                <w:sz w:val="22"/>
                <w:szCs w:val="22"/>
                <w:highlight w:val="none"/>
              </w:rPr>
            </w:pPr>
          </w:p>
        </w:tc>
        <w:tc>
          <w:tcPr>
            <w:tcW w:w="1452" w:type="dxa"/>
            <w:noWrap w:val="0"/>
            <w:vAlign w:val="center"/>
          </w:tcPr>
          <w:p w14:paraId="59B04B84">
            <w:pPr>
              <w:pStyle w:val="22"/>
              <w:spacing w:after="0"/>
              <w:ind w:left="63" w:right="63"/>
              <w:rPr>
                <w:rFonts w:hint="eastAsia" w:ascii="宋体" w:hAnsi="宋体"/>
                <w:color w:val="auto"/>
                <w:sz w:val="24"/>
                <w:highlight w:val="none"/>
              </w:rPr>
            </w:pPr>
          </w:p>
        </w:tc>
        <w:tc>
          <w:tcPr>
            <w:tcW w:w="1577" w:type="dxa"/>
            <w:noWrap w:val="0"/>
            <w:vAlign w:val="center"/>
          </w:tcPr>
          <w:p w14:paraId="4D9DB47A">
            <w:pPr>
              <w:pStyle w:val="22"/>
              <w:spacing w:after="0"/>
              <w:ind w:left="63" w:right="63"/>
              <w:rPr>
                <w:rFonts w:ascii="宋体" w:hAnsi="宋体"/>
                <w:color w:val="auto"/>
                <w:sz w:val="24"/>
                <w:highlight w:val="none"/>
              </w:rPr>
            </w:pPr>
          </w:p>
        </w:tc>
      </w:tr>
      <w:tr w14:paraId="0E2DB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52A71A1">
            <w:pPr>
              <w:widowControl/>
              <w:jc w:val="center"/>
              <w:rPr>
                <w:rFonts w:ascii="宋体" w:hAnsi="宋体" w:cs="宋体"/>
                <w:color w:val="auto"/>
                <w:kern w:val="0"/>
                <w:sz w:val="22"/>
                <w:szCs w:val="22"/>
                <w:highlight w:val="none"/>
              </w:rPr>
            </w:pPr>
          </w:p>
        </w:tc>
        <w:tc>
          <w:tcPr>
            <w:tcW w:w="2485" w:type="dxa"/>
            <w:noWrap w:val="0"/>
            <w:vAlign w:val="center"/>
          </w:tcPr>
          <w:p w14:paraId="4DDE084E">
            <w:pPr>
              <w:widowControl/>
              <w:rPr>
                <w:rFonts w:ascii="宋体" w:hAnsi="宋体" w:cs="宋体"/>
                <w:color w:val="auto"/>
                <w:kern w:val="0"/>
                <w:sz w:val="22"/>
                <w:szCs w:val="22"/>
                <w:highlight w:val="none"/>
              </w:rPr>
            </w:pPr>
          </w:p>
        </w:tc>
        <w:tc>
          <w:tcPr>
            <w:tcW w:w="842" w:type="dxa"/>
            <w:noWrap w:val="0"/>
            <w:vAlign w:val="center"/>
          </w:tcPr>
          <w:p w14:paraId="5A396DF5">
            <w:pPr>
              <w:widowControl/>
              <w:jc w:val="center"/>
              <w:rPr>
                <w:rFonts w:ascii="宋体" w:hAnsi="宋体" w:cs="宋体"/>
                <w:color w:val="auto"/>
                <w:kern w:val="0"/>
                <w:sz w:val="22"/>
                <w:szCs w:val="22"/>
                <w:highlight w:val="none"/>
              </w:rPr>
            </w:pPr>
          </w:p>
        </w:tc>
        <w:tc>
          <w:tcPr>
            <w:tcW w:w="793" w:type="dxa"/>
            <w:noWrap w:val="0"/>
            <w:vAlign w:val="center"/>
          </w:tcPr>
          <w:p w14:paraId="087FADED">
            <w:pPr>
              <w:widowControl/>
              <w:jc w:val="center"/>
              <w:rPr>
                <w:rFonts w:hint="eastAsia" w:ascii="宋体" w:hAnsi="宋体" w:cs="宋体"/>
                <w:color w:val="auto"/>
                <w:kern w:val="0"/>
                <w:sz w:val="22"/>
                <w:szCs w:val="22"/>
                <w:highlight w:val="none"/>
              </w:rPr>
            </w:pPr>
          </w:p>
        </w:tc>
        <w:tc>
          <w:tcPr>
            <w:tcW w:w="1384" w:type="dxa"/>
            <w:noWrap w:val="0"/>
            <w:vAlign w:val="center"/>
          </w:tcPr>
          <w:p w14:paraId="20C6A619">
            <w:pPr>
              <w:widowControl/>
              <w:jc w:val="center"/>
              <w:rPr>
                <w:rFonts w:ascii="宋体" w:hAnsi="宋体" w:cs="宋体"/>
                <w:color w:val="auto"/>
                <w:kern w:val="0"/>
                <w:sz w:val="22"/>
                <w:szCs w:val="22"/>
                <w:highlight w:val="none"/>
              </w:rPr>
            </w:pPr>
          </w:p>
        </w:tc>
        <w:tc>
          <w:tcPr>
            <w:tcW w:w="1452" w:type="dxa"/>
            <w:noWrap w:val="0"/>
            <w:vAlign w:val="center"/>
          </w:tcPr>
          <w:p w14:paraId="15406C12">
            <w:pPr>
              <w:pStyle w:val="22"/>
              <w:spacing w:after="0"/>
              <w:ind w:left="63" w:right="63"/>
              <w:rPr>
                <w:rFonts w:hint="eastAsia" w:ascii="宋体" w:hAnsi="宋体"/>
                <w:color w:val="auto"/>
                <w:sz w:val="24"/>
                <w:highlight w:val="none"/>
              </w:rPr>
            </w:pPr>
          </w:p>
        </w:tc>
        <w:tc>
          <w:tcPr>
            <w:tcW w:w="1577" w:type="dxa"/>
            <w:noWrap w:val="0"/>
            <w:vAlign w:val="center"/>
          </w:tcPr>
          <w:p w14:paraId="2B623AF7">
            <w:pPr>
              <w:pStyle w:val="22"/>
              <w:spacing w:after="0"/>
              <w:ind w:left="63" w:right="63"/>
              <w:rPr>
                <w:rFonts w:ascii="宋体" w:hAnsi="宋体"/>
                <w:color w:val="auto"/>
                <w:sz w:val="24"/>
                <w:highlight w:val="none"/>
              </w:rPr>
            </w:pPr>
          </w:p>
        </w:tc>
      </w:tr>
      <w:tr w14:paraId="73A10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6A1EC2DB">
            <w:pPr>
              <w:widowControl/>
              <w:jc w:val="center"/>
              <w:rPr>
                <w:rFonts w:ascii="宋体" w:hAnsi="宋体" w:cs="宋体"/>
                <w:color w:val="auto"/>
                <w:kern w:val="0"/>
                <w:sz w:val="22"/>
                <w:szCs w:val="22"/>
                <w:highlight w:val="none"/>
              </w:rPr>
            </w:pPr>
          </w:p>
        </w:tc>
        <w:tc>
          <w:tcPr>
            <w:tcW w:w="2485" w:type="dxa"/>
            <w:noWrap w:val="0"/>
            <w:vAlign w:val="center"/>
          </w:tcPr>
          <w:p w14:paraId="277FDB6C">
            <w:pPr>
              <w:widowControl/>
              <w:rPr>
                <w:rFonts w:ascii="宋体" w:hAnsi="宋体" w:cs="宋体"/>
                <w:color w:val="auto"/>
                <w:kern w:val="0"/>
                <w:sz w:val="22"/>
                <w:szCs w:val="22"/>
                <w:highlight w:val="none"/>
              </w:rPr>
            </w:pPr>
          </w:p>
        </w:tc>
        <w:tc>
          <w:tcPr>
            <w:tcW w:w="842" w:type="dxa"/>
            <w:noWrap w:val="0"/>
            <w:vAlign w:val="center"/>
          </w:tcPr>
          <w:p w14:paraId="74058783">
            <w:pPr>
              <w:widowControl/>
              <w:jc w:val="center"/>
              <w:rPr>
                <w:rFonts w:ascii="宋体" w:hAnsi="宋体" w:cs="宋体"/>
                <w:color w:val="auto"/>
                <w:kern w:val="0"/>
                <w:sz w:val="22"/>
                <w:szCs w:val="22"/>
                <w:highlight w:val="none"/>
              </w:rPr>
            </w:pPr>
          </w:p>
        </w:tc>
        <w:tc>
          <w:tcPr>
            <w:tcW w:w="793" w:type="dxa"/>
            <w:noWrap w:val="0"/>
            <w:vAlign w:val="center"/>
          </w:tcPr>
          <w:p w14:paraId="1B55AD29">
            <w:pPr>
              <w:widowControl/>
              <w:jc w:val="center"/>
              <w:rPr>
                <w:rFonts w:hint="eastAsia" w:ascii="宋体" w:hAnsi="宋体" w:cs="宋体"/>
                <w:color w:val="auto"/>
                <w:kern w:val="0"/>
                <w:sz w:val="22"/>
                <w:szCs w:val="22"/>
                <w:highlight w:val="none"/>
              </w:rPr>
            </w:pPr>
          </w:p>
        </w:tc>
        <w:tc>
          <w:tcPr>
            <w:tcW w:w="1384" w:type="dxa"/>
            <w:noWrap w:val="0"/>
            <w:vAlign w:val="center"/>
          </w:tcPr>
          <w:p w14:paraId="41FE6993">
            <w:pPr>
              <w:widowControl/>
              <w:jc w:val="center"/>
              <w:rPr>
                <w:rFonts w:ascii="宋体" w:hAnsi="宋体" w:cs="宋体"/>
                <w:color w:val="auto"/>
                <w:kern w:val="0"/>
                <w:sz w:val="22"/>
                <w:szCs w:val="22"/>
                <w:highlight w:val="none"/>
              </w:rPr>
            </w:pPr>
          </w:p>
        </w:tc>
        <w:tc>
          <w:tcPr>
            <w:tcW w:w="1452" w:type="dxa"/>
            <w:noWrap w:val="0"/>
            <w:vAlign w:val="center"/>
          </w:tcPr>
          <w:p w14:paraId="4CAE54CE">
            <w:pPr>
              <w:pStyle w:val="22"/>
              <w:spacing w:after="0"/>
              <w:ind w:left="63" w:right="63"/>
              <w:rPr>
                <w:rFonts w:hint="eastAsia" w:ascii="宋体" w:hAnsi="宋体"/>
                <w:color w:val="auto"/>
                <w:sz w:val="24"/>
                <w:highlight w:val="none"/>
              </w:rPr>
            </w:pPr>
          </w:p>
        </w:tc>
        <w:tc>
          <w:tcPr>
            <w:tcW w:w="1577" w:type="dxa"/>
            <w:noWrap w:val="0"/>
            <w:vAlign w:val="center"/>
          </w:tcPr>
          <w:p w14:paraId="34D1B3F9">
            <w:pPr>
              <w:pStyle w:val="22"/>
              <w:spacing w:after="0"/>
              <w:ind w:left="63" w:right="63"/>
              <w:rPr>
                <w:rFonts w:ascii="宋体" w:hAnsi="宋体"/>
                <w:color w:val="auto"/>
                <w:sz w:val="24"/>
                <w:highlight w:val="none"/>
              </w:rPr>
            </w:pPr>
          </w:p>
        </w:tc>
      </w:tr>
      <w:tr w14:paraId="1382D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B667912">
            <w:pPr>
              <w:widowControl/>
              <w:jc w:val="center"/>
              <w:rPr>
                <w:rFonts w:ascii="宋体" w:hAnsi="宋体" w:cs="宋体"/>
                <w:color w:val="auto"/>
                <w:kern w:val="0"/>
                <w:sz w:val="22"/>
                <w:szCs w:val="22"/>
                <w:highlight w:val="none"/>
              </w:rPr>
            </w:pPr>
          </w:p>
        </w:tc>
        <w:tc>
          <w:tcPr>
            <w:tcW w:w="2485" w:type="dxa"/>
            <w:noWrap w:val="0"/>
            <w:vAlign w:val="center"/>
          </w:tcPr>
          <w:p w14:paraId="36FC4D22">
            <w:pPr>
              <w:widowControl/>
              <w:rPr>
                <w:rFonts w:ascii="宋体" w:hAnsi="宋体" w:cs="宋体"/>
                <w:color w:val="auto"/>
                <w:kern w:val="0"/>
                <w:sz w:val="22"/>
                <w:szCs w:val="22"/>
                <w:highlight w:val="none"/>
              </w:rPr>
            </w:pPr>
          </w:p>
        </w:tc>
        <w:tc>
          <w:tcPr>
            <w:tcW w:w="842" w:type="dxa"/>
            <w:noWrap w:val="0"/>
            <w:vAlign w:val="center"/>
          </w:tcPr>
          <w:p w14:paraId="34E829B5">
            <w:pPr>
              <w:widowControl/>
              <w:jc w:val="center"/>
              <w:rPr>
                <w:rFonts w:ascii="宋体" w:hAnsi="宋体" w:cs="宋体"/>
                <w:color w:val="auto"/>
                <w:kern w:val="0"/>
                <w:sz w:val="22"/>
                <w:szCs w:val="22"/>
                <w:highlight w:val="none"/>
              </w:rPr>
            </w:pPr>
          </w:p>
        </w:tc>
        <w:tc>
          <w:tcPr>
            <w:tcW w:w="793" w:type="dxa"/>
            <w:noWrap w:val="0"/>
            <w:vAlign w:val="center"/>
          </w:tcPr>
          <w:p w14:paraId="3E23980A">
            <w:pPr>
              <w:widowControl/>
              <w:jc w:val="center"/>
              <w:rPr>
                <w:rFonts w:hint="eastAsia" w:ascii="宋体" w:hAnsi="宋体" w:cs="宋体"/>
                <w:color w:val="auto"/>
                <w:kern w:val="0"/>
                <w:sz w:val="22"/>
                <w:szCs w:val="22"/>
                <w:highlight w:val="none"/>
              </w:rPr>
            </w:pPr>
          </w:p>
        </w:tc>
        <w:tc>
          <w:tcPr>
            <w:tcW w:w="1384" w:type="dxa"/>
            <w:noWrap w:val="0"/>
            <w:vAlign w:val="center"/>
          </w:tcPr>
          <w:p w14:paraId="704EFB8E">
            <w:pPr>
              <w:widowControl/>
              <w:jc w:val="center"/>
              <w:rPr>
                <w:rFonts w:ascii="宋体" w:hAnsi="宋体" w:cs="宋体"/>
                <w:color w:val="auto"/>
                <w:kern w:val="0"/>
                <w:sz w:val="22"/>
                <w:szCs w:val="22"/>
                <w:highlight w:val="none"/>
              </w:rPr>
            </w:pPr>
          </w:p>
        </w:tc>
        <w:tc>
          <w:tcPr>
            <w:tcW w:w="1452" w:type="dxa"/>
            <w:noWrap w:val="0"/>
            <w:vAlign w:val="center"/>
          </w:tcPr>
          <w:p w14:paraId="157D3494">
            <w:pPr>
              <w:pStyle w:val="22"/>
              <w:spacing w:after="0"/>
              <w:ind w:left="63" w:right="63"/>
              <w:rPr>
                <w:rFonts w:hint="eastAsia" w:ascii="宋体" w:hAnsi="宋体"/>
                <w:color w:val="auto"/>
                <w:sz w:val="24"/>
                <w:highlight w:val="none"/>
              </w:rPr>
            </w:pPr>
          </w:p>
        </w:tc>
        <w:tc>
          <w:tcPr>
            <w:tcW w:w="1577" w:type="dxa"/>
            <w:noWrap w:val="0"/>
            <w:vAlign w:val="center"/>
          </w:tcPr>
          <w:p w14:paraId="713F6D62">
            <w:pPr>
              <w:pStyle w:val="22"/>
              <w:spacing w:after="0"/>
              <w:ind w:left="63" w:right="63"/>
              <w:rPr>
                <w:rFonts w:ascii="宋体" w:hAnsi="宋体"/>
                <w:color w:val="auto"/>
                <w:sz w:val="24"/>
                <w:highlight w:val="none"/>
              </w:rPr>
            </w:pPr>
          </w:p>
        </w:tc>
      </w:tr>
      <w:tr w14:paraId="271BD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D53B4AB">
            <w:pPr>
              <w:widowControl/>
              <w:jc w:val="center"/>
              <w:rPr>
                <w:rFonts w:ascii="宋体" w:hAnsi="宋体" w:cs="宋体"/>
                <w:color w:val="auto"/>
                <w:kern w:val="0"/>
                <w:sz w:val="22"/>
                <w:szCs w:val="22"/>
                <w:highlight w:val="none"/>
              </w:rPr>
            </w:pPr>
          </w:p>
        </w:tc>
        <w:tc>
          <w:tcPr>
            <w:tcW w:w="2485" w:type="dxa"/>
            <w:noWrap w:val="0"/>
            <w:vAlign w:val="center"/>
          </w:tcPr>
          <w:p w14:paraId="4D7B4E89">
            <w:pPr>
              <w:widowControl/>
              <w:jc w:val="center"/>
              <w:rPr>
                <w:rFonts w:hint="eastAsia" w:ascii="宋体" w:hAnsi="宋体" w:cs="宋体"/>
                <w:color w:val="auto"/>
                <w:kern w:val="0"/>
                <w:sz w:val="22"/>
                <w:szCs w:val="22"/>
                <w:highlight w:val="none"/>
              </w:rPr>
            </w:pPr>
          </w:p>
        </w:tc>
        <w:tc>
          <w:tcPr>
            <w:tcW w:w="842" w:type="dxa"/>
            <w:noWrap w:val="0"/>
            <w:vAlign w:val="center"/>
          </w:tcPr>
          <w:p w14:paraId="45D60048">
            <w:pPr>
              <w:widowControl/>
              <w:jc w:val="center"/>
              <w:rPr>
                <w:rFonts w:ascii="宋体" w:hAnsi="宋体" w:cs="宋体"/>
                <w:color w:val="auto"/>
                <w:kern w:val="0"/>
                <w:sz w:val="22"/>
                <w:szCs w:val="22"/>
                <w:highlight w:val="none"/>
              </w:rPr>
            </w:pPr>
          </w:p>
        </w:tc>
        <w:tc>
          <w:tcPr>
            <w:tcW w:w="793" w:type="dxa"/>
            <w:noWrap w:val="0"/>
            <w:vAlign w:val="center"/>
          </w:tcPr>
          <w:p w14:paraId="78D5564C">
            <w:pPr>
              <w:widowControl/>
              <w:jc w:val="center"/>
              <w:rPr>
                <w:rFonts w:ascii="宋体" w:hAnsi="宋体" w:cs="宋体"/>
                <w:color w:val="auto"/>
                <w:kern w:val="0"/>
                <w:sz w:val="22"/>
                <w:szCs w:val="22"/>
                <w:highlight w:val="none"/>
              </w:rPr>
            </w:pPr>
          </w:p>
        </w:tc>
        <w:tc>
          <w:tcPr>
            <w:tcW w:w="1384" w:type="dxa"/>
            <w:noWrap w:val="0"/>
            <w:vAlign w:val="center"/>
          </w:tcPr>
          <w:p w14:paraId="7515F4A9">
            <w:pPr>
              <w:pStyle w:val="22"/>
              <w:spacing w:after="0"/>
              <w:ind w:left="63" w:right="63"/>
              <w:rPr>
                <w:rFonts w:ascii="宋体" w:hAnsi="宋体"/>
                <w:color w:val="auto"/>
                <w:sz w:val="24"/>
                <w:highlight w:val="none"/>
              </w:rPr>
            </w:pPr>
          </w:p>
        </w:tc>
        <w:tc>
          <w:tcPr>
            <w:tcW w:w="1452" w:type="dxa"/>
            <w:noWrap w:val="0"/>
            <w:vAlign w:val="center"/>
          </w:tcPr>
          <w:p w14:paraId="4239B09E">
            <w:pPr>
              <w:widowControl/>
              <w:jc w:val="center"/>
              <w:textAlignment w:val="center"/>
              <w:rPr>
                <w:rFonts w:ascii="宋体" w:hAnsi="宋体" w:cs="宋体"/>
                <w:color w:val="auto"/>
                <w:sz w:val="28"/>
                <w:szCs w:val="28"/>
                <w:highlight w:val="none"/>
              </w:rPr>
            </w:pPr>
          </w:p>
        </w:tc>
        <w:tc>
          <w:tcPr>
            <w:tcW w:w="1577" w:type="dxa"/>
            <w:noWrap w:val="0"/>
            <w:vAlign w:val="center"/>
          </w:tcPr>
          <w:p w14:paraId="2E250E63">
            <w:pPr>
              <w:pStyle w:val="22"/>
              <w:spacing w:after="0"/>
              <w:ind w:left="63" w:right="63"/>
              <w:rPr>
                <w:rFonts w:ascii="宋体" w:hAnsi="宋体"/>
                <w:color w:val="auto"/>
                <w:sz w:val="24"/>
                <w:highlight w:val="none"/>
              </w:rPr>
            </w:pPr>
          </w:p>
        </w:tc>
      </w:tr>
    </w:tbl>
    <w:p w14:paraId="01DD326E">
      <w:pPr>
        <w:rPr>
          <w:rFonts w:hint="eastAsia" w:hAnsi="宋体"/>
          <w:color w:val="auto"/>
          <w:highlight w:val="none"/>
        </w:rPr>
      </w:pPr>
    </w:p>
    <w:p w14:paraId="0229547A">
      <w:pPr>
        <w:spacing w:line="456" w:lineRule="auto"/>
        <w:rPr>
          <w:rFonts w:hint="eastAsia" w:ascii="宋体" w:hAnsi="宋体" w:eastAsia="宋体" w:cs="宋体"/>
          <w:b/>
          <w:color w:val="000000"/>
          <w:sz w:val="21"/>
          <w:szCs w:val="21"/>
        </w:rPr>
      </w:pPr>
      <w:r>
        <w:rPr>
          <w:rFonts w:hint="eastAsia" w:hAnsi="宋体"/>
          <w:color w:val="auto"/>
          <w:highlight w:val="none"/>
        </w:rPr>
        <w:t>备注：本表中的价格未包括税金。</w:t>
      </w:r>
      <w:r>
        <w:rPr>
          <w:rFonts w:ascii="宋体" w:hAnsi="宋体"/>
          <w:color w:val="auto"/>
          <w:sz w:val="30"/>
          <w:szCs w:val="30"/>
          <w:highlight w:val="none"/>
        </w:rPr>
        <w:br w:type="page"/>
      </w:r>
    </w:p>
    <w:bookmarkEnd w:id="65"/>
    <w:bookmarkEnd w:id="66"/>
    <w:bookmarkEnd w:id="67"/>
    <w:bookmarkEnd w:id="68"/>
    <w:p w14:paraId="7A4DBB91">
      <w:pPr>
        <w:snapToGrid w:val="0"/>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第六部分 应提交的有关格式范例</w:t>
      </w:r>
    </w:p>
    <w:p w14:paraId="2193B683">
      <w:pPr>
        <w:pStyle w:val="22"/>
        <w:spacing w:line="480" w:lineRule="auto"/>
        <w:rPr>
          <w:rFonts w:hint="eastAsia" w:ascii="宋体" w:hAnsi="宋体" w:eastAsia="宋体" w:cs="宋体"/>
        </w:rPr>
      </w:pPr>
    </w:p>
    <w:p w14:paraId="098CFE47">
      <w:pPr>
        <w:bidi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资格文件部分</w:t>
      </w:r>
    </w:p>
    <w:p w14:paraId="6FD1CE01">
      <w:pPr>
        <w:bidi w:val="0"/>
        <w:spacing w:line="480" w:lineRule="auto"/>
        <w:jc w:val="center"/>
        <w:rPr>
          <w:rFonts w:hint="eastAsia" w:ascii="宋体" w:hAnsi="宋体" w:eastAsia="宋体" w:cs="宋体"/>
          <w:lang w:eastAsia="zh-CN"/>
        </w:rPr>
      </w:pPr>
      <w:r>
        <w:rPr>
          <w:rFonts w:hint="eastAsia" w:ascii="宋体" w:hAnsi="宋体" w:eastAsia="宋体" w:cs="宋体"/>
          <w:b/>
          <w:bCs/>
          <w:sz w:val="36"/>
          <w:szCs w:val="36"/>
          <w:lang w:eastAsia="zh-CN"/>
        </w:rPr>
        <w:t>目录</w:t>
      </w:r>
    </w:p>
    <w:p w14:paraId="050AE5A2">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（1）符合参加政府采购活动应当具备的一般条件的承诺函……………（页码）</w:t>
      </w:r>
    </w:p>
    <w:p w14:paraId="1D7DBFD4">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）落实政府采购政策需满足的资格要求………………………………（页码）</w:t>
      </w:r>
    </w:p>
    <w:p w14:paraId="6BDA1EA6">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）本项目的特定资格要求………………………………………………（页码）</w:t>
      </w:r>
    </w:p>
    <w:p w14:paraId="1A997CAB">
      <w:pPr>
        <w:snapToGrid w:val="0"/>
        <w:spacing w:line="360" w:lineRule="auto"/>
        <w:ind w:firstLine="480" w:firstLineChars="200"/>
        <w:rPr>
          <w:rFonts w:hint="eastAsia" w:ascii="宋体" w:hAnsi="宋体" w:eastAsia="宋体" w:cs="宋体"/>
          <w:color w:val="auto"/>
          <w:sz w:val="24"/>
        </w:rPr>
      </w:pPr>
    </w:p>
    <w:p w14:paraId="1FAF409E">
      <w:pPr>
        <w:spacing w:line="360" w:lineRule="auto"/>
        <w:ind w:firstLine="480" w:firstLineChars="200"/>
        <w:rPr>
          <w:rFonts w:hint="eastAsia" w:ascii="宋体" w:hAnsi="宋体" w:eastAsia="宋体" w:cs="宋体"/>
          <w:color w:val="auto"/>
          <w:sz w:val="24"/>
        </w:rPr>
      </w:pPr>
    </w:p>
    <w:p w14:paraId="0DDBEFA3">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14:paraId="4497C7EE">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（采购人）、（采购代理机构）：</w:t>
      </w:r>
    </w:p>
    <w:p w14:paraId="6947F3AC">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我方参与（</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lang w:val="en-US" w:eastAsia="zh-CN"/>
        </w:rPr>
        <w:t xml:space="preserve">      项目名称     </w:t>
      </w: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】政府采购活动，郑重承诺：</w:t>
      </w:r>
    </w:p>
    <w:p w14:paraId="60139E67">
      <w:pPr>
        <w:snapToGrid w:val="0"/>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（一）具备《中华人民共和国政府采购法》第二十二条第一款规定的条件：</w:t>
      </w:r>
    </w:p>
    <w:p w14:paraId="3CACF81C">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14:paraId="1D937C37">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2、具有良好的商业信誉和健全的财务会计制度； </w:t>
      </w:r>
    </w:p>
    <w:p w14:paraId="3AA87921">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14:paraId="1EE3B0AC">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14:paraId="31F754A4">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5、参加政府采购活动前三年内，在经营活动中没有重大违法记录；</w:t>
      </w:r>
    </w:p>
    <w:p w14:paraId="5E6429C2">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6、具有法律、行政法规规定的其他条件。</w:t>
      </w:r>
    </w:p>
    <w:p w14:paraId="58803B78">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（二）未被信用中国（www.creditchina.gov.cn)、中国政府采购网（www.ccgp.gov.cn）列入失信被执行人、重大税收违法案件当事人名单、政府采购严重违法失信行为记录名单。</w:t>
      </w:r>
    </w:p>
    <w:p w14:paraId="55A97AED">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（三）不存在以下情况：</w:t>
      </w:r>
    </w:p>
    <w:p w14:paraId="01B51FA3">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1、单位负责人为同一人或者存在直接控股、管理关系的不同供应商参加同一合同项下的政府采购活动的；</w:t>
      </w:r>
    </w:p>
    <w:p w14:paraId="303FD1ED">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2、为采购项目提供整体设计、规范编制或者项目管理、监理、检测等服务后再参加该采购项目的其他采购活动的。</w:t>
      </w:r>
    </w:p>
    <w:p w14:paraId="2E922564">
      <w:pPr>
        <w:snapToGrid w:val="0"/>
        <w:spacing w:line="360" w:lineRule="auto"/>
        <w:ind w:firstLine="4830" w:firstLineChars="23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供应商名称(电子签名)：</w:t>
      </w:r>
    </w:p>
    <w:p w14:paraId="54CC1A98">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日期</w:t>
      </w:r>
      <w:r>
        <w:rPr>
          <w:rFonts w:hint="eastAsia" w:ascii="宋体" w:hAnsi="宋体" w:eastAsia="宋体" w:cs="宋体"/>
          <w:color w:val="auto"/>
          <w:kern w:val="0"/>
          <w:sz w:val="21"/>
          <w:szCs w:val="21"/>
        </w:rPr>
        <w:t xml:space="preserve">：  年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w:t>
      </w:r>
    </w:p>
    <w:p w14:paraId="64D83120">
      <w:pPr>
        <w:snapToGrid w:val="0"/>
        <w:spacing w:line="360" w:lineRule="auto"/>
        <w:ind w:right="480"/>
        <w:jc w:val="center"/>
        <w:rPr>
          <w:rFonts w:hint="eastAsia" w:ascii="宋体" w:hAnsi="宋体" w:eastAsia="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023E41F5">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二</w:t>
      </w:r>
      <w:r>
        <w:rPr>
          <w:rFonts w:hint="eastAsia" w:ascii="宋体" w:hAnsi="宋体" w:eastAsia="宋体" w:cs="宋体"/>
          <w:b/>
          <w:color w:val="auto"/>
          <w:kern w:val="0"/>
          <w:sz w:val="32"/>
          <w:szCs w:val="32"/>
        </w:rPr>
        <w:t>、落实政府采购政策需满足的资格要求</w:t>
      </w:r>
    </w:p>
    <w:p w14:paraId="019CA7C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（根据竞争性磋商公告落实政府采购政策需满足的资格要求选择提供相应的材料；未要求的，无需提供）</w:t>
      </w:r>
    </w:p>
    <w:p w14:paraId="56AC1730">
      <w:pPr>
        <w:snapToGrid w:val="0"/>
        <w:spacing w:before="50" w:after="50" w:line="360" w:lineRule="auto"/>
        <w:ind w:firstLine="411" w:firstLineChars="196"/>
        <w:jc w:val="left"/>
        <w:rPr>
          <w:rFonts w:hint="eastAsia" w:ascii="宋体" w:hAnsi="宋体" w:eastAsia="宋体" w:cs="宋体"/>
          <w:color w:val="auto"/>
          <w:sz w:val="21"/>
          <w:szCs w:val="21"/>
        </w:rPr>
      </w:pPr>
      <w:r>
        <w:rPr>
          <w:rFonts w:hint="eastAsia" w:ascii="宋体" w:hAnsi="宋体" w:eastAsia="宋体" w:cs="宋体"/>
          <w:color w:val="auto"/>
          <w:sz w:val="21"/>
          <w:szCs w:val="21"/>
        </w:rPr>
        <w:t>专门面向中小企业，工程全部由符合政策要求的中小企业（或小微企业）承建的，提供相应的中小企业声明函（附件</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w:t>
      </w:r>
    </w:p>
    <w:p w14:paraId="22E88C38">
      <w:pPr>
        <w:widowControl/>
        <w:spacing w:line="360" w:lineRule="auto"/>
        <w:ind w:firstLine="480"/>
        <w:jc w:val="left"/>
        <w:rPr>
          <w:rFonts w:hint="eastAsia" w:ascii="宋体" w:hAnsi="宋体" w:eastAsia="宋体" w:cs="宋体"/>
          <w:color w:val="auto"/>
          <w:sz w:val="21"/>
          <w:szCs w:val="21"/>
        </w:rPr>
      </w:pPr>
    </w:p>
    <w:p w14:paraId="32D93BBA">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669DF02">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三</w:t>
      </w:r>
      <w:r>
        <w:rPr>
          <w:rFonts w:hint="eastAsia" w:ascii="宋体" w:hAnsi="宋体" w:eastAsia="宋体" w:cs="宋体"/>
          <w:b/>
          <w:color w:val="auto"/>
          <w:kern w:val="0"/>
          <w:sz w:val="32"/>
          <w:szCs w:val="32"/>
        </w:rPr>
        <w:t>、本项目的特定资格要求</w:t>
      </w:r>
    </w:p>
    <w:p w14:paraId="78DCA3B8">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（根据竞争性磋商公告本项目的特定资格要求提供相应的材料；未要求的，无需提供）</w:t>
      </w:r>
    </w:p>
    <w:p w14:paraId="798E32BB">
      <w:pPr>
        <w:snapToGrid w:val="0"/>
        <w:spacing w:line="360" w:lineRule="auto"/>
        <w:ind w:right="480"/>
        <w:jc w:val="center"/>
        <w:rPr>
          <w:rFonts w:hint="eastAsia" w:ascii="宋体" w:hAnsi="宋体" w:eastAsia="宋体" w:cs="宋体"/>
          <w:b/>
          <w:color w:val="auto"/>
          <w:kern w:val="0"/>
          <w:sz w:val="21"/>
          <w:szCs w:val="21"/>
        </w:rPr>
        <w:sectPr>
          <w:pgSz w:w="11906" w:h="16838"/>
          <w:pgMar w:top="1440" w:right="1080" w:bottom="1440" w:left="1080" w:header="851" w:footer="992" w:gutter="0"/>
          <w:pgNumType w:fmt="decimal"/>
          <w:cols w:space="720" w:num="1"/>
          <w:titlePg/>
          <w:docGrid w:linePitch="312" w:charSpace="0"/>
        </w:sectPr>
      </w:pPr>
    </w:p>
    <w:p w14:paraId="22884076">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7BACA855">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目录</w:t>
      </w:r>
    </w:p>
    <w:p w14:paraId="308485D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589C661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51FC936">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2A4A87A">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387A08E1">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69C6B77A">
      <w:pPr>
        <w:snapToGrid w:val="0"/>
        <w:spacing w:line="360" w:lineRule="auto"/>
        <w:rPr>
          <w:rFonts w:hint="eastAsia" w:ascii="宋体" w:hAnsi="宋体" w:eastAsia="宋体" w:cs="宋体"/>
          <w:color w:val="auto"/>
          <w:sz w:val="21"/>
          <w:szCs w:val="21"/>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3C119D70">
      <w:pPr>
        <w:snapToGrid w:val="0"/>
        <w:spacing w:line="360" w:lineRule="auto"/>
        <w:jc w:val="center"/>
        <w:rPr>
          <w:rFonts w:hint="eastAsia" w:ascii="宋体" w:hAnsi="宋体" w:eastAsia="宋体" w:cs="宋体"/>
          <w:b/>
          <w:color w:val="auto"/>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5C3D7B9B">
      <w:pPr>
        <w:snapToGrid w:val="0"/>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一、响应函</w:t>
      </w:r>
    </w:p>
    <w:p w14:paraId="2369ADF5">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4"/>
        </w:rPr>
        <w:t>（</w:t>
      </w:r>
      <w:r>
        <w:rPr>
          <w:rFonts w:hint="eastAsia" w:ascii="宋体" w:hAnsi="宋体" w:eastAsia="宋体" w:cs="宋体"/>
          <w:color w:val="auto"/>
          <w:sz w:val="21"/>
          <w:szCs w:val="21"/>
        </w:rPr>
        <w:t>采购人）、（采购代理机构）：</w:t>
      </w:r>
    </w:p>
    <w:p w14:paraId="2A52F5EB">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我方参加你方组织的</w:t>
      </w:r>
      <w:r>
        <w:rPr>
          <w:rFonts w:hint="eastAsia" w:ascii="宋体" w:hAnsi="宋体" w:eastAsia="宋体" w:cs="宋体"/>
          <w:color w:val="auto"/>
          <w:sz w:val="21"/>
          <w:szCs w:val="21"/>
          <w:u w:val="single"/>
          <w:lang w:val="en-US" w:eastAsia="zh-CN"/>
        </w:rPr>
        <w:t xml:space="preserve">         项目名称           </w:t>
      </w: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】采购的有关活动，并对此项目提交响应文件及报价。为此：</w:t>
      </w:r>
    </w:p>
    <w:p w14:paraId="74864B81">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1、我方承诺响应文件有效期从提交响应文件的截止之日起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天（不少于90天），本响应文件在响应文件有效期满之前均具有约束力。</w:t>
      </w:r>
    </w:p>
    <w:p w14:paraId="5150221F">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2、我方的响应文件包括以下内容：</w:t>
      </w:r>
    </w:p>
    <w:p w14:paraId="090EE07B">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2.1资格文件：</w:t>
      </w:r>
    </w:p>
    <w:p w14:paraId="288DFDA9">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2.1.1承诺函；</w:t>
      </w:r>
    </w:p>
    <w:p w14:paraId="6104EE96">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w:t>
      </w:r>
      <w:r>
        <w:rPr>
          <w:rFonts w:hint="eastAsia" w:ascii="宋体" w:hAnsi="宋体" w:eastAsia="宋体" w:cs="宋体"/>
          <w:snapToGrid w:val="0"/>
          <w:color w:val="auto"/>
          <w:kern w:val="28"/>
          <w:sz w:val="21"/>
          <w:szCs w:val="21"/>
        </w:rPr>
        <w:t>联合协议（如果有)；</w:t>
      </w:r>
    </w:p>
    <w:p w14:paraId="0EBAB527">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2.1.3落实政府采购政策需满足的资格要求（如果有）；</w:t>
      </w:r>
    </w:p>
    <w:p w14:paraId="5383F9F4">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2.1.4本项目的特定资格要求（如果有）。</w:t>
      </w:r>
    </w:p>
    <w:p w14:paraId="0565FDF2">
      <w:pPr>
        <w:snapToGrid w:val="0"/>
        <w:spacing w:line="360" w:lineRule="auto"/>
        <w:ind w:left="210" w:leftChars="10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rPr>
        <w:t>商务技术</w:t>
      </w:r>
      <w:r>
        <w:rPr>
          <w:rFonts w:hint="eastAsia" w:ascii="宋体" w:hAnsi="宋体" w:eastAsia="宋体" w:cs="宋体"/>
          <w:color w:val="auto"/>
          <w:sz w:val="21"/>
          <w:szCs w:val="21"/>
          <w:lang w:val="zh-CN"/>
        </w:rPr>
        <w:t>文件：</w:t>
      </w:r>
    </w:p>
    <w:p w14:paraId="5AD2C7AD">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2.2.1响应函；</w:t>
      </w:r>
      <w:r>
        <w:rPr>
          <w:rFonts w:hint="eastAsia" w:ascii="宋体" w:hAnsi="宋体" w:eastAsia="宋体" w:cs="宋体"/>
          <w:color w:val="auto"/>
          <w:sz w:val="21"/>
          <w:szCs w:val="21"/>
          <w:lang w:val="zh-CN"/>
        </w:rPr>
        <w:t xml:space="preserve"> </w:t>
      </w:r>
    </w:p>
    <w:p w14:paraId="201749A0">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2.2.2授权委托书或法定代表人（单位负责人）身份证明；</w:t>
      </w:r>
    </w:p>
    <w:p w14:paraId="206F5874">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2.2.3分包意向协议（如果有）；</w:t>
      </w:r>
    </w:p>
    <w:p w14:paraId="65BD3A84">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2.2.4符合性审查资料；</w:t>
      </w:r>
    </w:p>
    <w:p w14:paraId="3BAF31AA">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2.2.5评审标准相应的商务技术资料；</w:t>
      </w:r>
    </w:p>
    <w:p w14:paraId="4B42E36E">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2.2.6商务技术偏离表；</w:t>
      </w:r>
    </w:p>
    <w:p w14:paraId="3A819B2B">
      <w:pPr>
        <w:snapToGrid w:val="0"/>
        <w:spacing w:line="360" w:lineRule="auto"/>
        <w:ind w:left="420" w:leftChars="20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7</w:t>
      </w:r>
      <w:r>
        <w:rPr>
          <w:rFonts w:hint="eastAsia" w:ascii="宋体" w:hAnsi="宋体" w:eastAsia="宋体" w:cs="宋体"/>
          <w:color w:val="auto"/>
          <w:sz w:val="21"/>
          <w:szCs w:val="21"/>
          <w:lang w:val="zh-CN"/>
        </w:rPr>
        <w:t>政府采购供应商廉洁自律承诺书；</w:t>
      </w:r>
    </w:p>
    <w:p w14:paraId="5BF4F579">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3报价文件</w:t>
      </w:r>
    </w:p>
    <w:p w14:paraId="4896561E">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2.3.1报价单；</w:t>
      </w:r>
    </w:p>
    <w:p w14:paraId="0A10683D">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2.3.2已标价工程量清单；</w:t>
      </w:r>
    </w:p>
    <w:p w14:paraId="24DE304D">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2.3.3中小企业声明函（如果有）。</w:t>
      </w:r>
    </w:p>
    <w:p w14:paraId="79A3EE4D">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3、我方承诺除商务技术偏离表列出的偏离外，我方响应采购文件的全部要求。</w:t>
      </w:r>
    </w:p>
    <w:p w14:paraId="132890A5">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4、如我方成交，我方承诺：</w:t>
      </w:r>
    </w:p>
    <w:p w14:paraId="16D298EF">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4.1在收到成交通知书后，在成交通知书规定的期限内与你方签订合同； </w:t>
      </w:r>
    </w:p>
    <w:p w14:paraId="226C9E78">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4.2在签订合同时不向你方提出附加条件； </w:t>
      </w:r>
    </w:p>
    <w:p w14:paraId="79DA0B2D">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4.3按照采购文件要求提交履约保证金； </w:t>
      </w:r>
    </w:p>
    <w:p w14:paraId="7AB9A7D3">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4.4在合同约定的期限内完成合同规定的全部义务。 </w:t>
      </w:r>
    </w:p>
    <w:p w14:paraId="50C95FDF">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5、其他补充说明: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6EFAC80">
      <w:pPr>
        <w:spacing w:line="360" w:lineRule="auto"/>
        <w:ind w:firstLine="3150" w:firstLineChars="1500"/>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供应商名称（电子签名）：                          </w:t>
      </w:r>
    </w:p>
    <w:p w14:paraId="207A0CD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日期：  年   月   日</w:t>
      </w:r>
    </w:p>
    <w:p w14:paraId="69F0E1E6">
      <w:pPr>
        <w:spacing w:line="360" w:lineRule="auto"/>
        <w:ind w:right="420"/>
        <w:rPr>
          <w:rFonts w:hint="eastAsia" w:ascii="宋体" w:hAnsi="宋体" w:eastAsia="宋体" w:cs="宋体"/>
          <w:color w:val="auto"/>
          <w:sz w:val="21"/>
          <w:szCs w:val="21"/>
        </w:rPr>
      </w:pPr>
      <w:r>
        <w:rPr>
          <w:rFonts w:hint="eastAsia" w:ascii="宋体" w:hAnsi="宋体" w:eastAsia="宋体" w:cs="宋体"/>
          <w:color w:val="auto"/>
          <w:sz w:val="21"/>
          <w:szCs w:val="21"/>
        </w:rPr>
        <w:t>注：按本格式和要求提供。</w:t>
      </w:r>
    </w:p>
    <w:p w14:paraId="59096A6F">
      <w:pPr>
        <w:snapToGrid w:val="0"/>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二、授权委托书或法定代表人（单位负责人、自然人本人）身份证明</w:t>
      </w:r>
    </w:p>
    <w:p w14:paraId="17B4E317">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2C5E6873">
      <w:pPr>
        <w:snapToGrid w:val="0"/>
        <w:spacing w:line="360" w:lineRule="auto"/>
        <w:rPr>
          <w:rFonts w:hint="eastAsia" w:ascii="宋体" w:hAnsi="宋体" w:eastAsia="宋体" w:cs="宋体"/>
          <w:color w:val="auto"/>
          <w:sz w:val="21"/>
          <w:szCs w:val="21"/>
        </w:rPr>
      </w:pPr>
    </w:p>
    <w:p w14:paraId="04CDD63B">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sz w:val="21"/>
          <w:szCs w:val="21"/>
        </w:rPr>
        <w:t>（采购人）、（采购代理机构）</w:t>
      </w:r>
      <w:r>
        <w:rPr>
          <w:rFonts w:hint="eastAsia" w:ascii="宋体" w:hAnsi="宋体" w:eastAsia="宋体" w:cs="宋体"/>
          <w:color w:val="auto"/>
          <w:kern w:val="0"/>
          <w:sz w:val="21"/>
          <w:szCs w:val="21"/>
          <w:lang w:val="zh-CN"/>
        </w:rPr>
        <w:t>：</w:t>
      </w:r>
    </w:p>
    <w:p w14:paraId="7974FBDB">
      <w:pPr>
        <w:snapToGrid w:val="0"/>
        <w:spacing w:line="360" w:lineRule="auto"/>
        <w:ind w:firstLine="57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w:t>
      </w:r>
      <w:r>
        <w:rPr>
          <w:rFonts w:hint="eastAsia" w:ascii="宋体" w:hAnsi="宋体" w:eastAsia="宋体" w:cs="宋体"/>
          <w:color w:val="auto"/>
          <w:kern w:val="0"/>
          <w:sz w:val="21"/>
          <w:szCs w:val="21"/>
          <w:lang w:val="zh-CN"/>
        </w:rPr>
        <w:t>委托</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lang w:val="zh-CN"/>
        </w:rPr>
        <w:t>（姓名）为我方代理人（身份证号码：</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lang w:val="zh-CN"/>
        </w:rPr>
        <w:t>，手机：</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lang w:val="zh-CN"/>
        </w:rPr>
        <w:t>），以我方名义处理</w:t>
      </w:r>
      <w:r>
        <w:rPr>
          <w:rFonts w:hint="eastAsia" w:ascii="宋体" w:hAnsi="宋体" w:eastAsia="宋体" w:cs="宋体"/>
          <w:color w:val="auto"/>
          <w:kern w:val="0"/>
          <w:sz w:val="21"/>
          <w:szCs w:val="21"/>
          <w:u w:val="single"/>
          <w:lang w:val="en-US" w:eastAsia="zh-CN"/>
        </w:rPr>
        <w:t xml:space="preserve">             项目名称         </w:t>
      </w: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zh-CN"/>
        </w:rPr>
        <w:t>政府采购</w:t>
      </w:r>
      <w:r>
        <w:rPr>
          <w:rFonts w:hint="eastAsia" w:ascii="宋体" w:hAnsi="宋体" w:eastAsia="宋体" w:cs="宋体"/>
          <w:color w:val="auto"/>
          <w:kern w:val="0"/>
          <w:sz w:val="21"/>
          <w:szCs w:val="21"/>
        </w:rPr>
        <w:t>响应</w:t>
      </w:r>
      <w:r>
        <w:rPr>
          <w:rFonts w:hint="eastAsia" w:ascii="宋体" w:hAnsi="宋体" w:eastAsia="宋体" w:cs="宋体"/>
          <w:color w:val="auto"/>
          <w:kern w:val="0"/>
          <w:sz w:val="21"/>
          <w:szCs w:val="21"/>
          <w:lang w:val="zh-CN"/>
        </w:rPr>
        <w:t>的一切事项，其法律后果由我方承担。</w:t>
      </w:r>
    </w:p>
    <w:p w14:paraId="046028EC">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委托期限</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rPr>
        <w:t>自</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年</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日起至</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年</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日止。</w:t>
      </w:r>
    </w:p>
    <w:p w14:paraId="12E480D3">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特此告知。</w:t>
      </w:r>
    </w:p>
    <w:p w14:paraId="2DAC0DFE">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 xml:space="preserve">                                                 供应商名称(电子签名)：</w:t>
      </w:r>
    </w:p>
    <w:p w14:paraId="5372C245">
      <w:pPr>
        <w:snapToGrid w:val="0"/>
        <w:spacing w:line="360" w:lineRule="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                                                 签发日期：  年  月   日</w:t>
      </w:r>
    </w:p>
    <w:p w14:paraId="6A8B8A97">
      <w:pPr>
        <w:snapToGrid w:val="0"/>
        <w:spacing w:line="360" w:lineRule="auto"/>
        <w:rPr>
          <w:rFonts w:hint="eastAsia" w:ascii="宋体" w:hAnsi="宋体" w:eastAsia="宋体" w:cs="宋体"/>
          <w:color w:val="auto"/>
          <w:sz w:val="24"/>
        </w:rPr>
      </w:pPr>
    </w:p>
    <w:p w14:paraId="7940804C">
      <w:pPr>
        <w:snapToGrid w:val="0"/>
        <w:spacing w:line="360" w:lineRule="auto"/>
        <w:rPr>
          <w:rFonts w:hint="eastAsia" w:ascii="宋体" w:hAnsi="宋体" w:eastAsia="宋体" w:cs="宋体"/>
          <w:color w:val="auto"/>
          <w:kern w:val="0"/>
          <w:sz w:val="24"/>
          <w:lang w:val="zh-CN"/>
        </w:rPr>
      </w:pPr>
    </w:p>
    <w:p w14:paraId="2848FDBA">
      <w:pPr>
        <w:pStyle w:val="71"/>
        <w:rPr>
          <w:rFonts w:hint="eastAsia" w:ascii="宋体" w:hAnsi="宋体" w:eastAsia="宋体" w:cs="宋体"/>
          <w:lang w:val="zh-CN"/>
        </w:rPr>
      </w:pPr>
    </w:p>
    <w:p w14:paraId="42345CC6">
      <w:pPr>
        <w:snapToGrid w:val="0"/>
        <w:jc w:val="center"/>
        <w:rPr>
          <w:rFonts w:hint="eastAsia" w:ascii="宋体" w:hAnsi="宋体" w:eastAsia="宋体" w:cs="宋体"/>
          <w:b/>
          <w:bCs/>
          <w:color w:val="auto"/>
          <w:sz w:val="32"/>
          <w:szCs w:val="32"/>
          <w:lang w:val="zh-CN"/>
        </w:rPr>
      </w:pPr>
    </w:p>
    <w:p w14:paraId="56BDC13A">
      <w:pPr>
        <w:snapToGrid w:val="0"/>
        <w:jc w:val="center"/>
        <w:rPr>
          <w:rFonts w:hint="eastAsia" w:ascii="宋体" w:hAnsi="宋体" w:eastAsia="宋体" w:cs="宋体"/>
          <w:b/>
          <w:bCs/>
          <w:color w:val="auto"/>
          <w:sz w:val="32"/>
          <w:szCs w:val="32"/>
          <w:lang w:val="zh-CN"/>
        </w:rPr>
      </w:pPr>
    </w:p>
    <w:p w14:paraId="760478BA">
      <w:pPr>
        <w:snapToGrid w:val="0"/>
        <w:jc w:val="center"/>
        <w:rPr>
          <w:rFonts w:hint="eastAsia" w:ascii="宋体" w:hAnsi="宋体" w:eastAsia="宋体" w:cs="宋体"/>
          <w:b/>
          <w:bCs/>
          <w:color w:val="auto"/>
          <w:sz w:val="32"/>
          <w:szCs w:val="32"/>
          <w:lang w:val="zh-CN"/>
        </w:rPr>
      </w:pPr>
    </w:p>
    <w:p w14:paraId="266AE7DE">
      <w:pP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br w:type="page"/>
      </w:r>
    </w:p>
    <w:p w14:paraId="3775DA0E">
      <w:pPr>
        <w:snapToGrid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t>法定代表人、单位负责人或自然人本人</w:t>
      </w:r>
      <w:r>
        <w:rPr>
          <w:rFonts w:hint="eastAsia" w:ascii="宋体" w:hAnsi="宋体" w:eastAsia="宋体" w:cs="宋体"/>
          <w:b/>
          <w:bCs/>
          <w:color w:val="auto"/>
          <w:sz w:val="32"/>
          <w:szCs w:val="32"/>
        </w:rPr>
        <w:t>的身份证明（适用于法定代表人、单位负责人或者自然人本人代表供应商参加响应）</w:t>
      </w:r>
    </w:p>
    <w:p w14:paraId="1B9C8C52">
      <w:pPr>
        <w:pStyle w:val="623"/>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9D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A81B96">
            <w:pPr>
              <w:pStyle w:val="623"/>
              <w:adjustRightInd w:val="0"/>
              <w:spacing w:line="360" w:lineRule="auto"/>
              <w:rPr>
                <w:rFonts w:hint="eastAsia" w:ascii="宋体" w:hAnsi="宋体" w:eastAsia="宋体" w:cs="宋体"/>
                <w:bCs/>
                <w:color w:val="auto"/>
                <w:sz w:val="21"/>
                <w:szCs w:val="18"/>
              </w:rPr>
            </w:pPr>
            <w:r>
              <w:rPr>
                <w:rFonts w:hint="eastAsia" w:ascii="宋体" w:hAnsi="宋体" w:eastAsia="宋体" w:cs="宋体"/>
                <w:bCs/>
                <w:color w:val="auto"/>
                <w:sz w:val="21"/>
                <w:szCs w:val="18"/>
              </w:rPr>
              <w:t>正面：                                 反面：</w:t>
            </w:r>
          </w:p>
          <w:p w14:paraId="65F82235">
            <w:pPr>
              <w:pStyle w:val="623"/>
              <w:adjustRightInd w:val="0"/>
              <w:spacing w:line="360" w:lineRule="auto"/>
              <w:rPr>
                <w:rFonts w:hint="eastAsia" w:ascii="宋体" w:hAnsi="宋体" w:eastAsia="宋体" w:cs="宋体"/>
                <w:bCs/>
                <w:color w:val="auto"/>
                <w:sz w:val="24"/>
              </w:rPr>
            </w:pPr>
          </w:p>
        </w:tc>
      </w:tr>
    </w:tbl>
    <w:p w14:paraId="725AF788">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40EEB0A2">
      <w:pPr>
        <w:snapToGrid w:val="0"/>
        <w:spacing w:line="360" w:lineRule="auto"/>
        <w:ind w:firstLine="576"/>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1"/>
          <w:szCs w:val="21"/>
          <w:lang w:val="zh-CN"/>
        </w:rPr>
        <w:t xml:space="preserve">   供应商名称(电子签名)：                              </w:t>
      </w:r>
    </w:p>
    <w:p w14:paraId="3648C1EC">
      <w:pPr>
        <w:spacing w:line="360" w:lineRule="auto"/>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                   日期：  年  月  日</w:t>
      </w:r>
    </w:p>
    <w:p w14:paraId="38E581E5">
      <w:pPr>
        <w:jc w:val="center"/>
        <w:rPr>
          <w:rFonts w:hint="eastAsia" w:ascii="宋体" w:hAnsi="宋体" w:eastAsia="宋体" w:cs="宋体"/>
          <w:b/>
          <w:color w:val="auto"/>
          <w:kern w:val="0"/>
          <w:sz w:val="32"/>
          <w:szCs w:val="32"/>
        </w:rPr>
      </w:pPr>
    </w:p>
    <w:p w14:paraId="7D2BBAF4">
      <w:pPr>
        <w:jc w:val="center"/>
        <w:rPr>
          <w:rFonts w:hint="eastAsia" w:ascii="宋体" w:hAnsi="宋体" w:eastAsia="宋体" w:cs="宋体"/>
          <w:b/>
          <w:color w:val="auto"/>
          <w:kern w:val="0"/>
          <w:sz w:val="32"/>
          <w:szCs w:val="32"/>
        </w:rPr>
      </w:pPr>
    </w:p>
    <w:p w14:paraId="356690E3">
      <w:pPr>
        <w:jc w:val="center"/>
        <w:rPr>
          <w:rFonts w:hint="eastAsia" w:ascii="宋体" w:hAnsi="宋体" w:eastAsia="宋体" w:cs="宋体"/>
          <w:b/>
          <w:color w:val="auto"/>
          <w:kern w:val="0"/>
          <w:sz w:val="32"/>
          <w:szCs w:val="32"/>
        </w:rPr>
      </w:pPr>
    </w:p>
    <w:p w14:paraId="18B6C8A3">
      <w:pPr>
        <w:jc w:val="center"/>
        <w:rPr>
          <w:rFonts w:hint="eastAsia" w:ascii="宋体" w:hAnsi="宋体" w:eastAsia="宋体" w:cs="宋体"/>
          <w:b/>
          <w:color w:val="auto"/>
          <w:kern w:val="0"/>
          <w:sz w:val="32"/>
          <w:szCs w:val="32"/>
        </w:rPr>
      </w:pPr>
    </w:p>
    <w:p w14:paraId="7D45DC62">
      <w:pPr>
        <w:jc w:val="center"/>
        <w:rPr>
          <w:rFonts w:hint="eastAsia" w:ascii="宋体" w:hAnsi="宋体" w:eastAsia="宋体" w:cs="宋体"/>
          <w:b/>
          <w:color w:val="auto"/>
          <w:kern w:val="0"/>
          <w:sz w:val="32"/>
          <w:szCs w:val="32"/>
        </w:rPr>
      </w:pPr>
    </w:p>
    <w:p w14:paraId="03C22023">
      <w:pPr>
        <w:jc w:val="center"/>
        <w:rPr>
          <w:rFonts w:hint="eastAsia" w:ascii="宋体" w:hAnsi="宋体" w:eastAsia="宋体" w:cs="宋体"/>
          <w:b/>
          <w:color w:val="auto"/>
          <w:kern w:val="0"/>
          <w:sz w:val="32"/>
          <w:szCs w:val="32"/>
        </w:rPr>
      </w:pPr>
    </w:p>
    <w:p w14:paraId="721DFAEE">
      <w:pPr>
        <w:jc w:val="center"/>
        <w:rPr>
          <w:rFonts w:hint="eastAsia" w:ascii="宋体" w:hAnsi="宋体" w:eastAsia="宋体" w:cs="宋体"/>
          <w:b/>
          <w:color w:val="auto"/>
          <w:kern w:val="0"/>
          <w:sz w:val="32"/>
          <w:szCs w:val="32"/>
        </w:rPr>
      </w:pPr>
    </w:p>
    <w:p w14:paraId="4928727D">
      <w:pPr>
        <w:jc w:val="center"/>
        <w:rPr>
          <w:rFonts w:hint="eastAsia" w:ascii="宋体" w:hAnsi="宋体" w:eastAsia="宋体" w:cs="宋体"/>
          <w:b/>
          <w:color w:val="auto"/>
          <w:kern w:val="0"/>
          <w:sz w:val="32"/>
          <w:szCs w:val="32"/>
        </w:rPr>
      </w:pPr>
    </w:p>
    <w:p w14:paraId="7BD74917">
      <w:pPr>
        <w:jc w:val="center"/>
        <w:rPr>
          <w:rFonts w:hint="eastAsia" w:ascii="宋体" w:hAnsi="宋体" w:eastAsia="宋体" w:cs="宋体"/>
          <w:b/>
          <w:color w:val="auto"/>
          <w:kern w:val="0"/>
          <w:sz w:val="32"/>
          <w:szCs w:val="32"/>
        </w:rPr>
      </w:pPr>
    </w:p>
    <w:p w14:paraId="56EA6AD2">
      <w:pPr>
        <w:jc w:val="center"/>
        <w:rPr>
          <w:rFonts w:hint="eastAsia" w:ascii="宋体" w:hAnsi="宋体" w:eastAsia="宋体" w:cs="宋体"/>
          <w:b/>
          <w:color w:val="auto"/>
          <w:kern w:val="0"/>
          <w:sz w:val="32"/>
          <w:szCs w:val="32"/>
        </w:rPr>
      </w:pPr>
    </w:p>
    <w:p w14:paraId="12E9B840">
      <w:pPr>
        <w:snapToGrid w:val="0"/>
        <w:spacing w:line="360" w:lineRule="auto"/>
        <w:ind w:right="480"/>
        <w:rPr>
          <w:rFonts w:hint="eastAsia" w:ascii="宋体" w:hAnsi="宋体" w:eastAsia="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74F09B44">
      <w:pPr>
        <w:snapToGrid w:val="0"/>
        <w:jc w:val="center"/>
        <w:rPr>
          <w:rFonts w:hint="eastAsia" w:ascii="宋体" w:hAnsi="宋体" w:eastAsia="宋体" w:cs="宋体"/>
          <w:b/>
          <w:bCs/>
          <w:color w:val="auto"/>
          <w:sz w:val="32"/>
          <w:szCs w:val="32"/>
        </w:rPr>
      </w:pPr>
    </w:p>
    <w:p w14:paraId="446CC26E">
      <w:pPr>
        <w:snapToGrid w:val="0"/>
        <w:jc w:val="center"/>
        <w:rPr>
          <w:rFonts w:ascii="宋体" w:hAnsi="宋体" w:cs="宋体"/>
          <w:b/>
          <w:bCs/>
          <w:sz w:val="32"/>
          <w:szCs w:val="32"/>
        </w:rPr>
      </w:pPr>
      <w:r>
        <w:rPr>
          <w:rFonts w:hint="eastAsia" w:ascii="宋体" w:hAnsi="宋体" w:cs="宋体"/>
          <w:b/>
          <w:bCs/>
          <w:sz w:val="32"/>
          <w:szCs w:val="32"/>
        </w:rPr>
        <w:t>三、分包意向协议</w:t>
      </w:r>
    </w:p>
    <w:p w14:paraId="5F7DE584">
      <w:pPr>
        <w:widowControl/>
        <w:spacing w:line="360" w:lineRule="auto"/>
        <w:ind w:firstLine="120" w:firstLineChars="50"/>
        <w:jc w:val="left"/>
        <w:rPr>
          <w:rFonts w:ascii="宋体" w:hAnsi="宋体" w:cs="宋体"/>
          <w:sz w:val="24"/>
        </w:rPr>
      </w:pPr>
      <w:bookmarkStart w:id="621"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621"/>
    <w:p w14:paraId="53C5D091">
      <w:pPr>
        <w:snapToGrid w:val="0"/>
        <w:spacing w:line="360" w:lineRule="auto"/>
        <w:rPr>
          <w:rFonts w:ascii="宋体" w:hAnsi="宋体" w:cs="宋体"/>
          <w:kern w:val="0"/>
          <w:sz w:val="24"/>
        </w:rPr>
      </w:pPr>
    </w:p>
    <w:p w14:paraId="71F840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47EC19E3">
      <w:pPr>
        <w:jc w:val="center"/>
        <w:rPr>
          <w:rFonts w:ascii="宋体" w:hAnsi="宋体" w:cs="宋体"/>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C7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159CBB">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26A3A26">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476C71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77956EA">
            <w:pPr>
              <w:snapToGrid w:val="0"/>
              <w:spacing w:line="240" w:lineRule="atLeast"/>
              <w:jc w:val="center"/>
              <w:rPr>
                <w:rFonts w:ascii="宋体" w:hAnsi="宋体" w:cs="宋体"/>
                <w:b/>
                <w:sz w:val="24"/>
              </w:rPr>
            </w:pPr>
            <w:r>
              <w:rPr>
                <w:rFonts w:hint="eastAsia" w:ascii="宋体" w:hAnsi="宋体" w:cs="宋体"/>
                <w:b/>
                <w:sz w:val="24"/>
              </w:rPr>
              <w:t>响应文件中的</w:t>
            </w:r>
          </w:p>
          <w:p w14:paraId="7F773503">
            <w:pPr>
              <w:snapToGrid w:val="0"/>
              <w:spacing w:line="240" w:lineRule="atLeast"/>
              <w:jc w:val="center"/>
              <w:rPr>
                <w:rFonts w:ascii="宋体" w:hAnsi="宋体" w:cs="宋体"/>
                <w:b/>
                <w:sz w:val="24"/>
              </w:rPr>
            </w:pPr>
            <w:r>
              <w:rPr>
                <w:rFonts w:hint="eastAsia" w:ascii="宋体" w:hAnsi="宋体" w:cs="宋体"/>
                <w:b/>
                <w:sz w:val="24"/>
              </w:rPr>
              <w:t>页码位置</w:t>
            </w:r>
          </w:p>
        </w:tc>
      </w:tr>
      <w:tr w14:paraId="063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915A94">
            <w:pPr>
              <w:rPr>
                <w:rFonts w:ascii="宋体" w:hAnsi="宋体" w:cs="宋体"/>
                <w:sz w:val="24"/>
              </w:rPr>
            </w:pPr>
            <w:r>
              <w:rPr>
                <w:rFonts w:hint="eastAsia" w:ascii="宋体" w:hAnsi="宋体" w:cs="宋体"/>
                <w:sz w:val="24"/>
              </w:rPr>
              <w:t>1</w:t>
            </w:r>
          </w:p>
        </w:tc>
        <w:tc>
          <w:tcPr>
            <w:tcW w:w="4991" w:type="dxa"/>
            <w:vAlign w:val="center"/>
          </w:tcPr>
          <w:p w14:paraId="719A2436">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1C25E8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732DC061">
            <w:pPr>
              <w:rPr>
                <w:rFonts w:ascii="宋体" w:hAnsi="宋体" w:cs="宋体"/>
                <w:sz w:val="24"/>
              </w:rPr>
            </w:pPr>
            <w:r>
              <w:rPr>
                <w:rFonts w:hint="eastAsia" w:ascii="宋体" w:hAnsi="宋体" w:cs="宋体"/>
                <w:sz w:val="24"/>
              </w:rPr>
              <w:t>见响应文件</w:t>
            </w:r>
          </w:p>
          <w:p w14:paraId="12F368A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21F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D6EE8A">
            <w:pPr>
              <w:spacing w:line="360" w:lineRule="auto"/>
              <w:rPr>
                <w:rFonts w:ascii="宋体" w:hAnsi="宋体" w:cs="宋体"/>
                <w:sz w:val="24"/>
              </w:rPr>
            </w:pPr>
            <w:r>
              <w:rPr>
                <w:rFonts w:hint="eastAsia" w:ascii="宋体" w:hAnsi="宋体" w:cs="宋体"/>
                <w:sz w:val="24"/>
              </w:rPr>
              <w:t>2</w:t>
            </w:r>
          </w:p>
        </w:tc>
        <w:tc>
          <w:tcPr>
            <w:tcW w:w="4991" w:type="dxa"/>
            <w:vAlign w:val="center"/>
          </w:tcPr>
          <w:p w14:paraId="73094788">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F16B3A1">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CB1E179">
            <w:pPr>
              <w:rPr>
                <w:rFonts w:ascii="宋体" w:hAnsi="宋体" w:cs="宋体"/>
                <w:sz w:val="24"/>
              </w:rPr>
            </w:pPr>
            <w:r>
              <w:rPr>
                <w:rFonts w:hint="eastAsia" w:ascii="宋体" w:hAnsi="宋体" w:cs="宋体"/>
                <w:sz w:val="24"/>
              </w:rPr>
              <w:t>见响应文件</w:t>
            </w:r>
          </w:p>
          <w:p w14:paraId="4504BA10">
            <w:pPr>
              <w:pStyle w:val="3"/>
              <w:numPr>
                <w:ilvl w:val="0"/>
                <w:numId w:val="0"/>
              </w:numPr>
              <w:ind w:leftChars="0"/>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57A6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6011E3">
            <w:pPr>
              <w:rPr>
                <w:rFonts w:ascii="宋体" w:hAnsi="宋体" w:cs="宋体"/>
                <w:sz w:val="24"/>
              </w:rPr>
            </w:pPr>
            <w:r>
              <w:rPr>
                <w:rFonts w:hint="eastAsia" w:ascii="宋体" w:hAnsi="宋体" w:cs="宋体"/>
                <w:sz w:val="24"/>
              </w:rPr>
              <w:t>3</w:t>
            </w:r>
          </w:p>
        </w:tc>
        <w:tc>
          <w:tcPr>
            <w:tcW w:w="4991" w:type="dxa"/>
            <w:vAlign w:val="center"/>
          </w:tcPr>
          <w:p w14:paraId="421D17DD">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A585732">
            <w:pPr>
              <w:rPr>
                <w:rFonts w:ascii="宋体" w:hAnsi="宋体" w:cs="宋体"/>
                <w:sz w:val="24"/>
              </w:rPr>
            </w:pPr>
            <w:r>
              <w:rPr>
                <w:rFonts w:hint="eastAsia" w:ascii="宋体" w:hAnsi="宋体" w:cs="宋体"/>
                <w:sz w:val="24"/>
              </w:rPr>
              <w:t>响应函</w:t>
            </w:r>
          </w:p>
        </w:tc>
        <w:tc>
          <w:tcPr>
            <w:tcW w:w="1418" w:type="dxa"/>
            <w:vAlign w:val="center"/>
          </w:tcPr>
          <w:p w14:paraId="4C12963C">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4B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7147DB">
            <w:pPr>
              <w:rPr>
                <w:rFonts w:ascii="宋体" w:hAnsi="宋体" w:cs="宋体"/>
                <w:sz w:val="24"/>
              </w:rPr>
            </w:pPr>
            <w:r>
              <w:rPr>
                <w:rFonts w:hint="eastAsia" w:ascii="宋体" w:hAnsi="宋体" w:cs="宋体"/>
                <w:sz w:val="24"/>
              </w:rPr>
              <w:t>4</w:t>
            </w:r>
          </w:p>
        </w:tc>
        <w:tc>
          <w:tcPr>
            <w:tcW w:w="4991" w:type="dxa"/>
            <w:vAlign w:val="center"/>
          </w:tcPr>
          <w:p w14:paraId="49161196">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37B07371">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32C785DD">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452A4FA9">
      <w:pPr>
        <w:spacing w:line="360" w:lineRule="auto"/>
        <w:ind w:right="420"/>
        <w:rPr>
          <w:rFonts w:ascii="宋体" w:hAnsi="宋体" w:cs="宋体"/>
          <w:sz w:val="24"/>
        </w:rPr>
      </w:pPr>
      <w:r>
        <w:rPr>
          <w:rFonts w:hint="eastAsia" w:ascii="宋体" w:hAnsi="宋体" w:cs="宋体"/>
          <w:sz w:val="24"/>
        </w:rPr>
        <w:t>注：按本格式和要求提供。</w:t>
      </w:r>
    </w:p>
    <w:p w14:paraId="04A66DFC">
      <w:pPr>
        <w:jc w:val="center"/>
        <w:rPr>
          <w:rFonts w:ascii="宋体" w:hAnsi="宋体" w:cs="宋体"/>
          <w:b/>
          <w:kern w:val="0"/>
          <w:sz w:val="32"/>
          <w:szCs w:val="32"/>
        </w:rPr>
      </w:pPr>
    </w:p>
    <w:p w14:paraId="7B705B92">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AB86E1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6C286FB8">
      <w:pPr>
        <w:spacing w:line="360" w:lineRule="auto"/>
        <w:jc w:val="center"/>
        <w:rPr>
          <w:rFonts w:ascii="宋体" w:hAnsi="宋体" w:cs="宋体"/>
          <w:b/>
          <w:sz w:val="30"/>
          <w:szCs w:val="30"/>
        </w:rPr>
      </w:pPr>
    </w:p>
    <w:p w14:paraId="202A6CC1">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880705A">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2F3E45E">
      <w:pPr>
        <w:spacing w:line="360" w:lineRule="auto"/>
        <w:jc w:val="center"/>
        <w:rPr>
          <w:rFonts w:ascii="宋体" w:hAnsi="宋体" w:cs="宋体"/>
          <w:b/>
          <w:kern w:val="0"/>
          <w:sz w:val="32"/>
          <w:szCs w:val="32"/>
        </w:rPr>
      </w:pPr>
    </w:p>
    <w:p w14:paraId="018ED241">
      <w:pPr>
        <w:spacing w:line="360" w:lineRule="auto"/>
        <w:jc w:val="center"/>
        <w:rPr>
          <w:rFonts w:ascii="宋体" w:hAnsi="宋体" w:cs="宋体"/>
          <w:b/>
          <w:bCs/>
          <w:sz w:val="32"/>
          <w:szCs w:val="32"/>
        </w:rPr>
      </w:pPr>
    </w:p>
    <w:p w14:paraId="771E902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8F8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5FBDD">
            <w:pPr>
              <w:jc w:val="center"/>
              <w:rPr>
                <w:rFonts w:ascii="宋体" w:hAnsi="宋体" w:cs="宋体"/>
                <w:b/>
                <w:bCs/>
                <w:sz w:val="24"/>
              </w:rPr>
            </w:pPr>
            <w:r>
              <w:rPr>
                <w:rFonts w:hint="eastAsia" w:ascii="宋体" w:hAnsi="宋体" w:cs="宋体"/>
                <w:b/>
                <w:bCs/>
                <w:sz w:val="24"/>
              </w:rPr>
              <w:t>序号</w:t>
            </w:r>
          </w:p>
        </w:tc>
        <w:tc>
          <w:tcPr>
            <w:tcW w:w="3683" w:type="dxa"/>
          </w:tcPr>
          <w:p w14:paraId="5FDC6FCE">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B0BE9C4">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31C560D">
            <w:pPr>
              <w:jc w:val="center"/>
              <w:rPr>
                <w:rFonts w:ascii="宋体" w:hAnsi="宋体" w:cs="宋体"/>
                <w:b/>
                <w:bCs/>
                <w:sz w:val="24"/>
              </w:rPr>
            </w:pPr>
            <w:r>
              <w:rPr>
                <w:rFonts w:hint="eastAsia" w:ascii="宋体" w:hAnsi="宋体" w:cs="宋体"/>
                <w:b/>
                <w:bCs/>
                <w:sz w:val="24"/>
              </w:rPr>
              <w:t>偏离说明</w:t>
            </w:r>
          </w:p>
        </w:tc>
      </w:tr>
      <w:tr w14:paraId="416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06FC2C">
            <w:pPr>
              <w:jc w:val="center"/>
              <w:rPr>
                <w:rFonts w:ascii="宋体" w:hAnsi="宋体" w:cs="宋体"/>
                <w:kern w:val="0"/>
                <w:sz w:val="24"/>
              </w:rPr>
            </w:pPr>
            <w:r>
              <w:rPr>
                <w:rFonts w:hint="eastAsia" w:ascii="宋体" w:hAnsi="宋体" w:cs="宋体"/>
                <w:kern w:val="0"/>
                <w:sz w:val="24"/>
              </w:rPr>
              <w:t>1</w:t>
            </w:r>
          </w:p>
        </w:tc>
        <w:tc>
          <w:tcPr>
            <w:tcW w:w="3683" w:type="dxa"/>
          </w:tcPr>
          <w:p w14:paraId="47D4125D">
            <w:pPr>
              <w:jc w:val="center"/>
              <w:rPr>
                <w:rFonts w:ascii="宋体" w:hAnsi="宋体" w:cs="宋体"/>
                <w:b/>
                <w:kern w:val="0"/>
                <w:sz w:val="32"/>
                <w:szCs w:val="32"/>
              </w:rPr>
            </w:pPr>
          </w:p>
        </w:tc>
        <w:tc>
          <w:tcPr>
            <w:tcW w:w="3546" w:type="dxa"/>
          </w:tcPr>
          <w:p w14:paraId="6CD60577">
            <w:pPr>
              <w:jc w:val="center"/>
              <w:rPr>
                <w:rFonts w:ascii="宋体" w:hAnsi="宋体" w:cs="宋体"/>
                <w:b/>
                <w:kern w:val="0"/>
                <w:sz w:val="32"/>
                <w:szCs w:val="32"/>
              </w:rPr>
            </w:pPr>
          </w:p>
        </w:tc>
        <w:tc>
          <w:tcPr>
            <w:tcW w:w="1276" w:type="dxa"/>
          </w:tcPr>
          <w:p w14:paraId="49EDA626">
            <w:pPr>
              <w:jc w:val="center"/>
              <w:rPr>
                <w:rFonts w:ascii="宋体" w:hAnsi="宋体" w:cs="宋体"/>
                <w:b/>
                <w:kern w:val="0"/>
                <w:sz w:val="32"/>
                <w:szCs w:val="32"/>
              </w:rPr>
            </w:pPr>
          </w:p>
        </w:tc>
      </w:tr>
      <w:tr w14:paraId="3D3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9F018F">
            <w:pPr>
              <w:jc w:val="center"/>
              <w:rPr>
                <w:rFonts w:ascii="宋体" w:hAnsi="宋体" w:cs="宋体"/>
                <w:kern w:val="0"/>
                <w:sz w:val="24"/>
              </w:rPr>
            </w:pPr>
            <w:r>
              <w:rPr>
                <w:rFonts w:hint="eastAsia" w:ascii="宋体" w:hAnsi="宋体" w:cs="宋体"/>
                <w:kern w:val="0"/>
                <w:sz w:val="24"/>
              </w:rPr>
              <w:t>2</w:t>
            </w:r>
          </w:p>
        </w:tc>
        <w:tc>
          <w:tcPr>
            <w:tcW w:w="3683" w:type="dxa"/>
          </w:tcPr>
          <w:p w14:paraId="142B9C2B">
            <w:pPr>
              <w:jc w:val="center"/>
              <w:rPr>
                <w:rFonts w:ascii="宋体" w:hAnsi="宋体" w:cs="宋体"/>
                <w:b/>
                <w:kern w:val="0"/>
                <w:sz w:val="32"/>
                <w:szCs w:val="32"/>
              </w:rPr>
            </w:pPr>
          </w:p>
        </w:tc>
        <w:tc>
          <w:tcPr>
            <w:tcW w:w="3546" w:type="dxa"/>
          </w:tcPr>
          <w:p w14:paraId="440A0FAD">
            <w:pPr>
              <w:jc w:val="center"/>
              <w:rPr>
                <w:rFonts w:ascii="宋体" w:hAnsi="宋体" w:cs="宋体"/>
                <w:b/>
                <w:kern w:val="0"/>
                <w:sz w:val="32"/>
                <w:szCs w:val="32"/>
              </w:rPr>
            </w:pPr>
          </w:p>
        </w:tc>
        <w:tc>
          <w:tcPr>
            <w:tcW w:w="1276" w:type="dxa"/>
          </w:tcPr>
          <w:p w14:paraId="355246C8">
            <w:pPr>
              <w:jc w:val="center"/>
              <w:rPr>
                <w:rFonts w:ascii="宋体" w:hAnsi="宋体" w:cs="宋体"/>
                <w:b/>
                <w:kern w:val="0"/>
                <w:sz w:val="32"/>
                <w:szCs w:val="32"/>
              </w:rPr>
            </w:pPr>
          </w:p>
        </w:tc>
      </w:tr>
      <w:tr w14:paraId="02CC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DF38E9">
            <w:pPr>
              <w:jc w:val="center"/>
              <w:rPr>
                <w:rFonts w:ascii="宋体" w:hAnsi="宋体" w:cs="宋体"/>
                <w:kern w:val="0"/>
                <w:sz w:val="24"/>
              </w:rPr>
            </w:pPr>
            <w:r>
              <w:rPr>
                <w:rFonts w:hint="eastAsia" w:ascii="宋体" w:hAnsi="宋体" w:cs="宋体"/>
                <w:kern w:val="0"/>
                <w:sz w:val="24"/>
              </w:rPr>
              <w:t>……</w:t>
            </w:r>
          </w:p>
        </w:tc>
        <w:tc>
          <w:tcPr>
            <w:tcW w:w="3683" w:type="dxa"/>
          </w:tcPr>
          <w:p w14:paraId="4A08EFF3">
            <w:pPr>
              <w:jc w:val="center"/>
              <w:rPr>
                <w:rFonts w:ascii="宋体" w:hAnsi="宋体" w:cs="宋体"/>
                <w:b/>
                <w:kern w:val="0"/>
                <w:sz w:val="32"/>
                <w:szCs w:val="32"/>
              </w:rPr>
            </w:pPr>
          </w:p>
        </w:tc>
        <w:tc>
          <w:tcPr>
            <w:tcW w:w="3546" w:type="dxa"/>
          </w:tcPr>
          <w:p w14:paraId="77736AAF">
            <w:pPr>
              <w:jc w:val="center"/>
              <w:rPr>
                <w:rFonts w:ascii="宋体" w:hAnsi="宋体" w:cs="宋体"/>
                <w:b/>
                <w:kern w:val="0"/>
                <w:sz w:val="32"/>
                <w:szCs w:val="32"/>
              </w:rPr>
            </w:pPr>
          </w:p>
        </w:tc>
        <w:tc>
          <w:tcPr>
            <w:tcW w:w="1276" w:type="dxa"/>
          </w:tcPr>
          <w:p w14:paraId="1B4CF021">
            <w:pPr>
              <w:jc w:val="center"/>
              <w:rPr>
                <w:rFonts w:ascii="宋体" w:hAnsi="宋体" w:cs="宋体"/>
                <w:b/>
                <w:kern w:val="0"/>
                <w:sz w:val="32"/>
                <w:szCs w:val="32"/>
              </w:rPr>
            </w:pPr>
          </w:p>
        </w:tc>
      </w:tr>
    </w:tbl>
    <w:p w14:paraId="1787FCB9">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70E4B69E">
      <w:pPr>
        <w:jc w:val="center"/>
        <w:rPr>
          <w:rFonts w:ascii="宋体" w:hAnsi="宋体" w:cs="宋体"/>
          <w:b/>
          <w:kern w:val="0"/>
          <w:sz w:val="32"/>
          <w:szCs w:val="32"/>
        </w:rPr>
      </w:pPr>
    </w:p>
    <w:p w14:paraId="46BBA7B3">
      <w:pPr>
        <w:spacing w:line="360" w:lineRule="auto"/>
        <w:ind w:right="420"/>
        <w:rPr>
          <w:rFonts w:ascii="宋体" w:hAnsi="宋体" w:cs="宋体"/>
          <w:sz w:val="24"/>
        </w:rPr>
      </w:pPr>
      <w:r>
        <w:rPr>
          <w:rFonts w:hint="eastAsia" w:ascii="宋体" w:hAnsi="宋体" w:cs="宋体"/>
          <w:sz w:val="24"/>
        </w:rPr>
        <w:t>注：按本格式和要求提供。</w:t>
      </w:r>
    </w:p>
    <w:p w14:paraId="4CE6514F">
      <w:pPr>
        <w:ind w:firstLine="1911" w:firstLineChars="595"/>
        <w:rPr>
          <w:rFonts w:ascii="宋体" w:hAnsi="宋体" w:cs="宋体"/>
          <w:b/>
          <w:bCs/>
          <w:sz w:val="32"/>
          <w:szCs w:val="32"/>
        </w:rPr>
        <w:sectPr>
          <w:footerReference r:id="rId11" w:type="first"/>
          <w:footerReference r:id="rId10" w:type="default"/>
          <w:pgSz w:w="11906" w:h="16838"/>
          <w:pgMar w:top="1440" w:right="1080" w:bottom="1440" w:left="1080" w:header="851" w:footer="992" w:gutter="0"/>
          <w:cols w:space="720" w:num="1"/>
          <w:titlePg/>
          <w:docGrid w:linePitch="312" w:charSpace="0"/>
        </w:sectPr>
      </w:pPr>
    </w:p>
    <w:p w14:paraId="7F26E87C">
      <w:pPr>
        <w:pStyle w:val="641"/>
      </w:pPr>
    </w:p>
    <w:p w14:paraId="6AC3A9DE">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8377F1F">
      <w:pPr>
        <w:snapToGrid w:val="0"/>
        <w:spacing w:line="360" w:lineRule="auto"/>
        <w:rPr>
          <w:rFonts w:ascii="宋体" w:hAnsi="宋体" w:cs="宋体"/>
          <w:sz w:val="24"/>
        </w:rPr>
      </w:pPr>
    </w:p>
    <w:p w14:paraId="7AAFABAE">
      <w:pPr>
        <w:snapToGrid w:val="0"/>
        <w:spacing w:line="360" w:lineRule="auto"/>
        <w:rPr>
          <w:rFonts w:ascii="宋体" w:hAnsi="宋体" w:cs="宋体"/>
          <w:kern w:val="0"/>
          <w:sz w:val="24"/>
        </w:rPr>
      </w:pPr>
      <w:r>
        <w:rPr>
          <w:rFonts w:hint="eastAsia" w:ascii="宋体" w:hAnsi="宋体" w:cs="宋体"/>
          <w:sz w:val="24"/>
          <w:lang w:eastAsia="zh-CN"/>
        </w:rPr>
        <w:t>（采购人）、（采购代理机构）</w:t>
      </w:r>
      <w:r>
        <w:rPr>
          <w:rFonts w:hint="eastAsia" w:ascii="宋体" w:hAnsi="宋体" w:cs="宋体"/>
          <w:kern w:val="0"/>
          <w:sz w:val="24"/>
          <w:lang w:val="zh-CN"/>
        </w:rPr>
        <w:t>：</w:t>
      </w:r>
    </w:p>
    <w:p w14:paraId="6219F1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A6A96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AC6414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FD951C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8F770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93CD6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22E915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090379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7305C3B">
      <w:pPr>
        <w:autoSpaceDE w:val="0"/>
        <w:autoSpaceDN w:val="0"/>
        <w:spacing w:line="360" w:lineRule="auto"/>
        <w:ind w:left="2"/>
        <w:jc w:val="left"/>
        <w:rPr>
          <w:rFonts w:ascii="宋体" w:hAnsi="宋体" w:cs="宋体"/>
          <w:kern w:val="0"/>
          <w:sz w:val="24"/>
          <w:lang w:val="zh-CN"/>
        </w:rPr>
      </w:pPr>
    </w:p>
    <w:p w14:paraId="6394969E">
      <w:pPr>
        <w:autoSpaceDE w:val="0"/>
        <w:autoSpaceDN w:val="0"/>
        <w:spacing w:line="360" w:lineRule="auto"/>
        <w:ind w:left="2"/>
        <w:jc w:val="left"/>
        <w:rPr>
          <w:rFonts w:ascii="宋体" w:hAnsi="宋体" w:cs="宋体"/>
          <w:kern w:val="0"/>
          <w:sz w:val="24"/>
          <w:lang w:val="zh-CN"/>
        </w:rPr>
      </w:pPr>
    </w:p>
    <w:p w14:paraId="38919083">
      <w:pPr>
        <w:autoSpaceDE w:val="0"/>
        <w:autoSpaceDN w:val="0"/>
        <w:spacing w:line="360" w:lineRule="auto"/>
        <w:ind w:left="2"/>
        <w:jc w:val="left"/>
        <w:rPr>
          <w:rFonts w:ascii="宋体" w:hAnsi="宋体" w:cs="宋体"/>
          <w:kern w:val="0"/>
          <w:sz w:val="24"/>
          <w:lang w:val="zh-CN"/>
        </w:rPr>
      </w:pPr>
    </w:p>
    <w:p w14:paraId="07022DE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705483C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01DE93A">
      <w:pPr>
        <w:spacing w:line="360" w:lineRule="auto"/>
        <w:jc w:val="center"/>
        <w:rPr>
          <w:rFonts w:ascii="宋体" w:hAnsi="宋体" w:cs="宋体"/>
          <w:b/>
          <w:bCs/>
          <w:sz w:val="24"/>
        </w:rPr>
      </w:pPr>
    </w:p>
    <w:p w14:paraId="3967B699">
      <w:pPr>
        <w:bidi w:val="0"/>
        <w:spacing w:line="360" w:lineRule="auto"/>
        <w:jc w:val="both"/>
        <w:rPr>
          <w:rFonts w:hint="eastAsia" w:ascii="宋体" w:hAnsi="宋体" w:cs="宋体"/>
          <w:sz w:val="24"/>
        </w:rPr>
      </w:pPr>
      <w:r>
        <w:rPr>
          <w:rFonts w:hint="eastAsia" w:ascii="宋体" w:hAnsi="宋体" w:cs="宋体"/>
          <w:sz w:val="24"/>
        </w:rPr>
        <w:t>注：按本格式和要求提供。</w:t>
      </w:r>
    </w:p>
    <w:p w14:paraId="1E90CEDF">
      <w:pPr>
        <w:rPr>
          <w:rFonts w:hint="eastAsia" w:ascii="宋体" w:hAnsi="宋体" w:eastAsia="宋体" w:cs="宋体"/>
          <w:b/>
          <w:bCs/>
          <w:sz w:val="36"/>
          <w:szCs w:val="36"/>
        </w:rPr>
      </w:pPr>
      <w:r>
        <w:rPr>
          <w:rFonts w:hint="eastAsia" w:ascii="宋体" w:hAnsi="宋体" w:eastAsia="宋体" w:cs="宋体"/>
          <w:b/>
          <w:bCs/>
          <w:sz w:val="36"/>
          <w:szCs w:val="36"/>
        </w:rPr>
        <w:br w:type="page"/>
      </w:r>
    </w:p>
    <w:p w14:paraId="416D9A29">
      <w:pPr>
        <w:bidi w:val="0"/>
        <w:spacing w:line="360" w:lineRule="auto"/>
        <w:jc w:val="center"/>
        <w:rPr>
          <w:rFonts w:hint="eastAsia" w:ascii="宋体" w:hAnsi="宋体" w:eastAsia="宋体" w:cs="宋体"/>
          <w:b/>
          <w:color w:val="auto"/>
          <w:kern w:val="0"/>
          <w:szCs w:val="36"/>
        </w:rPr>
      </w:pPr>
      <w:r>
        <w:rPr>
          <w:rFonts w:hint="eastAsia" w:ascii="宋体" w:hAnsi="宋体" w:eastAsia="宋体" w:cs="宋体"/>
          <w:b/>
          <w:bCs/>
          <w:sz w:val="36"/>
          <w:szCs w:val="36"/>
        </w:rPr>
        <w:t>报价文件部分</w:t>
      </w:r>
    </w:p>
    <w:p w14:paraId="6FD99B2A">
      <w:pPr>
        <w:bidi w:val="0"/>
        <w:spacing w:line="360" w:lineRule="auto"/>
        <w:jc w:val="center"/>
        <w:rPr>
          <w:rFonts w:hint="eastAsia" w:ascii="宋体" w:hAnsi="宋体" w:eastAsia="宋体" w:cs="宋体"/>
          <w:b/>
          <w:color w:val="auto"/>
          <w:kern w:val="0"/>
          <w:szCs w:val="36"/>
          <w:lang w:eastAsia="zh-CN"/>
        </w:rPr>
      </w:pPr>
      <w:r>
        <w:rPr>
          <w:rFonts w:hint="eastAsia" w:ascii="宋体" w:hAnsi="宋体" w:eastAsia="宋体" w:cs="宋体"/>
          <w:b/>
          <w:bCs/>
          <w:sz w:val="36"/>
          <w:szCs w:val="36"/>
          <w:lang w:eastAsia="zh-CN"/>
        </w:rPr>
        <w:t>目录</w:t>
      </w:r>
    </w:p>
    <w:p w14:paraId="3B2FC037">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（1）报价单………………………………………………………………………………………（页码）</w:t>
      </w:r>
    </w:p>
    <w:p w14:paraId="59EBE05A">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（2）已标价工程量清单…………………………………………………………………………（页码）</w:t>
      </w:r>
    </w:p>
    <w:p w14:paraId="0085A53B">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（3）中小企业声明函……………………………………………………………………………（页码）</w:t>
      </w:r>
    </w:p>
    <w:p w14:paraId="2F4D6BF8">
      <w:pPr>
        <w:snapToGrid w:val="0"/>
        <w:spacing w:line="360" w:lineRule="auto"/>
        <w:ind w:right="480"/>
        <w:jc w:val="center"/>
        <w:rPr>
          <w:rFonts w:hint="eastAsia" w:ascii="宋体" w:hAnsi="宋体" w:eastAsia="宋体" w:cs="宋体"/>
          <w:b/>
          <w:color w:val="auto"/>
          <w:kern w:val="0"/>
          <w:sz w:val="32"/>
          <w:szCs w:val="32"/>
        </w:rPr>
      </w:pPr>
    </w:p>
    <w:p w14:paraId="576AB967">
      <w:pPr>
        <w:snapToGrid w:val="0"/>
        <w:spacing w:line="360" w:lineRule="auto"/>
        <w:ind w:right="480"/>
        <w:jc w:val="center"/>
        <w:rPr>
          <w:rFonts w:hint="eastAsia" w:ascii="宋体" w:hAnsi="宋体" w:eastAsia="宋体" w:cs="宋体"/>
          <w:b/>
          <w:color w:val="auto"/>
          <w:kern w:val="0"/>
          <w:sz w:val="32"/>
          <w:szCs w:val="32"/>
        </w:rPr>
      </w:pPr>
    </w:p>
    <w:p w14:paraId="3D6CC70A">
      <w:pPr>
        <w:snapToGrid w:val="0"/>
        <w:spacing w:line="360" w:lineRule="auto"/>
        <w:ind w:right="480"/>
        <w:jc w:val="center"/>
        <w:rPr>
          <w:rFonts w:hint="eastAsia" w:ascii="宋体" w:hAnsi="宋体" w:eastAsia="宋体" w:cs="宋体"/>
          <w:b/>
          <w:color w:val="auto"/>
          <w:kern w:val="0"/>
          <w:sz w:val="32"/>
          <w:szCs w:val="32"/>
        </w:rPr>
      </w:pPr>
    </w:p>
    <w:p w14:paraId="6737E7F0">
      <w:pPr>
        <w:snapToGrid w:val="0"/>
        <w:spacing w:line="360" w:lineRule="auto"/>
        <w:ind w:right="480"/>
        <w:jc w:val="center"/>
        <w:rPr>
          <w:rFonts w:hint="eastAsia" w:ascii="宋体" w:hAnsi="宋体" w:eastAsia="宋体" w:cs="宋体"/>
          <w:b/>
          <w:color w:val="auto"/>
          <w:kern w:val="0"/>
          <w:sz w:val="32"/>
          <w:szCs w:val="32"/>
        </w:rPr>
      </w:pPr>
    </w:p>
    <w:p w14:paraId="04C5755A">
      <w:pPr>
        <w:snapToGrid w:val="0"/>
        <w:spacing w:line="360" w:lineRule="auto"/>
        <w:ind w:right="480"/>
        <w:jc w:val="center"/>
        <w:rPr>
          <w:rFonts w:hint="eastAsia" w:ascii="宋体" w:hAnsi="宋体" w:eastAsia="宋体" w:cs="宋体"/>
          <w:b/>
          <w:color w:val="auto"/>
          <w:kern w:val="0"/>
          <w:sz w:val="32"/>
          <w:szCs w:val="32"/>
        </w:rPr>
      </w:pPr>
    </w:p>
    <w:p w14:paraId="03B2FB0A">
      <w:pPr>
        <w:snapToGrid w:val="0"/>
        <w:spacing w:line="360" w:lineRule="auto"/>
        <w:ind w:right="480"/>
        <w:jc w:val="center"/>
        <w:rPr>
          <w:rFonts w:hint="eastAsia" w:ascii="宋体" w:hAnsi="宋体" w:eastAsia="宋体" w:cs="宋体"/>
          <w:b/>
          <w:color w:val="auto"/>
          <w:kern w:val="0"/>
          <w:sz w:val="32"/>
          <w:szCs w:val="32"/>
        </w:rPr>
      </w:pPr>
    </w:p>
    <w:p w14:paraId="79125E3B">
      <w:pPr>
        <w:snapToGrid w:val="0"/>
        <w:spacing w:line="360" w:lineRule="auto"/>
        <w:ind w:right="480"/>
        <w:jc w:val="center"/>
        <w:rPr>
          <w:rFonts w:hint="eastAsia" w:ascii="宋体" w:hAnsi="宋体" w:eastAsia="宋体" w:cs="宋体"/>
          <w:b/>
          <w:color w:val="auto"/>
          <w:kern w:val="0"/>
          <w:sz w:val="32"/>
          <w:szCs w:val="32"/>
        </w:rPr>
      </w:pPr>
    </w:p>
    <w:p w14:paraId="45F887D1">
      <w:pPr>
        <w:snapToGrid w:val="0"/>
        <w:spacing w:line="360" w:lineRule="auto"/>
        <w:ind w:right="480"/>
        <w:jc w:val="center"/>
        <w:rPr>
          <w:rFonts w:hint="eastAsia" w:ascii="宋体" w:hAnsi="宋体" w:eastAsia="宋体" w:cs="宋体"/>
          <w:b/>
          <w:color w:val="auto"/>
          <w:kern w:val="0"/>
          <w:sz w:val="32"/>
          <w:szCs w:val="32"/>
        </w:rPr>
      </w:pPr>
    </w:p>
    <w:p w14:paraId="31C3FD62">
      <w:pPr>
        <w:snapToGrid w:val="0"/>
        <w:spacing w:line="360" w:lineRule="auto"/>
        <w:ind w:right="480"/>
        <w:jc w:val="center"/>
        <w:rPr>
          <w:rFonts w:hint="eastAsia" w:ascii="宋体" w:hAnsi="宋体" w:eastAsia="宋体" w:cs="宋体"/>
          <w:b/>
          <w:color w:val="auto"/>
          <w:kern w:val="0"/>
          <w:sz w:val="32"/>
          <w:szCs w:val="32"/>
        </w:rPr>
      </w:pPr>
    </w:p>
    <w:p w14:paraId="65CE382B">
      <w:pPr>
        <w:snapToGrid w:val="0"/>
        <w:spacing w:line="360" w:lineRule="auto"/>
        <w:ind w:right="480"/>
        <w:jc w:val="center"/>
        <w:rPr>
          <w:rFonts w:hint="eastAsia" w:ascii="宋体" w:hAnsi="宋体" w:eastAsia="宋体" w:cs="宋体"/>
          <w:b/>
          <w:color w:val="auto"/>
          <w:kern w:val="0"/>
          <w:sz w:val="32"/>
          <w:szCs w:val="32"/>
        </w:rPr>
      </w:pPr>
    </w:p>
    <w:p w14:paraId="20D51027">
      <w:pPr>
        <w:snapToGrid w:val="0"/>
        <w:spacing w:line="360" w:lineRule="auto"/>
        <w:ind w:right="480"/>
        <w:jc w:val="center"/>
        <w:rPr>
          <w:rFonts w:hint="eastAsia" w:ascii="宋体" w:hAnsi="宋体" w:eastAsia="宋体" w:cs="宋体"/>
          <w:b/>
          <w:color w:val="auto"/>
          <w:kern w:val="0"/>
          <w:sz w:val="32"/>
          <w:szCs w:val="32"/>
        </w:rPr>
      </w:pPr>
    </w:p>
    <w:p w14:paraId="48FF76AD">
      <w:pPr>
        <w:snapToGrid w:val="0"/>
        <w:spacing w:line="360" w:lineRule="auto"/>
        <w:ind w:right="480"/>
        <w:jc w:val="center"/>
        <w:rPr>
          <w:rFonts w:hint="eastAsia" w:ascii="宋体" w:hAnsi="宋体" w:eastAsia="宋体" w:cs="宋体"/>
          <w:b/>
          <w:color w:val="auto"/>
          <w:kern w:val="0"/>
          <w:sz w:val="32"/>
          <w:szCs w:val="32"/>
        </w:rPr>
      </w:pPr>
    </w:p>
    <w:p w14:paraId="26843E64">
      <w:pPr>
        <w:snapToGrid w:val="0"/>
        <w:spacing w:line="360" w:lineRule="auto"/>
        <w:ind w:right="480"/>
        <w:jc w:val="center"/>
        <w:rPr>
          <w:rFonts w:hint="eastAsia" w:ascii="宋体" w:hAnsi="宋体" w:eastAsia="宋体" w:cs="宋体"/>
          <w:b/>
          <w:color w:val="auto"/>
          <w:kern w:val="0"/>
          <w:sz w:val="32"/>
          <w:szCs w:val="32"/>
        </w:rPr>
      </w:pPr>
    </w:p>
    <w:p w14:paraId="53E08DB5">
      <w:pPr>
        <w:snapToGrid w:val="0"/>
        <w:spacing w:line="360" w:lineRule="auto"/>
        <w:ind w:right="480"/>
        <w:jc w:val="center"/>
        <w:rPr>
          <w:rFonts w:hint="eastAsia" w:ascii="宋体" w:hAnsi="宋体" w:eastAsia="宋体" w:cs="宋体"/>
          <w:b/>
          <w:color w:val="auto"/>
          <w:kern w:val="0"/>
          <w:sz w:val="32"/>
          <w:szCs w:val="32"/>
        </w:rPr>
      </w:pPr>
    </w:p>
    <w:p w14:paraId="333952BA">
      <w:pPr>
        <w:snapToGrid w:val="0"/>
        <w:spacing w:line="360" w:lineRule="auto"/>
        <w:ind w:right="480"/>
        <w:jc w:val="center"/>
        <w:rPr>
          <w:rFonts w:hint="eastAsia" w:ascii="宋体" w:hAnsi="宋体" w:eastAsia="宋体" w:cs="宋体"/>
          <w:b/>
          <w:color w:val="auto"/>
          <w:kern w:val="0"/>
          <w:sz w:val="32"/>
          <w:szCs w:val="32"/>
        </w:rPr>
      </w:pPr>
    </w:p>
    <w:p w14:paraId="531F737C">
      <w:pPr>
        <w:pStyle w:val="11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footerReference r:id="rId14" w:type="first"/>
          <w:headerReference r:id="rId12" w:type="default"/>
          <w:footerReference r:id="rId13" w:type="default"/>
          <w:pgSz w:w="11906" w:h="16838"/>
          <w:pgMar w:top="1440" w:right="1080" w:bottom="1440" w:left="1080" w:header="851" w:footer="992" w:gutter="0"/>
          <w:pgNumType w:fmt="decimal"/>
          <w:cols w:space="720" w:num="1"/>
          <w:titlePg/>
          <w:docGrid w:linePitch="312" w:charSpace="0"/>
        </w:sectPr>
      </w:pPr>
    </w:p>
    <w:p w14:paraId="33E95C38">
      <w:pPr>
        <w:pStyle w:val="119"/>
        <w:keepNext w:val="0"/>
        <w:pageBreakBefore w:val="0"/>
        <w:numPr>
          <w:ilvl w:val="0"/>
          <w:numId w:val="14"/>
        </w:numPr>
        <w:tabs>
          <w:tab w:val="clear" w:pos="720"/>
        </w:tabs>
        <w:snapToGrid w:val="0"/>
        <w:spacing w:before="120" w:after="120"/>
        <w:ind w:firstLine="643"/>
        <w:outlineLvl w:val="9"/>
        <w:rPr>
          <w:rFonts w:hint="eastAsia" w:ascii="宋体" w:hAnsi="宋体" w:eastAsia="宋体" w:cs="宋体"/>
          <w:color w:val="000000"/>
        </w:rPr>
      </w:pPr>
      <w:r>
        <w:rPr>
          <w:rFonts w:hint="eastAsia" w:ascii="宋体" w:hAnsi="宋体" w:eastAsia="宋体" w:cs="宋体"/>
          <w:color w:val="auto"/>
          <w:kern w:val="2"/>
          <w:sz w:val="32"/>
          <w:szCs w:val="32"/>
        </w:rPr>
        <w:t>报价单</w:t>
      </w:r>
    </w:p>
    <w:p w14:paraId="20AF32CF">
      <w:pPr>
        <w:autoSpaceDE w:val="0"/>
        <w:autoSpaceDN w:val="0"/>
        <w:spacing w:line="360" w:lineRule="auto"/>
        <w:rPr>
          <w:rFonts w:ascii="宋体" w:hAnsi="宋体" w:cs="宋体"/>
          <w:kern w:val="0"/>
          <w:sz w:val="24"/>
        </w:rPr>
      </w:pPr>
      <w:r>
        <w:rPr>
          <w:rFonts w:hint="eastAsia" w:ascii="宋体" w:hAnsi="宋体" w:cs="宋体"/>
          <w:sz w:val="24"/>
          <w:lang w:eastAsia="zh-CN"/>
        </w:rPr>
        <w:t>（采购人）、（采购代理机构）</w:t>
      </w:r>
      <w:r>
        <w:rPr>
          <w:rFonts w:hint="eastAsia" w:ascii="宋体" w:hAnsi="宋体" w:cs="宋体"/>
          <w:kern w:val="0"/>
          <w:sz w:val="24"/>
          <w:lang w:val="zh-CN"/>
        </w:rPr>
        <w:t>：</w:t>
      </w:r>
    </w:p>
    <w:p w14:paraId="33AA2CA9">
      <w:pPr>
        <w:spacing w:line="360" w:lineRule="auto"/>
        <w:ind w:firstLine="72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kern w:val="0"/>
          <w:sz w:val="21"/>
          <w:szCs w:val="21"/>
          <w:u w:val="single"/>
          <w:lang w:val="en-US" w:eastAsia="zh-CN"/>
        </w:rPr>
        <w:t xml:space="preserve">             项目名称         </w:t>
      </w: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cs="宋体"/>
          <w:kern w:val="0"/>
          <w:sz w:val="24"/>
          <w:lang w:val="zh-CN"/>
        </w:rPr>
        <w:t>的实施。</w:t>
      </w:r>
    </w:p>
    <w:p w14:paraId="11755A23">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报价</w:t>
      </w:r>
      <w:r>
        <w:rPr>
          <w:rFonts w:hint="eastAsia" w:ascii="宋体" w:hAnsi="宋体" w:cs="宋体"/>
          <w:b/>
          <w:kern w:val="0"/>
          <w:sz w:val="24"/>
          <w:lang w:val="zh-CN" w:eastAsia="zh-CN"/>
        </w:rPr>
        <w:t>单</w:t>
      </w:r>
      <w:r>
        <w:rPr>
          <w:rFonts w:hint="eastAsia" w:ascii="宋体" w:hAnsi="宋体" w:cs="宋体"/>
          <w:b/>
          <w:kern w:val="0"/>
          <w:sz w:val="24"/>
          <w:lang w:val="zh-CN"/>
        </w:rPr>
        <w:t>(单位均为人民币元)</w:t>
      </w:r>
    </w:p>
    <w:tbl>
      <w:tblPr>
        <w:tblStyle w:val="60"/>
        <w:tblW w:w="10056" w:type="dxa"/>
        <w:jc w:val="center"/>
        <w:tblLayout w:type="fixed"/>
        <w:tblCellMar>
          <w:top w:w="0" w:type="dxa"/>
          <w:left w:w="0" w:type="dxa"/>
          <w:bottom w:w="0" w:type="dxa"/>
          <w:right w:w="0" w:type="dxa"/>
        </w:tblCellMar>
      </w:tblPr>
      <w:tblGrid>
        <w:gridCol w:w="695"/>
        <w:gridCol w:w="1265"/>
        <w:gridCol w:w="1595"/>
        <w:gridCol w:w="2530"/>
        <w:gridCol w:w="2337"/>
        <w:gridCol w:w="1634"/>
      </w:tblGrid>
      <w:tr w14:paraId="1649F401">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ABD9CE">
            <w:pPr>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序号</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6E22B3">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项目名称</w:t>
            </w:r>
          </w:p>
        </w:tc>
        <w:tc>
          <w:tcPr>
            <w:tcW w:w="2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383E42B">
            <w:pPr>
              <w:spacing w:line="24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工期</w:t>
            </w: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A45020">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总报价（元）</w:t>
            </w: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CBB632">
            <w:pPr>
              <w:spacing w:line="24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备注</w:t>
            </w:r>
          </w:p>
        </w:tc>
      </w:tr>
      <w:tr w14:paraId="64B3DC0E">
        <w:tblPrEx>
          <w:tblCellMar>
            <w:top w:w="0" w:type="dxa"/>
            <w:left w:w="0" w:type="dxa"/>
            <w:bottom w:w="0" w:type="dxa"/>
            <w:right w:w="0" w:type="dxa"/>
          </w:tblCellMar>
        </w:tblPrEx>
        <w:trPr>
          <w:trHeight w:val="737"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6028E4">
            <w:pPr>
              <w:spacing w:line="360" w:lineRule="auto"/>
              <w:ind w:firstLine="720"/>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w:t>
            </w:r>
          </w:p>
        </w:tc>
        <w:tc>
          <w:tcPr>
            <w:tcW w:w="28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3524DDE">
            <w:pPr>
              <w:spacing w:line="360" w:lineRule="auto"/>
              <w:ind w:firstLine="720"/>
              <w:jc w:val="center"/>
              <w:rPr>
                <w:rFonts w:hint="eastAsia" w:ascii="宋体" w:hAnsi="宋体" w:eastAsia="宋体" w:cs="宋体"/>
                <w:kern w:val="0"/>
                <w:sz w:val="24"/>
                <w:szCs w:val="24"/>
                <w:lang w:val="zh-CN"/>
              </w:rPr>
            </w:pPr>
          </w:p>
        </w:tc>
        <w:tc>
          <w:tcPr>
            <w:tcW w:w="2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E9859F">
            <w:pPr>
              <w:spacing w:line="360" w:lineRule="auto"/>
              <w:ind w:firstLine="720"/>
              <w:jc w:val="center"/>
              <w:rPr>
                <w:rFonts w:hint="eastAsia" w:ascii="宋体" w:hAnsi="宋体" w:eastAsia="宋体" w:cs="宋体"/>
                <w:kern w:val="0"/>
                <w:sz w:val="24"/>
                <w:szCs w:val="24"/>
                <w:lang w:val="zh-CN"/>
              </w:rPr>
            </w:pPr>
          </w:p>
        </w:tc>
        <w:tc>
          <w:tcPr>
            <w:tcW w:w="233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45D7C59">
            <w:pPr>
              <w:spacing w:line="360" w:lineRule="auto"/>
              <w:ind w:firstLine="720"/>
              <w:jc w:val="center"/>
              <w:rPr>
                <w:rFonts w:hint="eastAsia" w:ascii="宋体" w:hAnsi="宋体" w:eastAsia="宋体" w:cs="宋体"/>
                <w:kern w:val="0"/>
                <w:sz w:val="24"/>
                <w:szCs w:val="24"/>
                <w:lang w:val="zh-CN"/>
              </w:rPr>
            </w:pPr>
          </w:p>
        </w:tc>
        <w:tc>
          <w:tcPr>
            <w:tcW w:w="16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61B4244">
            <w:pPr>
              <w:spacing w:line="360" w:lineRule="auto"/>
              <w:jc w:val="center"/>
              <w:rPr>
                <w:rFonts w:hint="eastAsia" w:ascii="宋体" w:hAnsi="宋体" w:eastAsia="宋体" w:cs="宋体"/>
                <w:kern w:val="0"/>
                <w:sz w:val="24"/>
                <w:szCs w:val="24"/>
                <w:lang w:val="zh-CN"/>
              </w:rPr>
            </w:pPr>
          </w:p>
        </w:tc>
      </w:tr>
      <w:tr w14:paraId="0AEA114F">
        <w:tblPrEx>
          <w:tblCellMar>
            <w:top w:w="0" w:type="dxa"/>
            <w:left w:w="0" w:type="dxa"/>
            <w:bottom w:w="0" w:type="dxa"/>
            <w:right w:w="0" w:type="dxa"/>
          </w:tblCellMar>
        </w:tblPrEx>
        <w:trPr>
          <w:trHeight w:val="737" w:hRule="atLeast"/>
          <w:jc w:val="center"/>
        </w:trPr>
        <w:tc>
          <w:tcPr>
            <w:tcW w:w="10056" w:type="dxa"/>
            <w:gridSpan w:val="6"/>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08C7FCE">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报价大写：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 xml:space="preserve"> 元整（小写：￥</w:t>
            </w:r>
            <w:r>
              <w:rPr>
                <w:rFonts w:hint="eastAsia" w:ascii="宋体" w:hAnsi="宋体" w:eastAsia="宋体" w:cs="宋体"/>
                <w:color w:val="000000"/>
                <w:kern w:val="2"/>
                <w:sz w:val="24"/>
                <w:szCs w:val="24"/>
                <w:lang w:val="en-US" w:eastAsia="zh-CN"/>
              </w:rPr>
              <w:t xml:space="preserve">               </w:t>
            </w:r>
            <w:r>
              <w:rPr>
                <w:rFonts w:hint="eastAsia" w:ascii="宋体" w:hAnsi="宋体" w:eastAsia="宋体" w:cs="宋体"/>
                <w:color w:val="000000"/>
                <w:kern w:val="2"/>
                <w:sz w:val="24"/>
                <w:szCs w:val="24"/>
              </w:rPr>
              <w:t>）</w:t>
            </w:r>
          </w:p>
        </w:tc>
      </w:tr>
      <w:tr w14:paraId="4022CCC0">
        <w:tblPrEx>
          <w:tblCellMar>
            <w:top w:w="0" w:type="dxa"/>
            <w:left w:w="0" w:type="dxa"/>
            <w:bottom w:w="0" w:type="dxa"/>
            <w:right w:w="0" w:type="dxa"/>
          </w:tblCellMar>
        </w:tblPrEx>
        <w:trPr>
          <w:trHeight w:val="737" w:hRule="atLeast"/>
          <w:jc w:val="center"/>
        </w:trPr>
        <w:tc>
          <w:tcPr>
            <w:tcW w:w="1960" w:type="dxa"/>
            <w:gridSpan w:val="2"/>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665F3C22">
            <w:pPr>
              <w:keepNext w:val="0"/>
              <w:keepLines w:val="0"/>
              <w:widowControl/>
              <w:suppressLineNumbers w:val="0"/>
              <w:tabs>
                <w:tab w:val="left" w:pos="1494"/>
              </w:tabs>
              <w:spacing w:before="0" w:beforeAutospacing="0" w:after="0" w:afterAutospacing="0"/>
              <w:ind w:left="0" w:right="0" w:firstLine="240" w:firstLineChars="100"/>
              <w:jc w:val="center"/>
              <w:textAlignment w:val="bottom"/>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投标声明</w:t>
            </w:r>
          </w:p>
        </w:tc>
        <w:tc>
          <w:tcPr>
            <w:tcW w:w="8096" w:type="dxa"/>
            <w:gridSpan w:val="4"/>
            <w:tcBorders>
              <w:top w:val="single" w:color="000000" w:sz="4" w:space="0"/>
              <w:left w:val="single" w:color="auto" w:sz="4" w:space="0"/>
              <w:bottom w:val="single" w:color="000000" w:sz="4" w:space="0"/>
              <w:right w:val="single" w:color="000000" w:sz="4" w:space="0"/>
            </w:tcBorders>
            <w:noWrap w:val="0"/>
            <w:tcMar>
              <w:top w:w="10" w:type="dxa"/>
              <w:left w:w="10" w:type="dxa"/>
              <w:right w:w="10" w:type="dxa"/>
            </w:tcMar>
            <w:vAlign w:val="center"/>
          </w:tcPr>
          <w:p w14:paraId="3BD19253">
            <w:pPr>
              <w:keepNext w:val="0"/>
              <w:keepLines w:val="0"/>
              <w:widowControl/>
              <w:suppressLineNumbers w:val="0"/>
              <w:tabs>
                <w:tab w:val="left" w:pos="1494"/>
              </w:tabs>
              <w:spacing w:before="0" w:beforeAutospacing="0" w:after="0" w:afterAutospacing="0"/>
              <w:ind w:left="0" w:right="0"/>
              <w:jc w:val="center"/>
              <w:textAlignment w:val="bottom"/>
              <w:rPr>
                <w:rFonts w:hint="eastAsia" w:ascii="宋体" w:hAnsi="宋体" w:eastAsia="宋体" w:cs="宋体"/>
                <w:color w:val="000000"/>
                <w:kern w:val="2"/>
                <w:sz w:val="24"/>
                <w:szCs w:val="24"/>
              </w:rPr>
            </w:pPr>
          </w:p>
        </w:tc>
      </w:tr>
    </w:tbl>
    <w:p w14:paraId="7B07297B">
      <w:pPr>
        <w:pStyle w:val="22"/>
        <w:rPr>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58223398">
      <w:pPr>
        <w:spacing w:line="360" w:lineRule="auto"/>
        <w:ind w:left="-2" w:leftChars="-1" w:firstLine="480" w:firstLineChars="200"/>
        <w:rPr>
          <w:rFonts w:hint="eastAsia" w:ascii="宋体" w:hAnsi="宋体" w:eastAsia="宋体" w:cs="宋体"/>
          <w:kern w:val="0"/>
          <w:sz w:val="24"/>
          <w:lang w:val="zh-CN"/>
        </w:rPr>
      </w:pPr>
      <w:r>
        <w:rPr>
          <w:rFonts w:hint="eastAsia" w:ascii="宋体" w:hAnsi="宋体" w:cs="宋体"/>
          <w:sz w:val="24"/>
        </w:rPr>
        <w:t>注：</w:t>
      </w:r>
      <w:r>
        <w:rPr>
          <w:rFonts w:hint="eastAsia" w:ascii="宋体" w:hAnsi="宋体" w:cs="宋体"/>
          <w:kern w:val="0"/>
          <w:sz w:val="24"/>
          <w:lang w:val="zh-CN"/>
        </w:rPr>
        <w:t>1、供应商需按本表格式</w:t>
      </w:r>
      <w:r>
        <w:rPr>
          <w:rFonts w:hint="eastAsia" w:ascii="宋体" w:hAnsi="宋体" w:eastAsia="宋体" w:cs="宋体"/>
          <w:kern w:val="0"/>
          <w:sz w:val="24"/>
          <w:lang w:val="zh-CN"/>
        </w:rPr>
        <w:t>填写，否则视为响应文件含有采购人不能接受的附加条件，响应无效。</w:t>
      </w:r>
    </w:p>
    <w:p w14:paraId="66425E0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rPr>
        <w:t>有关本项目实施所涉及的一切费用均计入报价。</w:t>
      </w:r>
      <w:r>
        <w:rPr>
          <w:rFonts w:hint="eastAsia" w:ascii="宋体" w:hAnsi="宋体" w:eastAsia="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4"/>
          <w:lang w:val="zh-CN"/>
        </w:rPr>
        <w:t>总价</w:t>
      </w:r>
      <w:r>
        <w:rPr>
          <w:rFonts w:hint="eastAsia" w:ascii="宋体" w:hAnsi="宋体" w:eastAsia="宋体" w:cs="宋体"/>
          <w:kern w:val="0"/>
          <w:sz w:val="24"/>
          <w:lang w:val="zh-CN" w:eastAsia="zh-CN"/>
        </w:rPr>
        <w:t>不为零</w:t>
      </w:r>
      <w:r>
        <w:rPr>
          <w:rFonts w:hint="eastAsia" w:ascii="宋体" w:hAnsi="宋体" w:eastAsia="宋体" w:cs="宋体"/>
          <w:kern w:val="0"/>
          <w:sz w:val="24"/>
          <w:lang w:val="zh-CN"/>
        </w:rPr>
        <w:t>，报价明细表中</w:t>
      </w:r>
      <w:r>
        <w:rPr>
          <w:rFonts w:hint="eastAsia" w:ascii="宋体" w:hAnsi="宋体" w:eastAsia="宋体" w:cs="宋体"/>
          <w:kern w:val="0"/>
          <w:sz w:val="24"/>
          <w:lang w:val="zh-CN" w:eastAsia="zh-CN"/>
        </w:rPr>
        <w:t>部分</w:t>
      </w:r>
      <w:r>
        <w:rPr>
          <w:rFonts w:hint="eastAsia" w:ascii="宋体" w:hAnsi="宋体" w:eastAsia="宋体" w:cs="宋体"/>
          <w:kern w:val="0"/>
          <w:sz w:val="24"/>
          <w:lang w:val="zh-CN"/>
        </w:rPr>
        <w:t>产品、服务单价为零的，视作已包含在总价中</w:t>
      </w:r>
      <w:r>
        <w:rPr>
          <w:rFonts w:hint="eastAsia" w:ascii="宋体" w:hAnsi="宋体" w:eastAsia="宋体" w:cs="宋体"/>
          <w:kern w:val="0"/>
          <w:sz w:val="24"/>
          <w:lang w:val="zh-CN" w:eastAsia="zh-CN"/>
        </w:rPr>
        <w:t>。</w:t>
      </w:r>
      <w:r>
        <w:rPr>
          <w:rFonts w:hint="eastAsia" w:ascii="宋体" w:hAnsi="宋体" w:eastAsia="宋体" w:cs="宋体"/>
          <w:kern w:val="0"/>
          <w:sz w:val="24"/>
          <w:lang w:val="zh-CN"/>
        </w:rPr>
        <w:t>采购内容未包含在《报价单》名称栏中，供应商不能作出合理解释的，视为响应文件含有采购人不能接受的附加条件的，响应文件无效。</w:t>
      </w:r>
    </w:p>
    <w:p w14:paraId="1CA85DA0">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D92058F">
      <w:pPr>
        <w:tabs>
          <w:tab w:val="left" w:pos="1494"/>
        </w:tabs>
        <w:jc w:val="both"/>
        <w:rPr>
          <w:rFonts w:hint="eastAsia" w:ascii="宋体" w:hAnsi="宋体" w:eastAsia="宋体" w:cs="宋体"/>
          <w:szCs w:val="22"/>
        </w:rPr>
      </w:pPr>
      <w:r>
        <w:rPr>
          <w:rFonts w:hint="eastAsia" w:ascii="宋体" w:hAnsi="宋体" w:cs="宋体"/>
          <w:kern w:val="0"/>
          <w:sz w:val="24"/>
          <w:lang w:val="en-US" w:eastAsia="zh-CN"/>
        </w:rPr>
        <w:t>4、</w:t>
      </w:r>
      <w:r>
        <w:rPr>
          <w:rFonts w:hint="eastAsia" w:ascii="宋体" w:hAnsi="宋体" w:eastAsia="宋体" w:cs="宋体"/>
          <w:kern w:val="0"/>
          <w:sz w:val="24"/>
          <w:lang w:val="en-US" w:eastAsia="zh-CN"/>
        </w:rPr>
        <w:t>总报价保留至整数位。</w:t>
      </w:r>
    </w:p>
    <w:p w14:paraId="7CD603C0">
      <w:pPr>
        <w:tabs>
          <w:tab w:val="left" w:pos="1494"/>
        </w:tabs>
        <w:jc w:val="both"/>
        <w:rPr>
          <w:rFonts w:hint="eastAsia" w:ascii="宋体" w:hAnsi="宋体" w:eastAsia="宋体" w:cs="宋体"/>
          <w:b/>
          <w:sz w:val="36"/>
        </w:rPr>
      </w:pPr>
    </w:p>
    <w:p w14:paraId="108A6DCD">
      <w:pPr>
        <w:pStyle w:val="119"/>
        <w:keepNext w:val="0"/>
        <w:pageBreakBefore w:val="0"/>
        <w:tabs>
          <w:tab w:val="clear" w:pos="720"/>
        </w:tabs>
        <w:snapToGrid w:val="0"/>
        <w:spacing w:before="120" w:after="120"/>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二、已标价工程量清单</w:t>
      </w:r>
    </w:p>
    <w:p w14:paraId="366B0938">
      <w:pPr>
        <w:ind w:right="420"/>
        <w:rPr>
          <w:rFonts w:hint="eastAsia" w:ascii="宋体" w:hAnsi="宋体" w:eastAsia="宋体" w:cs="宋体"/>
          <w:color w:val="auto"/>
          <w:sz w:val="21"/>
          <w:szCs w:val="21"/>
        </w:rPr>
      </w:pPr>
      <w:r>
        <w:rPr>
          <w:rFonts w:hint="eastAsia" w:ascii="宋体" w:hAnsi="宋体" w:eastAsia="宋体" w:cs="宋体"/>
          <w:color w:val="auto"/>
          <w:sz w:val="21"/>
          <w:szCs w:val="21"/>
        </w:rPr>
        <w:t xml:space="preserve">注：按采购文件工程量清单编制 </w:t>
      </w:r>
    </w:p>
    <w:p w14:paraId="3DC6C049">
      <w:pPr>
        <w:pStyle w:val="59"/>
        <w:ind w:firstLine="480"/>
        <w:rPr>
          <w:rFonts w:hint="eastAsia" w:ascii="宋体" w:hAnsi="宋体" w:eastAsia="宋体" w:cs="宋体"/>
          <w:color w:val="auto"/>
          <w:sz w:val="24"/>
        </w:rPr>
      </w:pPr>
    </w:p>
    <w:p w14:paraId="450AC2FE">
      <w:pPr>
        <w:pStyle w:val="59"/>
        <w:ind w:firstLine="480"/>
        <w:rPr>
          <w:rFonts w:hint="eastAsia" w:ascii="宋体" w:hAnsi="宋体" w:eastAsia="宋体" w:cs="宋体"/>
          <w:color w:val="auto"/>
          <w:sz w:val="24"/>
        </w:rPr>
        <w:sectPr>
          <w:footerReference r:id="rId18" w:type="first"/>
          <w:headerReference r:id="rId15" w:type="default"/>
          <w:footerReference r:id="rId16" w:type="default"/>
          <w:footerReference r:id="rId17" w:type="even"/>
          <w:pgSz w:w="11906" w:h="16838"/>
          <w:pgMar w:top="1440" w:right="1080" w:bottom="1440" w:left="1080" w:header="851" w:footer="992" w:gutter="0"/>
          <w:pgNumType w:fmt="decimal"/>
          <w:cols w:space="720" w:num="1"/>
          <w:titlePg/>
          <w:docGrid w:linePitch="312" w:charSpace="0"/>
        </w:sectPr>
      </w:pPr>
    </w:p>
    <w:p w14:paraId="554A7646">
      <w:pPr>
        <w:pStyle w:val="119"/>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Start w:id="622" w:name="_Hlk101259491"/>
      <w:r>
        <w:rPr>
          <w:rFonts w:hint="eastAsia" w:ascii="宋体" w:hAnsi="宋体" w:eastAsia="宋体" w:cs="宋体"/>
          <w:color w:val="auto"/>
          <w:sz w:val="32"/>
          <w:szCs w:val="32"/>
        </w:rPr>
        <w:t>（如果有）</w:t>
      </w:r>
      <w:bookmarkEnd w:id="622"/>
    </w:p>
    <w:p w14:paraId="7500FD3B">
      <w:pPr>
        <w:widowControl/>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w:t>
      </w:r>
    </w:p>
    <w:p w14:paraId="226FBAE5">
      <w:pPr>
        <w:rPr>
          <w:rFonts w:hint="eastAsia" w:ascii="宋体" w:hAnsi="宋体" w:eastAsia="宋体" w:cs="宋体"/>
          <w:b/>
          <w:color w:val="auto"/>
          <w:sz w:val="21"/>
          <w:szCs w:val="21"/>
        </w:rPr>
      </w:pPr>
      <w:r>
        <w:rPr>
          <w:rFonts w:hint="eastAsia" w:ascii="宋体" w:hAnsi="宋体" w:eastAsia="宋体" w:cs="宋体"/>
          <w:b/>
          <w:color w:val="auto"/>
          <w:sz w:val="21"/>
          <w:szCs w:val="21"/>
        </w:rPr>
        <w:br w:type="page"/>
      </w:r>
    </w:p>
    <w:p w14:paraId="1F02C96A">
      <w:pPr>
        <w:pStyle w:val="22"/>
        <w:rPr>
          <w:rFonts w:hint="eastAsia" w:ascii="宋体" w:hAnsi="宋体" w:eastAsia="宋体" w:cs="宋体"/>
        </w:rPr>
      </w:pPr>
    </w:p>
    <w:p w14:paraId="513A9A76">
      <w:pPr>
        <w:bidi w:val="0"/>
        <w:spacing w:line="360" w:lineRule="auto"/>
        <w:jc w:val="center"/>
        <w:rPr>
          <w:rFonts w:hint="eastAsia" w:ascii="宋体" w:hAnsi="宋体" w:eastAsia="宋体" w:cs="宋体"/>
          <w:sz w:val="44"/>
          <w:szCs w:val="44"/>
        </w:rPr>
      </w:pPr>
      <w:bookmarkStart w:id="623" w:name="_Toc465665161"/>
      <w:r>
        <w:rPr>
          <w:rFonts w:hint="eastAsia" w:ascii="宋体" w:hAnsi="宋体" w:eastAsia="宋体" w:cs="宋体"/>
          <w:sz w:val="44"/>
          <w:szCs w:val="44"/>
        </w:rPr>
        <w:t>附件</w:t>
      </w:r>
      <w:bookmarkEnd w:id="623"/>
    </w:p>
    <w:p w14:paraId="397D68B4">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52F94AC0">
      <w:pPr>
        <w:spacing w:line="360" w:lineRule="auto"/>
        <w:jc w:val="center"/>
        <w:rPr>
          <w:rFonts w:hint="eastAsia" w:ascii="宋体" w:hAnsi="宋体" w:eastAsia="宋体" w:cs="宋体"/>
          <w:b/>
          <w:color w:val="auto"/>
          <w:spacing w:val="6"/>
          <w:sz w:val="32"/>
          <w:szCs w:val="32"/>
        </w:rPr>
      </w:pPr>
      <w:bookmarkStart w:id="624" w:name="OLE_LINK14"/>
      <w:bookmarkStart w:id="625" w:name="OLE_LINK13"/>
      <w:r>
        <w:rPr>
          <w:rFonts w:hint="eastAsia" w:ascii="宋体" w:hAnsi="宋体" w:eastAsia="宋体" w:cs="宋体"/>
          <w:b/>
          <w:color w:val="auto"/>
          <w:spacing w:val="6"/>
          <w:sz w:val="32"/>
          <w:szCs w:val="32"/>
        </w:rPr>
        <w:t>残疾人福利性单位声明函</w:t>
      </w:r>
    </w:p>
    <w:bookmarkEnd w:id="624"/>
    <w:bookmarkEnd w:id="625"/>
    <w:p w14:paraId="4D37037B">
      <w:pPr>
        <w:spacing w:line="360" w:lineRule="auto"/>
        <w:rPr>
          <w:rFonts w:hint="eastAsia" w:ascii="宋体" w:hAnsi="宋体" w:eastAsia="宋体" w:cs="宋体"/>
          <w:b/>
          <w:color w:val="auto"/>
          <w:spacing w:val="6"/>
          <w:sz w:val="30"/>
          <w:szCs w:val="30"/>
        </w:rPr>
      </w:pPr>
    </w:p>
    <w:p w14:paraId="172BA37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90840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本单位对上述声明的真实性负责。如有虚假，将依法承担相应责任。</w:t>
      </w:r>
    </w:p>
    <w:p w14:paraId="6950B575">
      <w:pPr>
        <w:spacing w:line="360" w:lineRule="auto"/>
        <w:ind w:firstLine="420" w:firstLineChars="200"/>
        <w:rPr>
          <w:rFonts w:hint="eastAsia" w:ascii="宋体" w:hAnsi="宋体" w:eastAsia="宋体" w:cs="宋体"/>
          <w:color w:val="auto"/>
          <w:sz w:val="21"/>
          <w:szCs w:val="21"/>
        </w:rPr>
      </w:pPr>
    </w:p>
    <w:p w14:paraId="79D78DFD">
      <w:pPr>
        <w:spacing w:line="360" w:lineRule="auto"/>
        <w:ind w:firstLine="420" w:firstLineChars="200"/>
        <w:rPr>
          <w:rFonts w:hint="eastAsia" w:ascii="宋体" w:hAnsi="宋体" w:eastAsia="宋体" w:cs="宋体"/>
          <w:color w:val="auto"/>
          <w:sz w:val="21"/>
          <w:szCs w:val="21"/>
        </w:rPr>
      </w:pPr>
    </w:p>
    <w:p w14:paraId="0FC7D1C1">
      <w:pPr>
        <w:tabs>
          <w:tab w:val="left" w:pos="4860"/>
        </w:tabs>
        <w:spacing w:line="360" w:lineRule="auto"/>
        <w:ind w:right="1560"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val="zh-CN"/>
        </w:rPr>
        <w:t>供应商名称（电子签名）</w:t>
      </w:r>
      <w:r>
        <w:rPr>
          <w:rFonts w:hint="eastAsia" w:ascii="宋体" w:hAnsi="宋体" w:eastAsia="宋体" w:cs="宋体"/>
          <w:color w:val="auto"/>
          <w:sz w:val="21"/>
          <w:szCs w:val="21"/>
        </w:rPr>
        <w:t>：</w:t>
      </w:r>
    </w:p>
    <w:p w14:paraId="14F97E5D">
      <w:pPr>
        <w:tabs>
          <w:tab w:val="left" w:pos="4860"/>
        </w:tabs>
        <w:spacing w:line="360" w:lineRule="auto"/>
        <w:ind w:right="1560"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日  期：</w:t>
      </w:r>
    </w:p>
    <w:p w14:paraId="3E25ED72">
      <w:pPr>
        <w:rPr>
          <w:rFonts w:hint="eastAsia" w:ascii="宋体" w:hAnsi="宋体" w:eastAsia="宋体" w:cs="宋体"/>
          <w:color w:val="auto"/>
          <w:sz w:val="24"/>
        </w:rPr>
      </w:pPr>
      <w:r>
        <w:rPr>
          <w:rFonts w:hint="eastAsia" w:ascii="宋体" w:hAnsi="宋体" w:eastAsia="宋体" w:cs="宋体"/>
          <w:color w:val="auto"/>
          <w:sz w:val="24"/>
        </w:rPr>
        <w:br w:type="page"/>
      </w:r>
    </w:p>
    <w:p w14:paraId="68DD1338">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1137C2DE">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3A191DE1">
      <w:pPr>
        <w:snapToGrid w:val="0"/>
        <w:spacing w:before="240" w:beforeLines="100"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一、质疑供应商基本信息</w:t>
      </w:r>
    </w:p>
    <w:p w14:paraId="2D510743">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质疑供应商：</w:t>
      </w:r>
      <w:r>
        <w:rPr>
          <w:rFonts w:hint="eastAsia" w:ascii="宋体" w:hAnsi="宋体" w:eastAsia="宋体" w:cs="宋体"/>
          <w:color w:val="auto"/>
          <w:sz w:val="21"/>
          <w:szCs w:val="21"/>
          <w:u w:val="dotted"/>
        </w:rPr>
        <w:t xml:space="preserve">                                        </w:t>
      </w:r>
    </w:p>
    <w:p w14:paraId="1CBB19D9">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p>
    <w:p w14:paraId="138E2316">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p>
    <w:p w14:paraId="6B46A3F9">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授权代表：</w:t>
      </w:r>
      <w:r>
        <w:rPr>
          <w:rFonts w:hint="eastAsia" w:ascii="宋体" w:hAnsi="宋体" w:eastAsia="宋体" w:cs="宋体"/>
          <w:color w:val="auto"/>
          <w:sz w:val="21"/>
          <w:szCs w:val="21"/>
          <w:u w:val="dotted"/>
        </w:rPr>
        <w:t xml:space="preserve">                                          </w:t>
      </w:r>
    </w:p>
    <w:p w14:paraId="26FA3786">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 xml:space="preserve"> </w:t>
      </w:r>
    </w:p>
    <w:p w14:paraId="1B9BF52D">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p>
    <w:p w14:paraId="6269E6BC">
      <w:pPr>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二、质疑项目基本情况</w:t>
      </w:r>
    </w:p>
    <w:p w14:paraId="2C122A3A">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质疑项目的名称：</w:t>
      </w:r>
      <w:r>
        <w:rPr>
          <w:rFonts w:hint="eastAsia" w:ascii="宋体" w:hAnsi="宋体" w:eastAsia="宋体" w:cs="宋体"/>
          <w:color w:val="auto"/>
          <w:sz w:val="21"/>
          <w:szCs w:val="21"/>
          <w:u w:val="dotted"/>
        </w:rPr>
        <w:t xml:space="preserve">                                      </w:t>
      </w:r>
    </w:p>
    <w:p w14:paraId="32BD83CD">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质疑项目的编号：</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包号：</w:t>
      </w:r>
      <w:r>
        <w:rPr>
          <w:rFonts w:hint="eastAsia" w:ascii="宋体" w:hAnsi="宋体" w:eastAsia="宋体" w:cs="宋体"/>
          <w:color w:val="auto"/>
          <w:sz w:val="21"/>
          <w:szCs w:val="21"/>
          <w:u w:val="dotted"/>
        </w:rPr>
        <w:t xml:space="preserve">                 </w:t>
      </w:r>
    </w:p>
    <w:p w14:paraId="5FC18C6C">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采购人名称：</w:t>
      </w:r>
      <w:r>
        <w:rPr>
          <w:rFonts w:hint="eastAsia" w:ascii="宋体" w:hAnsi="宋体" w:eastAsia="宋体" w:cs="宋体"/>
          <w:color w:val="auto"/>
          <w:sz w:val="21"/>
          <w:szCs w:val="21"/>
          <w:u w:val="dotted"/>
        </w:rPr>
        <w:t xml:space="preserve">                                         </w:t>
      </w:r>
    </w:p>
    <w:p w14:paraId="43566B8A">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采购文件获取日期：</w:t>
      </w:r>
      <w:r>
        <w:rPr>
          <w:rFonts w:hint="eastAsia" w:ascii="宋体" w:hAnsi="宋体" w:eastAsia="宋体" w:cs="宋体"/>
          <w:color w:val="auto"/>
          <w:sz w:val="21"/>
          <w:szCs w:val="21"/>
          <w:u w:val="dotted"/>
        </w:rPr>
        <w:t xml:space="preserve">                                           </w:t>
      </w:r>
    </w:p>
    <w:p w14:paraId="02DFA25A">
      <w:pPr>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三、质疑事项具体内容</w:t>
      </w:r>
    </w:p>
    <w:p w14:paraId="13D29B2B">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质疑事项1：</w:t>
      </w:r>
      <w:r>
        <w:rPr>
          <w:rFonts w:hint="eastAsia" w:ascii="宋体" w:hAnsi="宋体" w:eastAsia="宋体" w:cs="宋体"/>
          <w:color w:val="auto"/>
          <w:sz w:val="21"/>
          <w:szCs w:val="21"/>
          <w:u w:val="dotted"/>
        </w:rPr>
        <w:t xml:space="preserve">                                         </w:t>
      </w:r>
    </w:p>
    <w:p w14:paraId="241D0DF8">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事实依据：</w:t>
      </w:r>
      <w:r>
        <w:rPr>
          <w:rFonts w:hint="eastAsia" w:ascii="宋体" w:hAnsi="宋体" w:eastAsia="宋体" w:cs="宋体"/>
          <w:color w:val="auto"/>
          <w:sz w:val="21"/>
          <w:szCs w:val="21"/>
          <w:u w:val="dotted"/>
        </w:rPr>
        <w:t xml:space="preserve">                                          </w:t>
      </w:r>
    </w:p>
    <w:p w14:paraId="56B5DBEE">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dotted"/>
        </w:rPr>
        <w:t xml:space="preserve">                                                       </w:t>
      </w:r>
    </w:p>
    <w:p w14:paraId="7E3E30FA">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法律依据：</w:t>
      </w:r>
      <w:r>
        <w:rPr>
          <w:rFonts w:hint="eastAsia" w:ascii="宋体" w:hAnsi="宋体" w:eastAsia="宋体" w:cs="宋体"/>
          <w:color w:val="auto"/>
          <w:sz w:val="21"/>
          <w:szCs w:val="21"/>
          <w:u w:val="dotted"/>
        </w:rPr>
        <w:t xml:space="preserve">                                          </w:t>
      </w:r>
    </w:p>
    <w:p w14:paraId="42947618">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u w:val="dotted"/>
        </w:rPr>
        <w:t xml:space="preserve">                                                     </w:t>
      </w:r>
    </w:p>
    <w:p w14:paraId="2E5957F4">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质疑事项2</w:t>
      </w:r>
    </w:p>
    <w:p w14:paraId="051279AA">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0F72D5BD">
      <w:pPr>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四、与质疑事项相关的质疑请求</w:t>
      </w:r>
    </w:p>
    <w:p w14:paraId="765797C3">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请求：</w:t>
      </w:r>
      <w:r>
        <w:rPr>
          <w:rFonts w:hint="eastAsia" w:ascii="宋体" w:hAnsi="宋体" w:eastAsia="宋体" w:cs="宋体"/>
          <w:color w:val="auto"/>
          <w:sz w:val="21"/>
          <w:szCs w:val="21"/>
          <w:u w:val="dotted"/>
        </w:rPr>
        <w:t xml:space="preserve">                                               </w:t>
      </w:r>
    </w:p>
    <w:p w14:paraId="54E8DA1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签字(签章)：                   公章：                      </w:t>
      </w:r>
    </w:p>
    <w:p w14:paraId="798135E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14:paraId="751E3F8A">
      <w:pPr>
        <w:spacing w:line="360" w:lineRule="auto"/>
        <w:jc w:val="center"/>
        <w:rPr>
          <w:rFonts w:hint="eastAsia" w:ascii="宋体" w:hAnsi="宋体" w:eastAsia="宋体" w:cs="宋体"/>
          <w:b/>
          <w:bCs/>
          <w:color w:val="auto"/>
          <w:sz w:val="21"/>
          <w:szCs w:val="21"/>
        </w:rPr>
      </w:pPr>
    </w:p>
    <w:p w14:paraId="66E40165">
      <w:pPr>
        <w:spacing w:line="360" w:lineRule="auto"/>
        <w:rPr>
          <w:rFonts w:hint="eastAsia" w:ascii="宋体" w:hAnsi="宋体" w:eastAsia="宋体" w:cs="宋体"/>
          <w:b/>
          <w:color w:val="auto"/>
          <w:sz w:val="21"/>
          <w:szCs w:val="21"/>
        </w:rPr>
      </w:pPr>
    </w:p>
    <w:p w14:paraId="189CE339">
      <w:pPr>
        <w:spacing w:line="360" w:lineRule="auto"/>
        <w:rPr>
          <w:rFonts w:hint="eastAsia" w:ascii="宋体" w:hAnsi="宋体" w:eastAsia="宋体" w:cs="宋体"/>
          <w:b/>
          <w:color w:val="auto"/>
          <w:sz w:val="21"/>
          <w:szCs w:val="21"/>
        </w:rPr>
      </w:pPr>
    </w:p>
    <w:p w14:paraId="38053D2F">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质疑函制作说明：</w:t>
      </w:r>
    </w:p>
    <w:p w14:paraId="7F012BBF">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1.供应商提出质疑时，应提交质疑函和必要的证明材料。</w:t>
      </w:r>
    </w:p>
    <w:p w14:paraId="6345052F">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rPr>
        <w:t>供应商签署的授权委托书。授权委托书应载明代理人的姓名或者名称、代理事项、具体权限、期限和相关事项。</w:t>
      </w:r>
    </w:p>
    <w:p w14:paraId="684E6C6E">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3.质疑供应商若对项目的某一分包进行质疑，质疑函中应列明具体分包号。</w:t>
      </w:r>
    </w:p>
    <w:p w14:paraId="4C9F0DB1">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4.质疑函的质疑事项应具体、明确，并有必要的事实依据和法律依据。</w:t>
      </w:r>
    </w:p>
    <w:p w14:paraId="691D2EA1">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5.质疑函的质疑请求应与质疑事项相关。</w:t>
      </w:r>
    </w:p>
    <w:p w14:paraId="368FCD9A">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6.质疑供应商为自然人的，质疑函应由本人签字；质疑供应商为法人或者其他组织的，质疑函应由法定代表人、主要负责人，或者其授权代表签字或者盖章，并加盖公章。</w:t>
      </w:r>
    </w:p>
    <w:p w14:paraId="21D44C20">
      <w:pPr>
        <w:rPr>
          <w:rFonts w:hint="eastAsia" w:ascii="宋体" w:hAnsi="宋体" w:eastAsia="宋体" w:cs="宋体"/>
          <w:color w:val="auto"/>
          <w:sz w:val="30"/>
          <w:szCs w:val="30"/>
        </w:rPr>
      </w:pPr>
      <w:r>
        <w:rPr>
          <w:rFonts w:hint="eastAsia" w:ascii="宋体" w:hAnsi="宋体" w:eastAsia="宋体" w:cs="宋体"/>
          <w:color w:val="auto"/>
          <w:sz w:val="30"/>
          <w:szCs w:val="30"/>
        </w:rPr>
        <w:br w:type="page"/>
      </w:r>
    </w:p>
    <w:p w14:paraId="7A272E21">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4755F998">
      <w:pPr>
        <w:spacing w:line="360" w:lineRule="auto"/>
        <w:jc w:val="center"/>
        <w:rPr>
          <w:rFonts w:hint="eastAsia" w:ascii="宋体" w:hAnsi="宋体" w:eastAsia="宋体" w:cs="宋体"/>
          <w:b/>
          <w:color w:val="auto"/>
          <w:sz w:val="24"/>
        </w:rPr>
      </w:pPr>
    </w:p>
    <w:p w14:paraId="34313234">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10F321F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一、投诉相关主体基本情况</w:t>
      </w:r>
    </w:p>
    <w:p w14:paraId="78BD00C7">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投诉人：</w:t>
      </w:r>
      <w:r>
        <w:rPr>
          <w:rFonts w:hint="eastAsia" w:ascii="宋体" w:hAnsi="宋体" w:eastAsia="宋体" w:cs="宋体"/>
          <w:color w:val="auto"/>
          <w:sz w:val="21"/>
          <w:szCs w:val="21"/>
          <w:u w:val="dotted"/>
        </w:rPr>
        <w:t xml:space="preserve">                                               </w:t>
      </w:r>
    </w:p>
    <w:p w14:paraId="5A5BE7E3">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6AFF3DA2">
      <w:pPr>
        <w:tabs>
          <w:tab w:val="left" w:pos="6510"/>
        </w:tabs>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法定代表人/主要负责人：</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 xml:space="preserve">  </w:t>
      </w:r>
    </w:p>
    <w:p w14:paraId="0476CC9A">
      <w:pPr>
        <w:tabs>
          <w:tab w:val="left" w:pos="6510"/>
        </w:tabs>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p>
    <w:p w14:paraId="00DD0A02">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授权代表：</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p>
    <w:p w14:paraId="38F68C56">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dotted"/>
        </w:rPr>
        <w:t xml:space="preserve">                   </w:t>
      </w:r>
    </w:p>
    <w:p w14:paraId="3DF77389">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被投诉人1：</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4B5257FB">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13714471">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28CBFC9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被投诉人2</w:t>
      </w:r>
    </w:p>
    <w:p w14:paraId="747F7146">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w:t>
      </w:r>
    </w:p>
    <w:p w14:paraId="42EC0845">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相关供应商：</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7E593D76">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70682973">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2E1E555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二、投诉项目基本情况</w:t>
      </w:r>
    </w:p>
    <w:p w14:paraId="364DCB34">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采购项目名称：</w:t>
      </w:r>
      <w:r>
        <w:rPr>
          <w:rFonts w:hint="eastAsia" w:ascii="宋体" w:hAnsi="宋体" w:eastAsia="宋体" w:cs="宋体"/>
          <w:color w:val="auto"/>
          <w:sz w:val="21"/>
          <w:szCs w:val="21"/>
          <w:u w:val="dotted"/>
        </w:rPr>
        <w:t xml:space="preserve">                                        </w:t>
      </w:r>
    </w:p>
    <w:p w14:paraId="5AA15F13">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采购项目编号：</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包号：</w:t>
      </w:r>
      <w:r>
        <w:rPr>
          <w:rFonts w:hint="eastAsia" w:ascii="宋体" w:hAnsi="宋体" w:eastAsia="宋体" w:cs="宋体"/>
          <w:color w:val="auto"/>
          <w:sz w:val="21"/>
          <w:szCs w:val="21"/>
          <w:u w:val="dotted"/>
        </w:rPr>
        <w:t xml:space="preserve">              </w:t>
      </w:r>
    </w:p>
    <w:p w14:paraId="724CF0B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采购人名称：</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0040C7B2">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代理机构名称：</w:t>
      </w:r>
      <w:r>
        <w:rPr>
          <w:rFonts w:hint="eastAsia" w:ascii="宋体" w:hAnsi="宋体" w:eastAsia="宋体" w:cs="宋体"/>
          <w:color w:val="auto"/>
          <w:sz w:val="21"/>
          <w:szCs w:val="21"/>
          <w:u w:val="dotted"/>
        </w:rPr>
        <w:t xml:space="preserve">                                         </w:t>
      </w:r>
    </w:p>
    <w:p w14:paraId="5E812535">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采购文件公告:</w:t>
      </w:r>
      <w:r>
        <w:rPr>
          <w:rFonts w:hint="eastAsia" w:ascii="宋体" w:hAnsi="宋体" w:eastAsia="宋体" w:cs="宋体"/>
          <w:color w:val="auto"/>
          <w:sz w:val="21"/>
          <w:szCs w:val="21"/>
          <w:u w:val="dotted"/>
        </w:rPr>
        <w:t xml:space="preserve">是/否 </w:t>
      </w:r>
      <w:r>
        <w:rPr>
          <w:rFonts w:hint="eastAsia" w:ascii="宋体" w:hAnsi="宋体" w:eastAsia="宋体" w:cs="宋体"/>
          <w:color w:val="auto"/>
          <w:sz w:val="21"/>
          <w:szCs w:val="21"/>
        </w:rPr>
        <w:t>公告期限：</w:t>
      </w:r>
      <w:r>
        <w:rPr>
          <w:rFonts w:hint="eastAsia" w:ascii="宋体" w:hAnsi="宋体" w:eastAsia="宋体" w:cs="宋体"/>
          <w:color w:val="auto"/>
          <w:sz w:val="21"/>
          <w:szCs w:val="21"/>
          <w:u w:val="dotted"/>
        </w:rPr>
        <w:t xml:space="preserve">                                 </w:t>
      </w:r>
    </w:p>
    <w:p w14:paraId="34A94E15">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采购结果公告:</w:t>
      </w:r>
      <w:r>
        <w:rPr>
          <w:rFonts w:hint="eastAsia" w:ascii="宋体" w:hAnsi="宋体" w:eastAsia="宋体" w:cs="宋体"/>
          <w:color w:val="auto"/>
          <w:sz w:val="21"/>
          <w:szCs w:val="21"/>
          <w:u w:val="dotted"/>
        </w:rPr>
        <w:t xml:space="preserve">是/否 </w:t>
      </w:r>
      <w:r>
        <w:rPr>
          <w:rFonts w:hint="eastAsia" w:ascii="宋体" w:hAnsi="宋体" w:eastAsia="宋体" w:cs="宋体"/>
          <w:color w:val="auto"/>
          <w:sz w:val="21"/>
          <w:szCs w:val="21"/>
        </w:rPr>
        <w:t>公告期限：</w:t>
      </w:r>
      <w:r>
        <w:rPr>
          <w:rFonts w:hint="eastAsia" w:ascii="宋体" w:hAnsi="宋体" w:eastAsia="宋体" w:cs="宋体"/>
          <w:color w:val="auto"/>
          <w:sz w:val="21"/>
          <w:szCs w:val="21"/>
          <w:u w:val="dotted"/>
        </w:rPr>
        <w:t xml:space="preserve">                        </w:t>
      </w:r>
    </w:p>
    <w:p w14:paraId="79B2C82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三、质疑基本情况</w:t>
      </w:r>
    </w:p>
    <w:p w14:paraId="33A439A6">
      <w:pPr>
        <w:spacing w:line="360" w:lineRule="auto"/>
        <w:ind w:firstLine="420" w:firstLineChars="200"/>
        <w:rPr>
          <w:rFonts w:hint="eastAsia" w:ascii="宋体" w:hAnsi="宋体" w:eastAsia="宋体" w:cs="宋体"/>
          <w:color w:val="auto"/>
          <w:sz w:val="21"/>
          <w:szCs w:val="21"/>
          <w:u w:val="dotted"/>
        </w:rPr>
      </w:pPr>
      <w:r>
        <w:rPr>
          <w:rFonts w:hint="eastAsia" w:ascii="宋体" w:hAnsi="宋体" w:eastAsia="宋体" w:cs="宋体"/>
          <w:color w:val="auto"/>
          <w:sz w:val="21"/>
          <w:szCs w:val="21"/>
        </w:rPr>
        <w:t>投诉人于</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日,向</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提出质疑，质疑事项为：</w:t>
      </w:r>
      <w:r>
        <w:rPr>
          <w:rFonts w:hint="eastAsia" w:ascii="宋体" w:hAnsi="宋体" w:eastAsia="宋体" w:cs="宋体"/>
          <w:color w:val="auto"/>
          <w:sz w:val="21"/>
          <w:szCs w:val="21"/>
          <w:u w:val="dotted"/>
        </w:rPr>
        <w:t xml:space="preserve">                                </w:t>
      </w:r>
    </w:p>
    <w:p w14:paraId="0D9EBC47">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 xml:space="preserve">  </w:t>
      </w:r>
    </w:p>
    <w:p w14:paraId="090403C6">
      <w:pPr>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u w:val="dotted"/>
        </w:rPr>
        <w:t>采购人/代理机构</w:t>
      </w:r>
      <w:r>
        <w:rPr>
          <w:rFonts w:hint="eastAsia" w:ascii="宋体" w:hAnsi="宋体" w:eastAsia="宋体" w:cs="宋体"/>
          <w:color w:val="auto"/>
          <w:sz w:val="21"/>
          <w:szCs w:val="21"/>
        </w:rPr>
        <w:t>于</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日,就质疑事项作出了答复/没有在法定期限内作出答复。</w:t>
      </w:r>
    </w:p>
    <w:p w14:paraId="4AC91B5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四、投诉事项具体内容</w:t>
      </w:r>
    </w:p>
    <w:p w14:paraId="2C51CCE2">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投诉事项 1：</w:t>
      </w:r>
      <w:r>
        <w:rPr>
          <w:rFonts w:hint="eastAsia" w:ascii="宋体" w:hAnsi="宋体" w:eastAsia="宋体" w:cs="宋体"/>
          <w:color w:val="auto"/>
          <w:sz w:val="21"/>
          <w:szCs w:val="21"/>
          <w:u w:val="dotted"/>
        </w:rPr>
        <w:t xml:space="preserve">                                       </w:t>
      </w:r>
    </w:p>
    <w:p w14:paraId="6EE9D3D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事实依据：</w:t>
      </w:r>
      <w:r>
        <w:rPr>
          <w:rFonts w:hint="eastAsia" w:ascii="宋体" w:hAnsi="宋体" w:eastAsia="宋体" w:cs="宋体"/>
          <w:color w:val="auto"/>
          <w:sz w:val="21"/>
          <w:szCs w:val="21"/>
          <w:u w:val="dotted"/>
        </w:rPr>
        <w:t xml:space="preserve">                                         </w:t>
      </w:r>
    </w:p>
    <w:p w14:paraId="398A27F8">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u w:val="dotted"/>
        </w:rPr>
        <w:t xml:space="preserve">                                                      </w:t>
      </w:r>
    </w:p>
    <w:p w14:paraId="625203F5">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法律依据：</w:t>
      </w:r>
      <w:r>
        <w:rPr>
          <w:rFonts w:hint="eastAsia" w:ascii="宋体" w:hAnsi="宋体" w:eastAsia="宋体" w:cs="宋体"/>
          <w:color w:val="auto"/>
          <w:sz w:val="21"/>
          <w:szCs w:val="21"/>
          <w:u w:val="dotted"/>
        </w:rPr>
        <w:t xml:space="preserve">                                          </w:t>
      </w:r>
    </w:p>
    <w:p w14:paraId="05601C62">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u w:val="dotted"/>
        </w:rPr>
        <w:t xml:space="preserve">                                                      </w:t>
      </w:r>
    </w:p>
    <w:p w14:paraId="29750B0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投诉事项2</w:t>
      </w:r>
    </w:p>
    <w:p w14:paraId="3DB865F2">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w:t>
      </w:r>
    </w:p>
    <w:p w14:paraId="350F278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五、与投诉事项相关的投诉请求</w:t>
      </w:r>
    </w:p>
    <w:p w14:paraId="19FBF78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请求：</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 xml:space="preserve"> </w:t>
      </w:r>
    </w:p>
    <w:p w14:paraId="378D7263">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                                                                                                    </w:t>
      </w:r>
    </w:p>
    <w:p w14:paraId="3D778FC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签字(签章)：                   公章：                      </w:t>
      </w:r>
    </w:p>
    <w:p w14:paraId="115A906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14:paraId="7F323120">
      <w:pPr>
        <w:spacing w:line="360" w:lineRule="auto"/>
        <w:rPr>
          <w:rFonts w:hint="eastAsia" w:ascii="宋体" w:hAnsi="宋体" w:eastAsia="宋体" w:cs="宋体"/>
          <w:b/>
          <w:color w:val="auto"/>
          <w:sz w:val="21"/>
          <w:szCs w:val="21"/>
        </w:rPr>
      </w:pPr>
    </w:p>
    <w:p w14:paraId="5E5E2BD2">
      <w:pPr>
        <w:spacing w:line="360" w:lineRule="auto"/>
        <w:rPr>
          <w:rFonts w:hint="eastAsia" w:ascii="宋体" w:hAnsi="宋体" w:eastAsia="宋体" w:cs="宋体"/>
          <w:b/>
          <w:color w:val="auto"/>
          <w:sz w:val="21"/>
          <w:szCs w:val="21"/>
        </w:rPr>
      </w:pPr>
    </w:p>
    <w:p w14:paraId="754F39BD">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投诉书制作说明：</w:t>
      </w:r>
    </w:p>
    <w:p w14:paraId="68D0F888">
      <w:pPr>
        <w:widowControl/>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1.投诉人提起投诉时，应当提交投诉书和必要的证明材料，并按照被投诉人和与投诉事项有关的供应商数量提供投诉书副本。</w:t>
      </w:r>
    </w:p>
    <w:p w14:paraId="51ACC023">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2.投诉人若委托代理人进行投诉的，投诉书应按照要求列明“授权代表”的有关内容，并在附件中提交由</w:t>
      </w:r>
      <w:r>
        <w:rPr>
          <w:rFonts w:hint="eastAsia" w:ascii="宋体" w:hAnsi="宋体" w:eastAsia="宋体" w:cs="宋体"/>
          <w:color w:val="auto"/>
          <w:kern w:val="0"/>
          <w:sz w:val="21"/>
          <w:szCs w:val="21"/>
        </w:rPr>
        <w:t>投诉人签署的授权委托书。授权委托书应当载明代理人的姓名或者名称、代理事项、具体权限、期限和相关事项。</w:t>
      </w:r>
    </w:p>
    <w:p w14:paraId="7C87F44E">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3.投诉人若对项目的某一分包进行投诉，投诉书应列明具体分包号。</w:t>
      </w:r>
    </w:p>
    <w:p w14:paraId="5EE0A3D7">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4.投诉书应简要列明质疑事项，质疑函、质疑答复等作为附件材料提供。</w:t>
      </w:r>
    </w:p>
    <w:p w14:paraId="09CE933A">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5.投诉书的投诉事项应具体、明确，并有必要的事实依据和法律依据。</w:t>
      </w:r>
    </w:p>
    <w:p w14:paraId="43659C09">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6.投诉书的投诉请求应与投诉事项相关。</w:t>
      </w:r>
    </w:p>
    <w:p w14:paraId="0C275ACE">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7.投诉人为自然人的，投诉书应当由本人签字；投诉人为法人或者其他组织的，投诉书应当由法定代表人、主要负责人，或者其授权代表签字或者盖章，并加盖公章。</w:t>
      </w:r>
    </w:p>
    <w:p w14:paraId="0EC2ACEC">
      <w:pPr>
        <w:rPr>
          <w:rFonts w:hint="eastAsia" w:ascii="宋体" w:hAnsi="宋体" w:eastAsia="宋体" w:cs="宋体"/>
          <w:b/>
          <w:color w:val="auto"/>
          <w:sz w:val="24"/>
        </w:rPr>
      </w:pPr>
      <w:r>
        <w:rPr>
          <w:rFonts w:hint="eastAsia" w:ascii="宋体" w:hAnsi="宋体" w:eastAsia="宋体" w:cs="宋体"/>
          <w:b/>
          <w:color w:val="auto"/>
          <w:sz w:val="24"/>
        </w:rPr>
        <w:br w:type="page"/>
      </w:r>
    </w:p>
    <w:p w14:paraId="1E2F0156">
      <w:pPr>
        <w:autoSpaceDE w:val="0"/>
        <w:autoSpaceDN w:val="0"/>
        <w:jc w:val="both"/>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58CAFF1A">
      <w:pPr>
        <w:spacing w:line="360" w:lineRule="auto"/>
        <w:rPr>
          <w:rFonts w:hint="eastAsia" w:ascii="宋体" w:hAnsi="宋体" w:eastAsia="宋体" w:cs="宋体"/>
          <w:color w:val="auto"/>
          <w:sz w:val="24"/>
          <w:u w:val="single"/>
        </w:rPr>
      </w:pPr>
    </w:p>
    <w:p w14:paraId="0389A22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（采购人）、（采购代理机构）</w:t>
      </w:r>
    </w:p>
    <w:p w14:paraId="40BFBFC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我方</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sz w:val="21"/>
          <w:szCs w:val="21"/>
        </w:rPr>
        <w:t>(供应商全称)是中华人民共和国依法登记注册的合法企业，</w:t>
      </w:r>
      <w:r>
        <w:rPr>
          <w:rFonts w:hint="eastAsia" w:ascii="宋体" w:hAnsi="宋体" w:eastAsia="宋体" w:cs="宋体"/>
          <w:bCs/>
          <w:color w:val="auto"/>
          <w:sz w:val="21"/>
          <w:szCs w:val="21"/>
        </w:rPr>
        <w:t>在参加</w:t>
      </w:r>
      <w:r>
        <w:rPr>
          <w:rFonts w:hint="eastAsia" w:ascii="宋体" w:hAnsi="宋体" w:eastAsia="宋体" w:cs="宋体"/>
          <w:color w:val="auto"/>
          <w:sz w:val="21"/>
          <w:szCs w:val="21"/>
        </w:rPr>
        <w:t>你方组织的</w:t>
      </w:r>
      <w:r>
        <w:rPr>
          <w:rFonts w:hint="eastAsia" w:ascii="宋体" w:hAnsi="宋体" w:eastAsia="宋体" w:cs="宋体"/>
          <w:color w:val="auto"/>
          <w:sz w:val="21"/>
          <w:szCs w:val="21"/>
          <w:u w:val="single"/>
          <w:lang w:val="en-US" w:eastAsia="zh-CN"/>
        </w:rPr>
        <w:t xml:space="preserve">        项目名称       </w:t>
      </w: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bCs/>
          <w:color w:val="auto"/>
          <w:sz w:val="21"/>
          <w:szCs w:val="21"/>
        </w:rPr>
        <w:t>投标活动中作如下说明：</w:t>
      </w:r>
      <w:r>
        <w:rPr>
          <w:rFonts w:hint="eastAsia" w:ascii="宋体" w:hAnsi="宋体" w:eastAsia="宋体" w:cs="宋体"/>
          <w:color w:val="auto"/>
          <w:sz w:val="21"/>
          <w:szCs w:val="21"/>
        </w:rPr>
        <w:t xml:space="preserve">我方所使用的“XX专用章”与法定名称章具有同等的法律效力，对使用“XX专用章”的行为予以完全承认，并愿意承担相应责任。   </w:t>
      </w:r>
    </w:p>
    <w:p w14:paraId="61029A1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特此说明。</w:t>
      </w:r>
    </w:p>
    <w:p w14:paraId="001BEC3B">
      <w:pPr>
        <w:spacing w:line="360" w:lineRule="auto"/>
        <w:ind w:firstLine="494"/>
        <w:rPr>
          <w:rFonts w:hint="eastAsia" w:ascii="宋体" w:hAnsi="宋体" w:eastAsia="宋体" w:cs="宋体"/>
          <w:color w:val="auto"/>
          <w:sz w:val="21"/>
          <w:szCs w:val="21"/>
        </w:rPr>
      </w:pPr>
    </w:p>
    <w:p w14:paraId="4AFCD77F">
      <w:pPr>
        <w:spacing w:line="360" w:lineRule="auto"/>
        <w:ind w:firstLine="494"/>
        <w:rPr>
          <w:rFonts w:hint="eastAsia" w:ascii="宋体" w:hAnsi="宋体" w:eastAsia="宋体" w:cs="宋体"/>
          <w:color w:val="auto"/>
          <w:sz w:val="21"/>
          <w:szCs w:val="21"/>
        </w:rPr>
      </w:pPr>
    </w:p>
    <w:p w14:paraId="2B664684">
      <w:pPr>
        <w:spacing w:line="360" w:lineRule="auto"/>
        <w:ind w:firstLine="494"/>
        <w:rPr>
          <w:rFonts w:hint="eastAsia" w:ascii="宋体" w:hAnsi="宋体" w:eastAsia="宋体" w:cs="宋体"/>
          <w:color w:val="auto"/>
          <w:sz w:val="21"/>
          <w:szCs w:val="21"/>
        </w:rPr>
      </w:pPr>
    </w:p>
    <w:p w14:paraId="5999BDB9">
      <w:pPr>
        <w:spacing w:line="360" w:lineRule="auto"/>
        <w:ind w:firstLine="494"/>
        <w:rPr>
          <w:rFonts w:hint="eastAsia" w:ascii="宋体" w:hAnsi="宋体" w:eastAsia="宋体" w:cs="宋体"/>
          <w:color w:val="auto"/>
          <w:sz w:val="21"/>
          <w:szCs w:val="21"/>
        </w:rPr>
      </w:pPr>
    </w:p>
    <w:p w14:paraId="5CB7E69D">
      <w:pPr>
        <w:spacing w:line="360" w:lineRule="auto"/>
        <w:ind w:right="480" w:firstLine="3570" w:firstLineChars="1700"/>
        <w:rPr>
          <w:rFonts w:hint="eastAsia" w:ascii="宋体" w:hAnsi="宋体" w:eastAsia="宋体" w:cs="宋体"/>
          <w:color w:val="auto"/>
          <w:sz w:val="21"/>
          <w:szCs w:val="21"/>
        </w:rPr>
      </w:pPr>
      <w:r>
        <w:rPr>
          <w:rFonts w:hint="eastAsia" w:ascii="宋体" w:hAnsi="宋体" w:eastAsia="宋体" w:cs="宋体"/>
          <w:color w:val="auto"/>
          <w:sz w:val="21"/>
          <w:szCs w:val="21"/>
        </w:rPr>
        <w:t>供应商（法定名称章）：</w:t>
      </w:r>
    </w:p>
    <w:p w14:paraId="4CFE514F">
      <w:pPr>
        <w:ind w:right="1440" w:firstLine="494"/>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日期：       年     月     日</w:t>
      </w:r>
    </w:p>
    <w:p w14:paraId="3581DF2F">
      <w:pPr>
        <w:rPr>
          <w:rFonts w:hint="eastAsia" w:ascii="宋体" w:hAnsi="宋体" w:eastAsia="宋体" w:cs="宋体"/>
          <w:color w:val="auto"/>
          <w:sz w:val="21"/>
          <w:szCs w:val="21"/>
        </w:rPr>
      </w:pPr>
      <w:r>
        <w:rPr>
          <w:rFonts w:hint="eastAsia" w:ascii="宋体" w:hAnsi="宋体" w:eastAsia="宋体" w:cs="宋体"/>
          <w:b/>
          <w:bCs/>
          <w:color w:val="auto"/>
          <w:sz w:val="21"/>
          <w:szCs w:val="21"/>
        </w:rPr>
        <w:t>附：</w:t>
      </w:r>
    </w:p>
    <w:p w14:paraId="52334B0D">
      <w:pPr>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1"/>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1"/>
          <w:szCs w:val="21"/>
        </w:rPr>
        <w:t>供应商</w:t>
      </w:r>
      <w:r>
        <w:rPr>
          <w:rFonts w:hint="eastAsia" w:ascii="宋体" w:hAnsi="宋体" w:eastAsia="宋体" w:cs="宋体"/>
          <w:color w:val="auto"/>
          <w:sz w:val="21"/>
          <w:szCs w:val="21"/>
        </w:rPr>
        <w:t xml:space="preserve">法定名称章（印模）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供应商“XX专用章”（印模）</w:t>
      </w:r>
    </w:p>
    <w:p w14:paraId="13A5FF1C">
      <w:pPr>
        <w:autoSpaceDE w:val="0"/>
        <w:autoSpaceDN w:val="0"/>
        <w:jc w:val="center"/>
        <w:rPr>
          <w:rFonts w:hint="eastAsia" w:ascii="宋体" w:hAnsi="宋体" w:eastAsia="宋体" w:cs="宋体"/>
          <w:b/>
          <w:color w:val="auto"/>
          <w:spacing w:val="6"/>
          <w:sz w:val="32"/>
          <w:szCs w:val="32"/>
        </w:rPr>
      </w:pPr>
    </w:p>
    <w:p w14:paraId="0D9320C0">
      <w:pPr>
        <w:autoSpaceDE w:val="0"/>
        <w:autoSpaceDN w:val="0"/>
        <w:jc w:val="center"/>
        <w:rPr>
          <w:rFonts w:hint="eastAsia" w:ascii="宋体" w:hAnsi="宋体" w:eastAsia="宋体" w:cs="宋体"/>
          <w:b/>
          <w:color w:val="auto"/>
          <w:spacing w:val="6"/>
          <w:sz w:val="32"/>
          <w:szCs w:val="32"/>
        </w:rPr>
      </w:pPr>
    </w:p>
    <w:p w14:paraId="0746F2C3">
      <w:pPr>
        <w:autoSpaceDE w:val="0"/>
        <w:autoSpaceDN w:val="0"/>
        <w:jc w:val="center"/>
        <w:rPr>
          <w:rFonts w:hint="eastAsia" w:ascii="宋体" w:hAnsi="宋体" w:eastAsia="宋体" w:cs="宋体"/>
          <w:b/>
          <w:color w:val="auto"/>
          <w:spacing w:val="6"/>
          <w:sz w:val="32"/>
          <w:szCs w:val="32"/>
        </w:rPr>
      </w:pPr>
    </w:p>
    <w:p w14:paraId="51CA5D2E">
      <w:pPr>
        <w:autoSpaceDE w:val="0"/>
        <w:autoSpaceDN w:val="0"/>
        <w:jc w:val="center"/>
        <w:rPr>
          <w:rFonts w:hint="eastAsia" w:ascii="宋体" w:hAnsi="宋体" w:eastAsia="宋体" w:cs="宋体"/>
          <w:b/>
          <w:color w:val="auto"/>
          <w:spacing w:val="6"/>
          <w:sz w:val="32"/>
          <w:szCs w:val="32"/>
        </w:rPr>
      </w:pPr>
    </w:p>
    <w:p w14:paraId="04C21544">
      <w:pPr>
        <w:autoSpaceDE w:val="0"/>
        <w:autoSpaceDN w:val="0"/>
        <w:jc w:val="center"/>
        <w:rPr>
          <w:rFonts w:hint="eastAsia" w:ascii="宋体" w:hAnsi="宋体" w:eastAsia="宋体" w:cs="宋体"/>
          <w:b/>
          <w:color w:val="auto"/>
          <w:spacing w:val="6"/>
          <w:sz w:val="32"/>
          <w:szCs w:val="32"/>
        </w:rPr>
      </w:pPr>
    </w:p>
    <w:p w14:paraId="39D8F8FD">
      <w:pPr>
        <w:autoSpaceDE w:val="0"/>
        <w:autoSpaceDN w:val="0"/>
        <w:jc w:val="center"/>
        <w:rPr>
          <w:rFonts w:hint="eastAsia" w:ascii="宋体" w:hAnsi="宋体" w:eastAsia="宋体" w:cs="宋体"/>
          <w:b/>
          <w:color w:val="auto"/>
          <w:spacing w:val="6"/>
          <w:sz w:val="32"/>
          <w:szCs w:val="32"/>
        </w:rPr>
      </w:pPr>
    </w:p>
    <w:p w14:paraId="353D22C6">
      <w:pPr>
        <w:autoSpaceDE w:val="0"/>
        <w:autoSpaceDN w:val="0"/>
        <w:jc w:val="center"/>
        <w:rPr>
          <w:rFonts w:hint="eastAsia" w:ascii="宋体" w:hAnsi="宋体" w:eastAsia="宋体" w:cs="宋体"/>
          <w:b/>
          <w:color w:val="auto"/>
          <w:spacing w:val="6"/>
          <w:sz w:val="32"/>
          <w:szCs w:val="32"/>
        </w:rPr>
      </w:pPr>
    </w:p>
    <w:p w14:paraId="0B1284D4">
      <w:pPr>
        <w:autoSpaceDE w:val="0"/>
        <w:autoSpaceDN w:val="0"/>
        <w:jc w:val="center"/>
        <w:rPr>
          <w:rFonts w:hint="eastAsia" w:ascii="宋体" w:hAnsi="宋体" w:eastAsia="宋体" w:cs="宋体"/>
          <w:b/>
          <w:color w:val="auto"/>
          <w:spacing w:val="6"/>
          <w:sz w:val="32"/>
          <w:szCs w:val="32"/>
        </w:rPr>
      </w:pPr>
    </w:p>
    <w:p w14:paraId="78D9C480">
      <w:pPr>
        <w:autoSpaceDE w:val="0"/>
        <w:autoSpaceDN w:val="0"/>
        <w:jc w:val="center"/>
        <w:rPr>
          <w:rFonts w:hint="eastAsia" w:ascii="宋体" w:hAnsi="宋体" w:eastAsia="宋体" w:cs="宋体"/>
          <w:b/>
          <w:color w:val="auto"/>
          <w:spacing w:val="6"/>
          <w:sz w:val="32"/>
          <w:szCs w:val="32"/>
        </w:rPr>
      </w:pPr>
    </w:p>
    <w:p w14:paraId="61E6F3F6">
      <w:pPr>
        <w:autoSpaceDE w:val="0"/>
        <w:autoSpaceDN w:val="0"/>
        <w:jc w:val="center"/>
        <w:rPr>
          <w:rFonts w:hint="eastAsia" w:ascii="宋体" w:hAnsi="宋体" w:eastAsia="宋体" w:cs="宋体"/>
          <w:b/>
          <w:color w:val="auto"/>
          <w:spacing w:val="6"/>
          <w:sz w:val="32"/>
          <w:szCs w:val="32"/>
        </w:rPr>
      </w:pPr>
    </w:p>
    <w:p w14:paraId="0BD7F746">
      <w:pPr>
        <w:autoSpaceDE w:val="0"/>
        <w:autoSpaceDN w:val="0"/>
        <w:jc w:val="center"/>
        <w:rPr>
          <w:rFonts w:hint="eastAsia" w:ascii="宋体" w:hAnsi="宋体" w:eastAsia="宋体" w:cs="宋体"/>
          <w:b/>
          <w:color w:val="auto"/>
          <w:spacing w:val="6"/>
          <w:sz w:val="32"/>
          <w:szCs w:val="32"/>
        </w:rPr>
      </w:pPr>
    </w:p>
    <w:p w14:paraId="7CF067ED">
      <w:pPr>
        <w:autoSpaceDE w:val="0"/>
        <w:autoSpaceDN w:val="0"/>
        <w:jc w:val="center"/>
        <w:rPr>
          <w:rFonts w:hint="eastAsia" w:ascii="宋体" w:hAnsi="宋体" w:eastAsia="宋体" w:cs="宋体"/>
          <w:b/>
          <w:color w:val="auto"/>
          <w:spacing w:val="6"/>
          <w:sz w:val="32"/>
          <w:szCs w:val="32"/>
        </w:rPr>
      </w:pPr>
    </w:p>
    <w:p w14:paraId="513A5E0E">
      <w:pPr>
        <w:autoSpaceDE w:val="0"/>
        <w:autoSpaceDN w:val="0"/>
        <w:jc w:val="center"/>
        <w:rPr>
          <w:rFonts w:hint="eastAsia" w:ascii="宋体" w:hAnsi="宋体" w:eastAsia="宋体" w:cs="宋体"/>
          <w:b/>
          <w:color w:val="auto"/>
          <w:spacing w:val="6"/>
          <w:sz w:val="32"/>
          <w:szCs w:val="32"/>
        </w:rPr>
      </w:pPr>
    </w:p>
    <w:p w14:paraId="2CC242C9">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3A3B1F98">
      <w:pPr>
        <w:autoSpaceDE w:val="0"/>
        <w:autoSpaceDN w:val="0"/>
        <w:jc w:val="both"/>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5</w:t>
      </w:r>
      <w:r>
        <w:rPr>
          <w:rFonts w:hint="eastAsia" w:ascii="宋体" w:hAnsi="宋体" w:eastAsia="宋体" w:cs="宋体"/>
          <w:b/>
          <w:color w:val="auto"/>
          <w:spacing w:val="6"/>
          <w:sz w:val="32"/>
          <w:szCs w:val="32"/>
        </w:rPr>
        <w:t>：</w:t>
      </w:r>
      <w:r>
        <w:rPr>
          <w:rFonts w:hint="eastAsia" w:ascii="宋体" w:hAnsi="宋体" w:eastAsia="宋体" w:cs="宋体"/>
          <w:b/>
          <w:color w:val="auto"/>
          <w:sz w:val="32"/>
          <w:szCs w:val="32"/>
        </w:rPr>
        <w:t>中小企业声明函</w:t>
      </w:r>
    </w:p>
    <w:p w14:paraId="3171A4D8">
      <w:pPr>
        <w:spacing w:line="360" w:lineRule="auto"/>
        <w:jc w:val="center"/>
        <w:rPr>
          <w:rFonts w:hint="eastAsia" w:ascii="宋体" w:hAnsi="宋体" w:eastAsia="宋体" w:cs="宋体"/>
          <w:color w:val="auto"/>
          <w:sz w:val="24"/>
          <w:u w:val="single"/>
        </w:rPr>
      </w:pPr>
    </w:p>
    <w:p w14:paraId="6E12A84C">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中小企业声明函（工程）</w:t>
      </w:r>
    </w:p>
    <w:p w14:paraId="333FA1D0">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本公司（联合体）郑重</w:t>
      </w:r>
      <w:r>
        <w:rPr>
          <w:rFonts w:hint="eastAsia" w:ascii="宋体" w:hAnsi="宋体" w:eastAsia="宋体" w:cs="宋体"/>
          <w:color w:val="auto"/>
          <w:sz w:val="21"/>
          <w:szCs w:val="21"/>
          <w:highlight w:val="none"/>
        </w:rPr>
        <w:t xml:space="preserve">声明，根据《政府采购促进中小企业发展管理办法》（财库﹝2020﹞46 号）的规定，本公司（联合体）参加 </w:t>
      </w:r>
      <w:r>
        <w:rPr>
          <w:rFonts w:hint="eastAsia" w:ascii="宋体" w:hAnsi="宋体" w:eastAsia="宋体" w:cs="宋体"/>
          <w:color w:val="auto"/>
          <w:sz w:val="21"/>
          <w:szCs w:val="21"/>
          <w:highlight w:val="none"/>
          <w:u w:val="single"/>
        </w:rPr>
        <w:t xml:space="preserve">（采购人）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项目名称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5DC3545">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 </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 xml:space="preserve">，属于 </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 xml:space="preserve"> ；承建（承接）企业为 </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 xml:space="preserve"> ，从业人员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 xml:space="preserve"> （中型企业、小型企业、微型企业） </w:t>
      </w:r>
      <w:r>
        <w:rPr>
          <w:rFonts w:hint="eastAsia" w:ascii="宋体" w:hAnsi="宋体" w:eastAsia="宋体" w:cs="宋体"/>
          <w:color w:val="auto"/>
          <w:sz w:val="21"/>
          <w:szCs w:val="21"/>
        </w:rPr>
        <w:t>；</w:t>
      </w:r>
    </w:p>
    <w:p w14:paraId="11BB0BA3">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2. </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 xml:space="preserve">，属于 </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 xml:space="preserve"> ；承建（承接）企业为 </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 xml:space="preserve"> ，从业人员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 xml:space="preserve"> （中型企业、小型企业、微型企业） </w:t>
      </w:r>
      <w:r>
        <w:rPr>
          <w:rFonts w:hint="eastAsia" w:ascii="宋体" w:hAnsi="宋体" w:eastAsia="宋体" w:cs="宋体"/>
          <w:color w:val="auto"/>
          <w:sz w:val="21"/>
          <w:szCs w:val="21"/>
        </w:rPr>
        <w:t>；</w:t>
      </w:r>
    </w:p>
    <w:p w14:paraId="5760ECFB">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58146BF2">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14:paraId="58F68EB4">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14:paraId="2BABAEA9">
      <w:pPr>
        <w:spacing w:line="360" w:lineRule="auto"/>
        <w:ind w:firstLine="420" w:firstLineChars="200"/>
        <w:rPr>
          <w:rFonts w:hint="eastAsia" w:ascii="宋体" w:hAnsi="宋体" w:eastAsia="宋体" w:cs="宋体"/>
          <w:color w:val="auto"/>
          <w:sz w:val="21"/>
          <w:szCs w:val="21"/>
        </w:rPr>
      </w:pPr>
    </w:p>
    <w:p w14:paraId="200634D8">
      <w:pPr>
        <w:snapToGrid w:val="0"/>
        <w:spacing w:line="360" w:lineRule="auto"/>
        <w:ind w:firstLine="4515" w:firstLineChars="2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供应商名称(电子签名)：</w:t>
      </w:r>
    </w:p>
    <w:p w14:paraId="477273AE">
      <w:pPr>
        <w:snapToGrid w:val="0"/>
        <w:spacing w:line="360" w:lineRule="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                                           日期</w:t>
      </w:r>
      <w:r>
        <w:rPr>
          <w:rFonts w:hint="eastAsia" w:ascii="宋体" w:hAnsi="宋体" w:eastAsia="宋体" w:cs="宋体"/>
          <w:color w:val="auto"/>
          <w:kern w:val="0"/>
          <w:sz w:val="21"/>
          <w:szCs w:val="21"/>
        </w:rPr>
        <w:t xml:space="preserve">：  年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w:t>
      </w:r>
    </w:p>
    <w:p w14:paraId="703A128E">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从业人员、营业收入、资产总额填报上一年度数据，无上一年度数据的新成立企业可不填报。</w:t>
      </w:r>
    </w:p>
    <w:p w14:paraId="72D99197">
      <w:pPr>
        <w:spacing w:line="360" w:lineRule="auto"/>
        <w:ind w:right="42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6FD48278">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1、填写要求：①“标的名称”、“采购文件中明确的所属行业”依据采购文件第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37F499F">
      <w:pPr>
        <w:spacing w:line="360" w:lineRule="auto"/>
        <w:ind w:right="42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w:t>
      </w:r>
      <w:r>
        <w:rPr>
          <w:rFonts w:hint="eastAsia" w:ascii="宋体" w:hAnsi="宋体" w:eastAsia="宋体" w:cs="宋体"/>
          <w:color w:val="auto"/>
          <w:sz w:val="21"/>
          <w:szCs w:val="21"/>
        </w:rPr>
        <w:t>微型企业。</w:t>
      </w:r>
    </w:p>
    <w:p w14:paraId="7176D2BE">
      <w:pPr>
        <w:spacing w:line="360" w:lineRule="auto"/>
        <w:jc w:val="center"/>
        <w:rPr>
          <w:rFonts w:hint="eastAsia" w:ascii="宋体" w:hAnsi="宋体" w:eastAsia="宋体" w:cs="宋体"/>
          <w:b/>
          <w:color w:val="auto"/>
          <w:sz w:val="32"/>
          <w:szCs w:val="32"/>
        </w:rPr>
      </w:pPr>
    </w:p>
    <w:p w14:paraId="60BAA404">
      <w:pPr>
        <w:spacing w:line="360" w:lineRule="auto"/>
        <w:rPr>
          <w:rFonts w:hint="eastAsia" w:ascii="宋体" w:hAnsi="宋体" w:eastAsia="宋体" w:cs="宋体"/>
          <w:bCs/>
          <w:color w:val="auto"/>
          <w:sz w:val="24"/>
        </w:rPr>
        <w:sectPr>
          <w:pgSz w:w="11906" w:h="16838"/>
          <w:pgMar w:top="1440" w:right="1080" w:bottom="1440" w:left="1080" w:header="851" w:footer="992" w:gutter="0"/>
          <w:pgNumType w:fmt="decimal"/>
          <w:cols w:space="720" w:num="1"/>
          <w:titlePg/>
          <w:docGrid w:linePitch="312" w:charSpace="0"/>
        </w:sectPr>
      </w:pPr>
    </w:p>
    <w:p w14:paraId="7960F19B">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6</w:t>
      </w:r>
      <w:r>
        <w:rPr>
          <w:rFonts w:hint="eastAsia" w:ascii="宋体" w:hAnsi="宋体" w:eastAsia="宋体" w:cs="宋体"/>
          <w:b/>
          <w:color w:val="auto"/>
          <w:spacing w:val="6"/>
          <w:sz w:val="32"/>
          <w:szCs w:val="32"/>
        </w:rPr>
        <w:t>：工程量清单（另附）</w:t>
      </w:r>
    </w:p>
    <w:p w14:paraId="3E82DA1E">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33193962">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7</w:t>
      </w:r>
      <w:r>
        <w:rPr>
          <w:rFonts w:hint="eastAsia" w:ascii="宋体" w:hAnsi="宋体" w:eastAsia="宋体" w:cs="宋体"/>
          <w:b/>
          <w:color w:val="auto"/>
          <w:spacing w:val="6"/>
          <w:sz w:val="32"/>
          <w:szCs w:val="32"/>
        </w:rPr>
        <w:t>：图纸（另附）</w:t>
      </w:r>
    </w:p>
    <w:p w14:paraId="4C4D591D">
      <w:pPr>
        <w:widowControl/>
        <w:adjustRightInd/>
        <w:jc w:val="left"/>
        <w:rPr>
          <w:rFonts w:hint="eastAsia" w:ascii="宋体" w:hAnsi="宋体" w:eastAsia="宋体" w:cs="宋体"/>
          <w:b/>
          <w:sz w:val="24"/>
        </w:rPr>
      </w:pPr>
    </w:p>
    <w:sectPr>
      <w:headerReference r:id="rId20" w:type="first"/>
      <w:footerReference r:id="rId22" w:type="first"/>
      <w:headerReference r:id="rId19" w:type="default"/>
      <w:footerReference r:id="rId21"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DejaVu Math TeX Gyre"/>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BBEF">
    <w:pPr>
      <w:pStyle w:val="3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29F7F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429F7F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177E2">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62680">
                          <w:pPr>
                            <w:pStyle w:val="3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3B62680">
                    <w:pPr>
                      <w:pStyle w:val="3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839C0">
    <w:pPr>
      <w:pStyle w:val="37"/>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CE881">
                          <w:pPr>
                            <w:pStyle w:val="3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58CE881">
                    <w:pPr>
                      <w:pStyle w:val="3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6E2D">
    <w:pPr>
      <w:pStyle w:val="37"/>
      <w:framePr w:wrap="around" w:vAnchor="text" w:hAnchor="margin" w:xAlign="right" w:y="1"/>
      <w:rPr>
        <w:rStyle w:val="64"/>
      </w:rPr>
    </w:pPr>
    <w:r>
      <w:fldChar w:fldCharType="begin"/>
    </w:r>
    <w:r>
      <w:rPr>
        <w:rStyle w:val="64"/>
      </w:rPr>
      <w:instrText xml:space="preserve">PAGE  </w:instrText>
    </w:r>
    <w:r>
      <w:fldChar w:fldCharType="end"/>
    </w:r>
  </w:p>
  <w:p w14:paraId="54BCCEEF">
    <w:pPr>
      <w:pStyle w:val="37"/>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082A">
    <w:pPr>
      <w:pStyle w:val="37"/>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CB0B3">
                          <w:pPr>
                            <w:pStyle w:val="3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DACB0B3">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159E4">
    <w:pPr>
      <w:pStyle w:val="37"/>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8CCAD">
                          <w:pPr>
                            <w:pStyle w:val="3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DB8CCAD">
                    <w:pPr>
                      <w:pStyle w:val="3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FD97">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4F58E">
                          <w:pPr>
                            <w:pStyle w:val="3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804F58E">
                    <w:pPr>
                      <w:pStyle w:val="3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2428F">
    <w:pPr>
      <w:pStyle w:val="3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35A8">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DF84D">
    <w:pPr>
      <w:pStyle w:val="37"/>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0A4F7EEE">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v:fill on="f" focussize="0,0"/>
              <v:stroke on="f"/>
              <v:imagedata o:title=""/>
              <o:lock v:ext="edit" aspectratio="f"/>
              <v:textbox inset="0mm,0mm,0mm,0mm" style="mso-fit-shape-to-text:t;">
                <w:txbxContent>
                  <w:p w14:paraId="0A4F7EEE">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A59C">
    <w:pPr>
      <w:pStyle w:val="3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22B8E">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7F22B8E">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857C3">
    <w:pPr>
      <w:pStyle w:val="37"/>
      <w:rPr>
        <w:rStyle w:val="6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80F2CE1">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fill on="f" focussize="0,0"/>
              <v:stroke on="f"/>
              <v:imagedata o:title=""/>
              <o:lock v:ext="edit" aspectratio="f"/>
              <v:textbox inset="0mm,0mm,0mm,0mm" style="mso-fit-shape-to-text:t;">
                <w:txbxContent>
                  <w:p w14:paraId="180F2CE1">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p w14:paraId="6BFA0CF9">
    <w:pPr>
      <w:pStyle w:val="37"/>
      <w:ind w:right="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1B7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7A186D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BA8A">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FD64C6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6A254">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4F454">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E54F454">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0EDF1">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5F1FF">
    <w:pPr>
      <w:pStyle w:val="38"/>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0253">
    <w:pPr>
      <w:pStyle w:val="38"/>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32DCD">
    <w:pPr>
      <w:pStyle w:val="38"/>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E6A3D">
    <w:pPr>
      <w:pStyle w:val="38"/>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BD3F480C"/>
    <w:multiLevelType w:val="singleLevel"/>
    <w:tmpl w:val="BD3F480C"/>
    <w:lvl w:ilvl="0" w:tentative="0">
      <w:start w:val="8"/>
      <w:numFmt w:val="decimal"/>
      <w:suff w:val="space"/>
      <w:lvlText w:val="%1."/>
      <w:lvlJc w:val="left"/>
    </w:lvl>
  </w:abstractNum>
  <w:abstractNum w:abstractNumId="3">
    <w:nsid w:val="BDFF6944"/>
    <w:multiLevelType w:val="singleLevel"/>
    <w:tmpl w:val="BDFF6944"/>
    <w:lvl w:ilvl="0" w:tentative="0">
      <w:start w:val="27"/>
      <w:numFmt w:val="decimal"/>
      <w:suff w:val="space"/>
      <w:lvlText w:val="%1."/>
      <w:lvlJc w:val="left"/>
    </w:lvl>
  </w:abstractNum>
  <w:abstractNum w:abstractNumId="4">
    <w:nsid w:val="DF7845BB"/>
    <w:multiLevelType w:val="singleLevel"/>
    <w:tmpl w:val="DF7845BB"/>
    <w:lvl w:ilvl="0" w:tentative="0">
      <w:start w:val="1"/>
      <w:numFmt w:val="decimal"/>
      <w:suff w:val="nothing"/>
      <w:lvlText w:val="%1、"/>
      <w:lvlJc w:val="left"/>
    </w:lvl>
  </w:abstractNum>
  <w:abstractNum w:abstractNumId="5">
    <w:nsid w:val="E59BF476"/>
    <w:multiLevelType w:val="singleLevel"/>
    <w:tmpl w:val="E59BF476"/>
    <w:lvl w:ilvl="0" w:tentative="0">
      <w:start w:val="2"/>
      <w:numFmt w:val="decimal"/>
      <w:suff w:val="nothing"/>
      <w:lvlText w:val="%1、"/>
      <w:lvlJc w:val="left"/>
    </w:lvl>
  </w:abstractNum>
  <w:abstractNum w:abstractNumId="6">
    <w:nsid w:val="FE7D9555"/>
    <w:multiLevelType w:val="singleLevel"/>
    <w:tmpl w:val="FE7D9555"/>
    <w:lvl w:ilvl="0" w:tentative="0">
      <w:start w:val="13"/>
      <w:numFmt w:val="decimal"/>
      <w:suff w:val="space"/>
      <w:lvlText w:val="%1."/>
      <w:lvlJc w:val="left"/>
    </w:lvl>
  </w:abstractNum>
  <w:abstractNum w:abstractNumId="7">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8">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9">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1">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57F24382"/>
    <w:multiLevelType w:val="singleLevel"/>
    <w:tmpl w:val="57F24382"/>
    <w:lvl w:ilvl="0" w:tentative="0">
      <w:start w:val="16"/>
      <w:numFmt w:val="decimal"/>
      <w:suff w:val="space"/>
      <w:lvlText w:val="%1."/>
      <w:lvlJc w:val="left"/>
    </w:lvl>
  </w:abstractNum>
  <w:abstractNum w:abstractNumId="13">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0"/>
  </w:num>
  <w:num w:numId="2">
    <w:abstractNumId w:val="9"/>
  </w:num>
  <w:num w:numId="3">
    <w:abstractNumId w:val="7"/>
  </w:num>
  <w:num w:numId="4">
    <w:abstractNumId w:val="8"/>
  </w:num>
  <w:num w:numId="5">
    <w:abstractNumId w:val="11"/>
  </w:num>
  <w:num w:numId="6">
    <w:abstractNumId w:val="13"/>
  </w:num>
  <w:num w:numId="7">
    <w:abstractNumId w:val="2"/>
  </w:num>
  <w:num w:numId="8">
    <w:abstractNumId w:val="6"/>
  </w:num>
  <w:num w:numId="9">
    <w:abstractNumId w:val="12"/>
  </w:num>
  <w:num w:numId="10">
    <w:abstractNumId w:val="0"/>
  </w:num>
  <w:num w:numId="11">
    <w:abstractNumId w:val="3"/>
  </w:num>
  <w:num w:numId="12">
    <w:abstractNumId w:val="4"/>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ZGExODllZDQ3OGVkY2Y1MjBhZDFlYmM0OTZjMD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ED7"/>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77C"/>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A45240"/>
    <w:rsid w:val="01A50047"/>
    <w:rsid w:val="01C81F7D"/>
    <w:rsid w:val="01F65F44"/>
    <w:rsid w:val="0205655E"/>
    <w:rsid w:val="02063FE0"/>
    <w:rsid w:val="025E466E"/>
    <w:rsid w:val="02DA0C0E"/>
    <w:rsid w:val="02E845D2"/>
    <w:rsid w:val="03660724"/>
    <w:rsid w:val="03762F3D"/>
    <w:rsid w:val="03AA4690"/>
    <w:rsid w:val="03DD35E4"/>
    <w:rsid w:val="03F32506"/>
    <w:rsid w:val="042C0BD6"/>
    <w:rsid w:val="04452310"/>
    <w:rsid w:val="04953394"/>
    <w:rsid w:val="04AF3F3E"/>
    <w:rsid w:val="04BA44CE"/>
    <w:rsid w:val="04FF037E"/>
    <w:rsid w:val="051261E1"/>
    <w:rsid w:val="051B106F"/>
    <w:rsid w:val="052F448C"/>
    <w:rsid w:val="053C7025"/>
    <w:rsid w:val="05567BCF"/>
    <w:rsid w:val="05E06AAE"/>
    <w:rsid w:val="06037097"/>
    <w:rsid w:val="06137719"/>
    <w:rsid w:val="061816F7"/>
    <w:rsid w:val="06214D1D"/>
    <w:rsid w:val="062B6CAE"/>
    <w:rsid w:val="065A6178"/>
    <w:rsid w:val="069A6F62"/>
    <w:rsid w:val="06A11438"/>
    <w:rsid w:val="06CE3F39"/>
    <w:rsid w:val="06E27403"/>
    <w:rsid w:val="07454E7C"/>
    <w:rsid w:val="074F7D92"/>
    <w:rsid w:val="07531A99"/>
    <w:rsid w:val="075562B7"/>
    <w:rsid w:val="077D2DD8"/>
    <w:rsid w:val="07B40D33"/>
    <w:rsid w:val="07B43916"/>
    <w:rsid w:val="07E74A05"/>
    <w:rsid w:val="07EB639F"/>
    <w:rsid w:val="07F6164B"/>
    <w:rsid w:val="080D6E43"/>
    <w:rsid w:val="084C584B"/>
    <w:rsid w:val="085525C6"/>
    <w:rsid w:val="087A1B7A"/>
    <w:rsid w:val="08E826EA"/>
    <w:rsid w:val="096A4E8D"/>
    <w:rsid w:val="096B2097"/>
    <w:rsid w:val="0982183F"/>
    <w:rsid w:val="09B207F9"/>
    <w:rsid w:val="0A3C4EDA"/>
    <w:rsid w:val="0A426DE3"/>
    <w:rsid w:val="0A5B7E63"/>
    <w:rsid w:val="0A896E9D"/>
    <w:rsid w:val="0B090DF2"/>
    <w:rsid w:val="0B231954"/>
    <w:rsid w:val="0B2A3393"/>
    <w:rsid w:val="0B3F5A01"/>
    <w:rsid w:val="0B420FC5"/>
    <w:rsid w:val="0B4D2798"/>
    <w:rsid w:val="0B74045A"/>
    <w:rsid w:val="0BBD0DDE"/>
    <w:rsid w:val="0C296C83"/>
    <w:rsid w:val="0C4D5E73"/>
    <w:rsid w:val="0C5844BD"/>
    <w:rsid w:val="0C5D4B54"/>
    <w:rsid w:val="0C87121B"/>
    <w:rsid w:val="0CA42D4A"/>
    <w:rsid w:val="0CA971D2"/>
    <w:rsid w:val="0CB022BC"/>
    <w:rsid w:val="0CDE05EF"/>
    <w:rsid w:val="0CFE46DD"/>
    <w:rsid w:val="0D237A01"/>
    <w:rsid w:val="0D361CE2"/>
    <w:rsid w:val="0D4E5761"/>
    <w:rsid w:val="0D706F9B"/>
    <w:rsid w:val="0D7A2C98"/>
    <w:rsid w:val="0DD15D3A"/>
    <w:rsid w:val="0DF702FE"/>
    <w:rsid w:val="0DFD2082"/>
    <w:rsid w:val="0E0E7D9E"/>
    <w:rsid w:val="0E3F698B"/>
    <w:rsid w:val="0E576B35"/>
    <w:rsid w:val="0EBC236B"/>
    <w:rsid w:val="0EBC6E34"/>
    <w:rsid w:val="0EBF2140"/>
    <w:rsid w:val="0F0E7940"/>
    <w:rsid w:val="0F1605D0"/>
    <w:rsid w:val="0F21508F"/>
    <w:rsid w:val="0F4A5C7C"/>
    <w:rsid w:val="0F553938"/>
    <w:rsid w:val="0F5B5841"/>
    <w:rsid w:val="0F8021FE"/>
    <w:rsid w:val="0F816ACD"/>
    <w:rsid w:val="0FB94501"/>
    <w:rsid w:val="0FC325FB"/>
    <w:rsid w:val="0FE51F22"/>
    <w:rsid w:val="0FFF2ACC"/>
    <w:rsid w:val="10052457"/>
    <w:rsid w:val="10352FA6"/>
    <w:rsid w:val="105C2B7D"/>
    <w:rsid w:val="10830B27"/>
    <w:rsid w:val="1087172B"/>
    <w:rsid w:val="10A97A39"/>
    <w:rsid w:val="10B047CF"/>
    <w:rsid w:val="10B27FF1"/>
    <w:rsid w:val="10FC16EA"/>
    <w:rsid w:val="11812C2C"/>
    <w:rsid w:val="1183694F"/>
    <w:rsid w:val="118963A1"/>
    <w:rsid w:val="11B05D16"/>
    <w:rsid w:val="11BF435B"/>
    <w:rsid w:val="11C15FB0"/>
    <w:rsid w:val="11FC4B10"/>
    <w:rsid w:val="122C565F"/>
    <w:rsid w:val="127723A9"/>
    <w:rsid w:val="128327F2"/>
    <w:rsid w:val="12AC07F5"/>
    <w:rsid w:val="12AF6A5C"/>
    <w:rsid w:val="13003E71"/>
    <w:rsid w:val="13072A44"/>
    <w:rsid w:val="13232374"/>
    <w:rsid w:val="13463B67"/>
    <w:rsid w:val="13C72E82"/>
    <w:rsid w:val="13E3112D"/>
    <w:rsid w:val="140D5C74"/>
    <w:rsid w:val="14456614"/>
    <w:rsid w:val="145044FA"/>
    <w:rsid w:val="1457366A"/>
    <w:rsid w:val="14E013D0"/>
    <w:rsid w:val="150D3199"/>
    <w:rsid w:val="152143DD"/>
    <w:rsid w:val="153F757E"/>
    <w:rsid w:val="154532F3"/>
    <w:rsid w:val="15591F94"/>
    <w:rsid w:val="156B6B7C"/>
    <w:rsid w:val="1580215B"/>
    <w:rsid w:val="15811E53"/>
    <w:rsid w:val="15A227EC"/>
    <w:rsid w:val="15A62093"/>
    <w:rsid w:val="15B910B3"/>
    <w:rsid w:val="16560BB2"/>
    <w:rsid w:val="16992920"/>
    <w:rsid w:val="16A12A0D"/>
    <w:rsid w:val="16AE4E44"/>
    <w:rsid w:val="16B17FC7"/>
    <w:rsid w:val="16C8346F"/>
    <w:rsid w:val="16CA6EBC"/>
    <w:rsid w:val="16EB23F2"/>
    <w:rsid w:val="170654D2"/>
    <w:rsid w:val="171112E5"/>
    <w:rsid w:val="17222AA1"/>
    <w:rsid w:val="17781F8E"/>
    <w:rsid w:val="182E403B"/>
    <w:rsid w:val="18481362"/>
    <w:rsid w:val="185A0382"/>
    <w:rsid w:val="186742B0"/>
    <w:rsid w:val="187847E6"/>
    <w:rsid w:val="18BE00A7"/>
    <w:rsid w:val="190B4D55"/>
    <w:rsid w:val="19E8300C"/>
    <w:rsid w:val="1A2B2060"/>
    <w:rsid w:val="1A536EAB"/>
    <w:rsid w:val="1A6516DC"/>
    <w:rsid w:val="1A682661"/>
    <w:rsid w:val="1A697089"/>
    <w:rsid w:val="1AB6495E"/>
    <w:rsid w:val="1ADB29A0"/>
    <w:rsid w:val="1AE52F6A"/>
    <w:rsid w:val="1B042725"/>
    <w:rsid w:val="1B2830AF"/>
    <w:rsid w:val="1B2A271F"/>
    <w:rsid w:val="1B356531"/>
    <w:rsid w:val="1B4310CA"/>
    <w:rsid w:val="1B5622E9"/>
    <w:rsid w:val="1B890139"/>
    <w:rsid w:val="1BA11257"/>
    <w:rsid w:val="1BA6336D"/>
    <w:rsid w:val="1BC03F17"/>
    <w:rsid w:val="1BD17F27"/>
    <w:rsid w:val="1BD72C73"/>
    <w:rsid w:val="1BE1750D"/>
    <w:rsid w:val="1C215235"/>
    <w:rsid w:val="1C6E7533"/>
    <w:rsid w:val="1C8E6B3D"/>
    <w:rsid w:val="1CAA6093"/>
    <w:rsid w:val="1CC03ABA"/>
    <w:rsid w:val="1CDF0AEB"/>
    <w:rsid w:val="1CED5883"/>
    <w:rsid w:val="1D0C6137"/>
    <w:rsid w:val="1D1F3AD3"/>
    <w:rsid w:val="1D266CE1"/>
    <w:rsid w:val="1D2D6A33"/>
    <w:rsid w:val="1D3963AF"/>
    <w:rsid w:val="1D73135F"/>
    <w:rsid w:val="1D804DF1"/>
    <w:rsid w:val="1D954D97"/>
    <w:rsid w:val="1D9D26E5"/>
    <w:rsid w:val="1DDB4B14"/>
    <w:rsid w:val="1E1F517A"/>
    <w:rsid w:val="1E225C80"/>
    <w:rsid w:val="1E2A7627"/>
    <w:rsid w:val="1E520FD0"/>
    <w:rsid w:val="1E714A66"/>
    <w:rsid w:val="1E766568"/>
    <w:rsid w:val="1E913D35"/>
    <w:rsid w:val="1E981141"/>
    <w:rsid w:val="1EA72655"/>
    <w:rsid w:val="1EC01001"/>
    <w:rsid w:val="1EC31F86"/>
    <w:rsid w:val="1F260B8D"/>
    <w:rsid w:val="1F392F02"/>
    <w:rsid w:val="1F45125A"/>
    <w:rsid w:val="1F7D3F22"/>
    <w:rsid w:val="1F854242"/>
    <w:rsid w:val="1F874D4E"/>
    <w:rsid w:val="1FD73412"/>
    <w:rsid w:val="1FE868A9"/>
    <w:rsid w:val="201673B4"/>
    <w:rsid w:val="202E11D8"/>
    <w:rsid w:val="20E96EDC"/>
    <w:rsid w:val="20FD05AB"/>
    <w:rsid w:val="21066CBD"/>
    <w:rsid w:val="2107679C"/>
    <w:rsid w:val="2111724C"/>
    <w:rsid w:val="2116253B"/>
    <w:rsid w:val="211E26D6"/>
    <w:rsid w:val="21283D08"/>
    <w:rsid w:val="212E1977"/>
    <w:rsid w:val="214B19AF"/>
    <w:rsid w:val="21AD1289"/>
    <w:rsid w:val="21C94302"/>
    <w:rsid w:val="21EB0234"/>
    <w:rsid w:val="21EF6C3A"/>
    <w:rsid w:val="2216237D"/>
    <w:rsid w:val="226136F6"/>
    <w:rsid w:val="228101C4"/>
    <w:rsid w:val="228161A9"/>
    <w:rsid w:val="23102595"/>
    <w:rsid w:val="233649D3"/>
    <w:rsid w:val="234647A0"/>
    <w:rsid w:val="23693F28"/>
    <w:rsid w:val="236E11DC"/>
    <w:rsid w:val="237A63C1"/>
    <w:rsid w:val="23810DBF"/>
    <w:rsid w:val="238115CF"/>
    <w:rsid w:val="239372EB"/>
    <w:rsid w:val="239F5785"/>
    <w:rsid w:val="23BD012F"/>
    <w:rsid w:val="23BF6EB5"/>
    <w:rsid w:val="23F92512"/>
    <w:rsid w:val="243F2C87"/>
    <w:rsid w:val="24472ACE"/>
    <w:rsid w:val="244A7DE5"/>
    <w:rsid w:val="24844675"/>
    <w:rsid w:val="248F0CA5"/>
    <w:rsid w:val="248F3D0B"/>
    <w:rsid w:val="24CA4DE9"/>
    <w:rsid w:val="24CF4AF4"/>
    <w:rsid w:val="2500240E"/>
    <w:rsid w:val="253E4C2C"/>
    <w:rsid w:val="256D7E76"/>
    <w:rsid w:val="25B440B3"/>
    <w:rsid w:val="25C40AFC"/>
    <w:rsid w:val="25C61809"/>
    <w:rsid w:val="25CC7E8F"/>
    <w:rsid w:val="25F3318F"/>
    <w:rsid w:val="25FF4432"/>
    <w:rsid w:val="264A3FE1"/>
    <w:rsid w:val="26600703"/>
    <w:rsid w:val="26916953"/>
    <w:rsid w:val="26B5384A"/>
    <w:rsid w:val="26D20A42"/>
    <w:rsid w:val="26DB004C"/>
    <w:rsid w:val="26E92BE5"/>
    <w:rsid w:val="2710343B"/>
    <w:rsid w:val="272F04D1"/>
    <w:rsid w:val="27406B1D"/>
    <w:rsid w:val="278E13C2"/>
    <w:rsid w:val="27A6171B"/>
    <w:rsid w:val="27B222AE"/>
    <w:rsid w:val="280E7144"/>
    <w:rsid w:val="28231668"/>
    <w:rsid w:val="28392256"/>
    <w:rsid w:val="28746684"/>
    <w:rsid w:val="288C4E73"/>
    <w:rsid w:val="28E641A8"/>
    <w:rsid w:val="29013255"/>
    <w:rsid w:val="295334CD"/>
    <w:rsid w:val="29940782"/>
    <w:rsid w:val="29D97ADD"/>
    <w:rsid w:val="29E05594"/>
    <w:rsid w:val="29E33FFD"/>
    <w:rsid w:val="2A12139B"/>
    <w:rsid w:val="2A700EAD"/>
    <w:rsid w:val="2A8F6FDA"/>
    <w:rsid w:val="2AA1365A"/>
    <w:rsid w:val="2AA837C2"/>
    <w:rsid w:val="2AAB4774"/>
    <w:rsid w:val="2AD021CB"/>
    <w:rsid w:val="2AFE4C0F"/>
    <w:rsid w:val="2B226752"/>
    <w:rsid w:val="2B23410F"/>
    <w:rsid w:val="2B494413"/>
    <w:rsid w:val="2B8354F2"/>
    <w:rsid w:val="2B8C029D"/>
    <w:rsid w:val="2BA267D3"/>
    <w:rsid w:val="2BA35DA7"/>
    <w:rsid w:val="2BA57D3C"/>
    <w:rsid w:val="2BD51A79"/>
    <w:rsid w:val="2C347894"/>
    <w:rsid w:val="2C9D5C3F"/>
    <w:rsid w:val="2CB1791C"/>
    <w:rsid w:val="2CD53B9A"/>
    <w:rsid w:val="2D0C3CF4"/>
    <w:rsid w:val="2D3D22C5"/>
    <w:rsid w:val="2D4609D6"/>
    <w:rsid w:val="2DC33823"/>
    <w:rsid w:val="2DD15014"/>
    <w:rsid w:val="2DDD275B"/>
    <w:rsid w:val="2E394DF6"/>
    <w:rsid w:val="2E5D10C4"/>
    <w:rsid w:val="2E6E3D4C"/>
    <w:rsid w:val="2E7B2FD1"/>
    <w:rsid w:val="2E8325DC"/>
    <w:rsid w:val="2E9460F9"/>
    <w:rsid w:val="2EA74E74"/>
    <w:rsid w:val="2EC22ECE"/>
    <w:rsid w:val="2EFA0894"/>
    <w:rsid w:val="2F5C0536"/>
    <w:rsid w:val="2F806FFC"/>
    <w:rsid w:val="2FA975D3"/>
    <w:rsid w:val="2FD25781"/>
    <w:rsid w:val="2FEE1F30"/>
    <w:rsid w:val="3011436C"/>
    <w:rsid w:val="307A0518"/>
    <w:rsid w:val="30960D42"/>
    <w:rsid w:val="30A30058"/>
    <w:rsid w:val="30A56DDE"/>
    <w:rsid w:val="30EC3CCF"/>
    <w:rsid w:val="31300F41"/>
    <w:rsid w:val="31422A46"/>
    <w:rsid w:val="314964D6"/>
    <w:rsid w:val="315A7B86"/>
    <w:rsid w:val="31650116"/>
    <w:rsid w:val="319C6071"/>
    <w:rsid w:val="31FC47EA"/>
    <w:rsid w:val="321E0BC9"/>
    <w:rsid w:val="322C7EDF"/>
    <w:rsid w:val="32483F8C"/>
    <w:rsid w:val="326C65E1"/>
    <w:rsid w:val="326F76CF"/>
    <w:rsid w:val="328C4B48"/>
    <w:rsid w:val="32907C03"/>
    <w:rsid w:val="32C062B9"/>
    <w:rsid w:val="32D401C8"/>
    <w:rsid w:val="32DB72BE"/>
    <w:rsid w:val="330F26D0"/>
    <w:rsid w:val="33637EC3"/>
    <w:rsid w:val="336765E2"/>
    <w:rsid w:val="338C0DA0"/>
    <w:rsid w:val="33C137F8"/>
    <w:rsid w:val="33EB6BBB"/>
    <w:rsid w:val="340B78F6"/>
    <w:rsid w:val="340C6CC6"/>
    <w:rsid w:val="342E63AB"/>
    <w:rsid w:val="345A60C4"/>
    <w:rsid w:val="345D260B"/>
    <w:rsid w:val="3460797A"/>
    <w:rsid w:val="34BF2248"/>
    <w:rsid w:val="34C1119D"/>
    <w:rsid w:val="34E73EBF"/>
    <w:rsid w:val="355E6A9D"/>
    <w:rsid w:val="358E72A8"/>
    <w:rsid w:val="35A266DF"/>
    <w:rsid w:val="35A47211"/>
    <w:rsid w:val="35BC48B8"/>
    <w:rsid w:val="35C8614C"/>
    <w:rsid w:val="35E13608"/>
    <w:rsid w:val="35FE728D"/>
    <w:rsid w:val="362178A5"/>
    <w:rsid w:val="362C03EF"/>
    <w:rsid w:val="36414FD9"/>
    <w:rsid w:val="365302AE"/>
    <w:rsid w:val="365C69BF"/>
    <w:rsid w:val="367E6B74"/>
    <w:rsid w:val="36B77FD3"/>
    <w:rsid w:val="36D65004"/>
    <w:rsid w:val="371428EB"/>
    <w:rsid w:val="372819FF"/>
    <w:rsid w:val="37440EBB"/>
    <w:rsid w:val="377A5B12"/>
    <w:rsid w:val="378B575B"/>
    <w:rsid w:val="37BD7E71"/>
    <w:rsid w:val="37D7646D"/>
    <w:rsid w:val="37F03B68"/>
    <w:rsid w:val="37F142D2"/>
    <w:rsid w:val="38027B2C"/>
    <w:rsid w:val="384E36BB"/>
    <w:rsid w:val="38C83236"/>
    <w:rsid w:val="38D65DCF"/>
    <w:rsid w:val="38E20E0E"/>
    <w:rsid w:val="391626C5"/>
    <w:rsid w:val="3935166B"/>
    <w:rsid w:val="39537EB0"/>
    <w:rsid w:val="39646964"/>
    <w:rsid w:val="39755920"/>
    <w:rsid w:val="39810466"/>
    <w:rsid w:val="39923F83"/>
    <w:rsid w:val="39A13F14"/>
    <w:rsid w:val="39AA6416"/>
    <w:rsid w:val="39B70940"/>
    <w:rsid w:val="39C421D4"/>
    <w:rsid w:val="39E42709"/>
    <w:rsid w:val="3A1A7360"/>
    <w:rsid w:val="3A2A28A2"/>
    <w:rsid w:val="3A415021"/>
    <w:rsid w:val="3A797A03"/>
    <w:rsid w:val="3A822F3D"/>
    <w:rsid w:val="3A867D14"/>
    <w:rsid w:val="3A8E189D"/>
    <w:rsid w:val="3AAB2B23"/>
    <w:rsid w:val="3ACE3DD6"/>
    <w:rsid w:val="3AEF66A6"/>
    <w:rsid w:val="3B044D5F"/>
    <w:rsid w:val="3B292DA0"/>
    <w:rsid w:val="3B3E74C2"/>
    <w:rsid w:val="3B4D5E09"/>
    <w:rsid w:val="3B8F5FC8"/>
    <w:rsid w:val="3C022A83"/>
    <w:rsid w:val="3C08498D"/>
    <w:rsid w:val="3C1220B2"/>
    <w:rsid w:val="3C371BD0"/>
    <w:rsid w:val="3C5F759A"/>
    <w:rsid w:val="3C670229"/>
    <w:rsid w:val="3C7265BA"/>
    <w:rsid w:val="3CD15B81"/>
    <w:rsid w:val="3CE01815"/>
    <w:rsid w:val="3CF555AF"/>
    <w:rsid w:val="3D04283E"/>
    <w:rsid w:val="3D0A7A32"/>
    <w:rsid w:val="3D130342"/>
    <w:rsid w:val="3D5C78D4"/>
    <w:rsid w:val="3D6A54CD"/>
    <w:rsid w:val="3D7106DB"/>
    <w:rsid w:val="3D7A0FEB"/>
    <w:rsid w:val="3DD96E06"/>
    <w:rsid w:val="3E025A4C"/>
    <w:rsid w:val="3E0953D7"/>
    <w:rsid w:val="3E6C74C3"/>
    <w:rsid w:val="3E6D50FB"/>
    <w:rsid w:val="3E713B01"/>
    <w:rsid w:val="3E9B4946"/>
    <w:rsid w:val="3EA26451"/>
    <w:rsid w:val="3EC84D62"/>
    <w:rsid w:val="3F250BDB"/>
    <w:rsid w:val="3FC6532D"/>
    <w:rsid w:val="3FCF3A3E"/>
    <w:rsid w:val="3FD768CC"/>
    <w:rsid w:val="3FFF72A6"/>
    <w:rsid w:val="401D502A"/>
    <w:rsid w:val="401F6C03"/>
    <w:rsid w:val="402C3DD7"/>
    <w:rsid w:val="40934A80"/>
    <w:rsid w:val="40B03CFF"/>
    <w:rsid w:val="40DE3BFB"/>
    <w:rsid w:val="40EC0992"/>
    <w:rsid w:val="410924C1"/>
    <w:rsid w:val="41371D0B"/>
    <w:rsid w:val="4137558E"/>
    <w:rsid w:val="413C1A16"/>
    <w:rsid w:val="41666FD7"/>
    <w:rsid w:val="41A75102"/>
    <w:rsid w:val="41E55A5E"/>
    <w:rsid w:val="41FB0B50"/>
    <w:rsid w:val="420610DF"/>
    <w:rsid w:val="429A3B51"/>
    <w:rsid w:val="42BB570A"/>
    <w:rsid w:val="42E1381E"/>
    <w:rsid w:val="42E874D3"/>
    <w:rsid w:val="42F06ADE"/>
    <w:rsid w:val="43071F86"/>
    <w:rsid w:val="433575D3"/>
    <w:rsid w:val="437A6A42"/>
    <w:rsid w:val="437B44C4"/>
    <w:rsid w:val="43857659"/>
    <w:rsid w:val="439C027C"/>
    <w:rsid w:val="439D5CFD"/>
    <w:rsid w:val="43AD1976"/>
    <w:rsid w:val="43DB3041"/>
    <w:rsid w:val="43F63E0D"/>
    <w:rsid w:val="43FB717C"/>
    <w:rsid w:val="44763847"/>
    <w:rsid w:val="447E086E"/>
    <w:rsid w:val="44DC0C08"/>
    <w:rsid w:val="44EB68E3"/>
    <w:rsid w:val="451E447A"/>
    <w:rsid w:val="4522137C"/>
    <w:rsid w:val="45345B76"/>
    <w:rsid w:val="45657767"/>
    <w:rsid w:val="456747A2"/>
    <w:rsid w:val="46390B44"/>
    <w:rsid w:val="46446ED5"/>
    <w:rsid w:val="46FF2BC0"/>
    <w:rsid w:val="470362D1"/>
    <w:rsid w:val="471111CC"/>
    <w:rsid w:val="471932FE"/>
    <w:rsid w:val="47251A46"/>
    <w:rsid w:val="47307808"/>
    <w:rsid w:val="47372FE6"/>
    <w:rsid w:val="47633AAA"/>
    <w:rsid w:val="478046DF"/>
    <w:rsid w:val="47831DE0"/>
    <w:rsid w:val="478F3674"/>
    <w:rsid w:val="479123FB"/>
    <w:rsid w:val="47AB2CFA"/>
    <w:rsid w:val="47B40657"/>
    <w:rsid w:val="47BA1F3A"/>
    <w:rsid w:val="480A0DBF"/>
    <w:rsid w:val="48505BED"/>
    <w:rsid w:val="485B5A04"/>
    <w:rsid w:val="48667E54"/>
    <w:rsid w:val="486F747C"/>
    <w:rsid w:val="48733F90"/>
    <w:rsid w:val="489003DA"/>
    <w:rsid w:val="48955120"/>
    <w:rsid w:val="48965ED0"/>
    <w:rsid w:val="48A95C04"/>
    <w:rsid w:val="48B37F53"/>
    <w:rsid w:val="48B70EAB"/>
    <w:rsid w:val="48E00EFA"/>
    <w:rsid w:val="48ED35B0"/>
    <w:rsid w:val="48EE48B5"/>
    <w:rsid w:val="495D70FC"/>
    <w:rsid w:val="499435C9"/>
    <w:rsid w:val="49951AC7"/>
    <w:rsid w:val="49C07F1A"/>
    <w:rsid w:val="49EA5A52"/>
    <w:rsid w:val="4A6766A0"/>
    <w:rsid w:val="4AE66BEE"/>
    <w:rsid w:val="4AFC18AF"/>
    <w:rsid w:val="4B2047EA"/>
    <w:rsid w:val="4B316836"/>
    <w:rsid w:val="4B565FA9"/>
    <w:rsid w:val="4B631C31"/>
    <w:rsid w:val="4B722056"/>
    <w:rsid w:val="4B851076"/>
    <w:rsid w:val="4B8E1986"/>
    <w:rsid w:val="4BD40DF5"/>
    <w:rsid w:val="4BDF4C08"/>
    <w:rsid w:val="4BF4712C"/>
    <w:rsid w:val="4C023EC3"/>
    <w:rsid w:val="4C0A34CE"/>
    <w:rsid w:val="4C0E7CD6"/>
    <w:rsid w:val="4C413881"/>
    <w:rsid w:val="4C4F6AC2"/>
    <w:rsid w:val="4C6F6A75"/>
    <w:rsid w:val="4C7042D7"/>
    <w:rsid w:val="4C8A18A8"/>
    <w:rsid w:val="4CA54934"/>
    <w:rsid w:val="4CB46C03"/>
    <w:rsid w:val="4CD82C22"/>
    <w:rsid w:val="4D06246C"/>
    <w:rsid w:val="4D4F3B65"/>
    <w:rsid w:val="4D627302"/>
    <w:rsid w:val="4D6E11CA"/>
    <w:rsid w:val="4D7B5CAE"/>
    <w:rsid w:val="4D861CF6"/>
    <w:rsid w:val="4D9642D9"/>
    <w:rsid w:val="4E264AC2"/>
    <w:rsid w:val="4E4C2783"/>
    <w:rsid w:val="4E5C54C6"/>
    <w:rsid w:val="4E877E2F"/>
    <w:rsid w:val="4E9E02B0"/>
    <w:rsid w:val="4EBD5AC5"/>
    <w:rsid w:val="4EC15FC5"/>
    <w:rsid w:val="4ED02D5C"/>
    <w:rsid w:val="4F637D4D"/>
    <w:rsid w:val="4F6A76D8"/>
    <w:rsid w:val="4F7351AE"/>
    <w:rsid w:val="4F7E6378"/>
    <w:rsid w:val="4FA47125"/>
    <w:rsid w:val="4FF57980"/>
    <w:rsid w:val="4FFD46C8"/>
    <w:rsid w:val="501527AD"/>
    <w:rsid w:val="50234908"/>
    <w:rsid w:val="5045033F"/>
    <w:rsid w:val="504C1986"/>
    <w:rsid w:val="50633173"/>
    <w:rsid w:val="509A584B"/>
    <w:rsid w:val="50DD17B8"/>
    <w:rsid w:val="514B7BED"/>
    <w:rsid w:val="51A0432A"/>
    <w:rsid w:val="51C51AB5"/>
    <w:rsid w:val="527140E5"/>
    <w:rsid w:val="5292508F"/>
    <w:rsid w:val="52A96B6F"/>
    <w:rsid w:val="52F60736"/>
    <w:rsid w:val="52F83A10"/>
    <w:rsid w:val="5353241E"/>
    <w:rsid w:val="535556C4"/>
    <w:rsid w:val="53DC24A5"/>
    <w:rsid w:val="53ED01C1"/>
    <w:rsid w:val="54190C85"/>
    <w:rsid w:val="54200610"/>
    <w:rsid w:val="5435659E"/>
    <w:rsid w:val="544F249F"/>
    <w:rsid w:val="545B29F3"/>
    <w:rsid w:val="545E41D8"/>
    <w:rsid w:val="54807967"/>
    <w:rsid w:val="54BF4C96"/>
    <w:rsid w:val="54C74155"/>
    <w:rsid w:val="54CD4A28"/>
    <w:rsid w:val="54EA6DDF"/>
    <w:rsid w:val="550764A4"/>
    <w:rsid w:val="551926E0"/>
    <w:rsid w:val="551F76C9"/>
    <w:rsid w:val="55201B57"/>
    <w:rsid w:val="55804D54"/>
    <w:rsid w:val="55820257"/>
    <w:rsid w:val="55BD1336"/>
    <w:rsid w:val="55C23E61"/>
    <w:rsid w:val="55C67DA3"/>
    <w:rsid w:val="55C909CB"/>
    <w:rsid w:val="55FC7F21"/>
    <w:rsid w:val="561279B9"/>
    <w:rsid w:val="563A463E"/>
    <w:rsid w:val="56474B1D"/>
    <w:rsid w:val="56515F3B"/>
    <w:rsid w:val="565977BE"/>
    <w:rsid w:val="56692AD3"/>
    <w:rsid w:val="567D5EF0"/>
    <w:rsid w:val="568A5206"/>
    <w:rsid w:val="569639B2"/>
    <w:rsid w:val="56B62BD2"/>
    <w:rsid w:val="56F426B7"/>
    <w:rsid w:val="572B71CA"/>
    <w:rsid w:val="5780229B"/>
    <w:rsid w:val="57925A39"/>
    <w:rsid w:val="57C00B06"/>
    <w:rsid w:val="57C54F8E"/>
    <w:rsid w:val="57D342A4"/>
    <w:rsid w:val="57F347D8"/>
    <w:rsid w:val="58472064"/>
    <w:rsid w:val="5849726D"/>
    <w:rsid w:val="58506A2C"/>
    <w:rsid w:val="586D44A2"/>
    <w:rsid w:val="587D0EB9"/>
    <w:rsid w:val="58951D01"/>
    <w:rsid w:val="58AD528C"/>
    <w:rsid w:val="58AE4F0C"/>
    <w:rsid w:val="58B50202"/>
    <w:rsid w:val="58C561C6"/>
    <w:rsid w:val="58CF6ABA"/>
    <w:rsid w:val="58E30CBE"/>
    <w:rsid w:val="58FB4E97"/>
    <w:rsid w:val="59342BE6"/>
    <w:rsid w:val="59564420"/>
    <w:rsid w:val="59A3044D"/>
    <w:rsid w:val="59A92BA5"/>
    <w:rsid w:val="59B36D38"/>
    <w:rsid w:val="59CD78E2"/>
    <w:rsid w:val="59D7103B"/>
    <w:rsid w:val="59F43024"/>
    <w:rsid w:val="5A2A7C7B"/>
    <w:rsid w:val="5A3B5997"/>
    <w:rsid w:val="5A4B3A33"/>
    <w:rsid w:val="5A746DF6"/>
    <w:rsid w:val="5A9801EF"/>
    <w:rsid w:val="5B1C5397"/>
    <w:rsid w:val="5B7F05AD"/>
    <w:rsid w:val="5B8A527C"/>
    <w:rsid w:val="5BE2700B"/>
    <w:rsid w:val="5C56150A"/>
    <w:rsid w:val="5C80234E"/>
    <w:rsid w:val="5CA54B0C"/>
    <w:rsid w:val="5CF3268D"/>
    <w:rsid w:val="5D1F2257"/>
    <w:rsid w:val="5D2466DF"/>
    <w:rsid w:val="5D323938"/>
    <w:rsid w:val="5D3543FB"/>
    <w:rsid w:val="5D3D1807"/>
    <w:rsid w:val="5D54142D"/>
    <w:rsid w:val="5D587E33"/>
    <w:rsid w:val="5D826A79"/>
    <w:rsid w:val="5DB81151"/>
    <w:rsid w:val="5DF90F71"/>
    <w:rsid w:val="5E0C65C1"/>
    <w:rsid w:val="5E1A4FFD"/>
    <w:rsid w:val="5E261785"/>
    <w:rsid w:val="5E2C368E"/>
    <w:rsid w:val="5E515E4C"/>
    <w:rsid w:val="5E91296F"/>
    <w:rsid w:val="5EB6477F"/>
    <w:rsid w:val="5ED50624"/>
    <w:rsid w:val="5F130109"/>
    <w:rsid w:val="5F274BAB"/>
    <w:rsid w:val="5F3209BE"/>
    <w:rsid w:val="5F345D67"/>
    <w:rsid w:val="5F597925"/>
    <w:rsid w:val="5F66297C"/>
    <w:rsid w:val="5F713D25"/>
    <w:rsid w:val="5FA650F9"/>
    <w:rsid w:val="5FB54A36"/>
    <w:rsid w:val="5FCC5339"/>
    <w:rsid w:val="5FE70807"/>
    <w:rsid w:val="603460E8"/>
    <w:rsid w:val="60410B7B"/>
    <w:rsid w:val="60443CFE"/>
    <w:rsid w:val="604877B5"/>
    <w:rsid w:val="60956CE9"/>
    <w:rsid w:val="60A9384E"/>
    <w:rsid w:val="60BA173E"/>
    <w:rsid w:val="60E53485"/>
    <w:rsid w:val="610417D1"/>
    <w:rsid w:val="61054A27"/>
    <w:rsid w:val="61107F4E"/>
    <w:rsid w:val="61130ED3"/>
    <w:rsid w:val="611D2366"/>
    <w:rsid w:val="6135490B"/>
    <w:rsid w:val="614416A2"/>
    <w:rsid w:val="6160574F"/>
    <w:rsid w:val="61641C99"/>
    <w:rsid w:val="61657658"/>
    <w:rsid w:val="61823BFA"/>
    <w:rsid w:val="61857F0D"/>
    <w:rsid w:val="618B5397"/>
    <w:rsid w:val="61B73BDF"/>
    <w:rsid w:val="620671E2"/>
    <w:rsid w:val="6251635C"/>
    <w:rsid w:val="627666FF"/>
    <w:rsid w:val="62803628"/>
    <w:rsid w:val="62885958"/>
    <w:rsid w:val="62AC7970"/>
    <w:rsid w:val="62B95B6A"/>
    <w:rsid w:val="62C04412"/>
    <w:rsid w:val="63320ECD"/>
    <w:rsid w:val="636C452A"/>
    <w:rsid w:val="63BA3813"/>
    <w:rsid w:val="649C269E"/>
    <w:rsid w:val="64C30063"/>
    <w:rsid w:val="64C847E7"/>
    <w:rsid w:val="64CE2EAA"/>
    <w:rsid w:val="654308AD"/>
    <w:rsid w:val="65670E6D"/>
    <w:rsid w:val="65714F72"/>
    <w:rsid w:val="65923EB0"/>
    <w:rsid w:val="659A4B3F"/>
    <w:rsid w:val="65A4764D"/>
    <w:rsid w:val="65A51022"/>
    <w:rsid w:val="65D40E0C"/>
    <w:rsid w:val="662E75B1"/>
    <w:rsid w:val="66342C2E"/>
    <w:rsid w:val="6639016F"/>
    <w:rsid w:val="663E784C"/>
    <w:rsid w:val="664B10E0"/>
    <w:rsid w:val="664C6B61"/>
    <w:rsid w:val="66531D6F"/>
    <w:rsid w:val="667A63AC"/>
    <w:rsid w:val="66CF713B"/>
    <w:rsid w:val="66EB728A"/>
    <w:rsid w:val="676C02BE"/>
    <w:rsid w:val="67984605"/>
    <w:rsid w:val="67C3028D"/>
    <w:rsid w:val="67CE125C"/>
    <w:rsid w:val="67DE35E9"/>
    <w:rsid w:val="681E22E0"/>
    <w:rsid w:val="68480F25"/>
    <w:rsid w:val="684F6332"/>
    <w:rsid w:val="685867EC"/>
    <w:rsid w:val="68696EDC"/>
    <w:rsid w:val="6892481D"/>
    <w:rsid w:val="68C3086F"/>
    <w:rsid w:val="68C504EF"/>
    <w:rsid w:val="691D2203"/>
    <w:rsid w:val="692D388F"/>
    <w:rsid w:val="69B013F1"/>
    <w:rsid w:val="69DE22C1"/>
    <w:rsid w:val="69DF48FD"/>
    <w:rsid w:val="69EE438F"/>
    <w:rsid w:val="69FA2E95"/>
    <w:rsid w:val="6A22146E"/>
    <w:rsid w:val="6A3B6DD7"/>
    <w:rsid w:val="6A3D709E"/>
    <w:rsid w:val="6AAE6EDD"/>
    <w:rsid w:val="6AC634A7"/>
    <w:rsid w:val="6B0777A4"/>
    <w:rsid w:val="6B4742B3"/>
    <w:rsid w:val="6B500E9D"/>
    <w:rsid w:val="6B535435"/>
    <w:rsid w:val="6B9B01DE"/>
    <w:rsid w:val="6BAC183B"/>
    <w:rsid w:val="6BB875B1"/>
    <w:rsid w:val="6BF95E33"/>
    <w:rsid w:val="6C0341C4"/>
    <w:rsid w:val="6C4B45B8"/>
    <w:rsid w:val="6C4F6AEA"/>
    <w:rsid w:val="6D4B1F5D"/>
    <w:rsid w:val="6D800B1C"/>
    <w:rsid w:val="6D8A7447"/>
    <w:rsid w:val="6D955854"/>
    <w:rsid w:val="6DC46415"/>
    <w:rsid w:val="6DC72BAB"/>
    <w:rsid w:val="6DCC7033"/>
    <w:rsid w:val="6E0B0D16"/>
    <w:rsid w:val="6E32225B"/>
    <w:rsid w:val="6E4A50E8"/>
    <w:rsid w:val="6E501E3C"/>
    <w:rsid w:val="6E5A7B9C"/>
    <w:rsid w:val="6E7716CA"/>
    <w:rsid w:val="6E8E12EF"/>
    <w:rsid w:val="6EE87E30"/>
    <w:rsid w:val="6F6645DB"/>
    <w:rsid w:val="6F7D7C7C"/>
    <w:rsid w:val="6FA31026"/>
    <w:rsid w:val="6FAA39CB"/>
    <w:rsid w:val="6FC438EB"/>
    <w:rsid w:val="6FDE1F16"/>
    <w:rsid w:val="6FF034B5"/>
    <w:rsid w:val="701B1D7B"/>
    <w:rsid w:val="702A2F9C"/>
    <w:rsid w:val="704A4E48"/>
    <w:rsid w:val="707B5618"/>
    <w:rsid w:val="7088492D"/>
    <w:rsid w:val="708C3CA2"/>
    <w:rsid w:val="70B26373"/>
    <w:rsid w:val="70B90980"/>
    <w:rsid w:val="70EC4652"/>
    <w:rsid w:val="71511DF8"/>
    <w:rsid w:val="719360E4"/>
    <w:rsid w:val="71C80B3D"/>
    <w:rsid w:val="71CC4D10"/>
    <w:rsid w:val="71CC7543"/>
    <w:rsid w:val="71D43752"/>
    <w:rsid w:val="720F7FD6"/>
    <w:rsid w:val="723A7B77"/>
    <w:rsid w:val="72465B88"/>
    <w:rsid w:val="72506497"/>
    <w:rsid w:val="728C4F40"/>
    <w:rsid w:val="7293150A"/>
    <w:rsid w:val="729B22F4"/>
    <w:rsid w:val="72AA5812"/>
    <w:rsid w:val="72B10ABA"/>
    <w:rsid w:val="72C55778"/>
    <w:rsid w:val="72E90C14"/>
    <w:rsid w:val="73171838"/>
    <w:rsid w:val="734F3E89"/>
    <w:rsid w:val="735A7977"/>
    <w:rsid w:val="735E1128"/>
    <w:rsid w:val="73946B2F"/>
    <w:rsid w:val="739545B0"/>
    <w:rsid w:val="73DD6243"/>
    <w:rsid w:val="73F00353"/>
    <w:rsid w:val="74262565"/>
    <w:rsid w:val="743D52CE"/>
    <w:rsid w:val="74930D71"/>
    <w:rsid w:val="749C4185"/>
    <w:rsid w:val="74B35591"/>
    <w:rsid w:val="74BF2D99"/>
    <w:rsid w:val="74FF5D81"/>
    <w:rsid w:val="753E5865"/>
    <w:rsid w:val="759873CC"/>
    <w:rsid w:val="759926FC"/>
    <w:rsid w:val="75AB2AFD"/>
    <w:rsid w:val="75B6202C"/>
    <w:rsid w:val="75DA2C18"/>
    <w:rsid w:val="75EE4A92"/>
    <w:rsid w:val="75FB611F"/>
    <w:rsid w:val="76012605"/>
    <w:rsid w:val="761130AB"/>
    <w:rsid w:val="761E2EDE"/>
    <w:rsid w:val="762C0D71"/>
    <w:rsid w:val="765D1540"/>
    <w:rsid w:val="765E373E"/>
    <w:rsid w:val="766B233D"/>
    <w:rsid w:val="766D5F57"/>
    <w:rsid w:val="76A258BD"/>
    <w:rsid w:val="76E3721B"/>
    <w:rsid w:val="76E92764"/>
    <w:rsid w:val="76FD5631"/>
    <w:rsid w:val="775319EF"/>
    <w:rsid w:val="775D6EE5"/>
    <w:rsid w:val="776D717F"/>
    <w:rsid w:val="77980A6E"/>
    <w:rsid w:val="77985822"/>
    <w:rsid w:val="77A023F5"/>
    <w:rsid w:val="77B57573"/>
    <w:rsid w:val="77D53A70"/>
    <w:rsid w:val="7836450F"/>
    <w:rsid w:val="78574B7E"/>
    <w:rsid w:val="787A38E7"/>
    <w:rsid w:val="789B6166"/>
    <w:rsid w:val="78A33979"/>
    <w:rsid w:val="790F1C77"/>
    <w:rsid w:val="793379E4"/>
    <w:rsid w:val="79830A68"/>
    <w:rsid w:val="798E1AF5"/>
    <w:rsid w:val="79953E26"/>
    <w:rsid w:val="7997550A"/>
    <w:rsid w:val="79A060E3"/>
    <w:rsid w:val="79B160B4"/>
    <w:rsid w:val="79B25E17"/>
    <w:rsid w:val="79C11BD2"/>
    <w:rsid w:val="79DF6DA1"/>
    <w:rsid w:val="79F42021"/>
    <w:rsid w:val="79FF1BF1"/>
    <w:rsid w:val="7A042073"/>
    <w:rsid w:val="7A382B2A"/>
    <w:rsid w:val="7A67303B"/>
    <w:rsid w:val="7A801345"/>
    <w:rsid w:val="7A9E78D8"/>
    <w:rsid w:val="7AAB1D04"/>
    <w:rsid w:val="7ABA4368"/>
    <w:rsid w:val="7ABC46D8"/>
    <w:rsid w:val="7B081EE9"/>
    <w:rsid w:val="7B257FFD"/>
    <w:rsid w:val="7B4D1359"/>
    <w:rsid w:val="7B7956A0"/>
    <w:rsid w:val="7B8C7B5C"/>
    <w:rsid w:val="7BA22FE1"/>
    <w:rsid w:val="7BF62A6B"/>
    <w:rsid w:val="7C1C072C"/>
    <w:rsid w:val="7C2B1DA5"/>
    <w:rsid w:val="7C364B59"/>
    <w:rsid w:val="7CA65570"/>
    <w:rsid w:val="7D016009"/>
    <w:rsid w:val="7D0C0C32"/>
    <w:rsid w:val="7D3127F3"/>
    <w:rsid w:val="7D72380F"/>
    <w:rsid w:val="7D813877"/>
    <w:rsid w:val="7D827029"/>
    <w:rsid w:val="7DA372AE"/>
    <w:rsid w:val="7DD554FF"/>
    <w:rsid w:val="7DD76804"/>
    <w:rsid w:val="7DEA1C21"/>
    <w:rsid w:val="7DF4317E"/>
    <w:rsid w:val="7E0C63D5"/>
    <w:rsid w:val="7E3620A1"/>
    <w:rsid w:val="7E3D1A2B"/>
    <w:rsid w:val="7E454518"/>
    <w:rsid w:val="7E620B28"/>
    <w:rsid w:val="7E64308B"/>
    <w:rsid w:val="7E9F624D"/>
    <w:rsid w:val="7EB16167"/>
    <w:rsid w:val="7EB23BE8"/>
    <w:rsid w:val="7EBD57FD"/>
    <w:rsid w:val="7EC16401"/>
    <w:rsid w:val="7EC97091"/>
    <w:rsid w:val="7EEE529E"/>
    <w:rsid w:val="7EFB52E1"/>
    <w:rsid w:val="7F2464A6"/>
    <w:rsid w:val="7F2C0419"/>
    <w:rsid w:val="7F2D7288"/>
    <w:rsid w:val="7F58347D"/>
    <w:rsid w:val="7F871AF4"/>
    <w:rsid w:val="7FA7C635"/>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7"/>
    <w:qFormat/>
    <w:uiPriority w:val="99"/>
    <w:pPr>
      <w:jc w:val="left"/>
    </w:pPr>
  </w:style>
  <w:style w:type="paragraph" w:styleId="20">
    <w:name w:val="Salutation"/>
    <w:basedOn w:val="1"/>
    <w:next w:val="1"/>
    <w:link w:val="485"/>
    <w:qFormat/>
    <w:uiPriority w:val="0"/>
    <w:rPr>
      <w:rFonts w:ascii="仿宋_GB2312" w:eastAsia="仿宋_GB2312"/>
      <w:sz w:val="28"/>
      <w:szCs w:val="20"/>
    </w:rPr>
  </w:style>
  <w:style w:type="paragraph" w:styleId="21">
    <w:name w:val="Body Text 3"/>
    <w:basedOn w:val="1"/>
    <w:link w:val="584"/>
    <w:qFormat/>
    <w:uiPriority w:val="0"/>
    <w:pPr>
      <w:jc w:val="center"/>
    </w:pPr>
    <w:rPr>
      <w:szCs w:val="20"/>
    </w:rPr>
  </w:style>
  <w:style w:type="paragraph" w:styleId="22">
    <w:name w:val="Body Text"/>
    <w:basedOn w:val="1"/>
    <w:next w:val="1"/>
    <w:link w:val="515"/>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8"/>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2"/>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601"/>
    <w:qFormat/>
    <w:uiPriority w:val="0"/>
    <w:pPr>
      <w:ind w:left="100" w:leftChars="2500"/>
    </w:pPr>
    <w:rPr>
      <w:rFonts w:ascii="宋体"/>
      <w:sz w:val="24"/>
      <w:szCs w:val="21"/>
      <w:lang w:val="zh-CN"/>
    </w:rPr>
  </w:style>
  <w:style w:type="paragraph" w:styleId="35">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6">
    <w:name w:val="Balloon Text"/>
    <w:basedOn w:val="1"/>
    <w:link w:val="618"/>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6"/>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91"/>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548"/>
    <w:qFormat/>
    <w:uiPriority w:val="0"/>
    <w:pPr>
      <w:ind w:firstLine="420"/>
    </w:pPr>
    <w:rPr>
      <w:szCs w:val="20"/>
    </w:rPr>
  </w:style>
  <w:style w:type="paragraph" w:styleId="59">
    <w:name w:val="Body Text First Indent 2"/>
    <w:basedOn w:val="23"/>
    <w:link w:val="505"/>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Body Text First Indent 21"/>
    <w:basedOn w:val="72"/>
    <w:qFormat/>
    <w:uiPriority w:val="0"/>
    <w:pPr>
      <w:ind w:firstLine="420"/>
    </w:pPr>
    <w:rPr>
      <w:rFonts w:ascii="Times New Roman" w:hAnsi="Times New Roman" w:cs="宋体"/>
    </w:rPr>
  </w:style>
  <w:style w:type="paragraph" w:customStyle="1" w:styleId="72">
    <w:name w:val="Body Text Indent1"/>
    <w:basedOn w:val="1"/>
    <w:next w:val="1"/>
    <w:qFormat/>
    <w:uiPriority w:val="0"/>
    <w:pPr>
      <w:spacing w:after="120"/>
      <w:ind w:left="420" w:leftChars="200"/>
    </w:pPr>
    <w:rPr>
      <w:color w:val="000000"/>
      <w:szCs w:val="21"/>
    </w:rPr>
  </w:style>
  <w:style w:type="paragraph" w:customStyle="1" w:styleId="73">
    <w:name w:val="_Style 7"/>
    <w:basedOn w:val="1"/>
    <w:qFormat/>
    <w:uiPriority w:val="0"/>
    <w:pPr>
      <w:ind w:firstLine="420" w:firstLineChars="200"/>
    </w:pPr>
  </w:style>
  <w:style w:type="paragraph" w:customStyle="1" w:styleId="74">
    <w:name w:val="Default"/>
    <w:next w:val="1"/>
    <w:link w:val="6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312"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74"/>
    <w:next w:val="74"/>
    <w:qFormat/>
    <w:uiPriority w:val="0"/>
    <w:pPr>
      <w:spacing w:after="68"/>
    </w:pPr>
    <w:rPr>
      <w:rFonts w:ascii="FHLHE E+ Futura Bk" w:eastAsia="FHLHE E+ Futura Bk" w:cs="Times New Roman"/>
      <w:color w:val="auto"/>
    </w:rPr>
  </w:style>
  <w:style w:type="paragraph" w:customStyle="1" w:styleId="103">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04">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4"/>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qFormat/>
    <w:uiPriority w:val="0"/>
    <w:pPr>
      <w:tabs>
        <w:tab w:val="left" w:pos="2356"/>
      </w:tabs>
    </w:pPr>
  </w:style>
  <w:style w:type="paragraph" w:customStyle="1" w:styleId="174">
    <w:name w:val="样式 标题 4h4H4Fab-4T5Ref Heading 1rh1Heading sqlsect 1.2.3...."/>
    <w:basedOn w:val="5"/>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left" w:pos="1680"/>
        <w:tab w:val="clear" w:pos="1260"/>
      </w:tabs>
      <w:spacing w:before="0" w:beforeLines="0" w:after="0" w:afterLines="0"/>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5">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3">
    <w:name w:val="标题五"/>
    <w:basedOn w:val="1"/>
    <w:qFormat/>
    <w:uiPriority w:val="0"/>
    <w:pPr>
      <w:adjustRightInd/>
      <w:spacing w:before="156" w:beforeLines="50" w:line="360" w:lineRule="auto"/>
    </w:pPr>
    <w:rPr>
      <w:b/>
      <w:sz w:val="24"/>
    </w:rPr>
  </w:style>
  <w:style w:type="paragraph" w:customStyle="1" w:styleId="204">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5"/>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3"/>
    <w:qFormat/>
    <w:uiPriority w:val="0"/>
    <w:pPr>
      <w:snapToGrid w:val="0"/>
      <w:spacing w:line="360" w:lineRule="auto"/>
    </w:pPr>
    <w:rPr>
      <w:rFonts w:ascii="宋体"/>
      <w:b/>
      <w:sz w:val="24"/>
      <w:szCs w:val="20"/>
    </w:rPr>
  </w:style>
  <w:style w:type="paragraph" w:customStyle="1" w:styleId="233">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0">
    <w:name w:val="4"/>
    <w:basedOn w:val="1"/>
    <w:next w:val="35"/>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4"/>
    <w:next w:val="74"/>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styleId="29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6"/>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156" w:afterLines="50"/>
      <w:ind w:firstLine="200" w:firstLineChars="200"/>
    </w:pPr>
    <w:rPr>
      <w:kern w:val="0"/>
      <w:sz w:val="24"/>
      <w:szCs w:val="20"/>
    </w:rPr>
  </w:style>
  <w:style w:type="paragraph" w:customStyle="1" w:styleId="33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4"/>
    <w:qFormat/>
    <w:uiPriority w:val="0"/>
    <w:pPr>
      <w:numPr>
        <w:numId w:val="4"/>
      </w:numPr>
      <w:tabs>
        <w:tab w:val="left" w:pos="840"/>
        <w:tab w:val="left" w:pos="1680"/>
        <w:tab w:val="clear" w:pos="900"/>
      </w:tabs>
      <w:adjustRightInd/>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5"/>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qFormat/>
    <w:uiPriority w:val="0"/>
    <w:pPr>
      <w:snapToGrid w:val="0"/>
      <w:spacing w:line="360" w:lineRule="auto"/>
    </w:pPr>
  </w:style>
  <w:style w:type="paragraph" w:customStyle="1" w:styleId="37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qFormat/>
    <w:uiPriority w:val="0"/>
    <w:pPr>
      <w:numPr>
        <w:ilvl w:val="6"/>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6"/>
    <w:next w:val="1"/>
    <w:qFormat/>
    <w:uiPriority w:val="0"/>
    <w:pPr>
      <w:numPr>
        <w:numId w:val="5"/>
      </w:numPr>
      <w:tabs>
        <w:tab w:val="left" w:pos="480"/>
        <w:tab w:val="left" w:pos="1080"/>
        <w:tab w:val="clear" w:pos="1008"/>
      </w:tabs>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6"/>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qFormat/>
    <w:uiPriority w:val="0"/>
    <w:pPr>
      <w:numPr>
        <w:numId w:val="5"/>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字符"/>
    <w:link w:val="39"/>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8"/>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7"/>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2"/>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2"/>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字符"/>
    <w:link w:val="9"/>
    <w:qFormat/>
    <w:uiPriority w:val="0"/>
    <w:rPr>
      <w:rFonts w:ascii="Arial" w:hAnsi="Arial" w:eastAsia="黑体"/>
      <w:kern w:val="2"/>
      <w:sz w:val="24"/>
      <w:szCs w:val="24"/>
    </w:rPr>
  </w:style>
  <w:style w:type="character" w:customStyle="1" w:styleId="475">
    <w:name w:val="冯广丽 Char"/>
    <w:link w:val="238"/>
    <w:qFormat/>
    <w:uiPriority w:val="0"/>
    <w:rPr>
      <w:rFonts w:ascii="宋体" w:hAnsi="宋体"/>
      <w:kern w:val="2"/>
      <w:sz w:val="24"/>
      <w:szCs w:val="22"/>
    </w:rPr>
  </w:style>
  <w:style w:type="character" w:customStyle="1" w:styleId="476">
    <w:name w:val="脚注文本 字符"/>
    <w:link w:val="47"/>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3"/>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字符"/>
    <w:link w:val="8"/>
    <w:qFormat/>
    <w:uiPriority w:val="0"/>
    <w:rPr>
      <w:b/>
      <w:bCs/>
      <w:kern w:val="2"/>
      <w:sz w:val="24"/>
      <w:szCs w:val="24"/>
    </w:rPr>
  </w:style>
  <w:style w:type="character" w:customStyle="1" w:styleId="485">
    <w:name w:val="称呼 字符"/>
    <w:link w:val="20"/>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字符"/>
    <w:link w:val="44"/>
    <w:qFormat/>
    <w:uiPriority w:val="0"/>
    <w:rPr>
      <w:rFonts w:ascii="Arial" w:hAnsi="Arial" w:eastAsia="隶书"/>
      <w:b/>
      <w:bCs/>
      <w:kern w:val="28"/>
      <w:sz w:val="44"/>
      <w:szCs w:val="32"/>
      <w:lang w:val="en-US" w:eastAsia="zh-CN" w:bidi="ar-SA"/>
    </w:rPr>
  </w:style>
  <w:style w:type="character" w:customStyle="1" w:styleId="492">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6"/>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文本首行缩进 2 字符"/>
    <w:link w:val="59"/>
    <w:qFormat/>
    <w:uiPriority w:val="0"/>
    <w:rPr>
      <w:rFonts w:ascii="宋体" w:hAnsi="宋体"/>
      <w:kern w:val="2"/>
      <w:sz w:val="21"/>
      <w:szCs w:val="24"/>
    </w:rPr>
  </w:style>
  <w:style w:type="character" w:customStyle="1" w:styleId="506">
    <w:name w:val="正文文本缩进 2 字符"/>
    <w:link w:val="35"/>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7"/>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字符"/>
    <w:link w:val="10"/>
    <w:qFormat/>
    <w:uiPriority w:val="0"/>
    <w:rPr>
      <w:rFonts w:ascii="Arial" w:hAnsi="Arial" w:eastAsia="黑体"/>
      <w:kern w:val="2"/>
      <w:sz w:val="21"/>
      <w:szCs w:val="21"/>
    </w:rPr>
  </w:style>
  <w:style w:type="character" w:customStyle="1" w:styleId="523">
    <w:name w:val="md"/>
    <w:basedOn w:val="62"/>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2"/>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2"/>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字符"/>
    <w:link w:val="54"/>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58"/>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字符"/>
    <w:link w:val="2"/>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0"/>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字符"/>
    <w:link w:val="28"/>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字符"/>
    <w:link w:val="6"/>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2"/>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字符"/>
    <w:link w:val="21"/>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29"/>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字符"/>
    <w:link w:val="50"/>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2"/>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字符"/>
    <w:link w:val="34"/>
    <w:qFormat/>
    <w:uiPriority w:val="0"/>
    <w:rPr>
      <w:rFonts w:ascii="宋体"/>
      <w:kern w:val="2"/>
      <w:sz w:val="24"/>
      <w:szCs w:val="21"/>
      <w:lang w:val="zh-CN"/>
    </w:rPr>
  </w:style>
  <w:style w:type="character" w:customStyle="1" w:styleId="602">
    <w:name w:val="标题 4 字符"/>
    <w:link w:val="5"/>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字符"/>
    <w:link w:val="7"/>
    <w:qFormat/>
    <w:uiPriority w:val="0"/>
    <w:rPr>
      <w:rFonts w:ascii="Arial" w:hAnsi="Arial" w:eastAsia="黑体"/>
      <w:b/>
      <w:bCs/>
      <w:kern w:val="2"/>
      <w:sz w:val="24"/>
      <w:szCs w:val="24"/>
    </w:rPr>
  </w:style>
  <w:style w:type="character" w:customStyle="1" w:styleId="616">
    <w:name w:val="正文缩进 字符"/>
    <w:link w:val="15"/>
    <w:qFormat/>
    <w:uiPriority w:val="0"/>
    <w:rPr>
      <w:rFonts w:ascii="宋体" w:eastAsia="宋体"/>
      <w:snapToGrid w:val="0"/>
      <w:color w:val="000000"/>
      <w:kern w:val="28"/>
      <w:sz w:val="28"/>
      <w:lang w:val="en-US" w:eastAsia="zh-CN" w:bidi="ar-SA"/>
    </w:rPr>
  </w:style>
  <w:style w:type="character" w:customStyle="1" w:styleId="617">
    <w:name w:val="批注文字 字符"/>
    <w:link w:val="19"/>
    <w:qFormat/>
    <w:uiPriority w:val="99"/>
    <w:rPr>
      <w:kern w:val="2"/>
      <w:sz w:val="21"/>
      <w:szCs w:val="24"/>
    </w:rPr>
  </w:style>
  <w:style w:type="character" w:customStyle="1" w:styleId="618">
    <w:name w:val="批注框文本 字符"/>
    <w:link w:val="36"/>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624"/>
    <w:link w:val="625"/>
    <w:qFormat/>
    <w:uiPriority w:val="0"/>
    <w:pPr>
      <w:adjustRightInd/>
    </w:pPr>
    <w:rPr>
      <w:rFonts w:ascii="宋体" w:hAnsi="Courier New"/>
      <w:szCs w:val="21"/>
    </w:rPr>
  </w:style>
  <w:style w:type="paragraph" w:customStyle="1" w:styleId="6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纯文本 Char_0"/>
    <w:link w:val="623"/>
    <w:qFormat/>
    <w:uiPriority w:val="0"/>
    <w:rPr>
      <w:rFonts w:ascii="宋体" w:hAnsi="Courier New"/>
      <w:kern w:val="2"/>
      <w:sz w:val="21"/>
      <w:szCs w:val="21"/>
      <w:lang w:val="en-US" w:eastAsia="zh-CN"/>
    </w:rPr>
  </w:style>
  <w:style w:type="character" w:customStyle="1" w:styleId="626">
    <w:name w:val="纯文本 Char1"/>
    <w:link w:val="627"/>
    <w:qFormat/>
    <w:uiPriority w:val="0"/>
    <w:rPr>
      <w:rFonts w:ascii="宋体" w:hAnsi="Courier New"/>
    </w:rPr>
  </w:style>
  <w:style w:type="paragraph" w:customStyle="1" w:styleId="627">
    <w:name w:val="纯文本1"/>
    <w:basedOn w:val="1"/>
    <w:link w:val="626"/>
    <w:qFormat/>
    <w:uiPriority w:val="0"/>
    <w:pPr>
      <w:adjustRightInd/>
    </w:pPr>
    <w:rPr>
      <w:rFonts w:ascii="宋体" w:hAnsi="Courier New"/>
      <w:kern w:val="0"/>
      <w:sz w:val="20"/>
      <w:szCs w:val="20"/>
    </w:rPr>
  </w:style>
  <w:style w:type="paragraph" w:customStyle="1" w:styleId="628">
    <w:name w:val="Char Char Char Char Char Char Char2"/>
    <w:basedOn w:val="1"/>
    <w:qFormat/>
    <w:uiPriority w:val="0"/>
    <w:rPr>
      <w:rFonts w:ascii="仿宋_GB2312" w:eastAsia="仿宋_GB2312"/>
      <w:b/>
      <w:sz w:val="32"/>
      <w:szCs w:val="32"/>
    </w:rPr>
  </w:style>
  <w:style w:type="paragraph" w:customStyle="1" w:styleId="629">
    <w:name w:val="Char Char1 Char Char Char Char Char Char2"/>
    <w:basedOn w:val="1"/>
    <w:qFormat/>
    <w:uiPriority w:val="0"/>
    <w:rPr>
      <w:rFonts w:ascii="仿宋_GB2312" w:eastAsia="仿宋_GB2312"/>
      <w:b/>
      <w:sz w:val="32"/>
      <w:szCs w:val="20"/>
    </w:rPr>
  </w:style>
  <w:style w:type="paragraph" w:customStyle="1" w:styleId="6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4"/>
    <w:qFormat/>
    <w:uiPriority w:val="0"/>
    <w:rPr>
      <w:rFonts w:ascii="仿宋_GB2312" w:eastAsia="仿宋_GB2312" w:cs="仿宋_GB2312"/>
      <w:color w:val="000000"/>
      <w:sz w:val="24"/>
      <w:szCs w:val="24"/>
    </w:rPr>
  </w:style>
  <w:style w:type="paragraph" w:customStyle="1" w:styleId="6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qFormat/>
    <w:uiPriority w:val="0"/>
    <w:rPr>
      <w:rFonts w:ascii="Times New Roman" w:hAnsi="Times New Roman" w:eastAsia="宋体" w:cs="Times New Roman"/>
      <w:lang w:val="en-US" w:eastAsia="zh-CN" w:bidi="ar-SA"/>
    </w:rPr>
  </w:style>
  <w:style w:type="paragraph" w:customStyle="1" w:styleId="637">
    <w:name w:val="_Style 3"/>
    <w:basedOn w:val="1"/>
    <w:qFormat/>
    <w:uiPriority w:val="0"/>
    <w:pPr>
      <w:adjustRightInd/>
      <w:ind w:firstLine="420" w:firstLineChars="200"/>
    </w:pPr>
    <w:rPr>
      <w:rFonts w:eastAsia="仿宋_GB2312"/>
      <w:sz w:val="28"/>
    </w:rPr>
  </w:style>
  <w:style w:type="paragraph" w:customStyle="1" w:styleId="638">
    <w:name w:val="须知二级小标题"/>
    <w:basedOn w:val="1"/>
    <w:qFormat/>
    <w:uiPriority w:val="0"/>
    <w:pPr>
      <w:spacing w:line="500" w:lineRule="exact"/>
    </w:pPr>
    <w:rPr>
      <w:rFonts w:ascii="宋体"/>
      <w:b/>
      <w:sz w:val="24"/>
      <w:szCs w:val="20"/>
    </w:rPr>
  </w:style>
  <w:style w:type="paragraph" w:customStyle="1" w:styleId="6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3"/>
    <w:basedOn w:val="1"/>
    <w:next w:val="23"/>
    <w:qFormat/>
    <w:uiPriority w:val="0"/>
    <w:pPr>
      <w:spacing w:beforeLines="50"/>
      <w:ind w:firstLine="420" w:firstLineChars="200"/>
    </w:pPr>
    <w:rPr>
      <w:rFonts w:ascii="宋体" w:hAnsi="宋体"/>
      <w:spacing w:val="-6"/>
    </w:rPr>
  </w:style>
  <w:style w:type="paragraph" w:customStyle="1" w:styleId="641">
    <w:name w:val="正文空2字"/>
    <w:basedOn w:val="64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4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34352</Words>
  <Characters>36243</Characters>
  <Lines>391</Lines>
  <Paragraphs>110</Paragraphs>
  <TotalTime>51</TotalTime>
  <ScaleCrop>false</ScaleCrop>
  <LinksUpToDate>false</LinksUpToDate>
  <CharactersWithSpaces>38578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CQQ</cp:lastModifiedBy>
  <cp:lastPrinted>2024-11-29T02:54:00Z</cp:lastPrinted>
  <dcterms:modified xsi:type="dcterms:W3CDTF">2025-07-07T07:25:54Z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3F74898CC332495B8055453A66F2DD70_13</vt:lpwstr>
  </property>
  <property fmtid="{D5CDD505-2E9C-101B-9397-08002B2CF9AE}" pid="4" name="KSOTemplateDocerSaveRecord">
    <vt:lpwstr>eyJoZGlkIjoiMzUxZGExODllZDQ3OGVkY2Y1MjBhZDFlYmM0OTZjMDIiLCJ1c2VySWQiOiIxMDUwNTMwODU1In0=</vt:lpwstr>
  </property>
</Properties>
</file>