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eastAsia="宋体"/>
          <w:b/>
          <w:color w:val="auto"/>
          <w:sz w:val="48"/>
          <w:szCs w:val="52"/>
          <w:highlight w:val="none"/>
          <w:lang w:eastAsia="zh-CN"/>
        </w:rPr>
      </w:pPr>
      <w:r>
        <w:rPr>
          <w:rFonts w:hint="eastAsia" w:ascii="宋体" w:hAnsi="宋体"/>
          <w:b/>
          <w:color w:val="auto"/>
          <w:sz w:val="48"/>
          <w:szCs w:val="52"/>
          <w:highlight w:val="none"/>
          <w:lang w:eastAsia="zh-CN"/>
        </w:rPr>
        <w:t>慈溪市匡堰城镇单元控制性详细规划项目</w:t>
      </w:r>
    </w:p>
    <w:p>
      <w:pPr>
        <w:spacing w:after="120" w:line="900" w:lineRule="exact"/>
        <w:jc w:val="center"/>
        <w:rPr>
          <w:rFonts w:ascii="宋体" w:hAnsi="宋体"/>
          <w:b/>
          <w:color w:val="auto"/>
          <w:sz w:val="48"/>
          <w:szCs w:val="52"/>
          <w:highlight w:val="none"/>
        </w:rPr>
      </w:pPr>
      <w:r>
        <w:rPr>
          <w:rFonts w:hint="eastAsia" w:ascii="宋体" w:hAnsi="宋体"/>
          <w:b/>
          <w:color w:val="auto"/>
          <w:sz w:val="48"/>
          <w:szCs w:val="52"/>
          <w:highlight w:val="none"/>
        </w:rPr>
        <w:t>政府采购</w:t>
      </w:r>
    </w:p>
    <w:p>
      <w:pPr>
        <w:spacing w:after="120" w:line="400" w:lineRule="exact"/>
        <w:jc w:val="center"/>
        <w:rPr>
          <w:rFonts w:ascii="宋体" w:hAnsi="宋体"/>
          <w:b/>
          <w:color w:val="auto"/>
          <w:sz w:val="32"/>
          <w:szCs w:val="32"/>
          <w:highlight w:val="none"/>
        </w:rPr>
      </w:pPr>
    </w:p>
    <w:p>
      <w:pPr>
        <w:pStyle w:val="19"/>
        <w:rPr>
          <w:color w:val="auto"/>
          <w:highlight w:val="none"/>
        </w:rPr>
      </w:pP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公</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开</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招</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标</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文</w:t>
      </w:r>
    </w:p>
    <w:p>
      <w:pPr>
        <w:spacing w:after="120" w:line="800" w:lineRule="exact"/>
        <w:jc w:val="center"/>
        <w:rPr>
          <w:rFonts w:ascii="宋体" w:hAnsi="宋体"/>
          <w:b/>
          <w:color w:val="auto"/>
          <w:sz w:val="48"/>
          <w:szCs w:val="48"/>
          <w:highlight w:val="none"/>
        </w:rPr>
      </w:pPr>
      <w:r>
        <w:rPr>
          <w:rFonts w:hint="eastAsia" w:ascii="宋体" w:hAnsi="宋体"/>
          <w:b/>
          <w:color w:val="auto"/>
          <w:sz w:val="48"/>
          <w:szCs w:val="48"/>
          <w:highlight w:val="none"/>
        </w:rPr>
        <w:t>件</w:t>
      </w:r>
    </w:p>
    <w:p>
      <w:pPr>
        <w:rPr>
          <w:rFonts w:ascii="宋体" w:hAnsi="宋体"/>
          <w:b/>
          <w:color w:val="auto"/>
          <w:sz w:val="36"/>
          <w:szCs w:val="36"/>
          <w:highlight w:val="none"/>
        </w:rPr>
      </w:pPr>
    </w:p>
    <w:p>
      <w:pPr>
        <w:pStyle w:val="19"/>
        <w:ind w:firstLine="0"/>
        <w:rPr>
          <w:color w:val="auto"/>
          <w:highlight w:val="none"/>
        </w:rPr>
      </w:pPr>
    </w:p>
    <w:p>
      <w:pPr>
        <w:spacing w:line="700" w:lineRule="exact"/>
        <w:ind w:left="1275" w:leftChars="0" w:firstLine="425" w:firstLineChars="0"/>
        <w:rPr>
          <w:rFonts w:hint="eastAsia" w:ascii="宋体" w:hAnsi="宋体"/>
          <w:b/>
          <w:color w:val="auto"/>
          <w:sz w:val="28"/>
          <w:szCs w:val="28"/>
          <w:highlight w:val="none"/>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330282202404002767</w:t>
      </w:r>
      <w:r>
        <w:rPr>
          <w:rFonts w:hint="eastAsia" w:ascii="宋体" w:hAnsi="宋体"/>
          <w:b/>
          <w:color w:val="auto"/>
          <w:sz w:val="28"/>
          <w:szCs w:val="28"/>
          <w:highlight w:val="none"/>
        </w:rPr>
        <w:fldChar w:fldCharType="begin"/>
      </w:r>
      <w:r>
        <w:rPr>
          <w:rFonts w:hint="eastAsia" w:ascii="宋体" w:hAnsi="宋体"/>
          <w:b/>
          <w:color w:val="auto"/>
          <w:sz w:val="28"/>
          <w:szCs w:val="28"/>
          <w:highlight w:val="none"/>
        </w:rPr>
        <w:instrText xml:space="preserve"> HYPERLINK "https://pay.zcygov.cn/purchaseplan_front/" \l "/plan/list/detail?id=1000000000007380172&amp;encrypt=87a787e5734cc1a9c65464f9d8fae133" \t "_blank" </w:instrText>
      </w:r>
      <w:r>
        <w:rPr>
          <w:rFonts w:hint="eastAsia" w:ascii="宋体" w:hAnsi="宋体"/>
          <w:b/>
          <w:color w:val="auto"/>
          <w:sz w:val="28"/>
          <w:szCs w:val="28"/>
          <w:highlight w:val="none"/>
        </w:rPr>
        <w:fldChar w:fldCharType="separate"/>
      </w:r>
      <w:r>
        <w:rPr>
          <w:rFonts w:hint="eastAsia" w:ascii="宋体" w:hAnsi="宋体"/>
          <w:b/>
          <w:color w:val="auto"/>
          <w:sz w:val="28"/>
          <w:szCs w:val="28"/>
          <w:highlight w:val="none"/>
        </w:rPr>
        <w:fldChar w:fldCharType="end"/>
      </w:r>
    </w:p>
    <w:p>
      <w:pPr>
        <w:spacing w:line="700" w:lineRule="exact"/>
        <w:ind w:left="1275" w:leftChars="0" w:firstLine="425" w:firstLineChars="0"/>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采</w:t>
      </w:r>
      <w:r>
        <w:rPr>
          <w:rFonts w:ascii="宋体" w:hAnsi="宋体"/>
          <w:b/>
          <w:color w:val="auto"/>
          <w:sz w:val="28"/>
          <w:szCs w:val="28"/>
          <w:highlight w:val="none"/>
        </w:rPr>
        <w:t xml:space="preserve"> </w:t>
      </w:r>
      <w:r>
        <w:rPr>
          <w:rFonts w:hint="eastAsia" w:ascii="宋体" w:hAnsi="宋体"/>
          <w:b/>
          <w:color w:val="auto"/>
          <w:sz w:val="28"/>
          <w:szCs w:val="28"/>
          <w:highlight w:val="none"/>
        </w:rPr>
        <w:t>购</w:t>
      </w:r>
      <w:r>
        <w:rPr>
          <w:rFonts w:ascii="宋体" w:hAnsi="宋体"/>
          <w:b/>
          <w:color w:val="auto"/>
          <w:sz w:val="28"/>
          <w:szCs w:val="28"/>
          <w:highlight w:val="none"/>
        </w:rPr>
        <w:t xml:space="preserve"> </w:t>
      </w:r>
      <w:r>
        <w:rPr>
          <w:rFonts w:hint="eastAsia" w:ascii="宋体" w:hAnsi="宋体"/>
          <w:b/>
          <w:color w:val="auto"/>
          <w:sz w:val="28"/>
          <w:szCs w:val="28"/>
          <w:highlight w:val="none"/>
        </w:rPr>
        <w:t>人：</w:t>
      </w:r>
      <w:r>
        <w:rPr>
          <w:rFonts w:hint="eastAsia" w:ascii="宋体" w:hAnsi="宋体"/>
          <w:b/>
          <w:color w:val="auto"/>
          <w:sz w:val="28"/>
          <w:szCs w:val="28"/>
          <w:highlight w:val="none"/>
          <w:lang w:eastAsia="zh-CN"/>
        </w:rPr>
        <w:t>慈溪市匡堰镇人民政府</w:t>
      </w:r>
    </w:p>
    <w:p>
      <w:pPr>
        <w:spacing w:line="700" w:lineRule="exact"/>
        <w:ind w:left="1275" w:leftChars="0" w:firstLine="425" w:firstLineChars="0"/>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代理机构：</w:t>
      </w:r>
      <w:r>
        <w:rPr>
          <w:rFonts w:hint="eastAsia" w:ascii="宋体" w:hAnsi="宋体"/>
          <w:b/>
          <w:color w:val="auto"/>
          <w:sz w:val="28"/>
          <w:szCs w:val="28"/>
          <w:highlight w:val="none"/>
          <w:lang w:eastAsia="zh-CN"/>
        </w:rPr>
        <w:t>宁波安全三江工程咨询招标代理有限公司</w:t>
      </w:r>
    </w:p>
    <w:p>
      <w:pPr>
        <w:spacing w:line="700" w:lineRule="exact"/>
        <w:ind w:left="1275" w:leftChars="0" w:firstLine="425" w:firstLineChars="0"/>
        <w:rPr>
          <w:rFonts w:ascii="宋体" w:hAnsi="宋体"/>
          <w:b/>
          <w:color w:val="auto"/>
          <w:sz w:val="28"/>
          <w:szCs w:val="28"/>
          <w:highlight w:val="none"/>
        </w:rPr>
      </w:pPr>
      <w:r>
        <w:rPr>
          <w:rFonts w:hint="eastAsia" w:ascii="宋体" w:hAnsi="宋体"/>
          <w:b/>
          <w:color w:val="auto"/>
          <w:sz w:val="28"/>
          <w:szCs w:val="28"/>
          <w:highlight w:val="none"/>
        </w:rPr>
        <w:t>编制日期：</w:t>
      </w:r>
      <w:r>
        <w:rPr>
          <w:rFonts w:ascii="宋体" w:hAnsi="宋体"/>
          <w:b/>
          <w:color w:val="auto"/>
          <w:sz w:val="28"/>
          <w:szCs w:val="28"/>
          <w:highlight w:val="none"/>
        </w:rPr>
        <w:t>202</w:t>
      </w: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年</w:t>
      </w: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月</w:t>
      </w:r>
    </w:p>
    <w:p>
      <w:pPr>
        <w:spacing w:line="1200" w:lineRule="exact"/>
        <w:jc w:val="center"/>
        <w:rPr>
          <w:rFonts w:ascii="宋体" w:hAnsi="宋体"/>
          <w:b/>
          <w:color w:val="auto"/>
          <w:sz w:val="72"/>
          <w:szCs w:val="72"/>
          <w:highlight w:val="none"/>
        </w:rPr>
      </w:pPr>
      <w:r>
        <w:rPr>
          <w:rFonts w:ascii="宋体" w:hAnsi="宋体"/>
          <w:b/>
          <w:color w:val="auto"/>
          <w:sz w:val="28"/>
          <w:szCs w:val="28"/>
          <w:highlight w:val="none"/>
        </w:rPr>
        <w:br w:type="page"/>
      </w:r>
      <w:r>
        <w:rPr>
          <w:rFonts w:hint="eastAsia" w:ascii="宋体" w:hAnsi="宋体"/>
          <w:b/>
          <w:color w:val="auto"/>
          <w:sz w:val="56"/>
          <w:szCs w:val="56"/>
          <w:highlight w:val="none"/>
        </w:rPr>
        <w:t>温馨提醒</w:t>
      </w:r>
    </w:p>
    <w:p>
      <w:pPr>
        <w:spacing w:line="1200" w:lineRule="exact"/>
        <w:jc w:val="center"/>
        <w:rPr>
          <w:rFonts w:ascii="宋体" w:hAnsi="宋体"/>
          <w:b/>
          <w:color w:val="auto"/>
          <w:sz w:val="52"/>
          <w:szCs w:val="52"/>
          <w:highlight w:val="none"/>
        </w:rPr>
      </w:pPr>
    </w:p>
    <w:p>
      <w:pPr>
        <w:spacing w:line="920" w:lineRule="exact"/>
        <w:jc w:val="left"/>
        <w:rPr>
          <w:rFonts w:ascii="宋体" w:hAnsi="宋体"/>
          <w:b/>
          <w:color w:val="auto"/>
          <w:sz w:val="28"/>
          <w:szCs w:val="28"/>
          <w:highlight w:val="none"/>
        </w:rPr>
      </w:pPr>
      <w:r>
        <w:rPr>
          <w:rFonts w:ascii="宋体" w:hAnsi="宋体"/>
          <w:b/>
          <w:color w:val="auto"/>
          <w:sz w:val="28"/>
          <w:szCs w:val="28"/>
          <w:highlight w:val="none"/>
        </w:rPr>
        <w:t>1</w:t>
      </w:r>
      <w:r>
        <w:rPr>
          <w:rFonts w:hint="eastAsia" w:ascii="宋体" w:hAnsi="宋体"/>
          <w:b/>
          <w:color w:val="auto"/>
          <w:sz w:val="28"/>
          <w:szCs w:val="28"/>
          <w:highlight w:val="none"/>
        </w:rPr>
        <w:t>、投标文件应按招标文件要求将“资格文件”、“商务和技术文件”、“报价文件”分别编制。</w:t>
      </w:r>
    </w:p>
    <w:p>
      <w:pPr>
        <w:spacing w:line="920" w:lineRule="exact"/>
        <w:jc w:val="left"/>
        <w:rPr>
          <w:rFonts w:ascii="宋体" w:hAnsi="宋体"/>
          <w:b/>
          <w:color w:val="auto"/>
          <w:sz w:val="28"/>
          <w:szCs w:val="28"/>
          <w:highlight w:val="none"/>
        </w:rPr>
      </w:pPr>
      <w:r>
        <w:rPr>
          <w:rFonts w:ascii="宋体" w:hAnsi="宋体"/>
          <w:b/>
          <w:color w:val="auto"/>
          <w:sz w:val="28"/>
          <w:szCs w:val="28"/>
          <w:highlight w:val="none"/>
        </w:rPr>
        <w:t>2</w:t>
      </w:r>
      <w:r>
        <w:rPr>
          <w:rFonts w:hint="eastAsia" w:ascii="宋体" w:hAnsi="宋体"/>
          <w:b/>
          <w:color w:val="auto"/>
          <w:sz w:val="28"/>
          <w:szCs w:val="28"/>
          <w:highlight w:val="none"/>
        </w:rPr>
        <w:t>、“商务和技术文件”中不得出现涉及投标价格的内容，否则作无效标处理。</w:t>
      </w:r>
    </w:p>
    <w:p>
      <w:pPr>
        <w:spacing w:line="920" w:lineRule="exact"/>
        <w:jc w:val="left"/>
        <w:rPr>
          <w:rFonts w:ascii="宋体" w:hAnsi="宋体"/>
          <w:b/>
          <w:color w:val="auto"/>
          <w:sz w:val="28"/>
          <w:szCs w:val="28"/>
          <w:highlight w:val="none"/>
        </w:rPr>
      </w:pPr>
      <w:r>
        <w:rPr>
          <w:rFonts w:hint="eastAsia" w:ascii="宋体" w:hAnsi="宋体"/>
          <w:b/>
          <w:color w:val="auto"/>
          <w:sz w:val="28"/>
          <w:szCs w:val="28"/>
          <w:highlight w:val="none"/>
        </w:rPr>
        <w:t>3、采购人可以对已发出的招标文件进行必要的澄清或者修改，将以“更正公告”的形式发布在政采云平台，供应商应及时登录政采云平台，进行浏览并下载，未及时浏览下载的责任自负。</w:t>
      </w:r>
    </w:p>
    <w:p>
      <w:pPr>
        <w:jc w:val="center"/>
        <w:outlineLvl w:val="0"/>
        <w:rPr>
          <w:rFonts w:ascii="宋体" w:hAnsi="宋体"/>
          <w:b/>
          <w:bCs/>
          <w:color w:val="auto"/>
          <w:sz w:val="32"/>
          <w:szCs w:val="32"/>
          <w:highlight w:val="none"/>
        </w:rPr>
      </w:pPr>
    </w:p>
    <w:p>
      <w:pPr>
        <w:tabs>
          <w:tab w:val="center" w:pos="4365"/>
        </w:tabs>
        <w:spacing w:line="480" w:lineRule="auto"/>
        <w:jc w:val="center"/>
        <w:rPr>
          <w:rFonts w:ascii="宋体" w:hAnsi="宋体"/>
          <w:b/>
          <w:bCs/>
          <w:color w:val="auto"/>
          <w:sz w:val="32"/>
          <w:szCs w:val="32"/>
          <w:highlight w:val="none"/>
        </w:rPr>
      </w:pPr>
      <w:r>
        <w:rPr>
          <w:rFonts w:ascii="宋体" w:hAnsi="宋体"/>
          <w:b/>
          <w:bCs/>
          <w:color w:val="auto"/>
          <w:sz w:val="32"/>
          <w:szCs w:val="32"/>
          <w:highlight w:val="none"/>
        </w:rPr>
        <w:br w:type="page"/>
      </w:r>
    </w:p>
    <w:p>
      <w:pPr>
        <w:tabs>
          <w:tab w:val="center" w:pos="4365"/>
        </w:tabs>
        <w:spacing w:line="480" w:lineRule="auto"/>
        <w:jc w:val="center"/>
        <w:rPr>
          <w:rFonts w:ascii="宋体" w:hAnsi="宋体"/>
          <w:b/>
          <w:color w:val="auto"/>
          <w:sz w:val="52"/>
          <w:szCs w:val="52"/>
          <w:highlight w:val="none"/>
        </w:rPr>
      </w:pPr>
      <w:r>
        <w:rPr>
          <w:rFonts w:hint="eastAsia" w:ascii="宋体" w:hAnsi="宋体"/>
          <w:b/>
          <w:color w:val="auto"/>
          <w:sz w:val="52"/>
          <w:szCs w:val="52"/>
          <w:highlight w:val="none"/>
        </w:rPr>
        <w:t>目</w:t>
      </w:r>
      <w:r>
        <w:rPr>
          <w:rFonts w:ascii="宋体" w:hAnsi="宋体"/>
          <w:b/>
          <w:color w:val="auto"/>
          <w:sz w:val="52"/>
          <w:szCs w:val="52"/>
          <w:highlight w:val="none"/>
        </w:rPr>
        <w:t xml:space="preserve">  </w:t>
      </w:r>
      <w:r>
        <w:rPr>
          <w:rFonts w:hint="eastAsia" w:ascii="宋体" w:hAnsi="宋体"/>
          <w:b/>
          <w:color w:val="auto"/>
          <w:sz w:val="52"/>
          <w:szCs w:val="52"/>
          <w:highlight w:val="none"/>
        </w:rPr>
        <w:t>录</w:t>
      </w:r>
    </w:p>
    <w:p>
      <w:pPr>
        <w:pStyle w:val="25"/>
        <w:tabs>
          <w:tab w:val="right" w:leader="dot" w:pos="9747"/>
          <w:tab w:val="clear" w:pos="8721"/>
        </w:tabs>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_Toc30476 </w:instrText>
      </w:r>
      <w:r>
        <w:rPr>
          <w:color w:val="auto"/>
          <w:highlight w:val="none"/>
        </w:rPr>
        <w:fldChar w:fldCharType="separate"/>
      </w: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_Toc30476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5"/>
        <w:tabs>
          <w:tab w:val="right" w:leader="dot" w:pos="9747"/>
          <w:tab w:val="clear" w:pos="8721"/>
        </w:tabs>
        <w:rPr>
          <w:color w:val="auto"/>
          <w:highlight w:val="none"/>
        </w:rPr>
      </w:pPr>
      <w:r>
        <w:rPr>
          <w:rFonts w:ascii="宋体" w:hAnsi="宋体"/>
          <w:color w:val="auto"/>
          <w:szCs w:val="32"/>
          <w:highlight w:val="none"/>
        </w:rPr>
        <w:fldChar w:fldCharType="begin"/>
      </w:r>
      <w:r>
        <w:rPr>
          <w:rFonts w:ascii="宋体" w:hAnsi="宋体"/>
          <w:color w:val="auto"/>
          <w:szCs w:val="32"/>
          <w:highlight w:val="none"/>
        </w:rPr>
        <w:instrText xml:space="preserve"> HYPERLINK \l _Toc17009 </w:instrText>
      </w:r>
      <w:r>
        <w:rPr>
          <w:rFonts w:ascii="宋体" w:hAnsi="宋体"/>
          <w:color w:val="auto"/>
          <w:szCs w:val="32"/>
          <w:highlight w:val="none"/>
        </w:rPr>
        <w:fldChar w:fldCharType="separate"/>
      </w:r>
      <w:r>
        <w:rPr>
          <w:rFonts w:hint="eastAsia" w:ascii="宋体" w:hAnsi="宋体"/>
          <w:color w:val="auto"/>
          <w:highlight w:val="none"/>
          <w:lang w:eastAsia="zh-CN"/>
        </w:rPr>
        <w:t>第</w:t>
      </w:r>
      <w:r>
        <w:rPr>
          <w:rFonts w:hint="eastAsia" w:ascii="宋体" w:hAnsi="宋体"/>
          <w:color w:val="auto"/>
          <w:highlight w:val="none"/>
          <w:lang w:val="en-US" w:eastAsia="zh-CN"/>
        </w:rPr>
        <w:t>二</w:t>
      </w:r>
      <w:r>
        <w:rPr>
          <w:rFonts w:hint="eastAsia" w:ascii="宋体" w:hAnsi="宋体"/>
          <w:color w:val="auto"/>
          <w:highlight w:val="none"/>
          <w:lang w:eastAsia="zh-CN"/>
        </w:rPr>
        <w:t>章</w:t>
      </w:r>
      <w:r>
        <w:rPr>
          <w:rFonts w:hint="eastAsia" w:ascii="宋体" w:hAnsi="宋体"/>
          <w:color w:val="auto"/>
          <w:highlight w:val="none"/>
          <w:lang w:val="en-US" w:eastAsia="zh-CN"/>
        </w:rPr>
        <w:t xml:space="preserve">  </w:t>
      </w:r>
      <w:r>
        <w:rPr>
          <w:rFonts w:hint="eastAsia" w:ascii="宋体" w:hAnsi="宋体"/>
          <w:color w:val="auto"/>
          <w:highlight w:val="none"/>
        </w:rPr>
        <w:t>招标内容与技术需求</w:t>
      </w:r>
      <w:r>
        <w:rPr>
          <w:color w:val="auto"/>
          <w:highlight w:val="none"/>
        </w:rPr>
        <w:tab/>
      </w:r>
      <w:r>
        <w:rPr>
          <w:color w:val="auto"/>
          <w:highlight w:val="none"/>
        </w:rPr>
        <w:fldChar w:fldCharType="begin"/>
      </w:r>
      <w:r>
        <w:rPr>
          <w:color w:val="auto"/>
          <w:highlight w:val="none"/>
        </w:rPr>
        <w:instrText xml:space="preserve"> PAGEREF _Toc17009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szCs w:val="32"/>
          <w:highlight w:val="none"/>
        </w:rPr>
        <w:fldChar w:fldCharType="end"/>
      </w:r>
    </w:p>
    <w:p>
      <w:pPr>
        <w:pStyle w:val="25"/>
        <w:tabs>
          <w:tab w:val="right" w:leader="dot" w:pos="9747"/>
          <w:tab w:val="clear" w:pos="8721"/>
        </w:tabs>
        <w:rPr>
          <w:color w:val="auto"/>
          <w:highlight w:val="none"/>
        </w:rPr>
      </w:pPr>
      <w:r>
        <w:rPr>
          <w:rFonts w:ascii="宋体" w:hAnsi="宋体"/>
          <w:color w:val="auto"/>
          <w:szCs w:val="32"/>
          <w:highlight w:val="none"/>
        </w:rPr>
        <w:fldChar w:fldCharType="begin"/>
      </w:r>
      <w:r>
        <w:rPr>
          <w:rFonts w:ascii="宋体" w:hAnsi="宋体"/>
          <w:color w:val="auto"/>
          <w:szCs w:val="32"/>
          <w:highlight w:val="none"/>
        </w:rPr>
        <w:instrText xml:space="preserve"> HYPERLINK \l _Toc26514 </w:instrText>
      </w:r>
      <w:r>
        <w:rPr>
          <w:rFonts w:ascii="宋体" w:hAnsi="宋体"/>
          <w:color w:val="auto"/>
          <w:szCs w:val="32"/>
          <w:highlight w:val="none"/>
        </w:rPr>
        <w:fldChar w:fldCharType="separate"/>
      </w:r>
      <w:r>
        <w:rPr>
          <w:rFonts w:hint="eastAsia" w:ascii="宋体" w:hAnsi="宋体"/>
          <w:color w:val="auto"/>
          <w:szCs w:val="21"/>
          <w:highlight w:val="none"/>
        </w:rPr>
        <w:t>第三章 投标须知</w:t>
      </w:r>
      <w:r>
        <w:rPr>
          <w:color w:val="auto"/>
          <w:highlight w:val="none"/>
        </w:rPr>
        <w:tab/>
      </w:r>
      <w:r>
        <w:rPr>
          <w:color w:val="auto"/>
          <w:highlight w:val="none"/>
        </w:rPr>
        <w:fldChar w:fldCharType="begin"/>
      </w:r>
      <w:r>
        <w:rPr>
          <w:color w:val="auto"/>
          <w:highlight w:val="none"/>
        </w:rPr>
        <w:instrText xml:space="preserve"> PAGEREF _Toc26514 \h </w:instrText>
      </w:r>
      <w:r>
        <w:rPr>
          <w:color w:val="auto"/>
          <w:highlight w:val="none"/>
        </w:rPr>
        <w:fldChar w:fldCharType="separate"/>
      </w:r>
      <w:r>
        <w:rPr>
          <w:color w:val="auto"/>
          <w:highlight w:val="none"/>
        </w:rPr>
        <w:t>13</w:t>
      </w:r>
      <w:r>
        <w:rPr>
          <w:color w:val="auto"/>
          <w:highlight w:val="none"/>
        </w:rPr>
        <w:fldChar w:fldCharType="end"/>
      </w:r>
      <w:r>
        <w:rPr>
          <w:rFonts w:ascii="宋体" w:hAnsi="宋体"/>
          <w:color w:val="auto"/>
          <w:szCs w:val="32"/>
          <w:highlight w:val="none"/>
        </w:rPr>
        <w:fldChar w:fldCharType="end"/>
      </w:r>
    </w:p>
    <w:p>
      <w:pPr>
        <w:pStyle w:val="25"/>
        <w:tabs>
          <w:tab w:val="right" w:leader="dot" w:pos="9747"/>
          <w:tab w:val="clear" w:pos="8721"/>
        </w:tabs>
        <w:rPr>
          <w:color w:val="auto"/>
          <w:highlight w:val="none"/>
        </w:rPr>
      </w:pPr>
      <w:r>
        <w:rPr>
          <w:rFonts w:ascii="宋体" w:hAnsi="宋体"/>
          <w:color w:val="auto"/>
          <w:szCs w:val="32"/>
          <w:highlight w:val="none"/>
        </w:rPr>
        <w:fldChar w:fldCharType="begin"/>
      </w:r>
      <w:r>
        <w:rPr>
          <w:rFonts w:ascii="宋体" w:hAnsi="宋体"/>
          <w:color w:val="auto"/>
          <w:szCs w:val="32"/>
          <w:highlight w:val="none"/>
        </w:rPr>
        <w:instrText xml:space="preserve"> HYPERLINK \l _Toc12785 </w:instrText>
      </w:r>
      <w:r>
        <w:rPr>
          <w:rFonts w:ascii="宋体" w:hAnsi="宋体"/>
          <w:color w:val="auto"/>
          <w:szCs w:val="32"/>
          <w:highlight w:val="none"/>
        </w:rPr>
        <w:fldChar w:fldCharType="separate"/>
      </w:r>
      <w:r>
        <w:rPr>
          <w:rFonts w:hint="eastAsia" w:ascii="宋体" w:hAnsi="宋体"/>
          <w:color w:val="auto"/>
          <w:szCs w:val="21"/>
          <w:highlight w:val="none"/>
        </w:rPr>
        <w:t>第</w:t>
      </w:r>
      <w:r>
        <w:rPr>
          <w:rFonts w:hint="eastAsia" w:ascii="宋体" w:hAnsi="宋体"/>
          <w:color w:val="auto"/>
          <w:szCs w:val="21"/>
          <w:highlight w:val="none"/>
          <w:lang w:val="en-US" w:eastAsia="zh-CN"/>
        </w:rPr>
        <w:t>四</w:t>
      </w:r>
      <w:r>
        <w:rPr>
          <w:rFonts w:hint="eastAsia" w:ascii="宋体" w:hAnsi="宋体"/>
          <w:color w:val="auto"/>
          <w:szCs w:val="21"/>
          <w:highlight w:val="none"/>
        </w:rPr>
        <w:t>章</w:t>
      </w:r>
      <w:r>
        <w:rPr>
          <w:rFonts w:ascii="宋体" w:hAnsi="宋体"/>
          <w:color w:val="auto"/>
          <w:szCs w:val="21"/>
          <w:highlight w:val="none"/>
        </w:rPr>
        <w:t xml:space="preserve">  </w:t>
      </w:r>
      <w:r>
        <w:rPr>
          <w:rFonts w:hint="eastAsia" w:ascii="宋体" w:hAnsi="宋体"/>
          <w:color w:val="auto"/>
          <w:szCs w:val="21"/>
          <w:highlight w:val="none"/>
        </w:rPr>
        <w:t>评标办法及标准</w:t>
      </w:r>
      <w:r>
        <w:rPr>
          <w:color w:val="auto"/>
          <w:highlight w:val="none"/>
        </w:rPr>
        <w:tab/>
      </w:r>
      <w:r>
        <w:rPr>
          <w:color w:val="auto"/>
          <w:highlight w:val="none"/>
        </w:rPr>
        <w:fldChar w:fldCharType="begin"/>
      </w:r>
      <w:r>
        <w:rPr>
          <w:color w:val="auto"/>
          <w:highlight w:val="none"/>
        </w:rPr>
        <w:instrText xml:space="preserve"> PAGEREF _Toc12785 \h </w:instrText>
      </w:r>
      <w:r>
        <w:rPr>
          <w:color w:val="auto"/>
          <w:highlight w:val="none"/>
        </w:rPr>
        <w:fldChar w:fldCharType="separate"/>
      </w:r>
      <w:r>
        <w:rPr>
          <w:color w:val="auto"/>
          <w:highlight w:val="none"/>
        </w:rPr>
        <w:t>23</w:t>
      </w:r>
      <w:r>
        <w:rPr>
          <w:color w:val="auto"/>
          <w:highlight w:val="none"/>
        </w:rPr>
        <w:fldChar w:fldCharType="end"/>
      </w:r>
      <w:r>
        <w:rPr>
          <w:rFonts w:ascii="宋体" w:hAnsi="宋体"/>
          <w:color w:val="auto"/>
          <w:szCs w:val="32"/>
          <w:highlight w:val="none"/>
        </w:rPr>
        <w:fldChar w:fldCharType="end"/>
      </w:r>
    </w:p>
    <w:p>
      <w:pPr>
        <w:pStyle w:val="25"/>
        <w:tabs>
          <w:tab w:val="right" w:leader="dot" w:pos="9747"/>
          <w:tab w:val="clear" w:pos="8721"/>
        </w:tabs>
        <w:rPr>
          <w:color w:val="auto"/>
          <w:highlight w:val="none"/>
        </w:rPr>
      </w:pPr>
      <w:r>
        <w:rPr>
          <w:rFonts w:ascii="宋体" w:hAnsi="宋体"/>
          <w:color w:val="auto"/>
          <w:szCs w:val="32"/>
          <w:highlight w:val="none"/>
        </w:rPr>
        <w:fldChar w:fldCharType="begin"/>
      </w:r>
      <w:r>
        <w:rPr>
          <w:rFonts w:ascii="宋体" w:hAnsi="宋体"/>
          <w:color w:val="auto"/>
          <w:szCs w:val="32"/>
          <w:highlight w:val="none"/>
        </w:rPr>
        <w:instrText xml:space="preserve"> HYPERLINK \l _Toc30341 </w:instrText>
      </w:r>
      <w:r>
        <w:rPr>
          <w:rFonts w:ascii="宋体" w:hAnsi="宋体"/>
          <w:color w:val="auto"/>
          <w:szCs w:val="32"/>
          <w:highlight w:val="none"/>
        </w:rPr>
        <w:fldChar w:fldCharType="separate"/>
      </w:r>
      <w:r>
        <w:rPr>
          <w:rFonts w:hint="eastAsia" w:ascii="宋体" w:hAnsi="宋体"/>
          <w:color w:val="auto"/>
          <w:szCs w:val="21"/>
          <w:highlight w:val="none"/>
        </w:rPr>
        <w:t>第</w:t>
      </w:r>
      <w:r>
        <w:rPr>
          <w:rFonts w:hint="eastAsia" w:ascii="宋体" w:hAnsi="宋体"/>
          <w:color w:val="auto"/>
          <w:szCs w:val="21"/>
          <w:highlight w:val="none"/>
          <w:lang w:val="en-US" w:eastAsia="zh-CN"/>
        </w:rPr>
        <w:t>五</w:t>
      </w:r>
      <w:r>
        <w:rPr>
          <w:rFonts w:hint="eastAsia" w:ascii="宋体" w:hAnsi="宋体"/>
          <w:color w:val="auto"/>
          <w:szCs w:val="21"/>
          <w:highlight w:val="none"/>
        </w:rPr>
        <w:t>章</w:t>
      </w:r>
      <w:r>
        <w:rPr>
          <w:rFonts w:ascii="宋体" w:hAnsi="宋体"/>
          <w:color w:val="auto"/>
          <w:szCs w:val="21"/>
          <w:highlight w:val="none"/>
        </w:rPr>
        <w:t xml:space="preserve">  </w:t>
      </w:r>
      <w:r>
        <w:rPr>
          <w:rFonts w:hint="eastAsia" w:ascii="宋体" w:hAnsi="宋体"/>
          <w:color w:val="auto"/>
          <w:szCs w:val="21"/>
          <w:highlight w:val="none"/>
        </w:rPr>
        <w:t>合同</w:t>
      </w:r>
      <w:r>
        <w:rPr>
          <w:rFonts w:hint="eastAsia" w:ascii="宋体" w:hAnsi="宋体"/>
          <w:color w:val="auto"/>
          <w:szCs w:val="21"/>
          <w:highlight w:val="none"/>
          <w:lang w:val="en-US" w:eastAsia="zh-CN"/>
        </w:rPr>
        <w:t>样本</w:t>
      </w:r>
      <w:r>
        <w:rPr>
          <w:color w:val="auto"/>
          <w:highlight w:val="none"/>
        </w:rPr>
        <w:tab/>
      </w:r>
      <w:r>
        <w:rPr>
          <w:color w:val="auto"/>
          <w:highlight w:val="none"/>
        </w:rPr>
        <w:fldChar w:fldCharType="begin"/>
      </w:r>
      <w:r>
        <w:rPr>
          <w:color w:val="auto"/>
          <w:highlight w:val="none"/>
        </w:rPr>
        <w:instrText xml:space="preserve"> PAGEREF _Toc30341 \h </w:instrText>
      </w:r>
      <w:r>
        <w:rPr>
          <w:color w:val="auto"/>
          <w:highlight w:val="none"/>
        </w:rPr>
        <w:fldChar w:fldCharType="separate"/>
      </w:r>
      <w:r>
        <w:rPr>
          <w:color w:val="auto"/>
          <w:highlight w:val="none"/>
        </w:rPr>
        <w:t>32</w:t>
      </w:r>
      <w:r>
        <w:rPr>
          <w:color w:val="auto"/>
          <w:highlight w:val="none"/>
        </w:rPr>
        <w:fldChar w:fldCharType="end"/>
      </w:r>
      <w:r>
        <w:rPr>
          <w:rFonts w:ascii="宋体" w:hAnsi="宋体"/>
          <w:color w:val="auto"/>
          <w:szCs w:val="32"/>
          <w:highlight w:val="none"/>
        </w:rPr>
        <w:fldChar w:fldCharType="end"/>
      </w:r>
    </w:p>
    <w:p>
      <w:pPr>
        <w:pStyle w:val="25"/>
        <w:tabs>
          <w:tab w:val="right" w:leader="dot" w:pos="9747"/>
          <w:tab w:val="clear" w:pos="8721"/>
        </w:tabs>
        <w:rPr>
          <w:color w:val="auto"/>
          <w:highlight w:val="none"/>
        </w:rPr>
      </w:pPr>
      <w:r>
        <w:rPr>
          <w:rFonts w:ascii="宋体" w:hAnsi="宋体"/>
          <w:color w:val="auto"/>
          <w:szCs w:val="32"/>
          <w:highlight w:val="none"/>
        </w:rPr>
        <w:fldChar w:fldCharType="begin"/>
      </w:r>
      <w:r>
        <w:rPr>
          <w:rFonts w:ascii="宋体" w:hAnsi="宋体"/>
          <w:color w:val="auto"/>
          <w:szCs w:val="32"/>
          <w:highlight w:val="none"/>
        </w:rPr>
        <w:instrText xml:space="preserve"> HYPERLINK \l _Toc2789 </w:instrText>
      </w:r>
      <w:r>
        <w:rPr>
          <w:rFonts w:ascii="宋体" w:hAnsi="宋体"/>
          <w:color w:val="auto"/>
          <w:szCs w:val="32"/>
          <w:highlight w:val="none"/>
        </w:rPr>
        <w:fldChar w:fldCharType="separate"/>
      </w:r>
      <w:r>
        <w:rPr>
          <w:rFonts w:hint="eastAsia" w:ascii="宋体" w:hAnsi="宋体"/>
          <w:color w:val="auto"/>
          <w:highlight w:val="none"/>
          <w:lang w:val="en-US" w:eastAsia="zh-CN"/>
        </w:rPr>
        <w:t>第六</w:t>
      </w:r>
      <w:r>
        <w:rPr>
          <w:rFonts w:hint="eastAsia" w:ascii="宋体" w:hAnsi="宋体"/>
          <w:color w:val="auto"/>
          <w:highlight w:val="none"/>
        </w:rPr>
        <w:t>章</w:t>
      </w:r>
      <w:r>
        <w:rPr>
          <w:rFonts w:ascii="宋体" w:hAnsi="宋体"/>
          <w:color w:val="auto"/>
          <w:highlight w:val="none"/>
        </w:rPr>
        <w:t xml:space="preserve">  </w:t>
      </w:r>
      <w:r>
        <w:rPr>
          <w:rFonts w:hint="eastAsia" w:ascii="宋体" w:hAnsi="宋体"/>
          <w:color w:val="auto"/>
          <w:highlight w:val="none"/>
        </w:rPr>
        <w:t>附件</w:t>
      </w:r>
      <w:r>
        <w:rPr>
          <w:color w:val="auto"/>
          <w:highlight w:val="none"/>
        </w:rPr>
        <w:tab/>
      </w:r>
      <w:r>
        <w:rPr>
          <w:color w:val="auto"/>
          <w:highlight w:val="none"/>
        </w:rPr>
        <w:fldChar w:fldCharType="begin"/>
      </w:r>
      <w:r>
        <w:rPr>
          <w:color w:val="auto"/>
          <w:highlight w:val="none"/>
        </w:rPr>
        <w:instrText xml:space="preserve"> PAGEREF _Toc2789 \h </w:instrText>
      </w:r>
      <w:r>
        <w:rPr>
          <w:color w:val="auto"/>
          <w:highlight w:val="none"/>
        </w:rPr>
        <w:fldChar w:fldCharType="separate"/>
      </w:r>
      <w:r>
        <w:rPr>
          <w:color w:val="auto"/>
          <w:highlight w:val="none"/>
        </w:rPr>
        <w:t>37</w:t>
      </w:r>
      <w:r>
        <w:rPr>
          <w:color w:val="auto"/>
          <w:highlight w:val="none"/>
        </w:rPr>
        <w:fldChar w:fldCharType="end"/>
      </w:r>
      <w:r>
        <w:rPr>
          <w:rFonts w:ascii="宋体" w:hAnsi="宋体"/>
          <w:color w:val="auto"/>
          <w:szCs w:val="32"/>
          <w:highlight w:val="none"/>
        </w:rPr>
        <w:fldChar w:fldCharType="end"/>
      </w:r>
    </w:p>
    <w:p>
      <w:pPr>
        <w:spacing w:line="1000" w:lineRule="exact"/>
        <w:jc w:val="center"/>
        <w:rPr>
          <w:rFonts w:ascii="宋体" w:hAnsi="宋体"/>
          <w:b/>
          <w:color w:val="auto"/>
          <w:sz w:val="32"/>
          <w:highlight w:val="none"/>
        </w:rPr>
      </w:pPr>
      <w:r>
        <w:rPr>
          <w:rFonts w:ascii="宋体" w:hAnsi="宋体"/>
          <w:color w:val="auto"/>
          <w:szCs w:val="32"/>
          <w:highlight w:val="none"/>
        </w:rPr>
        <w:fldChar w:fldCharType="end"/>
      </w:r>
    </w:p>
    <w:p>
      <w:pPr>
        <w:spacing w:line="400" w:lineRule="exact"/>
        <w:jc w:val="center"/>
        <w:rPr>
          <w:rFonts w:ascii="宋体" w:hAnsi="宋体"/>
          <w:b/>
          <w:color w:val="auto"/>
          <w:sz w:val="32"/>
          <w:highlight w:val="none"/>
        </w:rPr>
        <w:sectPr>
          <w:headerReference r:id="rId5" w:type="default"/>
          <w:footerReference r:id="rId6" w:type="default"/>
          <w:type w:val="nextColumn"/>
          <w:pgSz w:w="11907" w:h="16840"/>
          <w:pgMar w:top="1440" w:right="1080" w:bottom="1440" w:left="1080" w:header="569" w:footer="700" w:gutter="0"/>
          <w:cols w:space="720" w:num="1"/>
          <w:docGrid w:linePitch="285" w:charSpace="0"/>
        </w:sectPr>
      </w:pPr>
    </w:p>
    <w:p>
      <w:pPr>
        <w:spacing w:line="400" w:lineRule="exact"/>
        <w:jc w:val="center"/>
        <w:outlineLvl w:val="0"/>
        <w:rPr>
          <w:rFonts w:ascii="宋体" w:hAnsi="宋体"/>
          <w:b/>
          <w:color w:val="auto"/>
          <w:sz w:val="32"/>
          <w:highlight w:val="none"/>
        </w:rPr>
      </w:pPr>
      <w:bookmarkStart w:id="0" w:name="_Toc30476"/>
      <w:r>
        <w:rPr>
          <w:rFonts w:hint="eastAsia" w:ascii="宋体" w:hAnsi="宋体"/>
          <w:b/>
          <w:color w:val="auto"/>
          <w:sz w:val="32"/>
          <w:highlight w:val="none"/>
        </w:rPr>
        <w:t>第一章</w:t>
      </w:r>
      <w:r>
        <w:rPr>
          <w:rFonts w:ascii="宋体" w:hAnsi="宋体"/>
          <w:b/>
          <w:color w:val="auto"/>
          <w:sz w:val="32"/>
          <w:highlight w:val="none"/>
        </w:rPr>
        <w:t xml:space="preserve">  </w:t>
      </w:r>
      <w:r>
        <w:rPr>
          <w:rFonts w:hint="eastAsia" w:ascii="宋体" w:hAnsi="宋体"/>
          <w:b/>
          <w:color w:val="auto"/>
          <w:sz w:val="32"/>
          <w:highlight w:val="none"/>
        </w:rPr>
        <w:t>招标公告</w:t>
      </w:r>
      <w:bookmarkEnd w:id="0"/>
    </w:p>
    <w:p>
      <w:pPr>
        <w:pStyle w:val="43"/>
        <w:spacing w:before="0" w:beforeAutospacing="0" w:after="0" w:afterAutospacing="0" w:line="400" w:lineRule="exact"/>
        <w:rPr>
          <w:b/>
          <w:color w:val="auto"/>
          <w:sz w:val="21"/>
          <w:szCs w:val="21"/>
          <w:highlight w:val="none"/>
        </w:rPr>
      </w:pPr>
      <w:r>
        <w:rPr>
          <w:rFonts w:hint="eastAsia"/>
          <w:b/>
          <w:color w:val="auto"/>
          <w:sz w:val="21"/>
          <w:szCs w:val="21"/>
          <w:highlight w:val="none"/>
        </w:rPr>
        <w:t>项目概况</w:t>
      </w:r>
    </w:p>
    <w:p>
      <w:pPr>
        <w:pStyle w:val="43"/>
        <w:wordWrap w:val="0"/>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lang w:eastAsia="zh-CN"/>
        </w:rPr>
        <w:t>慈溪市匡堰城镇单元控制性详细规划项目</w:t>
      </w:r>
      <w:r>
        <w:rPr>
          <w:rFonts w:hint="eastAsia"/>
          <w:color w:val="auto"/>
          <w:sz w:val="21"/>
          <w:szCs w:val="21"/>
          <w:highlight w:val="none"/>
          <w:u w:val="none"/>
        </w:rPr>
        <w:t>的潜在投标人应在政府采购云平台（</w:t>
      </w:r>
      <w:r>
        <w:rPr>
          <w:color w:val="auto"/>
          <w:highlight w:val="none"/>
          <w:u w:val="none"/>
        </w:rPr>
        <w:fldChar w:fldCharType="begin"/>
      </w:r>
      <w:r>
        <w:rPr>
          <w:color w:val="auto"/>
          <w:highlight w:val="none"/>
          <w:u w:val="none"/>
        </w:rPr>
        <w:instrText xml:space="preserve"> HYPERLINK "http://www.zcygov.cn）获取（下载）招标文件，并于2023年" </w:instrText>
      </w:r>
      <w:r>
        <w:rPr>
          <w:color w:val="auto"/>
          <w:highlight w:val="none"/>
          <w:u w:val="none"/>
        </w:rPr>
        <w:fldChar w:fldCharType="separate"/>
      </w:r>
      <w:r>
        <w:rPr>
          <w:rStyle w:val="55"/>
          <w:rFonts w:hint="eastAsia"/>
          <w:color w:val="auto"/>
          <w:sz w:val="21"/>
          <w:szCs w:val="21"/>
          <w:highlight w:val="none"/>
          <w:u w:val="none"/>
        </w:rPr>
        <w:t>www.zcygov.cn）获取（下载）招标文件，并于</w:t>
      </w:r>
      <w:r>
        <w:rPr>
          <w:rStyle w:val="55"/>
          <w:rFonts w:hint="eastAsia" w:cs="仿宋"/>
          <w:color w:val="auto"/>
          <w:sz w:val="21"/>
          <w:szCs w:val="21"/>
          <w:highlight w:val="none"/>
          <w:u w:val="none"/>
        </w:rPr>
        <w:t>202</w:t>
      </w:r>
      <w:r>
        <w:rPr>
          <w:rStyle w:val="55"/>
          <w:rFonts w:hint="eastAsia" w:cs="仿宋"/>
          <w:color w:val="auto"/>
          <w:sz w:val="21"/>
          <w:szCs w:val="21"/>
          <w:highlight w:val="none"/>
          <w:u w:val="none"/>
          <w:lang w:val="en-US" w:eastAsia="zh-CN"/>
        </w:rPr>
        <w:t>4</w:t>
      </w:r>
      <w:r>
        <w:rPr>
          <w:rStyle w:val="55"/>
          <w:rFonts w:hint="eastAsia" w:cs="仿宋"/>
          <w:color w:val="auto"/>
          <w:sz w:val="21"/>
          <w:szCs w:val="21"/>
          <w:highlight w:val="none"/>
          <w:u w:val="none"/>
        </w:rPr>
        <w:t>年</w:t>
      </w:r>
      <w:r>
        <w:rPr>
          <w:rStyle w:val="55"/>
          <w:rFonts w:hint="eastAsia" w:cs="仿宋"/>
          <w:color w:val="auto"/>
          <w:sz w:val="21"/>
          <w:szCs w:val="21"/>
          <w:highlight w:val="none"/>
          <w:u w:val="none"/>
        </w:rPr>
        <w:fldChar w:fldCharType="end"/>
      </w:r>
      <w:r>
        <w:rPr>
          <w:rStyle w:val="55"/>
          <w:rFonts w:hint="eastAsia" w:cs="仿宋"/>
          <w:color w:val="auto"/>
          <w:sz w:val="21"/>
          <w:szCs w:val="21"/>
          <w:highlight w:val="none"/>
          <w:u w:val="none"/>
          <w:lang w:val="en-US" w:eastAsia="zh-CN"/>
        </w:rPr>
        <w:t xml:space="preserve">5 </w:t>
      </w:r>
      <w:r>
        <w:rPr>
          <w:rFonts w:hint="eastAsia" w:cs="仿宋"/>
          <w:color w:val="auto"/>
          <w:sz w:val="21"/>
          <w:szCs w:val="21"/>
          <w:highlight w:val="none"/>
          <w:u w:val="none"/>
        </w:rPr>
        <w:t>月</w:t>
      </w:r>
      <w:r>
        <w:rPr>
          <w:rFonts w:hint="eastAsia" w:cs="仿宋"/>
          <w:color w:val="auto"/>
          <w:sz w:val="21"/>
          <w:szCs w:val="21"/>
          <w:highlight w:val="none"/>
          <w:u w:val="none"/>
          <w:lang w:val="en-US" w:eastAsia="zh-CN"/>
        </w:rPr>
        <w:t xml:space="preserve">16 </w:t>
      </w:r>
      <w:r>
        <w:rPr>
          <w:rFonts w:hint="eastAsia" w:cs="仿宋"/>
          <w:color w:val="auto"/>
          <w:sz w:val="21"/>
          <w:szCs w:val="21"/>
          <w:highlight w:val="none"/>
          <w:u w:val="none"/>
        </w:rPr>
        <w:t>日</w:t>
      </w:r>
      <w:r>
        <w:rPr>
          <w:rFonts w:hint="eastAsia" w:cs="仿宋"/>
          <w:color w:val="auto"/>
          <w:sz w:val="21"/>
          <w:szCs w:val="21"/>
          <w:highlight w:val="none"/>
          <w:u w:val="none"/>
          <w:lang w:val="en-US" w:eastAsia="zh-CN"/>
        </w:rPr>
        <w:t>14</w:t>
      </w:r>
      <w:r>
        <w:rPr>
          <w:rFonts w:hint="eastAsia" w:cs="仿宋"/>
          <w:color w:val="auto"/>
          <w:sz w:val="21"/>
          <w:szCs w:val="21"/>
          <w:highlight w:val="none"/>
          <w:u w:val="none"/>
        </w:rPr>
        <w:t>：</w:t>
      </w:r>
      <w:r>
        <w:rPr>
          <w:rFonts w:hint="eastAsia" w:cs="仿宋"/>
          <w:color w:val="auto"/>
          <w:sz w:val="21"/>
          <w:szCs w:val="21"/>
          <w:highlight w:val="none"/>
          <w:u w:val="none"/>
          <w:lang w:val="en-US" w:eastAsia="zh-CN"/>
        </w:rPr>
        <w:t>30</w:t>
      </w:r>
      <w:r>
        <w:rPr>
          <w:rFonts w:hint="eastAsia"/>
          <w:color w:val="auto"/>
          <w:sz w:val="21"/>
          <w:szCs w:val="21"/>
          <w:highlight w:val="none"/>
        </w:rPr>
        <w:t>（北京时间）前递交（上传）投标文件。</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一、项目基本情况</w:t>
      </w:r>
    </w:p>
    <w:p>
      <w:pPr>
        <w:pStyle w:val="43"/>
        <w:spacing w:before="0" w:beforeAutospacing="0" w:after="0" w:afterAutospacing="0" w:line="400" w:lineRule="exact"/>
        <w:ind w:firstLine="420" w:firstLineChars="200"/>
        <w:rPr>
          <w:rFonts w:hint="eastAsia"/>
          <w:color w:val="auto"/>
          <w:sz w:val="21"/>
          <w:szCs w:val="21"/>
          <w:highlight w:val="none"/>
        </w:rPr>
      </w:pPr>
      <w:r>
        <w:rPr>
          <w:rFonts w:hint="eastAsia"/>
          <w:color w:val="auto"/>
          <w:sz w:val="21"/>
          <w:szCs w:val="21"/>
          <w:highlight w:val="none"/>
        </w:rPr>
        <w:t>项目编号：</w:t>
      </w:r>
      <w:r>
        <w:rPr>
          <w:rFonts w:hint="eastAsia"/>
          <w:color w:val="auto"/>
          <w:sz w:val="21"/>
          <w:szCs w:val="21"/>
          <w:highlight w:val="none"/>
          <w:lang w:eastAsia="zh-CN"/>
        </w:rPr>
        <w:t>330282202404002767</w:t>
      </w:r>
      <w:r>
        <w:rPr>
          <w:rFonts w:hint="eastAsia"/>
          <w:color w:val="auto"/>
          <w:sz w:val="21"/>
          <w:szCs w:val="21"/>
          <w:highlight w:val="none"/>
        </w:rPr>
        <w:fldChar w:fldCharType="begin"/>
      </w:r>
      <w:r>
        <w:rPr>
          <w:rFonts w:hint="eastAsia"/>
          <w:color w:val="auto"/>
          <w:sz w:val="21"/>
          <w:szCs w:val="21"/>
          <w:highlight w:val="none"/>
        </w:rPr>
        <w:instrText xml:space="preserve"> HYPERLINK "https://pay.zcygov.cn/purchaseplan_front/" \l "/plan/list/detail?id=1000000000007380172&amp;encrypt=87a787e5734cc1a9c65464f9d8fae133" \t "_blank" </w:instrText>
      </w:r>
      <w:r>
        <w:rPr>
          <w:rFonts w:hint="eastAsia"/>
          <w:color w:val="auto"/>
          <w:sz w:val="21"/>
          <w:szCs w:val="21"/>
          <w:highlight w:val="none"/>
        </w:rPr>
        <w:fldChar w:fldCharType="separate"/>
      </w:r>
      <w:r>
        <w:rPr>
          <w:rFonts w:hint="eastAsia"/>
          <w:color w:val="auto"/>
          <w:sz w:val="21"/>
          <w:szCs w:val="21"/>
          <w:highlight w:val="none"/>
        </w:rPr>
        <w:t xml:space="preserve"> </w:t>
      </w:r>
      <w:r>
        <w:rPr>
          <w:rFonts w:hint="eastAsia"/>
          <w:color w:val="auto"/>
          <w:sz w:val="21"/>
          <w:szCs w:val="21"/>
          <w:highlight w:val="none"/>
        </w:rPr>
        <w:fldChar w:fldCharType="end"/>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项目名称：</w:t>
      </w:r>
      <w:r>
        <w:rPr>
          <w:rFonts w:hint="eastAsia"/>
          <w:color w:val="auto"/>
          <w:sz w:val="21"/>
          <w:szCs w:val="21"/>
          <w:highlight w:val="none"/>
          <w:lang w:eastAsia="zh-CN"/>
        </w:rPr>
        <w:t>慈溪市匡堰城镇单元控制性详细规划项目</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预算金额（元）：</w:t>
      </w:r>
      <w:r>
        <w:rPr>
          <w:rFonts w:hint="eastAsia"/>
          <w:color w:val="auto"/>
          <w:sz w:val="21"/>
          <w:szCs w:val="21"/>
          <w:highlight w:val="none"/>
          <w:lang w:val="en-US" w:eastAsia="zh-CN"/>
        </w:rPr>
        <w:t>1640000</w:t>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最高限价（元）：</w:t>
      </w:r>
      <w:r>
        <w:rPr>
          <w:rFonts w:hint="eastAsia"/>
          <w:color w:val="auto"/>
          <w:sz w:val="21"/>
          <w:szCs w:val="21"/>
          <w:highlight w:val="none"/>
          <w:lang w:eastAsia="zh-CN"/>
        </w:rPr>
        <w:t>1640000</w:t>
      </w:r>
    </w:p>
    <w:p>
      <w:pPr>
        <w:pStyle w:val="43"/>
        <w:spacing w:before="0" w:beforeAutospacing="0" w:after="0" w:afterAutospacing="0" w:line="400" w:lineRule="exact"/>
        <w:ind w:firstLine="420" w:firstLineChars="200"/>
        <w:rPr>
          <w:rFonts w:hint="eastAsia" w:eastAsia="宋体"/>
          <w:color w:val="auto"/>
          <w:sz w:val="21"/>
          <w:szCs w:val="21"/>
          <w:highlight w:val="none"/>
          <w:lang w:val="en-US" w:eastAsia="zh-CN"/>
        </w:rPr>
      </w:pPr>
      <w:r>
        <w:rPr>
          <w:rFonts w:hint="eastAsia"/>
          <w:color w:val="auto"/>
          <w:sz w:val="21"/>
          <w:szCs w:val="21"/>
          <w:highlight w:val="none"/>
        </w:rPr>
        <w:t>采购需求：</w:t>
      </w:r>
      <w:r>
        <w:rPr>
          <w:rFonts w:hint="eastAsia"/>
          <w:color w:val="auto"/>
          <w:sz w:val="21"/>
          <w:szCs w:val="21"/>
          <w:highlight w:val="none"/>
        </w:rPr>
        <w:br w:type="textWrapping"/>
      </w:r>
      <w:r>
        <w:rPr>
          <w:rFonts w:hint="eastAsia"/>
          <w:color w:val="auto"/>
          <w:sz w:val="21"/>
          <w:szCs w:val="21"/>
          <w:highlight w:val="none"/>
        </w:rPr>
        <w:t>   标项名称：</w:t>
      </w:r>
      <w:r>
        <w:rPr>
          <w:rFonts w:hint="eastAsia"/>
          <w:color w:val="auto"/>
          <w:sz w:val="21"/>
          <w:szCs w:val="21"/>
          <w:highlight w:val="none"/>
          <w:lang w:eastAsia="zh-CN"/>
        </w:rPr>
        <w:t>慈溪市匡堰城镇单元控制性详细规划项目</w:t>
      </w:r>
      <w:r>
        <w:rPr>
          <w:rFonts w:hint="eastAsia"/>
          <w:color w:val="auto"/>
          <w:sz w:val="21"/>
          <w:szCs w:val="21"/>
          <w:highlight w:val="none"/>
        </w:rPr>
        <w:br w:type="textWrapping"/>
      </w:r>
      <w:r>
        <w:rPr>
          <w:rFonts w:hint="eastAsia"/>
          <w:color w:val="auto"/>
          <w:sz w:val="21"/>
          <w:szCs w:val="21"/>
          <w:highlight w:val="none"/>
        </w:rPr>
        <w:t>   数量：不限</w:t>
      </w:r>
      <w:r>
        <w:rPr>
          <w:rFonts w:hint="eastAsia"/>
          <w:color w:val="auto"/>
          <w:sz w:val="21"/>
          <w:szCs w:val="21"/>
          <w:highlight w:val="none"/>
        </w:rPr>
        <w:br w:type="textWrapping"/>
      </w:r>
      <w:r>
        <w:rPr>
          <w:rFonts w:hint="eastAsia"/>
          <w:color w:val="auto"/>
          <w:sz w:val="21"/>
          <w:szCs w:val="21"/>
          <w:highlight w:val="none"/>
        </w:rPr>
        <w:t>   预算金额（元）:</w:t>
      </w:r>
      <w:r>
        <w:rPr>
          <w:rFonts w:hint="eastAsia"/>
          <w:color w:val="auto"/>
          <w:sz w:val="21"/>
          <w:szCs w:val="21"/>
          <w:highlight w:val="none"/>
          <w:lang w:eastAsia="zh-CN"/>
        </w:rPr>
        <w:t>1640000</w:t>
      </w:r>
      <w:r>
        <w:rPr>
          <w:rFonts w:hint="eastAsia"/>
          <w:color w:val="auto"/>
          <w:sz w:val="21"/>
          <w:szCs w:val="21"/>
          <w:highlight w:val="none"/>
        </w:rPr>
        <w:br w:type="textWrapping"/>
      </w:r>
      <w:r>
        <w:rPr>
          <w:rFonts w:hint="eastAsia"/>
          <w:color w:val="auto"/>
          <w:sz w:val="21"/>
          <w:szCs w:val="21"/>
          <w:highlight w:val="none"/>
        </w:rPr>
        <w:t>   简要规格描述或项目基本概况介绍、用途：</w:t>
      </w:r>
      <w:r>
        <w:rPr>
          <w:rFonts w:hint="eastAsia"/>
          <w:color w:val="auto"/>
          <w:sz w:val="21"/>
          <w:szCs w:val="21"/>
          <w:highlight w:val="none"/>
          <w:lang w:eastAsia="zh-CN"/>
        </w:rPr>
        <w:t>匡堰城镇单元控制性详细</w:t>
      </w:r>
      <w:r>
        <w:rPr>
          <w:rFonts w:hint="eastAsia"/>
          <w:color w:val="auto"/>
          <w:sz w:val="21"/>
          <w:szCs w:val="21"/>
          <w:highlight w:val="none"/>
          <w:lang w:val="en-US" w:eastAsia="zh-CN"/>
        </w:rPr>
        <w:t>规划的</w:t>
      </w:r>
      <w:r>
        <w:rPr>
          <w:rFonts w:hint="eastAsia"/>
          <w:color w:val="auto"/>
          <w:sz w:val="21"/>
          <w:szCs w:val="21"/>
          <w:highlight w:val="none"/>
        </w:rPr>
        <w:t>编制。</w:t>
      </w:r>
      <w:r>
        <w:rPr>
          <w:rFonts w:hint="eastAsia"/>
          <w:color w:val="auto"/>
          <w:sz w:val="21"/>
          <w:szCs w:val="21"/>
          <w:highlight w:val="none"/>
        </w:rPr>
        <w:br w:type="textWrapping"/>
      </w:r>
      <w:r>
        <w:rPr>
          <w:rFonts w:hint="eastAsia"/>
          <w:color w:val="auto"/>
          <w:sz w:val="21"/>
          <w:szCs w:val="21"/>
          <w:highlight w:val="none"/>
        </w:rPr>
        <w:t>   备注：</w:t>
      </w:r>
      <w:r>
        <w:rPr>
          <w:rFonts w:hint="eastAsia"/>
          <w:color w:val="auto"/>
          <w:sz w:val="21"/>
          <w:szCs w:val="21"/>
          <w:highlight w:val="none"/>
          <w:lang w:val="en-US" w:eastAsia="zh-CN"/>
        </w:rPr>
        <w:t>/</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合同履约期限：标项1，自合同签订起</w:t>
      </w:r>
      <w:r>
        <w:rPr>
          <w:rFonts w:hint="eastAsia"/>
          <w:color w:val="auto"/>
          <w:sz w:val="21"/>
          <w:szCs w:val="21"/>
          <w:highlight w:val="none"/>
          <w:lang w:val="en-US" w:eastAsia="zh-CN"/>
        </w:rPr>
        <w:t>6个月内完成所有工作</w:t>
      </w:r>
      <w:r>
        <w:rPr>
          <w:rFonts w:hint="eastAsia"/>
          <w:color w:val="auto"/>
          <w:sz w:val="21"/>
          <w:szCs w:val="21"/>
          <w:highlight w:val="none"/>
        </w:rPr>
        <w:t>。最终报批稿完成时间以上位规划及上级审查批复部门要求为准。</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本项目（</w:t>
      </w:r>
      <w:r>
        <w:rPr>
          <w:rFonts w:hint="eastAsia"/>
          <w:color w:val="auto"/>
          <w:sz w:val="21"/>
          <w:szCs w:val="21"/>
          <w:highlight w:val="none"/>
          <w:lang w:val="en-US" w:eastAsia="zh-CN"/>
        </w:rPr>
        <w:t>是</w:t>
      </w:r>
      <w:r>
        <w:rPr>
          <w:rFonts w:hint="eastAsia"/>
          <w:color w:val="auto"/>
          <w:sz w:val="21"/>
          <w:szCs w:val="21"/>
          <w:highlight w:val="none"/>
        </w:rPr>
        <w:t>）接受联合体投标。</w:t>
      </w:r>
    </w:p>
    <w:p>
      <w:pPr>
        <w:pStyle w:val="43"/>
        <w:spacing w:before="0" w:beforeAutospacing="0" w:after="0" w:afterAutospacing="0" w:line="400" w:lineRule="exact"/>
        <w:rPr>
          <w:color w:val="auto"/>
          <w:sz w:val="21"/>
          <w:szCs w:val="21"/>
          <w:highlight w:val="none"/>
        </w:rPr>
      </w:pPr>
      <w:r>
        <w:rPr>
          <w:rStyle w:val="50"/>
          <w:rFonts w:hint="eastAsia"/>
          <w:color w:val="auto"/>
          <w:sz w:val="21"/>
          <w:szCs w:val="21"/>
          <w:highlight w:val="none"/>
        </w:rPr>
        <w:t>二、申请人的资格要求：</w:t>
      </w:r>
    </w:p>
    <w:p>
      <w:pPr>
        <w:pStyle w:val="43"/>
        <w:wordWrap w:val="0"/>
        <w:spacing w:before="0" w:beforeAutospacing="0" w:after="0" w:afterAutospacing="0" w:line="400" w:lineRule="exact"/>
        <w:ind w:firstLine="420" w:firstLineChars="200"/>
        <w:rPr>
          <w:rFonts w:cs="仿宋"/>
          <w:color w:val="auto"/>
          <w:sz w:val="21"/>
          <w:szCs w:val="21"/>
          <w:highlight w:val="none"/>
        </w:rPr>
      </w:pPr>
      <w:r>
        <w:rPr>
          <w:rFonts w:hint="eastAsia" w:cs="仿宋"/>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3"/>
        <w:spacing w:before="0" w:beforeAutospacing="0" w:after="0" w:afterAutospacing="0" w:line="400" w:lineRule="exact"/>
        <w:ind w:firstLine="420" w:firstLineChars="200"/>
        <w:rPr>
          <w:rFonts w:cs="仿宋"/>
          <w:color w:val="auto"/>
          <w:sz w:val="21"/>
          <w:szCs w:val="21"/>
          <w:highlight w:val="none"/>
        </w:rPr>
      </w:pPr>
      <w:r>
        <w:rPr>
          <w:rFonts w:hint="eastAsia" w:cs="仿宋"/>
          <w:color w:val="auto"/>
          <w:sz w:val="21"/>
          <w:szCs w:val="21"/>
          <w:highlight w:val="none"/>
        </w:rPr>
        <w:t>2.落实政府采购政策需满足的资格要求：</w:t>
      </w:r>
      <w:r>
        <w:rPr>
          <w:rFonts w:hint="eastAsia" w:cs="仿宋"/>
          <w:color w:val="auto"/>
          <w:sz w:val="21"/>
          <w:szCs w:val="21"/>
          <w:highlight w:val="none"/>
          <w:lang w:val="en-US" w:eastAsia="zh-CN"/>
        </w:rPr>
        <w:t>无</w:t>
      </w:r>
      <w:r>
        <w:rPr>
          <w:rFonts w:hint="eastAsia" w:cs="仿宋"/>
          <w:color w:val="auto"/>
          <w:sz w:val="21"/>
          <w:szCs w:val="21"/>
          <w:highlight w:val="none"/>
        </w:rPr>
        <w:t>。</w:t>
      </w:r>
    </w:p>
    <w:p>
      <w:pPr>
        <w:pStyle w:val="43"/>
        <w:spacing w:before="0" w:beforeAutospacing="0" w:after="0" w:afterAutospacing="0" w:line="400" w:lineRule="exact"/>
        <w:ind w:firstLine="420" w:firstLineChars="200"/>
        <w:rPr>
          <w:rFonts w:hint="eastAsia" w:ascii="宋体" w:hAnsi="宋体" w:eastAsia="宋体" w:cs="宋体"/>
          <w:color w:val="auto"/>
          <w:sz w:val="21"/>
          <w:szCs w:val="21"/>
          <w:highlight w:val="none"/>
        </w:rPr>
      </w:pPr>
      <w:r>
        <w:rPr>
          <w:rFonts w:hint="eastAsia"/>
          <w:color w:val="auto"/>
          <w:sz w:val="21"/>
          <w:szCs w:val="21"/>
          <w:highlight w:val="none"/>
        </w:rPr>
        <w:t>3.本项目的特定资格要求：</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若联合体投标，</w:t>
      </w:r>
      <w:r>
        <w:rPr>
          <w:rFonts w:hint="eastAsia" w:ascii="宋体" w:hAnsi="宋体" w:eastAsia="宋体" w:cs="宋体"/>
          <w:color w:val="auto"/>
          <w:sz w:val="21"/>
          <w:szCs w:val="21"/>
          <w:highlight w:val="none"/>
        </w:rPr>
        <w:t>联合体牵头人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需具有有效的自然资源部门颁发的城乡规划编制乙级及以上资质证书，组成联合体的成员数量不得超过两个。</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三、获取招标文件</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时间：</w:t>
      </w:r>
      <w:r>
        <w:rPr>
          <w:rFonts w:hint="eastAsia" w:cs="仿宋"/>
          <w:color w:val="auto"/>
          <w:sz w:val="21"/>
          <w:szCs w:val="21"/>
          <w:highlight w:val="none"/>
        </w:rPr>
        <w:t>即日起</w:t>
      </w:r>
      <w:r>
        <w:rPr>
          <w:rFonts w:hint="eastAsia"/>
          <w:color w:val="auto"/>
          <w:sz w:val="21"/>
          <w:szCs w:val="21"/>
          <w:highlight w:val="none"/>
        </w:rPr>
        <w:t>至</w:t>
      </w:r>
      <w:r>
        <w:rPr>
          <w:rFonts w:hint="eastAsia" w:cs="仿宋"/>
          <w:color w:val="auto"/>
          <w:sz w:val="21"/>
          <w:szCs w:val="21"/>
          <w:highlight w:val="none"/>
        </w:rPr>
        <w:t>20</w:t>
      </w:r>
      <w:r>
        <w:rPr>
          <w:rFonts w:hint="eastAsia" w:cs="仿宋"/>
          <w:color w:val="auto"/>
          <w:sz w:val="21"/>
          <w:szCs w:val="21"/>
          <w:highlight w:val="none"/>
          <w:lang w:val="en-US" w:eastAsia="zh-CN"/>
        </w:rPr>
        <w:t>24</w:t>
      </w:r>
      <w:r>
        <w:rPr>
          <w:rFonts w:hint="eastAsia" w:cs="仿宋"/>
          <w:color w:val="auto"/>
          <w:sz w:val="21"/>
          <w:szCs w:val="21"/>
          <w:highlight w:val="none"/>
        </w:rPr>
        <w:t>年</w:t>
      </w:r>
      <w:r>
        <w:rPr>
          <w:rFonts w:hint="eastAsia" w:cs="仿宋"/>
          <w:color w:val="auto"/>
          <w:sz w:val="21"/>
          <w:szCs w:val="21"/>
          <w:highlight w:val="none"/>
          <w:lang w:val="en-US" w:eastAsia="zh-CN"/>
        </w:rPr>
        <w:t>4</w:t>
      </w:r>
      <w:r>
        <w:rPr>
          <w:rFonts w:hint="eastAsia" w:cs="仿宋"/>
          <w:color w:val="auto"/>
          <w:sz w:val="21"/>
          <w:szCs w:val="21"/>
          <w:highlight w:val="none"/>
        </w:rPr>
        <w:t>月</w:t>
      </w:r>
      <w:r>
        <w:rPr>
          <w:rFonts w:hint="eastAsia" w:cs="仿宋"/>
          <w:color w:val="auto"/>
          <w:sz w:val="21"/>
          <w:szCs w:val="21"/>
          <w:highlight w:val="none"/>
          <w:lang w:val="en-US" w:eastAsia="zh-CN"/>
        </w:rPr>
        <w:t xml:space="preserve"> 30</w:t>
      </w:r>
      <w:r>
        <w:rPr>
          <w:rFonts w:hint="eastAsia" w:cs="仿宋"/>
          <w:color w:val="auto"/>
          <w:sz w:val="21"/>
          <w:szCs w:val="21"/>
          <w:highlight w:val="none"/>
        </w:rPr>
        <w:t>日</w:t>
      </w:r>
      <w:r>
        <w:rPr>
          <w:rFonts w:hint="eastAsia"/>
          <w:color w:val="auto"/>
          <w:sz w:val="21"/>
          <w:szCs w:val="21"/>
          <w:highlight w:val="none"/>
        </w:rPr>
        <w:t>，每天上午00：00至12：00，下午12：00至23：59（北京时间，线上获取法定节假日均可）</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地点（网址）：政府采购云平台（www.zcygov.cn）</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方式：（1）供应商登录政府采购云平台（www.zcygov.cn）的注册账号后，进入政采云系统“项目采购”模块“获取采购文件”菜单，进行网上获取招标文件。如有疑问请及时咨询网站客服，咨询电话：</w:t>
      </w:r>
      <w:r>
        <w:rPr>
          <w:color w:val="auto"/>
          <w:sz w:val="21"/>
          <w:szCs w:val="21"/>
          <w:highlight w:val="none"/>
        </w:rPr>
        <w:t>95763</w:t>
      </w:r>
      <w:r>
        <w:rPr>
          <w:rFonts w:hint="eastAsia"/>
          <w:color w:val="auto"/>
          <w:sz w:val="21"/>
          <w:szCs w:val="21"/>
          <w:highlight w:val="none"/>
        </w:rPr>
        <w:t>。（2）获取招标文件前，供应商应在“浙江政府采购网（zfcg.czt.zj.gov.cn）”上进行供应商注册申请，并通过财政部门的终审后登记加入到“浙江省政府采购供应商库”。中标供应商必须注册并登记加入“浙江省政府采购供应商库”。具体要求及注册申请流程详见浙江政府采购网“网上办事指南”的“供应商登记”。注册咨询电话：</w:t>
      </w:r>
      <w:r>
        <w:rPr>
          <w:rFonts w:hint="eastAsia"/>
          <w:color w:val="auto"/>
          <w:sz w:val="21"/>
          <w:szCs w:val="21"/>
          <w:highlight w:val="none"/>
          <w:lang w:eastAsia="zh-CN"/>
        </w:rPr>
        <w:t>95763</w:t>
      </w:r>
      <w:r>
        <w:rPr>
          <w:rFonts w:hint="eastAsia"/>
          <w:color w:val="auto"/>
          <w:sz w:val="21"/>
          <w:szCs w:val="21"/>
          <w:highlight w:val="none"/>
        </w:rPr>
        <w:t>，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售价（元）：0</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四、提交投标文件截止时间、开标时间和地点</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提交投标文件截止时间：</w:t>
      </w:r>
      <w:r>
        <w:rPr>
          <w:rFonts w:hint="eastAsia" w:cs="仿宋"/>
          <w:color w:val="auto"/>
          <w:sz w:val="21"/>
          <w:szCs w:val="21"/>
          <w:highlight w:val="none"/>
        </w:rPr>
        <w:t>202</w:t>
      </w:r>
      <w:r>
        <w:rPr>
          <w:rFonts w:hint="eastAsia" w:cs="仿宋"/>
          <w:color w:val="auto"/>
          <w:sz w:val="21"/>
          <w:szCs w:val="21"/>
          <w:highlight w:val="none"/>
          <w:lang w:val="en-US" w:eastAsia="zh-CN"/>
        </w:rPr>
        <w:t>4</w:t>
      </w:r>
      <w:r>
        <w:rPr>
          <w:rFonts w:hint="eastAsia" w:cs="仿宋"/>
          <w:color w:val="auto"/>
          <w:sz w:val="21"/>
          <w:szCs w:val="21"/>
          <w:highlight w:val="none"/>
        </w:rPr>
        <w:t>年</w:t>
      </w:r>
      <w:r>
        <w:rPr>
          <w:rFonts w:hint="eastAsia" w:cs="仿宋"/>
          <w:color w:val="auto"/>
          <w:sz w:val="21"/>
          <w:szCs w:val="21"/>
          <w:highlight w:val="none"/>
          <w:lang w:val="en-US" w:eastAsia="zh-CN"/>
        </w:rPr>
        <w:t>5</w:t>
      </w:r>
      <w:r>
        <w:rPr>
          <w:rFonts w:hint="eastAsia" w:cs="仿宋"/>
          <w:color w:val="auto"/>
          <w:sz w:val="21"/>
          <w:szCs w:val="21"/>
          <w:highlight w:val="none"/>
        </w:rPr>
        <w:t>月</w:t>
      </w:r>
      <w:r>
        <w:rPr>
          <w:rFonts w:hint="eastAsia" w:cs="仿宋"/>
          <w:color w:val="auto"/>
          <w:sz w:val="21"/>
          <w:szCs w:val="21"/>
          <w:highlight w:val="none"/>
          <w:lang w:val="en-US" w:eastAsia="zh-CN"/>
        </w:rPr>
        <w:t xml:space="preserve">16 </w:t>
      </w:r>
      <w:r>
        <w:rPr>
          <w:rFonts w:hint="eastAsia" w:cs="仿宋"/>
          <w:color w:val="auto"/>
          <w:sz w:val="21"/>
          <w:szCs w:val="21"/>
          <w:highlight w:val="none"/>
        </w:rPr>
        <w:t>日</w:t>
      </w:r>
      <w:r>
        <w:rPr>
          <w:rFonts w:hint="eastAsia" w:cs="仿宋"/>
          <w:color w:val="auto"/>
          <w:sz w:val="21"/>
          <w:szCs w:val="21"/>
          <w:highlight w:val="none"/>
          <w:lang w:val="en-US" w:eastAsia="zh-CN"/>
        </w:rPr>
        <w:t>14</w:t>
      </w:r>
      <w:r>
        <w:rPr>
          <w:rFonts w:hint="eastAsia" w:cs="仿宋"/>
          <w:color w:val="auto"/>
          <w:sz w:val="21"/>
          <w:szCs w:val="21"/>
          <w:highlight w:val="none"/>
        </w:rPr>
        <w:t>：30</w:t>
      </w:r>
      <w:r>
        <w:rPr>
          <w:rFonts w:hint="eastAsia"/>
          <w:color w:val="auto"/>
          <w:sz w:val="21"/>
          <w:szCs w:val="21"/>
          <w:highlight w:val="none"/>
        </w:rPr>
        <w:t>（北京时间）</w:t>
      </w:r>
    </w:p>
    <w:p>
      <w:pPr>
        <w:pStyle w:val="43"/>
        <w:spacing w:before="0" w:beforeAutospacing="0" w:after="0" w:afterAutospacing="0" w:line="400" w:lineRule="exact"/>
        <w:ind w:firstLine="422" w:firstLineChars="200"/>
        <w:rPr>
          <w:b/>
          <w:bCs/>
          <w:color w:val="auto"/>
          <w:sz w:val="21"/>
          <w:szCs w:val="21"/>
          <w:highlight w:val="none"/>
        </w:rPr>
      </w:pPr>
      <w:r>
        <w:rPr>
          <w:rFonts w:hint="eastAsia"/>
          <w:b/>
          <w:bCs/>
          <w:color w:val="auto"/>
          <w:sz w:val="21"/>
          <w:szCs w:val="21"/>
          <w:highlight w:val="none"/>
        </w:rPr>
        <w:t>投标地点（网址）：政采云平台开标大厅</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开标时间：</w:t>
      </w:r>
      <w:r>
        <w:rPr>
          <w:rFonts w:hint="eastAsia" w:cs="仿宋"/>
          <w:color w:val="auto"/>
          <w:sz w:val="21"/>
          <w:szCs w:val="21"/>
          <w:highlight w:val="none"/>
        </w:rPr>
        <w:t>202</w:t>
      </w:r>
      <w:r>
        <w:rPr>
          <w:rFonts w:hint="eastAsia" w:cs="仿宋"/>
          <w:color w:val="auto"/>
          <w:sz w:val="21"/>
          <w:szCs w:val="21"/>
          <w:highlight w:val="none"/>
          <w:lang w:val="en-US" w:eastAsia="zh-CN"/>
        </w:rPr>
        <w:t>4</w:t>
      </w:r>
      <w:r>
        <w:rPr>
          <w:rFonts w:hint="eastAsia" w:cs="仿宋"/>
          <w:color w:val="auto"/>
          <w:sz w:val="21"/>
          <w:szCs w:val="21"/>
          <w:highlight w:val="none"/>
        </w:rPr>
        <w:t>年</w:t>
      </w:r>
      <w:r>
        <w:rPr>
          <w:rFonts w:hint="eastAsia" w:cs="仿宋"/>
          <w:color w:val="auto"/>
          <w:sz w:val="21"/>
          <w:szCs w:val="21"/>
          <w:highlight w:val="none"/>
          <w:lang w:val="en-US" w:eastAsia="zh-CN"/>
        </w:rPr>
        <w:t>5</w:t>
      </w:r>
      <w:r>
        <w:rPr>
          <w:rFonts w:hint="eastAsia" w:cs="仿宋"/>
          <w:color w:val="auto"/>
          <w:sz w:val="21"/>
          <w:szCs w:val="21"/>
          <w:highlight w:val="none"/>
        </w:rPr>
        <w:t>月</w:t>
      </w:r>
      <w:r>
        <w:rPr>
          <w:rFonts w:hint="eastAsia" w:cs="仿宋"/>
          <w:color w:val="auto"/>
          <w:sz w:val="21"/>
          <w:szCs w:val="21"/>
          <w:highlight w:val="none"/>
          <w:lang w:val="en-US" w:eastAsia="zh-CN"/>
        </w:rPr>
        <w:t>16</w:t>
      </w:r>
      <w:r>
        <w:rPr>
          <w:rFonts w:hint="eastAsia" w:cs="仿宋"/>
          <w:color w:val="auto"/>
          <w:sz w:val="21"/>
          <w:szCs w:val="21"/>
          <w:highlight w:val="none"/>
        </w:rPr>
        <w:t>日</w:t>
      </w:r>
      <w:r>
        <w:rPr>
          <w:rFonts w:hint="eastAsia" w:cs="仿宋"/>
          <w:color w:val="auto"/>
          <w:sz w:val="21"/>
          <w:szCs w:val="21"/>
          <w:highlight w:val="none"/>
          <w:lang w:val="en-US" w:eastAsia="zh-CN"/>
        </w:rPr>
        <w:t>14</w:t>
      </w:r>
      <w:r>
        <w:rPr>
          <w:rFonts w:hint="eastAsia" w:cs="仿宋"/>
          <w:color w:val="auto"/>
          <w:sz w:val="21"/>
          <w:szCs w:val="21"/>
          <w:highlight w:val="none"/>
        </w:rPr>
        <w:t>：30（北京时间）</w:t>
      </w:r>
    </w:p>
    <w:p>
      <w:pPr>
        <w:pStyle w:val="43"/>
        <w:spacing w:before="0" w:beforeAutospacing="0" w:after="0" w:afterAutospacing="0" w:line="400" w:lineRule="exact"/>
        <w:ind w:firstLine="422" w:firstLineChars="200"/>
        <w:rPr>
          <w:b/>
          <w:bCs/>
          <w:color w:val="auto"/>
          <w:sz w:val="21"/>
          <w:szCs w:val="21"/>
          <w:highlight w:val="none"/>
        </w:rPr>
      </w:pPr>
      <w:r>
        <w:rPr>
          <w:rFonts w:hint="eastAsia"/>
          <w:b/>
          <w:bCs/>
          <w:color w:val="auto"/>
          <w:sz w:val="21"/>
          <w:szCs w:val="21"/>
          <w:highlight w:val="none"/>
        </w:rPr>
        <w:t>开标地点（网址）：政采云平台开标大厅</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五、公告期限</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自本公告发布之日起5个工作日。</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六、其他补充事宜</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1.供应商认为采购文件使自己的权益受到损害的，可以自获取采购文件之日或者采购文件公告期限届满之日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2.其他事项：（1）单位负责人为同一人或者存在直接控股、管理关系的不同供应商，不得参加同一子包号的投标；（2）为本项目提供整体设计、规范编制或者项目管理、监理、检测等服务的供应商，不得再参加本项目的投标；（3）公益一类事业单位不属于政府购买服务的承接主体，不得参与承接政府购买服务；（4）落实的政策：《关于促进残疾人就业政府采购政策的通知》（财库[2017]141号）、《政府采购促进中小企业发展管理办法》（财库〔2020〕46号）、《关于政府采购支持监狱企业发展有关问题的通知》（财库[2014]68号）。</w:t>
      </w:r>
    </w:p>
    <w:p>
      <w:pPr>
        <w:pStyle w:val="43"/>
        <w:spacing w:before="0" w:beforeAutospacing="0" w:after="0" w:afterAutospacing="0" w:line="400" w:lineRule="exact"/>
        <w:jc w:val="both"/>
        <w:rPr>
          <w:color w:val="auto"/>
          <w:sz w:val="21"/>
          <w:szCs w:val="21"/>
          <w:highlight w:val="none"/>
        </w:rPr>
      </w:pPr>
      <w:r>
        <w:rPr>
          <w:rStyle w:val="50"/>
          <w:rFonts w:hint="eastAsia"/>
          <w:color w:val="auto"/>
          <w:sz w:val="21"/>
          <w:szCs w:val="21"/>
          <w:highlight w:val="none"/>
        </w:rPr>
        <w:t>七、对本次采购提出询问、质疑、投诉，请按以下方式联系</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1.采购人信息</w:t>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名称：</w:t>
      </w:r>
      <w:r>
        <w:rPr>
          <w:rFonts w:hint="eastAsia"/>
          <w:color w:val="auto"/>
          <w:sz w:val="21"/>
          <w:szCs w:val="21"/>
          <w:highlight w:val="none"/>
          <w:lang w:eastAsia="zh-CN"/>
        </w:rPr>
        <w:t>慈溪市匡堰镇人民政府</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地址：慈溪市匡堰镇匡兴路89号</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传真：/</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项目联系人（询问）：</w:t>
      </w:r>
      <w:r>
        <w:rPr>
          <w:rFonts w:hint="eastAsia"/>
          <w:color w:val="auto"/>
          <w:sz w:val="21"/>
          <w:szCs w:val="21"/>
          <w:highlight w:val="none"/>
          <w:lang w:val="en-US" w:eastAsia="zh-CN"/>
        </w:rPr>
        <w:t>龚老师</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项目联系方式（询问）：0574-63532408</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质疑联系人：</w:t>
      </w:r>
      <w:r>
        <w:rPr>
          <w:rFonts w:hint="eastAsia"/>
          <w:color w:val="auto"/>
          <w:sz w:val="21"/>
          <w:szCs w:val="21"/>
          <w:highlight w:val="none"/>
          <w:lang w:val="en-US" w:eastAsia="zh-CN"/>
        </w:rPr>
        <w:t xml:space="preserve"> 宋老师</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质疑联系方式：0574-63532408</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2.采购代理机构信息</w:t>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名称：</w:t>
      </w:r>
      <w:r>
        <w:rPr>
          <w:rFonts w:hint="eastAsia"/>
          <w:color w:val="auto"/>
          <w:sz w:val="21"/>
          <w:szCs w:val="21"/>
          <w:highlight w:val="none"/>
          <w:lang w:eastAsia="zh-CN"/>
        </w:rPr>
        <w:t>宁波安全三江工程咨询招标代理有限公司</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地址：慈溪市白沙路街道人和路948号楼2-6、2-7室</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传真：0574-</w:t>
      </w:r>
      <w:r>
        <w:rPr>
          <w:rFonts w:hint="eastAsia"/>
          <w:color w:val="auto"/>
          <w:sz w:val="21"/>
          <w:szCs w:val="21"/>
          <w:highlight w:val="none"/>
          <w:lang w:val="en-US" w:eastAsia="zh-CN"/>
        </w:rPr>
        <w:t>63009688</w:t>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项目联系人（询问）：</w:t>
      </w:r>
      <w:r>
        <w:rPr>
          <w:rFonts w:hint="eastAsia"/>
          <w:color w:val="auto"/>
          <w:sz w:val="21"/>
          <w:szCs w:val="21"/>
          <w:highlight w:val="none"/>
          <w:lang w:val="en-US" w:eastAsia="zh-CN"/>
        </w:rPr>
        <w:t>叶鑫霞</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项目联系方式（询问）：0574-</w:t>
      </w:r>
      <w:r>
        <w:rPr>
          <w:rFonts w:hint="eastAsia"/>
          <w:color w:val="auto"/>
          <w:sz w:val="21"/>
          <w:szCs w:val="21"/>
          <w:highlight w:val="none"/>
          <w:lang w:val="en-US" w:eastAsia="zh-CN"/>
        </w:rPr>
        <w:t>63009689</w:t>
      </w:r>
    </w:p>
    <w:p>
      <w:pPr>
        <w:pStyle w:val="43"/>
        <w:spacing w:before="0" w:beforeAutospacing="0" w:after="0" w:afterAutospacing="0" w:line="400" w:lineRule="exact"/>
        <w:ind w:firstLine="420" w:firstLineChars="200"/>
        <w:rPr>
          <w:rFonts w:hint="eastAsia" w:eastAsia="宋体"/>
          <w:color w:val="auto"/>
          <w:sz w:val="21"/>
          <w:szCs w:val="21"/>
          <w:highlight w:val="none"/>
          <w:lang w:eastAsia="zh-CN"/>
        </w:rPr>
      </w:pPr>
      <w:r>
        <w:rPr>
          <w:rFonts w:hint="eastAsia"/>
          <w:color w:val="auto"/>
          <w:sz w:val="21"/>
          <w:szCs w:val="21"/>
          <w:highlight w:val="none"/>
        </w:rPr>
        <w:t>质疑联系人：</w:t>
      </w:r>
      <w:r>
        <w:rPr>
          <w:rFonts w:hint="eastAsia"/>
          <w:color w:val="auto"/>
          <w:sz w:val="21"/>
          <w:szCs w:val="21"/>
          <w:highlight w:val="none"/>
          <w:lang w:val="en-US" w:eastAsia="zh-CN"/>
        </w:rPr>
        <w:t>吴启训</w:t>
      </w:r>
    </w:p>
    <w:p>
      <w:pPr>
        <w:pStyle w:val="43"/>
        <w:spacing w:before="0" w:beforeAutospacing="0" w:after="0" w:afterAutospacing="0" w:line="400" w:lineRule="exact"/>
        <w:ind w:firstLine="420" w:firstLineChars="200"/>
        <w:rPr>
          <w:rFonts w:hint="default"/>
          <w:color w:val="auto"/>
          <w:sz w:val="21"/>
          <w:szCs w:val="21"/>
          <w:highlight w:val="none"/>
          <w:lang w:val="en-US"/>
        </w:rPr>
      </w:pPr>
      <w:r>
        <w:rPr>
          <w:rFonts w:hint="eastAsia"/>
          <w:color w:val="auto"/>
          <w:sz w:val="21"/>
          <w:szCs w:val="21"/>
          <w:highlight w:val="none"/>
        </w:rPr>
        <w:t>质疑联系方式：0574-</w:t>
      </w:r>
      <w:r>
        <w:rPr>
          <w:rFonts w:hint="eastAsia"/>
          <w:color w:val="auto"/>
          <w:sz w:val="21"/>
          <w:szCs w:val="21"/>
          <w:highlight w:val="none"/>
          <w:lang w:val="en-US" w:eastAsia="zh-CN"/>
        </w:rPr>
        <w:t>63009688</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3.同级政府采购监督管理部门</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名称：慈溪市财政局</w:t>
      </w:r>
    </w:p>
    <w:p>
      <w:pPr>
        <w:pStyle w:val="43"/>
        <w:spacing w:before="0" w:beforeAutospacing="0" w:after="0" w:afterAutospacing="0" w:line="400" w:lineRule="exact"/>
        <w:ind w:firstLine="420" w:firstLineChars="200"/>
        <w:rPr>
          <w:rFonts w:hint="default" w:eastAsia="宋体"/>
          <w:color w:val="auto"/>
          <w:sz w:val="21"/>
          <w:szCs w:val="21"/>
          <w:highlight w:val="none"/>
          <w:lang w:val="en-US" w:eastAsia="zh-CN"/>
        </w:rPr>
      </w:pPr>
      <w:r>
        <w:rPr>
          <w:rFonts w:hint="eastAsia"/>
          <w:color w:val="auto"/>
          <w:sz w:val="21"/>
          <w:szCs w:val="21"/>
          <w:highlight w:val="none"/>
        </w:rPr>
        <w:t>地址：慈溪市南二环东路1158号</w:t>
      </w:r>
      <w:r>
        <w:rPr>
          <w:rFonts w:hint="eastAsia"/>
          <w:color w:val="auto"/>
          <w:sz w:val="21"/>
          <w:szCs w:val="21"/>
          <w:highlight w:val="none"/>
          <w:lang w:val="en-US" w:eastAsia="zh-CN"/>
        </w:rPr>
        <w:t>6楼621室</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传真：/</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联系人：赵先生</w:t>
      </w:r>
    </w:p>
    <w:p>
      <w:pPr>
        <w:pStyle w:val="43"/>
        <w:spacing w:before="0" w:beforeAutospacing="0" w:after="0" w:afterAutospacing="0" w:line="400" w:lineRule="exact"/>
        <w:ind w:firstLine="420" w:firstLineChars="200"/>
        <w:rPr>
          <w:color w:val="auto"/>
          <w:sz w:val="21"/>
          <w:szCs w:val="21"/>
          <w:highlight w:val="none"/>
        </w:rPr>
      </w:pPr>
      <w:r>
        <w:rPr>
          <w:rFonts w:hint="eastAsia"/>
          <w:color w:val="auto"/>
          <w:sz w:val="21"/>
          <w:szCs w:val="21"/>
          <w:highlight w:val="none"/>
        </w:rPr>
        <w:t>监督投诉电话：0574-63032032</w:t>
      </w:r>
    </w:p>
    <w:p>
      <w:pPr>
        <w:pStyle w:val="43"/>
        <w:spacing w:before="0" w:beforeAutospacing="0" w:after="0" w:afterAutospacing="0" w:line="400" w:lineRule="exact"/>
        <w:ind w:firstLine="420" w:firstLineChars="200"/>
        <w:rPr>
          <w:color w:val="auto"/>
          <w:sz w:val="21"/>
          <w:szCs w:val="21"/>
          <w:highlight w:val="none"/>
        </w:rPr>
      </w:pPr>
    </w:p>
    <w:p>
      <w:pPr>
        <w:spacing w:line="400" w:lineRule="exact"/>
        <w:ind w:firstLine="420" w:firstLineChars="200"/>
        <w:outlineLvl w:val="9"/>
        <w:rPr>
          <w:rFonts w:ascii="宋体" w:hAnsi="宋体"/>
          <w:color w:val="auto"/>
          <w:szCs w:val="21"/>
          <w:highlight w:val="none"/>
        </w:rPr>
      </w:pPr>
      <w:r>
        <w:rPr>
          <w:rFonts w:hint="eastAsia" w:ascii="宋体" w:hAnsi="宋体"/>
          <w:color w:val="auto"/>
          <w:szCs w:val="21"/>
          <w:highlight w:val="none"/>
        </w:rPr>
        <w:t>若对项目采购电子交易系统操作有疑问，可登录政采云（https://www.zcygov.cn/），点击右侧咨询小采，获取采小蜜智能服务管家帮助，或拨打政采云服务热线95763获取热线服务帮助。</w:t>
      </w:r>
    </w:p>
    <w:p>
      <w:pPr>
        <w:spacing w:line="400" w:lineRule="exact"/>
        <w:ind w:firstLine="420" w:firstLineChars="200"/>
        <w:outlineLvl w:val="9"/>
        <w:rPr>
          <w:rFonts w:ascii="宋体" w:hAnsi="宋体"/>
          <w:color w:val="auto"/>
          <w:szCs w:val="21"/>
          <w:highlight w:val="none"/>
        </w:rPr>
      </w:pPr>
      <w:r>
        <w:rPr>
          <w:rFonts w:hint="eastAsia" w:ascii="宋体" w:hAnsi="宋体"/>
          <w:color w:val="auto"/>
          <w:szCs w:val="21"/>
          <w:highlight w:val="none"/>
        </w:rPr>
        <w:t>CA问题联系电话（人工）：汇信CA 400-888-4636；天谷CA 400-087-8198。</w:t>
      </w:r>
    </w:p>
    <w:p>
      <w:pPr>
        <w:rPr>
          <w:rFonts w:hint="eastAsia" w:ascii="宋体" w:hAnsi="宋体"/>
          <w:b/>
          <w:color w:val="auto"/>
          <w:sz w:val="32"/>
          <w:highlight w:val="none"/>
          <w:lang w:eastAsia="zh-CN"/>
        </w:rPr>
      </w:pPr>
      <w:r>
        <w:rPr>
          <w:rFonts w:hint="eastAsia" w:ascii="宋体" w:hAnsi="宋体"/>
          <w:b/>
          <w:color w:val="auto"/>
          <w:sz w:val="32"/>
          <w:highlight w:val="none"/>
          <w:lang w:eastAsia="zh-CN"/>
        </w:rPr>
        <w:br w:type="page"/>
      </w:r>
    </w:p>
    <w:p>
      <w:pPr>
        <w:spacing w:line="400" w:lineRule="exact"/>
        <w:jc w:val="center"/>
        <w:outlineLvl w:val="0"/>
        <w:rPr>
          <w:rFonts w:ascii="宋体" w:hAnsi="宋体"/>
          <w:b/>
          <w:color w:val="auto"/>
          <w:sz w:val="32"/>
          <w:highlight w:val="none"/>
        </w:rPr>
      </w:pPr>
      <w:bookmarkStart w:id="1" w:name="_Toc17009"/>
      <w:r>
        <w:rPr>
          <w:rFonts w:hint="eastAsia" w:ascii="宋体" w:hAnsi="宋体"/>
          <w:b/>
          <w:color w:val="auto"/>
          <w:sz w:val="32"/>
          <w:highlight w:val="none"/>
          <w:lang w:eastAsia="zh-CN"/>
        </w:rPr>
        <w:t>第</w:t>
      </w:r>
      <w:r>
        <w:rPr>
          <w:rFonts w:hint="eastAsia" w:ascii="宋体" w:hAnsi="宋体"/>
          <w:b/>
          <w:color w:val="auto"/>
          <w:sz w:val="32"/>
          <w:highlight w:val="none"/>
          <w:lang w:val="en-US" w:eastAsia="zh-CN"/>
        </w:rPr>
        <w:t>二</w:t>
      </w:r>
      <w:r>
        <w:rPr>
          <w:rFonts w:hint="eastAsia" w:ascii="宋体" w:hAnsi="宋体"/>
          <w:b/>
          <w:color w:val="auto"/>
          <w:sz w:val="32"/>
          <w:highlight w:val="none"/>
          <w:lang w:eastAsia="zh-CN"/>
        </w:rPr>
        <w:t>章</w:t>
      </w:r>
      <w:r>
        <w:rPr>
          <w:rFonts w:hint="eastAsia" w:ascii="宋体" w:hAnsi="宋体"/>
          <w:b/>
          <w:color w:val="auto"/>
          <w:sz w:val="32"/>
          <w:highlight w:val="none"/>
          <w:lang w:val="en-US" w:eastAsia="zh-CN"/>
        </w:rPr>
        <w:t xml:space="preserve">  </w:t>
      </w:r>
      <w:r>
        <w:rPr>
          <w:rFonts w:hint="eastAsia" w:ascii="宋体" w:hAnsi="宋体"/>
          <w:b/>
          <w:color w:val="auto"/>
          <w:sz w:val="32"/>
          <w:highlight w:val="none"/>
        </w:rPr>
        <w:t>招标内容与技术需求</w:t>
      </w:r>
      <w:bookmarkEnd w:id="1"/>
    </w:p>
    <w:p>
      <w:pPr>
        <w:pStyle w:val="206"/>
        <w:spacing w:line="360" w:lineRule="auto"/>
        <w:ind w:firstLine="420" w:firstLineChars="200"/>
        <w:rPr>
          <w:rFonts w:ascii="宋体" w:hAnsi="宋体" w:eastAsia="宋体" w:cs="宋体"/>
          <w:color w:val="auto"/>
          <w:sz w:val="21"/>
          <w:szCs w:val="21"/>
          <w:highlight w:val="none"/>
        </w:rPr>
      </w:pP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项目背景</w:t>
      </w:r>
    </w:p>
    <w:p>
      <w:pPr>
        <w:spacing w:line="500" w:lineRule="exact"/>
        <w:ind w:firstLine="420" w:firstLineChars="200"/>
        <w:outlineLvl w:val="9"/>
        <w:rPr>
          <w:rFonts w:hint="eastAsia" w:ascii="宋体" w:hAnsi="宋体" w:eastAsia="宋体"/>
          <w:color w:val="auto"/>
          <w:szCs w:val="21"/>
          <w:highlight w:val="none"/>
          <w:lang w:eastAsia="zh-CN"/>
        </w:rPr>
      </w:pPr>
      <w:r>
        <w:rPr>
          <w:rFonts w:hint="eastAsia" w:ascii="宋体" w:hAnsi="宋体"/>
          <w:color w:val="auto"/>
          <w:szCs w:val="21"/>
          <w:highlight w:val="none"/>
        </w:rPr>
        <w:t>为适应新形势、紧抓新契机、重塑新优势，提升</w:t>
      </w:r>
      <w:r>
        <w:rPr>
          <w:rFonts w:hint="eastAsia" w:ascii="宋体" w:hAnsi="宋体"/>
          <w:color w:val="auto"/>
          <w:szCs w:val="21"/>
          <w:highlight w:val="none"/>
          <w:lang w:val="en-US" w:eastAsia="zh-CN"/>
        </w:rPr>
        <w:t>区域</w:t>
      </w:r>
      <w:r>
        <w:rPr>
          <w:rFonts w:hint="eastAsia" w:ascii="宋体" w:hAnsi="宋体"/>
          <w:color w:val="auto"/>
          <w:szCs w:val="21"/>
          <w:highlight w:val="none"/>
        </w:rPr>
        <w:t>能级和品质魅力，提供规划管理有效依据，</w:t>
      </w:r>
      <w:r>
        <w:rPr>
          <w:rFonts w:hint="eastAsia" w:ascii="宋体" w:hAnsi="宋体"/>
          <w:color w:val="auto"/>
          <w:szCs w:val="21"/>
          <w:highlight w:val="none"/>
          <w:lang w:val="en-US" w:eastAsia="zh-CN"/>
        </w:rPr>
        <w:t>特开展匡堰镇城镇单元</w:t>
      </w:r>
      <w:r>
        <w:rPr>
          <w:rFonts w:hint="eastAsia" w:ascii="宋体" w:hAnsi="宋体"/>
          <w:color w:val="auto"/>
          <w:szCs w:val="21"/>
          <w:highlight w:val="none"/>
          <w:lang w:eastAsia="zh-CN"/>
        </w:rPr>
        <w:t>控制性详细规划</w:t>
      </w:r>
      <w:r>
        <w:rPr>
          <w:rFonts w:hint="eastAsia" w:ascii="宋体" w:hAnsi="宋体"/>
          <w:color w:val="auto"/>
          <w:szCs w:val="21"/>
          <w:highlight w:val="none"/>
          <w:lang w:val="en-US" w:eastAsia="zh-CN"/>
        </w:rPr>
        <w:t>编制工作。明确匡堰镇镇</w:t>
      </w:r>
      <w:r>
        <w:rPr>
          <w:rFonts w:hint="eastAsia" w:ascii="宋体" w:hAnsi="宋体"/>
          <w:color w:val="auto"/>
          <w:szCs w:val="21"/>
          <w:highlight w:val="none"/>
        </w:rPr>
        <w:t>域的发展目标</w:t>
      </w:r>
      <w:r>
        <w:rPr>
          <w:rFonts w:hint="eastAsia" w:ascii="宋体" w:hAnsi="宋体"/>
          <w:color w:val="auto"/>
          <w:szCs w:val="21"/>
          <w:highlight w:val="none"/>
          <w:lang w:eastAsia="zh-CN"/>
        </w:rPr>
        <w:t>、</w:t>
      </w:r>
      <w:r>
        <w:rPr>
          <w:rFonts w:ascii="宋体" w:hAnsi="宋体"/>
          <w:bCs/>
          <w:color w:val="auto"/>
          <w:szCs w:val="21"/>
          <w:highlight w:val="none"/>
        </w:rPr>
        <w:t>功能定位、发展规模与空间结构，提出公共服务配套设施、规划建设容量、用地控制指标、综合交通系统等规划布局方案及控制要求，对空间景观、历史文化资源、人防和地下空间、六线控制等内容提出相应的指引或控制方案。</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规划范围</w:t>
      </w:r>
    </w:p>
    <w:p>
      <w:pPr>
        <w:spacing w:line="500" w:lineRule="exact"/>
        <w:ind w:firstLine="420" w:firstLineChars="200"/>
        <w:outlineLvl w:val="9"/>
        <w:rPr>
          <w:rFonts w:hint="eastAsia" w:ascii="宋体" w:hAnsi="宋体"/>
          <w:color w:val="auto"/>
          <w:szCs w:val="21"/>
          <w:highlight w:val="none"/>
          <w:lang w:val="en-US" w:eastAsia="zh-CN"/>
        </w:rPr>
      </w:pPr>
      <w:r>
        <w:rPr>
          <w:rFonts w:hint="eastAsia" w:ascii="宋体" w:hAnsi="宋体"/>
          <w:color w:val="auto"/>
          <w:szCs w:val="21"/>
          <w:highlight w:val="none"/>
        </w:rPr>
        <w:t>范围为城镇开发边界内，</w:t>
      </w:r>
      <w:r>
        <w:rPr>
          <w:rFonts w:hint="eastAsia" w:ascii="宋体" w:hAnsi="宋体"/>
          <w:color w:val="auto"/>
          <w:szCs w:val="21"/>
          <w:highlight w:val="none"/>
          <w:lang w:val="en-US" w:eastAsia="zh-CN"/>
        </w:rPr>
        <w:t>主体为匡堰城镇单元，东至桥头镇，南至中横路、新横路、东横河，西至白沙路街道、规划梅林路，北至逍林镇、慈甬路。面积为5.88平方公里。具体见下图。</w:t>
      </w:r>
    </w:p>
    <w:p>
      <w:pPr>
        <w:outlineLvl w:val="9"/>
        <w:rPr>
          <w:rFonts w:hint="eastAsia"/>
          <w:color w:val="auto"/>
          <w:highlight w:val="none"/>
          <w:lang w:val="en-US" w:eastAsia="zh-CN"/>
        </w:rPr>
      </w:pPr>
      <w:r>
        <w:rPr>
          <w:rFonts w:hint="eastAsia"/>
          <w:color w:val="auto"/>
          <w:highlight w:val="none"/>
          <w:lang w:val="en-US" w:eastAsia="zh-CN"/>
        </w:rPr>
        <w:drawing>
          <wp:anchor distT="0" distB="0" distL="114300" distR="114300" simplePos="0" relativeHeight="251659264" behindDoc="0" locked="0" layoutInCell="1" allowOverlap="1">
            <wp:simplePos x="0" y="0"/>
            <wp:positionH relativeFrom="column">
              <wp:posOffset>63500</wp:posOffset>
            </wp:positionH>
            <wp:positionV relativeFrom="paragraph">
              <wp:posOffset>148590</wp:posOffset>
            </wp:positionV>
            <wp:extent cx="5274945" cy="3563620"/>
            <wp:effectExtent l="0" t="0" r="8255" b="5080"/>
            <wp:wrapTopAndBottom/>
            <wp:docPr id="1" name="图片 1" descr="170892077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8920775321"/>
                    <pic:cNvPicPr>
                      <a:picLocks noChangeAspect="1"/>
                    </pic:cNvPicPr>
                  </pic:nvPicPr>
                  <pic:blipFill>
                    <a:blip r:embed="rId12"/>
                    <a:stretch>
                      <a:fillRect/>
                    </a:stretch>
                  </pic:blipFill>
                  <pic:spPr>
                    <a:xfrm>
                      <a:off x="0" y="0"/>
                      <a:ext cx="5274945" cy="3563620"/>
                    </a:xfrm>
                    <a:prstGeom prst="rect">
                      <a:avLst/>
                    </a:prstGeom>
                  </pic:spPr>
                </pic:pic>
              </a:graphicData>
            </a:graphic>
          </wp:anchor>
        </w:drawing>
      </w:r>
    </w:p>
    <w:p>
      <w:pPr>
        <w:spacing w:line="500" w:lineRule="exact"/>
        <w:ind w:firstLine="420" w:firstLineChars="200"/>
        <w:outlineLvl w:val="9"/>
        <w:rPr>
          <w:rFonts w:hint="eastAsia" w:eastAsia="宋体"/>
          <w:color w:val="auto"/>
          <w:highlight w:val="none"/>
          <w:lang w:eastAsia="zh-CN"/>
        </w:rPr>
      </w:pPr>
      <w:r>
        <w:rPr>
          <w:rFonts w:hint="eastAsia" w:ascii="宋体" w:hAnsi="宋体"/>
          <w:color w:val="auto"/>
          <w:szCs w:val="21"/>
          <w:highlight w:val="none"/>
        </w:rPr>
        <w:t>以上</w:t>
      </w:r>
      <w:r>
        <w:rPr>
          <w:rFonts w:ascii="宋体" w:hAnsi="宋体"/>
          <w:color w:val="auto"/>
          <w:szCs w:val="21"/>
          <w:highlight w:val="none"/>
        </w:rPr>
        <w:t>范围</w:t>
      </w:r>
      <w:r>
        <w:rPr>
          <w:rFonts w:hint="eastAsia" w:ascii="宋体" w:hAnsi="宋体"/>
          <w:color w:val="auto"/>
          <w:szCs w:val="21"/>
          <w:highlight w:val="none"/>
        </w:rPr>
        <w:t>以《慈溪市国土空间总体规划》最终划定的城镇开发边界为准。</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规划期限</w:t>
      </w:r>
    </w:p>
    <w:p>
      <w:pPr>
        <w:spacing w:line="500" w:lineRule="exact"/>
        <w:ind w:firstLine="420" w:firstLineChars="200"/>
        <w:outlineLvl w:val="9"/>
        <w:rPr>
          <w:rFonts w:ascii="宋体" w:hAnsi="宋体"/>
          <w:color w:val="auto"/>
          <w:szCs w:val="21"/>
          <w:highlight w:val="none"/>
        </w:rPr>
      </w:pPr>
      <w:r>
        <w:rPr>
          <w:rFonts w:hint="eastAsia" w:ascii="宋体" w:hAnsi="宋体"/>
          <w:color w:val="auto"/>
          <w:szCs w:val="21"/>
          <w:highlight w:val="none"/>
        </w:rPr>
        <w:t>本次规划期限与《慈溪市国土空间总体规划（2022-2035）》保持一致。</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采购内容</w:t>
      </w:r>
    </w:p>
    <w:p>
      <w:pPr>
        <w:spacing w:line="360" w:lineRule="auto"/>
        <w:ind w:firstLine="420" w:firstLineChars="200"/>
        <w:contextualSpacing/>
        <w:outlineLvl w:val="9"/>
        <w:rPr>
          <w:rFonts w:hint="eastAsia"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包括但不限于：</w:t>
      </w:r>
    </w:p>
    <w:p>
      <w:pPr>
        <w:spacing w:line="360" w:lineRule="auto"/>
        <w:ind w:firstLine="422" w:firstLineChars="200"/>
        <w:contextualSpacing/>
        <w:outlineLvl w:val="9"/>
        <w:rPr>
          <w:rFonts w:hint="eastAsia" w:ascii="Times New Roman" w:hAnsi="Times New Roman" w:eastAsia="宋体" w:cs="Times New Roman"/>
          <w:b/>
          <w:bCs w:val="0"/>
          <w:color w:val="auto"/>
          <w:szCs w:val="21"/>
          <w:highlight w:val="none"/>
        </w:rPr>
      </w:pPr>
      <w:r>
        <w:rPr>
          <w:rFonts w:hint="eastAsia" w:ascii="Times New Roman" w:hAnsi="Times New Roman" w:eastAsia="宋体" w:cs="Times New Roman"/>
          <w:b/>
          <w:bCs w:val="0"/>
          <w:color w:val="auto"/>
          <w:szCs w:val="21"/>
          <w:highlight w:val="none"/>
        </w:rPr>
        <w:t>控规前期研究</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（1）控规实施评估并结合现状明确规划编制范围</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对现行控规的实施情况进行整体评估，总结经验、发现问题，以便指导下一步控规的修编和完善。梳理慈溪市国土空间规划、控规评估、相关规划及规划区块周边控规编制情况，协调相关控制界线，明确本次控制性详细规划编制范围。</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（2）现状分析和调查</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分析规划区域区位、用地、基础设施等现状概况。收集最新的遥感影像数据、地形、基础地理信息数据及其他专题数据等，对部分缺失的地形进行补测和航拍，对从采集的数据资料进行数据提取、数据组织重构、坐标投影转换等处理，形成满足规划涉及所需的数据；对规划范围及周边的自然条件、土地利用现状、建筑物状况、道路交通、市政设施等多方面进行细致的调查研究。</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（3）研究规划编制重点</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综合分析规划编制范围的区位及建设特征，研究本次控规编制需要解决的重点问题与解决路径，明确本次控规编制内容与成果形式。既满足片区近期发展需求，又符合国家关于详细规划的编制技术要求。</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明确规划区域内用地结构、规划控制单元，确定各类用地的布局、规模及规划要求，用地布局上应体现并处理好与周边其他区域的关系。从科学管理角度出发，充分调研、明确需求、突出落实，建立控制指标体系，以期规划控制指标能够适应规划区域土地出让、设施配套等建设工作，成为切实可行的规划管理工具。</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4</w:t>
      </w:r>
      <w:r>
        <w:rPr>
          <w:rFonts w:hint="eastAsia"/>
          <w:bCs/>
          <w:color w:val="auto"/>
          <w:szCs w:val="21"/>
          <w:highlight w:val="none"/>
        </w:rPr>
        <w:t>）片区发展方向</w:t>
      </w:r>
    </w:p>
    <w:p>
      <w:pPr>
        <w:spacing w:line="360" w:lineRule="auto"/>
        <w:ind w:firstLine="420" w:firstLineChars="200"/>
        <w:contextualSpacing/>
        <w:outlineLvl w:val="9"/>
        <w:rPr>
          <w:bCs/>
          <w:color w:val="auto"/>
          <w:szCs w:val="21"/>
          <w:highlight w:val="none"/>
        </w:rPr>
      </w:pPr>
      <w:r>
        <w:rPr>
          <w:rFonts w:hint="eastAsia" w:ascii="宋体" w:hAnsi="宋体"/>
          <w:color w:val="auto"/>
          <w:szCs w:val="21"/>
          <w:highlight w:val="none"/>
        </w:rPr>
        <w:t>解读上层次规划及相关规划的基础上，整合各相关规划成果，通过发展条件分析，明确本次规划的发展目标、功能定位等。</w:t>
      </w:r>
      <w:r>
        <w:rPr>
          <w:rFonts w:hint="eastAsia"/>
          <w:bCs/>
          <w:color w:val="auto"/>
          <w:szCs w:val="21"/>
          <w:highlight w:val="none"/>
        </w:rPr>
        <w:t>与现有园区及相关规划有效衔接，确保上位规划对规划片区的发展导向和管控要求得到有效传导。结合地区宏观经济环境与城市产业发展规划，剖析片区发展中存在的优势、劣势、机遇、挑战，明确规划范围的产业发展定位与发展方向。</w:t>
      </w:r>
    </w:p>
    <w:p>
      <w:pPr>
        <w:spacing w:line="360" w:lineRule="auto"/>
        <w:ind w:firstLine="422" w:firstLineChars="200"/>
        <w:contextualSpacing/>
        <w:outlineLvl w:val="9"/>
        <w:rPr>
          <w:b/>
          <w:bCs/>
          <w:color w:val="auto"/>
          <w:szCs w:val="21"/>
          <w:highlight w:val="none"/>
        </w:rPr>
      </w:pPr>
      <w:r>
        <w:rPr>
          <w:rFonts w:hint="eastAsia"/>
          <w:b/>
          <w:bCs/>
          <w:color w:val="auto"/>
          <w:szCs w:val="21"/>
          <w:highlight w:val="none"/>
        </w:rPr>
        <w:t>控制性详细规划</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1</w:t>
      </w:r>
      <w:r>
        <w:rPr>
          <w:rFonts w:hint="eastAsia"/>
          <w:bCs/>
          <w:color w:val="auto"/>
          <w:szCs w:val="21"/>
          <w:highlight w:val="none"/>
        </w:rPr>
        <w:t>）用地规划</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根据地区功能定位，合理配置各类用地，与现状园区规划有效衔接，形成布局合理的片区空间结构，满足产业发展需求，提升土地使用效率。</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2</w:t>
      </w:r>
      <w:r>
        <w:rPr>
          <w:rFonts w:hint="eastAsia"/>
          <w:bCs/>
          <w:color w:val="auto"/>
          <w:szCs w:val="21"/>
          <w:highlight w:val="none"/>
        </w:rPr>
        <w:t>）指标控制</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确定各地块建筑高度、建筑密度、容积率、绿地率等控制指标；确定公共设施配套要求、交通出入口方位、停车泊位、建筑后退红线等要求。</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3</w:t>
      </w:r>
      <w:r>
        <w:rPr>
          <w:rFonts w:hint="eastAsia"/>
          <w:bCs/>
          <w:color w:val="auto"/>
          <w:szCs w:val="21"/>
          <w:highlight w:val="none"/>
        </w:rPr>
        <w:t>）公共服务设施</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建立配套齐全、功能完善、布局合理、使用便利的公共服务设施体系，各级配套设施可以在满足服务半径的条件下共建共享，就近使用，以提高设施资源的利用率。</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4</w:t>
      </w:r>
      <w:r>
        <w:rPr>
          <w:rFonts w:hint="eastAsia"/>
          <w:bCs/>
          <w:color w:val="auto"/>
          <w:szCs w:val="21"/>
          <w:highlight w:val="none"/>
        </w:rPr>
        <w:t>）市政设施规划</w:t>
      </w:r>
    </w:p>
    <w:p>
      <w:pPr>
        <w:spacing w:line="360" w:lineRule="auto"/>
        <w:ind w:firstLine="420" w:firstLineChars="200"/>
        <w:contextualSpacing/>
        <w:outlineLvl w:val="9"/>
        <w:rPr>
          <w:bCs/>
          <w:color w:val="auto"/>
          <w:szCs w:val="21"/>
          <w:highlight w:val="none"/>
        </w:rPr>
      </w:pPr>
      <w:r>
        <w:rPr>
          <w:rFonts w:hint="eastAsia" w:ascii="宋体" w:hAnsi="宋体"/>
          <w:color w:val="auto"/>
          <w:szCs w:val="21"/>
          <w:highlight w:val="none"/>
        </w:rPr>
        <w:t>根据规划区域的发展态势、需求，规划充足、完善的基础设施配套，并预留未来的发展空间。根据规划容量，确定给水工程、污水工程、雨水工程、电力工程、电信工程、燃气工程、热力工程等各类市政公用设施的需求量和管线的走向、管径及其管线综合；规划各类专业管廊的走向及布局；明确环卫设施的位置、规模、用地和防护要求。</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5</w:t>
      </w:r>
      <w:r>
        <w:rPr>
          <w:rFonts w:hint="eastAsia"/>
          <w:bCs/>
          <w:color w:val="auto"/>
          <w:szCs w:val="21"/>
          <w:highlight w:val="none"/>
        </w:rPr>
        <w:t>）综合交通规划</w:t>
      </w:r>
    </w:p>
    <w:p>
      <w:pPr>
        <w:spacing w:line="360" w:lineRule="auto"/>
        <w:ind w:firstLine="420" w:firstLineChars="200"/>
        <w:contextualSpacing/>
        <w:outlineLvl w:val="9"/>
        <w:rPr>
          <w:rFonts w:ascii="Calibri" w:hAnsi="Calibri"/>
          <w:color w:val="auto"/>
          <w:szCs w:val="22"/>
          <w:highlight w:val="none"/>
        </w:rPr>
      </w:pPr>
      <w:r>
        <w:rPr>
          <w:rFonts w:hint="eastAsia" w:ascii="宋体" w:hAnsi="宋体"/>
          <w:color w:val="auto"/>
          <w:szCs w:val="21"/>
          <w:highlight w:val="none"/>
        </w:rPr>
        <w:t>结合周边大交通格局，需要重新合理组织规划区域的道路交通，确定城市道路等级、道路红线范围、道路横断面、城市道路交叉口形式、</w:t>
      </w:r>
      <w:r>
        <w:rPr>
          <w:rFonts w:hint="eastAsia"/>
          <w:bCs/>
          <w:color w:val="auto"/>
          <w:szCs w:val="21"/>
          <w:highlight w:val="none"/>
        </w:rPr>
        <w:t>控制点坐标和标高</w:t>
      </w:r>
      <w:r>
        <w:rPr>
          <w:rFonts w:hint="eastAsia" w:ascii="宋体" w:hAnsi="宋体"/>
          <w:color w:val="auto"/>
          <w:szCs w:val="21"/>
          <w:highlight w:val="none"/>
        </w:rPr>
        <w:t>及其它控制要求；确定道路、桥梁等规划控制标高和地块室外地坪标高，妥善处理各类竖向交通的衔接；</w:t>
      </w:r>
      <w:r>
        <w:rPr>
          <w:rFonts w:hint="eastAsia"/>
          <w:bCs/>
          <w:color w:val="auto"/>
          <w:szCs w:val="21"/>
          <w:highlight w:val="none"/>
        </w:rPr>
        <w:t>确定地块出入口位置、停车泊位、公共交通场站用地范围和站点位置、步行交通以及其他交通设施。</w:t>
      </w:r>
      <w:r>
        <w:rPr>
          <w:rFonts w:hint="eastAsia" w:ascii="宋体" w:hAnsi="宋体"/>
          <w:color w:val="auto"/>
          <w:szCs w:val="21"/>
          <w:highlight w:val="none"/>
        </w:rPr>
        <w:t>确定各类交通设施的用地规模、范围和停车设施配建标准等。</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w:t>
      </w:r>
      <w:r>
        <w:rPr>
          <w:bCs/>
          <w:color w:val="auto"/>
          <w:szCs w:val="21"/>
          <w:highlight w:val="none"/>
        </w:rPr>
        <w:t>6</w:t>
      </w:r>
      <w:r>
        <w:rPr>
          <w:rFonts w:hint="eastAsia"/>
          <w:bCs/>
          <w:color w:val="auto"/>
          <w:szCs w:val="21"/>
          <w:highlight w:val="none"/>
        </w:rPr>
        <w:t>）生态系统规划</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落实上位规划的生态环境控制目标，确定规划区公园绿地系统，划定河道控制蓝线，改善城市景观，保障城市防洪排涝安全。</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规划依据</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（01）《中华人民共和国城乡规划法》（2019 年修正）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（02）《中华人民共和国土地管理法》（2019年修正）</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（03）《城市用地分类与规划建设用地标准》（GB50137-2011）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（04）《浙江省控制性详细规划图集编制导则（试行）》（2010）；</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（05）《宁波市国土空间规划条例》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（06）《宁波市城乡规划管理技术规定》（2007）；</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（07）《宁波市控制性详细规划编制导则（试行）》（2008）；</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（08）《慈溪市城乡规划管理技术规定》（2011）；</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（09）《宁波 2049 城市发展战略》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（10）《宁波市国土空间总体规划（2022-2035）》（在编）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（11）《慈溪市国土空间总体规划（2022-2035）》（在编） ；</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（12）其他</w:t>
      </w:r>
      <w:r>
        <w:rPr>
          <w:rFonts w:hint="eastAsia" w:ascii="宋体" w:hAnsi="宋体"/>
          <w:color w:val="auto"/>
          <w:szCs w:val="21"/>
          <w:highlight w:val="none"/>
          <w:lang w:val="en-US" w:eastAsia="zh-CN"/>
        </w:rPr>
        <w:t>匡堰</w:t>
      </w:r>
      <w:r>
        <w:rPr>
          <w:rFonts w:hint="eastAsia" w:ascii="宋体" w:hAnsi="宋体"/>
          <w:color w:val="auto"/>
          <w:szCs w:val="21"/>
          <w:highlight w:val="none"/>
        </w:rPr>
        <w:t>镇相关规划；</w:t>
      </w:r>
    </w:p>
    <w:p>
      <w:pPr>
        <w:spacing w:line="500" w:lineRule="exact"/>
        <w:ind w:firstLine="424" w:firstLineChars="202"/>
        <w:outlineLvl w:val="9"/>
        <w:rPr>
          <w:rFonts w:ascii="宋体" w:hAnsi="宋体"/>
          <w:color w:val="auto"/>
          <w:szCs w:val="21"/>
          <w:highlight w:val="none"/>
        </w:rPr>
      </w:pPr>
      <w:r>
        <w:rPr>
          <w:rFonts w:hint="eastAsia" w:ascii="宋体" w:hAnsi="宋体"/>
          <w:color w:val="auto"/>
          <w:szCs w:val="21"/>
          <w:highlight w:val="none"/>
        </w:rPr>
        <w:t>（13）其他相关的标准规范、法律、法规及规划文件等。</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规划</w:t>
      </w:r>
      <w:r>
        <w:rPr>
          <w:rFonts w:ascii="宋体" w:hAnsi="宋体"/>
          <w:b/>
          <w:bCs/>
          <w:color w:val="auto"/>
          <w:kern w:val="44"/>
          <w:szCs w:val="21"/>
          <w:highlight w:val="none"/>
        </w:rPr>
        <w:t>成果</w:t>
      </w:r>
    </w:p>
    <w:p>
      <w:pPr>
        <w:spacing w:line="360" w:lineRule="auto"/>
        <w:ind w:firstLine="422" w:firstLineChars="200"/>
        <w:contextualSpacing/>
        <w:outlineLvl w:val="9"/>
        <w:rPr>
          <w:b/>
          <w:color w:val="auto"/>
          <w:szCs w:val="21"/>
          <w:highlight w:val="none"/>
        </w:rPr>
      </w:pPr>
      <w:r>
        <w:rPr>
          <w:rFonts w:hint="eastAsia"/>
          <w:b/>
          <w:color w:val="auto"/>
          <w:szCs w:val="21"/>
          <w:highlight w:val="none"/>
        </w:rPr>
        <w:t>1、设计成果（包括但不仅限于以下成果）</w:t>
      </w:r>
    </w:p>
    <w:p>
      <w:pPr>
        <w:spacing w:line="360" w:lineRule="auto"/>
        <w:ind w:firstLine="422" w:firstLineChars="200"/>
        <w:contextualSpacing/>
        <w:outlineLvl w:val="9"/>
        <w:rPr>
          <w:b/>
          <w:color w:val="auto"/>
          <w:szCs w:val="21"/>
          <w:highlight w:val="none"/>
        </w:rPr>
      </w:pPr>
      <w:r>
        <w:rPr>
          <w:rFonts w:hint="eastAsia"/>
          <w:b/>
          <w:color w:val="auto"/>
          <w:szCs w:val="21"/>
          <w:highlight w:val="none"/>
        </w:rPr>
        <w:t>控制性详细规划成果应当包括规划文本、图件和附件。</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文本</w:t>
      </w:r>
      <w:r>
        <w:rPr>
          <w:rFonts w:hint="eastAsia"/>
          <w:bCs/>
          <w:color w:val="auto"/>
          <w:szCs w:val="21"/>
          <w:highlight w:val="none"/>
        </w:rPr>
        <w:t>：包括总则（制定规划的依据和原则）；土地使用和建筑规划管理通则；地块划分以及各地块的使用性质、规划控制原则、规划设计要求；各地块控制指标一览表等内容。</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图件</w:t>
      </w:r>
      <w:r>
        <w:rPr>
          <w:rFonts w:hint="eastAsia"/>
          <w:bCs/>
          <w:color w:val="auto"/>
          <w:szCs w:val="21"/>
          <w:highlight w:val="none"/>
        </w:rPr>
        <w:t>：图件由图纸和图则两部分组成。</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附件</w:t>
      </w:r>
      <w:r>
        <w:rPr>
          <w:rFonts w:hint="eastAsia"/>
          <w:bCs/>
          <w:color w:val="auto"/>
          <w:szCs w:val="21"/>
          <w:highlight w:val="none"/>
        </w:rPr>
        <w:t>：附件包括说明书、基础资料汇编等内容。</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具体图纸应包括但不限于以下内容</w:t>
      </w:r>
      <w:r>
        <w:rPr>
          <w:rFonts w:hint="eastAsia"/>
          <w:bCs/>
          <w:color w:val="auto"/>
          <w:szCs w:val="21"/>
          <w:highlight w:val="none"/>
        </w:rPr>
        <w:t>：</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1）区位图；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2）现状分析图；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3）功能结构分析图；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4）用地规划图；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5）公共服务设施规划图；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6）道路交通规划图；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7）道路断面规划图；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8）竖向规划图；</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9）市政设施规划图；（给水、排水、电力、电信、燃气、环卫）</w:t>
      </w:r>
    </w:p>
    <w:p>
      <w:pPr>
        <w:spacing w:line="360" w:lineRule="auto"/>
        <w:ind w:firstLine="420" w:firstLineChars="200"/>
        <w:contextualSpacing/>
        <w:outlineLvl w:val="9"/>
        <w:rPr>
          <w:bCs/>
          <w:color w:val="auto"/>
          <w:szCs w:val="21"/>
          <w:highlight w:val="none"/>
        </w:rPr>
      </w:pPr>
      <w:r>
        <w:rPr>
          <w:rFonts w:hint="eastAsia"/>
          <w:bCs/>
          <w:color w:val="auto"/>
          <w:szCs w:val="21"/>
          <w:highlight w:val="none"/>
        </w:rPr>
        <w:t>10）地块编号图；</w:t>
      </w:r>
    </w:p>
    <w:p>
      <w:pPr>
        <w:spacing w:line="360" w:lineRule="auto"/>
        <w:ind w:firstLine="422" w:firstLineChars="200"/>
        <w:contextualSpacing/>
        <w:outlineLvl w:val="9"/>
        <w:rPr>
          <w:b/>
          <w:color w:val="auto"/>
          <w:szCs w:val="21"/>
          <w:highlight w:val="none"/>
        </w:rPr>
      </w:pPr>
      <w:r>
        <w:rPr>
          <w:rFonts w:hint="eastAsia"/>
          <w:b/>
          <w:color w:val="auto"/>
          <w:szCs w:val="21"/>
          <w:highlight w:val="none"/>
        </w:rPr>
        <w:t>2、成果文件规格与数量</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（1）设计成果</w:t>
      </w:r>
      <w:r>
        <w:rPr>
          <w:rFonts w:hint="eastAsia"/>
          <w:bCs/>
          <w:color w:val="auto"/>
          <w:szCs w:val="21"/>
          <w:highlight w:val="none"/>
        </w:rPr>
        <w:t>：A3规格（297mm×420mm），按会议审查需求提供相应数量文本,无篇幅限制要求，采用双面软胶的规格装订成册。</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（2）简本：</w:t>
      </w:r>
      <w:r>
        <w:rPr>
          <w:rFonts w:hint="eastAsia"/>
          <w:bCs/>
          <w:color w:val="auto"/>
          <w:szCs w:val="21"/>
          <w:highlight w:val="none"/>
        </w:rPr>
        <w:t>A3规格（297mm×420mm），按会议审查需求提供相应数量文本，页面不超过20页（单面打印），展示方案核心内容及关键图纸为主。</w:t>
      </w:r>
    </w:p>
    <w:p>
      <w:pPr>
        <w:spacing w:line="360" w:lineRule="auto"/>
        <w:ind w:firstLine="422" w:firstLineChars="200"/>
        <w:contextualSpacing/>
        <w:outlineLvl w:val="9"/>
        <w:rPr>
          <w:bCs/>
          <w:color w:val="auto"/>
          <w:szCs w:val="21"/>
          <w:highlight w:val="none"/>
        </w:rPr>
      </w:pPr>
      <w:r>
        <w:rPr>
          <w:rFonts w:hint="eastAsia"/>
          <w:b/>
          <w:color w:val="auto"/>
          <w:szCs w:val="21"/>
          <w:highlight w:val="none"/>
        </w:rPr>
        <w:t>（3）现场汇报演示文件：</w:t>
      </w:r>
      <w:r>
        <w:rPr>
          <w:rFonts w:hint="eastAsia"/>
          <w:bCs/>
          <w:color w:val="auto"/>
          <w:szCs w:val="21"/>
          <w:highlight w:val="none"/>
        </w:rPr>
        <w:t>PPT或PDF格式，汇报时间不限。</w:t>
      </w:r>
    </w:p>
    <w:p>
      <w:pPr>
        <w:spacing w:line="360" w:lineRule="auto"/>
        <w:ind w:firstLine="422" w:firstLineChars="200"/>
        <w:contextualSpacing/>
        <w:outlineLvl w:val="9"/>
        <w:rPr>
          <w:rFonts w:ascii="宋体" w:hAnsi="宋体"/>
          <w:color w:val="auto"/>
          <w:szCs w:val="21"/>
          <w:highlight w:val="none"/>
        </w:rPr>
      </w:pPr>
      <w:r>
        <w:rPr>
          <w:rFonts w:hint="eastAsia"/>
          <w:b/>
          <w:color w:val="auto"/>
          <w:szCs w:val="21"/>
          <w:highlight w:val="none"/>
        </w:rPr>
        <w:t>（4）电子文件：</w:t>
      </w:r>
      <w:r>
        <w:rPr>
          <w:rFonts w:hint="eastAsia"/>
          <w:bCs/>
          <w:color w:val="auto"/>
          <w:szCs w:val="21"/>
          <w:highlight w:val="none"/>
        </w:rPr>
        <w:t>以光盘形式提交、一式2份，含规划成果、现场汇报演示文件等。</w:t>
      </w:r>
      <w:r>
        <w:rPr>
          <w:rFonts w:hint="eastAsia" w:ascii="宋体" w:hAnsi="宋体"/>
          <w:color w:val="auto"/>
          <w:szCs w:val="21"/>
          <w:highlight w:val="none"/>
        </w:rPr>
        <w:t>电子数据成果文字采用</w:t>
      </w:r>
      <w:r>
        <w:rPr>
          <w:rFonts w:hint="eastAsia"/>
          <w:bCs/>
          <w:color w:val="auto"/>
          <w:szCs w:val="21"/>
          <w:highlight w:val="none"/>
        </w:rPr>
        <w:t>PPT或PDF格式</w:t>
      </w:r>
      <w:r>
        <w:rPr>
          <w:rFonts w:hint="eastAsia" w:ascii="宋体" w:hAnsi="宋体"/>
          <w:color w:val="auto"/>
          <w:szCs w:val="21"/>
          <w:highlight w:val="none"/>
        </w:rPr>
        <w:t>，附表采用XLS格式，图纸采用DWG、SHP数据JPG等格式。所有电子数据成果应便于各相关部门共用、共管，并符合相关格式要求。</w:t>
      </w:r>
    </w:p>
    <w:p>
      <w:pPr>
        <w:spacing w:line="360" w:lineRule="auto"/>
        <w:ind w:firstLine="422" w:firstLineChars="200"/>
        <w:contextualSpacing/>
        <w:outlineLvl w:val="9"/>
        <w:rPr>
          <w:b/>
          <w:color w:val="auto"/>
          <w:szCs w:val="21"/>
          <w:highlight w:val="none"/>
        </w:rPr>
      </w:pPr>
      <w:r>
        <w:rPr>
          <w:rFonts w:hint="eastAsia"/>
          <w:b/>
          <w:color w:val="auto"/>
          <w:szCs w:val="21"/>
          <w:highlight w:val="none"/>
        </w:rPr>
        <w:t>3、数据库建库</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成果会审及验收</w:t>
      </w:r>
    </w:p>
    <w:p>
      <w:pPr>
        <w:spacing w:line="500" w:lineRule="exact"/>
        <w:ind w:firstLine="420" w:firstLineChars="200"/>
        <w:outlineLvl w:val="9"/>
        <w:rPr>
          <w:rFonts w:ascii="宋体" w:hAnsi="宋体"/>
          <w:color w:val="auto"/>
          <w:szCs w:val="21"/>
          <w:highlight w:val="none"/>
        </w:rPr>
      </w:pPr>
      <w:r>
        <w:rPr>
          <w:rFonts w:hint="eastAsia" w:ascii="宋体" w:hAnsi="宋体"/>
          <w:color w:val="auto"/>
          <w:szCs w:val="21"/>
          <w:highlight w:val="none"/>
        </w:rPr>
        <w:t>最终成果由委托方组织验收，要求一次性通过技术评审。控制性详细规划必须通过慈溪市自然资源和规划行政主管部门组织评审，并报慈溪市人民政府批准。</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进度</w:t>
      </w:r>
      <w:r>
        <w:rPr>
          <w:rFonts w:hint="eastAsia" w:ascii="宋体" w:hAnsi="宋体"/>
          <w:b/>
          <w:bCs/>
          <w:color w:val="auto"/>
          <w:kern w:val="44"/>
          <w:szCs w:val="21"/>
          <w:highlight w:val="none"/>
          <w:lang w:val="en-US" w:eastAsia="zh-CN"/>
        </w:rPr>
        <w:t>初步</w:t>
      </w:r>
      <w:r>
        <w:rPr>
          <w:rFonts w:hint="eastAsia" w:ascii="宋体" w:hAnsi="宋体"/>
          <w:b/>
          <w:bCs/>
          <w:color w:val="auto"/>
          <w:kern w:val="44"/>
          <w:szCs w:val="21"/>
          <w:highlight w:val="none"/>
        </w:rPr>
        <w:t>要求</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ab/>
      </w:r>
      <w:r>
        <w:rPr>
          <w:rFonts w:hint="eastAsia" w:ascii="宋体" w:hAnsi="宋体"/>
          <w:color w:val="auto"/>
          <w:szCs w:val="21"/>
          <w:highlight w:val="none"/>
        </w:rPr>
        <w:t>第一阶段：合同签订后1个月内，完成现状建设状况调研、收集相关资料等项目前期准备工作，并完成初方案。</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ab/>
      </w:r>
      <w:r>
        <w:rPr>
          <w:rFonts w:hint="eastAsia" w:ascii="宋体" w:hAnsi="宋体"/>
          <w:color w:val="auto"/>
          <w:szCs w:val="21"/>
          <w:highlight w:val="none"/>
        </w:rPr>
        <w:t>第二阶段：初方案通过审查，收到修改意见后</w:t>
      </w:r>
      <w:r>
        <w:rPr>
          <w:rFonts w:hint="eastAsia" w:ascii="宋体" w:hAnsi="宋体"/>
          <w:color w:val="auto"/>
          <w:szCs w:val="21"/>
          <w:highlight w:val="none"/>
          <w:lang w:val="en-US" w:eastAsia="zh-CN"/>
        </w:rPr>
        <w:t>2</w:t>
      </w:r>
      <w:r>
        <w:rPr>
          <w:rFonts w:hint="eastAsia" w:ascii="宋体" w:hAnsi="宋体"/>
          <w:color w:val="auto"/>
          <w:szCs w:val="21"/>
          <w:highlight w:val="none"/>
        </w:rPr>
        <w:t>个月内完成中间成果；</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ab/>
      </w:r>
      <w:r>
        <w:rPr>
          <w:rFonts w:hint="eastAsia" w:ascii="宋体" w:hAnsi="宋体"/>
          <w:color w:val="auto"/>
          <w:szCs w:val="21"/>
          <w:highlight w:val="none"/>
        </w:rPr>
        <w:t>第三阶段：中间成果通过审查，收到修改意见后的</w:t>
      </w:r>
      <w:r>
        <w:rPr>
          <w:rFonts w:hint="eastAsia" w:ascii="宋体" w:hAnsi="宋体"/>
          <w:color w:val="auto"/>
          <w:szCs w:val="21"/>
          <w:highlight w:val="none"/>
          <w:lang w:val="en-US" w:eastAsia="zh-CN"/>
        </w:rPr>
        <w:t>2</w:t>
      </w:r>
      <w:r>
        <w:rPr>
          <w:rFonts w:hint="eastAsia" w:ascii="宋体" w:hAnsi="宋体"/>
          <w:color w:val="auto"/>
          <w:szCs w:val="21"/>
          <w:highlight w:val="none"/>
        </w:rPr>
        <w:t>个月内修改完善，完成评审稿。</w:t>
      </w:r>
    </w:p>
    <w:p>
      <w:pPr>
        <w:spacing w:line="500" w:lineRule="exact"/>
        <w:ind w:firstLine="420" w:firstLineChars="200"/>
        <w:outlineLvl w:val="9"/>
        <w:rPr>
          <w:color w:val="auto"/>
          <w:szCs w:val="24"/>
          <w:highlight w:val="none"/>
        </w:rPr>
      </w:pPr>
      <w:r>
        <w:rPr>
          <w:rFonts w:ascii="宋体" w:hAnsi="宋体"/>
          <w:color w:val="auto"/>
          <w:szCs w:val="21"/>
          <w:highlight w:val="none"/>
        </w:rPr>
        <w:tab/>
      </w:r>
      <w:r>
        <w:rPr>
          <w:rFonts w:hint="eastAsia" w:ascii="宋体" w:hAnsi="宋体"/>
          <w:color w:val="auto"/>
          <w:szCs w:val="21"/>
          <w:highlight w:val="none"/>
        </w:rPr>
        <w:t>第四阶段：评审稿根据会议要求修改完善，</w:t>
      </w:r>
      <w:r>
        <w:rPr>
          <w:rFonts w:ascii="宋体" w:hAnsi="宋体"/>
          <w:color w:val="auto"/>
          <w:szCs w:val="21"/>
          <w:highlight w:val="none"/>
        </w:rPr>
        <w:t>1</w:t>
      </w:r>
      <w:r>
        <w:rPr>
          <w:rFonts w:hint="eastAsia" w:ascii="宋体" w:hAnsi="宋体"/>
          <w:color w:val="auto"/>
          <w:szCs w:val="21"/>
          <w:highlight w:val="none"/>
        </w:rPr>
        <w:t>个月内完成报批稿。</w:t>
      </w:r>
    </w:p>
    <w:p>
      <w:pPr>
        <w:keepNext/>
        <w:keepLines/>
        <w:numPr>
          <w:ilvl w:val="0"/>
          <w:numId w:val="1"/>
        </w:numPr>
        <w:adjustRightInd w:val="0"/>
        <w:spacing w:line="500" w:lineRule="exact"/>
        <w:ind w:left="0" w:firstLine="0"/>
        <w:textAlignment w:val="baseline"/>
        <w:outlineLvl w:val="9"/>
        <w:rPr>
          <w:rFonts w:ascii="宋体" w:hAnsi="宋体"/>
          <w:b/>
          <w:bCs/>
          <w:color w:val="auto"/>
          <w:kern w:val="44"/>
          <w:szCs w:val="21"/>
          <w:highlight w:val="none"/>
        </w:rPr>
      </w:pPr>
      <w:r>
        <w:rPr>
          <w:rFonts w:hint="eastAsia" w:ascii="宋体" w:hAnsi="宋体"/>
          <w:b/>
          <w:bCs/>
          <w:color w:val="auto"/>
          <w:kern w:val="44"/>
          <w:szCs w:val="21"/>
          <w:highlight w:val="none"/>
        </w:rPr>
        <w:t>其他要求</w:t>
      </w:r>
    </w:p>
    <w:p>
      <w:pPr>
        <w:spacing w:line="500" w:lineRule="exact"/>
        <w:ind w:firstLine="420" w:firstLineChars="200"/>
        <w:outlineLvl w:val="9"/>
        <w:rPr>
          <w:rFonts w:hint="default" w:ascii="宋体" w:hAnsi="宋体" w:eastAsia="宋体" w:cs="Times New Roman"/>
          <w:color w:val="auto"/>
          <w:szCs w:val="21"/>
          <w:highlight w:val="none"/>
          <w:lang w:val="en-US" w:eastAsia="zh-CN"/>
        </w:rPr>
      </w:pPr>
      <w:r>
        <w:rPr>
          <w:rFonts w:hint="eastAsia" w:ascii="宋体" w:hAnsi="宋体"/>
          <w:color w:val="auto"/>
          <w:szCs w:val="21"/>
          <w:highlight w:val="none"/>
        </w:rPr>
        <w:t>1、实</w:t>
      </w:r>
      <w:r>
        <w:rPr>
          <w:rFonts w:hint="eastAsia" w:ascii="宋体" w:hAnsi="宋体" w:eastAsia="宋体" w:cs="Times New Roman"/>
          <w:color w:val="auto"/>
          <w:szCs w:val="21"/>
          <w:highlight w:val="none"/>
        </w:rPr>
        <w:t>地调查、方案汇报等重要关键性工作必须由项目负责人或技术负责人带队负责；</w:t>
      </w:r>
      <w:r>
        <w:rPr>
          <w:rFonts w:hint="eastAsia" w:ascii="宋体" w:hAnsi="宋体" w:eastAsia="宋体" w:cs="Times New Roman"/>
          <w:color w:val="auto"/>
          <w:szCs w:val="21"/>
          <w:highlight w:val="none"/>
          <w:lang w:val="en-US" w:eastAsia="zh-CN"/>
        </w:rPr>
        <w:t>项目团队成员应当</w:t>
      </w:r>
      <w:r>
        <w:rPr>
          <w:rFonts w:hint="eastAsia"/>
          <w:color w:val="auto"/>
          <w:highlight w:val="none"/>
        </w:rPr>
        <w:t>城市（城乡）规划、土地管理、市政道路（桥梁）、给排水、风景园林、建筑设计</w:t>
      </w:r>
      <w:r>
        <w:rPr>
          <w:rFonts w:hint="eastAsia" w:ascii="宋体" w:hAnsi="宋体" w:eastAsia="宋体" w:cs="Times New Roman"/>
          <w:color w:val="auto"/>
          <w:szCs w:val="21"/>
          <w:highlight w:val="none"/>
          <w:lang w:val="en-US" w:eastAsia="zh-CN"/>
        </w:rPr>
        <w:t>等多领域具备专业知识；</w:t>
      </w:r>
    </w:p>
    <w:p>
      <w:pPr>
        <w:spacing w:line="500" w:lineRule="exact"/>
        <w:ind w:firstLine="420" w:firstLineChars="200"/>
        <w:outlineLvl w:val="9"/>
        <w:rPr>
          <w:rFonts w:ascii="宋体" w:hAnsi="宋体"/>
          <w:color w:val="auto"/>
          <w:szCs w:val="21"/>
          <w:highlight w:val="none"/>
        </w:rPr>
      </w:pPr>
      <w:r>
        <w:rPr>
          <w:rFonts w:hint="eastAsia" w:ascii="宋体" w:hAnsi="宋体"/>
          <w:color w:val="auto"/>
          <w:szCs w:val="21"/>
          <w:highlight w:val="none"/>
        </w:rPr>
        <w:t>2、投标人须安排相关人员配合好委托人（业主单位）对本项目进行中相关联的工作；</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、招标人向投标人提供的有关现场的资料和数据，是招标人现有的能提供投标人利用的资料，招标人对投标人由此而做出的推论、理解和结论概不负责。</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 xml:space="preserve">、投标人应保证其在本合同范围内使用成果不受第三方提出的关于专利权、版权、设计、其他知识产权或使用许可的法律纠纷，倘若发生有关的诉讼，完全由投标人应诉并承担法律责任。 </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、招标人提供的全部资料及成交投标人生产的全部成果资料（包括中间资料）其版权归招标人所有，成交投标人不得自留使用或以任何方式转让或提供给第三方使用。</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本次项目不组织集中现场踏勘，投标人可自行对项目现场及周围环境进行踏勘，以便获取须自己负责的有关编制投标文件和签署合同所需的所有资料。投标人应对由此次踏勘现场及作业而造成的死亡、人身伤害、财产损失、损害以及任何其它损失、损害和引起的费用和开支承担责任。</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、本项目不允许转包，未经招标人同意，不允许分包或部分转让。成交投标人擅自转让、分包，经招标人发现，招标人可终止合同，由此产生的一切经济、法律责任均由成交投标人承担。</w:t>
      </w:r>
    </w:p>
    <w:p>
      <w:pPr>
        <w:spacing w:line="500" w:lineRule="exact"/>
        <w:ind w:firstLine="420" w:firstLineChars="200"/>
        <w:outlineLvl w:val="9"/>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、项目实施期间和完成后的服务要求：</w:t>
      </w:r>
      <w:r>
        <w:rPr>
          <w:rFonts w:hint="eastAsia" w:ascii="宋体" w:hAnsi="宋体"/>
          <w:b/>
          <w:bCs/>
          <w:color w:val="auto"/>
          <w:szCs w:val="21"/>
          <w:highlight w:val="none"/>
        </w:rPr>
        <w:t>要求服务商在接到采购人电话后</w:t>
      </w:r>
      <w:r>
        <w:rPr>
          <w:rFonts w:ascii="宋体" w:hAnsi="宋体"/>
          <w:b/>
          <w:bCs/>
          <w:color w:val="auto"/>
          <w:szCs w:val="21"/>
          <w:highlight w:val="none"/>
        </w:rPr>
        <w:t>4</w:t>
      </w:r>
      <w:r>
        <w:rPr>
          <w:rFonts w:hint="eastAsia" w:ascii="宋体" w:hAnsi="宋体"/>
          <w:b/>
          <w:bCs/>
          <w:color w:val="auto"/>
          <w:szCs w:val="21"/>
          <w:highlight w:val="none"/>
        </w:rPr>
        <w:t>小时内到达采购人现场并协助解决问题</w:t>
      </w:r>
      <w:r>
        <w:rPr>
          <w:rFonts w:hint="eastAsia" w:ascii="宋体" w:hAnsi="宋体"/>
          <w:color w:val="auto"/>
          <w:szCs w:val="21"/>
          <w:highlight w:val="none"/>
        </w:rPr>
        <w:t>。</w:t>
      </w:r>
    </w:p>
    <w:p>
      <w:pPr>
        <w:spacing w:line="50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9、建立严格的保密制度，中标供应商应当加强对工作人员的保密管理及保密知识教育。中标供应商须承担与此有关的技术情报和数据资料的保密责任。与本项目有关的资料及数据成果中涉及国家秘密的内容，均要求按照《国家保密法》及相关法律法规执行。</w:t>
      </w:r>
    </w:p>
    <w:p>
      <w:pPr>
        <w:keepNext/>
        <w:keepLines/>
        <w:numPr>
          <w:ilvl w:val="0"/>
          <w:numId w:val="1"/>
        </w:numPr>
        <w:adjustRightInd w:val="0"/>
        <w:spacing w:line="500" w:lineRule="exact"/>
        <w:ind w:left="0" w:firstLine="0"/>
        <w:textAlignment w:val="baseline"/>
        <w:outlineLvl w:val="9"/>
        <w:rPr>
          <w:color w:val="auto"/>
          <w:highlight w:val="none"/>
        </w:rPr>
      </w:pPr>
      <w:r>
        <w:rPr>
          <w:rFonts w:hint="eastAsia" w:ascii="宋体" w:hAnsi="宋体"/>
          <w:b/>
          <w:bCs/>
          <w:color w:val="auto"/>
          <w:kern w:val="44"/>
          <w:szCs w:val="21"/>
          <w:highlight w:val="none"/>
        </w:rPr>
        <w:t>商务条款</w:t>
      </w:r>
    </w:p>
    <w:tbl>
      <w:tblPr>
        <w:tblStyle w:val="47"/>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1</w:t>
            </w:r>
          </w:p>
        </w:tc>
        <w:tc>
          <w:tcPr>
            <w:tcW w:w="80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★规划设计费用及支付方式：</w:t>
            </w:r>
          </w:p>
          <w:p>
            <w:pPr>
              <w:autoSpaceDE w:val="0"/>
              <w:autoSpaceDN w:val="0"/>
              <w:adjustRightInd w:val="0"/>
              <w:spacing w:line="400" w:lineRule="exact"/>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详见第五章合同条款规定。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80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★服务期：</w:t>
            </w:r>
          </w:p>
          <w:p>
            <w:pPr>
              <w:autoSpaceDE w:val="0"/>
              <w:autoSpaceDN w:val="0"/>
              <w:adjustRightInd w:val="0"/>
              <w:spacing w:line="400" w:lineRule="exact"/>
              <w:jc w:val="left"/>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详见第五章合同条款规定。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5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w:t>
            </w:r>
          </w:p>
        </w:tc>
        <w:tc>
          <w:tcPr>
            <w:tcW w:w="80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hAnsi="宋体"/>
                <w:color w:val="auto"/>
                <w:szCs w:val="21"/>
                <w:highlight w:val="none"/>
              </w:rPr>
            </w:pPr>
            <w:r>
              <w:rPr>
                <w:rFonts w:hint="eastAsia" w:ascii="宋体" w:hAnsi="宋体"/>
                <w:color w:val="auto"/>
                <w:szCs w:val="21"/>
                <w:highlight w:val="none"/>
              </w:rPr>
              <w:t>★其他：</w:t>
            </w:r>
          </w:p>
          <w:p>
            <w:pPr>
              <w:autoSpaceDE w:val="0"/>
              <w:autoSpaceDN w:val="0"/>
              <w:adjustRightInd w:val="0"/>
              <w:spacing w:line="400" w:lineRule="exact"/>
              <w:jc w:val="left"/>
              <w:rPr>
                <w:rFonts w:ascii="宋体" w:hAnsi="宋体"/>
                <w:color w:val="auto"/>
                <w:szCs w:val="21"/>
                <w:highlight w:val="none"/>
              </w:rPr>
            </w:pPr>
            <w:r>
              <w:rPr>
                <w:rFonts w:hint="eastAsia" w:ascii="宋体" w:hAnsi="宋体"/>
                <w:color w:val="auto"/>
                <w:szCs w:val="21"/>
                <w:highlight w:val="none"/>
              </w:rPr>
              <w:t>1.中标供应商在中标通知书发出后30日内与采购人签订采购合同，中标或者成交供应商拒绝与采购人签订合同的，采购人可以按照评审报告推荐的中标或者成交候选人名单排序，确定下一候选人为中标或者成交供应商，也可以重新开展政府采购活动。</w:t>
            </w:r>
          </w:p>
          <w:p>
            <w:pPr>
              <w:autoSpaceDE w:val="0"/>
              <w:autoSpaceDN w:val="0"/>
              <w:adjustRightInd w:val="0"/>
              <w:spacing w:line="400" w:lineRule="exact"/>
              <w:jc w:val="left"/>
              <w:rPr>
                <w:rFonts w:ascii="宋体" w:hAnsi="宋体"/>
                <w:color w:val="auto"/>
                <w:szCs w:val="21"/>
                <w:highlight w:val="none"/>
              </w:rPr>
            </w:pPr>
            <w:r>
              <w:rPr>
                <w:rFonts w:hint="eastAsia" w:ascii="宋体" w:hAnsi="宋体"/>
                <w:color w:val="auto"/>
                <w:szCs w:val="21"/>
                <w:highlight w:val="none"/>
              </w:rPr>
              <w:t>2.在服务期间发生的一切安全事故及其他事故，由供应商负责，与采购人无涉。</w:t>
            </w:r>
          </w:p>
          <w:p>
            <w:pPr>
              <w:autoSpaceDE w:val="0"/>
              <w:autoSpaceDN w:val="0"/>
              <w:adjustRightInd w:val="0"/>
              <w:spacing w:line="400" w:lineRule="exact"/>
              <w:jc w:val="left"/>
              <w:rPr>
                <w:rFonts w:ascii="宋体" w:hAnsi="宋体"/>
                <w:color w:val="auto"/>
                <w:szCs w:val="21"/>
                <w:highlight w:val="none"/>
              </w:rPr>
            </w:pPr>
            <w:r>
              <w:rPr>
                <w:rFonts w:hint="eastAsia" w:ascii="宋体" w:hAnsi="宋体"/>
                <w:color w:val="auto"/>
                <w:szCs w:val="21"/>
                <w:highlight w:val="none"/>
              </w:rPr>
              <w:t>3.在服务期内，供应商需提供24小时服务热线，要求服务商在接到采购人电话后4小时内到达采购人现场并协助解决问题。</w:t>
            </w:r>
          </w:p>
        </w:tc>
      </w:tr>
    </w:tbl>
    <w:p>
      <w:pPr>
        <w:rPr>
          <w:rFonts w:hint="eastAsia" w:ascii="宋体" w:hAnsi="宋体"/>
          <w:b/>
          <w:color w:val="auto"/>
          <w:sz w:val="36"/>
          <w:szCs w:val="21"/>
          <w:highlight w:val="none"/>
        </w:rPr>
      </w:pPr>
    </w:p>
    <w:p>
      <w:pPr>
        <w:numPr>
          <w:ilvl w:val="0"/>
          <w:numId w:val="2"/>
        </w:numPr>
        <w:spacing w:line="400" w:lineRule="exact"/>
        <w:ind w:firstLine="420" w:firstLineChars="200"/>
        <w:jc w:val="center"/>
        <w:outlineLvl w:val="0"/>
        <w:rPr>
          <w:rFonts w:hint="eastAsia" w:ascii="宋体" w:hAnsi="宋体"/>
          <w:b/>
          <w:color w:val="auto"/>
          <w:sz w:val="36"/>
          <w:szCs w:val="21"/>
          <w:highlight w:val="none"/>
        </w:rPr>
      </w:pPr>
      <w:r>
        <w:rPr>
          <w:rFonts w:ascii="宋体" w:hAnsi="宋体"/>
          <w:color w:val="auto"/>
          <w:szCs w:val="21"/>
          <w:highlight w:val="none"/>
        </w:rPr>
        <w:br w:type="page"/>
      </w:r>
      <w:r>
        <w:rPr>
          <w:rFonts w:hint="eastAsia" w:ascii="宋体" w:hAnsi="宋体"/>
          <w:color w:val="auto"/>
          <w:szCs w:val="21"/>
          <w:highlight w:val="none"/>
          <w:lang w:val="en-US" w:eastAsia="zh-CN"/>
        </w:rPr>
        <w:t xml:space="preserve"> </w:t>
      </w:r>
      <w:r>
        <w:rPr>
          <w:rFonts w:ascii="宋体" w:hAnsi="宋体"/>
          <w:b/>
          <w:color w:val="auto"/>
          <w:sz w:val="36"/>
          <w:szCs w:val="21"/>
          <w:highlight w:val="none"/>
        </w:rPr>
        <w:t xml:space="preserve"> </w:t>
      </w:r>
      <w:bookmarkStart w:id="2" w:name="_Toc26514"/>
      <w:r>
        <w:rPr>
          <w:rFonts w:hint="eastAsia" w:ascii="宋体" w:hAnsi="宋体"/>
          <w:b/>
          <w:color w:val="auto"/>
          <w:sz w:val="36"/>
          <w:szCs w:val="21"/>
          <w:highlight w:val="none"/>
        </w:rPr>
        <w:t>投标须知</w:t>
      </w:r>
      <w:bookmarkEnd w:id="2"/>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Cs w:val="21"/>
          <w:highlight w:val="none"/>
          <w:shd w:val="clear" w:color="auto" w:fill="auto"/>
        </w:rPr>
        <w:t>一、投标须知前附表</w:t>
      </w:r>
    </w:p>
    <w:tbl>
      <w:tblPr>
        <w:tblStyle w:val="47"/>
        <w:tblW w:w="95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7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0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内容、要求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sz w:val="21"/>
                <w:szCs w:val="21"/>
                <w:highlight w:val="none"/>
                <w:shd w:val="clear" w:color="auto" w:fill="auto"/>
                <w:lang w:eastAsia="zh-CN"/>
              </w:rPr>
            </w:pPr>
            <w:r>
              <w:rPr>
                <w:rFonts w:hint="eastAsia" w:ascii="宋体" w:hAnsi="宋体" w:eastAsia="宋体" w:cs="宋体"/>
                <w:color w:val="auto"/>
                <w:sz w:val="21"/>
                <w:szCs w:val="21"/>
                <w:highlight w:val="none"/>
                <w:shd w:val="clear" w:color="auto" w:fill="auto"/>
              </w:rPr>
              <w:t>项目名称：</w:t>
            </w:r>
            <w:r>
              <w:rPr>
                <w:rFonts w:hint="eastAsia"/>
                <w:color w:val="auto"/>
                <w:sz w:val="21"/>
                <w:szCs w:val="21"/>
                <w:highlight w:val="none"/>
                <w:lang w:eastAsia="zh-CN"/>
              </w:rPr>
              <w:t>慈溪市匡堰城镇单元控制性详细规划项目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招标</w:t>
            </w:r>
            <w:r>
              <w:rPr>
                <w:rFonts w:hint="eastAsia" w:ascii="宋体" w:hAnsi="宋体" w:eastAsia="宋体" w:cs="宋体"/>
                <w:color w:val="auto"/>
                <w:sz w:val="21"/>
                <w:szCs w:val="21"/>
                <w:highlight w:val="none"/>
                <w:shd w:val="clear" w:color="auto" w:fill="auto"/>
              </w:rPr>
              <w:t>方式：</w:t>
            </w:r>
            <w:r>
              <w:rPr>
                <w:rFonts w:hint="eastAsia" w:ascii="宋体" w:hAnsi="宋体" w:eastAsia="宋体" w:cs="宋体"/>
                <w:color w:val="auto"/>
                <w:sz w:val="21"/>
                <w:szCs w:val="21"/>
                <w:highlight w:val="none"/>
                <w:shd w:val="clear" w:color="auto" w:fill="auto"/>
                <w:lang w:val="en-US" w:eastAsia="zh-CN"/>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cs="宋体"/>
                <w:color w:val="auto"/>
                <w:szCs w:val="21"/>
                <w:highlight w:val="none"/>
                <w:lang w:bidi="ar"/>
              </w:rPr>
              <w:t>★</w:t>
            </w:r>
            <w:r>
              <w:rPr>
                <w:rFonts w:hint="eastAsia" w:ascii="宋体" w:hAnsi="宋体" w:eastAsia="宋体" w:cs="宋体"/>
                <w:color w:val="auto"/>
                <w:highlight w:val="none"/>
              </w:rPr>
              <w:t>3</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Cs w:val="21"/>
                <w:highlight w:val="none"/>
                <w:shd w:val="clear" w:color="auto" w:fill="auto"/>
                <w:lang w:val="en-US" w:eastAsia="zh-CN"/>
              </w:rPr>
              <w:t>预算金额：</w:t>
            </w:r>
            <w:r>
              <w:rPr>
                <w:rFonts w:hint="eastAsia"/>
                <w:color w:val="auto"/>
                <w:sz w:val="21"/>
                <w:szCs w:val="21"/>
                <w:highlight w:val="none"/>
                <w:lang w:val="en-US" w:eastAsia="zh-CN"/>
              </w:rPr>
              <w:t>1640000</w:t>
            </w:r>
            <w:r>
              <w:rPr>
                <w:rFonts w:hint="eastAsia" w:ascii="宋体" w:hAnsi="宋体" w:cs="宋体"/>
                <w:color w:val="auto"/>
                <w:kern w:val="0"/>
                <w:szCs w:val="21"/>
                <w:highlight w:val="none"/>
                <w:lang w:val="en-US" w:eastAsia="zh-CN"/>
              </w:rPr>
              <w:t xml:space="preserve"> </w:t>
            </w:r>
            <w:r>
              <w:rPr>
                <w:rFonts w:hint="eastAsia" w:ascii="宋体" w:hAnsi="宋体" w:eastAsia="宋体" w:cs="宋体"/>
                <w:color w:val="auto"/>
                <w:szCs w:val="21"/>
                <w:highlight w:val="none"/>
                <w:shd w:val="clear" w:color="auto" w:fill="auto"/>
                <w:lang w:val="en-US" w:eastAsia="zh-CN"/>
              </w:rPr>
              <w:t>元，</w:t>
            </w:r>
            <w:r>
              <w:rPr>
                <w:rFonts w:hint="eastAsia" w:ascii="宋体" w:hAnsi="宋体" w:eastAsia="宋体" w:cs="宋体"/>
                <w:i w:val="0"/>
                <w:iCs w:val="0"/>
                <w:color w:val="auto"/>
                <w:szCs w:val="21"/>
                <w:highlight w:val="none"/>
              </w:rPr>
              <w:t>报价超过预算价的</w:t>
            </w:r>
            <w:r>
              <w:rPr>
                <w:rFonts w:hint="eastAsia" w:ascii="宋体" w:hAnsi="宋体" w:eastAsia="宋体" w:cs="宋体"/>
                <w:color w:val="auto"/>
                <w:szCs w:val="21"/>
                <w:highlight w:val="none"/>
                <w:shd w:val="clear" w:color="auto" w:fill="auto"/>
                <w:lang w:val="en-US" w:eastAsia="zh-CN"/>
              </w:rPr>
              <w:t>，</w:t>
            </w:r>
            <w:r>
              <w:rPr>
                <w:rFonts w:hint="eastAsia" w:ascii="宋体" w:hAnsi="宋体" w:eastAsia="宋体" w:cs="宋体"/>
                <w:i w:val="0"/>
                <w:iCs w:val="0"/>
                <w:color w:val="auto"/>
                <w:szCs w:val="21"/>
                <w:highlight w:val="none"/>
              </w:rPr>
              <w:t>作无效报价处理</w:t>
            </w:r>
            <w:r>
              <w:rPr>
                <w:rFonts w:hint="eastAsia" w:ascii="宋体" w:hAnsi="宋体" w:eastAsia="宋体" w:cs="宋体"/>
                <w:b/>
                <w:bCs/>
                <w:color w:val="auto"/>
                <w:sz w:val="21"/>
                <w:szCs w:val="21"/>
                <w:highlight w:val="none"/>
                <w:shd w:val="clear" w:color="auto" w:fil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投标保证金：</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default" w:ascii="宋体" w:hAnsi="宋体" w:eastAsia="宋体" w:cs="宋体"/>
                <w:color w:val="auto"/>
                <w:highlight w:val="none"/>
                <w:lang w:val="en-US" w:eastAsia="zh-CN"/>
              </w:rPr>
            </w:pPr>
            <w:r>
              <w:rPr>
                <w:rFonts w:hint="eastAsia" w:ascii="宋体" w:hAnsi="宋体" w:eastAsia="宋体" w:cs="宋体"/>
                <w:bCs/>
                <w:color w:val="auto"/>
                <w:sz w:val="21"/>
                <w:szCs w:val="21"/>
                <w:highlight w:val="none"/>
                <w:shd w:val="clear" w:color="auto" w:fill="auto"/>
                <w:lang w:val="en-US" w:eastAsia="zh-CN"/>
              </w:rPr>
              <w:t>本项目不适用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现场踏勘（如有）：本项目不统一组织现场勘察，</w:t>
            </w:r>
            <w:r>
              <w:rPr>
                <w:rFonts w:hint="eastAsia" w:ascii="宋体" w:hAnsi="宋体" w:eastAsia="宋体" w:cs="宋体"/>
                <w:color w:val="auto"/>
                <w:sz w:val="21"/>
                <w:szCs w:val="21"/>
                <w:highlight w:val="none"/>
                <w:shd w:val="clear" w:color="auto" w:fill="auto"/>
                <w:lang w:eastAsia="zh-CN"/>
              </w:rPr>
              <w:t>投标人</w:t>
            </w:r>
            <w:r>
              <w:rPr>
                <w:rFonts w:hint="eastAsia" w:ascii="宋体" w:hAnsi="宋体" w:eastAsia="宋体" w:cs="宋体"/>
                <w:color w:val="auto"/>
                <w:sz w:val="21"/>
                <w:szCs w:val="21"/>
                <w:highlight w:val="none"/>
                <w:shd w:val="clear" w:color="auto" w:fill="auto"/>
              </w:rPr>
              <w:t>可自行对本项目现场和周围环境进行勘察。</w:t>
            </w:r>
            <w:r>
              <w:rPr>
                <w:rFonts w:hint="eastAsia" w:ascii="宋体" w:hAnsi="宋体" w:eastAsia="宋体" w:cs="宋体"/>
                <w:color w:val="auto"/>
                <w:sz w:val="21"/>
                <w:szCs w:val="21"/>
                <w:highlight w:val="none"/>
                <w:shd w:val="clear" w:color="auto" w:fill="auto"/>
                <w:lang w:eastAsia="zh-CN"/>
              </w:rPr>
              <w:t>勘查现场</w:t>
            </w:r>
            <w:r>
              <w:rPr>
                <w:rFonts w:hint="eastAsia" w:ascii="宋体" w:hAnsi="宋体" w:eastAsia="宋体" w:cs="宋体"/>
                <w:color w:val="auto"/>
                <w:sz w:val="21"/>
                <w:szCs w:val="21"/>
                <w:highlight w:val="none"/>
                <w:shd w:val="clear" w:color="auto" w:fill="auto"/>
              </w:rPr>
              <w:t>所发生的费用由</w:t>
            </w:r>
            <w:r>
              <w:rPr>
                <w:rFonts w:hint="eastAsia" w:ascii="宋体" w:hAnsi="宋体" w:eastAsia="宋体" w:cs="宋体"/>
                <w:color w:val="auto"/>
                <w:sz w:val="21"/>
                <w:szCs w:val="21"/>
                <w:highlight w:val="none"/>
                <w:shd w:val="clear" w:color="auto" w:fill="auto"/>
                <w:lang w:eastAsia="zh-CN"/>
              </w:rPr>
              <w:t>投标人</w:t>
            </w:r>
            <w:r>
              <w:rPr>
                <w:rFonts w:hint="eastAsia" w:ascii="宋体" w:hAnsi="宋体" w:eastAsia="宋体" w:cs="宋体"/>
                <w:color w:val="auto"/>
                <w:sz w:val="21"/>
                <w:szCs w:val="21"/>
                <w:highlight w:val="none"/>
                <w:shd w:val="clear" w:color="auto" w:fill="auto"/>
              </w:rPr>
              <w:t>自己承担。不论何种原因所造成，在勘察过程中，</w:t>
            </w:r>
            <w:r>
              <w:rPr>
                <w:rFonts w:hint="eastAsia" w:ascii="宋体" w:hAnsi="宋体" w:eastAsia="宋体" w:cs="宋体"/>
                <w:color w:val="auto"/>
                <w:sz w:val="21"/>
                <w:szCs w:val="21"/>
                <w:highlight w:val="none"/>
                <w:shd w:val="clear" w:color="auto" w:fill="auto"/>
                <w:lang w:eastAsia="zh-CN"/>
              </w:rPr>
              <w:t>投标人</w:t>
            </w:r>
            <w:r>
              <w:rPr>
                <w:rFonts w:hint="eastAsia" w:ascii="宋体" w:hAnsi="宋体" w:eastAsia="宋体" w:cs="宋体"/>
                <w:color w:val="auto"/>
                <w:sz w:val="21"/>
                <w:szCs w:val="21"/>
                <w:highlight w:val="none"/>
                <w:shd w:val="clear" w:color="auto" w:fill="auto"/>
              </w:rPr>
              <w:t>自行对由此次踏勘现场而造成的死亡、人身伤害、财产损失、损害以及任何其它损失、损害和引起的费用和开支承担责任。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rPr>
              <w:t>演示时间及地点（如有）：无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en-US" w:eastAsia="zh-CN"/>
              </w:rPr>
            </w:pPr>
            <w:r>
              <w:rPr>
                <w:rFonts w:hint="eastAsia" w:ascii="宋体" w:hAnsi="宋体" w:eastAsia="宋体" w:cs="宋体"/>
                <w:bCs/>
                <w:color w:val="auto"/>
                <w:sz w:val="21"/>
                <w:szCs w:val="21"/>
                <w:highlight w:val="none"/>
                <w:shd w:val="clear" w:color="auto" w:fill="auto"/>
              </w:rPr>
              <w:t>投标截止时间及地点：同</w:t>
            </w:r>
            <w:r>
              <w:rPr>
                <w:rFonts w:hint="eastAsia" w:ascii="宋体" w:hAnsi="宋体" w:eastAsia="宋体" w:cs="宋体"/>
                <w:bCs/>
                <w:color w:val="auto"/>
                <w:sz w:val="21"/>
                <w:szCs w:val="21"/>
                <w:highlight w:val="none"/>
                <w:shd w:val="clear" w:color="auto" w:fill="auto"/>
                <w:lang w:val="en-US" w:eastAsia="zh-CN"/>
              </w:rPr>
              <w:t>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8</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eastAsia="zh-CN"/>
              </w:rPr>
            </w:pPr>
            <w:r>
              <w:rPr>
                <w:rFonts w:hint="eastAsia" w:ascii="宋体" w:hAnsi="宋体" w:eastAsia="宋体" w:cs="宋体"/>
                <w:bCs/>
                <w:color w:val="auto"/>
                <w:sz w:val="21"/>
                <w:szCs w:val="21"/>
                <w:highlight w:val="none"/>
                <w:shd w:val="clear" w:color="auto" w:fill="auto"/>
              </w:rPr>
              <w:t>开标时间及地点：同</w:t>
            </w:r>
            <w:r>
              <w:rPr>
                <w:rFonts w:hint="eastAsia" w:ascii="宋体" w:hAnsi="宋体" w:eastAsia="宋体" w:cs="宋体"/>
                <w:bCs/>
                <w:color w:val="auto"/>
                <w:sz w:val="21"/>
                <w:szCs w:val="21"/>
                <w:highlight w:val="none"/>
                <w:shd w:val="clear" w:color="auto" w:fill="auto"/>
                <w:lang w:val="en-US" w:eastAsia="zh-CN"/>
              </w:rPr>
              <w:t>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9</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评标办法及评分标准：详见第</w:t>
            </w:r>
            <w:r>
              <w:rPr>
                <w:rFonts w:hint="eastAsia" w:ascii="宋体" w:hAnsi="宋体" w:eastAsia="宋体" w:cs="宋体"/>
                <w:bCs/>
                <w:color w:val="auto"/>
                <w:sz w:val="21"/>
                <w:szCs w:val="21"/>
                <w:highlight w:val="none"/>
                <w:shd w:val="clear" w:color="auto" w:fill="auto"/>
                <w:lang w:val="en-US" w:eastAsia="zh-CN"/>
              </w:rPr>
              <w:t>四</w:t>
            </w:r>
            <w:r>
              <w:rPr>
                <w:rFonts w:hint="eastAsia" w:ascii="宋体" w:hAnsi="宋体" w:eastAsia="宋体" w:cs="宋体"/>
                <w:bCs/>
                <w:color w:val="auto"/>
                <w:sz w:val="21"/>
                <w:szCs w:val="21"/>
                <w:highlight w:val="none"/>
                <w:shd w:val="clear" w:color="auto" w:fill="auto"/>
              </w:rPr>
              <w:t>章评标办法及标准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10</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rPr>
            </w:pPr>
            <w:r>
              <w:rPr>
                <w:rFonts w:hint="eastAsia" w:ascii="宋体" w:hAnsi="宋体" w:eastAsia="宋体" w:cs="宋体"/>
                <w:bCs/>
                <w:color w:val="auto"/>
                <w:sz w:val="21"/>
                <w:szCs w:val="21"/>
                <w:highlight w:val="none"/>
                <w:shd w:val="clear" w:color="auto" w:fill="auto"/>
              </w:rPr>
              <w:t>签订合同时间：中标通知书发出后30日内。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11</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en-US"/>
              </w:rPr>
            </w:pPr>
            <w:r>
              <w:rPr>
                <w:rFonts w:hint="eastAsia" w:ascii="宋体" w:hAnsi="宋体" w:eastAsia="宋体" w:cs="宋体"/>
                <w:bCs/>
                <w:color w:val="auto"/>
                <w:sz w:val="21"/>
                <w:szCs w:val="21"/>
                <w:highlight w:val="none"/>
                <w:shd w:val="clear" w:color="auto" w:fill="auto"/>
              </w:rPr>
              <w:t>履约保证金的收取：</w:t>
            </w:r>
            <w:r>
              <w:rPr>
                <w:rFonts w:hint="eastAsia" w:ascii="宋体" w:hAnsi="宋体" w:eastAsia="宋体" w:cs="宋体"/>
                <w:bCs/>
                <w:color w:val="auto"/>
                <w:sz w:val="21"/>
                <w:szCs w:val="21"/>
                <w:highlight w:val="none"/>
                <w:shd w:val="clear" w:color="auto" w:fill="auto"/>
                <w:lang w:val="en-US" w:eastAsia="zh-CN"/>
              </w:rPr>
              <w:t>本项目不适用。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en-US" w:eastAsia="zh-CN"/>
              </w:rPr>
            </w:pPr>
            <w:r>
              <w:rPr>
                <w:rFonts w:hint="eastAsia" w:ascii="宋体" w:hAnsi="宋体" w:cs="宋体"/>
                <w:color w:val="auto"/>
                <w:szCs w:val="21"/>
                <w:highlight w:val="none"/>
                <w:lang w:bidi="ar"/>
              </w:rPr>
              <w:t>★</w:t>
            </w:r>
            <w:r>
              <w:rPr>
                <w:rFonts w:hint="eastAsia" w:ascii="宋体" w:hAnsi="宋体" w:eastAsia="宋体" w:cs="宋体"/>
                <w:bCs/>
                <w:color w:val="auto"/>
                <w:sz w:val="21"/>
                <w:szCs w:val="21"/>
                <w:highlight w:val="none"/>
                <w:shd w:val="clear" w:color="auto" w:fill="auto"/>
                <w:lang w:val="en-US" w:eastAsia="zh-CN"/>
              </w:rPr>
              <w:t>12</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default" w:ascii="宋体" w:hAnsi="宋体" w:eastAsia="宋体" w:cs="宋体"/>
                <w:bCs/>
                <w:color w:val="auto"/>
                <w:sz w:val="21"/>
                <w:szCs w:val="21"/>
                <w:highlight w:val="none"/>
                <w:shd w:val="clear" w:color="auto" w:fill="auto"/>
                <w:lang w:val="en-US"/>
              </w:rPr>
            </w:pPr>
            <w:r>
              <w:rPr>
                <w:rFonts w:hint="eastAsia" w:ascii="宋体" w:hAnsi="宋体" w:eastAsia="宋体" w:cs="宋体"/>
                <w:bCs/>
                <w:color w:val="auto"/>
                <w:sz w:val="21"/>
                <w:szCs w:val="21"/>
                <w:highlight w:val="none"/>
                <w:shd w:val="clear" w:color="auto" w:fill="auto"/>
                <w:lang w:val="en-US" w:eastAsia="zh-CN"/>
              </w:rPr>
              <w:t>规划设计费用及支付方式：同第五章合同规定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w:t>
            </w:r>
          </w:p>
        </w:tc>
        <w:tc>
          <w:tcPr>
            <w:tcW w:w="8724" w:type="dxa"/>
            <w:tcBorders>
              <w:tl2br w:val="nil"/>
              <w:tr2bl w:val="nil"/>
            </w:tcBorders>
            <w:noWrap w:val="0"/>
            <w:vAlign w:val="center"/>
          </w:tcPr>
          <w:p>
            <w:pPr>
              <w:spacing w:line="400" w:lineRule="exact"/>
              <w:ind w:left="0" w:leftChars="0" w:firstLine="0" w:firstLineChars="0"/>
              <w:jc w:val="left"/>
              <w:rPr>
                <w:rFonts w:hint="eastAsia" w:ascii="宋体" w:hAnsi="宋体" w:cs="宋体"/>
                <w:color w:val="auto"/>
                <w:szCs w:val="21"/>
                <w:highlight w:val="none"/>
              </w:rPr>
            </w:pPr>
            <w:r>
              <w:rPr>
                <w:rFonts w:hint="eastAsia"/>
                <w:color w:val="auto"/>
                <w:szCs w:val="21"/>
                <w:highlight w:val="none"/>
              </w:rPr>
              <w:t>合同履约期限</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zh-CN" w:eastAsia="zh-CN"/>
              </w:rPr>
            </w:pPr>
            <w:r>
              <w:rPr>
                <w:rFonts w:hint="eastAsia" w:ascii="宋体" w:hAnsi="宋体" w:eastAsia="宋体" w:cs="宋体"/>
                <w:color w:val="auto"/>
                <w:sz w:val="21"/>
                <w:szCs w:val="21"/>
                <w:highlight w:val="none"/>
                <w:lang w:eastAsia="zh-CN"/>
              </w:rPr>
              <w:t>自合同签订起</w:t>
            </w:r>
            <w:r>
              <w:rPr>
                <w:rFonts w:hint="eastAsia" w:ascii="宋体" w:hAnsi="宋体" w:eastAsia="宋体" w:cs="宋体"/>
                <w:color w:val="auto"/>
                <w:sz w:val="21"/>
                <w:szCs w:val="21"/>
                <w:highlight w:val="none"/>
                <w:lang w:val="en-US" w:eastAsia="zh-CN"/>
              </w:rPr>
              <w:t>6个月内完成所有工作</w:t>
            </w:r>
            <w:r>
              <w:rPr>
                <w:rFonts w:hint="eastAsia" w:ascii="宋体" w:hAnsi="宋体" w:eastAsia="宋体" w:cs="宋体"/>
                <w:color w:val="auto"/>
                <w:sz w:val="21"/>
                <w:szCs w:val="21"/>
                <w:highlight w:val="none"/>
                <w:lang w:eastAsia="zh-CN"/>
              </w:rPr>
              <w:t>。最终报批稿完成时间以上位规划及上级审查批复部门要求为准。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14</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zh-CN"/>
              </w:rPr>
            </w:pPr>
            <w:r>
              <w:rPr>
                <w:rFonts w:hint="eastAsia" w:ascii="宋体" w:hAnsi="宋体" w:eastAsia="宋体" w:cs="宋体"/>
                <w:bCs/>
                <w:color w:val="auto"/>
                <w:sz w:val="21"/>
                <w:szCs w:val="21"/>
                <w:highlight w:val="none"/>
                <w:shd w:val="clear" w:color="auto" w:fill="auto"/>
                <w:lang w:val="zh-CN"/>
              </w:rPr>
              <w:t>投标文件有效期：投标截止日起90天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15</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zh-CN"/>
              </w:rPr>
            </w:pPr>
            <w:r>
              <w:rPr>
                <w:rFonts w:hint="eastAsia" w:ascii="宋体" w:hAnsi="宋体" w:eastAsia="宋体" w:cs="宋体"/>
                <w:bCs/>
                <w:color w:val="auto"/>
                <w:sz w:val="21"/>
                <w:szCs w:val="21"/>
                <w:highlight w:val="none"/>
                <w:shd w:val="clear" w:color="auto" w:fill="auto"/>
                <w:lang w:val="en-US" w:eastAsia="zh-CN"/>
              </w:rPr>
              <w:t>代理</w:t>
            </w:r>
            <w:r>
              <w:rPr>
                <w:rFonts w:hint="eastAsia" w:ascii="宋体" w:hAnsi="宋体" w:eastAsia="宋体" w:cs="宋体"/>
                <w:bCs/>
                <w:color w:val="auto"/>
                <w:sz w:val="21"/>
                <w:szCs w:val="21"/>
                <w:highlight w:val="none"/>
                <w:shd w:val="clear" w:color="auto" w:fill="auto"/>
                <w:lang w:val="zh-CN"/>
              </w:rPr>
              <w:t>服务费：</w:t>
            </w:r>
            <w:r>
              <w:rPr>
                <w:rFonts w:hint="eastAsia" w:ascii="宋体" w:hAnsi="宋体"/>
                <w:color w:val="auto"/>
                <w:szCs w:val="21"/>
                <w:highlight w:val="none"/>
                <w:u w:val="single"/>
                <w:lang w:val="en-US" w:eastAsia="zh-CN"/>
              </w:rPr>
              <w:t xml:space="preserve"> 人民币19500</w:t>
            </w:r>
            <w:r>
              <w:rPr>
                <w:rFonts w:hint="eastAsia" w:ascii="宋体" w:hAnsi="宋体" w:eastAsia="宋体" w:cs="宋体"/>
                <w:bCs/>
                <w:color w:val="auto"/>
                <w:sz w:val="21"/>
                <w:szCs w:val="21"/>
                <w:highlight w:val="none"/>
                <w:shd w:val="clear" w:color="auto" w:fill="auto"/>
                <w:lang w:val="en-US" w:eastAsia="zh-CN"/>
              </w:rPr>
              <w:t xml:space="preserve"> 元，由中标单位支付</w:t>
            </w:r>
            <w:r>
              <w:rPr>
                <w:rFonts w:hint="eastAsia" w:ascii="宋体" w:hAnsi="宋体" w:eastAsia="宋体" w:cs="宋体"/>
                <w:bCs/>
                <w:color w:val="auto"/>
                <w:sz w:val="21"/>
                <w:szCs w:val="21"/>
                <w:highlight w:val="none"/>
                <w:shd w:val="clear" w:color="auto" w:fill="auto"/>
                <w:lang w:val="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35" w:type="dxa"/>
            <w:tcBorders>
              <w:tl2br w:val="nil"/>
              <w:tr2bl w:val="nil"/>
            </w:tcBorders>
            <w:noWrap w:val="0"/>
            <w:vAlign w:val="center"/>
          </w:tcPr>
          <w:p>
            <w:pPr>
              <w:pStyle w:val="39"/>
              <w:keepNext w:val="0"/>
              <w:keepLines w:val="0"/>
              <w:pageBreakBefore w:val="0"/>
              <w:widowControl w:val="0"/>
              <w:tabs>
                <w:tab w:val="right" w:leader="dot" w:pos="8296"/>
              </w:tabs>
              <w:kinsoku/>
              <w:wordWrap/>
              <w:overflowPunct/>
              <w:topLinePunct w:val="0"/>
              <w:autoSpaceDE/>
              <w:autoSpaceDN/>
              <w:bidi w:val="0"/>
              <w:adjustRightInd/>
              <w:spacing w:line="300" w:lineRule="exact"/>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w:t>
            </w:r>
          </w:p>
        </w:tc>
        <w:tc>
          <w:tcPr>
            <w:tcW w:w="872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300" w:lineRule="exact"/>
              <w:ind w:left="0" w:leftChars="0" w:firstLine="0" w:firstLineChars="0"/>
              <w:textAlignment w:val="auto"/>
              <w:rPr>
                <w:rFonts w:hint="eastAsia" w:ascii="宋体" w:hAnsi="宋体" w:eastAsia="宋体" w:cs="宋体"/>
                <w:bCs/>
                <w:color w:val="auto"/>
                <w:sz w:val="21"/>
                <w:szCs w:val="21"/>
                <w:highlight w:val="none"/>
                <w:shd w:val="clear" w:color="auto" w:fill="auto"/>
                <w:lang w:val="zh-CN"/>
              </w:rPr>
            </w:pPr>
            <w:r>
              <w:rPr>
                <w:rFonts w:hint="eastAsia" w:ascii="宋体" w:hAnsi="宋体" w:eastAsia="宋体" w:cs="宋体"/>
                <w:bCs/>
                <w:color w:val="auto"/>
                <w:sz w:val="21"/>
                <w:szCs w:val="21"/>
                <w:highlight w:val="none"/>
                <w:shd w:val="clear" w:color="auto" w:fill="auto"/>
                <w:lang w:val="zh-CN"/>
              </w:rPr>
              <w:t>解释：本招标文件的解释权属于</w:t>
            </w:r>
            <w:r>
              <w:rPr>
                <w:rFonts w:hint="eastAsia" w:ascii="宋体" w:hAnsi="宋体" w:eastAsia="宋体" w:cs="宋体"/>
                <w:bCs/>
                <w:color w:val="auto"/>
                <w:sz w:val="21"/>
                <w:szCs w:val="21"/>
                <w:highlight w:val="none"/>
                <w:shd w:val="clear" w:color="auto" w:fill="auto"/>
                <w:lang w:val="en-US" w:eastAsia="zh-CN"/>
              </w:rPr>
              <w:t>招标单位</w:t>
            </w:r>
            <w:r>
              <w:rPr>
                <w:rFonts w:hint="eastAsia" w:ascii="宋体" w:hAnsi="宋体" w:eastAsia="宋体" w:cs="宋体"/>
                <w:bCs/>
                <w:color w:val="auto"/>
                <w:sz w:val="21"/>
                <w:szCs w:val="21"/>
                <w:highlight w:val="none"/>
                <w:shd w:val="clear" w:color="auto" w:fill="auto"/>
                <w:lang w:val="zh-CN"/>
              </w:rPr>
              <w:t>。</w:t>
            </w:r>
          </w:p>
        </w:tc>
      </w:tr>
    </w:tbl>
    <w:p>
      <w:pPr>
        <w:spacing w:line="400" w:lineRule="exact"/>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二、适用范围</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本招标文件仅适用于本采购项目所叙述的货物和服务的招标、评标、定标、验收、合同履约、付款等（法律、法规另有规定的，从其规定）。</w:t>
      </w:r>
    </w:p>
    <w:p>
      <w:pPr>
        <w:spacing w:line="400" w:lineRule="exact"/>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三、定义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1.“采购人”系指</w:t>
      </w:r>
      <w:r>
        <w:rPr>
          <w:rFonts w:hint="eastAsia" w:ascii="宋体" w:hAnsi="宋体" w:cs="宋体"/>
          <w:color w:val="auto"/>
          <w:szCs w:val="21"/>
          <w:highlight w:val="none"/>
          <w:lang w:eastAsia="zh-CN"/>
        </w:rPr>
        <w:t>慈溪市匡堰镇人民政府</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2.“代理机构”系指</w:t>
      </w:r>
      <w:r>
        <w:rPr>
          <w:rFonts w:hint="eastAsia" w:ascii="宋体" w:hAnsi="宋体" w:cs="宋体"/>
          <w:color w:val="auto"/>
          <w:szCs w:val="21"/>
          <w:highlight w:val="none"/>
          <w:lang w:eastAsia="zh-CN"/>
        </w:rPr>
        <w:t>宁波安全三江工程咨询招标代理有限公司</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3.“供应商（投标人）”系指向采购人提交投标文件的供应商。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4.“服务”系指招标文件规定供应商须承担的</w:t>
      </w:r>
      <w:r>
        <w:rPr>
          <w:rFonts w:hint="eastAsia" w:ascii="宋体" w:hAnsi="宋体" w:cs="宋体"/>
          <w:color w:val="auto"/>
          <w:szCs w:val="21"/>
          <w:highlight w:val="none"/>
          <w:lang w:eastAsia="zh-CN"/>
        </w:rPr>
        <w:t>慈溪市匡堰城镇单元控制性详细规划项目</w:t>
      </w:r>
      <w:r>
        <w:rPr>
          <w:rFonts w:hint="eastAsia" w:ascii="宋体" w:hAnsi="宋体" w:cs="宋体"/>
          <w:color w:val="auto"/>
          <w:szCs w:val="21"/>
          <w:highlight w:val="none"/>
        </w:rPr>
        <w:t>以及其他类似的义务。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5.“货物”系指满足服务要求，投标人需具有的材料设备等。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5.“同级政府采购监管部门”系指</w:t>
      </w:r>
      <w:r>
        <w:rPr>
          <w:rFonts w:hint="eastAsia" w:ascii="宋体" w:hAnsi="宋体" w:cs="宋体"/>
          <w:color w:val="auto"/>
          <w:szCs w:val="21"/>
          <w:highlight w:val="none"/>
          <w:lang w:val="zh-CN"/>
        </w:rPr>
        <w:t>慈溪市财政局。</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6.“★”系指实质性响应条款。</w:t>
      </w:r>
    </w:p>
    <w:p>
      <w:pPr>
        <w:spacing w:line="400" w:lineRule="exact"/>
        <w:ind w:firstLine="210" w:firstLineChars="100"/>
        <w:rPr>
          <w:rFonts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eastAsia="宋体" w:cs="宋体"/>
          <w:b/>
          <w:color w:val="auto"/>
          <w:szCs w:val="21"/>
          <w:highlight w:val="none"/>
          <w:lang w:val="en-US" w:eastAsia="zh-CN"/>
        </w:rPr>
        <w:t>四</w:t>
      </w:r>
      <w:r>
        <w:rPr>
          <w:rFonts w:hint="eastAsia" w:ascii="宋体" w:hAnsi="宋体" w:eastAsia="宋体" w:cs="宋体"/>
          <w:b/>
          <w:color w:val="auto"/>
          <w:szCs w:val="21"/>
          <w:highlight w:val="none"/>
        </w:rPr>
        <w:t>、供</w:t>
      </w:r>
      <w:r>
        <w:rPr>
          <w:rFonts w:hint="eastAsia" w:ascii="宋体" w:hAnsi="宋体" w:cs="宋体"/>
          <w:b/>
          <w:color w:val="auto"/>
          <w:szCs w:val="21"/>
          <w:highlight w:val="none"/>
        </w:rPr>
        <w:t>应商的资格要求</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详见招标公告。</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、投标费用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无论投标过程和结果如何，供应商自行承担与投标有关的全部费用。</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六</w:t>
      </w:r>
      <w:r>
        <w:rPr>
          <w:rFonts w:hint="eastAsia" w:ascii="宋体" w:hAnsi="宋体" w:cs="宋体"/>
          <w:b/>
          <w:color w:val="auto"/>
          <w:szCs w:val="21"/>
          <w:highlight w:val="none"/>
        </w:rPr>
        <w:t>、投标报价</w:t>
      </w:r>
    </w:p>
    <w:p>
      <w:pPr>
        <w:spacing w:line="400" w:lineRule="exact"/>
        <w:ind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1.投标报价以人民币为结算货币。</w:t>
      </w:r>
    </w:p>
    <w:p>
      <w:pPr>
        <w:spacing w:line="400" w:lineRule="exact"/>
        <w:ind w:firstLine="420" w:firstLineChars="200"/>
        <w:jc w:val="left"/>
        <w:rPr>
          <w:rFonts w:ascii="宋体" w:hAnsi="宋体" w:cs="宋体"/>
          <w:color w:val="auto"/>
          <w:szCs w:val="21"/>
          <w:highlight w:val="none"/>
          <w:lang w:val="zh-CN"/>
        </w:rPr>
      </w:pPr>
      <w:r>
        <w:rPr>
          <w:rFonts w:hint="eastAsia" w:ascii="宋体" w:hAnsi="宋体" w:cs="宋体"/>
          <w:color w:val="auto"/>
          <w:szCs w:val="21"/>
          <w:highlight w:val="none"/>
          <w:lang w:val="zh-CN"/>
        </w:rPr>
        <w:t>2.投标报价是履行合同的最终价格，包含需缴纳的所有税费及其他一切相关费用。供应商少报或漏报的工作量，采购单位将视为已包含在投标总价中，并不予调整。</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七</w:t>
      </w:r>
      <w:r>
        <w:rPr>
          <w:rFonts w:hint="eastAsia" w:ascii="宋体" w:hAnsi="宋体" w:cs="宋体"/>
          <w:b/>
          <w:color w:val="auto"/>
          <w:szCs w:val="21"/>
          <w:highlight w:val="none"/>
        </w:rPr>
        <w:t>、投标有效期</w:t>
      </w:r>
    </w:p>
    <w:p>
      <w:pPr>
        <w:spacing w:line="400" w:lineRule="exact"/>
        <w:ind w:firstLine="210" w:firstLineChars="100"/>
        <w:rPr>
          <w:rFonts w:ascii="宋体" w:hAnsi="宋体" w:cs="宋体"/>
          <w:b/>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投标文件从开标之日起，投标有效期为90</w:t>
      </w:r>
      <w:r>
        <w:rPr>
          <w:rFonts w:hint="eastAsia" w:ascii="宋体" w:hAnsi="宋体" w:cs="宋体"/>
          <w:color w:val="auto"/>
          <w:szCs w:val="21"/>
          <w:highlight w:val="none"/>
          <w:lang w:eastAsia="zh-CN"/>
        </w:rPr>
        <w:t>日历天</w:t>
      </w:r>
      <w:r>
        <w:rPr>
          <w:rFonts w:hint="eastAsia" w:ascii="宋体" w:hAnsi="宋体" w:cs="宋体"/>
          <w:color w:val="auto"/>
          <w:szCs w:val="21"/>
          <w:highlight w:val="none"/>
        </w:rPr>
        <w:t>。投标有效期不能小于招标文件的要求。</w:t>
      </w:r>
    </w:p>
    <w:p>
      <w:pPr>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特殊情况下，采购人可与供应商协商延缓投标文件的有效期，这种要求和答复均以书面形式进行。</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供应商可拒绝接受延期要求。同意延长有效期的供应商不能修改投标文件。</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lang w:val="en-US" w:eastAsia="zh-CN"/>
        </w:rPr>
        <w:t>八</w:t>
      </w:r>
      <w:r>
        <w:rPr>
          <w:rFonts w:hint="eastAsia" w:ascii="宋体" w:hAnsi="宋体" w:cs="宋体"/>
          <w:b/>
          <w:color w:val="auto"/>
          <w:szCs w:val="21"/>
          <w:highlight w:val="none"/>
        </w:rPr>
        <w:t>、投标文件的形式和效力</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投标文件分为电子投标文件，还可以提交以</w:t>
      </w:r>
      <w:r>
        <w:rPr>
          <w:rFonts w:hint="eastAsia" w:ascii="宋体" w:hAnsi="宋体" w:cs="宋体"/>
          <w:color w:val="auto"/>
          <w:kern w:val="0"/>
          <w:szCs w:val="21"/>
          <w:highlight w:val="none"/>
        </w:rPr>
        <w:t>U盘或光盘存储的电子</w:t>
      </w:r>
      <w:r>
        <w:rPr>
          <w:rFonts w:hint="eastAsia" w:ascii="宋体" w:hAnsi="宋体" w:cs="宋体"/>
          <w:color w:val="auto"/>
          <w:szCs w:val="21"/>
          <w:highlight w:val="none"/>
        </w:rPr>
        <w:t>备份投标文件。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电子投标文件，按“项目采购－电子招投标操作指南”及本招标文件要求制作，并加密。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以</w:t>
      </w:r>
      <w:r>
        <w:rPr>
          <w:rFonts w:hint="eastAsia" w:ascii="宋体" w:hAnsi="宋体" w:cs="宋体"/>
          <w:color w:val="auto"/>
          <w:kern w:val="0"/>
          <w:szCs w:val="21"/>
          <w:highlight w:val="none"/>
        </w:rPr>
        <w:t>U盘或光盘存储的电子</w:t>
      </w:r>
      <w:r>
        <w:rPr>
          <w:rFonts w:hint="eastAsia" w:ascii="宋体" w:hAnsi="宋体" w:cs="宋体"/>
          <w:color w:val="auto"/>
          <w:szCs w:val="21"/>
          <w:highlight w:val="none"/>
        </w:rPr>
        <w:t>备份投标文件，按“项目采购－电子招投标操作指南”制作的电子备份文件。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投标文件填写字迹必须清楚、工整，对不同文字文本投标文件的解释发生异议的，以中文文本为准。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投标文件的效力</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投标文件的启用，按先后顺位分别为电子投标文件、以</w:t>
      </w:r>
      <w:r>
        <w:rPr>
          <w:rFonts w:hint="eastAsia" w:ascii="宋体" w:hAnsi="宋体" w:cs="宋体"/>
          <w:color w:val="auto"/>
          <w:kern w:val="0"/>
          <w:szCs w:val="21"/>
          <w:highlight w:val="none"/>
        </w:rPr>
        <w:t>U盘或光盘存储的电子</w:t>
      </w:r>
      <w:r>
        <w:rPr>
          <w:rFonts w:hint="eastAsia" w:ascii="宋体" w:hAnsi="宋体" w:cs="宋体"/>
          <w:color w:val="auto"/>
          <w:szCs w:val="21"/>
          <w:highlight w:val="none"/>
        </w:rPr>
        <w:t>备份投标文件。在下一顺位的投标文件启用时，前一顺位的投标文件自动失效。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电子投标文件未能按时解密，供应商提供了电子备份投标文件的，以电子备份投标文件作为依据，否则视为投标无效。电子投标文件已按时解密的，电子备份投标文件自动失效。</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lang w:val="en-US" w:eastAsia="zh-CN"/>
        </w:rPr>
        <w:t>九</w:t>
      </w:r>
      <w:r>
        <w:rPr>
          <w:rFonts w:hint="eastAsia" w:ascii="宋体" w:hAnsi="宋体" w:cs="宋体"/>
          <w:b/>
          <w:bCs/>
          <w:color w:val="auto"/>
          <w:szCs w:val="21"/>
          <w:highlight w:val="none"/>
        </w:rPr>
        <w:t>、投标文件的组成、份数、制作</w:t>
      </w:r>
    </w:p>
    <w:p>
      <w:pPr>
        <w:snapToGrid w:val="0"/>
        <w:spacing w:line="400" w:lineRule="exact"/>
        <w:ind w:firstLine="411" w:firstLineChars="196"/>
        <w:rPr>
          <w:rFonts w:ascii="宋体" w:hAnsi="宋体" w:cs="宋体"/>
          <w:bCs/>
          <w:color w:val="auto"/>
          <w:szCs w:val="21"/>
          <w:highlight w:val="none"/>
        </w:rPr>
      </w:pPr>
      <w:r>
        <w:rPr>
          <w:rFonts w:hint="eastAsia" w:ascii="宋体" w:hAnsi="宋体" w:cs="宋体"/>
          <w:bCs/>
          <w:color w:val="auto"/>
          <w:szCs w:val="21"/>
          <w:highlight w:val="none"/>
        </w:rPr>
        <w:t>1</w:t>
      </w:r>
      <w:r>
        <w:rPr>
          <w:rFonts w:hint="eastAsia" w:ascii="宋体" w:hAnsi="宋体" w:cs="宋体"/>
          <w:bCs/>
          <w:color w:val="auto"/>
          <w:szCs w:val="21"/>
          <w:highlight w:val="none"/>
          <w:lang w:val="en-US" w:eastAsia="zh-CN"/>
        </w:rPr>
        <w:t>.</w:t>
      </w:r>
      <w:r>
        <w:rPr>
          <w:rFonts w:hint="eastAsia" w:ascii="宋体" w:hAnsi="宋体" w:cs="宋体"/>
          <w:bCs/>
          <w:color w:val="auto"/>
          <w:szCs w:val="21"/>
          <w:highlight w:val="none"/>
        </w:rPr>
        <w:t>投标文件的组成：</w:t>
      </w:r>
    </w:p>
    <w:p>
      <w:pPr>
        <w:snapToGrid w:val="0"/>
        <w:spacing w:line="400" w:lineRule="exact"/>
        <w:ind w:firstLine="413" w:firstLineChars="196"/>
        <w:rPr>
          <w:rFonts w:ascii="宋体" w:hAnsi="宋体" w:cs="宋体"/>
          <w:b/>
          <w:color w:val="auto"/>
          <w:szCs w:val="21"/>
          <w:highlight w:val="none"/>
        </w:rPr>
      </w:pPr>
      <w:bookmarkStart w:id="3" w:name="_Hlk23147633"/>
      <w:bookmarkStart w:id="4" w:name="_Hlk23150950"/>
      <w:r>
        <w:rPr>
          <w:rFonts w:hint="eastAsia" w:ascii="宋体" w:hAnsi="宋体" w:cs="宋体"/>
          <w:b/>
          <w:color w:val="auto"/>
          <w:szCs w:val="21"/>
          <w:highlight w:val="none"/>
        </w:rPr>
        <w:t>A.第一册：资格文件</w:t>
      </w:r>
    </w:p>
    <w:p>
      <w:pPr>
        <w:spacing w:line="400" w:lineRule="exact"/>
        <w:ind w:firstLine="420" w:firstLineChars="200"/>
        <w:rPr>
          <w:rFonts w:hint="eastAsia" w:ascii="宋体" w:hAnsi="宋体" w:cs="宋体"/>
          <w:color w:val="auto"/>
          <w:szCs w:val="21"/>
          <w:highlight w:val="none"/>
        </w:rPr>
      </w:pPr>
      <w:bookmarkStart w:id="5" w:name="_Hlk4309479"/>
      <w:bookmarkStart w:id="6" w:name="_Hlk39154056"/>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关于资格的承诺函（格式见附件）（联合体投标的，联合体双方均须提供，并加盖各自单位公章）；</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营业执照副本（或事业法人登记证副本或其他登记证明材料）扫描件或电子营业执照加盖供应商公章（供应商如果有名称变更的，应提供由行政主管部门出具的变更证明文件扫描件加盖供应商公章）（联合体投标的，联合体双方均须提供，并加盖各自单位公章）。</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资质证书扫描件加盖供应商公章；</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联合投标协议书（联合体投标须提供）；</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A</w:t>
      </w: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联合投标授权委托书（联合体投标须提供）；</w:t>
      </w:r>
    </w:p>
    <w:p>
      <w:pPr>
        <w:spacing w:line="400" w:lineRule="exact"/>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lang w:val="en-US" w:eastAsia="zh-CN"/>
        </w:rPr>
        <w:t>A6.</w:t>
      </w:r>
      <w:r>
        <w:rPr>
          <w:rFonts w:hint="eastAsia" w:ascii="宋体" w:hAnsi="宋体" w:cs="宋体"/>
          <w:color w:val="auto"/>
          <w:szCs w:val="21"/>
          <w:highlight w:val="none"/>
        </w:rPr>
        <w:t>供应商认为需要的其他资料（如有需提供）</w:t>
      </w:r>
      <w:r>
        <w:rPr>
          <w:rFonts w:hint="eastAsia" w:ascii="宋体" w:hAnsi="宋体"/>
          <w:color w:val="auto"/>
          <w:szCs w:val="21"/>
          <w:highlight w:val="none"/>
        </w:rPr>
        <w:t>。</w:t>
      </w:r>
    </w:p>
    <w:p>
      <w:pPr>
        <w:spacing w:line="400" w:lineRule="exact"/>
        <w:ind w:left="420"/>
        <w:jc w:val="left"/>
        <w:rPr>
          <w:rFonts w:ascii="宋体" w:hAnsi="宋体" w:cs="宋体"/>
          <w:b/>
          <w:color w:val="auto"/>
          <w:szCs w:val="21"/>
          <w:highlight w:val="none"/>
        </w:rPr>
      </w:pPr>
      <w:r>
        <w:rPr>
          <w:rFonts w:hint="eastAsia" w:ascii="宋体" w:hAnsi="宋体" w:cs="宋体"/>
          <w:b/>
          <w:color w:val="auto"/>
          <w:szCs w:val="21"/>
          <w:highlight w:val="none"/>
        </w:rPr>
        <w:t>B.第二册：商务和技术文件</w:t>
      </w:r>
    </w:p>
    <w:bookmarkEnd w:id="5"/>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B1.投标书；</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B2.法定代表人身份证明（格式见附件）</w:t>
      </w:r>
      <w:r>
        <w:rPr>
          <w:rFonts w:hint="eastAsia" w:ascii="宋体" w:hAnsi="宋体"/>
          <w:color w:val="auto"/>
          <w:szCs w:val="21"/>
          <w:highlight w:val="none"/>
        </w:rPr>
        <w:t>（非联合体投标须提供）</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B3.法定代表人授权书（投标文件由授权代表签字的须提供）（格式见附件）</w:t>
      </w:r>
      <w:r>
        <w:rPr>
          <w:rFonts w:hint="eastAsia" w:ascii="宋体" w:hAnsi="宋体"/>
          <w:color w:val="auto"/>
          <w:szCs w:val="21"/>
          <w:highlight w:val="none"/>
        </w:rPr>
        <w:t>（非联合体投标须提供）</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B4.供应商一般情况表；</w:t>
      </w:r>
    </w:p>
    <w:p>
      <w:pPr>
        <w:spacing w:line="400" w:lineRule="exact"/>
        <w:ind w:firstLine="420" w:firstLineChars="200"/>
        <w:rPr>
          <w:rFonts w:ascii="宋体" w:hAnsi="宋体" w:cs="宋体"/>
          <w:color w:val="auto"/>
          <w:szCs w:val="21"/>
          <w:highlight w:val="none"/>
        </w:rPr>
      </w:pPr>
      <w:bookmarkStart w:id="7" w:name="_Hlk37403535"/>
      <w:r>
        <w:rPr>
          <w:rFonts w:hint="eastAsia" w:ascii="宋体" w:hAnsi="宋体" w:cs="宋体"/>
          <w:color w:val="auto"/>
          <w:szCs w:val="21"/>
          <w:highlight w:val="none"/>
        </w:rPr>
        <w:t>B5.商务条款响应表；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B6.合同条款响应表；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B7.技术条款响应表；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B8.投标人业绩、项目团队、体系认证、证书等商务证明材料；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B9.技术服务方案；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B10.第</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章“评标办法及标准”中“商务和技术评分表”要求提供的其他资料（如有需提供）；</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B11.供应商认为需要的其他资料（如有需提供）。</w:t>
      </w:r>
    </w:p>
    <w:bookmarkEnd w:id="7"/>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★“商务和技术文件”中不得出现涉及投标价格的内容，否则作无效标处理。</w:t>
      </w:r>
    </w:p>
    <w:bookmarkEnd w:id="3"/>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C.第三册：报价文件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C1.开标一览表；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C2.分项报价表；</w:t>
      </w:r>
    </w:p>
    <w:p>
      <w:pPr>
        <w:spacing w:line="400" w:lineRule="exact"/>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rPr>
        <w:t>C3.中小企业声明函（格式见附件）</w:t>
      </w:r>
      <w:r>
        <w:rPr>
          <w:rFonts w:hint="eastAsia" w:ascii="宋体" w:hAnsi="宋体" w:cs="宋体"/>
          <w:color w:val="auto"/>
          <w:szCs w:val="21"/>
          <w:highlight w:val="none"/>
          <w:lang w:eastAsia="zh-CN"/>
        </w:rPr>
        <w:t>；</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C4.</w:t>
      </w:r>
      <w:r>
        <w:rPr>
          <w:rFonts w:hint="eastAsia" w:ascii="宋体" w:hAnsi="宋体" w:cs="宋体"/>
          <w:color w:val="auto"/>
          <w:szCs w:val="21"/>
          <w:highlight w:val="none"/>
        </w:rPr>
        <w:t>残疾人福利性单位声明函（格式见附件）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C5.</w:t>
      </w:r>
      <w:r>
        <w:rPr>
          <w:rFonts w:hint="eastAsia" w:ascii="宋体" w:hAnsi="宋体" w:cs="宋体"/>
          <w:color w:val="auto"/>
          <w:szCs w:val="21"/>
          <w:highlight w:val="none"/>
        </w:rPr>
        <w:t>供应商认为需要的其他资料（如有需提供）。</w:t>
      </w:r>
    </w:p>
    <w:bookmarkEnd w:id="4"/>
    <w:bookmarkEnd w:id="6"/>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投标文件的份数：</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本项目实行网上投标，供应商应准备以下投标文件：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（1）上传到政府采购云平台的电子投标文件（含资格文件、商务和技术文件、报价文件）1份。</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（2）以U盘或光盘存储的电子备份投标文件（含资格文件、商务和技术文件、报价文件）1份（由投标人自行决定是否提供）。</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供应商应对投标文件编制目录和评分索引表以方便查询。</w:t>
      </w:r>
    </w:p>
    <w:p>
      <w:pPr>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bCs/>
          <w:color w:val="auto"/>
          <w:szCs w:val="21"/>
          <w:highlight w:val="none"/>
        </w:rPr>
        <w:t>投标文件制作：</w:t>
      </w:r>
    </w:p>
    <w:p>
      <w:pPr>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（1）应按照本项目招标文件和政府采购云平台的要求编制、加密并递交投标文件。供应商在使用系统进行投标的过程中遇到涉及平台使用的任何问题，可致电政府采购云平台技术支持热线咨询，联系方式：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cs="宋体"/>
          <w:bCs/>
          <w:color w:val="auto"/>
          <w:szCs w:val="21"/>
          <w:highlight w:val="none"/>
          <w:lang w:eastAsia="zh-CN"/>
        </w:rPr>
        <w:t>95763</w:t>
      </w:r>
      <w:r>
        <w:rPr>
          <w:rFonts w:hint="eastAsia" w:ascii="宋体" w:hAnsi="宋体" w:cs="宋体"/>
          <w:bCs/>
          <w:color w:val="auto"/>
          <w:szCs w:val="21"/>
          <w:highlight w:val="none"/>
        </w:rPr>
        <w:t>。</w:t>
      </w:r>
    </w:p>
    <w:p>
      <w:pPr>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（2）供应商通过政府采购云平台电子投标工具制作投标文件。电子投标工具请供应商自行前往浙江政府采购网下载并安装。</w:t>
      </w:r>
    </w:p>
    <w:p>
      <w:pPr>
        <w:spacing w:line="40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3）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十</w:t>
      </w:r>
      <w:r>
        <w:rPr>
          <w:rFonts w:hint="eastAsia" w:ascii="宋体" w:hAnsi="宋体" w:cs="宋体"/>
          <w:b/>
          <w:bCs/>
          <w:color w:val="auto"/>
          <w:szCs w:val="21"/>
          <w:highlight w:val="none"/>
        </w:rPr>
        <w:t>、投标文件的签署盖章</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招标文件第七章“附件”中标明加盖单位公章或签字的，加盖单位公章部分采用CA签章，签字部分由法定代表人或授权代表签字后扫描上传（或加盖对应法定代表人或授权代表的电子签名或签章）。授权代表签字的，还应附法定代表人签署的法定代表人授权书。</w:t>
      </w:r>
      <w:r>
        <w:rPr>
          <w:rFonts w:hint="eastAsia" w:ascii="宋体" w:hAnsi="宋体"/>
          <w:b/>
          <w:bCs/>
          <w:color w:val="auto"/>
          <w:szCs w:val="21"/>
          <w:highlight w:val="none"/>
        </w:rPr>
        <w:t>关于联合体成员签字或盖章部分可按要求签字或盖章后扫描上传。</w:t>
      </w:r>
    </w:p>
    <w:p>
      <w:pPr>
        <w:spacing w:line="400" w:lineRule="exact"/>
        <w:ind w:firstLine="422" w:firstLineChars="200"/>
        <w:jc w:val="left"/>
        <w:rPr>
          <w:color w:val="auto"/>
          <w:highlight w:val="none"/>
        </w:rPr>
      </w:pPr>
      <w:r>
        <w:rPr>
          <w:rFonts w:hint="eastAsia" w:ascii="宋体" w:hAnsi="宋体"/>
          <w:b/>
          <w:bCs/>
          <w:color w:val="auto"/>
          <w:szCs w:val="21"/>
          <w:highlight w:val="none"/>
        </w:rPr>
        <w:t>2</w:t>
      </w:r>
      <w:r>
        <w:rPr>
          <w:rFonts w:hint="eastAsia" w:ascii="宋体" w:hAnsi="宋体"/>
          <w:color w:val="auto"/>
          <w:szCs w:val="21"/>
          <w:highlight w:val="none"/>
          <w:lang w:val="en-US" w:eastAsia="zh-CN"/>
        </w:rPr>
        <w:t>.</w:t>
      </w:r>
      <w:r>
        <w:rPr>
          <w:rFonts w:hint="eastAsia" w:ascii="宋体" w:hAnsi="宋体"/>
          <w:b/>
          <w:bCs/>
          <w:color w:val="auto"/>
          <w:szCs w:val="21"/>
          <w:highlight w:val="none"/>
        </w:rPr>
        <w:t>联合体投标的，除《资格文件》须按</w:t>
      </w:r>
      <w:r>
        <w:rPr>
          <w:rFonts w:hint="eastAsia" w:ascii="宋体" w:hAnsi="宋体"/>
          <w:b/>
          <w:bCs/>
          <w:color w:val="auto"/>
          <w:szCs w:val="21"/>
          <w:highlight w:val="none"/>
          <w:lang w:val="en-US" w:eastAsia="zh-CN"/>
        </w:rPr>
        <w:t>采购文件</w:t>
      </w:r>
      <w:r>
        <w:rPr>
          <w:rFonts w:hint="eastAsia" w:ascii="宋体" w:hAnsi="宋体"/>
          <w:b/>
          <w:bCs/>
          <w:color w:val="auto"/>
          <w:szCs w:val="21"/>
          <w:highlight w:val="none"/>
        </w:rPr>
        <w:t>规定加盖各自单位公章、法定代表人签字（或盖章）外，其他采购文件中标明加盖单位公章或签字（或盖章）的，只须加盖联合体牵头人公章或联合体牵头人法定代表人签字（或盖章）或《</w:t>
      </w:r>
      <w:r>
        <w:rPr>
          <w:rFonts w:hint="eastAsia" w:ascii="宋体" w:hAnsi="宋体" w:eastAsia="宋体" w:cs="Times New Roman"/>
          <w:b/>
          <w:bCs/>
          <w:color w:val="auto"/>
          <w:szCs w:val="21"/>
          <w:highlight w:val="none"/>
        </w:rPr>
        <w:t>联合投标授权委托书</w:t>
      </w:r>
      <w:r>
        <w:rPr>
          <w:rFonts w:hint="eastAsia" w:ascii="宋体" w:hAnsi="宋体"/>
          <w:b/>
          <w:bCs/>
          <w:color w:val="auto"/>
          <w:szCs w:val="21"/>
          <w:highlight w:val="none"/>
        </w:rPr>
        <w:t>》中的委托代理人签字（或盖章）。</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rPr>
        <w:t>、投标文件的密封和标记</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电子投标文件：供应商应根据“项目采购－电子招投标操作指南”及本招标文件规定的格式和顺序编制电子投标文件并进行关联定位。</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kern w:val="0"/>
          <w:szCs w:val="21"/>
          <w:highlight w:val="none"/>
        </w:rPr>
        <w:t>以U盘或光盘存储的电子备份投标文件</w:t>
      </w:r>
      <w:r>
        <w:rPr>
          <w:rFonts w:hint="eastAsia" w:ascii="宋体" w:hAnsi="宋体" w:cs="宋体"/>
          <w:color w:val="auto"/>
          <w:szCs w:val="21"/>
          <w:highlight w:val="none"/>
        </w:rPr>
        <w:t>用封袋密封后递交（若递交电子备份投标文件的）。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kern w:val="0"/>
          <w:szCs w:val="21"/>
          <w:highlight w:val="none"/>
        </w:rPr>
        <w:t>电子备份投标文件须在</w:t>
      </w:r>
      <w:r>
        <w:rPr>
          <w:rFonts w:hint="eastAsia" w:ascii="宋体" w:hAnsi="宋体" w:cs="宋体"/>
          <w:color w:val="auto"/>
          <w:szCs w:val="21"/>
          <w:highlight w:val="none"/>
        </w:rPr>
        <w:t>封袋上分别注明：</w:t>
      </w:r>
    </w:p>
    <w:p>
      <w:pPr>
        <w:tabs>
          <w:tab w:val="left" w:pos="900"/>
        </w:tabs>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（1）注    明：</w:t>
      </w:r>
      <w:r>
        <w:rPr>
          <w:rFonts w:hint="eastAsia" w:ascii="宋体" w:hAnsi="宋体" w:cs="宋体"/>
          <w:color w:val="auto"/>
          <w:szCs w:val="21"/>
          <w:highlight w:val="none"/>
          <w:u w:val="single"/>
        </w:rPr>
        <w:t xml:space="preserve">    “电子备份投标文件”    </w:t>
      </w:r>
      <w:r>
        <w:rPr>
          <w:rFonts w:hint="eastAsia" w:ascii="宋体" w:hAnsi="宋体" w:cs="宋体"/>
          <w:color w:val="auto"/>
          <w:szCs w:val="21"/>
          <w:highlight w:val="none"/>
        </w:rPr>
        <w:t>；</w:t>
      </w:r>
    </w:p>
    <w:p>
      <w:pPr>
        <w:tabs>
          <w:tab w:val="left" w:pos="90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“330282202404002767”</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tabs>
          <w:tab w:val="left" w:pos="90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（3）项目名称：</w:t>
      </w:r>
      <w:r>
        <w:rPr>
          <w:rFonts w:hint="eastAsia" w:ascii="宋体" w:hAnsi="宋体" w:cs="宋体"/>
          <w:color w:val="auto"/>
          <w:szCs w:val="21"/>
          <w:highlight w:val="none"/>
          <w:u w:val="single"/>
          <w:lang w:eastAsia="zh-CN"/>
        </w:rPr>
        <w:t>“慈溪市匡堰城镇单元控制性详细规划项目</w:t>
      </w:r>
      <w:r>
        <w:rPr>
          <w:rFonts w:hint="default" w:ascii="宋体" w:hAnsi="宋体" w:cs="宋体"/>
          <w:color w:val="auto"/>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tabs>
          <w:tab w:val="left" w:pos="90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（4）所投标项（如有多个标项须填写）：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tabs>
          <w:tab w:val="left" w:pos="90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w:t>
      </w:r>
      <w:r>
        <w:rPr>
          <w:rFonts w:hint="eastAsia" w:ascii="宋体" w:hAnsi="宋体" w:cs="宋体"/>
          <w:color w:val="auto"/>
          <w:szCs w:val="21"/>
          <w:highlight w:val="none"/>
          <w:u w:val="single"/>
        </w:rPr>
        <w:t xml:space="preserve"> 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5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16</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（规定的开标日期和时间）</w:t>
      </w:r>
      <w:bookmarkStart w:id="75" w:name="_GoBack"/>
      <w:bookmarkEnd w:id="75"/>
      <w:r>
        <w:rPr>
          <w:rFonts w:hint="eastAsia" w:ascii="宋体" w:hAnsi="宋体" w:cs="宋体"/>
          <w:color w:val="auto"/>
          <w:szCs w:val="21"/>
          <w:highlight w:val="none"/>
        </w:rPr>
        <w:t>前不准启封；</w:t>
      </w:r>
    </w:p>
    <w:p>
      <w:pPr>
        <w:tabs>
          <w:tab w:val="left" w:pos="900"/>
        </w:tabs>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（6）供应商的名称：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供应商须在包封上加盖供应商公章或由其法定代表人（或授权代表）签字。</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供应商未按上述要求标记的，采购人（代理机构）不承担错放或提前开封的责任。</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、投标文件的递交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投标文件递交的具体要求：</w:t>
      </w:r>
    </w:p>
    <w:p>
      <w:pPr>
        <w:adjustRightInd w:val="0"/>
        <w:snapToGrid w:val="0"/>
        <w:spacing w:line="360" w:lineRule="exact"/>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（1）供应商应于提交投标文件截止时间前将电子投标文件上传到政府采购云平台（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Style w:val="55"/>
          <w:rFonts w:hint="eastAsia" w:ascii="宋体" w:hAnsi="宋体" w:cs="宋体"/>
          <w:b/>
          <w:bCs/>
          <w:color w:val="auto"/>
          <w:kern w:val="0"/>
          <w:highlight w:val="none"/>
          <w:u w:val="none"/>
        </w:rPr>
        <w:t>www.zcygov.cn</w:t>
      </w:r>
      <w:r>
        <w:rPr>
          <w:rStyle w:val="55"/>
          <w:rFonts w:hint="eastAsia" w:ascii="宋体" w:hAnsi="宋体" w:cs="宋体"/>
          <w:b/>
          <w:bCs/>
          <w:color w:val="auto"/>
          <w:kern w:val="0"/>
          <w:highlight w:val="none"/>
          <w:u w:val="none"/>
        </w:rPr>
        <w:fldChar w:fldCharType="end"/>
      </w:r>
      <w:r>
        <w:rPr>
          <w:rFonts w:hint="eastAsia" w:ascii="宋体" w:hAnsi="宋体" w:cs="宋体"/>
          <w:b/>
          <w:bCs/>
          <w:color w:val="auto"/>
          <w:kern w:val="0"/>
          <w:szCs w:val="21"/>
          <w:highlight w:val="none"/>
        </w:rPr>
        <w:t>），</w:t>
      </w:r>
      <w:r>
        <w:rPr>
          <w:rFonts w:hint="eastAsia" w:ascii="宋体" w:hAnsi="宋体" w:cs="宋体"/>
          <w:b/>
          <w:bCs/>
          <w:color w:val="auto"/>
          <w:szCs w:val="21"/>
          <w:highlight w:val="none"/>
        </w:rPr>
        <w:t>提交投标文件截止时间</w:t>
      </w:r>
      <w:r>
        <w:rPr>
          <w:rFonts w:hint="eastAsia" w:ascii="宋体" w:hAnsi="宋体" w:cs="宋体"/>
          <w:b/>
          <w:bCs/>
          <w:color w:val="auto"/>
          <w:kern w:val="0"/>
          <w:szCs w:val="21"/>
          <w:highlight w:val="none"/>
        </w:rPr>
        <w:t>前，将以U盘或光盘存储的电子备份投标文件密封后按以下方式送达（若提供电子备份投标文件）：</w:t>
      </w:r>
    </w:p>
    <w:p>
      <w:pPr>
        <w:adjustRightInd w:val="0"/>
        <w:snapToGrid w:val="0"/>
        <w:spacing w:line="360" w:lineRule="exact"/>
        <w:ind w:firstLine="422" w:firstLineChars="200"/>
        <w:rPr>
          <w:rFonts w:ascii="宋体" w:hAnsi="宋体" w:cs="宋体"/>
          <w:b/>
          <w:bCs/>
          <w:color w:val="auto"/>
          <w:szCs w:val="21"/>
          <w:highlight w:val="none"/>
        </w:rPr>
      </w:pPr>
      <w:r>
        <w:rPr>
          <w:rFonts w:hint="eastAsia" w:ascii="宋体" w:hAnsi="宋体" w:cs="宋体"/>
          <w:b/>
          <w:bCs/>
          <w:color w:val="auto"/>
          <w:kern w:val="0"/>
          <w:szCs w:val="21"/>
          <w:highlight w:val="none"/>
        </w:rPr>
        <w:t>邮寄送达地址：</w:t>
      </w:r>
      <w:r>
        <w:rPr>
          <w:rFonts w:hint="eastAsia" w:ascii="宋体" w:hAnsi="宋体" w:cs="宋体"/>
          <w:b/>
          <w:bCs/>
          <w:color w:val="auto"/>
          <w:kern w:val="0"/>
          <w:szCs w:val="21"/>
          <w:highlight w:val="none"/>
          <w:lang w:eastAsia="zh-CN"/>
        </w:rPr>
        <w:t>宁波安全三江工程咨询招标代理有限公司</w:t>
      </w:r>
      <w:r>
        <w:rPr>
          <w:rFonts w:hint="eastAsia" w:ascii="宋体" w:hAnsi="宋体" w:cs="宋体"/>
          <w:b/>
          <w:bCs/>
          <w:color w:val="auto"/>
          <w:kern w:val="0"/>
          <w:szCs w:val="21"/>
          <w:highlight w:val="none"/>
        </w:rPr>
        <w:t>（慈溪市白沙路街道人和路948号楼2-6室</w:t>
      </w:r>
      <w:r>
        <w:rPr>
          <w:rFonts w:hint="eastAsia" w:ascii="宋体" w:hAnsi="宋体" w:cs="宋体"/>
          <w:b/>
          <w:bCs/>
          <w:color w:val="auto"/>
          <w:szCs w:val="21"/>
          <w:highlight w:val="none"/>
        </w:rPr>
        <w:t>），联系方式：</w:t>
      </w:r>
      <w:r>
        <w:rPr>
          <w:rFonts w:hint="eastAsia" w:ascii="宋体" w:hAnsi="宋体" w:cs="宋体"/>
          <w:b/>
          <w:bCs/>
          <w:color w:val="auto"/>
          <w:szCs w:val="21"/>
          <w:highlight w:val="none"/>
          <w:lang w:val="en-US" w:eastAsia="zh-CN"/>
        </w:rPr>
        <w:t>叶鑫霞13566056916</w:t>
      </w:r>
      <w:r>
        <w:rPr>
          <w:rFonts w:hint="eastAsia" w:ascii="宋体" w:hAnsi="宋体" w:cs="宋体"/>
          <w:b/>
          <w:bCs/>
          <w:color w:val="auto"/>
          <w:szCs w:val="21"/>
          <w:highlight w:val="none"/>
        </w:rPr>
        <w:t>。供应商邮寄后须将邮件单号发送至代理机构电子邮箱（电子邮箱：</w:t>
      </w:r>
      <w:r>
        <w:rPr>
          <w:rFonts w:hint="eastAsia" w:ascii="宋体" w:hAnsi="宋体" w:cs="宋体"/>
          <w:b/>
          <w:bCs/>
          <w:color w:val="auto"/>
          <w:szCs w:val="21"/>
          <w:highlight w:val="none"/>
        </w:rPr>
        <w:fldChar w:fldCharType="begin"/>
      </w:r>
      <w:r>
        <w:rPr>
          <w:rFonts w:hint="eastAsia" w:ascii="宋体" w:hAnsi="宋体" w:cs="宋体"/>
          <w:b/>
          <w:bCs/>
          <w:color w:val="auto"/>
          <w:szCs w:val="21"/>
          <w:highlight w:val="none"/>
        </w:rPr>
        <w:instrText xml:space="preserve"> HYPERLINK "mailto:702289447@qq.com），并致电采购代理机构，以便采购代理机构查询物流记录。各供应商应当确保电子备份投标文件的密封包装在邮寄过程保持完好，并在邮寄包裹上注明项目名称、项目编号，因邮寄造成电子备份投标文件密封破损而不符合采购文件对投标文件的密封要求或邮寄过程中导致电子备份投标文件未能在投标截止时间之前送达的，代理机构将拒绝其电子备份投标文件。各供应商自行考虑邮寄在途时间，电子备份投标文件送达时间以代理机构工作人员实际签收时间为准。" </w:instrText>
      </w:r>
      <w:r>
        <w:rPr>
          <w:rFonts w:hint="eastAsia" w:ascii="宋体" w:hAnsi="宋体" w:cs="宋体"/>
          <w:b/>
          <w:bCs/>
          <w:color w:val="auto"/>
          <w:szCs w:val="21"/>
          <w:highlight w:val="none"/>
        </w:rPr>
        <w:fldChar w:fldCharType="separate"/>
      </w:r>
      <w:r>
        <w:rPr>
          <w:rFonts w:hint="eastAsia" w:ascii="宋体" w:hAnsi="宋体" w:cs="宋体"/>
          <w:b/>
          <w:bCs/>
          <w:color w:val="auto"/>
          <w:szCs w:val="21"/>
          <w:highlight w:val="none"/>
          <w:lang w:val="en-US" w:eastAsia="zh-CN"/>
        </w:rPr>
        <w:t>12589830</w:t>
      </w:r>
      <w:r>
        <w:rPr>
          <w:rFonts w:hint="eastAsia" w:ascii="宋体" w:hAnsi="宋体" w:cs="宋体"/>
          <w:b/>
          <w:bCs/>
          <w:color w:val="auto"/>
          <w:szCs w:val="21"/>
          <w:highlight w:val="none"/>
        </w:rPr>
        <w:t>@qq.com），并致电采购代理机构，以便采购代理机构查询物流记录。各供应商应当确保电子备份投标文件的密封包装在邮寄过程保持完好，并在邮寄包裹上注明项目名称、项目编号，因邮寄造成电子备份投标文件密封破损而不符合采购文件对投标文件的密封要求或邮寄过程中导致电子备份投标文件未能在投标截止时间之前送达的，代理机构将拒绝其电子备份投标文件。各供应商自行考虑邮寄在途时间，电子备份投标文件送达时间以代理机构工作人员实际签收时间为准。</w:t>
      </w:r>
      <w:r>
        <w:rPr>
          <w:rFonts w:hint="eastAsia" w:ascii="宋体" w:hAnsi="宋体" w:cs="宋体"/>
          <w:b/>
          <w:bCs/>
          <w:color w:val="auto"/>
          <w:szCs w:val="21"/>
          <w:highlight w:val="none"/>
        </w:rPr>
        <w:fldChar w:fldCharType="end"/>
      </w:r>
    </w:p>
    <w:p>
      <w:pPr>
        <w:adjustRightInd w:val="0"/>
        <w:snapToGrid w:val="0"/>
        <w:spacing w:line="36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电子备份投标文件不强制要求提交，但因电子投标文件未能按时解密或解密失败，供应商又未提交电子备份投标文件的，将被视为投标文件撤回，投标无效。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供应商未按上述要求密封的电子备份投标文件，代理机构不予受理。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逾期送达的或者未送达指定地点的，代理机构不予受理。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投标文件的补充、修改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投标截止时间前，供应商可以对递交的投标文件进行补充、修改，补充、修改电子投标文件的，应当先行撤回原文件，补充、修改后重新上传，电子备份投标文件也应重新制作。在投标截止时间之后，供应商不得对其投标文件进行补充、修改。投标截止时间之后供应商要求撤销投标文件的，应向采购人提交正式文件。</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、开标</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采购人在招标文件规定的时间和地点公开开标，本项目为不见面开评标项目，供应商可通过浙江省“电子交易/不见面开评标”学习专题提前进行专题学习，熟悉操作，避免影响采购活动（https://edu.zcygov.cn/luban/e-biding）。</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电子投标开标及评审程序：分两阶段开标。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第一阶段开标（资格文件及商务和技术文件）：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（1）宣布开标；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szCs w:val="21"/>
          <w:highlight w:val="none"/>
        </w:rPr>
        <w:t>本项目实行网上投标，采用电子投标文件。若供应商参与投标，自行承担投标一切费用。</w:t>
      </w:r>
      <w:r>
        <w:rPr>
          <w:rFonts w:hint="eastAsia" w:ascii="宋体" w:hAnsi="宋体" w:cs="宋体"/>
          <w:color w:val="auto"/>
          <w:szCs w:val="21"/>
          <w:highlight w:val="none"/>
        </w:rPr>
        <w:t>投标截止时间后，供应商登录</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，用“项目采购－开标评标”功能对电子投标文件进行在线解密，在线解密电子投标文件时间为开标时间后半小时内。</w:t>
      </w:r>
      <w:r>
        <w:rPr>
          <w:rFonts w:hint="eastAsia" w:ascii="宋体" w:hAnsi="宋体" w:cs="宋体"/>
          <w:bCs/>
          <w:color w:val="auto"/>
          <w:szCs w:val="21"/>
          <w:highlight w:val="none"/>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无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（3）介绍开标现场的人员情况；</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（4）宣读递交投标文件的供应商名单、开标纪律、应当回避的情形等注意事项；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（5）按顺序开启“资格文件”、“商务和技术文件”，宣读供应商名称，并做开标记录；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（6）第一阶段开标记录签字确认；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（7）告知供应商第二阶段开标的有关事宜；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（8）第一阶段开标结束。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休会，评标委员会对“资格文件”、“商务和技术文件”进行评审。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第二阶段开标（报价文件）：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宣告第一阶段评审无效供应商名单及理由；</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（2）公布经第一阶段评审符合招标文件要求的供应商的商务和技术得分情况；</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（3）按第一阶段开标顺序在政府采购云平台开启除第一阶段无效标外的供应商的“报价文件”，宣读投标文件中“开标一览表”内容，以及采购人认为必要的其他内容与记录，并做开标记录；</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（4）第二阶段开标记录签字确认；</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休会，评标委员会对“报价文件”进行评审。</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公布中标候选人名单及采购人最终确定中标供应商名单的时间和公告方式等；</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（6）第二阶段开标结束。</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特别说明：</w:t>
      </w:r>
      <w:r>
        <w:rPr>
          <w:rFonts w:hint="eastAsia" w:ascii="宋体" w:hAnsi="宋体" w:cs="宋体"/>
          <w:b/>
          <w:bCs/>
          <w:color w:val="auto"/>
          <w:kern w:val="0"/>
          <w:szCs w:val="21"/>
          <w:highlight w:val="none"/>
        </w:rPr>
        <w:t>政府采购云平台</w:t>
      </w:r>
      <w:r>
        <w:rPr>
          <w:rFonts w:hint="eastAsia" w:ascii="宋体" w:hAnsi="宋体" w:cs="宋体"/>
          <w:b/>
          <w:bCs/>
          <w:color w:val="auto"/>
          <w:szCs w:val="21"/>
          <w:highlight w:val="none"/>
        </w:rPr>
        <w:t>如对电子化开标及评审程序有调整的，按调整后的程序操作</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本项目原则上采用政采云电子投标开标及评审程序，但有下列情形之一的，按以下情况处理：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（1）若供应商在规定时间内无法解密或解密失败，代理机构将开启上述供应商递交的</w:t>
      </w:r>
      <w:r>
        <w:rPr>
          <w:rFonts w:hint="eastAsia" w:ascii="宋体" w:hAnsi="宋体" w:cs="宋体"/>
          <w:color w:val="auto"/>
          <w:kern w:val="0"/>
          <w:szCs w:val="21"/>
          <w:highlight w:val="none"/>
        </w:rPr>
        <w:t>以U盘或光盘存储的电子备份投标文件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1）电子交易平台发生故障而无法登录访问的；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2）电子交易平台应用或数据库出现错误，不能进行正常操作的；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3）电子交易平台发现严重安全漏洞，有潜在泄密危险的；</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4）病毒发作导致不能进行正常操作的； </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5）其他无法保证电子交易的公平、公正和安全的情况。</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四</w:t>
      </w:r>
      <w:r>
        <w:rPr>
          <w:rFonts w:hint="eastAsia" w:ascii="宋体" w:hAnsi="宋体" w:cs="宋体"/>
          <w:b/>
          <w:color w:val="auto"/>
          <w:szCs w:val="21"/>
          <w:highlight w:val="none"/>
        </w:rPr>
        <w:t>、评标</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评标活动遵循公开、公平、公正、科学和择优的原则。</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评标委员会按照第</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章“评标办法及标准”对投标文件进行评审。第</w:t>
      </w: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章“评标办法及标准”没有规定的方法、评审因素和标准，不作为评标依据。</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五</w:t>
      </w:r>
      <w:r>
        <w:rPr>
          <w:rFonts w:hint="eastAsia" w:ascii="宋体" w:hAnsi="宋体" w:cs="宋体"/>
          <w:b/>
          <w:color w:val="auto"/>
          <w:szCs w:val="21"/>
          <w:highlight w:val="none"/>
        </w:rPr>
        <w:t>、招标文件的澄清和修改</w:t>
      </w:r>
    </w:p>
    <w:p>
      <w:pPr>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s="宋体"/>
          <w:color w:val="auto"/>
          <w:szCs w:val="21"/>
          <w:highlight w:val="none"/>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六</w:t>
      </w:r>
      <w:r>
        <w:rPr>
          <w:rFonts w:hint="eastAsia" w:ascii="宋体" w:hAnsi="宋体" w:cs="宋体"/>
          <w:b/>
          <w:color w:val="auto"/>
          <w:szCs w:val="21"/>
          <w:highlight w:val="none"/>
        </w:rPr>
        <w:t>、质疑</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供应商认为采购文件、采购过程、中标或者成交结果使自己的权益受到损害的，可以在知道或者应知其权益受到损害之日起7个工作日内，以书面形式</w:t>
      </w:r>
      <w:r>
        <w:rPr>
          <w:rFonts w:hint="eastAsia"/>
          <w:color w:val="auto"/>
          <w:szCs w:val="21"/>
          <w:highlight w:val="none"/>
        </w:rPr>
        <w:t>或者通过政采云平台在线</w:t>
      </w:r>
      <w:r>
        <w:rPr>
          <w:rFonts w:hint="eastAsia" w:ascii="宋体" w:hAnsi="宋体" w:cs="宋体"/>
          <w:color w:val="auto"/>
          <w:szCs w:val="21"/>
          <w:highlight w:val="none"/>
        </w:rPr>
        <w:t>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采购人、代理机构接收质疑函的方式：只接收供应商以当面递交、邮寄、传真、电子邮件或通过政采云平台在线方式提出的质疑函，以其他方式提出的质疑不予接收。</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采取邮寄方式的，提出质疑的时间为质疑函原件交邮的时间（以邮戳时间或快递收件时间为准）。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采购人、代理机构以实际收到质疑函原件之日作为收到质疑函的日期，将在收到质疑函后7个工作日内作出答复。</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采购人、代理机构接收质疑函的联系人、联系电话和通讯地址等信息详见招标公告。</w:t>
      </w:r>
    </w:p>
    <w:p>
      <w:pPr>
        <w:spacing w:line="400" w:lineRule="exact"/>
        <w:ind w:firstLine="420" w:firstLineChars="200"/>
        <w:rPr>
          <w:rFonts w:eastAsia="方正书宋简体"/>
          <w:color w:val="auto"/>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政采云平台在线方式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七</w:t>
      </w:r>
      <w:r>
        <w:rPr>
          <w:rFonts w:hint="eastAsia" w:ascii="宋体" w:hAnsi="宋体" w:cs="宋体"/>
          <w:b/>
          <w:color w:val="auto"/>
          <w:szCs w:val="21"/>
          <w:highlight w:val="none"/>
        </w:rPr>
        <w:t>、预算价</w:t>
      </w:r>
    </w:p>
    <w:p>
      <w:pPr>
        <w:spacing w:line="400" w:lineRule="exact"/>
        <w:ind w:firstLine="420" w:firstLineChars="200"/>
        <w:rPr>
          <w:rFonts w:hint="eastAsia" w:ascii="宋体" w:hAnsi="宋体" w:eastAsia="宋体" w:cs="宋体"/>
          <w:color w:val="auto"/>
          <w:szCs w:val="21"/>
          <w:highlight w:val="none"/>
          <w:lang w:eastAsia="zh-CN"/>
        </w:rPr>
      </w:pPr>
      <w:bookmarkStart w:id="8" w:name="_Hlk37142004"/>
      <w:r>
        <w:rPr>
          <w:rFonts w:hint="eastAsia" w:ascii="宋体" w:hAnsi="宋体" w:cs="宋体"/>
          <w:color w:val="auto"/>
          <w:szCs w:val="21"/>
          <w:highlight w:val="none"/>
        </w:rPr>
        <w:t>本次公开招标设有预算价和最高限价：</w:t>
      </w:r>
      <w:r>
        <w:rPr>
          <w:rFonts w:hint="eastAsia" w:ascii="宋体" w:hAnsi="宋体" w:cs="宋体"/>
          <w:b/>
          <w:bCs/>
          <w:color w:val="auto"/>
          <w:szCs w:val="21"/>
          <w:highlight w:val="none"/>
          <w:u w:val="single"/>
          <w:lang w:eastAsia="zh-CN"/>
        </w:rPr>
        <w:t>1640000</w:t>
      </w:r>
      <w:r>
        <w:rPr>
          <w:rFonts w:hint="eastAsia" w:ascii="宋体" w:hAnsi="宋体" w:cs="宋体"/>
          <w:b/>
          <w:bCs/>
          <w:color w:val="auto"/>
          <w:szCs w:val="21"/>
          <w:highlight w:val="none"/>
          <w:u w:val="single"/>
        </w:rPr>
        <w:t>元</w:t>
      </w:r>
      <w:r>
        <w:rPr>
          <w:rFonts w:hint="eastAsia" w:ascii="宋体" w:hAnsi="宋体" w:cs="宋体"/>
          <w:color w:val="auto"/>
          <w:szCs w:val="21"/>
          <w:highlight w:val="none"/>
          <w:lang w:eastAsia="zh-CN"/>
        </w:rPr>
        <w:t>，</w:t>
      </w:r>
      <w:r>
        <w:rPr>
          <w:rFonts w:hint="eastAsia" w:ascii="宋体" w:hAnsi="宋体" w:cs="宋体"/>
          <w:color w:val="auto"/>
          <w:szCs w:val="21"/>
          <w:highlight w:val="none"/>
        </w:rPr>
        <w:t>投标报价超出预算价的投标无效。</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八</w:t>
      </w:r>
      <w:r>
        <w:rPr>
          <w:rFonts w:hint="eastAsia" w:ascii="宋体" w:hAnsi="宋体" w:cs="宋体"/>
          <w:b/>
          <w:color w:val="auto"/>
          <w:szCs w:val="21"/>
          <w:highlight w:val="none"/>
        </w:rPr>
        <w:t>、招标代理服务费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olor w:val="auto"/>
          <w:szCs w:val="21"/>
          <w:highlight w:val="none"/>
        </w:rPr>
        <w:t>本项目招标代理费</w:t>
      </w:r>
      <w:r>
        <w:rPr>
          <w:rFonts w:hint="eastAsia" w:ascii="宋体" w:hAnsi="宋体"/>
          <w:color w:val="auto"/>
          <w:szCs w:val="21"/>
          <w:highlight w:val="none"/>
          <w:u w:val="single"/>
          <w:lang w:val="en-US" w:eastAsia="zh-CN"/>
        </w:rPr>
        <w:t xml:space="preserve"> 人民币19500</w:t>
      </w:r>
      <w:r>
        <w:rPr>
          <w:rFonts w:hint="eastAsia" w:ascii="宋体" w:hAnsi="宋体"/>
          <w:color w:val="auto"/>
          <w:szCs w:val="21"/>
          <w:highlight w:val="none"/>
          <w:lang w:val="en-US" w:eastAsia="zh-CN"/>
        </w:rPr>
        <w:t>元</w:t>
      </w:r>
      <w:r>
        <w:rPr>
          <w:rFonts w:hint="eastAsia" w:ascii="宋体" w:hAnsi="宋体"/>
          <w:color w:val="auto"/>
          <w:szCs w:val="21"/>
          <w:highlight w:val="none"/>
        </w:rPr>
        <w:t>向</w:t>
      </w:r>
      <w:r>
        <w:rPr>
          <w:rFonts w:hint="eastAsia" w:ascii="宋体" w:hAnsi="宋体" w:cs="宋体"/>
          <w:color w:val="auto"/>
          <w:highlight w:val="none"/>
        </w:rPr>
        <w:t>中标人</w:t>
      </w:r>
      <w:r>
        <w:rPr>
          <w:rFonts w:hint="eastAsia" w:ascii="宋体" w:hAnsi="宋体"/>
          <w:color w:val="auto"/>
          <w:szCs w:val="21"/>
          <w:highlight w:val="none"/>
        </w:rPr>
        <w:t>收取</w:t>
      </w:r>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中标人应在代理机构发出中标通知书5个工作日内向本代理机构支付招标代理服务费。</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招标代理服务费只收现金、银行票汇款、电汇款。</w:t>
      </w:r>
    </w:p>
    <w:bookmarkEnd w:id="8"/>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十</w:t>
      </w:r>
      <w:r>
        <w:rPr>
          <w:rFonts w:hint="eastAsia" w:ascii="宋体" w:hAnsi="宋体" w:cs="宋体"/>
          <w:b/>
          <w:color w:val="auto"/>
          <w:szCs w:val="21"/>
          <w:highlight w:val="none"/>
          <w:lang w:val="en-US" w:eastAsia="zh-CN"/>
        </w:rPr>
        <w:t>九</w:t>
      </w:r>
      <w:r>
        <w:rPr>
          <w:rFonts w:hint="eastAsia" w:ascii="宋体" w:hAnsi="宋体" w:cs="宋体"/>
          <w:b/>
          <w:color w:val="auto"/>
          <w:szCs w:val="21"/>
          <w:highlight w:val="none"/>
        </w:rPr>
        <w:t>、特别说明</w:t>
      </w:r>
    </w:p>
    <w:p>
      <w:pPr>
        <w:spacing w:line="400" w:lineRule="exact"/>
        <w:ind w:firstLine="420" w:firstLineChars="200"/>
        <w:rPr>
          <w:rFonts w:ascii="宋体" w:hAnsi="宋体" w:cs="宋体"/>
          <w:color w:val="auto"/>
          <w:szCs w:val="21"/>
          <w:highlight w:val="none"/>
        </w:rPr>
      </w:pPr>
      <w:bookmarkStart w:id="9" w:name="_Toc419729150"/>
      <w:bookmarkStart w:id="10" w:name="_Toc441316546"/>
      <w:bookmarkStart w:id="11" w:name="_Toc21541007"/>
      <w:bookmarkStart w:id="12" w:name="_Toc436408700"/>
      <w:r>
        <w:rPr>
          <w:rFonts w:hint="eastAsia" w:ascii="宋体" w:hAnsi="宋体" w:cs="宋体"/>
          <w:color w:val="auto"/>
          <w:szCs w:val="21"/>
          <w:highlight w:val="none"/>
        </w:rPr>
        <w:t>1.执行财政部、工业和信息化部《政府采购促进中小企业发展管理办法》（财库〔2020〕46号）。政府采购活动中有关中小企业的相关规定如下：</w:t>
      </w:r>
      <w:bookmarkEnd w:id="9"/>
      <w:bookmarkEnd w:id="10"/>
      <w:bookmarkEnd w:id="11"/>
      <w:bookmarkEnd w:id="12"/>
    </w:p>
    <w:p>
      <w:pPr>
        <w:spacing w:line="400" w:lineRule="exact"/>
        <w:ind w:firstLine="420" w:firstLineChars="200"/>
        <w:rPr>
          <w:rFonts w:ascii="宋体" w:hAnsi="宋体" w:cs="宋体"/>
          <w:color w:val="auto"/>
          <w:szCs w:val="21"/>
          <w:highlight w:val="none"/>
        </w:rPr>
      </w:pPr>
      <w:bookmarkStart w:id="13" w:name="_Toc436408701"/>
      <w:bookmarkStart w:id="14" w:name="_Toc419729151"/>
      <w:bookmarkStart w:id="15" w:name="_Toc21541008"/>
      <w:bookmarkStart w:id="16" w:name="_Toc441316547"/>
      <w:r>
        <w:rPr>
          <w:rFonts w:hint="eastAsia" w:ascii="宋体" w:hAnsi="宋体" w:cs="宋体"/>
          <w:color w:val="auto"/>
          <w:szCs w:val="21"/>
          <w:highlight w:val="none"/>
        </w:rPr>
        <w:t>（1）中小企业，是指在中华人民共和国境内依法设立，依据国务院批准的中小企业划分标准确定的中型企业、小型企业和微型企业，但与大企业的负责人为同一人，或者与大企业存在直接控股、管理关系的除外</w:t>
      </w:r>
      <w:bookmarkEnd w:id="13"/>
      <w:bookmarkEnd w:id="14"/>
      <w:bookmarkEnd w:id="15"/>
      <w:bookmarkEnd w:id="16"/>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（2）在政府采购活动中，供应商提供的货物、工程或者服务符合下列情形的，享受《政府采购促进中小企业发展管理办法》规定的中小企业扶持政策：</w:t>
      </w:r>
    </w:p>
    <w:p>
      <w:pPr>
        <w:spacing w:line="400" w:lineRule="exact"/>
        <w:ind w:firstLine="420" w:firstLineChars="200"/>
        <w:rPr>
          <w:rFonts w:ascii="宋体" w:hAnsi="宋体" w:cs="宋体"/>
          <w:color w:val="auto"/>
          <w:szCs w:val="21"/>
          <w:highlight w:val="none"/>
        </w:rPr>
      </w:pPr>
      <w:bookmarkStart w:id="17" w:name="_Toc436408702"/>
      <w:bookmarkStart w:id="18" w:name="_Toc21541009"/>
      <w:bookmarkStart w:id="19" w:name="_Toc419729152"/>
      <w:bookmarkStart w:id="20" w:name="_Toc441316548"/>
      <w:r>
        <w:rPr>
          <w:rFonts w:hint="eastAsia" w:ascii="宋体" w:hAnsi="宋体" w:cs="宋体"/>
          <w:color w:val="auto"/>
          <w:szCs w:val="21"/>
          <w:highlight w:val="none"/>
        </w:rPr>
        <w:t>①在货物采购项目中，货物由中小企业制造，即货物由中小企业生产且使用该中小企业商号或者注册商标；</w:t>
      </w:r>
      <w:bookmarkEnd w:id="17"/>
      <w:bookmarkEnd w:id="18"/>
      <w:bookmarkEnd w:id="19"/>
      <w:bookmarkEnd w:id="20"/>
    </w:p>
    <w:p>
      <w:pPr>
        <w:spacing w:line="400" w:lineRule="exact"/>
        <w:ind w:firstLine="420" w:firstLineChars="200"/>
        <w:rPr>
          <w:rFonts w:ascii="宋体" w:hAnsi="宋体" w:cs="宋体"/>
          <w:color w:val="auto"/>
          <w:szCs w:val="21"/>
          <w:highlight w:val="none"/>
        </w:rPr>
      </w:pPr>
      <w:bookmarkStart w:id="21" w:name="_Toc21541010"/>
      <w:bookmarkStart w:id="22" w:name="_Toc436408703"/>
      <w:bookmarkStart w:id="23" w:name="_Toc419729153"/>
      <w:bookmarkStart w:id="24" w:name="_Toc441316549"/>
      <w:r>
        <w:rPr>
          <w:rFonts w:hint="eastAsia" w:ascii="宋体" w:hAnsi="宋体" w:cs="宋体"/>
          <w:color w:val="auto"/>
          <w:szCs w:val="21"/>
          <w:highlight w:val="none"/>
        </w:rPr>
        <w:t>②在工程采购项目中，工程由中小企业承建，即工程施工单位为中小企业</w:t>
      </w:r>
      <w:bookmarkEnd w:id="21"/>
      <w:bookmarkEnd w:id="22"/>
      <w:bookmarkEnd w:id="23"/>
      <w:bookmarkEnd w:id="24"/>
      <w:r>
        <w:rPr>
          <w:rFonts w:hint="eastAsia" w:ascii="宋体" w:hAnsi="宋体" w:cs="宋体"/>
          <w:color w:val="auto"/>
          <w:szCs w:val="21"/>
          <w:highlight w:val="none"/>
        </w:rPr>
        <w:t>；</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③在服务采购项目中，服务由中小企业承接，即提供服务的人员为中小企业依照《中华人民共和国劳动合同法》订立劳动合同的从业人员。</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以联合体形式参加政府采购活动，联合体各方均为中小企业的，联合体视同中小企业。其中，联合体各方均为小微企业的，联合体视同小微企业。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供应商提供声明函内容不实的，属于提供虚假材料谋取中标、成交，依照《中华人民共和国政府采购法》等国家有关规定追究相应责任。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（5）《中小企业声明函》由参加投标的供应商提交，如供应商为代理商，须自行采集制造商的中小企业划分类型信息填入相应栏目并对其真实性负责。</w:t>
      </w:r>
    </w:p>
    <w:p>
      <w:pPr>
        <w:spacing w:line="400" w:lineRule="exact"/>
        <w:ind w:firstLine="420" w:firstLineChars="200"/>
        <w:rPr>
          <w:rFonts w:ascii="宋体" w:hAnsi="宋体" w:cs="宋体"/>
          <w:color w:val="auto"/>
          <w:szCs w:val="21"/>
          <w:highlight w:val="none"/>
        </w:rPr>
      </w:pPr>
      <w:bookmarkStart w:id="25" w:name="_Toc495244277"/>
      <w:bookmarkStart w:id="26" w:name="_Toc21541015"/>
      <w:r>
        <w:rPr>
          <w:rFonts w:hint="eastAsia" w:ascii="宋体" w:hAnsi="宋体" w:cs="宋体"/>
          <w:color w:val="auto"/>
          <w:szCs w:val="21"/>
          <w:highlight w:val="none"/>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5"/>
      <w:bookmarkEnd w:id="26"/>
    </w:p>
    <w:p>
      <w:pPr>
        <w:spacing w:line="400" w:lineRule="exact"/>
        <w:ind w:firstLine="420" w:firstLineChars="200"/>
        <w:rPr>
          <w:rFonts w:ascii="宋体" w:hAnsi="宋体" w:cs="宋体"/>
          <w:color w:val="auto"/>
          <w:szCs w:val="21"/>
          <w:highlight w:val="none"/>
        </w:rPr>
      </w:pPr>
      <w:bookmarkStart w:id="27" w:name="_Toc21541016"/>
      <w:r>
        <w:rPr>
          <w:rFonts w:hint="eastAsia" w:ascii="宋体" w:hAnsi="宋体" w:cs="宋体"/>
          <w:color w:val="auto"/>
          <w:szCs w:val="21"/>
          <w:highlight w:val="none"/>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7"/>
    </w:p>
    <w:p>
      <w:pPr>
        <w:spacing w:line="400" w:lineRule="exact"/>
        <w:ind w:firstLine="420" w:firstLineChars="200"/>
        <w:rPr>
          <w:rFonts w:ascii="宋体" w:hAnsi="宋体" w:cs="宋体"/>
          <w:color w:val="auto"/>
          <w:szCs w:val="21"/>
          <w:highlight w:val="none"/>
        </w:rPr>
      </w:pPr>
      <w:bookmarkStart w:id="28" w:name="_Toc21541017"/>
      <w:bookmarkStart w:id="29" w:name="_Toc419729158"/>
      <w:r>
        <w:rPr>
          <w:rFonts w:hint="eastAsia" w:ascii="宋体" w:hAnsi="宋体" w:cs="宋体"/>
          <w:color w:val="auto"/>
          <w:szCs w:val="21"/>
          <w:highlight w:val="none"/>
        </w:rPr>
        <w:t>4.本项目不组织潜在供应商现场考察或者召开开标前答疑。</w:t>
      </w:r>
      <w:bookmarkEnd w:id="28"/>
    </w:p>
    <w:p>
      <w:pPr>
        <w:spacing w:line="400" w:lineRule="exact"/>
        <w:ind w:firstLine="420" w:firstLineChars="200"/>
        <w:rPr>
          <w:rFonts w:ascii="宋体" w:hAnsi="宋体" w:cs="宋体"/>
          <w:color w:val="auto"/>
          <w:szCs w:val="21"/>
          <w:highlight w:val="none"/>
        </w:rPr>
      </w:pPr>
      <w:bookmarkStart w:id="30" w:name="_Toc21541018"/>
      <w:r>
        <w:rPr>
          <w:rFonts w:hint="eastAsia" w:ascii="宋体" w:hAnsi="宋体" w:cs="宋体"/>
          <w:color w:val="auto"/>
          <w:szCs w:val="21"/>
          <w:highlight w:val="none"/>
        </w:rPr>
        <w:t>5.本文件未及事项，在签订合同时供需及使用方友好商定。</w:t>
      </w:r>
      <w:bookmarkEnd w:id="29"/>
      <w:bookmarkEnd w:id="30"/>
    </w:p>
    <w:p>
      <w:pPr>
        <w:spacing w:line="400" w:lineRule="exact"/>
        <w:ind w:firstLine="420" w:firstLineChars="200"/>
        <w:rPr>
          <w:rFonts w:ascii="宋体" w:hAnsi="宋体"/>
          <w:b/>
          <w:color w:val="auto"/>
          <w:szCs w:val="21"/>
          <w:highlight w:val="none"/>
        </w:rPr>
      </w:pPr>
      <w:bookmarkStart w:id="31" w:name="_Toc419729159"/>
      <w:r>
        <w:rPr>
          <w:rFonts w:hint="eastAsia" w:ascii="宋体" w:hAnsi="宋体" w:cs="宋体"/>
          <w:color w:val="auto"/>
          <w:szCs w:val="21"/>
          <w:highlight w:val="none"/>
        </w:rPr>
        <w:t>6.本招标文件解释权归采购人。</w:t>
      </w:r>
      <w:bookmarkEnd w:id="31"/>
    </w:p>
    <w:p>
      <w:pPr>
        <w:jc w:val="center"/>
        <w:outlineLvl w:val="0"/>
        <w:rPr>
          <w:rFonts w:ascii="宋体" w:hAnsi="宋体"/>
          <w:b/>
          <w:color w:val="auto"/>
          <w:sz w:val="36"/>
          <w:szCs w:val="21"/>
          <w:highlight w:val="none"/>
        </w:rPr>
      </w:pPr>
      <w:r>
        <w:rPr>
          <w:rFonts w:hint="eastAsia" w:ascii="宋体" w:hAnsi="宋体"/>
          <w:b/>
          <w:color w:val="auto"/>
          <w:sz w:val="32"/>
          <w:highlight w:val="none"/>
        </w:rPr>
        <w:br w:type="page"/>
      </w:r>
      <w:bookmarkStart w:id="32" w:name="_Toc12785"/>
      <w:r>
        <w:rPr>
          <w:rFonts w:hint="eastAsia" w:ascii="宋体" w:hAnsi="宋体"/>
          <w:b/>
          <w:color w:val="auto"/>
          <w:sz w:val="36"/>
          <w:szCs w:val="21"/>
          <w:highlight w:val="none"/>
        </w:rPr>
        <w:t>第</w:t>
      </w:r>
      <w:r>
        <w:rPr>
          <w:rFonts w:hint="eastAsia" w:ascii="宋体" w:hAnsi="宋体"/>
          <w:b/>
          <w:color w:val="auto"/>
          <w:sz w:val="36"/>
          <w:szCs w:val="21"/>
          <w:highlight w:val="none"/>
          <w:lang w:val="en-US" w:eastAsia="zh-CN"/>
        </w:rPr>
        <w:t>四</w:t>
      </w:r>
      <w:r>
        <w:rPr>
          <w:rFonts w:hint="eastAsia" w:ascii="宋体" w:hAnsi="宋体"/>
          <w:b/>
          <w:color w:val="auto"/>
          <w:sz w:val="36"/>
          <w:szCs w:val="21"/>
          <w:highlight w:val="none"/>
        </w:rPr>
        <w:t>章</w:t>
      </w:r>
      <w:r>
        <w:rPr>
          <w:rFonts w:ascii="宋体" w:hAnsi="宋体"/>
          <w:b/>
          <w:color w:val="auto"/>
          <w:sz w:val="36"/>
          <w:szCs w:val="21"/>
          <w:highlight w:val="none"/>
        </w:rPr>
        <w:t xml:space="preserve">  </w:t>
      </w:r>
      <w:r>
        <w:rPr>
          <w:rFonts w:hint="eastAsia" w:ascii="宋体" w:hAnsi="宋体"/>
          <w:b/>
          <w:color w:val="auto"/>
          <w:sz w:val="36"/>
          <w:szCs w:val="21"/>
          <w:highlight w:val="none"/>
        </w:rPr>
        <w:t>评标办法及标准</w:t>
      </w:r>
      <w:bookmarkEnd w:id="32"/>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一、评标办法</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本项目评标采用综合评分法。</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1.2</w:t>
      </w:r>
      <w:r>
        <w:rPr>
          <w:rFonts w:hint="eastAsia" w:ascii="宋体" w:hAnsi="宋体"/>
          <w:color w:val="auto"/>
          <w:szCs w:val="21"/>
          <w:highlight w:val="none"/>
        </w:rPr>
        <w:t>综合评分法：采用百分制，总分</w:t>
      </w:r>
      <w:r>
        <w:rPr>
          <w:rFonts w:ascii="宋体" w:hAnsi="宋体"/>
          <w:color w:val="auto"/>
          <w:szCs w:val="21"/>
          <w:highlight w:val="none"/>
        </w:rPr>
        <w:t>100</w:t>
      </w:r>
      <w:r>
        <w:rPr>
          <w:rFonts w:hint="eastAsia" w:ascii="宋体" w:hAnsi="宋体"/>
          <w:color w:val="auto"/>
          <w:szCs w:val="21"/>
          <w:highlight w:val="none"/>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hint="eastAsia" w:ascii="宋体" w:hAnsi="宋体" w:cs="仿宋"/>
          <w:color w:val="auto"/>
          <w:szCs w:val="21"/>
          <w:highlight w:val="none"/>
        </w:rPr>
      </w:pPr>
      <w:r>
        <w:rPr>
          <w:rFonts w:ascii="宋体" w:hAnsi="宋体" w:cs="仿宋"/>
          <w:color w:val="auto"/>
          <w:szCs w:val="21"/>
          <w:highlight w:val="none"/>
        </w:rPr>
        <w:t>1.</w:t>
      </w:r>
      <w:r>
        <w:rPr>
          <w:rFonts w:hint="eastAsia" w:ascii="宋体" w:hAnsi="宋体" w:cs="仿宋"/>
          <w:color w:val="auto"/>
          <w:szCs w:val="21"/>
          <w:highlight w:val="none"/>
          <w:lang w:val="en-US" w:eastAsia="zh-CN"/>
        </w:rPr>
        <w:t>3</w:t>
      </w:r>
      <w:r>
        <w:rPr>
          <w:rFonts w:hint="eastAsia" w:ascii="宋体" w:hAnsi="宋体" w:cs="仿宋"/>
          <w:b/>
          <w:bCs/>
          <w:color w:val="auto"/>
          <w:szCs w:val="21"/>
          <w:highlight w:val="none"/>
        </w:rPr>
        <w:t>本次采购为</w:t>
      </w:r>
      <w:r>
        <w:rPr>
          <w:rFonts w:hint="eastAsia" w:ascii="宋体" w:hAnsi="宋体" w:cs="仿宋"/>
          <w:b/>
          <w:bCs/>
          <w:color w:val="auto"/>
          <w:szCs w:val="21"/>
          <w:highlight w:val="none"/>
          <w:lang w:val="en-US" w:eastAsia="zh-CN"/>
        </w:rPr>
        <w:t>非</w:t>
      </w:r>
      <w:r>
        <w:rPr>
          <w:rFonts w:hint="eastAsia" w:ascii="宋体" w:hAnsi="宋体" w:cs="仿宋"/>
          <w:b/>
          <w:bCs/>
          <w:color w:val="auto"/>
          <w:szCs w:val="21"/>
          <w:highlight w:val="none"/>
        </w:rPr>
        <w:t>专门面向中小企业</w:t>
      </w:r>
      <w:r>
        <w:rPr>
          <w:rFonts w:hint="eastAsia" w:ascii="宋体" w:hAnsi="宋体" w:cs="仿宋"/>
          <w:color w:val="auto"/>
          <w:szCs w:val="21"/>
          <w:highlight w:val="none"/>
        </w:rPr>
        <w:t>，采购标的对应的中小企业划分标准所属行业：</w:t>
      </w:r>
      <w:r>
        <w:rPr>
          <w:rFonts w:hint="eastAsia" w:ascii="宋体" w:hAnsi="宋体" w:cs="仿宋"/>
          <w:color w:val="auto"/>
          <w:szCs w:val="21"/>
          <w:highlight w:val="none"/>
          <w:u w:val="single"/>
          <w:lang w:val="en-US" w:eastAsia="zh-CN"/>
        </w:rPr>
        <w:t>标项1</w:t>
      </w:r>
      <w:r>
        <w:rPr>
          <w:rFonts w:hint="eastAsia" w:ascii="宋体" w:hAnsi="宋体" w:cs="仿宋"/>
          <w:color w:val="auto"/>
          <w:szCs w:val="21"/>
          <w:highlight w:val="none"/>
          <w:lang w:val="en-US" w:eastAsia="zh-CN"/>
        </w:rPr>
        <w:t>：</w:t>
      </w:r>
      <w:r>
        <w:rPr>
          <w:rFonts w:hint="eastAsia" w:ascii="宋体" w:hAnsi="宋体" w:cs="仿宋"/>
          <w:b/>
          <w:bCs/>
          <w:color w:val="auto"/>
          <w:szCs w:val="21"/>
          <w:highlight w:val="none"/>
          <w:u w:val="single"/>
        </w:rPr>
        <w:t>其他未列明行业</w:t>
      </w:r>
      <w:r>
        <w:rPr>
          <w:rFonts w:hint="eastAsia" w:ascii="宋体" w:hAnsi="宋体" w:cs="仿宋"/>
          <w:color w:val="auto"/>
          <w:szCs w:val="21"/>
          <w:highlight w:val="none"/>
        </w:rPr>
        <w:t>。</w:t>
      </w:r>
      <w:r>
        <w:rPr>
          <w:rFonts w:hint="eastAsia" w:ascii="宋体" w:hAnsi="宋体"/>
          <w:color w:val="auto"/>
          <w:szCs w:val="21"/>
          <w:highlight w:val="none"/>
        </w:rPr>
        <w:t>次评标将对满足招标文件第</w:t>
      </w:r>
      <w:r>
        <w:rPr>
          <w:rFonts w:hint="eastAsia" w:ascii="宋体" w:hAnsi="宋体"/>
          <w:color w:val="auto"/>
          <w:szCs w:val="21"/>
          <w:highlight w:val="none"/>
          <w:lang w:val="en-US" w:eastAsia="zh-CN"/>
        </w:rPr>
        <w:t>三</w:t>
      </w:r>
      <w:r>
        <w:rPr>
          <w:rFonts w:hint="eastAsia" w:ascii="宋体" w:hAnsi="宋体"/>
          <w:color w:val="auto"/>
          <w:szCs w:val="21"/>
          <w:highlight w:val="none"/>
        </w:rPr>
        <w:t>章第十</w:t>
      </w:r>
      <w:r>
        <w:rPr>
          <w:rFonts w:hint="eastAsia" w:ascii="宋体" w:hAnsi="宋体"/>
          <w:color w:val="auto"/>
          <w:szCs w:val="21"/>
          <w:highlight w:val="none"/>
          <w:lang w:val="en-US" w:eastAsia="zh-CN"/>
        </w:rPr>
        <w:t>九</w:t>
      </w:r>
      <w:r>
        <w:rPr>
          <w:rFonts w:hint="eastAsia" w:ascii="宋体" w:hAnsi="宋体"/>
          <w:color w:val="auto"/>
          <w:szCs w:val="21"/>
          <w:highlight w:val="none"/>
        </w:rPr>
        <w:t>条第1、2、3款要求的</w:t>
      </w:r>
      <w:r>
        <w:rPr>
          <w:rFonts w:hint="eastAsia" w:ascii="宋体" w:hAnsi="宋体"/>
          <w:color w:val="auto"/>
          <w:szCs w:val="21"/>
          <w:highlight w:val="none"/>
          <w:lang w:val="en-US" w:eastAsia="zh-CN"/>
        </w:rPr>
        <w:t>服务供应商</w:t>
      </w:r>
      <w:r>
        <w:rPr>
          <w:rFonts w:hint="eastAsia" w:ascii="宋体" w:hAnsi="宋体"/>
          <w:color w:val="auto"/>
          <w:szCs w:val="21"/>
          <w:highlight w:val="none"/>
        </w:rPr>
        <w:t>均为小微企业的价格给予</w:t>
      </w:r>
      <w:r>
        <w:rPr>
          <w:rFonts w:hint="eastAsia" w:ascii="宋体" w:hAnsi="宋体"/>
          <w:b/>
          <w:bCs/>
          <w:color w:val="auto"/>
          <w:szCs w:val="21"/>
          <w:highlight w:val="none"/>
          <w:u w:val="single"/>
          <w:lang w:val="en-US" w:eastAsia="zh-CN"/>
        </w:rPr>
        <w:t>1</w:t>
      </w:r>
      <w:r>
        <w:rPr>
          <w:rFonts w:hint="eastAsia" w:ascii="宋体" w:hAnsi="宋体"/>
          <w:b/>
          <w:bCs/>
          <w:color w:val="auto"/>
          <w:szCs w:val="21"/>
          <w:highlight w:val="none"/>
          <w:u w:val="single"/>
        </w:rPr>
        <w:t>0%</w:t>
      </w:r>
      <w:r>
        <w:rPr>
          <w:rFonts w:hint="eastAsia" w:ascii="宋体" w:hAnsi="宋体"/>
          <w:color w:val="auto"/>
          <w:szCs w:val="21"/>
          <w:highlight w:val="none"/>
        </w:rPr>
        <w:t>的扣除，用扣除后的价格参与评审。价格扣除只用于评审过程，如中标，中标价格仍按照其投标价格进行公示。</w:t>
      </w:r>
    </w:p>
    <w:p>
      <w:pPr>
        <w:spacing w:line="400" w:lineRule="exact"/>
        <w:ind w:firstLine="420" w:firstLineChars="200"/>
        <w:jc w:val="left"/>
        <w:rPr>
          <w:rFonts w:ascii="宋体" w:hAnsi="宋体" w:cs="仿宋"/>
          <w:color w:val="auto"/>
          <w:szCs w:val="21"/>
          <w:highlight w:val="none"/>
        </w:rPr>
      </w:pPr>
      <w:r>
        <w:rPr>
          <w:rFonts w:hint="eastAsia" w:ascii="宋体" w:hAnsi="宋体" w:cs="仿宋"/>
          <w:color w:val="auto"/>
          <w:szCs w:val="21"/>
          <w:highlight w:val="none"/>
        </w:rPr>
        <w:t>大中型企业和其他自然人、法人或者其他组织与小型、微型企业组成联合体共同参加非专门面向中小企业的政府采购活动，如联合协议中约定，服务承接企业为小型、微型企业的协议合同金额占到联合体协议合同总金额30%以上的，</w:t>
      </w:r>
      <w:r>
        <w:rPr>
          <w:rFonts w:hint="eastAsia" w:ascii="宋体" w:hAnsi="宋体" w:cs="仿宋"/>
          <w:b/>
          <w:bCs/>
          <w:color w:val="auto"/>
          <w:szCs w:val="21"/>
          <w:highlight w:val="none"/>
        </w:rPr>
        <w:t>可给予联合体价格扣除</w:t>
      </w:r>
      <w:r>
        <w:rPr>
          <w:rFonts w:hint="eastAsia" w:ascii="宋体" w:hAnsi="宋体" w:cs="仿宋"/>
          <w:color w:val="auto"/>
          <w:szCs w:val="21"/>
          <w:highlight w:val="none"/>
        </w:rPr>
        <w:t>，用扣除后的价格参与评审，如中标，中标价格仍按照其投标价格进行公示。联合体各方均为小型、微型企业的，联合体视同为小型、微型企业。</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val="en-US" w:eastAsia="zh-CN"/>
        </w:rPr>
        <w:t>4</w:t>
      </w:r>
      <w:r>
        <w:rPr>
          <w:rFonts w:hint="eastAsia" w:ascii="宋体" w:hAnsi="宋体"/>
          <w:color w:val="auto"/>
          <w:szCs w:val="21"/>
          <w:highlight w:val="none"/>
        </w:rPr>
        <w:t>评标委员会成员对需要共同认定的事项存在争议的，应当按照少数服从多数的原则作出结论。</w:t>
      </w:r>
    </w:p>
    <w:p>
      <w:pPr>
        <w:spacing w:line="400" w:lineRule="exact"/>
        <w:ind w:firstLine="420" w:firstLineChars="200"/>
        <w:jc w:val="left"/>
        <w:rPr>
          <w:rFonts w:ascii="宋体" w:hAnsi="宋体"/>
          <w:b/>
          <w:bCs/>
          <w:color w:val="auto"/>
          <w:szCs w:val="21"/>
          <w:highlight w:val="none"/>
        </w:rPr>
      </w:pPr>
      <w:r>
        <w:rPr>
          <w:rFonts w:hint="eastAsia" w:ascii="宋体" w:hAnsi="宋体"/>
          <w:color w:val="auto"/>
          <w:szCs w:val="21"/>
          <w:highlight w:val="none"/>
        </w:rPr>
        <w:t>二、</w:t>
      </w:r>
      <w:r>
        <w:rPr>
          <w:rFonts w:hint="eastAsia" w:ascii="宋体" w:hAnsi="宋体"/>
          <w:b/>
          <w:bCs/>
          <w:color w:val="auto"/>
          <w:szCs w:val="21"/>
          <w:highlight w:val="none"/>
        </w:rPr>
        <w:t>评标程序</w:t>
      </w:r>
    </w:p>
    <w:p>
      <w:pPr>
        <w:spacing w:line="400" w:lineRule="exact"/>
        <w:ind w:firstLine="422" w:firstLineChars="200"/>
        <w:rPr>
          <w:rFonts w:ascii="宋体" w:hAnsi="宋体"/>
          <w:b/>
          <w:color w:val="auto"/>
          <w:szCs w:val="21"/>
          <w:highlight w:val="none"/>
        </w:rPr>
      </w:pPr>
      <w:r>
        <w:rPr>
          <w:rFonts w:ascii="宋体" w:hAnsi="宋体"/>
          <w:b/>
          <w:color w:val="auto"/>
          <w:szCs w:val="21"/>
          <w:highlight w:val="none"/>
        </w:rPr>
        <w:t>2.1</w:t>
      </w:r>
      <w:r>
        <w:rPr>
          <w:rFonts w:hint="eastAsia" w:ascii="宋体" w:hAnsi="宋体"/>
          <w:b/>
          <w:color w:val="auto"/>
          <w:szCs w:val="21"/>
          <w:highlight w:val="none"/>
        </w:rPr>
        <w:t>第一阶段评审</w:t>
      </w:r>
    </w:p>
    <w:p>
      <w:pPr>
        <w:spacing w:line="400" w:lineRule="exact"/>
        <w:ind w:firstLine="420" w:firstLineChars="200"/>
        <w:rPr>
          <w:rFonts w:ascii="宋体" w:hAnsi="宋体"/>
          <w:b/>
          <w:color w:val="auto"/>
          <w:szCs w:val="21"/>
          <w:highlight w:val="none"/>
        </w:rPr>
      </w:pPr>
      <w:r>
        <w:rPr>
          <w:rFonts w:ascii="宋体" w:hAnsi="宋体"/>
          <w:color w:val="auto"/>
          <w:szCs w:val="21"/>
          <w:highlight w:val="none"/>
        </w:rPr>
        <w:t>2.1.1</w:t>
      </w:r>
      <w:r>
        <w:rPr>
          <w:rFonts w:hint="eastAsia" w:ascii="宋体" w:hAnsi="宋体"/>
          <w:color w:val="auto"/>
          <w:szCs w:val="21"/>
          <w:highlight w:val="none"/>
        </w:rPr>
        <w:t>资格文件、商务和技术文件初步审查：包含资格性审查和符合性审查。资格性审查是指采购人或代理机构根据“附表</w:t>
      </w:r>
      <w:r>
        <w:rPr>
          <w:rFonts w:ascii="宋体" w:hAnsi="宋体"/>
          <w:color w:val="auto"/>
          <w:szCs w:val="21"/>
          <w:highlight w:val="none"/>
        </w:rPr>
        <w:t>1</w:t>
      </w:r>
      <w:r>
        <w:rPr>
          <w:rFonts w:hint="eastAsia" w:ascii="宋体" w:hAnsi="宋体"/>
          <w:color w:val="auto"/>
          <w:szCs w:val="21"/>
          <w:highlight w:val="none"/>
        </w:rPr>
        <w:t>资格性审查表”的要求对投标文件逐一进行评审。符合性审查是指评标委员会根据“附表</w:t>
      </w:r>
      <w:r>
        <w:rPr>
          <w:rFonts w:ascii="宋体" w:hAnsi="宋体"/>
          <w:color w:val="auto"/>
          <w:szCs w:val="21"/>
          <w:highlight w:val="none"/>
        </w:rPr>
        <w:t>2</w:t>
      </w:r>
      <w:r>
        <w:rPr>
          <w:rFonts w:hint="eastAsia" w:ascii="宋体" w:hAnsi="宋体"/>
          <w:color w:val="auto"/>
          <w:szCs w:val="21"/>
          <w:highlight w:val="none"/>
        </w:rPr>
        <w:t>符合性审查表”的要求对投标文件逐一进行评审。</w:t>
      </w:r>
      <w:r>
        <w:rPr>
          <w:rFonts w:hint="eastAsia" w:ascii="宋体" w:hAnsi="宋体"/>
          <w:b/>
          <w:color w:val="auto"/>
          <w:szCs w:val="21"/>
          <w:highlight w:val="none"/>
        </w:rPr>
        <w:t>资格性审查和符合性审查中，有任意一项审查结论不合格的，作无效标处理。</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2.1.2</w:t>
      </w:r>
      <w:r>
        <w:rPr>
          <w:rFonts w:hint="eastAsia" w:ascii="宋体" w:hAnsi="宋体"/>
          <w:color w:val="auto"/>
          <w:szCs w:val="21"/>
          <w:highlight w:val="none"/>
          <w:lang w:val="zh-CN"/>
        </w:rPr>
        <w:t>比较与评价：</w:t>
      </w:r>
      <w:r>
        <w:rPr>
          <w:rFonts w:hint="eastAsia" w:ascii="宋体" w:hAnsi="宋体"/>
          <w:color w:val="auto"/>
          <w:szCs w:val="21"/>
          <w:highlight w:val="none"/>
        </w:rPr>
        <w:t>评标委员会根据“附表</w:t>
      </w:r>
      <w:r>
        <w:rPr>
          <w:rFonts w:ascii="宋体" w:hAnsi="宋体"/>
          <w:color w:val="auto"/>
          <w:szCs w:val="21"/>
          <w:highlight w:val="none"/>
        </w:rPr>
        <w:t>3</w:t>
      </w:r>
      <w:r>
        <w:rPr>
          <w:rFonts w:hint="eastAsia" w:ascii="宋体" w:hAnsi="宋体"/>
          <w:color w:val="auto"/>
          <w:szCs w:val="21"/>
          <w:highlight w:val="none"/>
        </w:rPr>
        <w:t>商务和技术评分表”的要求，</w:t>
      </w:r>
      <w:r>
        <w:rPr>
          <w:rFonts w:hint="eastAsia" w:ascii="宋体" w:hAnsi="宋体"/>
          <w:color w:val="auto"/>
          <w:szCs w:val="21"/>
          <w:highlight w:val="none"/>
          <w:lang w:val="zh-CN"/>
        </w:rPr>
        <w:t>对照投标文件的应答进行比较，判定其偏差性质和程度，</w:t>
      </w:r>
      <w:r>
        <w:rPr>
          <w:rFonts w:hint="eastAsia" w:ascii="宋体" w:hAnsi="宋体"/>
          <w:color w:val="auto"/>
          <w:szCs w:val="21"/>
          <w:highlight w:val="none"/>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color w:val="auto"/>
          <w:szCs w:val="21"/>
          <w:highlight w:val="none"/>
        </w:rPr>
      </w:pPr>
      <w:r>
        <w:rPr>
          <w:rFonts w:ascii="宋体" w:hAnsi="宋体"/>
          <w:b/>
          <w:color w:val="auto"/>
          <w:szCs w:val="21"/>
          <w:highlight w:val="none"/>
        </w:rPr>
        <w:t>2.2</w:t>
      </w:r>
      <w:r>
        <w:rPr>
          <w:rFonts w:hint="eastAsia" w:ascii="宋体" w:hAnsi="宋体"/>
          <w:b/>
          <w:color w:val="auto"/>
          <w:szCs w:val="21"/>
          <w:highlight w:val="none"/>
        </w:rPr>
        <w:t>第二阶段评审</w:t>
      </w:r>
    </w:p>
    <w:p>
      <w:pPr>
        <w:spacing w:line="400" w:lineRule="exact"/>
        <w:ind w:firstLine="420" w:firstLineChars="200"/>
        <w:jc w:val="left"/>
        <w:rPr>
          <w:rFonts w:ascii="宋体" w:hAnsi="宋体"/>
          <w:b/>
          <w:color w:val="auto"/>
          <w:szCs w:val="21"/>
          <w:highlight w:val="none"/>
        </w:rPr>
      </w:pPr>
      <w:r>
        <w:rPr>
          <w:rFonts w:ascii="宋体" w:hAnsi="宋体"/>
          <w:color w:val="auto"/>
          <w:szCs w:val="21"/>
          <w:highlight w:val="none"/>
        </w:rPr>
        <w:t>2.2.1</w:t>
      </w:r>
      <w:r>
        <w:rPr>
          <w:rFonts w:hint="eastAsia" w:ascii="宋体" w:hAnsi="宋体"/>
          <w:color w:val="auto"/>
          <w:szCs w:val="21"/>
          <w:highlight w:val="none"/>
        </w:rPr>
        <w:t>报价文件初步审查：报价文件初步审查是指评标委员会根据“附表</w:t>
      </w:r>
      <w:r>
        <w:rPr>
          <w:rFonts w:ascii="宋体" w:hAnsi="宋体"/>
          <w:color w:val="auto"/>
          <w:szCs w:val="21"/>
          <w:highlight w:val="none"/>
        </w:rPr>
        <w:t>4</w:t>
      </w:r>
      <w:r>
        <w:rPr>
          <w:rFonts w:hint="eastAsia" w:ascii="宋体" w:hAnsi="宋体"/>
          <w:color w:val="auto"/>
          <w:szCs w:val="21"/>
          <w:highlight w:val="none"/>
        </w:rPr>
        <w:t>初步审查表”的要求对投标文件逐一进行评审。</w:t>
      </w:r>
      <w:r>
        <w:rPr>
          <w:rFonts w:hint="eastAsia" w:ascii="宋体" w:hAnsi="宋体"/>
          <w:b/>
          <w:color w:val="auto"/>
          <w:szCs w:val="21"/>
          <w:highlight w:val="none"/>
        </w:rPr>
        <w:t>初步审查中，审查结论不合格的，作无效标处理。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2.2.2在评标过程中，发现的价格计算错误按下述原则修正：</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（1）投标文件中开标一览表内容与政采云系统“开标一览表”中录入的内容不一致的，以投标文件中开标一览表为准；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（2）投标文件中开标一览表内容与投标文件中相应内容不一致的，以开标一览表为准；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（3）大写金额和小写金额不一致的，以大写金额为准；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（4）单价金额小数点或者百分比有明显错位的，以开标一览表的总价为准，并修改单价；</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（5）总价金额与按单价汇总金额不一致的，以单价金额计算结果为准。</w:t>
      </w:r>
    </w:p>
    <w:p>
      <w:pPr>
        <w:spacing w:line="400" w:lineRule="exact"/>
        <w:ind w:firstLine="420" w:firstLineChars="200"/>
        <w:jc w:val="left"/>
        <w:rPr>
          <w:rFonts w:ascii="宋体" w:hAnsi="宋体"/>
          <w:color w:val="auto"/>
          <w:highlight w:val="none"/>
        </w:rPr>
      </w:pPr>
      <w:r>
        <w:rPr>
          <w:rFonts w:hint="eastAsia" w:ascii="宋体" w:hAnsi="宋体"/>
          <w:color w:val="auto"/>
          <w:szCs w:val="21"/>
          <w:highlight w:val="none"/>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3评标委员会根据“附表</w:t>
      </w:r>
      <w:r>
        <w:rPr>
          <w:rFonts w:ascii="宋体" w:hAnsi="宋体"/>
          <w:color w:val="auto"/>
          <w:szCs w:val="21"/>
          <w:highlight w:val="none"/>
        </w:rPr>
        <w:t>5</w:t>
      </w:r>
      <w:r>
        <w:rPr>
          <w:rFonts w:hint="eastAsia" w:ascii="宋体" w:hAnsi="宋体"/>
          <w:color w:val="auto"/>
          <w:szCs w:val="21"/>
          <w:highlight w:val="none"/>
        </w:rPr>
        <w:t>价格评分表”的规定，计算供应商报价得分（小数点后保留二位数）。</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4综合评估：供应商的综合得分为商务和技术得分与报价得分之和。</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5推荐中标候选人：评标结果按评审后得分由高到低顺序排列。得分相同的，按投标报价由低到高顺序排列。得分且投标报价相同的并列，投标文件满足招标文件全部实质性要求，且按照评审因素的量化指标评审得分从高到低排列，并按排列顺序推荐中标候选人。</w:t>
      </w:r>
    </w:p>
    <w:p>
      <w:pPr>
        <w:spacing w:line="400" w:lineRule="exact"/>
        <w:ind w:firstLine="422" w:firstLineChars="200"/>
        <w:jc w:val="left"/>
        <w:rPr>
          <w:rFonts w:ascii="宋体" w:hAnsi="宋体"/>
          <w:b/>
          <w:color w:val="auto"/>
          <w:szCs w:val="21"/>
          <w:highlight w:val="none"/>
        </w:rPr>
      </w:pPr>
      <w:r>
        <w:rPr>
          <w:rFonts w:ascii="宋体" w:hAnsi="宋体"/>
          <w:b/>
          <w:color w:val="auto"/>
          <w:szCs w:val="21"/>
          <w:highlight w:val="none"/>
        </w:rPr>
        <w:t>2.3</w:t>
      </w:r>
      <w:r>
        <w:rPr>
          <w:rFonts w:hint="eastAsia" w:ascii="宋体" w:hAnsi="宋体"/>
          <w:b/>
          <w:color w:val="auto"/>
          <w:szCs w:val="21"/>
          <w:highlight w:val="none"/>
        </w:rPr>
        <w:t>确定中标供应商</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评标委员会按综合得分由高到低的排序，向采购人推荐中标候选人。代理机构应当自评审结束之日起</w:t>
      </w:r>
      <w:r>
        <w:rPr>
          <w:rFonts w:ascii="宋体" w:hAnsi="宋体"/>
          <w:color w:val="auto"/>
          <w:szCs w:val="21"/>
          <w:highlight w:val="none"/>
        </w:rPr>
        <w:t>2</w:t>
      </w:r>
      <w:r>
        <w:rPr>
          <w:rFonts w:hint="eastAsia" w:ascii="宋体" w:hAnsi="宋体"/>
          <w:color w:val="auto"/>
          <w:szCs w:val="21"/>
          <w:highlight w:val="none"/>
        </w:rPr>
        <w:t>个工作日内将评审报告送交采购人。采购人应当自收到评审报告之日起</w:t>
      </w:r>
      <w:r>
        <w:rPr>
          <w:rFonts w:ascii="宋体" w:hAnsi="宋体"/>
          <w:color w:val="auto"/>
          <w:szCs w:val="21"/>
          <w:highlight w:val="none"/>
        </w:rPr>
        <w:t>5</w:t>
      </w:r>
      <w:r>
        <w:rPr>
          <w:rFonts w:hint="eastAsia" w:ascii="宋体" w:hAnsi="宋体"/>
          <w:color w:val="auto"/>
          <w:szCs w:val="21"/>
          <w:highlight w:val="none"/>
        </w:rPr>
        <w:t>个工作日内在评审报告推荐的中标候选人中按顺序确定1名中标供应商。采购人或采购代理机构应当自中标供应商确定之日起2个工作日内发出中标通知书并</w:t>
      </w:r>
      <w:r>
        <w:rPr>
          <w:rFonts w:hint="eastAsia" w:ascii="宋体" w:hAnsi="宋体" w:cs="宋体"/>
          <w:color w:val="auto"/>
          <w:szCs w:val="22"/>
          <w:highlight w:val="none"/>
        </w:rPr>
        <w:t>在发布招标公告的网站上对中标结果进行公示，公告期限为1个工作日。</w:t>
      </w:r>
      <w:r>
        <w:rPr>
          <w:rFonts w:hint="eastAsia" w:ascii="宋体" w:hAnsi="宋体"/>
          <w:color w:val="auto"/>
          <w:szCs w:val="21"/>
          <w:highlight w:val="none"/>
        </w:rPr>
        <w:t>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三、投标的澄清</w:t>
      </w:r>
    </w:p>
    <w:p>
      <w:pPr>
        <w:spacing w:line="400" w:lineRule="exact"/>
        <w:ind w:firstLine="420" w:firstLineChars="200"/>
        <w:rPr>
          <w:rFonts w:ascii="宋体" w:hAnsi="宋体" w:cs="宋体"/>
          <w:color w:val="auto"/>
          <w:highlight w:val="none"/>
        </w:rPr>
      </w:pPr>
      <w:r>
        <w:rPr>
          <w:rFonts w:ascii="宋体" w:hAnsi="宋体" w:cs="宋体"/>
          <w:color w:val="auto"/>
          <w:highlight w:val="none"/>
        </w:rPr>
        <w:t>3.1</w:t>
      </w:r>
      <w:r>
        <w:rPr>
          <w:rFonts w:hint="eastAsia" w:ascii="宋体" w:hAnsi="宋体" w:cs="宋体"/>
          <w:color w:val="auto"/>
          <w:highlight w:val="none"/>
        </w:rPr>
        <w:t>评标委员会在对投标文件的有效性、完整性和响应程度进行审查时，可以要求供应商对投标文件中含义不明确、同类问题表述不一致或者有明显文字和计算错误的内容等作出必要的澄清。供应商的澄清不得超出投标文件的范围或者改变投标文件的实质性内容。</w:t>
      </w:r>
    </w:p>
    <w:p>
      <w:pPr>
        <w:spacing w:line="400" w:lineRule="exact"/>
        <w:ind w:firstLine="420" w:firstLineChars="200"/>
        <w:rPr>
          <w:rFonts w:ascii="宋体" w:hAnsi="宋体" w:cs="宋体"/>
          <w:color w:val="auto"/>
          <w:highlight w:val="none"/>
        </w:rPr>
      </w:pPr>
      <w:r>
        <w:rPr>
          <w:rFonts w:ascii="宋体" w:hAnsi="宋体" w:cs="宋体"/>
          <w:color w:val="auto"/>
          <w:highlight w:val="none"/>
        </w:rPr>
        <w:t>3.2</w:t>
      </w:r>
      <w:r>
        <w:rPr>
          <w:rFonts w:hint="eastAsia" w:ascii="宋体" w:hAnsi="宋体" w:cs="宋体"/>
          <w:color w:val="auto"/>
          <w:highlight w:val="none"/>
        </w:rPr>
        <w:t>政采云具体操作如下：</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路径：用户中心—项目采购—询标澄清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（1）政采云平台通过待办事项和短信提醒供应商在截止时间前完成澄清。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（2）供应商在“询标澄清－待办理”标签页下选择状态为“待澄清”的项目，点击操作栏【澄清】。</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（3）查看函内容，在澄清截止时间前上传澄清文件并对澄清文件进行签章。（注：澄清文件必须以PDF格式上传，文件大小：50M）</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（4）签章完成，文件名称处显示“已签章”，供应商可“撤回签章”修改澄清函和“查看文件”。</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ascii="宋体" w:hAnsi="宋体" w:cs="宋体"/>
          <w:color w:val="auto"/>
          <w:highlight w:val="none"/>
        </w:rPr>
      </w:pPr>
      <w:r>
        <w:rPr>
          <w:rFonts w:hint="eastAsia" w:ascii="宋体" w:hAnsi="宋体" w:cs="宋体"/>
          <w:color w:val="auto"/>
          <w:highlight w:val="none"/>
        </w:rPr>
        <w:t>（6）完成状态：供应商澄清文件提交成功后，在“询标澄清－全部”标签页下显示状态为“已澄清”。</w:t>
      </w:r>
    </w:p>
    <w:p>
      <w:pPr>
        <w:spacing w:line="400" w:lineRule="exact"/>
        <w:ind w:firstLine="420" w:firstLineChars="200"/>
        <w:jc w:val="left"/>
        <w:rPr>
          <w:rFonts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3供应商未在截止时间前完成澄清，将被视作自动放弃。</w:t>
      </w:r>
    </w:p>
    <w:p>
      <w:pPr>
        <w:spacing w:line="400" w:lineRule="exact"/>
        <w:ind w:firstLine="422" w:firstLineChars="200"/>
        <w:jc w:val="left"/>
        <w:rPr>
          <w:rFonts w:ascii="宋体" w:hAnsi="宋体"/>
          <w:color w:val="auto"/>
          <w:szCs w:val="21"/>
          <w:highlight w:val="none"/>
        </w:rPr>
      </w:pPr>
      <w:r>
        <w:rPr>
          <w:rFonts w:hint="eastAsia" w:ascii="宋体" w:hAnsi="宋体"/>
          <w:b/>
          <w:color w:val="auto"/>
          <w:szCs w:val="21"/>
          <w:highlight w:val="none"/>
        </w:rPr>
        <w:t>四、特别声明：价格是评标的重要因素之一，但最低价不是中标的唯一依据。</w:t>
      </w:r>
    </w:p>
    <w:p>
      <w:pPr>
        <w:spacing w:line="40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五、重新招标</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有下列情形之一的，采购人将重新招标：</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投标截止时间止，供应商少于</w:t>
      </w:r>
      <w:r>
        <w:rPr>
          <w:rFonts w:ascii="宋体" w:hAnsi="宋体"/>
          <w:color w:val="auto"/>
          <w:szCs w:val="21"/>
          <w:highlight w:val="none"/>
        </w:rPr>
        <w:t>3</w:t>
      </w:r>
      <w:r>
        <w:rPr>
          <w:rFonts w:hint="eastAsia" w:ascii="宋体" w:hAnsi="宋体"/>
          <w:color w:val="auto"/>
          <w:szCs w:val="21"/>
          <w:highlight w:val="none"/>
        </w:rPr>
        <w:t>个的；</w:t>
      </w:r>
    </w:p>
    <w:p>
      <w:pPr>
        <w:spacing w:line="400" w:lineRule="exact"/>
        <w:ind w:firstLine="420" w:firstLineChars="200"/>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评标委员会评标过程中，有效供应商少于</w:t>
      </w:r>
      <w:r>
        <w:rPr>
          <w:rFonts w:ascii="宋体" w:hAnsi="宋体"/>
          <w:color w:val="auto"/>
          <w:szCs w:val="21"/>
          <w:highlight w:val="none"/>
        </w:rPr>
        <w:t>3</w:t>
      </w:r>
      <w:r>
        <w:rPr>
          <w:rFonts w:hint="eastAsia" w:ascii="宋体" w:hAnsi="宋体"/>
          <w:color w:val="auto"/>
          <w:szCs w:val="21"/>
          <w:highlight w:val="none"/>
        </w:rPr>
        <w:t>个的；</w:t>
      </w:r>
    </w:p>
    <w:p>
      <w:pPr>
        <w:widowControl/>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5.3</w:t>
      </w:r>
      <w:r>
        <w:rPr>
          <w:rFonts w:hint="eastAsia" w:ascii="宋体" w:hAnsi="宋体"/>
          <w:color w:val="auto"/>
          <w:szCs w:val="21"/>
          <w:highlight w:val="none"/>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hAnsi="宋体"/>
          <w:color w:val="auto"/>
          <w:szCs w:val="21"/>
          <w:highlight w:val="none"/>
        </w:rPr>
      </w:pPr>
      <w:r>
        <w:rPr>
          <w:rFonts w:ascii="宋体" w:hAnsi="宋体"/>
          <w:color w:val="auto"/>
          <w:sz w:val="24"/>
          <w:szCs w:val="24"/>
          <w:highlight w:val="none"/>
        </w:rPr>
        <w:br w:type="page"/>
      </w:r>
      <w:r>
        <w:rPr>
          <w:rFonts w:hint="eastAsia" w:ascii="宋体" w:hAnsi="宋体"/>
          <w:b/>
          <w:bCs/>
          <w:color w:val="auto"/>
          <w:sz w:val="22"/>
          <w:szCs w:val="22"/>
          <w:highlight w:val="none"/>
        </w:rPr>
        <w:t>附表</w:t>
      </w:r>
      <w:r>
        <w:rPr>
          <w:rFonts w:ascii="宋体" w:hAnsi="宋体"/>
          <w:b/>
          <w:bCs/>
          <w:color w:val="auto"/>
          <w:sz w:val="22"/>
          <w:szCs w:val="22"/>
          <w:highlight w:val="none"/>
        </w:rPr>
        <w:t>1</w:t>
      </w:r>
      <w:r>
        <w:rPr>
          <w:rFonts w:hint="eastAsia" w:ascii="宋体" w:hAnsi="宋体"/>
          <w:b/>
          <w:bCs/>
          <w:color w:val="auto"/>
          <w:sz w:val="22"/>
          <w:szCs w:val="22"/>
          <w:highlight w:val="none"/>
        </w:rPr>
        <w:t>：</w:t>
      </w:r>
      <w:r>
        <w:rPr>
          <w:rFonts w:hint="eastAsia" w:ascii="宋体" w:hAnsi="宋体"/>
          <w:color w:val="auto"/>
          <w:szCs w:val="21"/>
          <w:highlight w:val="none"/>
        </w:rPr>
        <w:t xml:space="preserve">  </w:t>
      </w:r>
    </w:p>
    <w:p>
      <w:pPr>
        <w:spacing w:line="400" w:lineRule="exact"/>
        <w:rPr>
          <w:rFonts w:ascii="宋体" w:hAnsi="宋体"/>
          <w:color w:val="auto"/>
          <w:szCs w:val="21"/>
          <w:highlight w:val="none"/>
        </w:rPr>
      </w:pPr>
      <w:r>
        <w:rPr>
          <w:rFonts w:hint="eastAsia" w:ascii="宋体" w:hAnsi="宋体"/>
          <w:color w:val="auto"/>
          <w:szCs w:val="21"/>
          <w:highlight w:val="none"/>
        </w:rPr>
        <w:t xml:space="preserve">                         </w:t>
      </w:r>
    </w:p>
    <w:p>
      <w:pPr>
        <w:spacing w:line="400" w:lineRule="exact"/>
        <w:jc w:val="center"/>
        <w:rPr>
          <w:rFonts w:ascii="宋体" w:hAnsi="宋体"/>
          <w:b/>
          <w:color w:val="auto"/>
          <w:sz w:val="24"/>
          <w:szCs w:val="24"/>
          <w:highlight w:val="none"/>
        </w:rPr>
      </w:pPr>
      <w:r>
        <w:rPr>
          <w:rFonts w:hint="eastAsia" w:ascii="宋体" w:hAnsi="宋体"/>
          <w:b/>
          <w:color w:val="auto"/>
          <w:sz w:val="24"/>
          <w:szCs w:val="24"/>
          <w:highlight w:val="none"/>
        </w:rPr>
        <w:t>资格性审查表</w:t>
      </w:r>
    </w:p>
    <w:tbl>
      <w:tblPr>
        <w:tblStyle w:val="47"/>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522"/>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4522" w:type="dxa"/>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4846" w:type="dxa"/>
            <w:vAlign w:val="center"/>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720" w:type="dxa"/>
            <w:vMerge w:val="restart"/>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p>
        </w:tc>
        <w:tc>
          <w:tcPr>
            <w:tcW w:w="4522" w:type="dxa"/>
            <w:vMerge w:val="restart"/>
            <w:vAlign w:val="center"/>
          </w:tcPr>
          <w:p>
            <w:pPr>
              <w:spacing w:line="400" w:lineRule="exact"/>
              <w:jc w:val="left"/>
              <w:rPr>
                <w:rFonts w:ascii="宋体" w:hAnsi="宋体"/>
                <w:color w:val="auto"/>
                <w:szCs w:val="21"/>
                <w:highlight w:val="none"/>
              </w:rPr>
            </w:pPr>
            <w:r>
              <w:rPr>
                <w:rFonts w:hint="eastAsia" w:ascii="宋体" w:hAnsi="宋体" w:cs="仿宋"/>
                <w:color w:val="auto"/>
                <w:szCs w:val="21"/>
                <w:highlight w:val="none"/>
              </w:rPr>
              <w:t>满足《中华人民共和国政府采购法》第二十二条规定；</w:t>
            </w:r>
          </w:p>
        </w:tc>
        <w:tc>
          <w:tcPr>
            <w:tcW w:w="4846" w:type="dxa"/>
            <w:vAlign w:val="center"/>
          </w:tcPr>
          <w:p>
            <w:pPr>
              <w:spacing w:line="400" w:lineRule="exact"/>
              <w:jc w:val="left"/>
              <w:rPr>
                <w:rFonts w:ascii="宋体" w:hAnsi="宋体"/>
                <w:color w:val="auto"/>
                <w:szCs w:val="21"/>
                <w:highlight w:val="none"/>
              </w:rPr>
            </w:pPr>
            <w:r>
              <w:rPr>
                <w:rFonts w:hint="eastAsia" w:ascii="宋体" w:hAnsi="宋体"/>
                <w:color w:val="auto"/>
                <w:szCs w:val="21"/>
                <w:highlight w:val="none"/>
                <w:lang w:val="en-US" w:eastAsia="zh-CN"/>
              </w:rPr>
              <w:t>A1.</w:t>
            </w:r>
            <w:r>
              <w:rPr>
                <w:rFonts w:hint="eastAsia" w:ascii="宋体" w:hAnsi="宋体"/>
                <w:color w:val="auto"/>
                <w:szCs w:val="21"/>
                <w:highlight w:val="none"/>
              </w:rPr>
              <w:t>提供关于资格的承诺函</w:t>
            </w:r>
            <w:r>
              <w:rPr>
                <w:rFonts w:hint="eastAsia" w:ascii="宋体" w:hAnsi="宋体" w:cs="宋体"/>
                <w:color w:val="auto"/>
                <w:szCs w:val="21"/>
                <w:highlight w:val="none"/>
              </w:rPr>
              <w:t>（格式见附件，</w:t>
            </w:r>
            <w:r>
              <w:rPr>
                <w:rFonts w:hint="eastAsia" w:ascii="宋体" w:hAnsi="宋体"/>
                <w:color w:val="auto"/>
                <w:szCs w:val="21"/>
                <w:highlight w:val="none"/>
              </w:rPr>
              <w:t>联合体投标的，联合体双方</w:t>
            </w:r>
            <w:r>
              <w:rPr>
                <w:rFonts w:hint="eastAsia" w:ascii="宋体" w:hAnsi="宋体"/>
                <w:bCs/>
                <w:color w:val="auto"/>
                <w:szCs w:val="21"/>
                <w:highlight w:val="none"/>
              </w:rPr>
              <w:t>均须提供，并加盖各自单位公章）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720" w:type="dxa"/>
            <w:vMerge w:val="continue"/>
            <w:vAlign w:val="center"/>
          </w:tcPr>
          <w:p>
            <w:pPr>
              <w:spacing w:line="400" w:lineRule="exact"/>
              <w:jc w:val="center"/>
              <w:rPr>
                <w:rFonts w:ascii="宋体" w:hAnsi="宋体"/>
                <w:color w:val="auto"/>
                <w:szCs w:val="21"/>
                <w:highlight w:val="none"/>
              </w:rPr>
            </w:pPr>
          </w:p>
        </w:tc>
        <w:tc>
          <w:tcPr>
            <w:tcW w:w="4522" w:type="dxa"/>
            <w:vMerge w:val="continue"/>
            <w:vAlign w:val="center"/>
          </w:tcPr>
          <w:p>
            <w:pPr>
              <w:spacing w:line="400" w:lineRule="exact"/>
              <w:jc w:val="left"/>
              <w:rPr>
                <w:rFonts w:hint="eastAsia" w:ascii="宋体" w:hAnsi="宋体"/>
                <w:color w:val="auto"/>
                <w:szCs w:val="21"/>
                <w:highlight w:val="none"/>
              </w:rPr>
            </w:pPr>
          </w:p>
        </w:tc>
        <w:tc>
          <w:tcPr>
            <w:tcW w:w="4846" w:type="dxa"/>
            <w:vAlign w:val="center"/>
          </w:tcPr>
          <w:p>
            <w:pPr>
              <w:spacing w:line="400" w:lineRule="exact"/>
              <w:jc w:val="left"/>
              <w:rPr>
                <w:rFonts w:hint="eastAsia" w:ascii="宋体" w:hAnsi="宋体" w:cs="仿宋"/>
                <w:color w:val="auto"/>
                <w:szCs w:val="21"/>
                <w:highlight w:val="none"/>
              </w:rPr>
            </w:pPr>
            <w:r>
              <w:rPr>
                <w:rFonts w:hint="eastAsia" w:ascii="宋体" w:hAnsi="宋体"/>
                <w:color w:val="auto"/>
                <w:szCs w:val="21"/>
                <w:highlight w:val="none"/>
                <w:lang w:val="en-US" w:eastAsia="zh-CN"/>
              </w:rPr>
              <w:t>A2.</w:t>
            </w:r>
            <w:r>
              <w:rPr>
                <w:rFonts w:hint="eastAsia" w:ascii="宋体" w:hAnsi="宋体"/>
                <w:color w:val="auto"/>
                <w:szCs w:val="21"/>
                <w:highlight w:val="none"/>
              </w:rPr>
              <w:t>提供营业执照副本（或事业法人登记证副本或其他登记证明材料）扫描件或电子营业执照加盖投标人公章（供应商如果有名称变更的，应提供由行政主管部门出具的变更证明文件复印件加盖投标人公章，联合体投标的，联合体双方</w:t>
            </w:r>
            <w:r>
              <w:rPr>
                <w:rFonts w:hint="eastAsia" w:ascii="宋体" w:hAnsi="宋体"/>
                <w:bCs/>
                <w:color w:val="auto"/>
                <w:szCs w:val="21"/>
                <w:highlight w:val="none"/>
              </w:rPr>
              <w:t>均须提供，并加盖各自单位公章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4522" w:type="dxa"/>
            <w:vAlign w:val="center"/>
          </w:tcPr>
          <w:p>
            <w:pPr>
              <w:spacing w:line="400" w:lineRule="exact"/>
              <w:jc w:val="left"/>
              <w:rPr>
                <w:rFonts w:ascii="宋体" w:hAnsi="宋体"/>
                <w:color w:val="auto"/>
                <w:szCs w:val="21"/>
                <w:highlight w:val="none"/>
              </w:rPr>
            </w:pPr>
            <w:r>
              <w:rPr>
                <w:rFonts w:hint="eastAsia" w:ascii="宋体" w:hAnsi="宋体" w:cs="宋体"/>
                <w:color w:val="auto"/>
                <w:szCs w:val="21"/>
                <w:highlight w:val="none"/>
              </w:rPr>
              <w:t>投</w:t>
            </w:r>
            <w:r>
              <w:rPr>
                <w:rFonts w:hint="eastAsia" w:ascii="宋体" w:hAnsi="宋体" w:eastAsia="宋体" w:cs="宋体"/>
                <w:color w:val="auto"/>
                <w:szCs w:val="21"/>
                <w:highlight w:val="none"/>
              </w:rPr>
              <w:t>标人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若联合体投标，</w:t>
            </w:r>
            <w:r>
              <w:rPr>
                <w:rFonts w:hint="eastAsia" w:ascii="宋体" w:hAnsi="宋体" w:eastAsia="宋体" w:cs="宋体"/>
                <w:color w:val="auto"/>
                <w:szCs w:val="21"/>
                <w:highlight w:val="none"/>
              </w:rPr>
              <w:t>联合体牵头人</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具有</w:t>
            </w:r>
            <w:r>
              <w:rPr>
                <w:rFonts w:ascii="宋体" w:hAnsi="宋体"/>
                <w:color w:val="auto"/>
                <w:szCs w:val="21"/>
                <w:highlight w:val="none"/>
              </w:rPr>
              <w:t>有效的自然资源部门颁发的城乡规划编制乙级及以上资质证书</w:t>
            </w:r>
          </w:p>
        </w:tc>
        <w:tc>
          <w:tcPr>
            <w:tcW w:w="4846" w:type="dxa"/>
            <w:vAlign w:val="center"/>
          </w:tcPr>
          <w:p>
            <w:pPr>
              <w:spacing w:line="400" w:lineRule="exact"/>
              <w:jc w:val="left"/>
              <w:rPr>
                <w:rFonts w:ascii="宋体" w:hAnsi="宋体" w:cs="仿宋"/>
                <w:color w:val="auto"/>
                <w:szCs w:val="21"/>
                <w:highlight w:val="none"/>
              </w:rPr>
            </w:pPr>
            <w:r>
              <w:rPr>
                <w:rFonts w:hint="eastAsia" w:ascii="宋体" w:hAnsi="宋体" w:cs="宋体"/>
                <w:color w:val="auto"/>
                <w:szCs w:val="21"/>
                <w:highlight w:val="none"/>
                <w:lang w:val="en-US" w:eastAsia="zh-CN"/>
              </w:rPr>
              <w:t>A3.</w:t>
            </w:r>
            <w:r>
              <w:rPr>
                <w:rFonts w:hint="eastAsia" w:ascii="宋体" w:hAnsi="宋体" w:cs="宋体"/>
                <w:color w:val="auto"/>
                <w:szCs w:val="21"/>
                <w:highlight w:val="none"/>
              </w:rPr>
              <w:t>提供资质证书扫描件加盖供应商公章。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4522" w:type="dxa"/>
            <w:vAlign w:val="center"/>
          </w:tcPr>
          <w:p>
            <w:pPr>
              <w:spacing w:line="400" w:lineRule="exact"/>
              <w:jc w:val="left"/>
              <w:rPr>
                <w:rFonts w:ascii="宋体" w:hAnsi="宋体"/>
                <w:color w:val="auto"/>
                <w:szCs w:val="21"/>
                <w:highlight w:val="none"/>
              </w:rPr>
            </w:pPr>
            <w:r>
              <w:rPr>
                <w:rFonts w:hint="eastAsia" w:ascii="宋体" w:hAnsi="宋体" w:cs="宋体"/>
                <w:color w:val="auto"/>
                <w:szCs w:val="21"/>
                <w:highlight w:val="none"/>
              </w:rPr>
              <w:t>本项目接受联合体投标，联合体所有成员（含联合体牵头人）不得超过2家。</w:t>
            </w:r>
          </w:p>
        </w:tc>
        <w:tc>
          <w:tcPr>
            <w:tcW w:w="4846" w:type="dxa"/>
            <w:vAlign w:val="center"/>
          </w:tcPr>
          <w:p>
            <w:pPr>
              <w:spacing w:line="400" w:lineRule="exact"/>
              <w:jc w:val="left"/>
              <w:rPr>
                <w:rFonts w:hint="eastAsia" w:ascii="宋体" w:hAnsi="宋体"/>
                <w:color w:val="auto"/>
                <w:szCs w:val="21"/>
                <w:highlight w:val="none"/>
              </w:rPr>
            </w:pPr>
            <w:r>
              <w:rPr>
                <w:rFonts w:hint="eastAsia" w:ascii="宋体" w:hAnsi="宋体"/>
                <w:color w:val="auto"/>
                <w:szCs w:val="21"/>
                <w:highlight w:val="none"/>
              </w:rPr>
              <w:t>联合体投标的须提供以下资料：</w:t>
            </w:r>
          </w:p>
          <w:p>
            <w:pPr>
              <w:spacing w:line="400" w:lineRule="exact"/>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A4.</w:t>
            </w:r>
            <w:r>
              <w:rPr>
                <w:rFonts w:hint="eastAsia" w:ascii="宋体" w:hAnsi="宋体" w:eastAsia="宋体" w:cs="Times New Roman"/>
                <w:color w:val="auto"/>
                <w:szCs w:val="21"/>
                <w:highlight w:val="none"/>
              </w:rPr>
              <w:t>提供“联合投标协议书”（格式见附件）</w:t>
            </w:r>
            <w:r>
              <w:rPr>
                <w:rFonts w:hint="eastAsia" w:ascii="宋体" w:hAnsi="宋体" w:eastAsia="宋体" w:cs="Times New Roman"/>
                <w:color w:val="auto"/>
                <w:szCs w:val="21"/>
                <w:highlight w:val="none"/>
                <w:lang w:eastAsia="zh-CN"/>
              </w:rPr>
              <w:t>；</w:t>
            </w:r>
          </w:p>
          <w:p>
            <w:pPr>
              <w:spacing w:line="400" w:lineRule="exact"/>
              <w:jc w:val="left"/>
              <w:rPr>
                <w:rFonts w:hint="eastAsia"/>
                <w:color w:val="auto"/>
                <w:highlight w:val="none"/>
                <w:lang w:eastAsia="zh-CN"/>
              </w:rPr>
            </w:pPr>
            <w:r>
              <w:rPr>
                <w:rFonts w:hint="eastAsia" w:ascii="宋体" w:hAnsi="宋体" w:eastAsia="宋体" w:cs="Times New Roman"/>
                <w:color w:val="auto"/>
                <w:szCs w:val="21"/>
                <w:highlight w:val="none"/>
                <w:lang w:val="en-US" w:eastAsia="zh-CN"/>
              </w:rPr>
              <w:t>A5.</w:t>
            </w:r>
            <w:r>
              <w:rPr>
                <w:rFonts w:hint="eastAsia" w:ascii="宋体" w:hAnsi="宋体" w:eastAsia="宋体" w:cs="Times New Roman"/>
                <w:color w:val="auto"/>
                <w:szCs w:val="21"/>
                <w:highlight w:val="none"/>
              </w:rPr>
              <w:t>提供“联合投标授权委托书”（格式见附件）。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42" w:type="dxa"/>
            <w:gridSpan w:val="2"/>
            <w:vAlign w:val="center"/>
          </w:tcPr>
          <w:p>
            <w:pPr>
              <w:spacing w:line="400" w:lineRule="exact"/>
              <w:jc w:val="center"/>
              <w:rPr>
                <w:rFonts w:ascii="宋体" w:hAnsi="宋体"/>
                <w:color w:val="auto"/>
                <w:highlight w:val="none"/>
              </w:rPr>
            </w:pPr>
            <w:r>
              <w:rPr>
                <w:rFonts w:hint="eastAsia" w:ascii="宋体" w:hAnsi="宋体"/>
                <w:b/>
                <w:color w:val="auto"/>
                <w:szCs w:val="21"/>
                <w:highlight w:val="none"/>
              </w:rPr>
              <w:t>资格性审查结论</w:t>
            </w:r>
          </w:p>
        </w:tc>
        <w:tc>
          <w:tcPr>
            <w:tcW w:w="4846" w:type="dxa"/>
            <w:vAlign w:val="center"/>
          </w:tcPr>
          <w:p>
            <w:pPr>
              <w:spacing w:line="400" w:lineRule="exact"/>
              <w:jc w:val="center"/>
              <w:rPr>
                <w:rFonts w:ascii="宋体" w:hAnsi="宋体"/>
                <w:color w:val="auto"/>
                <w:szCs w:val="21"/>
                <w:highlight w:val="none"/>
              </w:rPr>
            </w:pPr>
          </w:p>
        </w:tc>
      </w:tr>
    </w:tbl>
    <w:p>
      <w:pPr>
        <w:spacing w:line="340" w:lineRule="exact"/>
        <w:rPr>
          <w:rFonts w:ascii="宋体" w:hAnsi="宋体"/>
          <w:b/>
          <w:color w:val="auto"/>
          <w:highlight w:val="none"/>
        </w:rPr>
      </w:pPr>
      <w:r>
        <w:rPr>
          <w:rFonts w:hint="eastAsia" w:ascii="宋体" w:hAnsi="宋体"/>
          <w:b/>
          <w:color w:val="auto"/>
          <w:highlight w:val="none"/>
        </w:rPr>
        <w:t>注：1、上述资格证明文件未按招标文件要求附入投标文件中的，资格性审查不合格。</w:t>
      </w:r>
    </w:p>
    <w:p>
      <w:pPr>
        <w:spacing w:line="340" w:lineRule="exact"/>
        <w:ind w:firstLine="422" w:firstLineChars="200"/>
        <w:rPr>
          <w:rFonts w:ascii="宋体" w:hAnsi="宋体"/>
          <w:b/>
          <w:color w:val="auto"/>
          <w:highlight w:val="none"/>
        </w:rPr>
      </w:pPr>
      <w:r>
        <w:rPr>
          <w:rFonts w:hint="eastAsia" w:ascii="宋体" w:hAnsi="宋体"/>
          <w:b/>
          <w:color w:val="auto"/>
          <w:highlight w:val="none"/>
        </w:rPr>
        <w:t>2、上述审查项目中，任意一项不符合的，资格性审查不合格。</w:t>
      </w:r>
    </w:p>
    <w:p>
      <w:pPr>
        <w:spacing w:line="340" w:lineRule="exact"/>
        <w:ind w:firstLine="422" w:firstLineChars="200"/>
        <w:rPr>
          <w:rFonts w:ascii="宋体" w:hAnsi="宋体"/>
          <w:b/>
          <w:color w:val="auto"/>
          <w:highlight w:val="none"/>
        </w:rPr>
      </w:pPr>
      <w:r>
        <w:rPr>
          <w:rFonts w:hint="eastAsia" w:ascii="宋体" w:hAnsi="宋体"/>
          <w:b/>
          <w:color w:val="auto"/>
          <w:highlight w:val="none"/>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ind w:firstLine="422" w:firstLineChars="200"/>
        <w:rPr>
          <w:rFonts w:ascii="宋体" w:hAnsi="宋体"/>
          <w:b/>
          <w:color w:val="auto"/>
          <w:highlight w:val="none"/>
        </w:rPr>
      </w:pPr>
      <w:r>
        <w:rPr>
          <w:rFonts w:hint="eastAsia" w:ascii="宋体" w:hAnsi="宋体"/>
          <w:b/>
          <w:color w:val="auto"/>
          <w:highlight w:val="none"/>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b/>
          <w:bCs/>
          <w:color w:val="auto"/>
          <w:sz w:val="22"/>
          <w:szCs w:val="22"/>
          <w:highlight w:val="none"/>
        </w:rPr>
        <w:t>附表</w:t>
      </w:r>
      <w:r>
        <w:rPr>
          <w:rFonts w:ascii="宋体" w:hAnsi="宋体"/>
          <w:b/>
          <w:bCs/>
          <w:color w:val="auto"/>
          <w:sz w:val="22"/>
          <w:szCs w:val="22"/>
          <w:highlight w:val="none"/>
        </w:rPr>
        <w:t>2</w:t>
      </w:r>
      <w:r>
        <w:rPr>
          <w:rFonts w:hint="eastAsia" w:ascii="宋体" w:hAnsi="宋体"/>
          <w:b/>
          <w:bCs/>
          <w:color w:val="auto"/>
          <w:sz w:val="22"/>
          <w:szCs w:val="22"/>
          <w:highlight w:val="none"/>
        </w:rPr>
        <w:t>：</w:t>
      </w:r>
    </w:p>
    <w:p>
      <w:pPr>
        <w:widowControl/>
        <w:snapToGrid w:val="0"/>
        <w:spacing w:line="560" w:lineRule="exact"/>
        <w:jc w:val="center"/>
        <w:rPr>
          <w:rFonts w:ascii="宋体" w:hAnsi="宋体"/>
          <w:b/>
          <w:color w:val="auto"/>
          <w:szCs w:val="21"/>
          <w:highlight w:val="none"/>
        </w:rPr>
      </w:pPr>
      <w:r>
        <w:rPr>
          <w:rFonts w:hint="eastAsia" w:ascii="宋体" w:hAnsi="宋体"/>
          <w:b/>
          <w:color w:val="auto"/>
          <w:szCs w:val="21"/>
          <w:highlight w:val="none"/>
        </w:rPr>
        <w:t>符合性审查表</w:t>
      </w:r>
    </w:p>
    <w:tbl>
      <w:tblPr>
        <w:tblStyle w:val="4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7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4378"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4522"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2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投标有效期：符合第</w:t>
            </w:r>
            <w:r>
              <w:rPr>
                <w:rFonts w:hint="eastAsia" w:ascii="宋体" w:hAnsi="宋体"/>
                <w:color w:val="auto"/>
                <w:szCs w:val="21"/>
                <w:highlight w:val="none"/>
                <w:lang w:val="en-US" w:eastAsia="zh-CN"/>
              </w:rPr>
              <w:t>三</w:t>
            </w:r>
            <w:r>
              <w:rPr>
                <w:rFonts w:hint="eastAsia" w:ascii="宋体" w:hAnsi="宋体"/>
                <w:color w:val="auto"/>
                <w:szCs w:val="21"/>
                <w:highlight w:val="none"/>
              </w:rPr>
              <w:t>章“投标须知”第</w:t>
            </w:r>
            <w:r>
              <w:rPr>
                <w:rFonts w:hint="eastAsia" w:ascii="宋体" w:hAnsi="宋体"/>
                <w:color w:val="auto"/>
                <w:szCs w:val="21"/>
                <w:highlight w:val="none"/>
                <w:lang w:val="en-US" w:eastAsia="zh-CN"/>
              </w:rPr>
              <w:t>七</w:t>
            </w: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条的要求。</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提供“投标书”</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2</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法定代表人身份证明、法定代表人授权书。（非联合体投标须提供）。</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（1）投标文件由法定代表人签字的，提供“法定代表人身份证明”</w:t>
            </w:r>
            <w:r>
              <w:rPr>
                <w:rFonts w:hint="eastAsia" w:ascii="宋体" w:hAnsi="宋体" w:cs="宋体"/>
                <w:color w:val="auto"/>
                <w:szCs w:val="21"/>
                <w:highlight w:val="none"/>
              </w:rPr>
              <w:t>。</w:t>
            </w:r>
          </w:p>
          <w:p>
            <w:pPr>
              <w:snapToGrid w:val="0"/>
              <w:spacing w:line="360" w:lineRule="exact"/>
              <w:rPr>
                <w:rFonts w:ascii="宋体" w:hAnsi="宋体"/>
                <w:color w:val="auto"/>
                <w:szCs w:val="21"/>
                <w:highlight w:val="none"/>
              </w:rPr>
            </w:pPr>
            <w:r>
              <w:rPr>
                <w:rFonts w:hint="eastAsia" w:ascii="宋体" w:hAnsi="宋体"/>
                <w:color w:val="auto"/>
                <w:szCs w:val="21"/>
                <w:highlight w:val="none"/>
              </w:rPr>
              <w:t>（2）投标文件由授权代表签字的，提供“法定代表人身份证明”和“法定代表人授权书”。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符合</w:t>
            </w:r>
            <w:r>
              <w:rPr>
                <w:rFonts w:hint="eastAsia" w:ascii="宋体" w:hAnsi="宋体"/>
                <w:color w:val="auto"/>
                <w:szCs w:val="21"/>
                <w:highlight w:val="none"/>
                <w:lang w:eastAsia="zh-CN"/>
              </w:rPr>
              <w:t>第三章</w:t>
            </w:r>
            <w:r>
              <w:rPr>
                <w:rFonts w:hint="eastAsia" w:ascii="宋体" w:hAnsi="宋体"/>
                <w:color w:val="auto"/>
                <w:szCs w:val="21"/>
                <w:highlight w:val="none"/>
              </w:rPr>
              <w:t>“投标须知”第</w:t>
            </w:r>
            <w:r>
              <w:rPr>
                <w:rFonts w:hint="eastAsia" w:ascii="宋体" w:hAnsi="宋体"/>
                <w:color w:val="auto"/>
                <w:szCs w:val="21"/>
                <w:highlight w:val="none"/>
                <w:lang w:val="en-US" w:eastAsia="zh-CN"/>
              </w:rPr>
              <w:t>十</w:t>
            </w:r>
            <w:r>
              <w:rPr>
                <w:rFonts w:hint="eastAsia" w:ascii="宋体" w:hAnsi="宋体"/>
                <w:color w:val="auto"/>
                <w:szCs w:val="21"/>
                <w:highlight w:val="none"/>
              </w:rPr>
              <w:t>条的要求。</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商务和技术文件中不得出现涉及投标价格的内容。</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5</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对同个标项不允许提供两个投标方案。</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6</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供应商不得在投标活动中提供任何虚假材料或从事其他违法活动的。</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评标委员会经过审查，认定供应商虚假应标、串通投标的，有下列情形之一的，视为供应商串通投标：</w:t>
            </w:r>
          </w:p>
          <w:p>
            <w:pPr>
              <w:widowControl/>
              <w:snapToGrid w:val="0"/>
              <w:spacing w:line="36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）不同供应商的投标文件由同一单位或者个人编制；</w:t>
            </w:r>
          </w:p>
          <w:p>
            <w:pPr>
              <w:widowControl/>
              <w:snapToGrid w:val="0"/>
              <w:spacing w:line="36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）不同供应商委托同一单位或者个人办理投标事宜；</w:t>
            </w:r>
          </w:p>
          <w:p>
            <w:pPr>
              <w:widowControl/>
              <w:snapToGrid w:val="0"/>
              <w:spacing w:line="36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）不同供应商的投标文件载明的项目管理成员或者联系人员为同一人；</w:t>
            </w:r>
          </w:p>
          <w:p>
            <w:pPr>
              <w:widowControl/>
              <w:snapToGrid w:val="0"/>
              <w:spacing w:line="36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）不同供应商的投标文件异常一致或者投标报价呈规律性差异；</w:t>
            </w:r>
          </w:p>
          <w:p>
            <w:pPr>
              <w:widowControl/>
              <w:snapToGrid w:val="0"/>
              <w:spacing w:line="360" w:lineRule="exact"/>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）不同供应商的投标文件相互混装。</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w:t>
            </w:r>
          </w:p>
        </w:tc>
        <w:tc>
          <w:tcPr>
            <w:tcW w:w="4378"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符合法律、法规和招标文件中规定的其他实质性要求（实质性要求招标文件中“</w:t>
            </w:r>
            <w:r>
              <w:rPr>
                <w:rFonts w:hint="eastAsia" w:ascii="宋体" w:hAnsi="宋体"/>
                <w:b/>
                <w:color w:val="auto"/>
                <w:sz w:val="24"/>
                <w:highlight w:val="none"/>
              </w:rPr>
              <w:t>★</w:t>
            </w:r>
            <w:r>
              <w:rPr>
                <w:rFonts w:hint="eastAsia" w:ascii="宋体" w:hAnsi="宋体"/>
                <w:color w:val="auto"/>
                <w:szCs w:val="21"/>
                <w:highlight w:val="none"/>
              </w:rPr>
              <w:t>”标记）。</w:t>
            </w:r>
          </w:p>
        </w:tc>
        <w:tc>
          <w:tcPr>
            <w:tcW w:w="4522" w:type="dxa"/>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98" w:type="dxa"/>
            <w:gridSpan w:val="2"/>
            <w:vAlign w:val="center"/>
          </w:tcPr>
          <w:p>
            <w:pPr>
              <w:spacing w:line="400" w:lineRule="exact"/>
              <w:jc w:val="center"/>
              <w:rPr>
                <w:rFonts w:ascii="宋体" w:hAnsi="宋体"/>
                <w:color w:val="auto"/>
                <w:szCs w:val="21"/>
                <w:highlight w:val="none"/>
              </w:rPr>
            </w:pPr>
            <w:r>
              <w:rPr>
                <w:rFonts w:hint="eastAsia" w:ascii="宋体" w:hAnsi="宋体"/>
                <w:b/>
                <w:color w:val="auto"/>
                <w:szCs w:val="21"/>
                <w:highlight w:val="none"/>
              </w:rPr>
              <w:t>符合性审查结论</w:t>
            </w:r>
          </w:p>
        </w:tc>
        <w:tc>
          <w:tcPr>
            <w:tcW w:w="4522" w:type="dxa"/>
            <w:vAlign w:val="center"/>
          </w:tcPr>
          <w:p>
            <w:pPr>
              <w:spacing w:line="400" w:lineRule="exact"/>
              <w:rPr>
                <w:rFonts w:ascii="宋体" w:hAnsi="宋体"/>
                <w:color w:val="auto"/>
                <w:szCs w:val="21"/>
                <w:highlight w:val="none"/>
              </w:rPr>
            </w:pPr>
          </w:p>
        </w:tc>
      </w:tr>
    </w:tbl>
    <w:p>
      <w:pPr>
        <w:spacing w:line="400" w:lineRule="exact"/>
        <w:rPr>
          <w:rFonts w:ascii="宋体" w:hAnsi="宋体"/>
          <w:b/>
          <w:color w:val="auto"/>
          <w:highlight w:val="none"/>
        </w:rPr>
      </w:pPr>
      <w:r>
        <w:rPr>
          <w:rFonts w:hint="eastAsia" w:ascii="宋体" w:hAnsi="宋体"/>
          <w:b/>
          <w:color w:val="auto"/>
          <w:highlight w:val="none"/>
        </w:rPr>
        <w:t>注：</w:t>
      </w:r>
      <w:r>
        <w:rPr>
          <w:rFonts w:hint="eastAsia" w:ascii="宋体" w:hAnsi="宋体"/>
          <w:b/>
          <w:color w:val="auto"/>
          <w:highlight w:val="none"/>
          <w:lang w:val="en-US" w:eastAsia="zh-CN"/>
        </w:rPr>
        <w:t>1、</w:t>
      </w:r>
      <w:r>
        <w:rPr>
          <w:rFonts w:hint="eastAsia" w:ascii="宋体" w:hAnsi="宋体"/>
          <w:b/>
          <w:color w:val="auto"/>
          <w:highlight w:val="none"/>
        </w:rPr>
        <w:t>上述审查项目中，任意一项不符合的，符合性审查不合格。</w:t>
      </w:r>
    </w:p>
    <w:p>
      <w:pPr>
        <w:spacing w:line="400" w:lineRule="exact"/>
        <w:rPr>
          <w:rFonts w:ascii="宋体" w:hAnsi="宋体"/>
          <w:color w:val="auto"/>
          <w:szCs w:val="21"/>
          <w:highlight w:val="none"/>
        </w:rPr>
      </w:pPr>
      <w:r>
        <w:rPr>
          <w:rFonts w:ascii="宋体" w:hAnsi="宋体"/>
          <w:b/>
          <w:color w:val="auto"/>
          <w:highlight w:val="none"/>
        </w:rPr>
        <w:t xml:space="preserve"> </w:t>
      </w:r>
      <w:r>
        <w:rPr>
          <w:rFonts w:hint="eastAsia" w:ascii="宋体" w:hAnsi="宋体"/>
          <w:b/>
          <w:color w:val="auto"/>
          <w:highlight w:val="none"/>
        </w:rPr>
        <w:t xml:space="preserve">  2、序号3-序号</w:t>
      </w:r>
      <w:r>
        <w:rPr>
          <w:rFonts w:hint="eastAsia" w:ascii="宋体" w:hAnsi="宋体"/>
          <w:b/>
          <w:color w:val="auto"/>
          <w:highlight w:val="none"/>
          <w:lang w:val="en-US" w:eastAsia="zh-CN"/>
        </w:rPr>
        <w:t>8</w:t>
      </w:r>
      <w:r>
        <w:rPr>
          <w:rFonts w:hint="eastAsia" w:ascii="宋体" w:hAnsi="宋体"/>
          <w:b/>
          <w:color w:val="auto"/>
          <w:highlight w:val="none"/>
        </w:rPr>
        <w:t>在政采云上无须添加关联点。</w:t>
      </w:r>
    </w:p>
    <w:p>
      <w:pP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b/>
          <w:bCs/>
          <w:color w:val="auto"/>
          <w:sz w:val="22"/>
          <w:szCs w:val="22"/>
          <w:highlight w:val="none"/>
        </w:rPr>
        <w:t>附表</w:t>
      </w:r>
      <w:r>
        <w:rPr>
          <w:rFonts w:ascii="宋体" w:hAnsi="宋体"/>
          <w:b/>
          <w:bCs/>
          <w:color w:val="auto"/>
          <w:sz w:val="22"/>
          <w:szCs w:val="22"/>
          <w:highlight w:val="none"/>
        </w:rPr>
        <w:t>3</w:t>
      </w:r>
      <w:r>
        <w:rPr>
          <w:rFonts w:hint="eastAsia" w:ascii="宋体" w:hAnsi="宋体"/>
          <w:b/>
          <w:bCs/>
          <w:color w:val="auto"/>
          <w:sz w:val="22"/>
          <w:szCs w:val="22"/>
          <w:highlight w:val="none"/>
        </w:rPr>
        <w:t>：</w:t>
      </w:r>
    </w:p>
    <w:p>
      <w:pPr>
        <w:spacing w:line="400" w:lineRule="exact"/>
        <w:jc w:val="center"/>
        <w:rPr>
          <w:rFonts w:ascii="宋体" w:hAnsi="宋体"/>
          <w:color w:val="auto"/>
          <w:szCs w:val="21"/>
          <w:highlight w:val="none"/>
        </w:rPr>
      </w:pPr>
      <w:r>
        <w:rPr>
          <w:rFonts w:hint="eastAsia" w:ascii="宋体" w:hAnsi="宋体"/>
          <w:b/>
          <w:color w:val="auto"/>
          <w:szCs w:val="21"/>
          <w:highlight w:val="none"/>
        </w:rPr>
        <w:t>商务和技术评分表</w:t>
      </w:r>
    </w:p>
    <w:p>
      <w:pPr>
        <w:widowControl/>
        <w:spacing w:line="400" w:lineRule="exact"/>
        <w:jc w:val="left"/>
        <w:rPr>
          <w:rFonts w:hint="eastAsia" w:ascii="宋体" w:hAnsi="宋体"/>
          <w:b/>
          <w:color w:val="auto"/>
          <w:szCs w:val="21"/>
          <w:highlight w:val="none"/>
        </w:rPr>
      </w:pPr>
      <w:r>
        <w:rPr>
          <w:rFonts w:hint="eastAsia" w:ascii="宋体" w:hAnsi="宋体"/>
          <w:b/>
          <w:color w:val="auto"/>
          <w:szCs w:val="21"/>
          <w:highlight w:val="none"/>
        </w:rPr>
        <w:t>项目编号：</w:t>
      </w:r>
    </w:p>
    <w:tbl>
      <w:tblPr>
        <w:tblStyle w:val="47"/>
        <w:tblW w:w="5505" w:type="pct"/>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768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5000" w:type="pct"/>
            <w:gridSpan w:val="3"/>
            <w:tcBorders>
              <w:top w:val="single" w:color="auto" w:sz="4" w:space="0"/>
              <w:left w:val="single" w:color="auto" w:sz="4" w:space="0"/>
              <w:bottom w:val="single" w:color="auto" w:sz="4" w:space="0"/>
              <w:right w:val="single" w:color="auto" w:sz="4" w:space="0"/>
              <w:tl2br w:val="nil"/>
              <w:tr2bl w:val="nil"/>
            </w:tcBorders>
          </w:tcPr>
          <w:p>
            <w:pPr>
              <w:rPr>
                <w:color w:val="auto"/>
                <w:highlight w:val="none"/>
              </w:rPr>
            </w:pPr>
            <w:r>
              <w:rPr>
                <w:rFonts w:hint="eastAsia"/>
                <w:color w:val="auto"/>
                <w:highlight w:val="none"/>
              </w:rPr>
              <w:t>投标供应商得分</w:t>
            </w:r>
          </w:p>
          <w:p>
            <w:pPr>
              <w:jc w:val="right"/>
              <w:rPr>
                <w:color w:val="auto"/>
                <w:highlight w:val="none"/>
                <w:lang w:val="ru-RU"/>
              </w:rPr>
            </w:pPr>
            <w:r>
              <w:rPr>
                <w:rFonts w:hint="eastAsia"/>
                <w:color w:val="auto"/>
                <w:highlight w:val="none"/>
              </w:rPr>
              <w:t>评分内容及分值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4557" w:type="pct"/>
            <w:gridSpan w:val="2"/>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评分内容</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lang w:val="ru-RU"/>
              </w:rPr>
            </w:pPr>
            <w:r>
              <w:rPr>
                <w:rFonts w:hint="eastAsia"/>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64" w:type="pct"/>
            <w:vMerge w:val="restart"/>
            <w:tcBorders>
              <w:top w:val="single" w:color="auto" w:sz="4" w:space="0"/>
              <w:left w:val="single" w:color="auto" w:sz="4" w:space="0"/>
              <w:right w:val="single" w:color="auto" w:sz="4" w:space="0"/>
              <w:tl2br w:val="nil"/>
              <w:tr2bl w:val="nil"/>
            </w:tcBorders>
            <w:vAlign w:val="center"/>
          </w:tcPr>
          <w:p>
            <w:pPr>
              <w:rPr>
                <w:color w:val="auto"/>
                <w:highlight w:val="none"/>
              </w:rPr>
            </w:pPr>
            <w:r>
              <w:rPr>
                <w:rFonts w:hint="eastAsia"/>
                <w:color w:val="auto"/>
                <w:highlight w:val="none"/>
              </w:rPr>
              <w:t>商务技术分</w:t>
            </w:r>
          </w:p>
          <w:p>
            <w:pPr>
              <w:rPr>
                <w:color w:val="auto"/>
                <w:highlight w:val="none"/>
              </w:rPr>
            </w:pPr>
            <w:r>
              <w:rPr>
                <w:rFonts w:hint="eastAsia"/>
                <w:color w:val="auto"/>
                <w:highlight w:val="none"/>
              </w:rPr>
              <w:t>（85分）</w:t>
            </w:r>
          </w:p>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项目业绩：</w:t>
            </w:r>
          </w:p>
          <w:p>
            <w:pPr>
              <w:rPr>
                <w:color w:val="auto"/>
                <w:highlight w:val="none"/>
                <w:lang w:val="zh-TW"/>
              </w:rPr>
            </w:pPr>
            <w:r>
              <w:rPr>
                <w:rFonts w:hint="eastAsia"/>
                <w:color w:val="auto"/>
                <w:highlight w:val="none"/>
                <w:lang w:val="zh-TW"/>
              </w:rPr>
              <w:t>投标人20</w:t>
            </w:r>
            <w:r>
              <w:rPr>
                <w:rFonts w:hint="eastAsia"/>
                <w:color w:val="auto"/>
                <w:highlight w:val="none"/>
              </w:rPr>
              <w:t>21</w:t>
            </w:r>
            <w:r>
              <w:rPr>
                <w:rFonts w:hint="eastAsia"/>
                <w:color w:val="auto"/>
                <w:highlight w:val="none"/>
                <w:lang w:val="zh-TW"/>
              </w:rPr>
              <w:t>年1月1日以来（以合同签订日期为准）</w:t>
            </w:r>
            <w:r>
              <w:rPr>
                <w:rFonts w:cs="宋体"/>
                <w:color w:val="auto"/>
                <w:szCs w:val="24"/>
                <w:highlight w:val="none"/>
                <w:lang w:val="zh-TW"/>
              </w:rPr>
              <w:t>承担过控制性详细规划</w:t>
            </w:r>
            <w:r>
              <w:rPr>
                <w:rFonts w:cs="宋体"/>
                <w:color w:val="auto"/>
                <w:szCs w:val="24"/>
                <w:highlight w:val="none"/>
              </w:rPr>
              <w:t>类</w:t>
            </w:r>
            <w:r>
              <w:rPr>
                <w:rFonts w:hint="eastAsia"/>
                <w:color w:val="auto"/>
                <w:highlight w:val="none"/>
              </w:rPr>
              <w:t>项目</w:t>
            </w:r>
            <w:r>
              <w:rPr>
                <w:rFonts w:hint="eastAsia"/>
                <w:color w:val="auto"/>
                <w:highlight w:val="none"/>
                <w:lang w:val="zh-TW"/>
              </w:rPr>
              <w:t>的每个得</w:t>
            </w:r>
            <w:r>
              <w:rPr>
                <w:rFonts w:hint="eastAsia"/>
                <w:color w:val="auto"/>
                <w:highlight w:val="none"/>
              </w:rPr>
              <w:t>0.5</w:t>
            </w:r>
            <w:r>
              <w:rPr>
                <w:rFonts w:hint="eastAsia"/>
                <w:color w:val="auto"/>
                <w:highlight w:val="none"/>
                <w:lang w:val="zh-TW"/>
              </w:rPr>
              <w:t>分，该项最高得分为</w:t>
            </w:r>
            <w:r>
              <w:rPr>
                <w:rFonts w:hint="eastAsia"/>
                <w:color w:val="auto"/>
                <w:highlight w:val="none"/>
              </w:rPr>
              <w:t>1.5</w:t>
            </w:r>
            <w:r>
              <w:rPr>
                <w:rFonts w:hint="eastAsia"/>
                <w:color w:val="auto"/>
                <w:highlight w:val="none"/>
                <w:lang w:val="zh-TW"/>
              </w:rPr>
              <w:t>分。</w:t>
            </w:r>
          </w:p>
          <w:p>
            <w:pPr>
              <w:rPr>
                <w:color w:val="auto"/>
                <w:highlight w:val="none"/>
              </w:rPr>
            </w:pPr>
            <w:r>
              <w:rPr>
                <w:rFonts w:hint="eastAsia"/>
                <w:color w:val="auto"/>
                <w:highlight w:val="none"/>
              </w:rPr>
              <w:t>证明材料：1）提供项目合同扫描件加盖有效公章；注：提供的证明材料需能体现相关评审因素，</w:t>
            </w:r>
            <w:r>
              <w:rPr>
                <w:rFonts w:hint="eastAsia"/>
                <w:color w:val="auto"/>
                <w:highlight w:val="none"/>
                <w:lang w:val="zh-TW"/>
              </w:rPr>
              <w:t>业绩如为联合体形式的，联合体任一方提供均认可。</w:t>
            </w:r>
            <w:r>
              <w:rPr>
                <w:rFonts w:hint="eastAsia"/>
                <w:color w:val="auto"/>
                <w:highlight w:val="none"/>
              </w:rPr>
              <w:t>不提供或者不能提供有效证明的，不得分。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8"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项目负责人：</w:t>
            </w:r>
          </w:p>
          <w:p>
            <w:pPr>
              <w:rPr>
                <w:color w:val="auto"/>
                <w:highlight w:val="none"/>
              </w:rPr>
            </w:pPr>
            <w:r>
              <w:rPr>
                <w:color w:val="auto"/>
                <w:highlight w:val="none"/>
              </w:rPr>
              <w:t>1、项目负责人具有土地管理或城乡规划专业正高级技术职称，并具有</w:t>
            </w:r>
            <w:r>
              <w:rPr>
                <w:rFonts w:hint="eastAsia" w:cs="宋体"/>
                <w:color w:val="auto"/>
                <w:sz w:val="20"/>
                <w:highlight w:val="none"/>
              </w:rPr>
              <w:t>注册城市（城乡）规划师</w:t>
            </w:r>
            <w:r>
              <w:rPr>
                <w:color w:val="auto"/>
                <w:highlight w:val="none"/>
              </w:rPr>
              <w:t>证书的，得2分；具备土地管理或城乡规划专业高级工程师职称，并具</w:t>
            </w:r>
            <w:r>
              <w:rPr>
                <w:rFonts w:hint="eastAsia"/>
                <w:color w:val="auto"/>
                <w:highlight w:val="none"/>
              </w:rPr>
              <w:t>有</w:t>
            </w:r>
            <w:r>
              <w:rPr>
                <w:rFonts w:hint="eastAsia" w:cs="宋体"/>
                <w:color w:val="auto"/>
                <w:sz w:val="20"/>
                <w:highlight w:val="none"/>
              </w:rPr>
              <w:t>注册城市（城乡）规划师</w:t>
            </w:r>
            <w:r>
              <w:rPr>
                <w:color w:val="auto"/>
                <w:highlight w:val="none"/>
              </w:rPr>
              <w:t>证书的，得1分，以最高的职称计分，不重复计分，</w:t>
            </w:r>
            <w:r>
              <w:rPr>
                <w:rFonts w:cs="宋体"/>
                <w:color w:val="auto"/>
                <w:highlight w:val="none"/>
              </w:rPr>
              <w:t>若为联合体投标，联合体任一方提供均认可</w:t>
            </w:r>
            <w:r>
              <w:rPr>
                <w:color w:val="auto"/>
                <w:highlight w:val="none"/>
              </w:rPr>
              <w:t>。</w:t>
            </w:r>
          </w:p>
          <w:p>
            <w:pPr>
              <w:rPr>
                <w:color w:val="auto"/>
                <w:highlight w:val="none"/>
              </w:rPr>
            </w:pPr>
            <w:r>
              <w:rPr>
                <w:color w:val="auto"/>
                <w:highlight w:val="none"/>
              </w:rPr>
              <w:t>2、项目负责人具有省级及以上人民政府部门颁发的本项目行业相关的荣誉证书的得</w:t>
            </w:r>
            <w:r>
              <w:rPr>
                <w:rFonts w:hint="eastAsia"/>
                <w:color w:val="auto"/>
                <w:highlight w:val="none"/>
              </w:rPr>
              <w:t>3</w:t>
            </w:r>
            <w:r>
              <w:rPr>
                <w:color w:val="auto"/>
                <w:highlight w:val="none"/>
              </w:rPr>
              <w:t>分。</w:t>
            </w:r>
          </w:p>
          <w:p>
            <w:pPr>
              <w:rPr>
                <w:color w:val="auto"/>
                <w:highlight w:val="none"/>
              </w:rPr>
            </w:pPr>
            <w:r>
              <w:rPr>
                <w:rFonts w:hint="eastAsia"/>
                <w:color w:val="auto"/>
                <w:highlight w:val="none"/>
                <w:lang w:val="zh-TW"/>
              </w:rPr>
              <w:t>证明材料：提供相关人员证书扫描件及由本单位为其缴纳的</w:t>
            </w:r>
            <w:r>
              <w:rPr>
                <w:rFonts w:hint="eastAsia"/>
                <w:color w:val="auto"/>
                <w:highlight w:val="none"/>
              </w:rPr>
              <w:t>202</w:t>
            </w:r>
            <w:r>
              <w:rPr>
                <w:rFonts w:hint="eastAsia"/>
                <w:color w:val="auto"/>
                <w:highlight w:val="none"/>
                <w:lang w:val="en-US" w:eastAsia="zh-CN"/>
              </w:rPr>
              <w:t>4</w:t>
            </w:r>
            <w:r>
              <w:rPr>
                <w:rFonts w:hint="eastAsia"/>
                <w:color w:val="auto"/>
                <w:highlight w:val="none"/>
              </w:rPr>
              <w:t>年1月-2024年</w:t>
            </w:r>
            <w:r>
              <w:rPr>
                <w:rFonts w:hint="eastAsia"/>
                <w:color w:val="auto"/>
                <w:highlight w:val="none"/>
                <w:lang w:val="en-US" w:eastAsia="zh-CN"/>
              </w:rPr>
              <w:t>3</w:t>
            </w:r>
            <w:r>
              <w:rPr>
                <w:rFonts w:hint="eastAsia"/>
                <w:color w:val="auto"/>
                <w:highlight w:val="none"/>
              </w:rPr>
              <w:t>月</w:t>
            </w:r>
            <w:r>
              <w:rPr>
                <w:rFonts w:hint="eastAsia"/>
                <w:color w:val="auto"/>
                <w:highlight w:val="none"/>
                <w:lang w:val="zh-TW"/>
              </w:rPr>
              <w:t>内任意一个月的社保缴纳证明，加盖供应商公章，否则不得分。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项目团队（除项目负责人）：</w:t>
            </w:r>
          </w:p>
          <w:p>
            <w:pPr>
              <w:rPr>
                <w:color w:val="auto"/>
                <w:highlight w:val="none"/>
              </w:rPr>
            </w:pPr>
            <w:r>
              <w:rPr>
                <w:rFonts w:hint="eastAsia"/>
                <w:color w:val="auto"/>
                <w:highlight w:val="none"/>
              </w:rPr>
              <w:t>1、项目组除项目负责人外，</w:t>
            </w:r>
            <w:r>
              <w:rPr>
                <w:rFonts w:hint="eastAsia" w:eastAsia="宋体"/>
                <w:color w:val="auto"/>
                <w:highlight w:val="none"/>
              </w:rPr>
              <w:t>拟派项目组人员的总人数在6人及以上，</w:t>
            </w:r>
            <w:r>
              <w:rPr>
                <w:rFonts w:hint="eastAsia"/>
                <w:color w:val="auto"/>
                <w:highlight w:val="none"/>
              </w:rPr>
              <w:t>其他专业人员配置：具有城市（城乡）规划、土地管理、市政道路（桥梁）、给排水、风景园林、建筑设计相关专业人员，专业人员具备政府部门颁发的高级职称或以上的，每提供1个专业得0.5分，最高得3分。若为联合体投标，联合体任一方提供均认可。</w:t>
            </w:r>
          </w:p>
          <w:p>
            <w:pPr>
              <w:rPr>
                <w:color w:val="auto"/>
                <w:highlight w:val="none"/>
              </w:rPr>
            </w:pPr>
            <w:r>
              <w:rPr>
                <w:rFonts w:hint="eastAsia"/>
                <w:color w:val="auto"/>
                <w:highlight w:val="none"/>
              </w:rPr>
              <w:t>2、以上专业的人员中，具有正高级职称的，则每个专业加0.5分，最高加2分。（同一个人只能加一次）。若为联合体投标，联合体任一方提供均认可。</w:t>
            </w:r>
          </w:p>
          <w:p>
            <w:pPr>
              <w:rPr>
                <w:color w:val="auto"/>
                <w:highlight w:val="none"/>
                <w:lang w:val="zh-TW"/>
              </w:rPr>
            </w:pPr>
            <w:r>
              <w:rPr>
                <w:rFonts w:hint="eastAsia"/>
                <w:color w:val="auto"/>
                <w:highlight w:val="none"/>
                <w:lang w:val="zh-TW"/>
              </w:rPr>
              <w:t>证明材料：提供相关人员证书扫描件及由本单位为其缴纳的</w:t>
            </w:r>
            <w:r>
              <w:rPr>
                <w:rFonts w:hint="eastAsia"/>
                <w:color w:val="auto"/>
                <w:highlight w:val="none"/>
              </w:rPr>
              <w:t>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1</w:t>
            </w:r>
            <w:r>
              <w:rPr>
                <w:rFonts w:hint="eastAsia"/>
                <w:color w:val="auto"/>
                <w:highlight w:val="none"/>
              </w:rPr>
              <w:t>月-2024年</w:t>
            </w:r>
            <w:r>
              <w:rPr>
                <w:rFonts w:hint="eastAsia"/>
                <w:color w:val="auto"/>
                <w:highlight w:val="none"/>
                <w:lang w:val="en-US" w:eastAsia="zh-CN"/>
              </w:rPr>
              <w:t>3</w:t>
            </w:r>
            <w:r>
              <w:rPr>
                <w:rFonts w:hint="eastAsia"/>
                <w:color w:val="auto"/>
                <w:highlight w:val="none"/>
              </w:rPr>
              <w:t>月</w:t>
            </w:r>
            <w:r>
              <w:rPr>
                <w:rFonts w:hint="eastAsia"/>
                <w:color w:val="auto"/>
                <w:highlight w:val="none"/>
                <w:lang w:val="zh-TW"/>
              </w:rPr>
              <w:t>内任意一个月的社保缴纳证明，加盖供应商公章，否则不得分。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体系认证：</w:t>
            </w:r>
          </w:p>
          <w:p>
            <w:pPr>
              <w:rPr>
                <w:color w:val="auto"/>
                <w:highlight w:val="none"/>
              </w:rPr>
            </w:pPr>
            <w:r>
              <w:rPr>
                <w:rFonts w:hint="eastAsia" w:ascii="宋体" w:hAnsi="宋体" w:cs="宋体"/>
                <w:color w:val="auto"/>
                <w:szCs w:val="21"/>
                <w:highlight w:val="none"/>
                <w:lang w:val="en-US" w:eastAsia="zh-CN"/>
              </w:rPr>
              <w:t>供应商</w:t>
            </w:r>
            <w:r>
              <w:rPr>
                <w:rFonts w:ascii="宋体" w:hAnsi="宋体" w:cs="宋体"/>
                <w:color w:val="auto"/>
                <w:szCs w:val="24"/>
                <w:highlight w:val="none"/>
                <w:lang w:val="zh-TW"/>
              </w:rPr>
              <w:t>具有</w:t>
            </w:r>
            <w:r>
              <w:rPr>
                <w:rFonts w:ascii="宋体" w:hAnsi="宋体" w:cs="仿宋_GB2312"/>
                <w:color w:val="auto"/>
                <w:szCs w:val="21"/>
                <w:highlight w:val="none"/>
              </w:rPr>
              <w:t>信息安全管理体系认证(需有CNAS标识)</w:t>
            </w:r>
            <w:r>
              <w:rPr>
                <w:rFonts w:ascii="宋体" w:hAnsi="宋体" w:cs="宋体"/>
                <w:color w:val="auto"/>
                <w:szCs w:val="24"/>
                <w:highlight w:val="none"/>
                <w:lang w:val="zh-TW"/>
              </w:rPr>
              <w:t>并在有效期内的（证书认证的范围至少包含规划设计）</w:t>
            </w:r>
            <w:r>
              <w:rPr>
                <w:rFonts w:hint="eastAsia"/>
                <w:color w:val="auto"/>
                <w:highlight w:val="none"/>
              </w:rPr>
              <w:t>得2分。若为联合体投标，联合体任一方提供均认可。</w:t>
            </w:r>
          </w:p>
          <w:p>
            <w:pPr>
              <w:rPr>
                <w:b/>
                <w:color w:val="auto"/>
                <w:highlight w:val="none"/>
              </w:rPr>
            </w:pPr>
            <w:r>
              <w:rPr>
                <w:rFonts w:hint="eastAsia"/>
                <w:color w:val="auto"/>
                <w:highlight w:val="none"/>
              </w:rPr>
              <w:t>注：提供证书原件扫描件或复印件加盖公章，且以上认证必须在开标当天经“全国认证认可信息公共服务平台 http://cx.cnca.cn/” 查询证书状态为“有效”。</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供应商资质：</w:t>
            </w:r>
          </w:p>
          <w:p>
            <w:pPr>
              <w:rPr>
                <w:rFonts w:hint="eastAsia" w:eastAsia="宋体"/>
                <w:color w:val="auto"/>
                <w:highlight w:val="none"/>
                <w:lang w:val="en-US" w:eastAsia="zh-CN"/>
              </w:rPr>
            </w:pPr>
            <w:r>
              <w:rPr>
                <w:rFonts w:hint="eastAsia"/>
                <w:color w:val="auto"/>
                <w:highlight w:val="none"/>
              </w:rPr>
              <w:t>1、投标人具有政府行政部门颁发的</w:t>
            </w:r>
            <w:r>
              <w:rPr>
                <w:rFonts w:hint="eastAsia" w:eastAsia="宋体"/>
                <w:color w:val="auto"/>
                <w:highlight w:val="none"/>
              </w:rPr>
              <w:t>市政行业（给水工程、排水工程、道路工程）</w:t>
            </w:r>
            <w:r>
              <w:rPr>
                <w:rFonts w:hint="eastAsia" w:eastAsia="宋体"/>
                <w:color w:val="auto"/>
                <w:highlight w:val="none"/>
                <w:lang w:val="en-US" w:eastAsia="zh-CN"/>
              </w:rPr>
              <w:t>设计</w:t>
            </w:r>
            <w:r>
              <w:rPr>
                <w:rFonts w:hint="eastAsia"/>
                <w:color w:val="auto"/>
                <w:highlight w:val="none"/>
                <w:lang w:val="en-US" w:eastAsia="zh-CN"/>
              </w:rPr>
              <w:t>资质</w:t>
            </w:r>
            <w:r>
              <w:rPr>
                <w:rFonts w:hint="eastAsia" w:eastAsia="宋体"/>
                <w:color w:val="auto"/>
                <w:highlight w:val="none"/>
              </w:rPr>
              <w:t>、</w:t>
            </w:r>
            <w:r>
              <w:rPr>
                <w:rFonts w:hint="eastAsia"/>
                <w:color w:val="auto"/>
                <w:highlight w:val="none"/>
              </w:rPr>
              <w:t>建筑行业（建筑工程</w:t>
            </w:r>
            <w:r>
              <w:rPr>
                <w:rFonts w:hint="eastAsia"/>
                <w:color w:val="auto"/>
                <w:highlight w:val="none"/>
                <w:lang w:eastAsia="zh-CN"/>
              </w:rPr>
              <w:t>）</w:t>
            </w:r>
            <w:r>
              <w:rPr>
                <w:rFonts w:hint="eastAsia"/>
                <w:color w:val="auto"/>
                <w:highlight w:val="none"/>
                <w:lang w:val="en-US" w:eastAsia="zh-CN"/>
              </w:rPr>
              <w:t>设计资质</w:t>
            </w:r>
            <w:r>
              <w:rPr>
                <w:rFonts w:hint="eastAsia"/>
                <w:color w:val="auto"/>
                <w:highlight w:val="none"/>
              </w:rPr>
              <w:t>、风景园林工程设计专项</w:t>
            </w:r>
            <w:r>
              <w:rPr>
                <w:rFonts w:hint="eastAsia"/>
                <w:color w:val="auto"/>
                <w:highlight w:val="none"/>
                <w:lang w:val="en-US" w:eastAsia="zh-CN"/>
              </w:rPr>
              <w:t>资质</w:t>
            </w:r>
            <w:r>
              <w:rPr>
                <w:rFonts w:hint="eastAsia"/>
                <w:color w:val="auto"/>
                <w:highlight w:val="none"/>
              </w:rPr>
              <w:t>，甲级的每个得0.5分，乙级的每个得0.25分。最多得1.5分。2、供应商具有林业调查规划设计资质证书的得</w:t>
            </w:r>
            <w:r>
              <w:rPr>
                <w:color w:val="auto"/>
                <w:highlight w:val="none"/>
              </w:rPr>
              <w:t>2</w:t>
            </w:r>
            <w:r>
              <w:rPr>
                <w:rFonts w:hint="eastAsia"/>
                <w:color w:val="auto"/>
                <w:highlight w:val="none"/>
              </w:rPr>
              <w:t>分</w:t>
            </w:r>
            <w:r>
              <w:rPr>
                <w:rFonts w:hint="eastAsia"/>
                <w:color w:val="auto"/>
                <w:highlight w:val="none"/>
                <w:lang w:eastAsia="zh-CN"/>
              </w:rPr>
              <w:t>。</w:t>
            </w:r>
          </w:p>
          <w:p>
            <w:pPr>
              <w:rPr>
                <w:rFonts w:hint="eastAsia" w:eastAsia="宋体"/>
                <w:color w:val="auto"/>
                <w:highlight w:val="none"/>
                <w:lang w:eastAsia="zh-CN"/>
              </w:rPr>
            </w:pPr>
            <w:r>
              <w:rPr>
                <w:rFonts w:hint="eastAsia"/>
                <w:color w:val="auto"/>
                <w:highlight w:val="none"/>
              </w:rPr>
              <w:t>注：投标文件中提供资质证书扫描件或电子证书。</w:t>
            </w:r>
            <w:r>
              <w:rPr>
                <w:rFonts w:hint="eastAsia"/>
                <w:color w:val="auto"/>
                <w:highlight w:val="none"/>
                <w:lang w:eastAsia="zh-CN"/>
              </w:rPr>
              <w:t>（</w:t>
            </w:r>
            <w:r>
              <w:rPr>
                <w:rFonts w:hint="eastAsia" w:eastAsia="宋体"/>
                <w:color w:val="auto"/>
                <w:highlight w:val="none"/>
              </w:rPr>
              <w:t>若为联合体投标，联合体任一方提供均认可。</w:t>
            </w:r>
            <w:r>
              <w:rPr>
                <w:rFonts w:hint="eastAsia"/>
                <w:color w:val="auto"/>
                <w:highlight w:val="none"/>
                <w:lang w:eastAsia="zh-CN"/>
              </w:rPr>
              <w:t>）</w:t>
            </w:r>
          </w:p>
          <w:p>
            <w:pPr>
              <w:rPr>
                <w:rFonts w:cs="宋体"/>
                <w:b/>
                <w:color w:val="auto"/>
                <w:highlight w:val="none"/>
              </w:rPr>
            </w:pP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企业荣誉：</w:t>
            </w:r>
          </w:p>
          <w:p>
            <w:pPr>
              <w:rPr>
                <w:rFonts w:hint="eastAsia" w:ascii="宋体" w:hAnsi="宋体"/>
                <w:color w:val="auto"/>
                <w:highlight w:val="none"/>
              </w:rPr>
            </w:pPr>
            <w:r>
              <w:rPr>
                <w:rFonts w:hint="eastAsia" w:ascii="宋体" w:hAnsi="宋体"/>
                <w:color w:val="auto"/>
                <w:highlight w:val="none"/>
              </w:rPr>
              <w:t>投标人2021年1月1日以来（以荣誉获得时间为准），获得过地市级及以上优秀城市规划设计奖项的，每一个奖项得0.25分；获得过省级及以上优秀城市规划设计奖项的，每一个奖项得0.5分；获得过国家级优秀城市规划设计奖项的，每一个奖项得1分。本项最高得3分。</w:t>
            </w:r>
          </w:p>
          <w:p>
            <w:pPr>
              <w:rPr>
                <w:color w:val="auto"/>
                <w:highlight w:val="none"/>
              </w:rPr>
            </w:pPr>
            <w:r>
              <w:rPr>
                <w:rFonts w:hint="eastAsia"/>
                <w:color w:val="auto"/>
                <w:highlight w:val="none"/>
              </w:rPr>
              <w:t>若为联合体投标，联合体任一方提供均认可。</w:t>
            </w:r>
          </w:p>
          <w:p>
            <w:pPr>
              <w:rPr>
                <w:color w:val="auto"/>
                <w:sz w:val="20"/>
                <w:highlight w:val="none"/>
              </w:rPr>
            </w:pPr>
            <w:r>
              <w:rPr>
                <w:color w:val="auto"/>
                <w:highlight w:val="none"/>
              </w:rPr>
              <w:t>注：</w:t>
            </w:r>
            <w:r>
              <w:rPr>
                <w:color w:val="auto"/>
                <w:highlight w:val="none"/>
                <w:lang w:val="zh-TW"/>
              </w:rPr>
              <w:t>相同项目不得重复计算，以荣誉、获奖证书等复印件并加盖公章为准。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64" w:type="pct"/>
            <w:vMerge w:val="continue"/>
            <w:tcBorders>
              <w:left w:val="single" w:color="auto" w:sz="4" w:space="0"/>
              <w:right w:val="single" w:color="auto" w:sz="4" w:space="0"/>
              <w:tl2br w:val="nil"/>
              <w:tr2bl w:val="nil"/>
            </w:tcBorders>
            <w:vAlign w:val="center"/>
          </w:tcPr>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项目背景的理解：</w:t>
            </w:r>
          </w:p>
          <w:p>
            <w:pPr>
              <w:rPr>
                <w:color w:val="auto"/>
                <w:highlight w:val="none"/>
              </w:rPr>
            </w:pPr>
            <w:r>
              <w:rPr>
                <w:rFonts w:hint="eastAsia"/>
                <w:color w:val="auto"/>
                <w:highlight w:val="none"/>
              </w:rPr>
              <w:t>投标人对本项目的规划背景、相关规划的解读以及项目的理解，认知是否到位、对认知程度的完整性、准确性、科学性、有针对性进行打分。内容分析全面，认知到位，认知程度深，符合实际情况的得5分，内容分析较全，有一定认知，认知程度一般，基本符合实际情况的得3分，内容分析不全，认知程度差，理解有一定的偏离得1分，完全偏离实际情况或未提供内容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现状分析研究：</w:t>
            </w:r>
          </w:p>
          <w:p>
            <w:pPr>
              <w:rPr>
                <w:color w:val="auto"/>
                <w:highlight w:val="none"/>
              </w:rPr>
            </w:pPr>
            <w:r>
              <w:rPr>
                <w:rFonts w:hint="eastAsia"/>
                <w:color w:val="auto"/>
                <w:highlight w:val="none"/>
              </w:rPr>
              <w:t>现场调研、踏勘后，针对本项目规划范围内空间现状及规划调整情况进行分析，深入挖掘本地文化，总结关键性问题。包括</w:t>
            </w:r>
            <w:r>
              <w:rPr>
                <w:rFonts w:cs="宋体"/>
                <w:color w:val="auto"/>
                <w:szCs w:val="24"/>
                <w:highlight w:val="none"/>
                <w:lang w:val="zh-TW"/>
              </w:rPr>
              <w:t>空间及自然资源现状分析</w:t>
            </w:r>
            <w:r>
              <w:rPr>
                <w:rFonts w:hint="eastAsia" w:cs="宋体"/>
                <w:color w:val="auto"/>
                <w:szCs w:val="24"/>
                <w:highlight w:val="none"/>
                <w:lang w:val="zh-TW"/>
              </w:rPr>
              <w:t>、</w:t>
            </w:r>
            <w:r>
              <w:rPr>
                <w:rFonts w:cs="宋体"/>
                <w:color w:val="auto"/>
                <w:szCs w:val="24"/>
                <w:highlight w:val="none"/>
                <w:lang w:val="zh-TW"/>
              </w:rPr>
              <w:t>上位及相关规划分析</w:t>
            </w:r>
            <w:r>
              <w:rPr>
                <w:rFonts w:hint="eastAsia" w:cs="宋体"/>
                <w:color w:val="auto"/>
                <w:szCs w:val="24"/>
                <w:highlight w:val="none"/>
                <w:lang w:val="zh-TW"/>
              </w:rPr>
              <w:t>、</w:t>
            </w:r>
            <w:r>
              <w:rPr>
                <w:rFonts w:cs="宋体"/>
                <w:color w:val="auto"/>
                <w:szCs w:val="24"/>
                <w:highlight w:val="none"/>
                <w:lang w:val="zh-TW"/>
              </w:rPr>
              <w:t>控规单元实施评估</w:t>
            </w:r>
            <w:r>
              <w:rPr>
                <w:rFonts w:cs="宋体"/>
                <w:color w:val="auto"/>
                <w:szCs w:val="24"/>
                <w:highlight w:val="none"/>
              </w:rPr>
              <w:t>及</w:t>
            </w:r>
            <w:r>
              <w:rPr>
                <w:rFonts w:cs="宋体"/>
                <w:color w:val="auto"/>
                <w:szCs w:val="24"/>
                <w:highlight w:val="none"/>
                <w:lang w:val="zh-TW"/>
              </w:rPr>
              <w:t>存在问题</w:t>
            </w:r>
            <w:r>
              <w:rPr>
                <w:rFonts w:cs="宋体"/>
                <w:color w:val="auto"/>
                <w:szCs w:val="24"/>
                <w:highlight w:val="none"/>
              </w:rPr>
              <w:t>分析</w:t>
            </w:r>
            <w:r>
              <w:rPr>
                <w:rFonts w:hint="eastAsia" w:cs="宋体"/>
                <w:color w:val="auto"/>
                <w:szCs w:val="24"/>
                <w:highlight w:val="none"/>
              </w:rPr>
              <w:t>。</w:t>
            </w:r>
            <w:r>
              <w:rPr>
                <w:rFonts w:hint="eastAsia"/>
                <w:color w:val="auto"/>
                <w:highlight w:val="none"/>
              </w:rPr>
              <w:t>内容分析到位全面、揭示存在问题准确得9分，内容分析基本到位、揭示存在问题基本准确的得6分，内容分析不到位或揭示问题与实际有一定的偏离得3分；完全偏离实际情况或未提供内容的不得分。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464" w:type="pct"/>
            <w:vMerge w:val="continue"/>
            <w:tcBorders>
              <w:left w:val="single" w:color="auto" w:sz="4" w:space="0"/>
              <w:right w:val="single" w:color="auto" w:sz="4" w:space="0"/>
              <w:tl2br w:val="nil"/>
              <w:tr2bl w:val="nil"/>
            </w:tcBorders>
            <w:vAlign w:val="center"/>
          </w:tcPr>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编制思路及技术路线：</w:t>
            </w:r>
          </w:p>
          <w:p>
            <w:pPr>
              <w:rPr>
                <w:color w:val="auto"/>
                <w:highlight w:val="none"/>
              </w:rPr>
            </w:pPr>
            <w:r>
              <w:rPr>
                <w:rFonts w:hint="eastAsia"/>
                <w:color w:val="auto"/>
                <w:highlight w:val="none"/>
              </w:rPr>
              <w:t>投标人提供编制思路及技术路线的正确性、技术的可行性、创新性、符合研究目的和任务理解、重点把握到位的得当性进行打分。编制思路清晰、内容完整，技术路线合理，能较好地结合地区实际诉求，彰显地区特色、体现项目特性的得</w:t>
            </w:r>
            <w:r>
              <w:rPr>
                <w:color w:val="auto"/>
                <w:highlight w:val="none"/>
              </w:rPr>
              <w:t>5</w:t>
            </w:r>
            <w:r>
              <w:rPr>
                <w:rFonts w:hint="eastAsia"/>
                <w:color w:val="auto"/>
                <w:highlight w:val="none"/>
              </w:rPr>
              <w:t>分；编制思路内容较完整，技术路线较合理的得3分；编制思路内容不全，</w:t>
            </w:r>
            <w:r>
              <w:rPr>
                <w:rFonts w:hint="eastAsia" w:cs="宋体"/>
                <w:color w:val="auto"/>
                <w:highlight w:val="none"/>
              </w:rPr>
              <w:t>存在缺陷，</w:t>
            </w:r>
            <w:r>
              <w:rPr>
                <w:rFonts w:hint="eastAsia"/>
                <w:color w:val="auto"/>
                <w:highlight w:val="none"/>
              </w:rPr>
              <w:t>技术路线清晰或不合理的得</w:t>
            </w:r>
            <w:r>
              <w:rPr>
                <w:color w:val="auto"/>
                <w:highlight w:val="none"/>
              </w:rPr>
              <w:t>1</w:t>
            </w:r>
            <w:r>
              <w:rPr>
                <w:rFonts w:hint="eastAsia"/>
                <w:color w:val="auto"/>
                <w:highlight w:val="none"/>
              </w:rPr>
              <w:t>分，内容不完整未体现地区特色或未提供的不得分。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464" w:type="pct"/>
            <w:vMerge w:val="continue"/>
            <w:tcBorders>
              <w:left w:val="single" w:color="auto" w:sz="4" w:space="0"/>
              <w:right w:val="single" w:color="auto" w:sz="4" w:space="0"/>
              <w:tl2br w:val="nil"/>
              <w:tr2bl w:val="nil"/>
            </w:tcBorders>
            <w:vAlign w:val="center"/>
          </w:tcPr>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b/>
                <w:bCs/>
                <w:color w:val="auto"/>
                <w:highlight w:val="none"/>
              </w:rPr>
              <w:t>单元编制重点（拟推动解决的主要问题）和难点</w:t>
            </w:r>
            <w:r>
              <w:rPr>
                <w:rFonts w:hint="eastAsia"/>
                <w:b/>
                <w:bCs/>
                <w:color w:val="auto"/>
                <w:highlight w:val="none"/>
              </w:rPr>
              <w:t>：</w:t>
            </w:r>
          </w:p>
          <w:p>
            <w:pPr>
              <w:rPr>
                <w:color w:val="auto"/>
                <w:highlight w:val="none"/>
                <w:lang w:val="zh-TW"/>
              </w:rPr>
            </w:pPr>
            <w:r>
              <w:rPr>
                <w:rFonts w:hint="eastAsia"/>
                <w:color w:val="auto"/>
                <w:highlight w:val="none"/>
              </w:rPr>
              <w:t>投标人提供</w:t>
            </w:r>
            <w:r>
              <w:rPr>
                <w:rFonts w:hint="eastAsia"/>
                <w:color w:val="auto"/>
                <w:highlight w:val="none"/>
                <w:lang w:val="zh-TW"/>
              </w:rPr>
              <w:t>对本项目提出的研究重点、难点进行打分，</w:t>
            </w:r>
            <w:r>
              <w:rPr>
                <w:rFonts w:hint="eastAsia"/>
                <w:color w:val="auto"/>
                <w:highlight w:val="none"/>
              </w:rPr>
              <w:t>要求</w:t>
            </w:r>
            <w:r>
              <w:rPr>
                <w:rFonts w:hint="eastAsia"/>
                <w:color w:val="auto"/>
                <w:highlight w:val="none"/>
                <w:lang w:val="zh-TW"/>
              </w:rPr>
              <w:t>契合背景和目的，分析到位、考虑全面，</w:t>
            </w:r>
            <w:r>
              <w:rPr>
                <w:rFonts w:hint="eastAsia"/>
                <w:color w:val="auto"/>
                <w:highlight w:val="none"/>
              </w:rPr>
              <w:t>并</w:t>
            </w:r>
            <w:r>
              <w:rPr>
                <w:rFonts w:hint="eastAsia"/>
                <w:color w:val="auto"/>
                <w:highlight w:val="none"/>
                <w:lang w:val="zh-TW"/>
              </w:rPr>
              <w:t>提出相应对策，且具备合理性与可行性。</w:t>
            </w:r>
          </w:p>
          <w:p>
            <w:pPr>
              <w:rPr>
                <w:color w:val="auto"/>
                <w:highlight w:val="none"/>
              </w:rPr>
            </w:pPr>
            <w:r>
              <w:rPr>
                <w:rFonts w:hint="eastAsia"/>
                <w:color w:val="auto"/>
                <w:highlight w:val="none"/>
              </w:rPr>
              <w:t>内容分析到位全面、揭示存在问题准确得5分，内容分析基本到位、揭示存在问题基本准确的得3分，内容分析不到位或揭示问题与实际有一定的偏离得1分；完全偏离实际情况或未提供内容的不得分。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发展定位：</w:t>
            </w:r>
          </w:p>
          <w:p>
            <w:pPr>
              <w:rPr>
                <w:color w:val="auto"/>
                <w:highlight w:val="none"/>
              </w:rPr>
            </w:pPr>
            <w:r>
              <w:rPr>
                <w:rFonts w:hint="eastAsia"/>
                <w:color w:val="auto"/>
                <w:highlight w:val="none"/>
              </w:rPr>
              <w:t>投标人在现行相关技术准则和规范要求的基础上，结合本项目的发展特色和主要诉求，对</w:t>
            </w:r>
            <w:r>
              <w:rPr>
                <w:rFonts w:hint="eastAsia"/>
                <w:color w:val="auto"/>
                <w:highlight w:val="none"/>
                <w:lang w:val="zh-TW"/>
              </w:rPr>
              <w:t>规划编制重点</w:t>
            </w:r>
            <w:r>
              <w:rPr>
                <w:rFonts w:hint="eastAsia"/>
                <w:color w:val="auto"/>
                <w:highlight w:val="none"/>
              </w:rPr>
              <w:t>和片区发展方向，目标愿景和提升策略提出自己的设计思路。设计思路清晰合理、完整、有针对性的得</w:t>
            </w:r>
            <w:r>
              <w:rPr>
                <w:color w:val="auto"/>
                <w:highlight w:val="none"/>
              </w:rPr>
              <w:t>5</w:t>
            </w:r>
            <w:r>
              <w:rPr>
                <w:rFonts w:hint="eastAsia"/>
                <w:color w:val="auto"/>
                <w:highlight w:val="none"/>
              </w:rPr>
              <w:t>分，设计思路基本完整、针对性一般的得3分，设计思路</w:t>
            </w:r>
            <w:r>
              <w:rPr>
                <w:rFonts w:hint="eastAsia" w:cs="宋体"/>
                <w:color w:val="auto"/>
                <w:highlight w:val="none"/>
              </w:rPr>
              <w:t>存在缺陷、</w:t>
            </w:r>
            <w:r>
              <w:rPr>
                <w:rFonts w:hint="eastAsia"/>
                <w:color w:val="auto"/>
                <w:highlight w:val="none"/>
              </w:rPr>
              <w:t>不完整、针对性差的得</w:t>
            </w:r>
            <w:r>
              <w:rPr>
                <w:color w:val="auto"/>
                <w:highlight w:val="none"/>
              </w:rPr>
              <w:t>1</w:t>
            </w:r>
            <w:r>
              <w:rPr>
                <w:rFonts w:hint="eastAsia"/>
                <w:color w:val="auto"/>
                <w:highlight w:val="none"/>
              </w:rPr>
              <w:t>分，完全不符合实际或未提供的不得分。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pStyle w:val="46"/>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空间布局：</w:t>
            </w:r>
          </w:p>
          <w:p>
            <w:pPr>
              <w:rPr>
                <w:color w:val="auto"/>
                <w:highlight w:val="none"/>
              </w:rPr>
            </w:pPr>
            <w:r>
              <w:rPr>
                <w:rFonts w:hint="eastAsia"/>
                <w:color w:val="auto"/>
                <w:highlight w:val="none"/>
              </w:rPr>
              <w:t>投标人结合项目定位和特征，合理优化空间布局和用地结构，融合生产、生活、生态“三生”空间。把握区域特色，有针对性的提出自己的空间布局思路。空间布局思路清晰、完整性、有针对性的得9分，设计思路可行、针对性一般，稍有欠缺的得6分，设计思路</w:t>
            </w:r>
            <w:r>
              <w:rPr>
                <w:rFonts w:hint="eastAsia" w:cs="宋体"/>
                <w:color w:val="auto"/>
                <w:highlight w:val="none"/>
              </w:rPr>
              <w:t>存在缺陷，</w:t>
            </w:r>
            <w:r>
              <w:rPr>
                <w:rFonts w:hint="eastAsia"/>
                <w:color w:val="auto"/>
                <w:highlight w:val="none"/>
              </w:rPr>
              <w:t>不完整、针对性差的得</w:t>
            </w:r>
            <w:r>
              <w:rPr>
                <w:rFonts w:hint="eastAsia"/>
                <w:color w:val="auto"/>
                <w:highlight w:val="none"/>
                <w:lang w:val="en-US" w:eastAsia="zh-CN"/>
              </w:rPr>
              <w:t>3</w:t>
            </w:r>
            <w:r>
              <w:rPr>
                <w:rFonts w:hint="eastAsia"/>
                <w:color w:val="auto"/>
                <w:highlight w:val="none"/>
              </w:rPr>
              <w:t>分，完全不符合实际或未提供的不得分。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工业区块有机更新：</w:t>
            </w:r>
          </w:p>
          <w:p>
            <w:pPr>
              <w:rPr>
                <w:color w:val="auto"/>
                <w:highlight w:val="none"/>
              </w:rPr>
            </w:pPr>
            <w:r>
              <w:rPr>
                <w:rFonts w:hint="eastAsia"/>
                <w:color w:val="auto"/>
                <w:highlight w:val="none"/>
              </w:rPr>
              <w:t>投标人结合规划区内企业生产及发展情况，在衔接相关有机更新要求和相关规划基础上，提出自己的工业区块有机更新思路。思路清晰、完整、有针对性的得5分，设计思路可行、针对性一般，稍有不足的得3分，思路</w:t>
            </w:r>
            <w:r>
              <w:rPr>
                <w:rFonts w:hint="eastAsia" w:cs="宋体"/>
                <w:color w:val="auto"/>
                <w:highlight w:val="none"/>
              </w:rPr>
              <w:t>存在缺陷，</w:t>
            </w:r>
            <w:r>
              <w:rPr>
                <w:rFonts w:hint="eastAsia"/>
                <w:color w:val="auto"/>
                <w:highlight w:val="none"/>
              </w:rPr>
              <w:t>不完整、针对性差的得1分，完全不符合实际或未提供的不得分。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公共设施、交通和市政设施配套：</w:t>
            </w:r>
          </w:p>
          <w:p>
            <w:pPr>
              <w:rPr>
                <w:color w:val="auto"/>
                <w:highlight w:val="none"/>
              </w:rPr>
            </w:pPr>
            <w:r>
              <w:rPr>
                <w:rFonts w:hint="eastAsia"/>
                <w:color w:val="auto"/>
                <w:highlight w:val="none"/>
              </w:rPr>
              <w:t>投标人对规划区内公共设施、综合交通和市政设施的完善，深化细化各级路网、交通场站等综合交通体系，支撑地区发展，做好与周边单元交界地区的通道衔接。设计清晰、完整、有针对性的得5分，设计思路可行、针对性一般，稍有不足的得3分，思路</w:t>
            </w:r>
            <w:r>
              <w:rPr>
                <w:rFonts w:hint="eastAsia" w:cs="宋体"/>
                <w:color w:val="auto"/>
                <w:highlight w:val="none"/>
              </w:rPr>
              <w:t>存在缺陷，</w:t>
            </w:r>
            <w:r>
              <w:rPr>
                <w:rFonts w:hint="eastAsia"/>
                <w:color w:val="auto"/>
                <w:highlight w:val="none"/>
              </w:rPr>
              <w:t>不完整、针对性差的得1分，完全不符合实际或未提供的不得分。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风貌指引与管控：</w:t>
            </w:r>
          </w:p>
          <w:p>
            <w:pPr>
              <w:rPr>
                <w:color w:val="auto"/>
                <w:highlight w:val="none"/>
              </w:rPr>
            </w:pPr>
            <w:r>
              <w:rPr>
                <w:rFonts w:hint="eastAsia"/>
                <w:color w:val="auto"/>
                <w:highlight w:val="none"/>
              </w:rPr>
              <w:t>投标人对根据规划定位，结合功能分区，对整体空间形态、建筑群体关系、公共空间组织提出风貌指引，对规划区各类开敞空间布局、城市界面、滨水景观等提出规划指引与管控，塑造出具有特色和美感的整体空间和建筑形象。</w:t>
            </w:r>
          </w:p>
          <w:p>
            <w:pPr>
              <w:rPr>
                <w:b/>
                <w:color w:val="auto"/>
                <w:highlight w:val="none"/>
              </w:rPr>
            </w:pPr>
            <w:r>
              <w:rPr>
                <w:rFonts w:hint="eastAsia"/>
                <w:color w:val="auto"/>
                <w:highlight w:val="none"/>
              </w:rPr>
              <w:t>设计思路清晰、阐述完整、可行、有针对性的得5分，设计思路可行、针对性一般的得3分，设计思路</w:t>
            </w:r>
            <w:r>
              <w:rPr>
                <w:rFonts w:hint="eastAsia" w:cs="宋体"/>
                <w:color w:val="auto"/>
                <w:highlight w:val="none"/>
              </w:rPr>
              <w:t>存在缺陷</w:t>
            </w:r>
            <w:r>
              <w:rPr>
                <w:rFonts w:hint="eastAsia"/>
                <w:color w:val="auto"/>
                <w:highlight w:val="none"/>
              </w:rPr>
              <w:t>、完整、针对性差的得1分，完全不符合实际或未提供的不得分。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数字化技术应用：</w:t>
            </w:r>
          </w:p>
          <w:p>
            <w:pPr>
              <w:rPr>
                <w:color w:val="auto"/>
                <w:sz w:val="20"/>
                <w:highlight w:val="none"/>
              </w:rPr>
            </w:pPr>
            <w:r>
              <w:rPr>
                <w:rFonts w:hint="eastAsia"/>
                <w:color w:val="auto"/>
                <w:highlight w:val="none"/>
              </w:rPr>
              <w:t>根据供应商提供的</w:t>
            </w:r>
            <w:r>
              <w:rPr>
                <w:color w:val="auto"/>
                <w:highlight w:val="none"/>
              </w:rPr>
              <w:t>针对运用数字技术进行规划技术支撑分析，内容详细、可行的得</w:t>
            </w:r>
            <w:r>
              <w:rPr>
                <w:rFonts w:hint="eastAsia"/>
                <w:color w:val="auto"/>
                <w:highlight w:val="none"/>
              </w:rPr>
              <w:t>3</w:t>
            </w:r>
            <w:r>
              <w:rPr>
                <w:color w:val="auto"/>
                <w:highlight w:val="none"/>
              </w:rPr>
              <w:t>分；内容基本详细、可行的得</w:t>
            </w:r>
            <w:r>
              <w:rPr>
                <w:rFonts w:hint="eastAsia"/>
                <w:color w:val="auto"/>
                <w:highlight w:val="none"/>
              </w:rPr>
              <w:t>2</w:t>
            </w:r>
            <w:r>
              <w:rPr>
                <w:color w:val="auto"/>
                <w:highlight w:val="none"/>
              </w:rPr>
              <w:t>分，内容不详细、可行性差，内容展现有欠缺的</w:t>
            </w:r>
            <w:r>
              <w:rPr>
                <w:rFonts w:hint="eastAsia"/>
                <w:color w:val="auto"/>
                <w:highlight w:val="none"/>
              </w:rPr>
              <w:t>得1</w:t>
            </w:r>
            <w:r>
              <w:rPr>
                <w:color w:val="auto"/>
                <w:highlight w:val="none"/>
              </w:rPr>
              <w:t>分；</w:t>
            </w:r>
            <w:r>
              <w:rPr>
                <w:rFonts w:hint="eastAsia"/>
                <w:color w:val="auto"/>
                <w:sz w:val="20"/>
                <w:highlight w:val="none"/>
              </w:rPr>
              <w:t>完全不符合实际或未提供的不得分</w:t>
            </w:r>
            <w:r>
              <w:rPr>
                <w:color w:val="auto"/>
                <w:highlight w:val="none"/>
              </w:rPr>
              <w:t>。</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464" w:type="pct"/>
            <w:vMerge w:val="continue"/>
            <w:tcBorders>
              <w:left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lang w:val="zh-TW"/>
              </w:rPr>
              <w:t>质量保证及后续服务</w:t>
            </w:r>
            <w:r>
              <w:rPr>
                <w:rFonts w:hint="eastAsia"/>
                <w:b/>
                <w:bCs/>
                <w:color w:val="auto"/>
                <w:highlight w:val="none"/>
              </w:rPr>
              <w:t>:</w:t>
            </w:r>
          </w:p>
          <w:p>
            <w:pPr>
              <w:rPr>
                <w:color w:val="auto"/>
                <w:highlight w:val="none"/>
                <w:lang w:val="zh-TW"/>
              </w:rPr>
            </w:pPr>
            <w:r>
              <w:rPr>
                <w:rFonts w:hint="eastAsia"/>
                <w:color w:val="auto"/>
                <w:highlight w:val="none"/>
                <w:lang w:val="zh-TW"/>
              </w:rPr>
              <w:t>1、质量保证体系完备周全，具有针对性应对措施得2分，质量保证体系完备欠周全或针对性应对措施一般的得1分，质量保证体系完备不周全且不具有针对性应对措施</w:t>
            </w:r>
            <w:r>
              <w:rPr>
                <w:rFonts w:hint="eastAsia"/>
                <w:color w:val="auto"/>
                <w:highlight w:val="none"/>
                <w:lang w:val="en-US" w:eastAsia="zh-CN"/>
              </w:rPr>
              <w:t>的</w:t>
            </w:r>
            <w:r>
              <w:rPr>
                <w:rFonts w:hint="eastAsia"/>
                <w:color w:val="auto"/>
                <w:highlight w:val="none"/>
                <w:lang w:val="zh-TW"/>
              </w:rPr>
              <w:t>不得分。</w:t>
            </w:r>
          </w:p>
          <w:p>
            <w:pPr>
              <w:rPr>
                <w:color w:val="auto"/>
                <w:highlight w:val="none"/>
              </w:rPr>
            </w:pPr>
            <w:r>
              <w:rPr>
                <w:rFonts w:hint="eastAsia"/>
                <w:color w:val="auto"/>
                <w:highlight w:val="none"/>
                <w:lang w:val="zh-TW"/>
              </w:rPr>
              <w:t>2、后续服务保障体系</w:t>
            </w:r>
            <w:r>
              <w:rPr>
                <w:rFonts w:hint="eastAsia"/>
                <w:color w:val="auto"/>
                <w:highlight w:val="none"/>
              </w:rPr>
              <w:t>是</w:t>
            </w:r>
            <w:r>
              <w:rPr>
                <w:rFonts w:hint="eastAsia"/>
                <w:color w:val="auto"/>
                <w:highlight w:val="none"/>
                <w:lang w:val="zh-TW"/>
              </w:rPr>
              <w:t>否健全，应对措施的科学性；与采购人日常配合高效落实，</w:t>
            </w:r>
            <w:r>
              <w:rPr>
                <w:rFonts w:hint="eastAsia"/>
                <w:color w:val="auto"/>
                <w:highlight w:val="none"/>
              </w:rPr>
              <w:t>满足服务时效</w:t>
            </w:r>
            <w:r>
              <w:rPr>
                <w:rFonts w:hint="eastAsia"/>
                <w:color w:val="auto"/>
                <w:highlight w:val="none"/>
                <w:lang w:val="zh-TW"/>
              </w:rPr>
              <w:t>。根据方案可实施性强弱打分，方案</w:t>
            </w:r>
            <w:r>
              <w:rPr>
                <w:rFonts w:hint="eastAsia"/>
                <w:color w:val="auto"/>
                <w:highlight w:val="none"/>
              </w:rPr>
              <w:t>体系健全，完全满足</w:t>
            </w:r>
            <w:r>
              <w:rPr>
                <w:rFonts w:hint="eastAsia"/>
                <w:color w:val="auto"/>
                <w:highlight w:val="none"/>
                <w:lang w:val="zh-TW"/>
              </w:rPr>
              <w:t>采购人需求且</w:t>
            </w:r>
            <w:r>
              <w:rPr>
                <w:rFonts w:hint="eastAsia"/>
                <w:color w:val="auto"/>
                <w:highlight w:val="none"/>
              </w:rPr>
              <w:t>针对性、</w:t>
            </w:r>
            <w:r>
              <w:rPr>
                <w:rFonts w:hint="eastAsia"/>
                <w:color w:val="auto"/>
                <w:highlight w:val="none"/>
                <w:lang w:val="zh-TW"/>
              </w:rPr>
              <w:t>可实施性强得</w:t>
            </w:r>
            <w:r>
              <w:rPr>
                <w:rFonts w:hint="eastAsia"/>
                <w:color w:val="auto"/>
                <w:highlight w:val="none"/>
              </w:rPr>
              <w:t>3</w:t>
            </w:r>
            <w:r>
              <w:rPr>
                <w:rFonts w:hint="eastAsia"/>
                <w:color w:val="auto"/>
                <w:highlight w:val="none"/>
                <w:lang w:val="zh-TW"/>
              </w:rPr>
              <w:t>分，方案</w:t>
            </w:r>
            <w:r>
              <w:rPr>
                <w:rFonts w:hint="eastAsia"/>
                <w:color w:val="auto"/>
                <w:highlight w:val="none"/>
              </w:rPr>
              <w:t>体系不够完善，基本满足</w:t>
            </w:r>
            <w:r>
              <w:rPr>
                <w:rFonts w:hint="eastAsia"/>
                <w:color w:val="auto"/>
                <w:highlight w:val="none"/>
                <w:lang w:val="zh-TW"/>
              </w:rPr>
              <w:t>采购人需求，</w:t>
            </w:r>
            <w:r>
              <w:rPr>
                <w:rFonts w:hint="eastAsia"/>
                <w:color w:val="auto"/>
                <w:highlight w:val="none"/>
              </w:rPr>
              <w:t>针对性、</w:t>
            </w:r>
            <w:r>
              <w:rPr>
                <w:rFonts w:hint="eastAsia"/>
                <w:color w:val="auto"/>
                <w:highlight w:val="none"/>
                <w:lang w:val="zh-TW"/>
              </w:rPr>
              <w:t>可实施性</w:t>
            </w:r>
            <w:r>
              <w:rPr>
                <w:rFonts w:hint="eastAsia"/>
                <w:color w:val="auto"/>
                <w:highlight w:val="none"/>
              </w:rPr>
              <w:t>不足</w:t>
            </w:r>
            <w:r>
              <w:rPr>
                <w:rFonts w:cs="宋体"/>
                <w:color w:val="auto"/>
                <w:kern w:val="0"/>
                <w:szCs w:val="24"/>
                <w:highlight w:val="none"/>
              </w:rPr>
              <w:t>的得</w:t>
            </w:r>
            <w:r>
              <w:rPr>
                <w:rFonts w:hint="eastAsia" w:cs="宋体"/>
                <w:color w:val="auto"/>
                <w:kern w:val="0"/>
                <w:szCs w:val="24"/>
                <w:highlight w:val="none"/>
              </w:rPr>
              <w:t>2</w:t>
            </w:r>
            <w:r>
              <w:rPr>
                <w:rFonts w:cs="宋体"/>
                <w:color w:val="auto"/>
                <w:kern w:val="0"/>
                <w:szCs w:val="24"/>
                <w:highlight w:val="none"/>
              </w:rPr>
              <w:t>分，</w:t>
            </w:r>
            <w:r>
              <w:rPr>
                <w:rFonts w:hint="eastAsia"/>
                <w:color w:val="auto"/>
                <w:highlight w:val="none"/>
                <w:lang w:val="zh-TW"/>
              </w:rPr>
              <w:t>方案</w:t>
            </w:r>
            <w:r>
              <w:rPr>
                <w:rFonts w:hint="eastAsia"/>
                <w:color w:val="auto"/>
                <w:highlight w:val="none"/>
              </w:rPr>
              <w:t>体系缺失内容较多但尚可实施的得1分</w:t>
            </w:r>
            <w:r>
              <w:rPr>
                <w:rFonts w:cs="宋体"/>
                <w:color w:val="auto"/>
                <w:kern w:val="0"/>
                <w:szCs w:val="24"/>
                <w:highlight w:val="none"/>
              </w:rPr>
              <w:t>，</w:t>
            </w:r>
            <w:r>
              <w:rPr>
                <w:rFonts w:hint="eastAsia"/>
                <w:color w:val="auto"/>
                <w:highlight w:val="none"/>
                <w:lang w:val="zh-TW"/>
              </w:rPr>
              <w:t>体系不周全且</w:t>
            </w:r>
            <w:r>
              <w:rPr>
                <w:rFonts w:hint="eastAsia"/>
                <w:color w:val="auto"/>
                <w:highlight w:val="none"/>
              </w:rPr>
              <w:t>完全</w:t>
            </w:r>
            <w:r>
              <w:rPr>
                <w:rFonts w:hint="eastAsia"/>
                <w:color w:val="auto"/>
                <w:highlight w:val="none"/>
                <w:lang w:val="zh-TW"/>
              </w:rPr>
              <w:t>不</w:t>
            </w:r>
            <w:r>
              <w:rPr>
                <w:rFonts w:hint="eastAsia"/>
                <w:color w:val="auto"/>
                <w:highlight w:val="none"/>
              </w:rPr>
              <w:t>可实施的</w:t>
            </w:r>
            <w:r>
              <w:rPr>
                <w:rFonts w:hint="eastAsia"/>
                <w:color w:val="auto"/>
                <w:highlight w:val="none"/>
                <w:lang w:val="zh-TW"/>
              </w:rPr>
              <w:t>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464" w:type="pct"/>
            <w:vMerge w:val="continue"/>
            <w:tcBorders>
              <w:left w:val="single" w:color="auto" w:sz="4" w:space="0"/>
              <w:bottom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rFonts w:hint="eastAsia"/>
                <w:b/>
                <w:bCs/>
                <w:color w:val="auto"/>
                <w:highlight w:val="none"/>
              </w:rPr>
              <w:t>工作计划:</w:t>
            </w:r>
          </w:p>
          <w:p>
            <w:pPr>
              <w:rPr>
                <w:color w:val="auto"/>
                <w:highlight w:val="none"/>
              </w:rPr>
            </w:pPr>
            <w:r>
              <w:rPr>
                <w:rFonts w:hint="eastAsia" w:cs="宋体"/>
                <w:color w:val="auto"/>
                <w:highlight w:val="none"/>
              </w:rPr>
              <w:t>项目整体工作阶段及任务划分、进度控制合理、关键时间节点把握科学准确。</w:t>
            </w:r>
            <w:r>
              <w:rPr>
                <w:rFonts w:hint="eastAsia"/>
                <w:color w:val="auto"/>
                <w:highlight w:val="none"/>
              </w:rPr>
              <w:t>根据工作计划可实施性强弱打分，方案符合采购人需求且可实施性强得2分，部分符合或可实施性弱得1分，不符合不得分。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464" w:type="pct"/>
            <w:vMerge w:val="continue"/>
            <w:tcBorders>
              <w:left w:val="single" w:color="auto" w:sz="4" w:space="0"/>
              <w:bottom w:val="single" w:color="auto" w:sz="4" w:space="0"/>
              <w:right w:val="single" w:color="auto" w:sz="4" w:space="0"/>
              <w:tl2br w:val="nil"/>
              <w:tr2bl w:val="nil"/>
            </w:tcBorders>
            <w:vAlign w:val="center"/>
          </w:tcPr>
          <w:p>
            <w:pPr>
              <w:rPr>
                <w:color w:val="auto"/>
                <w:highlight w:val="none"/>
              </w:rPr>
            </w:pPr>
          </w:p>
        </w:tc>
        <w:tc>
          <w:tcPr>
            <w:tcW w:w="4093" w:type="pct"/>
            <w:tcBorders>
              <w:top w:val="single" w:color="auto" w:sz="4" w:space="0"/>
              <w:left w:val="single" w:color="auto" w:sz="4" w:space="0"/>
              <w:bottom w:val="single" w:color="auto" w:sz="4" w:space="0"/>
              <w:right w:val="single" w:color="auto" w:sz="4" w:space="0"/>
              <w:tl2br w:val="nil"/>
              <w:tr2bl w:val="nil"/>
            </w:tcBorders>
            <w:vAlign w:val="center"/>
          </w:tcPr>
          <w:p>
            <w:pPr>
              <w:rPr>
                <w:b/>
                <w:bCs/>
                <w:color w:val="auto"/>
                <w:highlight w:val="none"/>
              </w:rPr>
            </w:pPr>
            <w:r>
              <w:rPr>
                <w:b/>
                <w:bCs/>
                <w:color w:val="auto"/>
                <w:highlight w:val="none"/>
              </w:rPr>
              <w:t>公众参与</w:t>
            </w:r>
            <w:r>
              <w:rPr>
                <w:rFonts w:hint="eastAsia"/>
                <w:b/>
                <w:bCs/>
                <w:color w:val="auto"/>
                <w:highlight w:val="none"/>
              </w:rPr>
              <w:t>：</w:t>
            </w:r>
          </w:p>
          <w:p>
            <w:pPr>
              <w:rPr>
                <w:rFonts w:cs="宋体"/>
                <w:color w:val="auto"/>
                <w:highlight w:val="none"/>
              </w:rPr>
            </w:pPr>
            <w:r>
              <w:rPr>
                <w:rFonts w:cs="宋体"/>
                <w:color w:val="auto"/>
                <w:highlight w:val="none"/>
              </w:rPr>
              <w:t>控规编制过程中</w:t>
            </w:r>
            <w:r>
              <w:rPr>
                <w:rFonts w:hint="eastAsia" w:cs="宋体"/>
                <w:color w:val="auto"/>
                <w:highlight w:val="none"/>
              </w:rPr>
              <w:t>需要</w:t>
            </w:r>
            <w:r>
              <w:rPr>
                <w:rFonts w:cs="宋体"/>
                <w:color w:val="auto"/>
                <w:highlight w:val="none"/>
              </w:rPr>
              <w:t>深化公众参与机制，创新公众参与形式，</w:t>
            </w:r>
            <w:r>
              <w:rPr>
                <w:rFonts w:hint="eastAsia"/>
                <w:color w:val="auto"/>
                <w:highlight w:val="none"/>
                <w:lang w:val="zh-TW"/>
              </w:rPr>
              <w:t>根据方案可实施性强弱打分，方案符合采购人需求且可实施性强</w:t>
            </w:r>
            <w:r>
              <w:rPr>
                <w:rFonts w:hint="eastAsia"/>
                <w:color w:val="auto"/>
                <w:highlight w:val="none"/>
                <w:lang w:val="en-US" w:eastAsia="zh-CN"/>
              </w:rPr>
              <w:t>的</w:t>
            </w:r>
            <w:r>
              <w:rPr>
                <w:rFonts w:hint="eastAsia"/>
                <w:color w:val="auto"/>
                <w:highlight w:val="none"/>
                <w:lang w:val="zh-TW"/>
              </w:rPr>
              <w:t>得</w:t>
            </w:r>
            <w:r>
              <w:rPr>
                <w:rFonts w:hint="eastAsia"/>
                <w:color w:val="auto"/>
                <w:highlight w:val="none"/>
              </w:rPr>
              <w:t>2</w:t>
            </w:r>
            <w:r>
              <w:rPr>
                <w:rFonts w:hint="eastAsia"/>
                <w:color w:val="auto"/>
                <w:highlight w:val="none"/>
                <w:lang w:val="zh-TW"/>
              </w:rPr>
              <w:t>分，部分符合或可实施性弱</w:t>
            </w:r>
            <w:r>
              <w:rPr>
                <w:rFonts w:hint="eastAsia"/>
                <w:color w:val="auto"/>
                <w:highlight w:val="none"/>
                <w:lang w:val="en-US" w:eastAsia="zh-CN"/>
              </w:rPr>
              <w:t>的</w:t>
            </w:r>
            <w:r>
              <w:rPr>
                <w:rFonts w:hint="eastAsia"/>
                <w:color w:val="auto"/>
                <w:highlight w:val="none"/>
                <w:lang w:val="zh-TW"/>
              </w:rPr>
              <w:t>得</w:t>
            </w:r>
            <w:r>
              <w:rPr>
                <w:rFonts w:hint="eastAsia"/>
                <w:color w:val="auto"/>
                <w:highlight w:val="none"/>
              </w:rPr>
              <w:t>1</w:t>
            </w:r>
            <w:r>
              <w:rPr>
                <w:rFonts w:hint="eastAsia"/>
                <w:color w:val="auto"/>
                <w:highlight w:val="none"/>
                <w:lang w:val="zh-TW"/>
              </w:rPr>
              <w:t>分，不符合不得分。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4557" w:type="pct"/>
            <w:gridSpan w:val="2"/>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商务技术得分</w:t>
            </w:r>
          </w:p>
        </w:tc>
        <w:tc>
          <w:tcPr>
            <w:tcW w:w="442" w:type="pct"/>
            <w:tcBorders>
              <w:top w:val="single" w:color="auto" w:sz="4" w:space="0"/>
              <w:left w:val="single" w:color="auto" w:sz="4" w:space="0"/>
              <w:bottom w:val="single" w:color="auto" w:sz="4" w:space="0"/>
              <w:right w:val="single" w:color="auto" w:sz="4" w:space="0"/>
              <w:tl2br w:val="nil"/>
              <w:tr2bl w:val="nil"/>
            </w:tcBorders>
            <w:vAlign w:val="center"/>
          </w:tcPr>
          <w:p>
            <w:pPr>
              <w:rPr>
                <w:color w:val="auto"/>
                <w:highlight w:val="none"/>
              </w:rPr>
            </w:pPr>
            <w:r>
              <w:rPr>
                <w:rFonts w:hint="eastAsia"/>
                <w:color w:val="auto"/>
                <w:highlight w:val="none"/>
              </w:rPr>
              <w:t>85</w:t>
            </w:r>
          </w:p>
        </w:tc>
      </w:tr>
    </w:tbl>
    <w:p>
      <w:pPr>
        <w:widowControl/>
        <w:spacing w:line="380" w:lineRule="exact"/>
        <w:jc w:val="lef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、各评委成员自行按以上参考分值评分。</w:t>
      </w:r>
    </w:p>
    <w:p>
      <w:pPr>
        <w:spacing w:line="380" w:lineRule="exact"/>
        <w:ind w:firstLine="420" w:firstLineChars="200"/>
        <w:rPr>
          <w:color w:val="auto"/>
          <w:highlight w:val="none"/>
        </w:rPr>
      </w:pPr>
      <w:r>
        <w:rPr>
          <w:rFonts w:hint="eastAsia" w:ascii="宋体" w:hAnsi="宋体"/>
          <w:color w:val="auto"/>
          <w:szCs w:val="21"/>
          <w:highlight w:val="none"/>
        </w:rPr>
        <w:t>2、表内要求提供的资料，未按要求提供的均不得分。</w:t>
      </w:r>
    </w:p>
    <w:p>
      <w:pPr>
        <w:spacing w:line="400" w:lineRule="exact"/>
        <w:rPr>
          <w:rFonts w:ascii="宋体" w:hAnsi="宋体"/>
          <w:color w:val="auto"/>
          <w:szCs w:val="21"/>
          <w:highlight w:val="none"/>
        </w:rPr>
      </w:pPr>
      <w:r>
        <w:rPr>
          <w:rFonts w:ascii="宋体" w:hAnsi="宋体"/>
          <w:color w:val="auto"/>
          <w:szCs w:val="21"/>
          <w:highlight w:val="none"/>
        </w:rPr>
        <w:br w:type="page"/>
      </w:r>
      <w:r>
        <w:rPr>
          <w:rFonts w:hint="eastAsia" w:ascii="宋体" w:hAnsi="宋体"/>
          <w:b/>
          <w:bCs/>
          <w:color w:val="auto"/>
          <w:sz w:val="22"/>
          <w:szCs w:val="22"/>
          <w:highlight w:val="none"/>
        </w:rPr>
        <w:t>附表</w:t>
      </w:r>
      <w:r>
        <w:rPr>
          <w:rFonts w:ascii="宋体" w:hAnsi="宋体"/>
          <w:b/>
          <w:bCs/>
          <w:color w:val="auto"/>
          <w:sz w:val="22"/>
          <w:szCs w:val="22"/>
          <w:highlight w:val="none"/>
        </w:rPr>
        <w:t>4</w:t>
      </w:r>
    </w:p>
    <w:p>
      <w:pPr>
        <w:widowControl/>
        <w:snapToGrid w:val="0"/>
        <w:spacing w:line="560" w:lineRule="exact"/>
        <w:jc w:val="center"/>
        <w:rPr>
          <w:rFonts w:ascii="宋体" w:hAnsi="宋体"/>
          <w:b/>
          <w:color w:val="auto"/>
          <w:sz w:val="22"/>
          <w:szCs w:val="22"/>
          <w:highlight w:val="none"/>
        </w:rPr>
      </w:pPr>
      <w:r>
        <w:rPr>
          <w:rFonts w:hint="eastAsia" w:ascii="宋体" w:hAnsi="宋体"/>
          <w:b/>
          <w:color w:val="auto"/>
          <w:sz w:val="22"/>
          <w:szCs w:val="22"/>
          <w:highlight w:val="none"/>
        </w:rPr>
        <w:t>初步审查表</w:t>
      </w:r>
    </w:p>
    <w:tbl>
      <w:tblPr>
        <w:tblStyle w:val="47"/>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40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5859"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要求说明</w:t>
            </w:r>
          </w:p>
        </w:tc>
        <w:tc>
          <w:tcPr>
            <w:tcW w:w="2836"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p>
        </w:tc>
        <w:tc>
          <w:tcPr>
            <w:tcW w:w="5859"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投标报价不超过预算价：</w:t>
            </w:r>
            <w:r>
              <w:rPr>
                <w:rFonts w:hint="eastAsia" w:ascii="宋体" w:hAnsi="宋体"/>
                <w:color w:val="auto"/>
                <w:szCs w:val="21"/>
                <w:highlight w:val="none"/>
                <w:lang w:eastAsia="zh-CN"/>
              </w:rPr>
              <w:t>1640000</w:t>
            </w:r>
            <w:r>
              <w:rPr>
                <w:rFonts w:hint="eastAsia" w:ascii="宋体" w:hAnsi="宋体"/>
                <w:color w:val="auto"/>
                <w:szCs w:val="21"/>
                <w:highlight w:val="none"/>
              </w:rPr>
              <w:t>元。</w:t>
            </w:r>
          </w:p>
        </w:tc>
        <w:tc>
          <w:tcPr>
            <w:tcW w:w="283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提供“开标一览表”</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w:t>
            </w:r>
          </w:p>
        </w:tc>
        <w:tc>
          <w:tcPr>
            <w:tcW w:w="5859"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符合</w:t>
            </w:r>
            <w:r>
              <w:rPr>
                <w:rFonts w:hint="eastAsia" w:ascii="宋体" w:hAnsi="宋体"/>
                <w:color w:val="auto"/>
                <w:szCs w:val="21"/>
                <w:highlight w:val="none"/>
                <w:lang w:eastAsia="zh-CN"/>
              </w:rPr>
              <w:t>第三章</w:t>
            </w:r>
            <w:r>
              <w:rPr>
                <w:rFonts w:hint="eastAsia" w:ascii="宋体" w:hAnsi="宋体"/>
                <w:color w:val="auto"/>
                <w:szCs w:val="21"/>
                <w:highlight w:val="none"/>
              </w:rPr>
              <w:t>“投标须知”第</w:t>
            </w:r>
            <w:r>
              <w:rPr>
                <w:rFonts w:hint="eastAsia" w:ascii="宋体" w:hAnsi="宋体"/>
                <w:color w:val="auto"/>
                <w:szCs w:val="21"/>
                <w:highlight w:val="none"/>
                <w:lang w:val="en-US" w:eastAsia="zh-CN"/>
              </w:rPr>
              <w:t>十</w:t>
            </w:r>
            <w:r>
              <w:rPr>
                <w:rFonts w:hint="eastAsia" w:ascii="宋体" w:hAnsi="宋体"/>
                <w:color w:val="auto"/>
                <w:szCs w:val="21"/>
                <w:highlight w:val="none"/>
              </w:rPr>
              <w:t>条的要求。</w:t>
            </w:r>
          </w:p>
        </w:tc>
        <w:tc>
          <w:tcPr>
            <w:tcW w:w="283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5859"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评标委员会认为供应商的报价明显低于其他通过第一阶段评审供应商的报价，有可能影响服务质量或者不能诚信履约的，应当要求其在评标现场合理的时间内提供说明，必要时提交相关证明材料；供应商不能证明其报价合理性的，评标委员会应当将其作为无效投标处理。</w:t>
            </w:r>
          </w:p>
        </w:tc>
        <w:tc>
          <w:tcPr>
            <w:tcW w:w="283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4</w:t>
            </w:r>
          </w:p>
        </w:tc>
        <w:tc>
          <w:tcPr>
            <w:tcW w:w="5859"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符合法律、法规和招标文件中规定的其他实质性要求（实质性要求招标文件中“</w:t>
            </w:r>
            <w:r>
              <w:rPr>
                <w:rFonts w:hint="eastAsia" w:ascii="宋体" w:hAnsi="宋体"/>
                <w:b/>
                <w:color w:val="auto"/>
                <w:sz w:val="24"/>
                <w:highlight w:val="none"/>
              </w:rPr>
              <w:t>★</w:t>
            </w:r>
            <w:r>
              <w:rPr>
                <w:rFonts w:hint="eastAsia" w:ascii="宋体" w:hAnsi="宋体"/>
                <w:color w:val="auto"/>
                <w:szCs w:val="21"/>
                <w:highlight w:val="none"/>
              </w:rPr>
              <w:t>”标记）</w:t>
            </w:r>
          </w:p>
        </w:tc>
        <w:tc>
          <w:tcPr>
            <w:tcW w:w="2836"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vAlign w:val="center"/>
          </w:tcPr>
          <w:p>
            <w:pPr>
              <w:spacing w:line="400" w:lineRule="exact"/>
              <w:jc w:val="center"/>
              <w:rPr>
                <w:rFonts w:ascii="宋体" w:hAnsi="宋体"/>
                <w:color w:val="auto"/>
                <w:szCs w:val="21"/>
                <w:highlight w:val="none"/>
              </w:rPr>
            </w:pPr>
            <w:r>
              <w:rPr>
                <w:rFonts w:hint="eastAsia" w:ascii="宋体" w:hAnsi="宋体"/>
                <w:b/>
                <w:color w:val="auto"/>
                <w:szCs w:val="21"/>
                <w:highlight w:val="none"/>
              </w:rPr>
              <w:t>初步审查结论</w:t>
            </w:r>
          </w:p>
        </w:tc>
        <w:tc>
          <w:tcPr>
            <w:tcW w:w="2836" w:type="dxa"/>
            <w:vAlign w:val="center"/>
          </w:tcPr>
          <w:p>
            <w:pPr>
              <w:spacing w:line="400" w:lineRule="exact"/>
              <w:rPr>
                <w:rFonts w:ascii="宋体" w:hAnsi="宋体"/>
                <w:color w:val="auto"/>
                <w:szCs w:val="21"/>
                <w:highlight w:val="none"/>
              </w:rPr>
            </w:pPr>
          </w:p>
        </w:tc>
      </w:tr>
    </w:tbl>
    <w:p>
      <w:pPr>
        <w:spacing w:line="400" w:lineRule="exact"/>
        <w:rPr>
          <w:rFonts w:ascii="宋体" w:hAnsi="宋体"/>
          <w:color w:val="auto"/>
          <w:szCs w:val="21"/>
          <w:highlight w:val="none"/>
        </w:rPr>
      </w:pPr>
      <w:r>
        <w:rPr>
          <w:rFonts w:hint="eastAsia" w:ascii="宋体" w:hAnsi="宋体"/>
          <w:b/>
          <w:color w:val="auto"/>
          <w:highlight w:val="none"/>
        </w:rPr>
        <w:t>注：</w:t>
      </w:r>
      <w:r>
        <w:rPr>
          <w:rFonts w:ascii="宋体" w:hAnsi="宋体"/>
          <w:b/>
          <w:color w:val="auto"/>
          <w:highlight w:val="none"/>
        </w:rPr>
        <w:t>1</w:t>
      </w:r>
      <w:r>
        <w:rPr>
          <w:rFonts w:hint="eastAsia" w:ascii="宋体" w:hAnsi="宋体"/>
          <w:b/>
          <w:color w:val="auto"/>
          <w:highlight w:val="none"/>
        </w:rPr>
        <w:t>、上述审查项目中，任意一项不符合的，初步审查不合格。</w:t>
      </w:r>
    </w:p>
    <w:p>
      <w:pPr>
        <w:spacing w:line="400" w:lineRule="exact"/>
        <w:rPr>
          <w:rFonts w:ascii="宋体" w:hAnsi="宋体"/>
          <w:color w:val="auto"/>
          <w:szCs w:val="21"/>
          <w:highlight w:val="none"/>
        </w:rPr>
      </w:pPr>
      <w:r>
        <w:rPr>
          <w:rFonts w:hint="eastAsia" w:ascii="宋体" w:hAnsi="宋体"/>
          <w:b/>
          <w:color w:val="auto"/>
          <w:highlight w:val="none"/>
        </w:rPr>
        <w:t xml:space="preserve"> </w:t>
      </w:r>
    </w:p>
    <w:p>
      <w:pPr>
        <w:spacing w:line="400" w:lineRule="exact"/>
        <w:rPr>
          <w:rFonts w:ascii="宋体" w:hAnsi="宋体"/>
          <w:color w:val="auto"/>
          <w:szCs w:val="21"/>
          <w:highlight w:val="none"/>
        </w:rPr>
      </w:pPr>
    </w:p>
    <w:p>
      <w:pPr>
        <w:rPr>
          <w:rFonts w:ascii="宋体" w:hAnsi="宋体"/>
          <w:b/>
          <w:bCs/>
          <w:color w:val="auto"/>
          <w:szCs w:val="21"/>
          <w:highlight w:val="none"/>
        </w:rPr>
      </w:pPr>
      <w:r>
        <w:rPr>
          <w:rFonts w:hint="eastAsia" w:ascii="宋体" w:hAnsi="宋体"/>
          <w:b/>
          <w:bCs/>
          <w:color w:val="auto"/>
          <w:szCs w:val="21"/>
          <w:highlight w:val="none"/>
        </w:rPr>
        <w:t>附表</w:t>
      </w:r>
      <w:r>
        <w:rPr>
          <w:rFonts w:ascii="宋体" w:hAnsi="宋体"/>
          <w:b/>
          <w:bCs/>
          <w:color w:val="auto"/>
          <w:szCs w:val="21"/>
          <w:highlight w:val="none"/>
        </w:rPr>
        <w:t>5</w:t>
      </w:r>
    </w:p>
    <w:p>
      <w:pPr>
        <w:widowControl/>
        <w:snapToGrid w:val="0"/>
        <w:spacing w:line="560" w:lineRule="exact"/>
        <w:jc w:val="center"/>
        <w:rPr>
          <w:rFonts w:ascii="宋体" w:hAnsi="宋体"/>
          <w:b/>
          <w:color w:val="auto"/>
          <w:sz w:val="22"/>
          <w:szCs w:val="22"/>
          <w:highlight w:val="none"/>
        </w:rPr>
      </w:pPr>
      <w:r>
        <w:rPr>
          <w:rFonts w:hint="eastAsia" w:ascii="宋体" w:hAnsi="宋体"/>
          <w:b/>
          <w:color w:val="auto"/>
          <w:sz w:val="22"/>
          <w:szCs w:val="22"/>
          <w:highlight w:val="none"/>
        </w:rPr>
        <w:t>价格评分表</w:t>
      </w:r>
    </w:p>
    <w:p>
      <w:pPr>
        <w:spacing w:line="320" w:lineRule="exact"/>
        <w:rPr>
          <w:rFonts w:ascii="宋体" w:hAnsi="宋体"/>
          <w:b/>
          <w:color w:val="auto"/>
          <w:szCs w:val="21"/>
          <w:highlight w:val="none"/>
        </w:rPr>
      </w:pPr>
      <w:r>
        <w:rPr>
          <w:rFonts w:hint="eastAsia" w:ascii="宋体" w:hAnsi="宋体"/>
          <w:b/>
          <w:color w:val="auto"/>
          <w:szCs w:val="21"/>
          <w:highlight w:val="none"/>
        </w:rPr>
        <w:t xml:space="preserve">项目编号：                                </w:t>
      </w:r>
      <w:r>
        <w:rPr>
          <w:rFonts w:ascii="宋体" w:hAnsi="宋体"/>
          <w:b/>
          <w:color w:val="auto"/>
          <w:szCs w:val="21"/>
          <w:highlight w:val="none"/>
        </w:rPr>
        <w:t xml:space="preserve">                                            </w:t>
      </w:r>
    </w:p>
    <w:tbl>
      <w:tblPr>
        <w:tblStyle w:val="47"/>
        <w:tblW w:w="933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520" w:type="dxa"/>
            <w:gridSpan w:val="2"/>
            <w:tcBorders>
              <w:tl2br w:val="single" w:color="000000" w:sz="4" w:space="0"/>
            </w:tcBorders>
          </w:tcPr>
          <w:p>
            <w:pPr>
              <w:spacing w:line="320" w:lineRule="exact"/>
              <w:ind w:right="420" w:firstLine="4410" w:firstLineChars="2100"/>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供应商</w:t>
            </w:r>
          </w:p>
          <w:p>
            <w:pPr>
              <w:spacing w:line="320" w:lineRule="exact"/>
              <w:ind w:firstLine="945" w:firstLineChars="450"/>
              <w:rPr>
                <w:rFonts w:ascii="宋体" w:hAnsi="宋体"/>
                <w:color w:val="auto"/>
                <w:szCs w:val="21"/>
                <w:highlight w:val="none"/>
                <w:lang w:val="ru-RU"/>
              </w:rPr>
            </w:pPr>
            <w:r>
              <w:rPr>
                <w:rFonts w:hint="eastAsia" w:ascii="宋体" w:hAnsi="宋体"/>
                <w:color w:val="auto"/>
                <w:szCs w:val="21"/>
                <w:highlight w:val="none"/>
              </w:rPr>
              <w:t>分值</w:t>
            </w:r>
          </w:p>
        </w:tc>
        <w:tc>
          <w:tcPr>
            <w:tcW w:w="814" w:type="dxa"/>
            <w:vAlign w:val="center"/>
          </w:tcPr>
          <w:p>
            <w:pPr>
              <w:spacing w:line="320" w:lineRule="exact"/>
              <w:jc w:val="center"/>
              <w:rPr>
                <w:rFonts w:ascii="宋体" w:hAnsi="宋体"/>
                <w:color w:val="auto"/>
                <w:szCs w:val="21"/>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905" w:type="dxa"/>
            <w:vAlign w:val="center"/>
          </w:tcPr>
          <w:p>
            <w:pPr>
              <w:spacing w:line="340" w:lineRule="exact"/>
              <w:jc w:val="center"/>
              <w:rPr>
                <w:rFonts w:ascii="宋体" w:hAnsi="宋体"/>
                <w:color w:val="auto"/>
                <w:szCs w:val="21"/>
                <w:highlight w:val="none"/>
              </w:rPr>
            </w:pPr>
            <w:r>
              <w:rPr>
                <w:rFonts w:hint="eastAsia" w:ascii="宋体" w:hAnsi="宋体"/>
                <w:color w:val="auto"/>
                <w:szCs w:val="21"/>
                <w:highlight w:val="none"/>
              </w:rPr>
              <w:t>价格分15分</w:t>
            </w:r>
          </w:p>
        </w:tc>
        <w:tc>
          <w:tcPr>
            <w:tcW w:w="7615" w:type="dxa"/>
            <w:vAlign w:val="center"/>
          </w:tcPr>
          <w:p>
            <w:pPr>
              <w:spacing w:line="340" w:lineRule="exact"/>
              <w:rPr>
                <w:rFonts w:hint="eastAsia" w:ascii="宋体" w:hAnsi="宋体" w:eastAsia="宋体" w:cs="宋体"/>
                <w:color w:val="auto"/>
                <w:szCs w:val="21"/>
                <w:highlight w:val="none"/>
                <w:shd w:val="clear" w:color="auto" w:fill="auto"/>
                <w:lang w:eastAsia="zh-CN"/>
              </w:rPr>
            </w:pPr>
            <w:r>
              <w:rPr>
                <w:rFonts w:hint="eastAsia" w:ascii="宋体" w:hAnsi="宋体" w:eastAsia="宋体" w:cs="宋体"/>
                <w:color w:val="auto"/>
                <w:sz w:val="22"/>
                <w:szCs w:val="18"/>
                <w:highlight w:val="none"/>
                <w:shd w:val="clear" w:color="auto" w:fill="auto"/>
              </w:rPr>
              <w:t>参与</w:t>
            </w:r>
            <w:r>
              <w:rPr>
                <w:rFonts w:hint="eastAsia" w:ascii="宋体" w:hAnsi="宋体" w:eastAsia="宋体" w:cs="宋体"/>
                <w:color w:val="auto"/>
                <w:szCs w:val="21"/>
                <w:highlight w:val="none"/>
                <w:shd w:val="clear" w:color="auto" w:fill="auto"/>
              </w:rPr>
              <w:t>评审的价格=评标价-</w:t>
            </w:r>
            <w:r>
              <w:rPr>
                <w:rFonts w:hint="eastAsia" w:ascii="宋体" w:hAnsi="宋体" w:eastAsia="宋体" w:cs="宋体"/>
                <w:color w:val="auto"/>
                <w:kern w:val="0"/>
                <w:szCs w:val="21"/>
                <w:highlight w:val="none"/>
                <w:shd w:val="clear" w:color="auto" w:fill="auto"/>
                <w:lang w:val="zh-CN"/>
              </w:rPr>
              <w:t>小微企业（残疾人福利性单位、监狱企业（监狱和戒毒企业）视同小微企业）价格扣除优惠值</w:t>
            </w:r>
            <w:r>
              <w:rPr>
                <w:rFonts w:hint="eastAsia" w:ascii="宋体" w:hAnsi="宋体" w:eastAsia="宋体" w:cs="宋体"/>
                <w:color w:val="auto"/>
                <w:kern w:val="0"/>
                <w:szCs w:val="21"/>
                <w:highlight w:val="none"/>
                <w:shd w:val="clear" w:color="auto" w:fill="auto"/>
                <w:lang w:val="en-US" w:eastAsia="zh-CN"/>
              </w:rPr>
              <w:t>1</w:t>
            </w:r>
            <w:r>
              <w:rPr>
                <w:rFonts w:hint="eastAsia" w:ascii="宋体" w:hAnsi="宋体" w:eastAsia="宋体" w:cs="宋体"/>
                <w:color w:val="auto"/>
                <w:szCs w:val="21"/>
                <w:highlight w:val="none"/>
                <w:shd w:val="clear" w:color="auto" w:fill="auto"/>
                <w:lang w:val="en-US" w:eastAsia="zh-CN"/>
              </w:rPr>
              <w:t>0</w:t>
            </w:r>
            <w:r>
              <w:rPr>
                <w:rFonts w:hint="eastAsia" w:ascii="宋体" w:hAnsi="宋体" w:eastAsia="宋体" w:cs="宋体"/>
                <w:color w:val="auto"/>
                <w:szCs w:val="21"/>
                <w:highlight w:val="none"/>
                <w:shd w:val="clear" w:color="auto" w:fill="auto"/>
              </w:rPr>
              <w:t>%</w:t>
            </w:r>
            <w:r>
              <w:rPr>
                <w:rFonts w:hint="eastAsia" w:ascii="宋体" w:hAnsi="宋体" w:eastAsia="宋体" w:cs="宋体"/>
                <w:color w:val="auto"/>
                <w:szCs w:val="21"/>
                <w:highlight w:val="none"/>
                <w:shd w:val="clear" w:color="auto" w:fill="auto"/>
                <w:lang w:eastAsia="zh-CN"/>
              </w:rPr>
              <w:t>，大中型企业与小微企业组成联合体，对于联合协议约定小微企业的合同份额占到合同总金额30%以上的，其报价给予</w:t>
            </w:r>
            <w:r>
              <w:rPr>
                <w:rFonts w:hint="eastAsia" w:ascii="宋体" w:hAnsi="宋体" w:cs="宋体"/>
                <w:color w:val="auto"/>
                <w:szCs w:val="21"/>
                <w:highlight w:val="none"/>
                <w:shd w:val="clear" w:color="auto" w:fill="auto"/>
                <w:lang w:val="en-US" w:eastAsia="zh-CN"/>
              </w:rPr>
              <w:t>6</w:t>
            </w:r>
            <w:r>
              <w:rPr>
                <w:rFonts w:hint="eastAsia" w:ascii="宋体" w:hAnsi="宋体" w:eastAsia="宋体" w:cs="宋体"/>
                <w:color w:val="auto"/>
                <w:szCs w:val="21"/>
                <w:highlight w:val="none"/>
                <w:shd w:val="clear" w:color="auto" w:fill="auto"/>
                <w:lang w:eastAsia="zh-CN"/>
              </w:rPr>
              <w:t>%的扣除。</w:t>
            </w:r>
          </w:p>
          <w:p>
            <w:pPr>
              <w:spacing w:line="340" w:lineRule="exact"/>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评标基准价=满足招标文件要求且“参与评审的价格”中最低的价格为评标基准价</w:t>
            </w:r>
          </w:p>
          <w:p>
            <w:pPr>
              <w:spacing w:line="340" w:lineRule="exact"/>
              <w:rPr>
                <w:rFonts w:hint="eastAsia" w:ascii="宋体" w:hAnsi="宋体" w:eastAsia="宋体" w:cs="宋体"/>
                <w:color w:val="auto"/>
                <w:szCs w:val="21"/>
                <w:highlight w:val="none"/>
                <w:shd w:val="clear" w:color="auto" w:fill="auto"/>
              </w:rPr>
            </w:pPr>
            <w:r>
              <w:rPr>
                <w:rFonts w:hint="eastAsia" w:ascii="宋体" w:hAnsi="宋体" w:eastAsia="宋体" w:cs="宋体"/>
                <w:color w:val="auto"/>
                <w:szCs w:val="21"/>
                <w:highlight w:val="none"/>
                <w:shd w:val="clear" w:color="auto" w:fill="auto"/>
              </w:rPr>
              <w:t>基准价得分为满分</w:t>
            </w:r>
            <w:r>
              <w:rPr>
                <w:rFonts w:hint="eastAsia" w:ascii="宋体" w:hAnsi="宋体" w:eastAsia="宋体" w:cs="宋体"/>
                <w:color w:val="auto"/>
                <w:szCs w:val="21"/>
                <w:highlight w:val="none"/>
                <w:shd w:val="clear" w:color="auto" w:fill="auto"/>
                <w:lang w:val="en-US" w:eastAsia="zh-CN"/>
              </w:rPr>
              <w:t>15</w:t>
            </w:r>
            <w:r>
              <w:rPr>
                <w:rFonts w:hint="eastAsia" w:ascii="宋体" w:hAnsi="宋体" w:eastAsia="宋体" w:cs="宋体"/>
                <w:color w:val="auto"/>
                <w:szCs w:val="21"/>
                <w:highlight w:val="none"/>
                <w:shd w:val="clear" w:color="auto" w:fill="auto"/>
              </w:rPr>
              <w:t>分，其他</w:t>
            </w:r>
            <w:r>
              <w:rPr>
                <w:rFonts w:hint="eastAsia" w:ascii="宋体" w:hAnsi="宋体" w:cs="宋体"/>
                <w:color w:val="auto"/>
                <w:szCs w:val="21"/>
                <w:highlight w:val="none"/>
                <w:shd w:val="clear" w:color="auto" w:fill="auto"/>
                <w:lang w:eastAsia="zh-CN"/>
              </w:rPr>
              <w:t>供应商</w:t>
            </w:r>
            <w:r>
              <w:rPr>
                <w:rFonts w:hint="eastAsia" w:ascii="宋体" w:hAnsi="宋体" w:eastAsia="宋体" w:cs="宋体"/>
                <w:color w:val="auto"/>
                <w:szCs w:val="21"/>
                <w:highlight w:val="none"/>
                <w:shd w:val="clear" w:color="auto" w:fill="auto"/>
              </w:rPr>
              <w:t>报价得分计算公式如下：</w:t>
            </w:r>
          </w:p>
          <w:p>
            <w:pPr>
              <w:spacing w:line="340" w:lineRule="exact"/>
              <w:rPr>
                <w:rFonts w:ascii="宋体" w:hAnsi="宋体"/>
                <w:color w:val="auto"/>
                <w:szCs w:val="21"/>
                <w:highlight w:val="none"/>
              </w:rPr>
            </w:pPr>
            <w:r>
              <w:rPr>
                <w:rFonts w:hint="eastAsia" w:ascii="宋体" w:hAnsi="宋体" w:eastAsia="宋体" w:cs="宋体"/>
                <w:color w:val="auto"/>
                <w:szCs w:val="21"/>
                <w:highlight w:val="none"/>
                <w:shd w:val="clear" w:color="auto" w:fill="auto"/>
              </w:rPr>
              <w:t>其他</w:t>
            </w:r>
            <w:r>
              <w:rPr>
                <w:rFonts w:hint="eastAsia" w:ascii="宋体" w:hAnsi="宋体" w:cs="宋体"/>
                <w:color w:val="auto"/>
                <w:szCs w:val="21"/>
                <w:highlight w:val="none"/>
                <w:shd w:val="clear" w:color="auto" w:fill="auto"/>
                <w:lang w:eastAsia="zh-CN"/>
              </w:rPr>
              <w:t>供应商</w:t>
            </w:r>
            <w:r>
              <w:rPr>
                <w:rFonts w:hint="eastAsia" w:ascii="宋体" w:hAnsi="宋体" w:eastAsia="宋体" w:cs="宋体"/>
                <w:color w:val="auto"/>
                <w:szCs w:val="21"/>
                <w:highlight w:val="none"/>
                <w:shd w:val="clear" w:color="auto" w:fill="auto"/>
              </w:rPr>
              <w:t>报价得分=（评标基准价/参与评审的价格）×</w:t>
            </w:r>
            <w:r>
              <w:rPr>
                <w:rFonts w:hint="eastAsia" w:ascii="宋体" w:hAnsi="宋体" w:eastAsia="宋体" w:cs="宋体"/>
                <w:color w:val="auto"/>
                <w:szCs w:val="21"/>
                <w:highlight w:val="none"/>
                <w:shd w:val="clear" w:color="auto" w:fill="auto"/>
                <w:lang w:val="en-US" w:eastAsia="zh-CN"/>
              </w:rPr>
              <w:t>15</w:t>
            </w:r>
            <w:r>
              <w:rPr>
                <w:rFonts w:hint="eastAsia" w:ascii="宋体" w:hAnsi="宋体" w:eastAsia="宋体" w:cs="宋体"/>
                <w:color w:val="auto"/>
                <w:szCs w:val="21"/>
                <w:highlight w:val="none"/>
                <w:shd w:val="clear" w:color="auto" w:fill="auto"/>
              </w:rPr>
              <w:t>%×100</w:t>
            </w:r>
          </w:p>
        </w:tc>
        <w:tc>
          <w:tcPr>
            <w:tcW w:w="814" w:type="dxa"/>
            <w:vAlign w:val="center"/>
          </w:tcPr>
          <w:p>
            <w:pPr>
              <w:spacing w:line="320" w:lineRule="exact"/>
              <w:jc w:val="center"/>
              <w:rPr>
                <w:rFonts w:ascii="宋体" w:hAnsi="宋体"/>
                <w:color w:val="auto"/>
                <w:szCs w:val="21"/>
                <w:highlight w:val="none"/>
              </w:rPr>
            </w:pPr>
            <w:r>
              <w:rPr>
                <w:rFonts w:hint="eastAsia" w:ascii="宋体" w:hAnsi="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0" w:type="dxa"/>
            <w:gridSpan w:val="2"/>
            <w:vAlign w:val="center"/>
          </w:tcPr>
          <w:p>
            <w:pPr>
              <w:spacing w:line="320" w:lineRule="exact"/>
              <w:jc w:val="center"/>
              <w:rPr>
                <w:rFonts w:ascii="宋体" w:hAnsi="宋体"/>
                <w:color w:val="auto"/>
                <w:szCs w:val="21"/>
                <w:highlight w:val="none"/>
              </w:rPr>
            </w:pPr>
            <w:r>
              <w:rPr>
                <w:rFonts w:hint="eastAsia" w:ascii="宋体" w:hAnsi="宋体"/>
                <w:b/>
                <w:color w:val="auto"/>
                <w:szCs w:val="21"/>
                <w:highlight w:val="none"/>
              </w:rPr>
              <w:t>报价得分（15分）</w:t>
            </w:r>
          </w:p>
        </w:tc>
        <w:tc>
          <w:tcPr>
            <w:tcW w:w="814" w:type="dxa"/>
            <w:vAlign w:val="center"/>
          </w:tcPr>
          <w:p>
            <w:pPr>
              <w:spacing w:line="320" w:lineRule="exact"/>
              <w:jc w:val="center"/>
              <w:rPr>
                <w:rFonts w:ascii="宋体" w:hAnsi="宋体"/>
                <w:color w:val="auto"/>
                <w:szCs w:val="21"/>
                <w:highlight w:val="none"/>
              </w:rPr>
            </w:pPr>
          </w:p>
        </w:tc>
      </w:tr>
    </w:tbl>
    <w:p>
      <w:pPr>
        <w:spacing w:line="320" w:lineRule="exact"/>
        <w:rPr>
          <w:rFonts w:ascii="宋体" w:hAnsi="宋体"/>
          <w:color w:val="auto"/>
          <w:sz w:val="28"/>
          <w:szCs w:val="28"/>
          <w:highlight w:val="none"/>
        </w:rPr>
      </w:pPr>
    </w:p>
    <w:p>
      <w:pPr>
        <w:ind w:right="-1226" w:rightChars="-584"/>
        <w:jc w:val="left"/>
        <w:rPr>
          <w:rFonts w:ascii="宋体" w:hAnsi="宋体"/>
          <w:color w:val="auto"/>
          <w:sz w:val="28"/>
          <w:szCs w:val="28"/>
          <w:highlight w:val="none"/>
        </w:rPr>
      </w:pPr>
    </w:p>
    <w:p>
      <w:pPr>
        <w:ind w:right="-1226" w:rightChars="-584"/>
        <w:jc w:val="center"/>
        <w:rPr>
          <w:rFonts w:ascii="宋体" w:hAnsi="宋体"/>
          <w:color w:val="auto"/>
          <w:sz w:val="28"/>
          <w:szCs w:val="28"/>
          <w:highlight w:val="none"/>
        </w:rPr>
        <w:sectPr>
          <w:headerReference r:id="rId7" w:type="default"/>
          <w:footerReference r:id="rId8" w:type="default"/>
          <w:type w:val="nextColumn"/>
          <w:pgSz w:w="11907" w:h="16840"/>
          <w:pgMar w:top="1440" w:right="1800" w:bottom="1440" w:left="1800" w:header="285" w:footer="616" w:gutter="0"/>
          <w:cols w:space="720" w:num="1"/>
          <w:docGrid w:linePitch="285" w:charSpace="0"/>
        </w:sectPr>
      </w:pPr>
    </w:p>
    <w:p>
      <w:pPr>
        <w:spacing w:line="400" w:lineRule="exact"/>
        <w:jc w:val="center"/>
        <w:outlineLvl w:val="0"/>
        <w:rPr>
          <w:rFonts w:hint="eastAsia" w:ascii="宋体" w:hAnsi="宋体" w:eastAsia="宋体"/>
          <w:b/>
          <w:color w:val="auto"/>
          <w:sz w:val="36"/>
          <w:szCs w:val="21"/>
          <w:highlight w:val="none"/>
          <w:lang w:val="en-US" w:eastAsia="zh-CN"/>
        </w:rPr>
      </w:pPr>
      <w:bookmarkStart w:id="33" w:name="_Toc30341"/>
      <w:r>
        <w:rPr>
          <w:rFonts w:hint="eastAsia" w:ascii="宋体" w:hAnsi="宋体"/>
          <w:b/>
          <w:color w:val="auto"/>
          <w:sz w:val="36"/>
          <w:szCs w:val="21"/>
          <w:highlight w:val="none"/>
        </w:rPr>
        <w:t>第</w:t>
      </w:r>
      <w:r>
        <w:rPr>
          <w:rFonts w:hint="eastAsia" w:ascii="宋体" w:hAnsi="宋体"/>
          <w:b/>
          <w:color w:val="auto"/>
          <w:sz w:val="36"/>
          <w:szCs w:val="21"/>
          <w:highlight w:val="none"/>
          <w:lang w:val="en-US" w:eastAsia="zh-CN"/>
        </w:rPr>
        <w:t>五</w:t>
      </w:r>
      <w:r>
        <w:rPr>
          <w:rFonts w:hint="eastAsia" w:ascii="宋体" w:hAnsi="宋体"/>
          <w:b/>
          <w:color w:val="auto"/>
          <w:sz w:val="36"/>
          <w:szCs w:val="21"/>
          <w:highlight w:val="none"/>
        </w:rPr>
        <w:t>章</w:t>
      </w:r>
      <w:r>
        <w:rPr>
          <w:rFonts w:ascii="宋体" w:hAnsi="宋体"/>
          <w:b/>
          <w:color w:val="auto"/>
          <w:sz w:val="36"/>
          <w:szCs w:val="21"/>
          <w:highlight w:val="none"/>
        </w:rPr>
        <w:t xml:space="preserve">  </w:t>
      </w:r>
      <w:r>
        <w:rPr>
          <w:rFonts w:hint="eastAsia" w:ascii="宋体" w:hAnsi="宋体"/>
          <w:b/>
          <w:color w:val="auto"/>
          <w:sz w:val="36"/>
          <w:szCs w:val="21"/>
          <w:highlight w:val="none"/>
        </w:rPr>
        <w:t>合同</w:t>
      </w:r>
      <w:r>
        <w:rPr>
          <w:rFonts w:hint="eastAsia" w:ascii="宋体" w:hAnsi="宋体"/>
          <w:b/>
          <w:color w:val="auto"/>
          <w:sz w:val="36"/>
          <w:szCs w:val="21"/>
          <w:highlight w:val="none"/>
          <w:lang w:val="en-US" w:eastAsia="zh-CN"/>
        </w:rPr>
        <w:t>样本</w:t>
      </w:r>
      <w:bookmarkEnd w:id="33"/>
    </w:p>
    <w:p>
      <w:pPr>
        <w:spacing w:line="360" w:lineRule="auto"/>
        <w:contextualSpacing/>
        <w:rPr>
          <w:color w:val="auto"/>
          <w:szCs w:val="21"/>
          <w:highlight w:val="none"/>
        </w:rPr>
      </w:pPr>
      <w:bookmarkStart w:id="34" w:name="_Toc216662965"/>
    </w:p>
    <w:p>
      <w:pPr>
        <w:pStyle w:val="19"/>
        <w:spacing w:line="360" w:lineRule="auto"/>
        <w:ind w:firstLine="0"/>
        <w:rPr>
          <w:rFonts w:ascii="宋体" w:hAnsi="宋体" w:cs="宋体"/>
          <w:color w:val="auto"/>
          <w:sz w:val="21"/>
          <w:szCs w:val="21"/>
          <w:highlight w:val="none"/>
        </w:rPr>
      </w:pPr>
      <w:r>
        <w:rPr>
          <w:rFonts w:hint="eastAsia" w:ascii="宋体" w:hAnsi="宋体" w:cs="宋体"/>
          <w:color w:val="auto"/>
          <w:sz w:val="21"/>
          <w:szCs w:val="21"/>
          <w:highlight w:val="none"/>
        </w:rPr>
        <w:t>委托单位（以下简称甲方）：</w:t>
      </w:r>
    </w:p>
    <w:p>
      <w:pPr>
        <w:pStyle w:val="19"/>
        <w:spacing w:line="360" w:lineRule="auto"/>
        <w:ind w:firstLine="0"/>
        <w:rPr>
          <w:rFonts w:hint="eastAsia" w:ascii="宋体" w:hAnsi="宋体" w:cs="宋体"/>
          <w:color w:val="auto"/>
          <w:sz w:val="21"/>
          <w:szCs w:val="21"/>
          <w:highlight w:val="none"/>
        </w:rPr>
      </w:pPr>
      <w:r>
        <w:rPr>
          <w:rFonts w:hint="eastAsia" w:ascii="宋体" w:hAnsi="宋体" w:cs="宋体"/>
          <w:color w:val="auto"/>
          <w:sz w:val="21"/>
          <w:szCs w:val="21"/>
          <w:highlight w:val="none"/>
        </w:rPr>
        <w:t>设计单位（以下简称乙方）：</w:t>
      </w:r>
    </w:p>
    <w:p>
      <w:pPr>
        <w:spacing w:line="400" w:lineRule="exact"/>
        <w:ind w:firstLine="420" w:firstLineChars="200"/>
        <w:rPr>
          <w:color w:val="auto"/>
          <w:szCs w:val="21"/>
          <w:highlight w:val="none"/>
        </w:rPr>
      </w:pPr>
      <w:r>
        <w:rPr>
          <w:rFonts w:hint="eastAsia" w:cs="宋体"/>
          <w:color w:val="auto"/>
          <w:kern w:val="0"/>
          <w:szCs w:val="21"/>
          <w:highlight w:val="none"/>
        </w:rPr>
        <w:t>甲、乙双方根据甲方关于公开招标的结果</w:t>
      </w:r>
      <w:r>
        <w:rPr>
          <w:rFonts w:hint="eastAsia"/>
          <w:color w:val="auto"/>
          <w:szCs w:val="21"/>
          <w:highlight w:val="none"/>
        </w:rPr>
        <w:t>，委托乙方开展本合同书约定的规划设计工作，为明确双方的权利、义务，经协商一致，依照《中华人民共和国民法典》等规定，并遵循诚实、信用、公平和自愿的原则订立本合同书。</w:t>
      </w:r>
    </w:p>
    <w:p>
      <w:pPr>
        <w:spacing w:line="400" w:lineRule="exact"/>
        <w:rPr>
          <w:b/>
          <w:color w:val="auto"/>
          <w:szCs w:val="21"/>
          <w:highlight w:val="none"/>
        </w:rPr>
      </w:pPr>
      <w:r>
        <w:rPr>
          <w:rFonts w:hint="eastAsia"/>
          <w:b/>
          <w:color w:val="auto"/>
          <w:szCs w:val="21"/>
          <w:highlight w:val="none"/>
        </w:rPr>
        <w:t>第一条签订依据</w:t>
      </w:r>
    </w:p>
    <w:p>
      <w:pPr>
        <w:spacing w:line="400" w:lineRule="exact"/>
        <w:ind w:firstLine="420" w:firstLineChars="200"/>
        <w:rPr>
          <w:color w:val="auto"/>
          <w:szCs w:val="21"/>
          <w:highlight w:val="none"/>
        </w:rPr>
      </w:pPr>
      <w:r>
        <w:rPr>
          <w:rFonts w:hint="eastAsia"/>
          <w:color w:val="auto"/>
          <w:szCs w:val="21"/>
          <w:highlight w:val="none"/>
        </w:rPr>
        <w:t>《中华人民共和国民法典》《中华人民共和国城乡规划法》《城市规划编制办法》等法律、法规及规定。</w:t>
      </w:r>
    </w:p>
    <w:p>
      <w:pPr>
        <w:spacing w:line="400" w:lineRule="exact"/>
        <w:rPr>
          <w:b/>
          <w:color w:val="auto"/>
          <w:szCs w:val="21"/>
          <w:highlight w:val="none"/>
        </w:rPr>
      </w:pPr>
      <w:r>
        <w:rPr>
          <w:rFonts w:hint="eastAsia"/>
          <w:b/>
          <w:color w:val="auto"/>
          <w:szCs w:val="21"/>
          <w:highlight w:val="none"/>
        </w:rPr>
        <w:t>第二条项目地点、名称、类别、范围</w:t>
      </w:r>
    </w:p>
    <w:p>
      <w:pPr>
        <w:spacing w:line="400" w:lineRule="exact"/>
        <w:ind w:firstLine="420" w:firstLineChars="200"/>
        <w:rPr>
          <w:color w:val="auto"/>
          <w:szCs w:val="21"/>
          <w:highlight w:val="none"/>
        </w:rPr>
      </w:pPr>
      <w:r>
        <w:rPr>
          <w:rFonts w:hint="eastAsia"/>
          <w:color w:val="auto"/>
          <w:szCs w:val="21"/>
          <w:highlight w:val="none"/>
        </w:rPr>
        <w:t>1、项目地点：</w:t>
      </w:r>
    </w:p>
    <w:p>
      <w:pPr>
        <w:spacing w:line="400" w:lineRule="exact"/>
        <w:ind w:firstLine="420" w:firstLineChars="200"/>
        <w:rPr>
          <w:color w:val="auto"/>
          <w:szCs w:val="21"/>
          <w:highlight w:val="none"/>
        </w:rPr>
      </w:pPr>
      <w:r>
        <w:rPr>
          <w:rFonts w:hint="eastAsia"/>
          <w:color w:val="auto"/>
          <w:szCs w:val="21"/>
          <w:highlight w:val="none"/>
        </w:rPr>
        <w:t>2、项目名称：</w:t>
      </w:r>
    </w:p>
    <w:p>
      <w:pPr>
        <w:spacing w:line="400" w:lineRule="exact"/>
        <w:ind w:firstLine="420" w:firstLineChars="200"/>
        <w:rPr>
          <w:color w:val="auto"/>
          <w:szCs w:val="21"/>
          <w:highlight w:val="none"/>
        </w:rPr>
      </w:pPr>
      <w:r>
        <w:rPr>
          <w:rFonts w:hint="eastAsia"/>
          <w:color w:val="auto"/>
          <w:szCs w:val="21"/>
          <w:highlight w:val="none"/>
        </w:rPr>
        <w:t>3、项目类别：</w:t>
      </w:r>
    </w:p>
    <w:p>
      <w:pPr>
        <w:spacing w:line="400" w:lineRule="exact"/>
        <w:rPr>
          <w:color w:val="auto"/>
          <w:szCs w:val="21"/>
          <w:highlight w:val="none"/>
        </w:rPr>
      </w:pPr>
      <w:r>
        <w:rPr>
          <w:rFonts w:hint="eastAsia"/>
          <w:color w:val="auto"/>
          <w:szCs w:val="21"/>
          <w:highlight w:val="none"/>
        </w:rPr>
        <w:t>□城镇体系规划</w:t>
      </w:r>
    </w:p>
    <w:p>
      <w:pPr>
        <w:spacing w:line="400" w:lineRule="exact"/>
        <w:rPr>
          <w:color w:val="auto"/>
          <w:szCs w:val="21"/>
          <w:highlight w:val="none"/>
        </w:rPr>
      </w:pPr>
      <w:r>
        <w:rPr>
          <w:rFonts w:hint="eastAsia"/>
          <w:color w:val="auto"/>
          <w:szCs w:val="21"/>
          <w:highlight w:val="none"/>
        </w:rPr>
        <w:t>□总体规划</w:t>
      </w:r>
    </w:p>
    <w:p>
      <w:pPr>
        <w:spacing w:line="400" w:lineRule="exact"/>
        <w:rPr>
          <w:color w:val="auto"/>
          <w:szCs w:val="21"/>
          <w:highlight w:val="none"/>
        </w:rPr>
      </w:pPr>
      <w:r>
        <w:rPr>
          <w:rFonts w:hint="eastAsia"/>
          <w:color w:val="auto"/>
          <w:szCs w:val="21"/>
          <w:highlight w:val="none"/>
          <w:lang w:eastAsia="zh-CN"/>
        </w:rPr>
        <w:t>☑</w:t>
      </w:r>
      <w:r>
        <w:rPr>
          <w:rFonts w:hint="eastAsia"/>
          <w:color w:val="auto"/>
          <w:szCs w:val="21"/>
          <w:highlight w:val="none"/>
        </w:rPr>
        <w:t>详细规划（</w:t>
      </w:r>
      <w:r>
        <w:rPr>
          <w:rFonts w:hint="eastAsia"/>
          <w:color w:val="auto"/>
          <w:szCs w:val="21"/>
          <w:highlight w:val="none"/>
          <w:lang w:eastAsia="zh-CN"/>
        </w:rPr>
        <w:t>☑</w:t>
      </w:r>
      <w:r>
        <w:rPr>
          <w:rFonts w:hint="eastAsia"/>
          <w:color w:val="auto"/>
          <w:szCs w:val="21"/>
          <w:highlight w:val="none"/>
        </w:rPr>
        <w:t>控制性□修建性）</w:t>
      </w:r>
    </w:p>
    <w:p>
      <w:pPr>
        <w:spacing w:line="400" w:lineRule="exact"/>
        <w:rPr>
          <w:color w:val="auto"/>
          <w:szCs w:val="21"/>
          <w:highlight w:val="none"/>
        </w:rPr>
      </w:pPr>
      <w:r>
        <w:rPr>
          <w:color w:val="auto"/>
          <w:szCs w:val="21"/>
          <w:highlight w:val="none"/>
        </w:rPr>
        <w:fldChar w:fldCharType="begin"/>
      </w:r>
      <w:r>
        <w:rPr>
          <w:rFonts w:hint="eastAsia"/>
          <w:color w:val="auto"/>
          <w:szCs w:val="21"/>
          <w:highlight w:val="none"/>
        </w:rPr>
        <w:instrText xml:space="preserve">eq \o\ac(□)</w:instrText>
      </w:r>
      <w:r>
        <w:rPr>
          <w:color w:val="auto"/>
          <w:szCs w:val="21"/>
          <w:highlight w:val="none"/>
        </w:rPr>
        <w:fldChar w:fldCharType="end"/>
      </w:r>
      <w:r>
        <w:rPr>
          <w:rFonts w:hint="eastAsia"/>
          <w:color w:val="auto"/>
          <w:szCs w:val="21"/>
          <w:highlight w:val="none"/>
        </w:rPr>
        <w:t>镇乡规划（□镇规划□乡规划</w:t>
      </w:r>
      <w:r>
        <w:rPr>
          <w:color w:val="auto"/>
          <w:szCs w:val="21"/>
          <w:highlight w:val="none"/>
        </w:rPr>
        <w:fldChar w:fldCharType="begin"/>
      </w:r>
      <w:r>
        <w:rPr>
          <w:rFonts w:hint="eastAsia"/>
          <w:color w:val="auto"/>
          <w:szCs w:val="21"/>
          <w:highlight w:val="none"/>
        </w:rPr>
        <w:instrText xml:space="preserve">eq \o\ac(□)</w:instrText>
      </w:r>
      <w:r>
        <w:rPr>
          <w:color w:val="auto"/>
          <w:szCs w:val="21"/>
          <w:highlight w:val="none"/>
        </w:rPr>
        <w:fldChar w:fldCharType="end"/>
      </w:r>
      <w:r>
        <w:rPr>
          <w:rFonts w:hint="eastAsia"/>
          <w:color w:val="auto"/>
          <w:szCs w:val="21"/>
          <w:highlight w:val="none"/>
        </w:rPr>
        <w:t>村庄规划）</w:t>
      </w:r>
    </w:p>
    <w:p>
      <w:pPr>
        <w:spacing w:line="400" w:lineRule="exact"/>
        <w:rPr>
          <w:color w:val="auto"/>
          <w:szCs w:val="21"/>
          <w:highlight w:val="none"/>
        </w:rPr>
      </w:pPr>
      <w:r>
        <w:rPr>
          <w:rFonts w:hint="eastAsia"/>
          <w:color w:val="auto"/>
          <w:szCs w:val="21"/>
          <w:highlight w:val="none"/>
        </w:rPr>
        <w:t>□专项规划</w:t>
      </w:r>
    </w:p>
    <w:p>
      <w:pPr>
        <w:spacing w:line="400" w:lineRule="exact"/>
        <w:rPr>
          <w:color w:val="auto"/>
          <w:szCs w:val="21"/>
          <w:highlight w:val="none"/>
        </w:rPr>
      </w:pPr>
      <w:r>
        <w:rPr>
          <w:rFonts w:hint="eastAsia"/>
          <w:color w:val="auto"/>
          <w:szCs w:val="21"/>
          <w:highlight w:val="none"/>
        </w:rPr>
        <w:t>□其它：</w:t>
      </w:r>
    </w:p>
    <w:p>
      <w:pPr>
        <w:spacing w:line="400" w:lineRule="exact"/>
        <w:ind w:firstLine="310" w:firstLineChars="147"/>
        <w:rPr>
          <w:b/>
          <w:color w:val="auto"/>
          <w:szCs w:val="21"/>
          <w:highlight w:val="none"/>
        </w:rPr>
      </w:pPr>
      <w:r>
        <w:rPr>
          <w:rFonts w:hint="eastAsia"/>
          <w:b/>
          <w:color w:val="auto"/>
          <w:szCs w:val="21"/>
          <w:highlight w:val="none"/>
        </w:rPr>
        <w:t>（请在□内打√）</w:t>
      </w:r>
    </w:p>
    <w:p>
      <w:pPr>
        <w:spacing w:line="400" w:lineRule="exact"/>
        <w:ind w:firstLine="420" w:firstLineChars="200"/>
        <w:rPr>
          <w:color w:val="auto"/>
          <w:szCs w:val="21"/>
          <w:highlight w:val="none"/>
        </w:rPr>
      </w:pPr>
      <w:r>
        <w:rPr>
          <w:rFonts w:hint="eastAsia"/>
          <w:color w:val="auto"/>
          <w:szCs w:val="21"/>
          <w:highlight w:val="none"/>
        </w:rPr>
        <w:t>4、项目范围：</w:t>
      </w:r>
    </w:p>
    <w:p>
      <w:pPr>
        <w:spacing w:line="400" w:lineRule="exact"/>
        <w:ind w:firstLine="420" w:firstLineChars="200"/>
        <w:rPr>
          <w:color w:val="auto"/>
          <w:szCs w:val="21"/>
          <w:highlight w:val="none"/>
        </w:rPr>
      </w:pPr>
      <w:r>
        <w:rPr>
          <w:rFonts w:hint="eastAsia"/>
          <w:color w:val="auto"/>
          <w:szCs w:val="21"/>
          <w:highlight w:val="none"/>
        </w:rPr>
        <w:t>5、项目规模：总面积约</w:t>
      </w:r>
      <w:r>
        <w:rPr>
          <w:rFonts w:hint="eastAsia"/>
          <w:color w:val="auto"/>
          <w:szCs w:val="21"/>
          <w:highlight w:val="none"/>
          <w:lang w:val="en-US" w:eastAsia="zh-CN"/>
        </w:rPr>
        <w:t xml:space="preserve">  </w:t>
      </w:r>
      <w:r>
        <w:rPr>
          <w:rFonts w:hint="eastAsia"/>
          <w:color w:val="auto"/>
          <w:szCs w:val="21"/>
          <w:highlight w:val="none"/>
        </w:rPr>
        <w:t>平方公里。</w:t>
      </w:r>
    </w:p>
    <w:p>
      <w:pPr>
        <w:spacing w:line="400" w:lineRule="exact"/>
        <w:rPr>
          <w:b/>
          <w:color w:val="auto"/>
          <w:szCs w:val="21"/>
          <w:highlight w:val="none"/>
        </w:rPr>
      </w:pPr>
      <w:r>
        <w:rPr>
          <w:rFonts w:hint="eastAsia"/>
          <w:b/>
          <w:color w:val="auto"/>
          <w:szCs w:val="21"/>
          <w:highlight w:val="none"/>
        </w:rPr>
        <w:t>第三条规划设计内容</w:t>
      </w:r>
    </w:p>
    <w:p>
      <w:pPr>
        <w:spacing w:line="400" w:lineRule="exact"/>
        <w:ind w:firstLine="555"/>
        <w:rPr>
          <w:color w:val="auto"/>
          <w:szCs w:val="21"/>
          <w:highlight w:val="none"/>
        </w:rPr>
      </w:pPr>
      <w:r>
        <w:rPr>
          <w:color w:val="auto"/>
          <w:szCs w:val="21"/>
          <w:highlight w:val="none"/>
        </w:rPr>
        <w:fldChar w:fldCharType="begin"/>
      </w:r>
      <w:r>
        <w:rPr>
          <w:rFonts w:hint="eastAsia"/>
          <w:color w:val="auto"/>
          <w:szCs w:val="21"/>
          <w:highlight w:val="none"/>
        </w:rPr>
        <w:instrText xml:space="preserve">eq \o\ac(□,</w:instrText>
      </w:r>
      <w:r>
        <w:rPr>
          <w:rFonts w:hint="eastAsia"/>
          <w:color w:val="auto"/>
          <w:position w:val="1"/>
          <w:szCs w:val="21"/>
          <w:highlight w:val="none"/>
        </w:rPr>
        <w:instrText xml:space="preserve">√</w:instrText>
      </w:r>
      <w:r>
        <w:rPr>
          <w:rFonts w:hint="eastAsia"/>
          <w:color w:val="auto"/>
          <w:szCs w:val="21"/>
          <w:highlight w:val="none"/>
        </w:rPr>
        <w:instrText xml:space="preserve">)</w:instrText>
      </w:r>
      <w:r>
        <w:rPr>
          <w:color w:val="auto"/>
          <w:szCs w:val="21"/>
          <w:highlight w:val="none"/>
        </w:rPr>
        <w:fldChar w:fldCharType="end"/>
      </w:r>
      <w:r>
        <w:rPr>
          <w:rFonts w:hint="eastAsia"/>
          <w:color w:val="auto"/>
          <w:szCs w:val="21"/>
          <w:highlight w:val="none"/>
        </w:rPr>
        <w:t>甲方委托书</w:t>
      </w:r>
    </w:p>
    <w:p>
      <w:pPr>
        <w:spacing w:line="400" w:lineRule="exact"/>
        <w:ind w:firstLine="555"/>
        <w:rPr>
          <w:color w:val="auto"/>
          <w:szCs w:val="21"/>
          <w:highlight w:val="none"/>
        </w:rPr>
      </w:pPr>
      <w:r>
        <w:rPr>
          <w:color w:val="auto"/>
          <w:szCs w:val="21"/>
          <w:highlight w:val="none"/>
        </w:rPr>
        <w:fldChar w:fldCharType="begin"/>
      </w:r>
      <w:r>
        <w:rPr>
          <w:rFonts w:hint="eastAsia"/>
          <w:color w:val="auto"/>
          <w:szCs w:val="21"/>
          <w:highlight w:val="none"/>
        </w:rPr>
        <w:instrText xml:space="preserve">eq \o\ac(□,</w:instrText>
      </w:r>
      <w:r>
        <w:rPr>
          <w:rFonts w:hint="eastAsia"/>
          <w:color w:val="auto"/>
          <w:position w:val="1"/>
          <w:szCs w:val="21"/>
          <w:highlight w:val="none"/>
        </w:rPr>
        <w:instrText xml:space="preserve">√</w:instrText>
      </w:r>
      <w:r>
        <w:rPr>
          <w:rFonts w:hint="eastAsia"/>
          <w:color w:val="auto"/>
          <w:szCs w:val="21"/>
          <w:highlight w:val="none"/>
        </w:rPr>
        <w:instrText xml:space="preserve">)</w:instrText>
      </w:r>
      <w:r>
        <w:rPr>
          <w:color w:val="auto"/>
          <w:szCs w:val="21"/>
          <w:highlight w:val="none"/>
        </w:rPr>
        <w:fldChar w:fldCharType="end"/>
      </w:r>
      <w:r>
        <w:rPr>
          <w:rFonts w:hint="eastAsia"/>
          <w:color w:val="auto"/>
          <w:szCs w:val="21"/>
          <w:highlight w:val="none"/>
        </w:rPr>
        <w:t>甲方设计任务书</w:t>
      </w:r>
    </w:p>
    <w:p>
      <w:pPr>
        <w:spacing w:line="400" w:lineRule="exact"/>
        <w:ind w:firstLine="555"/>
        <w:rPr>
          <w:color w:val="auto"/>
          <w:szCs w:val="21"/>
          <w:highlight w:val="none"/>
        </w:rPr>
      </w:pPr>
      <w:r>
        <w:rPr>
          <w:rFonts w:hint="eastAsia"/>
          <w:color w:val="auto"/>
          <w:szCs w:val="21"/>
          <w:highlight w:val="none"/>
        </w:rPr>
        <w:t>□其它：</w:t>
      </w:r>
    </w:p>
    <w:p>
      <w:pPr>
        <w:spacing w:line="400" w:lineRule="exact"/>
        <w:ind w:firstLine="555"/>
        <w:rPr>
          <w:b/>
          <w:color w:val="auto"/>
          <w:szCs w:val="21"/>
          <w:highlight w:val="none"/>
        </w:rPr>
      </w:pPr>
      <w:r>
        <w:rPr>
          <w:rFonts w:hint="eastAsia"/>
          <w:b/>
          <w:color w:val="auto"/>
          <w:szCs w:val="21"/>
          <w:highlight w:val="none"/>
        </w:rPr>
        <w:t>（请在□内打√）</w:t>
      </w:r>
    </w:p>
    <w:p>
      <w:pPr>
        <w:spacing w:line="400" w:lineRule="exact"/>
        <w:rPr>
          <w:b/>
          <w:color w:val="auto"/>
          <w:szCs w:val="21"/>
          <w:highlight w:val="none"/>
        </w:rPr>
      </w:pPr>
      <w:r>
        <w:rPr>
          <w:rFonts w:hint="eastAsia"/>
          <w:b/>
          <w:color w:val="auto"/>
          <w:szCs w:val="21"/>
          <w:highlight w:val="none"/>
        </w:rPr>
        <w:t>第四条规划设计依据</w:t>
      </w:r>
    </w:p>
    <w:p>
      <w:pPr>
        <w:spacing w:line="400" w:lineRule="exact"/>
        <w:ind w:firstLine="555"/>
        <w:rPr>
          <w:color w:val="auto"/>
          <w:szCs w:val="21"/>
          <w:highlight w:val="none"/>
        </w:rPr>
      </w:pPr>
      <w:r>
        <w:rPr>
          <w:rFonts w:hint="eastAsia"/>
          <w:color w:val="auto"/>
          <w:szCs w:val="21"/>
          <w:highlight w:val="none"/>
        </w:rPr>
        <w:t>1、《中华人民共和国城乡规划法》《城市规划编制办法》《宁波市城乡规划条例》《慈溪市城乡规划管理技术规定》等国家、浙江省及宁波市有关城乡规划编制及设计管理的法律、法规、规章和国家标准、行业标准。</w:t>
      </w:r>
    </w:p>
    <w:p>
      <w:pPr>
        <w:spacing w:line="400" w:lineRule="exact"/>
        <w:ind w:firstLine="555"/>
        <w:rPr>
          <w:color w:val="auto"/>
          <w:szCs w:val="21"/>
          <w:highlight w:val="none"/>
        </w:rPr>
      </w:pPr>
      <w:r>
        <w:rPr>
          <w:rFonts w:hint="eastAsia"/>
          <w:color w:val="auto"/>
          <w:szCs w:val="21"/>
          <w:highlight w:val="none"/>
        </w:rPr>
        <w:t>2、已批复的城乡规划成果。</w:t>
      </w:r>
    </w:p>
    <w:p>
      <w:pPr>
        <w:spacing w:line="400" w:lineRule="exact"/>
        <w:ind w:firstLine="555"/>
        <w:rPr>
          <w:color w:val="auto"/>
          <w:szCs w:val="21"/>
          <w:highlight w:val="none"/>
        </w:rPr>
      </w:pPr>
      <w:r>
        <w:rPr>
          <w:rFonts w:hint="eastAsia"/>
          <w:color w:val="auto"/>
          <w:szCs w:val="21"/>
          <w:highlight w:val="none"/>
        </w:rPr>
        <w:t>3、甲方提交的政府对本合同书项目的指示、批示及会议纪要。</w:t>
      </w:r>
    </w:p>
    <w:p>
      <w:pPr>
        <w:spacing w:line="400" w:lineRule="exact"/>
        <w:ind w:firstLine="555"/>
        <w:rPr>
          <w:color w:val="auto"/>
          <w:szCs w:val="21"/>
          <w:highlight w:val="none"/>
        </w:rPr>
      </w:pPr>
      <w:r>
        <w:rPr>
          <w:rFonts w:hint="eastAsia"/>
          <w:color w:val="auto"/>
          <w:szCs w:val="21"/>
          <w:highlight w:val="none"/>
        </w:rPr>
        <w:t>4、甲方委托书、设计任务书。</w:t>
      </w:r>
    </w:p>
    <w:p>
      <w:pPr>
        <w:spacing w:line="400" w:lineRule="exact"/>
        <w:ind w:firstLine="555"/>
        <w:rPr>
          <w:color w:val="auto"/>
          <w:szCs w:val="21"/>
          <w:highlight w:val="none"/>
        </w:rPr>
      </w:pPr>
      <w:r>
        <w:rPr>
          <w:rFonts w:hint="eastAsia"/>
          <w:color w:val="auto"/>
          <w:szCs w:val="21"/>
          <w:highlight w:val="none"/>
        </w:rPr>
        <w:t>5、其他：</w:t>
      </w:r>
    </w:p>
    <w:p>
      <w:pPr>
        <w:spacing w:line="400" w:lineRule="exact"/>
        <w:rPr>
          <w:b/>
          <w:color w:val="auto"/>
          <w:szCs w:val="21"/>
          <w:highlight w:val="none"/>
        </w:rPr>
      </w:pPr>
      <w:r>
        <w:rPr>
          <w:rFonts w:hint="eastAsia"/>
          <w:b/>
          <w:color w:val="auto"/>
          <w:szCs w:val="21"/>
          <w:highlight w:val="none"/>
        </w:rPr>
        <w:t>第五条设计时限及成果要求</w:t>
      </w:r>
    </w:p>
    <w:p>
      <w:pPr>
        <w:numPr>
          <w:ilvl w:val="0"/>
          <w:numId w:val="3"/>
        </w:numPr>
        <w:spacing w:line="400" w:lineRule="exact"/>
        <w:ind w:firstLine="525" w:firstLineChars="250"/>
        <w:rPr>
          <w:rFonts w:hint="eastAsia"/>
          <w:color w:val="auto"/>
          <w:szCs w:val="21"/>
          <w:highlight w:val="none"/>
        </w:rPr>
      </w:pPr>
      <w:r>
        <w:rPr>
          <w:rFonts w:hint="eastAsia"/>
          <w:color w:val="auto"/>
          <w:szCs w:val="21"/>
          <w:highlight w:val="none"/>
        </w:rPr>
        <w:t>进度要求：</w:t>
      </w:r>
      <w:r>
        <w:rPr>
          <w:rFonts w:hint="eastAsia"/>
          <w:color w:val="auto"/>
          <w:szCs w:val="21"/>
          <w:highlight w:val="none"/>
        </w:rPr>
        <w:tab/>
      </w:r>
    </w:p>
    <w:p>
      <w:pPr>
        <w:numPr>
          <w:ilvl w:val="0"/>
          <w:numId w:val="0"/>
        </w:numPr>
        <w:spacing w:line="400" w:lineRule="exact"/>
        <w:ind w:firstLine="420" w:firstLineChars="200"/>
        <w:rPr>
          <w:rFonts w:hint="eastAsia"/>
          <w:color w:val="auto"/>
          <w:szCs w:val="21"/>
          <w:highlight w:val="none"/>
        </w:rPr>
      </w:pPr>
      <w:r>
        <w:rPr>
          <w:rFonts w:hint="eastAsia"/>
          <w:color w:val="auto"/>
          <w:szCs w:val="21"/>
          <w:highlight w:val="none"/>
        </w:rPr>
        <w:t>第一阶段：合同签订后1个月内，完成现状建设状况调研、收集相关资料等项目前期准备工作，并完成初方案。</w:t>
      </w:r>
    </w:p>
    <w:p>
      <w:pPr>
        <w:spacing w:line="400" w:lineRule="exact"/>
        <w:ind w:firstLine="420" w:firstLineChars="200"/>
        <w:rPr>
          <w:rFonts w:hint="eastAsia"/>
          <w:color w:val="auto"/>
          <w:szCs w:val="21"/>
          <w:highlight w:val="none"/>
        </w:rPr>
      </w:pPr>
      <w:r>
        <w:rPr>
          <w:rFonts w:hint="eastAsia"/>
          <w:color w:val="auto"/>
          <w:szCs w:val="21"/>
          <w:highlight w:val="none"/>
        </w:rPr>
        <w:t>第二阶段：初方案通过审查，收到修改意见后2个月内完成中间成果；</w:t>
      </w:r>
    </w:p>
    <w:p>
      <w:pPr>
        <w:spacing w:line="400" w:lineRule="exact"/>
        <w:ind w:firstLine="420" w:firstLineChars="200"/>
        <w:rPr>
          <w:rFonts w:hint="eastAsia"/>
          <w:color w:val="auto"/>
          <w:szCs w:val="21"/>
          <w:highlight w:val="none"/>
        </w:rPr>
      </w:pPr>
      <w:r>
        <w:rPr>
          <w:rFonts w:hint="eastAsia"/>
          <w:color w:val="auto"/>
          <w:szCs w:val="21"/>
          <w:highlight w:val="none"/>
        </w:rPr>
        <w:t>第三阶段：中间成果通过审查，收到修改意见后的2个月内修改完善，完成评审稿。</w:t>
      </w:r>
    </w:p>
    <w:p>
      <w:pPr>
        <w:spacing w:line="400" w:lineRule="exact"/>
        <w:ind w:firstLine="420" w:firstLineChars="200"/>
        <w:rPr>
          <w:rFonts w:hint="eastAsia"/>
          <w:color w:val="auto"/>
          <w:szCs w:val="21"/>
          <w:highlight w:val="none"/>
        </w:rPr>
      </w:pPr>
      <w:r>
        <w:rPr>
          <w:rFonts w:hint="eastAsia"/>
          <w:color w:val="auto"/>
          <w:szCs w:val="21"/>
          <w:highlight w:val="none"/>
        </w:rPr>
        <w:t>第四阶段：评审稿根据会议要求修改完善，1个月内完成报批稿。</w:t>
      </w:r>
    </w:p>
    <w:p>
      <w:pPr>
        <w:spacing w:line="400" w:lineRule="exact"/>
        <w:ind w:firstLine="420" w:firstLineChars="200"/>
        <w:rPr>
          <w:color w:val="auto"/>
          <w:szCs w:val="21"/>
          <w:highlight w:val="none"/>
        </w:rPr>
      </w:pPr>
      <w:r>
        <w:rPr>
          <w:rFonts w:hint="eastAsia"/>
          <w:color w:val="auto"/>
          <w:szCs w:val="21"/>
          <w:highlight w:val="none"/>
        </w:rPr>
        <w:t>最终报批稿完成时间以上位规划及上级审查批复部门要求为准。（以合同签订时间为准，不包含会议评审时间及等待书面修改意见时间）。</w:t>
      </w:r>
    </w:p>
    <w:p>
      <w:pPr>
        <w:spacing w:line="400" w:lineRule="exact"/>
        <w:ind w:firstLine="555"/>
        <w:rPr>
          <w:color w:val="auto"/>
          <w:szCs w:val="21"/>
          <w:highlight w:val="none"/>
        </w:rPr>
      </w:pPr>
      <w:r>
        <w:rPr>
          <w:rFonts w:hint="eastAsia"/>
          <w:color w:val="auto"/>
          <w:szCs w:val="21"/>
          <w:highlight w:val="none"/>
        </w:rPr>
        <w:t>2、成果要求：</w:t>
      </w:r>
    </w:p>
    <w:p>
      <w:pPr>
        <w:spacing w:line="400" w:lineRule="exact"/>
        <w:ind w:firstLine="555"/>
        <w:rPr>
          <w:color w:val="auto"/>
          <w:szCs w:val="21"/>
          <w:highlight w:val="none"/>
        </w:rPr>
      </w:pPr>
      <w:r>
        <w:rPr>
          <w:rFonts w:hint="eastAsia"/>
          <w:color w:val="auto"/>
          <w:szCs w:val="21"/>
          <w:highlight w:val="none"/>
        </w:rPr>
        <w:t>3、成果份数：</w:t>
      </w:r>
      <w:r>
        <w:rPr>
          <w:color w:val="auto"/>
          <w:szCs w:val="21"/>
          <w:highlight w:val="none"/>
        </w:rPr>
        <w:fldChar w:fldCharType="begin"/>
      </w:r>
      <w:r>
        <w:rPr>
          <w:rFonts w:hint="eastAsia"/>
          <w:color w:val="auto"/>
          <w:szCs w:val="21"/>
          <w:highlight w:val="none"/>
        </w:rPr>
        <w:instrText xml:space="preserve">eq \o\ac(□,</w:instrText>
      </w:r>
      <w:r>
        <w:rPr>
          <w:rFonts w:hint="eastAsia"/>
          <w:color w:val="auto"/>
          <w:position w:val="1"/>
          <w:szCs w:val="21"/>
          <w:highlight w:val="none"/>
        </w:rPr>
        <w:instrText xml:space="preserve">√</w:instrText>
      </w:r>
      <w:r>
        <w:rPr>
          <w:rFonts w:hint="eastAsia"/>
          <w:color w:val="auto"/>
          <w:szCs w:val="21"/>
          <w:highlight w:val="none"/>
        </w:rPr>
        <w:instrText xml:space="preserve">)</w:instrText>
      </w:r>
      <w:r>
        <w:rPr>
          <w:color w:val="auto"/>
          <w:szCs w:val="21"/>
          <w:highlight w:val="none"/>
        </w:rPr>
        <w:fldChar w:fldCharType="end"/>
      </w:r>
      <w:r>
        <w:rPr>
          <w:rFonts w:hint="eastAsia"/>
          <w:color w:val="auto"/>
          <w:szCs w:val="21"/>
          <w:highlight w:val="none"/>
        </w:rPr>
        <w:t>全套说明书、图集        6套（具体根据甲方的实际需求提供）</w:t>
      </w:r>
    </w:p>
    <w:p>
      <w:pPr>
        <w:spacing w:line="400" w:lineRule="exact"/>
        <w:ind w:firstLine="555"/>
        <w:rPr>
          <w:color w:val="auto"/>
          <w:szCs w:val="21"/>
          <w:highlight w:val="none"/>
        </w:rPr>
      </w:pPr>
      <w:r>
        <w:rPr>
          <w:color w:val="auto"/>
          <w:szCs w:val="21"/>
          <w:highlight w:val="none"/>
        </w:rPr>
        <w:fldChar w:fldCharType="begin"/>
      </w:r>
      <w:r>
        <w:rPr>
          <w:rFonts w:hint="eastAsia"/>
          <w:color w:val="auto"/>
          <w:szCs w:val="21"/>
          <w:highlight w:val="none"/>
        </w:rPr>
        <w:instrText xml:space="preserve">eq \o\ac(□,</w:instrText>
      </w:r>
      <w:r>
        <w:rPr>
          <w:rFonts w:hint="eastAsia"/>
          <w:color w:val="auto"/>
          <w:position w:val="1"/>
          <w:szCs w:val="21"/>
          <w:highlight w:val="none"/>
        </w:rPr>
        <w:instrText xml:space="preserve">√</w:instrText>
      </w:r>
      <w:r>
        <w:rPr>
          <w:rFonts w:hint="eastAsia"/>
          <w:color w:val="auto"/>
          <w:szCs w:val="21"/>
          <w:highlight w:val="none"/>
        </w:rPr>
        <w:instrText xml:space="preserve">)</w:instrText>
      </w:r>
      <w:r>
        <w:rPr>
          <w:color w:val="auto"/>
          <w:szCs w:val="21"/>
          <w:highlight w:val="none"/>
        </w:rPr>
        <w:fldChar w:fldCharType="end"/>
      </w:r>
      <w:r>
        <w:rPr>
          <w:rFonts w:hint="eastAsia"/>
          <w:color w:val="auto"/>
          <w:szCs w:val="21"/>
          <w:highlight w:val="none"/>
        </w:rPr>
        <w:t>全套内容的电子光盘      2个（具体根据甲方的实际需求提供）</w:t>
      </w:r>
    </w:p>
    <w:p>
      <w:pPr>
        <w:spacing w:line="400" w:lineRule="exact"/>
        <w:ind w:firstLine="555"/>
        <w:rPr>
          <w:color w:val="auto"/>
          <w:szCs w:val="21"/>
          <w:highlight w:val="none"/>
        </w:rPr>
      </w:pPr>
      <w:r>
        <w:rPr>
          <w:color w:val="auto"/>
          <w:szCs w:val="21"/>
          <w:highlight w:val="none"/>
        </w:rPr>
        <w:fldChar w:fldCharType="begin"/>
      </w:r>
      <w:r>
        <w:rPr>
          <w:rFonts w:hint="eastAsia"/>
          <w:color w:val="auto"/>
          <w:szCs w:val="21"/>
          <w:highlight w:val="none"/>
        </w:rPr>
        <w:instrText xml:space="preserve">eq \o\ac(□,</w:instrText>
      </w:r>
      <w:r>
        <w:rPr>
          <w:rFonts w:hint="eastAsia"/>
          <w:color w:val="auto"/>
          <w:position w:val="1"/>
          <w:szCs w:val="21"/>
          <w:highlight w:val="none"/>
        </w:rPr>
        <w:instrText xml:space="preserve">√</w:instrText>
      </w:r>
      <w:r>
        <w:rPr>
          <w:rFonts w:hint="eastAsia"/>
          <w:color w:val="auto"/>
          <w:szCs w:val="21"/>
          <w:highlight w:val="none"/>
        </w:rPr>
        <w:instrText xml:space="preserve">)</w:instrText>
      </w:r>
      <w:r>
        <w:rPr>
          <w:color w:val="auto"/>
          <w:szCs w:val="21"/>
          <w:highlight w:val="none"/>
        </w:rPr>
        <w:fldChar w:fldCharType="end"/>
      </w:r>
      <w:r>
        <w:rPr>
          <w:rFonts w:hint="eastAsia"/>
          <w:color w:val="auto"/>
          <w:szCs w:val="21"/>
          <w:highlight w:val="none"/>
        </w:rPr>
        <w:t>其他：</w:t>
      </w:r>
      <w:r>
        <w:rPr>
          <w:rFonts w:hint="eastAsia"/>
          <w:color w:val="auto"/>
          <w:szCs w:val="21"/>
          <w:highlight w:val="none"/>
          <w:u w:val="single"/>
        </w:rPr>
        <w:t>成果数量根据甲方的实际需求提供</w:t>
      </w:r>
    </w:p>
    <w:p>
      <w:pPr>
        <w:spacing w:line="400" w:lineRule="exact"/>
        <w:ind w:firstLine="1963" w:firstLineChars="931"/>
        <w:rPr>
          <w:b/>
          <w:color w:val="auto"/>
          <w:szCs w:val="21"/>
          <w:highlight w:val="none"/>
        </w:rPr>
      </w:pPr>
      <w:r>
        <w:rPr>
          <w:rFonts w:hint="eastAsia"/>
          <w:b/>
          <w:color w:val="auto"/>
          <w:szCs w:val="21"/>
          <w:highlight w:val="none"/>
        </w:rPr>
        <w:t>（请在□内打√）</w:t>
      </w:r>
    </w:p>
    <w:p>
      <w:pPr>
        <w:spacing w:line="400" w:lineRule="exact"/>
        <w:ind w:firstLine="555"/>
        <w:rPr>
          <w:color w:val="auto"/>
          <w:szCs w:val="21"/>
          <w:highlight w:val="none"/>
          <w:u w:val="single"/>
        </w:rPr>
      </w:pPr>
      <w:r>
        <w:rPr>
          <w:rFonts w:hint="eastAsia"/>
          <w:color w:val="auto"/>
          <w:szCs w:val="21"/>
          <w:highlight w:val="none"/>
        </w:rPr>
        <w:t>4、成果提交地点：</w:t>
      </w:r>
      <w:r>
        <w:rPr>
          <w:rFonts w:hint="eastAsia"/>
          <w:color w:val="auto"/>
          <w:szCs w:val="21"/>
          <w:highlight w:val="none"/>
          <w:u w:val="single"/>
        </w:rPr>
        <w:t>甲方所在地</w:t>
      </w:r>
    </w:p>
    <w:p>
      <w:pPr>
        <w:spacing w:line="400" w:lineRule="exact"/>
        <w:rPr>
          <w:b/>
          <w:color w:val="auto"/>
          <w:szCs w:val="21"/>
          <w:highlight w:val="none"/>
        </w:rPr>
      </w:pPr>
      <w:r>
        <w:rPr>
          <w:rFonts w:hint="eastAsia"/>
          <w:b/>
          <w:color w:val="auto"/>
          <w:szCs w:val="21"/>
          <w:highlight w:val="none"/>
        </w:rPr>
        <w:t>第六条资料提供</w:t>
      </w:r>
    </w:p>
    <w:p>
      <w:pPr>
        <w:spacing w:line="400" w:lineRule="exact"/>
        <w:ind w:firstLine="555"/>
        <w:rPr>
          <w:color w:val="auto"/>
          <w:szCs w:val="21"/>
          <w:highlight w:val="none"/>
        </w:rPr>
      </w:pPr>
      <w:r>
        <w:rPr>
          <w:rFonts w:hint="eastAsia"/>
          <w:color w:val="auto"/>
          <w:szCs w:val="21"/>
          <w:highlight w:val="none"/>
        </w:rPr>
        <w:t>甲方协助乙方收集以下资料：具体内容协商确定。</w:t>
      </w:r>
    </w:p>
    <w:tbl>
      <w:tblPr>
        <w:tblStyle w:val="47"/>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9"/>
        <w:gridCol w:w="1701"/>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spacing w:line="400" w:lineRule="exact"/>
              <w:jc w:val="center"/>
              <w:rPr>
                <w:b/>
                <w:color w:val="auto"/>
                <w:szCs w:val="21"/>
                <w:highlight w:val="none"/>
              </w:rPr>
            </w:pPr>
            <w:r>
              <w:rPr>
                <w:rFonts w:hint="eastAsia"/>
                <w:b/>
                <w:color w:val="auto"/>
                <w:szCs w:val="21"/>
                <w:highlight w:val="none"/>
              </w:rPr>
              <w:t>资料及文件名称</w:t>
            </w:r>
          </w:p>
        </w:tc>
        <w:tc>
          <w:tcPr>
            <w:tcW w:w="1701" w:type="dxa"/>
            <w:vAlign w:val="center"/>
          </w:tcPr>
          <w:p>
            <w:pPr>
              <w:spacing w:line="400" w:lineRule="exact"/>
              <w:jc w:val="center"/>
              <w:rPr>
                <w:b/>
                <w:color w:val="auto"/>
                <w:szCs w:val="21"/>
                <w:highlight w:val="none"/>
              </w:rPr>
            </w:pPr>
            <w:r>
              <w:rPr>
                <w:rFonts w:hint="eastAsia"/>
                <w:b/>
                <w:color w:val="auto"/>
                <w:szCs w:val="21"/>
                <w:highlight w:val="none"/>
              </w:rPr>
              <w:t>形式</w:t>
            </w:r>
          </w:p>
        </w:tc>
        <w:tc>
          <w:tcPr>
            <w:tcW w:w="2602" w:type="dxa"/>
            <w:vAlign w:val="center"/>
          </w:tcPr>
          <w:p>
            <w:pPr>
              <w:spacing w:line="400" w:lineRule="exact"/>
              <w:jc w:val="center"/>
              <w:rPr>
                <w:b/>
                <w:color w:val="auto"/>
                <w:szCs w:val="21"/>
                <w:highlight w:val="none"/>
              </w:rPr>
            </w:pPr>
            <w:r>
              <w:rPr>
                <w:rFonts w:hint="eastAsia"/>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adjustRightInd w:val="0"/>
              <w:spacing w:line="520" w:lineRule="exact"/>
              <w:jc w:val="left"/>
              <w:rPr>
                <w:color w:val="auto"/>
                <w:szCs w:val="21"/>
                <w:highlight w:val="none"/>
              </w:rPr>
            </w:pPr>
            <w:r>
              <w:rPr>
                <w:rFonts w:hint="eastAsia" w:cs="微软雅黑"/>
                <w:bCs/>
                <w:color w:val="auto"/>
                <w:kern w:val="0"/>
                <w:szCs w:val="21"/>
                <w:highlight w:val="none"/>
              </w:rPr>
              <w:t>1.现状地形图</w:t>
            </w:r>
          </w:p>
        </w:tc>
        <w:tc>
          <w:tcPr>
            <w:tcW w:w="1701" w:type="dxa"/>
            <w:vAlign w:val="center"/>
          </w:tcPr>
          <w:p>
            <w:pPr>
              <w:spacing w:line="400" w:lineRule="exact"/>
              <w:jc w:val="center"/>
              <w:rPr>
                <w:color w:val="auto"/>
                <w:szCs w:val="21"/>
                <w:highlight w:val="none"/>
              </w:rPr>
            </w:pPr>
            <w:r>
              <w:rPr>
                <w:rFonts w:hint="eastAsia"/>
                <w:color w:val="auto"/>
                <w:szCs w:val="21"/>
                <w:highlight w:val="none"/>
              </w:rPr>
              <w:t>电子矢量文件</w:t>
            </w:r>
          </w:p>
        </w:tc>
        <w:tc>
          <w:tcPr>
            <w:tcW w:w="2602" w:type="dxa"/>
            <w:vAlign w:val="center"/>
          </w:tcPr>
          <w:p>
            <w:pPr>
              <w:adjustRightInd w:val="0"/>
              <w:spacing w:line="520" w:lineRule="exact"/>
              <w:jc w:val="lef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adjustRightInd w:val="0"/>
              <w:spacing w:line="520" w:lineRule="exact"/>
              <w:jc w:val="left"/>
              <w:rPr>
                <w:color w:val="auto"/>
                <w:szCs w:val="21"/>
                <w:highlight w:val="none"/>
              </w:rPr>
            </w:pPr>
            <w:r>
              <w:rPr>
                <w:rFonts w:hint="eastAsia" w:cs="微软雅黑"/>
                <w:bCs/>
                <w:color w:val="auto"/>
                <w:kern w:val="0"/>
                <w:szCs w:val="21"/>
                <w:highlight w:val="none"/>
              </w:rPr>
              <w:t>2.地块红线图</w:t>
            </w:r>
          </w:p>
        </w:tc>
        <w:tc>
          <w:tcPr>
            <w:tcW w:w="1701" w:type="dxa"/>
            <w:vAlign w:val="center"/>
          </w:tcPr>
          <w:p>
            <w:pPr>
              <w:spacing w:line="400" w:lineRule="exact"/>
              <w:jc w:val="center"/>
              <w:rPr>
                <w:color w:val="auto"/>
                <w:szCs w:val="21"/>
                <w:highlight w:val="none"/>
              </w:rPr>
            </w:pPr>
            <w:r>
              <w:rPr>
                <w:rFonts w:hint="eastAsia"/>
                <w:color w:val="auto"/>
                <w:szCs w:val="21"/>
                <w:highlight w:val="none"/>
              </w:rPr>
              <w:t>电子矢量文件</w:t>
            </w:r>
          </w:p>
        </w:tc>
        <w:tc>
          <w:tcPr>
            <w:tcW w:w="2602" w:type="dxa"/>
            <w:vAlign w:val="center"/>
          </w:tcPr>
          <w:p>
            <w:pPr>
              <w:adjustRightInd w:val="0"/>
              <w:spacing w:line="520" w:lineRule="exact"/>
              <w:jc w:val="lef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spacing w:line="400" w:lineRule="exact"/>
              <w:rPr>
                <w:color w:val="auto"/>
                <w:szCs w:val="21"/>
                <w:highlight w:val="none"/>
              </w:rPr>
            </w:pPr>
            <w:r>
              <w:rPr>
                <w:rFonts w:hint="eastAsia" w:cs="微软雅黑"/>
                <w:bCs/>
                <w:color w:val="auto"/>
                <w:szCs w:val="21"/>
                <w:highlight w:val="none"/>
              </w:rPr>
              <w:t>3.上位规划设计文本</w:t>
            </w:r>
          </w:p>
        </w:tc>
        <w:tc>
          <w:tcPr>
            <w:tcW w:w="1701" w:type="dxa"/>
            <w:vAlign w:val="center"/>
          </w:tcPr>
          <w:p>
            <w:pPr>
              <w:spacing w:line="400" w:lineRule="exact"/>
              <w:jc w:val="center"/>
              <w:rPr>
                <w:color w:val="auto"/>
                <w:szCs w:val="21"/>
                <w:highlight w:val="none"/>
              </w:rPr>
            </w:pPr>
            <w:r>
              <w:rPr>
                <w:rFonts w:hint="eastAsia"/>
                <w:color w:val="auto"/>
                <w:szCs w:val="21"/>
                <w:highlight w:val="none"/>
              </w:rPr>
              <w:t>书面材料</w:t>
            </w:r>
          </w:p>
        </w:tc>
        <w:tc>
          <w:tcPr>
            <w:tcW w:w="2602" w:type="dxa"/>
            <w:vAlign w:val="center"/>
          </w:tcPr>
          <w:p>
            <w:pPr>
              <w:spacing w:line="400" w:lineRule="exac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vAlign w:val="center"/>
          </w:tcPr>
          <w:p>
            <w:pPr>
              <w:adjustRightInd w:val="0"/>
              <w:spacing w:line="520" w:lineRule="exact"/>
              <w:jc w:val="left"/>
              <w:rPr>
                <w:color w:val="auto"/>
                <w:szCs w:val="21"/>
                <w:highlight w:val="none"/>
              </w:rPr>
            </w:pPr>
            <w:r>
              <w:rPr>
                <w:rFonts w:hint="eastAsia" w:cs="微软雅黑"/>
                <w:bCs/>
                <w:color w:val="auto"/>
                <w:kern w:val="0"/>
                <w:szCs w:val="21"/>
                <w:highlight w:val="none"/>
              </w:rPr>
              <w:t>4.产业现状介绍</w:t>
            </w:r>
          </w:p>
        </w:tc>
        <w:tc>
          <w:tcPr>
            <w:tcW w:w="1701" w:type="dxa"/>
            <w:vAlign w:val="center"/>
          </w:tcPr>
          <w:p>
            <w:pPr>
              <w:spacing w:line="400" w:lineRule="exact"/>
              <w:jc w:val="center"/>
              <w:rPr>
                <w:color w:val="auto"/>
                <w:szCs w:val="21"/>
                <w:highlight w:val="none"/>
              </w:rPr>
            </w:pPr>
            <w:r>
              <w:rPr>
                <w:rFonts w:hint="eastAsia"/>
                <w:color w:val="auto"/>
                <w:szCs w:val="21"/>
                <w:highlight w:val="none"/>
              </w:rPr>
              <w:t>书面材料</w:t>
            </w:r>
          </w:p>
        </w:tc>
        <w:tc>
          <w:tcPr>
            <w:tcW w:w="2602" w:type="dxa"/>
            <w:vAlign w:val="center"/>
          </w:tcPr>
          <w:p>
            <w:pPr>
              <w:adjustRightInd w:val="0"/>
              <w:spacing w:line="520" w:lineRule="exact"/>
              <w:jc w:val="lef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adjustRightInd w:val="0"/>
              <w:spacing w:line="520" w:lineRule="exact"/>
              <w:jc w:val="left"/>
              <w:rPr>
                <w:color w:val="auto"/>
                <w:szCs w:val="21"/>
                <w:highlight w:val="none"/>
              </w:rPr>
            </w:pPr>
            <w:r>
              <w:rPr>
                <w:rFonts w:hint="eastAsia" w:cs="微软雅黑"/>
                <w:bCs/>
                <w:color w:val="auto"/>
                <w:kern w:val="0"/>
                <w:szCs w:val="21"/>
                <w:highlight w:val="none"/>
              </w:rPr>
              <w:t>5.相关专项规划</w:t>
            </w:r>
          </w:p>
        </w:tc>
        <w:tc>
          <w:tcPr>
            <w:tcW w:w="1701" w:type="dxa"/>
          </w:tcPr>
          <w:p>
            <w:pPr>
              <w:spacing w:line="400" w:lineRule="exact"/>
              <w:jc w:val="center"/>
              <w:rPr>
                <w:color w:val="auto"/>
                <w:szCs w:val="21"/>
                <w:highlight w:val="none"/>
              </w:rPr>
            </w:pPr>
            <w:r>
              <w:rPr>
                <w:rFonts w:hint="eastAsia"/>
                <w:color w:val="auto"/>
                <w:szCs w:val="21"/>
                <w:highlight w:val="none"/>
              </w:rPr>
              <w:t>书面材料</w:t>
            </w:r>
          </w:p>
        </w:tc>
        <w:tc>
          <w:tcPr>
            <w:tcW w:w="2602" w:type="dxa"/>
          </w:tcPr>
          <w:p>
            <w:pPr>
              <w:adjustRightInd w:val="0"/>
              <w:spacing w:line="520" w:lineRule="exact"/>
              <w:jc w:val="left"/>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19" w:type="dxa"/>
          </w:tcPr>
          <w:p>
            <w:pPr>
              <w:spacing w:line="400" w:lineRule="exact"/>
              <w:rPr>
                <w:color w:val="auto"/>
                <w:szCs w:val="21"/>
                <w:highlight w:val="none"/>
              </w:rPr>
            </w:pPr>
            <w:r>
              <w:rPr>
                <w:rFonts w:hint="eastAsia" w:cs="微软雅黑"/>
                <w:bCs/>
                <w:color w:val="auto"/>
                <w:szCs w:val="21"/>
                <w:highlight w:val="none"/>
              </w:rPr>
              <w:t>6.相关历史人文资料</w:t>
            </w:r>
          </w:p>
        </w:tc>
        <w:tc>
          <w:tcPr>
            <w:tcW w:w="1701" w:type="dxa"/>
          </w:tcPr>
          <w:p>
            <w:pPr>
              <w:spacing w:line="400" w:lineRule="exact"/>
              <w:jc w:val="center"/>
              <w:rPr>
                <w:color w:val="auto"/>
                <w:szCs w:val="21"/>
                <w:highlight w:val="none"/>
              </w:rPr>
            </w:pPr>
            <w:r>
              <w:rPr>
                <w:rFonts w:hint="eastAsia"/>
                <w:color w:val="auto"/>
                <w:szCs w:val="21"/>
                <w:highlight w:val="none"/>
              </w:rPr>
              <w:t>书面材料</w:t>
            </w:r>
          </w:p>
        </w:tc>
        <w:tc>
          <w:tcPr>
            <w:tcW w:w="2602" w:type="dxa"/>
          </w:tcPr>
          <w:p>
            <w:pPr>
              <w:spacing w:line="400" w:lineRule="exact"/>
              <w:rPr>
                <w:color w:val="auto"/>
                <w:szCs w:val="21"/>
                <w:highlight w:val="none"/>
              </w:rPr>
            </w:pPr>
          </w:p>
        </w:tc>
      </w:tr>
    </w:tbl>
    <w:p>
      <w:pPr>
        <w:spacing w:line="400" w:lineRule="exact"/>
        <w:rPr>
          <w:b/>
          <w:color w:val="auto"/>
          <w:szCs w:val="21"/>
          <w:highlight w:val="none"/>
        </w:rPr>
      </w:pPr>
      <w:r>
        <w:rPr>
          <w:rFonts w:hint="eastAsia"/>
          <w:b/>
          <w:color w:val="auto"/>
          <w:szCs w:val="21"/>
          <w:highlight w:val="none"/>
        </w:rPr>
        <w:t>第七条规划设计费用及支付方式</w:t>
      </w:r>
    </w:p>
    <w:p>
      <w:pPr>
        <w:spacing w:line="400" w:lineRule="exact"/>
        <w:ind w:firstLine="555"/>
        <w:rPr>
          <w:color w:val="auto"/>
          <w:szCs w:val="21"/>
          <w:highlight w:val="none"/>
        </w:rPr>
      </w:pPr>
      <w:r>
        <w:rPr>
          <w:rFonts w:hint="eastAsia"/>
          <w:color w:val="auto"/>
          <w:szCs w:val="21"/>
          <w:highlight w:val="none"/>
        </w:rPr>
        <w:t>1、本项目合同金额（即规划设计费用）为人民币</w:t>
      </w:r>
      <w:r>
        <w:rPr>
          <w:rFonts w:hint="eastAsia"/>
          <w:color w:val="auto"/>
          <w:szCs w:val="21"/>
          <w:highlight w:val="none"/>
          <w:u w:val="single"/>
        </w:rPr>
        <w:t xml:space="preserve">      </w:t>
      </w:r>
      <w:r>
        <w:rPr>
          <w:rFonts w:hint="eastAsia"/>
          <w:color w:val="auto"/>
          <w:szCs w:val="21"/>
          <w:highlight w:val="none"/>
        </w:rPr>
        <w:t>元（大写：</w:t>
      </w:r>
      <w:r>
        <w:rPr>
          <w:rFonts w:hint="eastAsia"/>
          <w:color w:val="auto"/>
          <w:szCs w:val="21"/>
          <w:highlight w:val="none"/>
          <w:u w:val="single"/>
        </w:rPr>
        <w:t xml:space="preserve">       </w:t>
      </w:r>
      <w:r>
        <w:rPr>
          <w:rFonts w:hint="eastAsia"/>
          <w:color w:val="auto"/>
          <w:szCs w:val="21"/>
          <w:highlight w:val="none"/>
        </w:rPr>
        <w:t>）。本合同书所述的规划设计费用已包括乙方工作人员的差旅食宿费用、设计文本打印费用、评审等与规划设计相关的履行合同内容所需的相关费用以及利润、税金及本项目包含的所有风险、责任等各项应有费用。</w:t>
      </w:r>
    </w:p>
    <w:p>
      <w:pPr>
        <w:spacing w:line="340" w:lineRule="exact"/>
        <w:ind w:firstLine="525" w:firstLineChars="250"/>
        <w:contextualSpacing/>
        <w:rPr>
          <w:rFonts w:hint="eastAsia"/>
          <w:color w:val="auto"/>
          <w:szCs w:val="21"/>
          <w:highlight w:val="none"/>
        </w:rPr>
      </w:pPr>
      <w:r>
        <w:rPr>
          <w:rFonts w:hint="eastAsia"/>
          <w:color w:val="auto"/>
          <w:szCs w:val="21"/>
          <w:highlight w:val="none"/>
        </w:rPr>
        <w:t>2、支付阶段：</w:t>
      </w:r>
    </w:p>
    <w:p>
      <w:pPr>
        <w:spacing w:line="400" w:lineRule="exact"/>
        <w:ind w:firstLine="555"/>
        <w:rPr>
          <w:rFonts w:hint="eastAsia" w:ascii="宋体" w:hAnsi="宋体" w:eastAsia="宋体" w:cs="仿宋_GB2312"/>
          <w:bCs/>
          <w:color w:val="auto"/>
          <w:kern w:val="0"/>
          <w:szCs w:val="21"/>
          <w:highlight w:val="none"/>
        </w:rPr>
      </w:pPr>
      <w:r>
        <w:rPr>
          <w:rFonts w:hint="eastAsia" w:ascii="宋体" w:hAnsi="宋体"/>
          <w:color w:val="auto"/>
          <w:szCs w:val="21"/>
          <w:highlight w:val="none"/>
        </w:rPr>
        <w:t>在合同生效</w:t>
      </w:r>
      <w:r>
        <w:rPr>
          <w:rFonts w:hint="eastAsia" w:ascii="宋体" w:hAnsi="宋体"/>
          <w:color w:val="auto"/>
          <w:szCs w:val="21"/>
          <w:highlight w:val="none"/>
          <w:lang w:val="en-US" w:eastAsia="zh-CN"/>
        </w:rPr>
        <w:t>并</w:t>
      </w:r>
      <w:r>
        <w:rPr>
          <w:rFonts w:hint="eastAsia" w:ascii="宋体" w:hAnsi="宋体"/>
          <w:color w:val="auto"/>
          <w:szCs w:val="21"/>
          <w:highlight w:val="none"/>
        </w:rPr>
        <w:t>具备实施条件后7个</w:t>
      </w:r>
      <w:r>
        <w:rPr>
          <w:rFonts w:hint="eastAsia" w:ascii="宋体" w:hAnsi="宋体"/>
          <w:color w:val="auto"/>
          <w:szCs w:val="21"/>
          <w:highlight w:val="none"/>
          <w:lang w:val="en-US" w:eastAsia="zh-CN"/>
        </w:rPr>
        <w:t>工作日内支付总价款</w:t>
      </w:r>
      <w:r>
        <w:rPr>
          <w:rFonts w:hint="eastAsia" w:ascii="宋体" w:hAnsi="宋体"/>
          <w:color w:val="auto"/>
          <w:szCs w:val="21"/>
          <w:highlight w:val="none"/>
        </w:rPr>
        <w:t>的40%作为预付款，乙方提交的评审方案通过甲方组织的技术审查后，甲方再向乙方支付总价款30%的进度款，余款30%按评审会意见修改提交最终成果并通过审批后，一次性全额结清。</w:t>
      </w:r>
    </w:p>
    <w:p>
      <w:pPr>
        <w:spacing w:line="400" w:lineRule="exact"/>
        <w:ind w:firstLine="555"/>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支付方式：乙方根据本合同书第七条第2款约定的金额向甲方开具正式发票。甲方根据乙方发票的金额，在履行甲方财务审批手续完毕后，采用政府国库集中支付和银行转账的方式支付。</w:t>
      </w:r>
    </w:p>
    <w:p>
      <w:pPr>
        <w:spacing w:line="400" w:lineRule="exact"/>
        <w:ind w:firstLine="570"/>
        <w:rPr>
          <w:color w:val="auto"/>
          <w:szCs w:val="21"/>
          <w:highlight w:val="none"/>
        </w:rPr>
      </w:pPr>
      <w:r>
        <w:rPr>
          <w:rFonts w:hint="eastAsia"/>
          <w:color w:val="auto"/>
          <w:szCs w:val="21"/>
          <w:highlight w:val="none"/>
          <w:lang w:val="en-US" w:eastAsia="zh-CN"/>
        </w:rPr>
        <w:t>4</w:t>
      </w:r>
      <w:r>
        <w:rPr>
          <w:rFonts w:hint="eastAsia"/>
          <w:color w:val="auto"/>
          <w:szCs w:val="21"/>
          <w:highlight w:val="none"/>
        </w:rPr>
        <w:t>、发包人委托承包人承担本合同书以外的工作(费用未达到发包人招标限额的),双方另行签订合同书并支付费用，双方另行签订合同书并支付费用，单价计取根据按照承包人投标文件中商务分项报价表中的单价确定，数量按实计算。</w:t>
      </w:r>
    </w:p>
    <w:p>
      <w:pPr>
        <w:spacing w:line="400" w:lineRule="exact"/>
        <w:rPr>
          <w:b/>
          <w:color w:val="auto"/>
          <w:szCs w:val="21"/>
          <w:highlight w:val="none"/>
        </w:rPr>
      </w:pPr>
      <w:r>
        <w:rPr>
          <w:rFonts w:hint="eastAsia"/>
          <w:b/>
          <w:color w:val="auto"/>
          <w:szCs w:val="21"/>
          <w:highlight w:val="none"/>
        </w:rPr>
        <w:t>第八条履约担保</w:t>
      </w:r>
    </w:p>
    <w:p>
      <w:pPr>
        <w:spacing w:line="400" w:lineRule="exact"/>
        <w:ind w:firstLine="570"/>
        <w:rPr>
          <w:rFonts w:hint="eastAsia" w:eastAsia="宋体"/>
          <w:color w:val="auto"/>
          <w:szCs w:val="21"/>
          <w:highlight w:val="none"/>
          <w:lang w:val="en-US" w:eastAsia="zh-CN"/>
        </w:rPr>
      </w:pPr>
      <w:r>
        <w:rPr>
          <w:rFonts w:hint="eastAsia"/>
          <w:color w:val="auto"/>
          <w:szCs w:val="21"/>
          <w:highlight w:val="none"/>
        </w:rPr>
        <w:t>1、</w:t>
      </w:r>
      <w:r>
        <w:rPr>
          <w:rFonts w:hint="eastAsia"/>
          <w:color w:val="auto"/>
          <w:szCs w:val="21"/>
          <w:highlight w:val="none"/>
          <w:lang w:val="en-US" w:eastAsia="zh-CN"/>
        </w:rPr>
        <w:t>无</w:t>
      </w:r>
      <w:r>
        <w:rPr>
          <w:rFonts w:hint="eastAsia"/>
          <w:color w:val="auto"/>
          <w:szCs w:val="21"/>
          <w:highlight w:val="none"/>
        </w:rPr>
        <w:t>履约保证金</w:t>
      </w:r>
      <w:r>
        <w:rPr>
          <w:rFonts w:hint="eastAsia"/>
          <w:color w:val="auto"/>
          <w:szCs w:val="21"/>
          <w:highlight w:val="none"/>
          <w:lang w:eastAsia="zh-CN"/>
        </w:rPr>
        <w:t>。</w:t>
      </w:r>
    </w:p>
    <w:p>
      <w:pPr>
        <w:spacing w:line="400" w:lineRule="exact"/>
        <w:rPr>
          <w:b/>
          <w:color w:val="auto"/>
          <w:szCs w:val="21"/>
          <w:highlight w:val="none"/>
        </w:rPr>
      </w:pPr>
      <w:r>
        <w:rPr>
          <w:rFonts w:hint="eastAsia"/>
          <w:b/>
          <w:color w:val="auto"/>
          <w:szCs w:val="21"/>
          <w:highlight w:val="none"/>
        </w:rPr>
        <w:t>第九条双方责任</w:t>
      </w:r>
    </w:p>
    <w:p>
      <w:pPr>
        <w:spacing w:line="400" w:lineRule="exact"/>
        <w:ind w:firstLine="570"/>
        <w:rPr>
          <w:color w:val="auto"/>
          <w:szCs w:val="21"/>
          <w:highlight w:val="none"/>
        </w:rPr>
      </w:pPr>
      <w:r>
        <w:rPr>
          <w:rFonts w:hint="eastAsia"/>
          <w:color w:val="auto"/>
          <w:szCs w:val="21"/>
          <w:highlight w:val="none"/>
        </w:rPr>
        <w:t>1、甲方责任</w:t>
      </w:r>
    </w:p>
    <w:p>
      <w:pPr>
        <w:spacing w:line="400" w:lineRule="exact"/>
        <w:ind w:firstLine="570"/>
        <w:rPr>
          <w:color w:val="auto"/>
          <w:szCs w:val="21"/>
          <w:highlight w:val="none"/>
        </w:rPr>
      </w:pPr>
      <w:r>
        <w:rPr>
          <w:rFonts w:hint="eastAsia"/>
          <w:color w:val="auto"/>
          <w:szCs w:val="21"/>
          <w:highlight w:val="none"/>
        </w:rPr>
        <w:t>（1）甲方可根据规划设计需要向乙方提交必要的资料及文件。</w:t>
      </w:r>
    </w:p>
    <w:p>
      <w:pPr>
        <w:spacing w:line="400" w:lineRule="exact"/>
        <w:ind w:firstLine="570"/>
        <w:rPr>
          <w:color w:val="auto"/>
          <w:szCs w:val="21"/>
          <w:highlight w:val="none"/>
        </w:rPr>
      </w:pPr>
      <w:r>
        <w:rPr>
          <w:rFonts w:hint="eastAsia"/>
          <w:color w:val="auto"/>
          <w:szCs w:val="21"/>
          <w:highlight w:val="none"/>
        </w:rPr>
        <w:t>（2）甲方应协助乙方收集规划设计所需的基础资料，并指定人员与乙方联系工作。</w:t>
      </w:r>
    </w:p>
    <w:p>
      <w:pPr>
        <w:spacing w:line="400" w:lineRule="exact"/>
        <w:ind w:firstLine="570"/>
        <w:rPr>
          <w:color w:val="auto"/>
          <w:szCs w:val="21"/>
          <w:highlight w:val="none"/>
        </w:rPr>
      </w:pPr>
      <w:r>
        <w:rPr>
          <w:rFonts w:hint="eastAsia"/>
          <w:color w:val="auto"/>
          <w:szCs w:val="21"/>
          <w:highlight w:val="none"/>
        </w:rPr>
        <w:t>（3）乙方交付给甲方的规划设计成果，甲方应及时将修改调整意见反馈给乙方。</w:t>
      </w:r>
    </w:p>
    <w:p>
      <w:pPr>
        <w:spacing w:line="400" w:lineRule="exact"/>
        <w:ind w:firstLine="570"/>
        <w:rPr>
          <w:color w:val="auto"/>
          <w:szCs w:val="21"/>
          <w:highlight w:val="none"/>
        </w:rPr>
      </w:pPr>
      <w:r>
        <w:rPr>
          <w:rFonts w:hint="eastAsia"/>
          <w:color w:val="auto"/>
          <w:szCs w:val="21"/>
          <w:highlight w:val="none"/>
        </w:rPr>
        <w:t>（4）甲方应依据本合同书约定及时支付阶段性规划设计费用；如果延期支付或拒付，则乙方有权暂停甚至终止下一阶段的规划设计任务。</w:t>
      </w:r>
    </w:p>
    <w:p>
      <w:pPr>
        <w:spacing w:line="400" w:lineRule="exact"/>
        <w:ind w:firstLine="570"/>
        <w:rPr>
          <w:color w:val="auto"/>
          <w:szCs w:val="21"/>
          <w:highlight w:val="none"/>
        </w:rPr>
      </w:pPr>
      <w:r>
        <w:rPr>
          <w:rFonts w:hint="eastAsia"/>
          <w:color w:val="auto"/>
          <w:szCs w:val="21"/>
          <w:highlight w:val="none"/>
        </w:rPr>
        <w:t>（5）在合同书履行期间，甲方要求终止或解除合同书，应及时书面通知乙方。乙方未开始工作的，甲方应支付前期准备工作阶段的相关费用；已开始工作的，甲方根据双方商定后的价款支付规划设计费用，并承担规划设计费用总价款</w:t>
      </w:r>
      <w:r>
        <w:rPr>
          <w:rFonts w:hint="eastAsia"/>
          <w:color w:val="auto"/>
          <w:szCs w:val="21"/>
          <w:highlight w:val="none"/>
          <w:u w:val="single"/>
        </w:rPr>
        <w:t xml:space="preserve"> 5 </w:t>
      </w:r>
      <w:r>
        <w:rPr>
          <w:rFonts w:hint="eastAsia"/>
          <w:color w:val="auto"/>
          <w:szCs w:val="21"/>
          <w:highlight w:val="none"/>
        </w:rPr>
        <w:t>%的违约金。</w:t>
      </w:r>
    </w:p>
    <w:p>
      <w:pPr>
        <w:spacing w:line="400" w:lineRule="exact"/>
        <w:ind w:firstLine="570"/>
        <w:rPr>
          <w:color w:val="auto"/>
          <w:szCs w:val="21"/>
          <w:highlight w:val="none"/>
        </w:rPr>
      </w:pPr>
      <w:r>
        <w:rPr>
          <w:rFonts w:hint="eastAsia"/>
          <w:color w:val="auto"/>
          <w:szCs w:val="21"/>
          <w:highlight w:val="none"/>
        </w:rPr>
        <w:t>2、乙方责任</w:t>
      </w:r>
    </w:p>
    <w:p>
      <w:pPr>
        <w:spacing w:line="400" w:lineRule="exact"/>
        <w:ind w:firstLine="570"/>
        <w:rPr>
          <w:color w:val="auto"/>
          <w:szCs w:val="21"/>
          <w:highlight w:val="none"/>
        </w:rPr>
      </w:pPr>
      <w:r>
        <w:rPr>
          <w:rFonts w:hint="eastAsia"/>
          <w:color w:val="auto"/>
          <w:szCs w:val="21"/>
          <w:highlight w:val="none"/>
        </w:rPr>
        <w:t>（1）乙方承接规划设计业务时，不得超出其资质证书规定的等级和范围。</w:t>
      </w:r>
    </w:p>
    <w:p>
      <w:pPr>
        <w:spacing w:line="400" w:lineRule="exact"/>
        <w:ind w:firstLine="570"/>
        <w:rPr>
          <w:color w:val="auto"/>
          <w:szCs w:val="21"/>
          <w:highlight w:val="none"/>
        </w:rPr>
      </w:pPr>
      <w:r>
        <w:rPr>
          <w:rFonts w:hint="eastAsia"/>
          <w:color w:val="auto"/>
          <w:szCs w:val="21"/>
          <w:highlight w:val="none"/>
        </w:rPr>
        <w:t>（2）乙方须对甲方提交的资料和文件进行完整性、正确性及时效性等全面审查，并指定专人与甲方联络本合同书项目规划设计的相关工作。</w:t>
      </w:r>
    </w:p>
    <w:p>
      <w:pPr>
        <w:spacing w:line="400" w:lineRule="exact"/>
        <w:ind w:firstLine="570"/>
        <w:rPr>
          <w:color w:val="auto"/>
          <w:szCs w:val="21"/>
          <w:highlight w:val="none"/>
        </w:rPr>
      </w:pPr>
      <w:r>
        <w:rPr>
          <w:rFonts w:hint="eastAsia"/>
          <w:color w:val="auto"/>
          <w:szCs w:val="21"/>
          <w:highlight w:val="none"/>
        </w:rPr>
        <w:t>（3）乙方应及时开展现场踏勘、资料分析和查阅工作，按有关规范和标准及本合同书约定的设计依据等，向甲方交付符合规定深度的规划设计成果或文件。乙方对提交的规划设计文件质量负责。乙方提交的规划设计成果或文件须符合本合同书约定的内容、时间、要求及套数，内容和质量方面须取得甲方的书面认可。</w:t>
      </w:r>
    </w:p>
    <w:p>
      <w:pPr>
        <w:spacing w:line="400" w:lineRule="exact"/>
        <w:ind w:firstLine="570"/>
        <w:rPr>
          <w:color w:val="auto"/>
          <w:szCs w:val="21"/>
          <w:highlight w:val="none"/>
        </w:rPr>
      </w:pPr>
      <w:r>
        <w:rPr>
          <w:rFonts w:hint="eastAsia"/>
          <w:color w:val="auto"/>
          <w:szCs w:val="21"/>
          <w:highlight w:val="none"/>
        </w:rPr>
        <w:t>（4）乙方提供的规划设计成果或文件如需评审，乙方根据须甲方通知参加相关汇报，按需提供规划文本。根据评审意见，乙方</w:t>
      </w:r>
      <w:r>
        <w:rPr>
          <w:rFonts w:hint="eastAsia"/>
          <w:color w:val="auto"/>
          <w:szCs w:val="21"/>
          <w:highlight w:val="none"/>
          <w:u w:val="single"/>
        </w:rPr>
        <w:t>按甲方要求完成</w:t>
      </w:r>
      <w:r>
        <w:rPr>
          <w:rFonts w:hint="eastAsia"/>
          <w:color w:val="auto"/>
          <w:szCs w:val="21"/>
          <w:highlight w:val="none"/>
        </w:rPr>
        <w:t>对规划设计成果或文件的调整、修改和补充（甲方同意延长期限的除外）。若乙方未能在规定期限内完成对设计成果的修改（甲方同意延长期限的除外），每延期1天扣</w:t>
      </w:r>
      <w:r>
        <w:rPr>
          <w:rFonts w:hint="eastAsia"/>
          <w:color w:val="auto"/>
          <w:szCs w:val="21"/>
          <w:highlight w:val="none"/>
          <w:lang w:val="en-US" w:eastAsia="zh-CN"/>
        </w:rPr>
        <w:t>服务款</w:t>
      </w:r>
      <w:r>
        <w:rPr>
          <w:rFonts w:hint="eastAsia"/>
          <w:color w:val="auto"/>
          <w:szCs w:val="21"/>
          <w:highlight w:val="none"/>
        </w:rPr>
        <w:t>500元，最长延期时间不得超过7日历天（累计不超过本合同总额），否则甲方可以有权另行处理，包括解除设计委托合同等，并且造成的损失由乙方承担。</w:t>
      </w:r>
    </w:p>
    <w:p>
      <w:pPr>
        <w:spacing w:line="400" w:lineRule="exact"/>
        <w:ind w:firstLine="570"/>
        <w:rPr>
          <w:color w:val="auto"/>
          <w:szCs w:val="21"/>
          <w:highlight w:val="none"/>
        </w:rPr>
      </w:pPr>
      <w:r>
        <w:rPr>
          <w:rFonts w:hint="eastAsia"/>
          <w:color w:val="auto"/>
          <w:szCs w:val="21"/>
          <w:highlight w:val="none"/>
        </w:rPr>
        <w:t>（5）已提交或甲方认可的规划设计成果或文件（包括但不限于规划大纲、初步方案、方案初稿、评审方案及合格成果）如有遗漏或错误，乙方负责调整、修改和补充。由于乙方规划设计遗漏或错误造成甲方损失的，甲方可以要求乙方负责采取补救措施，还可视造成的时间延误和费用损失，扣</w:t>
      </w:r>
      <w:r>
        <w:rPr>
          <w:rFonts w:hint="eastAsia"/>
          <w:color w:val="auto"/>
          <w:szCs w:val="21"/>
          <w:highlight w:val="none"/>
          <w:lang w:val="en-US" w:eastAsia="zh-CN"/>
        </w:rPr>
        <w:t>服务款</w:t>
      </w:r>
      <w:r>
        <w:rPr>
          <w:rFonts w:hint="eastAsia"/>
          <w:color w:val="auto"/>
          <w:szCs w:val="21"/>
          <w:highlight w:val="none"/>
        </w:rPr>
        <w:t>1000元，同时，要求乙方承担相应的赔偿责任。</w:t>
      </w:r>
    </w:p>
    <w:p>
      <w:pPr>
        <w:spacing w:line="400" w:lineRule="exact"/>
        <w:ind w:firstLine="570"/>
        <w:rPr>
          <w:color w:val="auto"/>
          <w:szCs w:val="21"/>
          <w:highlight w:val="none"/>
        </w:rPr>
      </w:pPr>
      <w:r>
        <w:rPr>
          <w:rFonts w:hint="eastAsia"/>
          <w:color w:val="auto"/>
          <w:szCs w:val="21"/>
          <w:highlight w:val="none"/>
        </w:rPr>
        <w:t>（6）本合同书生效后，乙方无正当理由要求终止或解除合同书，乙方须全额退还已收的规划设计费用并承担规划设计费用总价款</w:t>
      </w:r>
      <w:r>
        <w:rPr>
          <w:rFonts w:hint="eastAsia"/>
          <w:color w:val="auto"/>
          <w:szCs w:val="21"/>
          <w:highlight w:val="none"/>
          <w:u w:val="single"/>
        </w:rPr>
        <w:t xml:space="preserve">1 </w:t>
      </w:r>
      <w:r>
        <w:rPr>
          <w:rFonts w:hint="eastAsia"/>
          <w:color w:val="auto"/>
          <w:szCs w:val="21"/>
          <w:highlight w:val="none"/>
        </w:rPr>
        <w:t>%的</w:t>
      </w:r>
      <w:r>
        <w:rPr>
          <w:rFonts w:hint="eastAsia"/>
          <w:color w:val="auto"/>
          <w:szCs w:val="21"/>
          <w:highlight w:val="none"/>
          <w:lang w:val="en-US" w:eastAsia="zh-CN"/>
        </w:rPr>
        <w:t>违约金</w:t>
      </w:r>
      <w:r>
        <w:rPr>
          <w:rFonts w:hint="eastAsia"/>
          <w:color w:val="auto"/>
          <w:szCs w:val="21"/>
          <w:highlight w:val="none"/>
        </w:rPr>
        <w:t>。</w:t>
      </w:r>
    </w:p>
    <w:p>
      <w:pPr>
        <w:spacing w:line="400" w:lineRule="exact"/>
        <w:ind w:firstLine="570"/>
        <w:rPr>
          <w:color w:val="auto"/>
          <w:szCs w:val="21"/>
          <w:highlight w:val="none"/>
        </w:rPr>
      </w:pPr>
      <w:r>
        <w:rPr>
          <w:rFonts w:hint="eastAsia"/>
          <w:color w:val="auto"/>
          <w:szCs w:val="21"/>
          <w:highlight w:val="none"/>
        </w:rPr>
        <w:t>（7）乙方应按本合同书约定的时限向甲方交付各阶段的规划设计文件，由于乙方原因，延误了规划设计文件交付时间，每延误一天，应承担规划设计费用总价款</w:t>
      </w:r>
      <w:r>
        <w:rPr>
          <w:rFonts w:hint="eastAsia"/>
          <w:color w:val="auto"/>
          <w:szCs w:val="21"/>
          <w:highlight w:val="none"/>
          <w:u w:val="single"/>
        </w:rPr>
        <w:t xml:space="preserve"> 0.5 </w:t>
      </w:r>
      <w:r>
        <w:rPr>
          <w:rFonts w:hint="eastAsia"/>
          <w:color w:val="auto"/>
          <w:szCs w:val="21"/>
          <w:highlight w:val="none"/>
        </w:rPr>
        <w:t>%的</w:t>
      </w:r>
      <w:r>
        <w:rPr>
          <w:rFonts w:hint="eastAsia"/>
          <w:color w:val="auto"/>
          <w:szCs w:val="21"/>
          <w:highlight w:val="none"/>
          <w:lang w:val="en-US" w:eastAsia="zh-CN"/>
        </w:rPr>
        <w:t>违约金</w:t>
      </w:r>
      <w:r>
        <w:rPr>
          <w:rFonts w:hint="eastAsia"/>
          <w:color w:val="auto"/>
          <w:szCs w:val="21"/>
          <w:highlight w:val="none"/>
        </w:rPr>
        <w:t>，最长延期时间不得超过15日历天，否则甲方可以有权另行处理，包括解除设计委托合同等，并且造成的损失由乙方承担。</w:t>
      </w:r>
    </w:p>
    <w:p>
      <w:pPr>
        <w:spacing w:line="400" w:lineRule="exact"/>
        <w:rPr>
          <w:b/>
          <w:color w:val="auto"/>
          <w:szCs w:val="21"/>
          <w:highlight w:val="none"/>
        </w:rPr>
      </w:pPr>
      <w:r>
        <w:rPr>
          <w:rFonts w:hint="eastAsia"/>
          <w:b/>
          <w:color w:val="auto"/>
          <w:szCs w:val="21"/>
          <w:highlight w:val="none"/>
        </w:rPr>
        <w:t>第十条知识产权及保密</w:t>
      </w:r>
    </w:p>
    <w:p>
      <w:pPr>
        <w:spacing w:line="400" w:lineRule="exact"/>
        <w:ind w:firstLine="570"/>
        <w:rPr>
          <w:color w:val="auto"/>
          <w:szCs w:val="21"/>
          <w:highlight w:val="none"/>
        </w:rPr>
      </w:pPr>
      <w:r>
        <w:rPr>
          <w:rFonts w:hint="eastAsia"/>
          <w:color w:val="auto"/>
          <w:szCs w:val="21"/>
          <w:highlight w:val="none"/>
        </w:rPr>
        <w:t>1、甲方支付相应的规划设计费用后即取得本合同书项目所有的设计成果和文件的所有权、使用权和知识产权。</w:t>
      </w:r>
    </w:p>
    <w:p>
      <w:pPr>
        <w:spacing w:line="400" w:lineRule="exact"/>
        <w:ind w:firstLine="570"/>
        <w:rPr>
          <w:color w:val="auto"/>
          <w:szCs w:val="21"/>
          <w:highlight w:val="none"/>
        </w:rPr>
      </w:pPr>
      <w:r>
        <w:rPr>
          <w:rFonts w:hint="eastAsia"/>
          <w:color w:val="auto"/>
          <w:szCs w:val="21"/>
          <w:highlight w:val="none"/>
        </w:rPr>
        <w:t>2、乙方应对甲方提供的所有资料、材料及利用该资料、材料而产生的所有资料、材料等进行保密和保管。未经甲方书面同意、乙方不得擅自修改，复制或向第三人转让或用于本合同书项目外的项目。否则，乙方应承担由此引起的一切后果并承担赔偿责任。如有必要，双方另行签订保密协议。</w:t>
      </w:r>
    </w:p>
    <w:p>
      <w:pPr>
        <w:spacing w:line="400" w:lineRule="exact"/>
        <w:rPr>
          <w:b/>
          <w:color w:val="auto"/>
          <w:szCs w:val="21"/>
          <w:highlight w:val="none"/>
        </w:rPr>
      </w:pPr>
      <w:r>
        <w:rPr>
          <w:rFonts w:hint="eastAsia"/>
          <w:b/>
          <w:color w:val="auto"/>
          <w:szCs w:val="21"/>
          <w:highlight w:val="none"/>
        </w:rPr>
        <w:t>第十一条争议解决方式</w:t>
      </w:r>
    </w:p>
    <w:p>
      <w:pPr>
        <w:spacing w:line="400" w:lineRule="exact"/>
        <w:ind w:firstLine="570"/>
        <w:rPr>
          <w:color w:val="auto"/>
          <w:szCs w:val="21"/>
          <w:highlight w:val="none"/>
        </w:rPr>
      </w:pPr>
      <w:r>
        <w:rPr>
          <w:rFonts w:hint="eastAsia"/>
          <w:color w:val="auto"/>
          <w:szCs w:val="21"/>
          <w:highlight w:val="none"/>
        </w:rPr>
        <w:t>本合同书在履行过程中如发生争议，由双方协商解决。协商不成的，按下列第</w:t>
      </w:r>
      <w:r>
        <w:rPr>
          <w:rFonts w:hint="eastAsia"/>
          <w:color w:val="auto"/>
          <w:szCs w:val="21"/>
          <w:highlight w:val="none"/>
          <w:u w:val="single"/>
        </w:rPr>
        <w:t>（二）</w:t>
      </w:r>
      <w:r>
        <w:rPr>
          <w:rFonts w:hint="eastAsia"/>
          <w:color w:val="auto"/>
          <w:szCs w:val="21"/>
          <w:highlight w:val="none"/>
        </w:rPr>
        <w:t>种方式解决。</w:t>
      </w:r>
    </w:p>
    <w:p>
      <w:pPr>
        <w:numPr>
          <w:ilvl w:val="0"/>
          <w:numId w:val="4"/>
        </w:numPr>
        <w:spacing w:line="400" w:lineRule="exact"/>
        <w:rPr>
          <w:color w:val="auto"/>
          <w:szCs w:val="21"/>
          <w:highlight w:val="none"/>
        </w:rPr>
      </w:pPr>
      <w:r>
        <w:rPr>
          <w:rFonts w:hint="eastAsia"/>
          <w:color w:val="auto"/>
          <w:szCs w:val="21"/>
          <w:highlight w:val="none"/>
        </w:rPr>
        <w:t>提交宁波仲裁委员会仲裁。</w:t>
      </w:r>
    </w:p>
    <w:p>
      <w:pPr>
        <w:numPr>
          <w:ilvl w:val="0"/>
          <w:numId w:val="4"/>
        </w:numPr>
        <w:spacing w:line="400" w:lineRule="exact"/>
        <w:rPr>
          <w:color w:val="auto"/>
          <w:szCs w:val="21"/>
          <w:highlight w:val="none"/>
        </w:rPr>
      </w:pPr>
      <w:r>
        <w:rPr>
          <w:rFonts w:hint="eastAsia"/>
          <w:color w:val="auto"/>
          <w:szCs w:val="21"/>
          <w:highlight w:val="none"/>
        </w:rPr>
        <w:t>依法向</w:t>
      </w:r>
      <w:r>
        <w:rPr>
          <w:rFonts w:hint="eastAsia"/>
          <w:color w:val="auto"/>
          <w:szCs w:val="21"/>
          <w:highlight w:val="none"/>
          <w:u w:val="single"/>
        </w:rPr>
        <w:t>甲方</w:t>
      </w:r>
      <w:r>
        <w:rPr>
          <w:rFonts w:hint="eastAsia"/>
          <w:color w:val="auto"/>
          <w:szCs w:val="21"/>
          <w:highlight w:val="none"/>
        </w:rPr>
        <w:t>所在地人民法院起诉。</w:t>
      </w:r>
    </w:p>
    <w:p>
      <w:pPr>
        <w:spacing w:line="400" w:lineRule="exact"/>
        <w:rPr>
          <w:b/>
          <w:color w:val="auto"/>
          <w:szCs w:val="21"/>
          <w:highlight w:val="none"/>
        </w:rPr>
      </w:pPr>
      <w:r>
        <w:rPr>
          <w:rFonts w:hint="eastAsia"/>
          <w:b/>
          <w:color w:val="auto"/>
          <w:szCs w:val="21"/>
          <w:highlight w:val="none"/>
        </w:rPr>
        <w:t>第十二条合同书生效及其他</w:t>
      </w:r>
    </w:p>
    <w:p>
      <w:pPr>
        <w:spacing w:line="400" w:lineRule="exact"/>
        <w:ind w:firstLine="420" w:firstLineChars="200"/>
        <w:rPr>
          <w:color w:val="auto"/>
          <w:szCs w:val="21"/>
          <w:highlight w:val="none"/>
        </w:rPr>
      </w:pPr>
      <w:r>
        <w:rPr>
          <w:rFonts w:hint="eastAsia"/>
          <w:color w:val="auto"/>
          <w:szCs w:val="21"/>
          <w:highlight w:val="none"/>
        </w:rPr>
        <w:t>1、甲方要求乙方派专人进行现场设计或长期配合解决有关问题时，双方另外签订技术咨询服务合同，并由甲方为乙方派驻现场的工作人员提供工作便利条件。</w:t>
      </w:r>
    </w:p>
    <w:p>
      <w:pPr>
        <w:spacing w:line="400" w:lineRule="exact"/>
        <w:ind w:firstLine="420" w:firstLineChars="200"/>
        <w:rPr>
          <w:color w:val="auto"/>
          <w:szCs w:val="21"/>
          <w:highlight w:val="none"/>
        </w:rPr>
      </w:pPr>
      <w:r>
        <w:rPr>
          <w:rFonts w:hint="eastAsia"/>
          <w:color w:val="auto"/>
          <w:szCs w:val="21"/>
          <w:highlight w:val="none"/>
        </w:rPr>
        <w:t>2、甲方委托乙方承担本合同书以外的工作，双方另行签订合同书并支付费用。</w:t>
      </w:r>
    </w:p>
    <w:p>
      <w:pPr>
        <w:spacing w:line="400" w:lineRule="exact"/>
        <w:ind w:firstLine="420" w:firstLineChars="200"/>
        <w:rPr>
          <w:color w:val="auto"/>
          <w:szCs w:val="21"/>
          <w:highlight w:val="none"/>
        </w:rPr>
      </w:pPr>
      <w:r>
        <w:rPr>
          <w:rFonts w:hint="eastAsia"/>
          <w:color w:val="auto"/>
          <w:szCs w:val="21"/>
          <w:highlight w:val="none"/>
        </w:rPr>
        <w:t>3、双方认可的来往传真、电报、会议纪要等均为本合同书的组成部分，与本合同书具有同等法律效力。</w:t>
      </w:r>
    </w:p>
    <w:p>
      <w:pPr>
        <w:spacing w:line="400" w:lineRule="exact"/>
        <w:ind w:firstLine="420" w:firstLineChars="200"/>
        <w:rPr>
          <w:color w:val="auto"/>
          <w:szCs w:val="21"/>
          <w:highlight w:val="none"/>
        </w:rPr>
      </w:pPr>
      <w:r>
        <w:rPr>
          <w:rFonts w:hint="eastAsia"/>
          <w:color w:val="auto"/>
          <w:szCs w:val="21"/>
          <w:highlight w:val="none"/>
        </w:rPr>
        <w:t>4、由于不可抗力因素造成本合同书无法履行时，双方应及时协商解决。</w:t>
      </w:r>
    </w:p>
    <w:p>
      <w:pPr>
        <w:spacing w:line="400" w:lineRule="exact"/>
        <w:ind w:firstLine="420" w:firstLineChars="200"/>
        <w:rPr>
          <w:color w:val="auto"/>
          <w:szCs w:val="21"/>
          <w:highlight w:val="none"/>
        </w:rPr>
      </w:pPr>
      <w:r>
        <w:rPr>
          <w:rFonts w:hint="eastAsia"/>
          <w:color w:val="auto"/>
          <w:szCs w:val="21"/>
          <w:highlight w:val="none"/>
        </w:rPr>
        <w:t>5、本合同书经双方法定代表人或授权代表签字，加盖公章或合同章后生效。</w:t>
      </w:r>
    </w:p>
    <w:p>
      <w:pPr>
        <w:spacing w:line="400" w:lineRule="exact"/>
        <w:ind w:firstLine="420" w:firstLineChars="200"/>
        <w:rPr>
          <w:color w:val="auto"/>
          <w:szCs w:val="21"/>
          <w:highlight w:val="none"/>
        </w:rPr>
      </w:pPr>
      <w:r>
        <w:rPr>
          <w:rFonts w:hint="eastAsia"/>
          <w:color w:val="auto"/>
          <w:szCs w:val="21"/>
          <w:highlight w:val="none"/>
        </w:rPr>
        <w:t>6、双方履行完本合同书约定的权利和义务后，本合同书即行终止。</w:t>
      </w:r>
    </w:p>
    <w:p>
      <w:pPr>
        <w:spacing w:line="400" w:lineRule="exact"/>
        <w:ind w:firstLine="420" w:firstLineChars="200"/>
        <w:rPr>
          <w:color w:val="auto"/>
          <w:szCs w:val="21"/>
          <w:highlight w:val="none"/>
        </w:rPr>
      </w:pPr>
      <w:r>
        <w:rPr>
          <w:rFonts w:hint="eastAsia"/>
          <w:color w:val="auto"/>
          <w:szCs w:val="21"/>
          <w:highlight w:val="none"/>
        </w:rPr>
        <w:t>7、本合同书一式份，双方各持份，具有同等法律效力。</w:t>
      </w:r>
    </w:p>
    <w:p>
      <w:pPr>
        <w:spacing w:line="400" w:lineRule="exact"/>
        <w:ind w:firstLine="420" w:firstLineChars="200"/>
        <w:rPr>
          <w:color w:val="auto"/>
          <w:szCs w:val="21"/>
          <w:highlight w:val="none"/>
        </w:rPr>
      </w:pPr>
      <w:r>
        <w:rPr>
          <w:rFonts w:hint="eastAsia"/>
          <w:color w:val="auto"/>
          <w:szCs w:val="21"/>
          <w:highlight w:val="none"/>
        </w:rPr>
        <w:t>8、本合同书未尽事宜，由双方协商解决，并另行签订补充协议。补充协议与本合同书具有同等的法律效力。</w:t>
      </w:r>
    </w:p>
    <w:p>
      <w:pPr>
        <w:spacing w:line="360" w:lineRule="auto"/>
        <w:ind w:firstLine="480" w:firstLineChars="200"/>
        <w:rPr>
          <w:color w:val="auto"/>
          <w:sz w:val="24"/>
          <w:szCs w:val="24"/>
          <w:highlight w:val="none"/>
          <w:lang w:val="zh-CN"/>
        </w:rPr>
      </w:pPr>
    </w:p>
    <w:p>
      <w:pPr>
        <w:spacing w:line="276" w:lineRule="auto"/>
        <w:ind w:firstLine="420" w:firstLineChars="200"/>
        <w:rPr>
          <w:color w:val="auto"/>
          <w:szCs w:val="21"/>
          <w:highlight w:val="none"/>
        </w:rPr>
      </w:pPr>
    </w:p>
    <w:p>
      <w:pPr>
        <w:spacing w:line="480" w:lineRule="auto"/>
        <w:ind w:firstLine="420" w:firstLineChars="200"/>
        <w:rPr>
          <w:color w:val="auto"/>
          <w:szCs w:val="21"/>
          <w:highlight w:val="none"/>
        </w:rPr>
      </w:pPr>
      <w:r>
        <w:rPr>
          <w:rFonts w:hint="eastAsia"/>
          <w:color w:val="auto"/>
          <w:szCs w:val="21"/>
          <w:highlight w:val="none"/>
        </w:rPr>
        <w:t>甲方（盖章）                            乙方（盖章）</w:t>
      </w:r>
    </w:p>
    <w:p>
      <w:pPr>
        <w:spacing w:line="480" w:lineRule="auto"/>
        <w:ind w:firstLine="420" w:firstLineChars="200"/>
        <w:rPr>
          <w:color w:val="auto"/>
          <w:szCs w:val="21"/>
          <w:highlight w:val="none"/>
        </w:rPr>
      </w:pPr>
      <w:r>
        <w:rPr>
          <w:rFonts w:hint="eastAsia"/>
          <w:color w:val="auto"/>
          <w:szCs w:val="21"/>
          <w:highlight w:val="none"/>
        </w:rPr>
        <w:t>法定代表人或授权代表（签字或盖章）：    法定代表人或授权代表（签字或盖章）：</w:t>
      </w:r>
    </w:p>
    <w:p>
      <w:pPr>
        <w:widowControl/>
        <w:spacing w:line="480" w:lineRule="auto"/>
        <w:ind w:left="4410" w:leftChars="200" w:hanging="3990" w:hangingChars="1900"/>
        <w:rPr>
          <w:color w:val="auto"/>
          <w:szCs w:val="21"/>
          <w:highlight w:val="none"/>
        </w:rPr>
      </w:pPr>
      <w:r>
        <w:rPr>
          <w:rFonts w:hint="eastAsia"/>
          <w:color w:val="auto"/>
          <w:szCs w:val="21"/>
          <w:highlight w:val="none"/>
        </w:rPr>
        <w:t>单位地址：                              单位地址：</w:t>
      </w:r>
    </w:p>
    <w:p>
      <w:pPr>
        <w:spacing w:line="480" w:lineRule="auto"/>
        <w:ind w:firstLine="420" w:firstLineChars="200"/>
        <w:rPr>
          <w:color w:val="auto"/>
          <w:szCs w:val="21"/>
          <w:highlight w:val="none"/>
        </w:rPr>
      </w:pPr>
      <w:r>
        <w:rPr>
          <w:rFonts w:hint="eastAsia"/>
          <w:color w:val="auto"/>
          <w:szCs w:val="21"/>
          <w:highlight w:val="none"/>
        </w:rPr>
        <w:t>邮政编码：                              邮政编码：</w:t>
      </w:r>
    </w:p>
    <w:p>
      <w:pPr>
        <w:widowControl/>
        <w:spacing w:line="480" w:lineRule="auto"/>
        <w:ind w:firstLine="420" w:firstLineChars="200"/>
        <w:rPr>
          <w:color w:val="auto"/>
          <w:szCs w:val="21"/>
          <w:highlight w:val="none"/>
        </w:rPr>
      </w:pPr>
      <w:r>
        <w:rPr>
          <w:rFonts w:hint="eastAsia"/>
          <w:color w:val="auto"/>
          <w:szCs w:val="21"/>
          <w:highlight w:val="none"/>
        </w:rPr>
        <w:t>开户银行：                              开户银行：</w:t>
      </w:r>
    </w:p>
    <w:p>
      <w:pPr>
        <w:spacing w:line="480" w:lineRule="auto"/>
        <w:ind w:firstLine="420" w:firstLineChars="200"/>
        <w:rPr>
          <w:color w:val="auto"/>
          <w:szCs w:val="21"/>
          <w:highlight w:val="none"/>
        </w:rPr>
      </w:pPr>
      <w:r>
        <w:rPr>
          <w:rFonts w:hint="eastAsia"/>
          <w:color w:val="auto"/>
          <w:szCs w:val="21"/>
          <w:highlight w:val="none"/>
        </w:rPr>
        <w:t>银行账号：                              银行账号：</w:t>
      </w:r>
    </w:p>
    <w:p>
      <w:pPr>
        <w:spacing w:line="480" w:lineRule="auto"/>
        <w:ind w:firstLine="420" w:firstLineChars="200"/>
        <w:rPr>
          <w:color w:val="auto"/>
          <w:szCs w:val="21"/>
          <w:highlight w:val="none"/>
        </w:rPr>
      </w:pPr>
      <w:r>
        <w:rPr>
          <w:rFonts w:hint="eastAsia"/>
          <w:color w:val="auto"/>
          <w:szCs w:val="21"/>
          <w:highlight w:val="none"/>
        </w:rPr>
        <w:t>日期：                                  日期：</w:t>
      </w:r>
    </w:p>
    <w:p>
      <w:pPr>
        <w:tabs>
          <w:tab w:val="left" w:pos="248"/>
        </w:tabs>
        <w:jc w:val="left"/>
        <w:rPr>
          <w:rStyle w:val="256"/>
          <w:rFonts w:cs="仿宋_GB2312"/>
          <w:color w:val="auto"/>
          <w:highlight w:val="none"/>
        </w:rPr>
        <w:sectPr>
          <w:pgSz w:w="11906" w:h="16838"/>
          <w:pgMar w:top="1440" w:right="1800" w:bottom="1440" w:left="1800" w:header="720" w:footer="720" w:gutter="0"/>
          <w:cols w:space="720" w:num="1"/>
        </w:sectPr>
      </w:pPr>
      <w:r>
        <w:rPr>
          <w:rStyle w:val="256"/>
          <w:rFonts w:hint="eastAsia" w:cs="仿宋_GB2312"/>
          <w:color w:val="auto"/>
          <w:highlight w:val="none"/>
        </w:rPr>
        <w:tab/>
      </w:r>
    </w:p>
    <w:bookmarkEnd w:id="34"/>
    <w:p>
      <w:pPr>
        <w:spacing w:line="400" w:lineRule="exact"/>
        <w:jc w:val="center"/>
        <w:outlineLvl w:val="0"/>
        <w:rPr>
          <w:rFonts w:ascii="宋体" w:hAnsi="宋体"/>
          <w:b/>
          <w:color w:val="auto"/>
          <w:sz w:val="32"/>
          <w:highlight w:val="none"/>
        </w:rPr>
      </w:pPr>
      <w:bookmarkStart w:id="35" w:name="_Toc2789"/>
      <w:r>
        <w:rPr>
          <w:rFonts w:hint="eastAsia" w:ascii="宋体" w:hAnsi="宋体"/>
          <w:b/>
          <w:color w:val="auto"/>
          <w:sz w:val="32"/>
          <w:highlight w:val="none"/>
          <w:lang w:val="en-US" w:eastAsia="zh-CN"/>
        </w:rPr>
        <w:t>第六</w:t>
      </w:r>
      <w:r>
        <w:rPr>
          <w:rFonts w:hint="eastAsia" w:ascii="宋体" w:hAnsi="宋体"/>
          <w:b/>
          <w:color w:val="auto"/>
          <w:sz w:val="32"/>
          <w:highlight w:val="none"/>
        </w:rPr>
        <w:t>章</w:t>
      </w:r>
      <w:r>
        <w:rPr>
          <w:rFonts w:ascii="宋体" w:hAnsi="宋体"/>
          <w:b/>
          <w:color w:val="auto"/>
          <w:sz w:val="32"/>
          <w:highlight w:val="none"/>
        </w:rPr>
        <w:t xml:space="preserve">  </w:t>
      </w:r>
      <w:r>
        <w:rPr>
          <w:rFonts w:hint="eastAsia" w:ascii="宋体" w:hAnsi="宋体"/>
          <w:b/>
          <w:color w:val="auto"/>
          <w:sz w:val="32"/>
          <w:highlight w:val="none"/>
        </w:rPr>
        <w:t>附件</w:t>
      </w:r>
      <w:bookmarkEnd w:id="35"/>
    </w:p>
    <w:p>
      <w:pPr>
        <w:autoSpaceDE w:val="0"/>
        <w:autoSpaceDN w:val="0"/>
        <w:adjustRightInd w:val="0"/>
        <w:spacing w:before="960" w:beforeLines="400" w:line="420" w:lineRule="exact"/>
        <w:jc w:val="center"/>
        <w:rPr>
          <w:rStyle w:val="168"/>
          <w:rFonts w:ascii="宋体" w:hAnsi="宋体"/>
          <w:color w:val="auto"/>
          <w:sz w:val="32"/>
          <w:szCs w:val="32"/>
          <w:highlight w:val="none"/>
        </w:rPr>
      </w:pPr>
      <w:r>
        <w:rPr>
          <w:rStyle w:val="168"/>
          <w:rFonts w:ascii="宋体" w:hAnsi="宋体"/>
          <w:color w:val="auto"/>
          <w:sz w:val="32"/>
          <w:szCs w:val="32"/>
          <w:highlight w:val="none"/>
        </w:rPr>
        <w:t>A.</w:t>
      </w:r>
      <w:r>
        <w:rPr>
          <w:rStyle w:val="168"/>
          <w:rFonts w:hint="eastAsia" w:ascii="宋体" w:hAnsi="宋体"/>
          <w:color w:val="auto"/>
          <w:sz w:val="32"/>
          <w:szCs w:val="32"/>
          <w:highlight w:val="none"/>
        </w:rPr>
        <w:t>资格文件</w:t>
      </w:r>
    </w:p>
    <w:p>
      <w:pPr>
        <w:spacing w:line="360" w:lineRule="auto"/>
        <w:ind w:firstLine="1120" w:firstLineChars="400"/>
        <w:rPr>
          <w:rFonts w:ascii="宋体" w:hAnsi="宋体"/>
          <w:color w:val="auto"/>
          <w:sz w:val="28"/>
          <w:highlight w:val="none"/>
        </w:rPr>
      </w:pPr>
    </w:p>
    <w:p>
      <w:pPr>
        <w:spacing w:line="360" w:lineRule="auto"/>
        <w:rPr>
          <w:rFonts w:ascii="宋体" w:hAnsi="宋体"/>
          <w:b/>
          <w:color w:val="auto"/>
          <w:sz w:val="32"/>
          <w:szCs w:val="32"/>
          <w:highlight w:val="none"/>
        </w:rPr>
      </w:pPr>
      <w:r>
        <w:rPr>
          <w:rFonts w:ascii="宋体" w:hAnsi="宋体"/>
          <w:color w:val="auto"/>
          <w:sz w:val="28"/>
          <w:highlight w:val="none"/>
        </w:rPr>
        <w:br w:type="page"/>
      </w:r>
      <w:r>
        <w:rPr>
          <w:rFonts w:hint="eastAsia" w:ascii="宋体" w:hAnsi="宋体"/>
          <w:b/>
          <w:color w:val="auto"/>
          <w:sz w:val="32"/>
          <w:szCs w:val="32"/>
          <w:highlight w:val="none"/>
        </w:rPr>
        <w:t>封面</w:t>
      </w:r>
      <w:r>
        <w:rPr>
          <w:rFonts w:ascii="宋体" w:hAnsi="宋体"/>
          <w:b/>
          <w:color w:val="auto"/>
          <w:sz w:val="32"/>
          <w:szCs w:val="32"/>
          <w:highlight w:val="none"/>
        </w:rPr>
        <w:t xml:space="preserve">                                       </w:t>
      </w:r>
    </w:p>
    <w:p>
      <w:pPr>
        <w:pStyle w:val="200"/>
        <w:rPr>
          <w:color w:val="auto"/>
          <w:highlight w:val="none"/>
        </w:rPr>
      </w:pPr>
    </w:p>
    <w:p>
      <w:pPr>
        <w:spacing w:line="360" w:lineRule="auto"/>
        <w:jc w:val="center"/>
        <w:rPr>
          <w:rFonts w:hint="eastAsia" w:ascii="宋体" w:hAnsi="宋体" w:eastAsia="宋体"/>
          <w:color w:val="auto"/>
          <w:sz w:val="40"/>
          <w:szCs w:val="48"/>
          <w:highlight w:val="none"/>
          <w:lang w:eastAsia="zh-CN"/>
        </w:rPr>
      </w:pPr>
      <w:r>
        <w:rPr>
          <w:rFonts w:hint="eastAsia" w:ascii="宋体" w:hAnsi="宋体"/>
          <w:b/>
          <w:color w:val="auto"/>
          <w:sz w:val="40"/>
          <w:szCs w:val="48"/>
          <w:highlight w:val="none"/>
          <w:lang w:eastAsia="zh-CN"/>
        </w:rPr>
        <w:t>慈溪市匡堰城镇单元控制性详细规划项目</w:t>
      </w:r>
    </w:p>
    <w:p>
      <w:pPr>
        <w:spacing w:line="360" w:lineRule="auto"/>
        <w:jc w:val="center"/>
        <w:rPr>
          <w:rFonts w:ascii="宋体" w:hAnsi="宋体"/>
          <w:color w:val="auto"/>
          <w:sz w:val="36"/>
          <w:szCs w:val="36"/>
          <w:highlight w:val="none"/>
        </w:rPr>
      </w:pPr>
    </w:p>
    <w:p>
      <w:pPr>
        <w:spacing w:line="360" w:lineRule="auto"/>
        <w:ind w:firstLine="1440" w:firstLineChars="400"/>
        <w:rPr>
          <w:rFonts w:ascii="宋体" w:hAnsi="宋体"/>
          <w:color w:val="auto"/>
          <w:sz w:val="36"/>
          <w:szCs w:val="36"/>
          <w:highlight w:val="none"/>
        </w:rPr>
      </w:pPr>
      <w:r>
        <w:rPr>
          <w:rFonts w:hint="eastAsia" w:ascii="宋体" w:hAnsi="宋体"/>
          <w:color w:val="auto"/>
          <w:sz w:val="36"/>
          <w:szCs w:val="36"/>
          <w:highlight w:val="none"/>
        </w:rPr>
        <w:t>项目编号：</w:t>
      </w:r>
      <w:r>
        <w:rPr>
          <w:rFonts w:hint="eastAsia" w:ascii="宋体" w:hAnsi="宋体"/>
          <w:color w:val="auto"/>
          <w:sz w:val="36"/>
          <w:szCs w:val="36"/>
          <w:highlight w:val="none"/>
          <w:u w:val="single"/>
        </w:rPr>
        <w:t xml:space="preserve">  </w:t>
      </w:r>
      <w:r>
        <w:rPr>
          <w:rFonts w:hint="eastAsia" w:ascii="宋体" w:hAnsi="宋体"/>
          <w:color w:val="auto"/>
          <w:sz w:val="36"/>
          <w:szCs w:val="36"/>
          <w:highlight w:val="none"/>
          <w:u w:val="single"/>
          <w:lang w:val="en-US" w:eastAsia="zh-CN"/>
        </w:rPr>
        <w:t xml:space="preserve">          </w:t>
      </w:r>
      <w:r>
        <w:rPr>
          <w:rFonts w:hint="eastAsia" w:ascii="宋体" w:hAnsi="宋体"/>
          <w:color w:val="auto"/>
          <w:sz w:val="36"/>
          <w:szCs w:val="36"/>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 w:val="36"/>
          <w:szCs w:val="36"/>
          <w:highlight w:val="none"/>
          <w:u w:val="single"/>
        </w:rPr>
        <w:t xml:space="preserve"> </w:t>
      </w:r>
      <w:r>
        <w:rPr>
          <w:rFonts w:hint="eastAsia" w:ascii="宋体" w:hAnsi="宋体"/>
          <w:color w:val="auto"/>
          <w:sz w:val="36"/>
          <w:szCs w:val="36"/>
          <w:highlight w:val="none"/>
          <w:u w:val="single"/>
        </w:rPr>
        <w:fldChar w:fldCharType="end"/>
      </w:r>
      <w:r>
        <w:rPr>
          <w:rFonts w:hint="eastAsia" w:ascii="宋体" w:hAnsi="宋体"/>
          <w:color w:val="auto"/>
          <w:sz w:val="36"/>
          <w:szCs w:val="36"/>
          <w:highlight w:val="none"/>
          <w:u w:val="single"/>
        </w:rPr>
        <w:t xml:space="preserve">  </w:t>
      </w:r>
    </w:p>
    <w:p>
      <w:pPr>
        <w:rPr>
          <w:rFonts w:ascii="宋体" w:hAnsi="宋体"/>
          <w:color w:val="auto"/>
          <w:sz w:val="28"/>
          <w:szCs w:val="28"/>
          <w:highlight w:val="none"/>
        </w:rPr>
      </w:pPr>
      <w:r>
        <w:rPr>
          <w:rFonts w:hint="eastAsia" w:ascii="宋体" w:hAnsi="宋体"/>
          <w:color w:val="auto"/>
          <w:sz w:val="36"/>
          <w:szCs w:val="36"/>
          <w:highlight w:val="none"/>
        </w:rPr>
        <w:t xml:space="preserve"> </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（资格文件）</w:t>
      </w:r>
    </w:p>
    <w:p>
      <w:pPr>
        <w:jc w:val="center"/>
        <w:rPr>
          <w:rFonts w:ascii="宋体" w:hAnsi="宋体"/>
          <w:color w:val="auto"/>
          <w:sz w:val="28"/>
          <w:szCs w:val="28"/>
          <w:highlight w:val="none"/>
        </w:rPr>
      </w:pPr>
    </w:p>
    <w:p>
      <w:pPr>
        <w:pStyle w:val="19"/>
        <w:rPr>
          <w:color w:val="auto"/>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pStyle w:val="19"/>
        <w:rPr>
          <w:color w:val="auto"/>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7"/>
        <w:ind w:left="101" w:leftChars="48" w:firstLine="1920" w:firstLineChars="800"/>
        <w:jc w:val="left"/>
        <w:rPr>
          <w:rFonts w:hAnsi="宋体"/>
          <w:color w:val="auto"/>
          <w:kern w:val="2"/>
          <w:szCs w:val="28"/>
          <w:highlight w:val="none"/>
          <w:u w:val="singl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年</w:t>
      </w:r>
      <w:r>
        <w:rPr>
          <w:rFonts w:ascii="宋体" w:hAnsi="宋体"/>
          <w:color w:val="auto"/>
          <w:sz w:val="36"/>
          <w:szCs w:val="36"/>
          <w:highlight w:val="none"/>
        </w:rPr>
        <w:t xml:space="preserve">  </w:t>
      </w:r>
      <w:r>
        <w:rPr>
          <w:rFonts w:hint="eastAsia" w:ascii="宋体" w:hAnsi="宋体"/>
          <w:color w:val="auto"/>
          <w:sz w:val="36"/>
          <w:szCs w:val="36"/>
          <w:highlight w:val="none"/>
        </w:rPr>
        <w:t>月</w:t>
      </w:r>
      <w:r>
        <w:rPr>
          <w:rFonts w:ascii="宋体" w:hAnsi="宋体"/>
          <w:color w:val="auto"/>
          <w:sz w:val="36"/>
          <w:szCs w:val="36"/>
          <w:highlight w:val="none"/>
        </w:rPr>
        <w:t xml:space="preserve">  </w:t>
      </w:r>
      <w:r>
        <w:rPr>
          <w:rFonts w:hint="eastAsia" w:ascii="宋体" w:hAnsi="宋体"/>
          <w:color w:val="auto"/>
          <w:sz w:val="36"/>
          <w:szCs w:val="36"/>
          <w:highlight w:val="none"/>
        </w:rPr>
        <w:t>日</w:t>
      </w:r>
    </w:p>
    <w:p>
      <w:pPr>
        <w:spacing w:line="360" w:lineRule="auto"/>
        <w:rPr>
          <w:rStyle w:val="168"/>
          <w:rFonts w:ascii="宋体" w:hAnsi="宋体"/>
          <w:color w:val="auto"/>
          <w:sz w:val="21"/>
          <w:szCs w:val="21"/>
          <w:highlight w:val="none"/>
        </w:rPr>
      </w:pPr>
      <w:r>
        <w:rPr>
          <w:rStyle w:val="168"/>
          <w:rFonts w:ascii="宋体" w:hAnsi="宋体"/>
          <w:color w:val="auto"/>
          <w:sz w:val="21"/>
          <w:szCs w:val="21"/>
          <w:highlight w:val="none"/>
        </w:rPr>
        <w:br w:type="page"/>
      </w:r>
    </w:p>
    <w:p>
      <w:pPr>
        <w:spacing w:line="400" w:lineRule="exact"/>
        <w:jc w:val="center"/>
        <w:rPr>
          <w:rFonts w:ascii="宋体" w:hAnsi="宋体"/>
          <w:b/>
          <w:color w:val="auto"/>
          <w:szCs w:val="21"/>
          <w:highlight w:val="none"/>
        </w:rPr>
      </w:pPr>
      <w:r>
        <w:rPr>
          <w:rFonts w:hint="eastAsia" w:ascii="宋体" w:hAnsi="宋体"/>
          <w:b/>
          <w:color w:val="auto"/>
          <w:szCs w:val="21"/>
          <w:highlight w:val="none"/>
        </w:rPr>
        <w:t>A1</w:t>
      </w:r>
      <w:r>
        <w:rPr>
          <w:rFonts w:hint="eastAsia" w:ascii="宋体" w:hAnsi="宋体"/>
          <w:b/>
          <w:color w:val="auto"/>
          <w:szCs w:val="21"/>
          <w:highlight w:val="none"/>
          <w:lang w:eastAsia="zh-CN"/>
        </w:rPr>
        <w:t>.</w:t>
      </w:r>
      <w:r>
        <w:rPr>
          <w:rFonts w:hint="eastAsia" w:ascii="宋体" w:hAnsi="宋体"/>
          <w:b/>
          <w:color w:val="auto"/>
          <w:szCs w:val="21"/>
          <w:highlight w:val="none"/>
        </w:rPr>
        <w:t>关于资格的承诺函</w:t>
      </w:r>
    </w:p>
    <w:p>
      <w:pPr>
        <w:spacing w:line="400" w:lineRule="exact"/>
        <w:ind w:left="540" w:firstLine="30"/>
        <w:jc w:val="center"/>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color w:val="auto"/>
          <w:szCs w:val="21"/>
          <w:highlight w:val="none"/>
        </w:rPr>
        <w:t>致：采购人</w:t>
      </w:r>
    </w:p>
    <w:p>
      <w:pPr>
        <w:spacing w:line="400" w:lineRule="exact"/>
        <w:ind w:firstLine="420" w:firstLineChars="200"/>
        <w:rPr>
          <w:rFonts w:ascii="宋体" w:hAnsi="宋体"/>
          <w:color w:val="auto"/>
          <w:szCs w:val="21"/>
          <w:highlight w:val="none"/>
        </w:rPr>
      </w:pPr>
      <w:r>
        <w:rPr>
          <w:rFonts w:hint="eastAsia" w:ascii="宋体" w:hAnsi="宋体"/>
          <w:bCs/>
          <w:color w:val="auto"/>
          <w:szCs w:val="21"/>
          <w:highlight w:val="none"/>
        </w:rPr>
        <w:t>我单位承诺：</w:t>
      </w:r>
    </w:p>
    <w:p>
      <w:pPr>
        <w:spacing w:line="400" w:lineRule="exact"/>
        <w:ind w:firstLine="420" w:firstLineChars="200"/>
        <w:rPr>
          <w:color w:val="auto"/>
          <w:highlight w:val="none"/>
        </w:rPr>
      </w:pPr>
      <w:r>
        <w:rPr>
          <w:rFonts w:hint="eastAsia" w:ascii="宋体" w:hAnsi="宋体"/>
          <w:color w:val="auto"/>
          <w:szCs w:val="21"/>
          <w:highlight w:val="none"/>
        </w:rPr>
        <w:t>我单位满足《中华人民共和国政府采购法》第二十二条 供应商参加政府采购活动应当具备的下列条件：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（一）具有独立承担民事责任的能力；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（二）具有良好的商业信誉和健全的财务会计制度；</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（三）具有履行合同所必需的设备和专业技术能力；</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（四）有依法缴纳税收和社会保障资金的良好记录；</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（五）参加政府采购活动前三年内，在经营活动中没有重大违法记录；</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（六）法律、行政法规规定的其他条件。</w:t>
      </w:r>
    </w:p>
    <w:p>
      <w:pPr>
        <w:spacing w:line="400" w:lineRule="exact"/>
        <w:ind w:firstLine="420" w:firstLineChars="200"/>
        <w:rPr>
          <w:rFonts w:hint="eastAsia" w:ascii="宋体" w:hAnsi="宋体"/>
          <w:color w:val="auto"/>
          <w:szCs w:val="21"/>
          <w:highlight w:val="none"/>
          <w:lang w:eastAsia="zh-CN"/>
        </w:rPr>
      </w:pPr>
      <w:r>
        <w:rPr>
          <w:rFonts w:hint="eastAsia" w:ascii="宋体" w:hAnsi="宋体"/>
          <w:color w:val="auto"/>
          <w:szCs w:val="21"/>
          <w:highlight w:val="none"/>
          <w:lang w:eastAsia="zh-CN"/>
        </w:rPr>
        <w:t>（七）</w:t>
      </w:r>
      <w:r>
        <w:rPr>
          <w:rFonts w:hint="eastAsia" w:ascii="宋体" w:hAnsi="宋体"/>
          <w:color w:val="auto"/>
          <w:szCs w:val="21"/>
          <w:highlight w:val="none"/>
        </w:rPr>
        <w:t>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特此承诺。</w:t>
      </w:r>
    </w:p>
    <w:p>
      <w:pPr>
        <w:pStyle w:val="43"/>
        <w:spacing w:before="0" w:beforeAutospacing="0" w:after="0" w:afterAutospacing="0" w:line="400" w:lineRule="exact"/>
        <w:ind w:right="159" w:firstLine="660"/>
        <w:jc w:val="both"/>
        <w:rPr>
          <w:bCs/>
          <w:color w:val="auto"/>
          <w:sz w:val="21"/>
          <w:szCs w:val="21"/>
          <w:highlight w:val="none"/>
        </w:rPr>
      </w:pPr>
    </w:p>
    <w:p>
      <w:pPr>
        <w:pStyle w:val="43"/>
        <w:spacing w:before="0" w:beforeAutospacing="0" w:after="0" w:afterAutospacing="0" w:line="400" w:lineRule="exact"/>
        <w:ind w:right="159" w:firstLine="660"/>
        <w:jc w:val="both"/>
        <w:rPr>
          <w:bCs/>
          <w:color w:val="auto"/>
          <w:sz w:val="21"/>
          <w:szCs w:val="21"/>
          <w:highlight w:val="none"/>
        </w:rPr>
      </w:pPr>
    </w:p>
    <w:p>
      <w:pPr>
        <w:spacing w:line="400" w:lineRule="exact"/>
        <w:rPr>
          <w:bCs/>
          <w:color w:val="auto"/>
          <w:szCs w:val="21"/>
          <w:highlight w:val="none"/>
        </w:rPr>
      </w:pPr>
      <w:r>
        <w:rPr>
          <w:rFonts w:hint="eastAsia" w:ascii="宋体" w:hAnsi="宋体"/>
          <w:bCs/>
          <w:color w:val="auto"/>
          <w:szCs w:val="21"/>
          <w:highlight w:val="none"/>
        </w:rPr>
        <w:t>注：</w:t>
      </w:r>
      <w:r>
        <w:rPr>
          <w:rFonts w:hint="eastAsia"/>
          <w:bCs/>
          <w:color w:val="auto"/>
          <w:szCs w:val="21"/>
          <w:highlight w:val="none"/>
        </w:rPr>
        <w:t>政府采购法所称重大违法记录：是指供应商因违法经营受到刑事处罚或者责令停产停业、吊销许可证或者执照、较大数额罚款等行政处罚。</w:t>
      </w:r>
    </w:p>
    <w:p>
      <w:pPr>
        <w:spacing w:line="400" w:lineRule="exact"/>
        <w:ind w:firstLine="420" w:firstLineChars="200"/>
        <w:rPr>
          <w:rFonts w:ascii="宋体" w:hAnsi="宋体"/>
          <w:color w:val="auto"/>
          <w:szCs w:val="21"/>
          <w:highlight w:val="none"/>
        </w:rPr>
      </w:pPr>
    </w:p>
    <w:p>
      <w:pPr>
        <w:spacing w:line="400" w:lineRule="exact"/>
        <w:rPr>
          <w:rFonts w:ascii="宋体" w:hAnsi="宋体"/>
          <w:color w:val="auto"/>
          <w:kern w:val="0"/>
          <w:szCs w:val="21"/>
          <w:highlight w:val="none"/>
        </w:rPr>
      </w:pPr>
    </w:p>
    <w:p>
      <w:pPr>
        <w:spacing w:line="400" w:lineRule="exact"/>
        <w:rPr>
          <w:rFonts w:ascii="宋体" w:hAnsi="宋体"/>
          <w:color w:val="auto"/>
          <w:kern w:val="0"/>
          <w:szCs w:val="21"/>
          <w:highlight w:val="none"/>
        </w:rPr>
      </w:pPr>
    </w:p>
    <w:p>
      <w:pPr>
        <w:spacing w:line="400" w:lineRule="exact"/>
        <w:rPr>
          <w:rFonts w:ascii="宋体" w:hAnsi="宋体"/>
          <w:color w:val="auto"/>
          <w:kern w:val="0"/>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400" w:lineRule="exact"/>
        <w:jc w:val="center"/>
        <w:rPr>
          <w:rFonts w:ascii="宋体" w:hAnsi="宋体"/>
          <w:b/>
          <w:color w:val="auto"/>
          <w:szCs w:val="21"/>
          <w:highlight w:val="none"/>
        </w:rPr>
      </w:pPr>
    </w:p>
    <w:p>
      <w:pPr>
        <w:spacing w:line="400" w:lineRule="exact"/>
        <w:jc w:val="center"/>
        <w:rPr>
          <w:rStyle w:val="168"/>
          <w:rFonts w:ascii="宋体" w:hAnsi="宋体"/>
          <w:color w:val="auto"/>
          <w:sz w:val="21"/>
          <w:szCs w:val="21"/>
          <w:highlight w:val="none"/>
        </w:rPr>
      </w:pPr>
    </w:p>
    <w:p>
      <w:pPr>
        <w:spacing w:line="400" w:lineRule="exact"/>
        <w:jc w:val="center"/>
        <w:rPr>
          <w:rStyle w:val="168"/>
          <w:rFonts w:ascii="宋体" w:hAnsi="宋体"/>
          <w:color w:val="auto"/>
          <w:sz w:val="21"/>
          <w:szCs w:val="21"/>
          <w:highlight w:val="none"/>
        </w:rPr>
      </w:pPr>
    </w:p>
    <w:p>
      <w:pPr>
        <w:spacing w:line="400" w:lineRule="exact"/>
        <w:jc w:val="center"/>
        <w:rPr>
          <w:rStyle w:val="168"/>
          <w:rFonts w:ascii="宋体" w:hAnsi="宋体"/>
          <w:color w:val="auto"/>
          <w:sz w:val="21"/>
          <w:szCs w:val="21"/>
          <w:highlight w:val="none"/>
        </w:rPr>
      </w:pPr>
    </w:p>
    <w:p>
      <w:pPr>
        <w:spacing w:line="400" w:lineRule="exact"/>
        <w:jc w:val="center"/>
        <w:rPr>
          <w:rStyle w:val="168"/>
          <w:rFonts w:ascii="宋体" w:hAnsi="宋体"/>
          <w:color w:val="auto"/>
          <w:sz w:val="21"/>
          <w:szCs w:val="21"/>
          <w:highlight w:val="none"/>
        </w:rPr>
      </w:pPr>
    </w:p>
    <w:p>
      <w:pPr>
        <w:spacing w:line="400" w:lineRule="exact"/>
        <w:jc w:val="center"/>
        <w:rPr>
          <w:rFonts w:ascii="宋体" w:hAnsi="宋体"/>
          <w:b/>
          <w:color w:val="auto"/>
          <w:szCs w:val="21"/>
          <w:highlight w:val="none"/>
        </w:rPr>
      </w:pPr>
      <w:r>
        <w:rPr>
          <w:rStyle w:val="168"/>
          <w:rFonts w:hint="eastAsia" w:ascii="宋体" w:hAnsi="宋体"/>
          <w:color w:val="auto"/>
          <w:sz w:val="21"/>
          <w:szCs w:val="21"/>
          <w:highlight w:val="none"/>
          <w:lang w:val="en-US"/>
        </w:rPr>
        <w:t>注：联合体投标的，联合体双方均须提供，并加盖各自单位公章。</w:t>
      </w:r>
      <w:r>
        <w:rPr>
          <w:rStyle w:val="168"/>
          <w:rFonts w:ascii="宋体" w:hAnsi="宋体"/>
          <w:color w:val="auto"/>
          <w:sz w:val="21"/>
          <w:szCs w:val="21"/>
          <w:highlight w:val="none"/>
        </w:rPr>
        <w:br w:type="page"/>
      </w:r>
      <w:r>
        <w:rPr>
          <w:rFonts w:hint="eastAsia" w:ascii="宋体" w:hAnsi="宋体"/>
          <w:b/>
          <w:color w:val="auto"/>
          <w:szCs w:val="21"/>
          <w:highlight w:val="none"/>
        </w:rPr>
        <w:t>A2</w:t>
      </w:r>
      <w:r>
        <w:rPr>
          <w:rFonts w:hint="eastAsia" w:ascii="宋体" w:hAnsi="宋体"/>
          <w:b/>
          <w:color w:val="auto"/>
          <w:szCs w:val="21"/>
          <w:highlight w:val="none"/>
          <w:lang w:eastAsia="zh-CN"/>
        </w:rPr>
        <w:t>.</w:t>
      </w:r>
      <w:r>
        <w:rPr>
          <w:rFonts w:hint="eastAsia" w:ascii="宋体" w:hAnsi="宋体"/>
          <w:b/>
          <w:color w:val="auto"/>
          <w:szCs w:val="21"/>
          <w:highlight w:val="none"/>
        </w:rPr>
        <w:t>营业执照副本（或事业法人登记证副本或其他登记证明材料）扫描件或电子营业执照加盖供应商公章（供应商如果有名称变更的，应提供由行政主管部门出具的变更证明文件扫描件加盖供应商公章）（联合体投标的，联合体双方均须提供，并加盖各自单位公章）</w:t>
      </w:r>
    </w:p>
    <w:p>
      <w:pPr>
        <w:spacing w:line="400" w:lineRule="exact"/>
        <w:jc w:val="left"/>
        <w:rPr>
          <w:rStyle w:val="168"/>
          <w:rFonts w:ascii="宋体" w:hAnsi="宋体"/>
          <w:color w:val="auto"/>
          <w:sz w:val="21"/>
          <w:szCs w:val="21"/>
          <w:highlight w:val="none"/>
        </w:rPr>
      </w:pPr>
      <w:r>
        <w:rPr>
          <w:rStyle w:val="168"/>
          <w:rFonts w:hint="eastAsia" w:ascii="宋体" w:hAnsi="宋体"/>
          <w:color w:val="auto"/>
          <w:sz w:val="21"/>
          <w:szCs w:val="21"/>
          <w:highlight w:val="none"/>
        </w:rPr>
        <w:br w:type="page"/>
      </w:r>
    </w:p>
    <w:p>
      <w:pPr>
        <w:pStyle w:val="21"/>
        <w:spacing w:line="340" w:lineRule="exact"/>
        <w:ind w:left="1470" w:right="1470" w:firstLine="482"/>
        <w:jc w:val="center"/>
        <w:rPr>
          <w:rFonts w:hint="eastAsia" w:ascii="宋体" w:hAnsi="宋体" w:eastAsia="宋体" w:cs="宋体"/>
          <w:color w:val="auto"/>
          <w:szCs w:val="21"/>
          <w:highlight w:val="none"/>
        </w:rPr>
      </w:pPr>
      <w:r>
        <w:rPr>
          <w:rFonts w:ascii="宋体" w:hAnsi="宋体"/>
          <w:b/>
          <w:color w:val="auto"/>
          <w:szCs w:val="21"/>
          <w:highlight w:val="none"/>
        </w:rPr>
        <w:t>A</w:t>
      </w:r>
      <w:r>
        <w:rPr>
          <w:rFonts w:hint="eastAsia" w:ascii="宋体" w:hAnsi="宋体"/>
          <w:b/>
          <w:color w:val="auto"/>
          <w:szCs w:val="21"/>
          <w:highlight w:val="none"/>
        </w:rPr>
        <w:t>3</w:t>
      </w:r>
      <w:r>
        <w:rPr>
          <w:rFonts w:hint="eastAsia" w:ascii="宋体" w:hAnsi="宋体"/>
          <w:b/>
          <w:color w:val="auto"/>
          <w:szCs w:val="21"/>
          <w:highlight w:val="none"/>
          <w:lang w:eastAsia="zh-CN"/>
        </w:rPr>
        <w:t>.</w:t>
      </w:r>
      <w:r>
        <w:rPr>
          <w:rFonts w:hint="eastAsia" w:ascii="宋体" w:hAnsi="宋体"/>
          <w:b/>
          <w:color w:val="auto"/>
          <w:szCs w:val="21"/>
          <w:highlight w:val="none"/>
        </w:rPr>
        <w:t>资质证书扫描件加盖供应商公章</w:t>
      </w:r>
      <w:r>
        <w:rPr>
          <w:rFonts w:hint="eastAsia" w:ascii="宋体" w:hAnsi="宋体" w:eastAsia="宋体" w:cs="宋体"/>
          <w:b/>
          <w:color w:val="auto"/>
          <w:highlight w:val="none"/>
        </w:rPr>
        <w:t>（联合体投标</w:t>
      </w:r>
      <w:r>
        <w:rPr>
          <w:rFonts w:hint="eastAsia" w:ascii="宋体" w:hAnsi="宋体" w:cs="宋体"/>
          <w:b/>
          <w:color w:val="auto"/>
          <w:highlight w:val="none"/>
          <w:lang w:val="en-US" w:eastAsia="zh-CN"/>
        </w:rPr>
        <w:t>的，联合体牵头人提供</w:t>
      </w:r>
      <w:r>
        <w:rPr>
          <w:rFonts w:hint="eastAsia" w:ascii="宋体" w:hAnsi="宋体" w:eastAsia="宋体" w:cs="宋体"/>
          <w:b/>
          <w:color w:val="auto"/>
          <w:highlight w:val="none"/>
        </w:rPr>
        <w:t>）</w:t>
      </w:r>
    </w:p>
    <w:p>
      <w:pPr>
        <w:widowControl/>
        <w:jc w:val="center"/>
        <w:rPr>
          <w:rFonts w:ascii="宋体" w:hAnsi="宋体"/>
          <w:b/>
          <w:color w:val="auto"/>
          <w:szCs w:val="21"/>
          <w:highlight w:val="none"/>
        </w:rPr>
      </w:pPr>
      <w:r>
        <w:rPr>
          <w:rFonts w:ascii="宋体" w:hAnsi="宋体"/>
          <w:b/>
          <w:color w:val="auto"/>
          <w:szCs w:val="21"/>
          <w:highlight w:val="none"/>
        </w:rPr>
        <w:br w:type="page"/>
      </w:r>
    </w:p>
    <w:p>
      <w:pPr>
        <w:spacing w:line="360" w:lineRule="auto"/>
        <w:jc w:val="center"/>
        <w:rPr>
          <w:rFonts w:ascii="宋体" w:hAnsi="宋体"/>
          <w:b/>
          <w:color w:val="auto"/>
          <w:szCs w:val="21"/>
          <w:highlight w:val="none"/>
        </w:rPr>
      </w:pPr>
      <w:r>
        <w:rPr>
          <w:rFonts w:hint="eastAsia" w:ascii="宋体" w:hAnsi="宋体"/>
          <w:b/>
          <w:color w:val="auto"/>
          <w:szCs w:val="21"/>
          <w:highlight w:val="none"/>
        </w:rPr>
        <w:t>A4</w:t>
      </w:r>
      <w:r>
        <w:rPr>
          <w:rFonts w:hint="eastAsia" w:ascii="宋体" w:hAnsi="宋体"/>
          <w:b/>
          <w:color w:val="auto"/>
          <w:szCs w:val="21"/>
          <w:highlight w:val="none"/>
          <w:lang w:eastAsia="zh-CN"/>
        </w:rPr>
        <w:t>.</w:t>
      </w:r>
      <w:r>
        <w:rPr>
          <w:rStyle w:val="168"/>
          <w:rFonts w:hint="eastAsia"/>
          <w:color w:val="auto"/>
          <w:sz w:val="21"/>
          <w:szCs w:val="21"/>
          <w:highlight w:val="none"/>
        </w:rPr>
        <w:t>联合投标协议书</w:t>
      </w:r>
    </w:p>
    <w:p>
      <w:pPr>
        <w:pStyle w:val="21"/>
        <w:spacing w:line="340" w:lineRule="exact"/>
        <w:ind w:left="1470" w:right="1470" w:firstLine="482"/>
        <w:jc w:val="center"/>
        <w:rPr>
          <w:rFonts w:hint="eastAsia" w:ascii="宋体" w:hAnsi="宋体" w:eastAsia="宋体" w:cs="宋体"/>
          <w:color w:val="auto"/>
          <w:szCs w:val="21"/>
          <w:highlight w:val="none"/>
        </w:rPr>
      </w:pPr>
      <w:r>
        <w:rPr>
          <w:rFonts w:hint="eastAsia" w:ascii="宋体" w:hAnsi="宋体" w:eastAsia="宋体" w:cs="宋体"/>
          <w:b/>
          <w:color w:val="auto"/>
          <w:highlight w:val="none"/>
        </w:rPr>
        <w:t>（联合体投标必须提供）</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甲方：</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乙方：</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525"/>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经各方协商，就参加 </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 xml:space="preserve">项目（采购编号： </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）招标活动联合进行投标事宜，达成以下协议：</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21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1.甲方</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为联合体牵头人，乙方</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为联合体成员；</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2. 联合体内部有关事项规定如下：</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（1）本次招标过程中，联合体牵头人负责与招标方联系。</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（2）投标工作由联合体主办人负责，由双方组成的投标小组具体实施；联合体主办人代表联合体办理投标事宜，联合体主办人在投标文件中的所有承诺均代表了联合体各成员。</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（3）联合体将严格按照招标文件的各项要求，递交投标文件，切实执行一切合同文件，共同承担合同规定的一切义务和责任，同时按照内部职责的划分，承担自身所负的责任和风险。</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（4）如中标，联合体内部将遵守以下规定：</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a.联合体主办人和成员共同与业主签订合同书，并就中标项目向业主负责有连带的和各自的</w:t>
      </w:r>
      <w:r>
        <w:rPr>
          <w:rFonts w:hint="eastAsia" w:ascii="宋体" w:hAnsi="宋体" w:eastAsia="宋体" w:cs="宋体"/>
          <w:color w:val="auto"/>
          <w:sz w:val="21"/>
          <w:szCs w:val="21"/>
          <w:highlight w:val="none"/>
          <w:shd w:val="clear" w:color="auto" w:fill="FFFFFF"/>
        </w:rPr>
        <w:fldChar w:fldCharType="begin"/>
      </w:r>
      <w:r>
        <w:rPr>
          <w:rFonts w:hint="eastAsia" w:ascii="宋体" w:hAnsi="宋体" w:eastAsia="宋体" w:cs="宋体"/>
          <w:color w:val="auto"/>
          <w:sz w:val="21"/>
          <w:szCs w:val="21"/>
          <w:highlight w:val="none"/>
          <w:shd w:val="clear" w:color="auto" w:fill="FFFFFF"/>
        </w:rPr>
        <w:instrText xml:space="preserve"> HYPERLINK "http://www.chinalawedu.com/" </w:instrText>
      </w:r>
      <w:r>
        <w:rPr>
          <w:rFonts w:hint="eastAsia" w:ascii="宋体" w:hAnsi="宋体" w:eastAsia="宋体" w:cs="宋体"/>
          <w:color w:val="auto"/>
          <w:sz w:val="21"/>
          <w:szCs w:val="21"/>
          <w:highlight w:val="none"/>
          <w:shd w:val="clear" w:color="auto" w:fill="FFFFFF"/>
        </w:rPr>
        <w:fldChar w:fldCharType="separate"/>
      </w:r>
      <w:r>
        <w:rPr>
          <w:rFonts w:hint="eastAsia" w:ascii="宋体" w:hAnsi="宋体" w:eastAsia="宋体" w:cs="宋体"/>
          <w:color w:val="auto"/>
          <w:sz w:val="21"/>
          <w:szCs w:val="21"/>
          <w:highlight w:val="none"/>
          <w:shd w:val="clear" w:color="auto" w:fill="FFFFFF"/>
        </w:rPr>
        <w:t>法律责任；</w:t>
      </w:r>
      <w:r>
        <w:rPr>
          <w:rFonts w:hint="eastAsia" w:ascii="宋体" w:hAnsi="宋体" w:eastAsia="宋体" w:cs="宋体"/>
          <w:color w:val="auto"/>
          <w:sz w:val="21"/>
          <w:szCs w:val="21"/>
          <w:highlight w:val="none"/>
          <w:shd w:val="clear" w:color="auto" w:fill="FFFFFF"/>
        </w:rPr>
        <w:fldChar w:fldCharType="end"/>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315"/>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b.联合体主办人代表联合体成员承担责任和接受业主的指令、指示和通知并且在整个合同实施过程中的全部事宜；</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（5） 投标工作和联合体在中标后工程实施过程中的有关费用按各自承担的工作量分摊。</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（6）本次联合体投标中，甲方承担的工作和义务为：</w:t>
      </w:r>
      <w:r>
        <w:rPr>
          <w:rFonts w:hint="eastAsia" w:ascii="宋体" w:hAnsi="宋体" w:eastAsia="宋体" w:cs="宋体"/>
          <w:color w:val="auto"/>
          <w:sz w:val="21"/>
          <w:szCs w:val="21"/>
          <w:highlight w:val="none"/>
          <w:u w:val="single"/>
          <w:shd w:val="clear" w:color="auto" w:fill="FFFFFF"/>
        </w:rPr>
        <w:t xml:space="preserve">               ；</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甲方承担本项目所占金额的比例为</w:t>
      </w:r>
      <w:r>
        <w:rPr>
          <w:rFonts w:hint="eastAsia" w:ascii="宋体" w:hAnsi="宋体" w:eastAsia="宋体" w:cs="宋体"/>
          <w:color w:val="auto"/>
          <w:sz w:val="21"/>
          <w:szCs w:val="21"/>
          <w:highlight w:val="none"/>
          <w:u w:val="single"/>
          <w:shd w:val="clear" w:color="auto" w:fill="FFFFFF"/>
        </w:rPr>
        <w:t xml:space="preserve">         % ；</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乙方承担的工作和义务为：</w:t>
      </w:r>
      <w:r>
        <w:rPr>
          <w:rFonts w:hint="eastAsia" w:ascii="宋体" w:hAnsi="宋体" w:eastAsia="宋体" w:cs="宋体"/>
          <w:color w:val="auto"/>
          <w:sz w:val="21"/>
          <w:szCs w:val="21"/>
          <w:highlight w:val="none"/>
          <w:u w:val="single"/>
          <w:shd w:val="clear" w:color="auto" w:fill="FFFFFF"/>
        </w:rPr>
        <w:t xml:space="preserve">               ；</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乙方承担本项目所占金额的比例为</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u w:val="single"/>
          <w:shd w:val="clear" w:color="auto" w:fill="FFFFFF"/>
          <w:lang w:val="en-US" w:eastAsia="zh-CN"/>
        </w:rPr>
        <w:t xml:space="preserve">    </w:t>
      </w:r>
      <w:r>
        <w:rPr>
          <w:rFonts w:hint="eastAsia" w:ascii="宋体" w:hAnsi="宋体" w:eastAsia="宋体" w:cs="宋体"/>
          <w:color w:val="auto"/>
          <w:sz w:val="21"/>
          <w:szCs w:val="21"/>
          <w:highlight w:val="none"/>
          <w:u w:val="single"/>
          <w:shd w:val="clear" w:color="auto" w:fill="FFFFFF"/>
        </w:rPr>
        <w:t>%  ；</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3.本协议书自签署之日起生效，在上述（4）a所述的合同书规定的期限之后自行失效；如中标后，联合体内部另有协议的，联合体主办人应将该协议书送交业主。</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    4</w:t>
      </w:r>
      <w:r>
        <w:rPr>
          <w:rFonts w:hint="eastAsia" w:ascii="宋体" w:hAnsi="宋体" w:eastAsia="宋体" w:cs="宋体"/>
          <w:color w:val="auto"/>
          <w:sz w:val="21"/>
          <w:szCs w:val="21"/>
          <w:highlight w:val="none"/>
          <w:shd w:val="clear" w:color="auto" w:fill="FFFFFF"/>
          <w:lang w:val="en-US" w:eastAsia="zh-CN"/>
        </w:rPr>
        <w:t>.</w:t>
      </w:r>
      <w:r>
        <w:rPr>
          <w:rFonts w:hint="eastAsia" w:ascii="宋体" w:hAnsi="宋体" w:eastAsia="宋体" w:cs="宋体"/>
          <w:color w:val="auto"/>
          <w:sz w:val="21"/>
          <w:szCs w:val="21"/>
          <w:highlight w:val="none"/>
          <w:shd w:val="clear" w:color="auto" w:fill="FFFFFF"/>
        </w:rPr>
        <w:t>本协议书一式四份，资格后审一份，随投标文件装订一份，联合体成员各一份。</w:t>
      </w:r>
    </w:p>
    <w:p>
      <w:pPr>
        <w:pStyle w:val="4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甲公司名称：（盖章）                            乙公司名称：（盖章）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outlineLvl w:val="9"/>
        <w:rPr>
          <w:rStyle w:val="168"/>
          <w:rFonts w:hint="eastAsia" w:ascii="宋体" w:hAnsi="宋体" w:eastAsia="宋体" w:cs="宋体"/>
          <w:color w:val="auto"/>
          <w:sz w:val="32"/>
          <w:szCs w:val="32"/>
          <w:highlight w:val="none"/>
        </w:rPr>
      </w:pPr>
      <w:r>
        <w:rPr>
          <w:rFonts w:hint="eastAsia" w:ascii="宋体" w:hAnsi="宋体" w:eastAsia="宋体" w:cs="宋体"/>
          <w:color w:val="auto"/>
          <w:highlight w:val="none"/>
          <w:shd w:val="clear" w:color="auto" w:fill="FFFFFF"/>
        </w:rPr>
        <w:t xml:space="preserve">甲方法定代表人（签字或盖章）：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rPr>
        <w:t xml:space="preserve">      乙方法定代表人（签字或盖章）：</w:t>
      </w:r>
    </w:p>
    <w:p>
      <w:pPr>
        <w:spacing w:line="360" w:lineRule="auto"/>
        <w:outlineLvl w:val="9"/>
        <w:rPr>
          <w:rFonts w:ascii="宋体" w:hAnsi="宋体"/>
          <w:color w:val="auto"/>
          <w:szCs w:val="21"/>
          <w:highlight w:val="none"/>
        </w:rPr>
      </w:pPr>
    </w:p>
    <w:p>
      <w:pPr>
        <w:spacing w:line="440" w:lineRule="exact"/>
        <w:rPr>
          <w:rStyle w:val="168"/>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注：联合体投标的，</w:t>
      </w:r>
      <w:r>
        <w:rPr>
          <w:rFonts w:hint="eastAsia" w:ascii="宋体" w:hAnsi="宋体" w:eastAsia="宋体" w:cs="宋体"/>
          <w:b/>
          <w:color w:val="auto"/>
          <w:sz w:val="21"/>
          <w:szCs w:val="21"/>
          <w:highlight w:val="none"/>
          <w:lang w:val="en-US" w:eastAsia="zh-CN"/>
        </w:rPr>
        <w:t>本协议可由联合体双方盖章后扫描编入投标文件，对电子公章不作要求。</w:t>
      </w:r>
    </w:p>
    <w:p>
      <w:pPr>
        <w:spacing w:line="360" w:lineRule="auto"/>
        <w:jc w:val="center"/>
        <w:rPr>
          <w:rFonts w:hint="eastAsia" w:ascii="宋体" w:hAnsi="宋体"/>
          <w:b/>
          <w:color w:val="auto"/>
          <w:szCs w:val="21"/>
          <w:highlight w:val="none"/>
        </w:rPr>
      </w:pPr>
    </w:p>
    <w:p>
      <w:pPr>
        <w:spacing w:line="400" w:lineRule="exact"/>
        <w:jc w:val="center"/>
        <w:outlineLvl w:val="9"/>
        <w:rPr>
          <w:rFonts w:ascii="宋体"/>
          <w:b/>
          <w:color w:val="auto"/>
          <w:szCs w:val="21"/>
          <w:highlight w:val="none"/>
        </w:rPr>
      </w:pPr>
      <w:r>
        <w:rPr>
          <w:rFonts w:hint="eastAsia" w:ascii="宋体" w:hAnsi="宋体"/>
          <w:b/>
          <w:color w:val="auto"/>
          <w:szCs w:val="21"/>
          <w:highlight w:val="none"/>
        </w:rPr>
        <w:t>A5</w:t>
      </w:r>
      <w:bookmarkStart w:id="36" w:name="_Toc22986"/>
      <w:bookmarkStart w:id="37" w:name="_Toc3876"/>
      <w:r>
        <w:rPr>
          <w:rFonts w:hint="eastAsia" w:ascii="宋体" w:hAnsi="宋体"/>
          <w:b/>
          <w:color w:val="auto"/>
          <w:szCs w:val="21"/>
          <w:highlight w:val="none"/>
          <w:lang w:eastAsia="zh-CN"/>
        </w:rPr>
        <w:t>.</w:t>
      </w:r>
      <w:r>
        <w:rPr>
          <w:rFonts w:hint="eastAsia" w:ascii="宋体" w:hAnsi="宋体"/>
          <w:b/>
          <w:color w:val="auto"/>
          <w:szCs w:val="21"/>
          <w:highlight w:val="none"/>
        </w:rPr>
        <w:t>联合投标授权委托书</w:t>
      </w:r>
      <w:bookmarkEnd w:id="36"/>
      <w:bookmarkEnd w:id="37"/>
    </w:p>
    <w:p>
      <w:pPr>
        <w:spacing w:line="400" w:lineRule="exact"/>
        <w:jc w:val="center"/>
        <w:outlineLvl w:val="9"/>
        <w:rPr>
          <w:rFonts w:ascii="宋体"/>
          <w:b/>
          <w:color w:val="auto"/>
          <w:szCs w:val="21"/>
          <w:highlight w:val="none"/>
        </w:rPr>
      </w:pPr>
      <w:bookmarkStart w:id="38" w:name="_Toc23003"/>
      <w:bookmarkStart w:id="39" w:name="_Toc17302"/>
      <w:r>
        <w:rPr>
          <w:rFonts w:hint="eastAsia" w:ascii="宋体" w:hAnsi="宋体"/>
          <w:b/>
          <w:color w:val="auto"/>
          <w:szCs w:val="21"/>
          <w:highlight w:val="none"/>
        </w:rPr>
        <w:t>（联合体投标须提供）</w:t>
      </w:r>
      <w:bookmarkEnd w:id="38"/>
      <w:bookmarkEnd w:id="39"/>
    </w:p>
    <w:p>
      <w:pPr>
        <w:pStyle w:val="19"/>
        <w:spacing w:line="400" w:lineRule="exact"/>
        <w:ind w:left="-107" w:leftChars="-51" w:firstLine="420"/>
        <w:rPr>
          <w:rFonts w:ascii="宋体" w:eastAsia="宋体"/>
          <w:color w:val="auto"/>
          <w:sz w:val="21"/>
          <w:szCs w:val="21"/>
          <w:highlight w:val="none"/>
        </w:rPr>
      </w:pPr>
      <w:r>
        <w:rPr>
          <w:rFonts w:hint="eastAsia" w:ascii="宋体" w:hAnsi="宋体"/>
          <w:color w:val="auto"/>
          <w:sz w:val="21"/>
          <w:szCs w:val="21"/>
          <w:highlight w:val="none"/>
        </w:rPr>
        <w:t>本授权委托书声明：根据</w:t>
      </w:r>
      <w:r>
        <w:rPr>
          <w:rFonts w:ascii="宋体" w:hAnsi="宋体"/>
          <w:color w:val="auto"/>
          <w:sz w:val="21"/>
          <w:szCs w:val="21"/>
          <w:highlight w:val="none"/>
          <w:u w:val="single"/>
        </w:rPr>
        <w:t xml:space="preserve">             </w:t>
      </w:r>
      <w:r>
        <w:rPr>
          <w:rFonts w:hint="eastAsia" w:ascii="宋体" w:hAnsi="宋体"/>
          <w:color w:val="auto"/>
          <w:sz w:val="21"/>
          <w:szCs w:val="21"/>
          <w:highlight w:val="none"/>
        </w:rPr>
        <w:t>与</w:t>
      </w:r>
      <w:r>
        <w:rPr>
          <w:rFonts w:ascii="宋体" w:hAnsi="宋体"/>
          <w:color w:val="auto"/>
          <w:sz w:val="21"/>
          <w:szCs w:val="21"/>
          <w:highlight w:val="none"/>
          <w:u w:val="single"/>
        </w:rPr>
        <w:t xml:space="preserve">             </w:t>
      </w:r>
      <w:r>
        <w:rPr>
          <w:rFonts w:hint="eastAsia" w:ascii="宋体" w:hAnsi="宋体"/>
          <w:color w:val="auto"/>
          <w:sz w:val="21"/>
          <w:szCs w:val="21"/>
          <w:highlight w:val="none"/>
        </w:rPr>
        <w:t>签订的《联合投标协议书》的内容，联合体牵头人</w:t>
      </w:r>
      <w:r>
        <w:rPr>
          <w:rFonts w:ascii="宋体" w:hAnsi="宋体"/>
          <w:color w:val="auto"/>
          <w:sz w:val="21"/>
          <w:szCs w:val="21"/>
          <w:highlight w:val="none"/>
          <w:u w:val="single"/>
        </w:rPr>
        <w:t xml:space="preserve">            </w:t>
      </w:r>
      <w:r>
        <w:rPr>
          <w:rFonts w:hint="eastAsia" w:ascii="宋体" w:hAnsi="宋体"/>
          <w:color w:val="auto"/>
          <w:sz w:val="21"/>
          <w:szCs w:val="21"/>
          <w:highlight w:val="none"/>
        </w:rPr>
        <w:t>的法定代表人</w:t>
      </w:r>
      <w:r>
        <w:rPr>
          <w:rFonts w:ascii="宋体" w:hAnsi="宋体"/>
          <w:color w:val="auto"/>
          <w:sz w:val="21"/>
          <w:szCs w:val="21"/>
          <w:highlight w:val="none"/>
          <w:u w:val="single"/>
        </w:rPr>
        <w:t xml:space="preserve">            </w:t>
      </w:r>
      <w:r>
        <w:rPr>
          <w:rFonts w:hint="eastAsia" w:ascii="宋体" w:hAnsi="宋体"/>
          <w:color w:val="auto"/>
          <w:sz w:val="21"/>
          <w:szCs w:val="21"/>
          <w:highlight w:val="none"/>
        </w:rPr>
        <w:t>现授权</w:t>
      </w:r>
      <w:r>
        <w:rPr>
          <w:rFonts w:ascii="宋体" w:hAnsi="宋体"/>
          <w:color w:val="auto"/>
          <w:sz w:val="21"/>
          <w:szCs w:val="21"/>
          <w:highlight w:val="none"/>
          <w:u w:val="single"/>
        </w:rPr>
        <w:t xml:space="preserve">             </w:t>
      </w:r>
      <w:r>
        <w:rPr>
          <w:rFonts w:hint="eastAsia" w:ascii="宋体" w:hAnsi="宋体"/>
          <w:color w:val="auto"/>
          <w:sz w:val="21"/>
          <w:szCs w:val="21"/>
          <w:highlight w:val="none"/>
        </w:rPr>
        <w:t>为联合投标委托代理人，委托代理人在投标、开标、评标、合同谈判过程中所签署的一切文件和处理与这有关的一切事务，联合投标各方均予以认可并遵守。</w:t>
      </w:r>
    </w:p>
    <w:p>
      <w:pPr>
        <w:pStyle w:val="19"/>
        <w:spacing w:line="400" w:lineRule="exact"/>
        <w:ind w:left="-107" w:leftChars="-51" w:firstLine="315" w:firstLineChars="150"/>
        <w:rPr>
          <w:rFonts w:ascii="宋体" w:eastAsia="宋体"/>
          <w:color w:val="auto"/>
          <w:sz w:val="21"/>
          <w:szCs w:val="21"/>
          <w:highlight w:val="none"/>
        </w:rPr>
      </w:pPr>
      <w:r>
        <w:rPr>
          <w:rFonts w:hint="eastAsia" w:ascii="宋体" w:hAnsi="宋体"/>
          <w:color w:val="auto"/>
          <w:sz w:val="21"/>
          <w:szCs w:val="21"/>
          <w:highlight w:val="none"/>
        </w:rPr>
        <w:t>特此委托。</w:t>
      </w: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hAnsi="宋体"/>
          <w:color w:val="auto"/>
          <w:sz w:val="21"/>
          <w:szCs w:val="21"/>
          <w:highlight w:val="none"/>
        </w:rPr>
      </w:pP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hAnsi="宋体"/>
          <w:color w:val="auto"/>
          <w:sz w:val="21"/>
          <w:szCs w:val="21"/>
          <w:highlight w:val="none"/>
        </w:rPr>
      </w:pPr>
    </w:p>
    <w:p>
      <w:pPr>
        <w:pStyle w:val="19"/>
        <w:spacing w:line="400" w:lineRule="exact"/>
        <w:ind w:left="-107" w:leftChars="-51" w:firstLine="315" w:firstLineChars="150"/>
        <w:rPr>
          <w:rFonts w:ascii="宋体" w:eastAsia="宋体"/>
          <w:color w:val="auto"/>
          <w:sz w:val="21"/>
          <w:szCs w:val="21"/>
          <w:highlight w:val="none"/>
        </w:rPr>
      </w:pPr>
      <w:r>
        <w:rPr>
          <w:rFonts w:hint="eastAsia" w:ascii="宋体" w:hAnsi="宋体"/>
          <w:color w:val="auto"/>
          <w:sz w:val="21"/>
          <w:szCs w:val="21"/>
          <w:highlight w:val="none"/>
        </w:rPr>
        <w:t>联合体牵头人法定代表人（签字或盖章）：</w:t>
      </w: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hAnsi="宋体"/>
          <w:color w:val="auto"/>
          <w:sz w:val="21"/>
          <w:szCs w:val="21"/>
          <w:highlight w:val="none"/>
        </w:rPr>
      </w:pP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eastAsia="宋体"/>
          <w:color w:val="auto"/>
          <w:sz w:val="21"/>
          <w:szCs w:val="21"/>
          <w:highlight w:val="none"/>
        </w:rPr>
      </w:pPr>
      <w:r>
        <w:rPr>
          <w:rFonts w:hint="eastAsia" w:ascii="宋体" w:hAnsi="宋体"/>
          <w:color w:val="auto"/>
          <w:sz w:val="21"/>
          <w:szCs w:val="21"/>
          <w:highlight w:val="none"/>
        </w:rPr>
        <w:t>日期：</w:t>
      </w:r>
      <w:r>
        <w:rPr>
          <w:rFonts w:ascii="宋体" w:hAnsi="宋体"/>
          <w:color w:val="auto"/>
          <w:sz w:val="21"/>
          <w:szCs w:val="21"/>
          <w:highlight w:val="none"/>
        </w:rPr>
        <w:t xml:space="preserve">    </w:t>
      </w:r>
      <w:r>
        <w:rPr>
          <w:rFonts w:hint="eastAsia" w:ascii="宋体" w:hAnsi="宋体"/>
          <w:color w:val="auto"/>
          <w:sz w:val="21"/>
          <w:szCs w:val="21"/>
          <w:highlight w:val="none"/>
        </w:rPr>
        <w:t>年</w:t>
      </w:r>
      <w:r>
        <w:rPr>
          <w:rFonts w:ascii="宋体" w:hAnsi="宋体"/>
          <w:color w:val="auto"/>
          <w:sz w:val="21"/>
          <w:szCs w:val="21"/>
          <w:highlight w:val="none"/>
        </w:rPr>
        <w:t xml:space="preserve">  </w:t>
      </w:r>
      <w:r>
        <w:rPr>
          <w:rFonts w:hint="eastAsia" w:ascii="宋体" w:hAnsi="宋体"/>
          <w:color w:val="auto"/>
          <w:sz w:val="21"/>
          <w:szCs w:val="21"/>
          <w:highlight w:val="none"/>
        </w:rPr>
        <w:t>月</w:t>
      </w:r>
      <w:r>
        <w:rPr>
          <w:rFonts w:ascii="宋体" w:hAnsi="宋体"/>
          <w:color w:val="auto"/>
          <w:sz w:val="21"/>
          <w:szCs w:val="21"/>
          <w:highlight w:val="none"/>
        </w:rPr>
        <w:t xml:space="preserve">  </w:t>
      </w:r>
      <w:r>
        <w:rPr>
          <w:rFonts w:hint="eastAsia" w:ascii="宋体" w:hAnsi="宋体"/>
          <w:color w:val="auto"/>
          <w:sz w:val="21"/>
          <w:szCs w:val="21"/>
          <w:highlight w:val="none"/>
        </w:rPr>
        <w:t>日</w:t>
      </w: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hAnsi="宋体"/>
          <w:color w:val="auto"/>
          <w:sz w:val="21"/>
          <w:szCs w:val="21"/>
          <w:highlight w:val="none"/>
        </w:rPr>
      </w:pPr>
      <w:r>
        <w:rPr>
          <w:rFonts w:ascii="宋体" w:hAnsi="宋体"/>
          <w:color w:val="auto"/>
          <w:sz w:val="21"/>
          <w:szCs w:val="21"/>
          <w:highlight w:val="none"/>
        </w:rPr>
        <w:t xml:space="preserve"> </w:t>
      </w:r>
    </w:p>
    <w:p>
      <w:pPr>
        <w:pStyle w:val="19"/>
        <w:spacing w:line="400" w:lineRule="exact"/>
        <w:ind w:left="-107" w:leftChars="-51" w:firstLine="315" w:firstLineChars="150"/>
        <w:rPr>
          <w:rFonts w:ascii="宋体" w:eastAsia="宋体"/>
          <w:color w:val="auto"/>
          <w:sz w:val="21"/>
          <w:szCs w:val="21"/>
          <w:highlight w:val="none"/>
        </w:rPr>
      </w:pPr>
      <w:r>
        <w:rPr>
          <w:rFonts w:hint="eastAsia" w:ascii="宋体" w:hAnsi="宋体"/>
          <w:color w:val="auto"/>
          <w:sz w:val="21"/>
          <w:szCs w:val="21"/>
          <w:highlight w:val="none"/>
        </w:rPr>
        <w:t>委托代理人（签字或盖章）：</w:t>
      </w:r>
    </w:p>
    <w:p>
      <w:pPr>
        <w:pStyle w:val="19"/>
        <w:spacing w:line="400" w:lineRule="exact"/>
        <w:ind w:left="-107" w:leftChars="-51" w:firstLine="315" w:firstLineChars="150"/>
        <w:rPr>
          <w:rFonts w:ascii="宋体" w:hAnsi="宋体"/>
          <w:color w:val="auto"/>
          <w:sz w:val="21"/>
          <w:szCs w:val="21"/>
          <w:highlight w:val="none"/>
        </w:rPr>
      </w:pPr>
      <w:r>
        <w:rPr>
          <w:rFonts w:ascii="宋体" w:hAnsi="宋体"/>
          <w:color w:val="auto"/>
          <w:sz w:val="21"/>
          <w:szCs w:val="21"/>
          <w:highlight w:val="none"/>
        </w:rPr>
        <w:t xml:space="preserve"> </w:t>
      </w:r>
    </w:p>
    <w:p>
      <w:pPr>
        <w:pStyle w:val="19"/>
        <w:spacing w:line="400" w:lineRule="exact"/>
        <w:ind w:left="-107" w:leftChars="-51" w:right="31" w:firstLine="315" w:firstLineChars="150"/>
        <w:rPr>
          <w:rFonts w:ascii="宋体" w:eastAsia="宋体"/>
          <w:color w:val="auto"/>
          <w:sz w:val="21"/>
          <w:szCs w:val="21"/>
          <w:highlight w:val="none"/>
        </w:rPr>
      </w:pPr>
      <w:r>
        <w:rPr>
          <w:rFonts w:hint="eastAsia" w:ascii="宋体" w:hAnsi="宋体"/>
          <w:color w:val="auto"/>
          <w:sz w:val="21"/>
          <w:szCs w:val="21"/>
          <w:highlight w:val="none"/>
        </w:rPr>
        <w:t>日期：</w:t>
      </w:r>
      <w:r>
        <w:rPr>
          <w:rFonts w:ascii="宋体" w:hAnsi="宋体"/>
          <w:color w:val="auto"/>
          <w:sz w:val="21"/>
          <w:szCs w:val="21"/>
          <w:highlight w:val="none"/>
        </w:rPr>
        <w:t xml:space="preserve">    </w:t>
      </w:r>
      <w:r>
        <w:rPr>
          <w:rFonts w:hint="eastAsia" w:ascii="宋体" w:hAnsi="宋体"/>
          <w:color w:val="auto"/>
          <w:sz w:val="21"/>
          <w:szCs w:val="21"/>
          <w:highlight w:val="none"/>
        </w:rPr>
        <w:t>年</w:t>
      </w:r>
      <w:r>
        <w:rPr>
          <w:rFonts w:ascii="宋体" w:hAnsi="宋体"/>
          <w:color w:val="auto"/>
          <w:sz w:val="21"/>
          <w:szCs w:val="21"/>
          <w:highlight w:val="none"/>
        </w:rPr>
        <w:t xml:space="preserve">  </w:t>
      </w:r>
      <w:r>
        <w:rPr>
          <w:rFonts w:hint="eastAsia" w:ascii="宋体" w:hAnsi="宋体"/>
          <w:color w:val="auto"/>
          <w:sz w:val="21"/>
          <w:szCs w:val="21"/>
          <w:highlight w:val="none"/>
        </w:rPr>
        <w:t>月</w:t>
      </w:r>
      <w:r>
        <w:rPr>
          <w:rFonts w:ascii="宋体" w:hAnsi="宋体"/>
          <w:color w:val="auto"/>
          <w:sz w:val="21"/>
          <w:szCs w:val="21"/>
          <w:highlight w:val="none"/>
        </w:rPr>
        <w:t xml:space="preserve">  </w:t>
      </w:r>
      <w:r>
        <w:rPr>
          <w:rFonts w:hint="eastAsia" w:ascii="宋体" w:hAnsi="宋体"/>
          <w:color w:val="auto"/>
          <w:sz w:val="21"/>
          <w:szCs w:val="21"/>
          <w:highlight w:val="none"/>
        </w:rPr>
        <w:t>日</w:t>
      </w:r>
      <w:r>
        <w:rPr>
          <w:rFonts w:ascii="宋体" w:hAnsi="宋体"/>
          <w:color w:val="auto"/>
          <w:sz w:val="21"/>
          <w:szCs w:val="21"/>
          <w:highlight w:val="none"/>
        </w:rPr>
        <w:t xml:space="preserve"> </w:t>
      </w:r>
    </w:p>
    <w:p>
      <w:pPr>
        <w:adjustRightInd w:val="0"/>
        <w:snapToGrid w:val="0"/>
        <w:spacing w:line="400" w:lineRule="exact"/>
        <w:jc w:val="center"/>
        <w:rPr>
          <w:rFonts w:ascii="宋体"/>
          <w:color w:val="auto"/>
          <w:szCs w:val="21"/>
          <w:highlight w:val="none"/>
        </w:rPr>
      </w:pPr>
    </w:p>
    <w:p>
      <w:pPr>
        <w:adjustRightInd w:val="0"/>
        <w:snapToGrid w:val="0"/>
        <w:spacing w:line="400" w:lineRule="exact"/>
        <w:jc w:val="center"/>
        <w:rPr>
          <w:rFonts w:ascii="宋体"/>
          <w:color w:val="auto"/>
          <w:szCs w:val="21"/>
          <w:highlight w:val="none"/>
        </w:rPr>
      </w:pPr>
    </w:p>
    <w:p>
      <w:pPr>
        <w:adjustRightInd w:val="0"/>
        <w:snapToGrid w:val="0"/>
        <w:spacing w:line="400" w:lineRule="exact"/>
        <w:jc w:val="center"/>
        <w:rPr>
          <w:rFonts w:ascii="宋体"/>
          <w:color w:val="auto"/>
          <w:szCs w:val="21"/>
          <w:highlight w:val="none"/>
        </w:rPr>
      </w:pPr>
    </w:p>
    <w:p>
      <w:pPr>
        <w:adjustRightInd w:val="0"/>
        <w:snapToGrid w:val="0"/>
        <w:spacing w:line="400" w:lineRule="exact"/>
        <w:ind w:firstLine="315" w:firstLineChars="150"/>
        <w:outlineLvl w:val="9"/>
        <w:rPr>
          <w:rFonts w:hint="eastAsia" w:ascii="宋体" w:hAnsi="宋体"/>
          <w:color w:val="auto"/>
          <w:szCs w:val="21"/>
          <w:highlight w:val="none"/>
        </w:rPr>
      </w:pPr>
      <w:bookmarkStart w:id="40" w:name="_Toc8554"/>
      <w:bookmarkStart w:id="41" w:name="_Toc5589"/>
      <w:r>
        <w:rPr>
          <w:rFonts w:hint="eastAsia" w:ascii="宋体" w:hAnsi="宋体"/>
          <w:color w:val="auto"/>
          <w:szCs w:val="21"/>
          <w:highlight w:val="none"/>
        </w:rPr>
        <w:t>后附：法定代表人</w:t>
      </w:r>
      <w:r>
        <w:rPr>
          <w:rFonts w:hint="eastAsia"/>
          <w:color w:val="auto"/>
          <w:szCs w:val="21"/>
          <w:highlight w:val="none"/>
        </w:rPr>
        <w:t>身份证复印件</w:t>
      </w:r>
      <w:bookmarkEnd w:id="40"/>
      <w:bookmarkEnd w:id="41"/>
      <w:r>
        <w:rPr>
          <w:rFonts w:hint="eastAsia" w:ascii="宋体" w:hAnsi="宋体"/>
          <w:color w:val="auto"/>
          <w:szCs w:val="21"/>
          <w:highlight w:val="none"/>
        </w:rPr>
        <w:t>（不同页的须加盖供应商公章）</w:t>
      </w:r>
    </w:p>
    <w:p>
      <w:pPr>
        <w:spacing w:line="360" w:lineRule="auto"/>
        <w:ind w:firstLine="840" w:firstLineChars="400"/>
        <w:jc w:val="center"/>
        <w:outlineLvl w:val="9"/>
        <w:rPr>
          <w:rFonts w:hint="eastAsia" w:ascii="宋体" w:hAnsi="宋体"/>
          <w:b/>
          <w:color w:val="auto"/>
          <w:szCs w:val="21"/>
          <w:highlight w:val="none"/>
        </w:rPr>
      </w:pPr>
      <w:bookmarkStart w:id="42" w:name="_Toc18218"/>
      <w:bookmarkStart w:id="43" w:name="_Toc10312"/>
      <w:r>
        <w:rPr>
          <w:rFonts w:hint="eastAsia" w:ascii="宋体" w:hAnsi="宋体"/>
          <w:color w:val="auto"/>
          <w:szCs w:val="21"/>
          <w:highlight w:val="none"/>
        </w:rPr>
        <w:t>委托代理人</w:t>
      </w:r>
      <w:r>
        <w:rPr>
          <w:rFonts w:hint="eastAsia"/>
          <w:color w:val="auto"/>
          <w:szCs w:val="21"/>
          <w:highlight w:val="none"/>
        </w:rPr>
        <w:t>身份证</w:t>
      </w:r>
      <w:r>
        <w:rPr>
          <w:rFonts w:hint="eastAsia" w:ascii="宋体" w:hAnsi="宋体"/>
          <w:color w:val="auto"/>
          <w:szCs w:val="21"/>
          <w:highlight w:val="none"/>
        </w:rPr>
        <w:t>复印件</w:t>
      </w:r>
      <w:bookmarkEnd w:id="42"/>
      <w:bookmarkEnd w:id="43"/>
      <w:r>
        <w:rPr>
          <w:rFonts w:hint="eastAsia" w:ascii="宋体" w:hAnsi="宋体"/>
          <w:color w:val="auto"/>
          <w:szCs w:val="21"/>
          <w:highlight w:val="none"/>
        </w:rPr>
        <w:t>（不同页的须加盖供应商公章）</w:t>
      </w:r>
      <w:r>
        <w:rPr>
          <w:rStyle w:val="168"/>
          <w:rFonts w:ascii="宋体" w:hAnsi="宋体"/>
          <w:color w:val="auto"/>
          <w:sz w:val="21"/>
          <w:szCs w:val="21"/>
          <w:highlight w:val="none"/>
        </w:rPr>
        <w:br w:type="page"/>
      </w:r>
      <w:r>
        <w:rPr>
          <w:rStyle w:val="168"/>
          <w:rFonts w:hint="eastAsia" w:ascii="宋体" w:hAnsi="宋体"/>
          <w:color w:val="auto"/>
          <w:sz w:val="21"/>
          <w:szCs w:val="21"/>
          <w:highlight w:val="none"/>
          <w:lang w:val="en-US"/>
        </w:rPr>
        <w:t>A6.</w:t>
      </w:r>
      <w:r>
        <w:rPr>
          <w:rFonts w:hint="eastAsia" w:ascii="宋体" w:hAnsi="宋体"/>
          <w:b/>
          <w:color w:val="auto"/>
          <w:szCs w:val="21"/>
          <w:highlight w:val="none"/>
        </w:rPr>
        <w:t>供应商认为需要的其他资料（如有需提供）</w:t>
      </w: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360" w:lineRule="auto"/>
        <w:jc w:val="center"/>
        <w:rPr>
          <w:rFonts w:hint="eastAsia" w:ascii="宋体" w:hAnsi="宋体"/>
          <w:b/>
          <w:color w:val="auto"/>
          <w:szCs w:val="21"/>
          <w:highlight w:val="none"/>
        </w:rPr>
      </w:pPr>
    </w:p>
    <w:p>
      <w:pPr>
        <w:spacing w:line="400" w:lineRule="exact"/>
        <w:jc w:val="center"/>
        <w:rPr>
          <w:rStyle w:val="168"/>
          <w:rFonts w:ascii="宋体" w:hAnsi="宋体"/>
          <w:color w:val="auto"/>
          <w:sz w:val="32"/>
          <w:szCs w:val="32"/>
          <w:highlight w:val="none"/>
        </w:rPr>
      </w:pPr>
      <w:r>
        <w:rPr>
          <w:rStyle w:val="168"/>
          <w:rFonts w:ascii="宋体" w:hAnsi="宋体"/>
          <w:color w:val="auto"/>
          <w:sz w:val="21"/>
          <w:szCs w:val="21"/>
          <w:highlight w:val="none"/>
        </w:rPr>
        <w:br w:type="page"/>
      </w:r>
      <w:bookmarkStart w:id="44" w:name="_Toc74987461"/>
      <w:bookmarkStart w:id="45" w:name="_Toc74987429"/>
      <w:bookmarkStart w:id="46" w:name="_Toc21541026"/>
      <w:r>
        <w:rPr>
          <w:rStyle w:val="168"/>
          <w:rFonts w:ascii="宋体" w:hAnsi="宋体"/>
          <w:color w:val="auto"/>
          <w:sz w:val="32"/>
          <w:szCs w:val="32"/>
          <w:highlight w:val="none"/>
        </w:rPr>
        <w:t>B.</w:t>
      </w:r>
      <w:r>
        <w:rPr>
          <w:rStyle w:val="168"/>
          <w:rFonts w:hint="eastAsia" w:ascii="宋体" w:hAnsi="宋体"/>
          <w:color w:val="auto"/>
          <w:sz w:val="32"/>
          <w:szCs w:val="32"/>
          <w:highlight w:val="none"/>
        </w:rPr>
        <w:t>商务和技术文件</w:t>
      </w:r>
      <w:bookmarkEnd w:id="44"/>
      <w:bookmarkEnd w:id="45"/>
      <w:bookmarkEnd w:id="46"/>
    </w:p>
    <w:p>
      <w:pPr>
        <w:autoSpaceDE w:val="0"/>
        <w:autoSpaceDN w:val="0"/>
        <w:adjustRightInd w:val="0"/>
        <w:spacing w:line="420" w:lineRule="exact"/>
        <w:rPr>
          <w:rStyle w:val="168"/>
          <w:rFonts w:ascii="宋体" w:hAnsi="宋体"/>
          <w:b w:val="0"/>
          <w:color w:val="auto"/>
          <w:highlight w:val="none"/>
          <w:lang w:val="zh-CN"/>
        </w:rPr>
      </w:pPr>
      <w:r>
        <w:rPr>
          <w:rStyle w:val="168"/>
          <w:rFonts w:hint="eastAsia" w:ascii="宋体" w:hAnsi="宋体"/>
          <w:color w:val="auto"/>
          <w:sz w:val="21"/>
          <w:szCs w:val="21"/>
          <w:highlight w:val="none"/>
        </w:rPr>
        <w:t>封面</w:t>
      </w:r>
    </w:p>
    <w:p>
      <w:pPr>
        <w:spacing w:line="360" w:lineRule="auto"/>
        <w:rPr>
          <w:rFonts w:ascii="宋体" w:hAnsi="宋体"/>
          <w:color w:val="auto"/>
          <w:sz w:val="28"/>
          <w:szCs w:val="28"/>
          <w:highlight w:val="none"/>
        </w:rPr>
      </w:pPr>
    </w:p>
    <w:p>
      <w:pPr>
        <w:pStyle w:val="200"/>
        <w:rPr>
          <w:color w:val="auto"/>
          <w:highlight w:val="none"/>
        </w:rPr>
      </w:pPr>
    </w:p>
    <w:p>
      <w:pPr>
        <w:spacing w:line="360" w:lineRule="auto"/>
        <w:jc w:val="center"/>
        <w:rPr>
          <w:rFonts w:hint="eastAsia" w:ascii="宋体" w:hAnsi="宋体" w:eastAsia="宋体"/>
          <w:color w:val="auto"/>
          <w:sz w:val="40"/>
          <w:szCs w:val="48"/>
          <w:highlight w:val="none"/>
          <w:u w:val="single"/>
          <w:lang w:eastAsia="zh-CN"/>
        </w:rPr>
      </w:pPr>
      <w:r>
        <w:rPr>
          <w:rFonts w:hint="eastAsia" w:ascii="宋体" w:hAnsi="宋体"/>
          <w:b/>
          <w:color w:val="auto"/>
          <w:sz w:val="40"/>
          <w:szCs w:val="48"/>
          <w:highlight w:val="none"/>
          <w:lang w:eastAsia="zh-CN"/>
        </w:rPr>
        <w:t>慈溪市匡堰城镇单元控制性详细规划项目</w:t>
      </w:r>
    </w:p>
    <w:p>
      <w:pPr>
        <w:spacing w:line="360" w:lineRule="auto"/>
        <w:ind w:firstLine="2520" w:firstLineChars="700"/>
        <w:rPr>
          <w:rFonts w:hint="default" w:ascii="宋体" w:hAnsi="宋体" w:eastAsia="宋体"/>
          <w:color w:val="auto"/>
          <w:sz w:val="36"/>
          <w:szCs w:val="36"/>
          <w:highlight w:val="none"/>
          <w:u w:val="single"/>
          <w:lang w:val="en-US" w:eastAsia="zh-CN"/>
        </w:rPr>
      </w:pPr>
      <w:r>
        <w:rPr>
          <w:rFonts w:hint="eastAsia" w:ascii="宋体" w:hAnsi="宋体"/>
          <w:color w:val="auto"/>
          <w:sz w:val="36"/>
          <w:szCs w:val="36"/>
          <w:highlight w:val="none"/>
        </w:rPr>
        <w:t>项目编号：</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 w:val="36"/>
          <w:szCs w:val="36"/>
          <w:highlight w:val="none"/>
          <w:u w:val="single"/>
        </w:rPr>
        <w:t xml:space="preserve"> </w:t>
      </w:r>
      <w:r>
        <w:rPr>
          <w:rFonts w:hint="eastAsia" w:ascii="宋体" w:hAnsi="宋体"/>
          <w:color w:val="auto"/>
          <w:sz w:val="36"/>
          <w:szCs w:val="36"/>
          <w:highlight w:val="none"/>
          <w:u w:val="single"/>
        </w:rPr>
        <w:fldChar w:fldCharType="end"/>
      </w:r>
      <w:r>
        <w:rPr>
          <w:rFonts w:hint="eastAsia" w:ascii="宋体" w:hAnsi="宋体"/>
          <w:color w:val="auto"/>
          <w:sz w:val="36"/>
          <w:szCs w:val="36"/>
          <w:highlight w:val="none"/>
          <w:u w:val="single"/>
          <w:lang w:val="en-US" w:eastAsia="zh-CN"/>
        </w:rPr>
        <w:t xml:space="preserve">  </w:t>
      </w:r>
    </w:p>
    <w:p>
      <w:pPr>
        <w:rPr>
          <w:rFonts w:ascii="宋体" w:hAnsi="宋体"/>
          <w:color w:val="auto"/>
          <w:sz w:val="28"/>
          <w:szCs w:val="28"/>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（商务和技术文件）</w:t>
      </w:r>
    </w:p>
    <w:p>
      <w:pPr>
        <w:jc w:val="center"/>
        <w:rPr>
          <w:rFonts w:ascii="宋体" w:hAnsi="宋体"/>
          <w:color w:val="auto"/>
          <w:sz w:val="28"/>
          <w:szCs w:val="28"/>
          <w:highlight w:val="none"/>
        </w:rPr>
      </w:pPr>
    </w:p>
    <w:p>
      <w:pPr>
        <w:spacing w:line="360" w:lineRule="auto"/>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7"/>
        <w:ind w:left="101" w:leftChars="48" w:firstLine="1920" w:firstLineChars="800"/>
        <w:jc w:val="left"/>
        <w:rPr>
          <w:rFonts w:hAnsi="宋体"/>
          <w:color w:val="auto"/>
          <w:kern w:val="2"/>
          <w:szCs w:val="28"/>
          <w:highlight w:val="none"/>
          <w:u w:val="single"/>
        </w:rPr>
      </w:pPr>
    </w:p>
    <w:p>
      <w:pPr>
        <w:autoSpaceDE w:val="0"/>
        <w:autoSpaceDN w:val="0"/>
        <w:adjustRightInd w:val="0"/>
        <w:spacing w:line="400" w:lineRule="exact"/>
        <w:jc w:val="center"/>
        <w:outlineLvl w:val="9"/>
        <w:rPr>
          <w:rStyle w:val="168"/>
          <w:rFonts w:ascii="宋体" w:hAnsi="宋体"/>
          <w:color w:val="auto"/>
          <w:sz w:val="28"/>
          <w:szCs w:val="28"/>
          <w:highlight w:val="none"/>
        </w:rPr>
      </w:pPr>
      <w:bookmarkStart w:id="47" w:name="_Toc21541027"/>
      <w:bookmarkStart w:id="48" w:name="_Toc74987462"/>
      <w:bookmarkStart w:id="49" w:name="_Toc6520"/>
      <w:bookmarkStart w:id="50" w:name="_Toc74987430"/>
      <w:bookmarkStart w:id="51" w:name="_Toc85732608"/>
      <w:bookmarkStart w:id="52" w:name="_Toc74987561"/>
      <w:r>
        <w:rPr>
          <w:rFonts w:hint="eastAsia" w:ascii="宋体" w:hAnsi="宋体"/>
          <w:color w:val="auto"/>
          <w:sz w:val="36"/>
          <w:szCs w:val="36"/>
          <w:highlight w:val="none"/>
        </w:rPr>
        <w:t>年</w:t>
      </w:r>
      <w:r>
        <w:rPr>
          <w:rFonts w:ascii="宋体" w:hAnsi="宋体"/>
          <w:color w:val="auto"/>
          <w:sz w:val="36"/>
          <w:szCs w:val="36"/>
          <w:highlight w:val="none"/>
        </w:rPr>
        <w:t xml:space="preserve">  </w:t>
      </w:r>
      <w:r>
        <w:rPr>
          <w:rFonts w:hint="eastAsia" w:ascii="宋体" w:hAnsi="宋体"/>
          <w:color w:val="auto"/>
          <w:sz w:val="36"/>
          <w:szCs w:val="36"/>
          <w:highlight w:val="none"/>
        </w:rPr>
        <w:t>月</w:t>
      </w:r>
      <w:r>
        <w:rPr>
          <w:rFonts w:ascii="宋体" w:hAnsi="宋体"/>
          <w:color w:val="auto"/>
          <w:sz w:val="36"/>
          <w:szCs w:val="36"/>
          <w:highlight w:val="none"/>
        </w:rPr>
        <w:t xml:space="preserve">  </w:t>
      </w:r>
      <w:r>
        <w:rPr>
          <w:rFonts w:hint="eastAsia" w:ascii="宋体" w:hAnsi="宋体"/>
          <w:color w:val="auto"/>
          <w:sz w:val="36"/>
          <w:szCs w:val="36"/>
          <w:highlight w:val="none"/>
        </w:rPr>
        <w:t>日</w:t>
      </w:r>
      <w:bookmarkEnd w:id="47"/>
      <w:bookmarkEnd w:id="48"/>
      <w:bookmarkEnd w:id="49"/>
      <w:bookmarkEnd w:id="50"/>
      <w:bookmarkEnd w:id="51"/>
      <w:bookmarkEnd w:id="52"/>
    </w:p>
    <w:p>
      <w:pPr>
        <w:spacing w:line="360" w:lineRule="auto"/>
        <w:ind w:firstLine="4200" w:firstLineChars="2000"/>
        <w:jc w:val="left"/>
        <w:outlineLvl w:val="9"/>
        <w:rPr>
          <w:rFonts w:ascii="宋体" w:hAnsi="宋体"/>
          <w:color w:val="auto"/>
          <w:szCs w:val="21"/>
          <w:highlight w:val="none"/>
        </w:rPr>
      </w:pPr>
    </w:p>
    <w:p>
      <w:pPr>
        <w:spacing w:line="360" w:lineRule="auto"/>
        <w:jc w:val="center"/>
        <w:rPr>
          <w:rFonts w:ascii="宋体" w:hAnsi="宋体"/>
          <w:b/>
          <w:color w:val="auto"/>
          <w:szCs w:val="21"/>
          <w:highlight w:val="none"/>
        </w:rPr>
      </w:pPr>
      <w:r>
        <w:rPr>
          <w:rStyle w:val="168"/>
          <w:rFonts w:ascii="宋体" w:hAnsi="宋体"/>
          <w:color w:val="auto"/>
          <w:sz w:val="21"/>
          <w:szCs w:val="21"/>
          <w:highlight w:val="none"/>
        </w:rPr>
        <w:br w:type="page"/>
      </w:r>
      <w:r>
        <w:rPr>
          <w:rFonts w:hint="eastAsia" w:ascii="宋体" w:hAnsi="宋体"/>
          <w:b/>
          <w:color w:val="auto"/>
          <w:szCs w:val="21"/>
          <w:highlight w:val="none"/>
        </w:rPr>
        <w:t>B1</w:t>
      </w:r>
      <w:r>
        <w:rPr>
          <w:rFonts w:hint="eastAsia" w:ascii="宋体" w:hAnsi="宋体"/>
          <w:b/>
          <w:color w:val="auto"/>
          <w:szCs w:val="21"/>
          <w:highlight w:val="none"/>
          <w:lang w:eastAsia="zh-CN"/>
        </w:rPr>
        <w:t>.</w:t>
      </w:r>
      <w:r>
        <w:rPr>
          <w:rFonts w:hint="eastAsia" w:ascii="宋体" w:hAnsi="宋体"/>
          <w:b/>
          <w:color w:val="auto"/>
          <w:szCs w:val="21"/>
          <w:highlight w:val="none"/>
        </w:rPr>
        <w:t>投标书</w:t>
      </w:r>
    </w:p>
    <w:p>
      <w:pPr>
        <w:pStyle w:val="86"/>
        <w:rPr>
          <w:color w:val="auto"/>
          <w:highlight w:val="none"/>
        </w:rPr>
      </w:pPr>
    </w:p>
    <w:p>
      <w:pPr>
        <w:spacing w:line="400" w:lineRule="exact"/>
        <w:rPr>
          <w:rFonts w:hint="eastAsia" w:ascii="宋体" w:hAnsi="宋体" w:eastAsia="宋体"/>
          <w:color w:val="auto"/>
          <w:szCs w:val="21"/>
          <w:highlight w:val="none"/>
          <w:lang w:eastAsia="zh-CN"/>
        </w:rPr>
      </w:pPr>
      <w:r>
        <w:rPr>
          <w:rFonts w:hint="eastAsia" w:ascii="宋体" w:hAnsi="宋体"/>
          <w:color w:val="auto"/>
          <w:szCs w:val="21"/>
          <w:highlight w:val="none"/>
        </w:rPr>
        <w:t>致：</w:t>
      </w:r>
      <w:r>
        <w:rPr>
          <w:rFonts w:hint="eastAsia" w:ascii="宋体" w:hAnsi="宋体"/>
          <w:color w:val="auto"/>
          <w:szCs w:val="21"/>
          <w:highlight w:val="none"/>
          <w:lang w:eastAsia="zh-CN"/>
        </w:rPr>
        <w:t>宁波安全三江工程咨询招标代理有限公司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u w:val="single"/>
        </w:rPr>
        <w:t>（供应商全称）　</w:t>
      </w:r>
      <w:r>
        <w:rPr>
          <w:rFonts w:hint="eastAsia" w:ascii="宋体" w:hAnsi="宋体"/>
          <w:color w:val="auto"/>
          <w:szCs w:val="21"/>
          <w:highlight w:val="none"/>
        </w:rPr>
        <w:t>授权</w:t>
      </w:r>
      <w:r>
        <w:rPr>
          <w:rFonts w:hint="eastAsia" w:ascii="宋体" w:hAnsi="宋体"/>
          <w:color w:val="auto"/>
          <w:szCs w:val="21"/>
          <w:highlight w:val="none"/>
          <w:u w:val="single"/>
        </w:rPr>
        <w:t xml:space="preserve">  （全名、职务）  </w:t>
      </w:r>
      <w:r>
        <w:rPr>
          <w:rFonts w:hint="eastAsia" w:ascii="宋体" w:hAnsi="宋体"/>
          <w:color w:val="auto"/>
          <w:szCs w:val="21"/>
          <w:highlight w:val="none"/>
        </w:rPr>
        <w:t>为全权代表，参加贵方组织的</w:t>
      </w:r>
      <w:r>
        <w:rPr>
          <w:rFonts w:hint="eastAsia" w:ascii="宋体" w:hAnsi="宋体"/>
          <w:color w:val="auto"/>
          <w:szCs w:val="21"/>
          <w:highlight w:val="none"/>
          <w:u w:val="single"/>
          <w:lang w:eastAsia="zh-CN"/>
        </w:rPr>
        <w:t>慈溪市匡堰城镇单元控制性详细规划项目</w:t>
      </w:r>
      <w:r>
        <w:rPr>
          <w:rFonts w:hint="eastAsia" w:ascii="宋体" w:hAnsi="宋体"/>
          <w:color w:val="auto"/>
          <w:szCs w:val="21"/>
          <w:highlight w:val="none"/>
        </w:rPr>
        <w:t>（项目编号：</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Cs w:val="21"/>
          <w:highlight w:val="none"/>
          <w:u w:val="single"/>
        </w:rPr>
        <w:t xml:space="preserve"> </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）招标活动并投标，为便于采购人公正、择优地确定中标供应商及其服务，我方就本次投标有关事项郑重声明如下：</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2、我方不是为本项目提供整体设计、规范编制或者项目管理、监理、检测等服务的供应商。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hint="eastAsia" w:ascii="宋体"/>
          <w:color w:val="auto"/>
          <w:highlight w:val="none"/>
        </w:rPr>
        <w:t>保证遵守招标文件有关条款规定。</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、本项目的投标报价详见“开标一览表”。</w:t>
      </w:r>
    </w:p>
    <w:p>
      <w:pPr>
        <w:spacing w:line="400" w:lineRule="exact"/>
        <w:ind w:firstLine="420" w:firstLineChars="200"/>
        <w:jc w:val="left"/>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、投标文件有效期为自开标之日起</w:t>
      </w:r>
      <w:r>
        <w:rPr>
          <w:rFonts w:hint="eastAsia" w:ascii="宋体" w:hAnsi="宋体"/>
          <w:color w:val="auto"/>
          <w:szCs w:val="21"/>
          <w:highlight w:val="none"/>
          <w:u w:val="single"/>
        </w:rPr>
        <w:t xml:space="preserve"> 90 </w:t>
      </w:r>
      <w:r>
        <w:rPr>
          <w:rFonts w:hint="eastAsia" w:ascii="宋体" w:hAnsi="宋体"/>
          <w:color w:val="auto"/>
          <w:szCs w:val="21"/>
          <w:highlight w:val="none"/>
        </w:rPr>
        <w:t>个</w:t>
      </w:r>
      <w:r>
        <w:rPr>
          <w:rFonts w:hint="eastAsia" w:ascii="宋体" w:hAnsi="宋体"/>
          <w:color w:val="auto"/>
          <w:szCs w:val="21"/>
          <w:highlight w:val="none"/>
          <w:lang w:eastAsia="zh-CN"/>
        </w:rPr>
        <w:t>日历天</w:t>
      </w:r>
      <w:r>
        <w:rPr>
          <w:rFonts w:hint="eastAsia" w:ascii="宋体" w:hAnsi="宋体"/>
          <w:color w:val="auto"/>
          <w:szCs w:val="21"/>
          <w:highlight w:val="none"/>
        </w:rPr>
        <w:t>。</w:t>
      </w:r>
    </w:p>
    <w:p>
      <w:pPr>
        <w:spacing w:line="400" w:lineRule="exact"/>
        <w:ind w:firstLine="420" w:firstLineChars="200"/>
        <w:jc w:val="left"/>
        <w:rPr>
          <w:rFonts w:ascii="宋体"/>
          <w:color w:val="auto"/>
          <w:highlight w:val="none"/>
        </w:rPr>
      </w:pPr>
      <w:r>
        <w:rPr>
          <w:rFonts w:ascii="宋体" w:hAnsi="宋体"/>
          <w:color w:val="auto"/>
          <w:szCs w:val="21"/>
          <w:highlight w:val="none"/>
        </w:rPr>
        <w:t>7</w:t>
      </w:r>
      <w:r>
        <w:rPr>
          <w:rFonts w:hint="eastAsia" w:ascii="宋体" w:hAnsi="宋体"/>
          <w:color w:val="auto"/>
          <w:szCs w:val="21"/>
          <w:highlight w:val="none"/>
        </w:rPr>
        <w:t>、</w:t>
      </w:r>
      <w:r>
        <w:rPr>
          <w:rFonts w:hint="eastAsia" w:ascii="宋体"/>
          <w:color w:val="auto"/>
          <w:highlight w:val="none"/>
        </w:rPr>
        <w:t>保证在中标后忠实地执行与采购人所签署的合同，并承担合同规定的责任义务。</w:t>
      </w:r>
    </w:p>
    <w:p>
      <w:pPr>
        <w:spacing w:line="400" w:lineRule="exact"/>
        <w:ind w:firstLine="420" w:firstLineChars="200"/>
        <w:jc w:val="left"/>
        <w:rPr>
          <w:rFonts w:ascii="宋体"/>
          <w:color w:val="auto"/>
          <w:highlight w:val="none"/>
        </w:rPr>
      </w:pPr>
      <w:r>
        <w:rPr>
          <w:rFonts w:hint="eastAsia" w:ascii="宋体"/>
          <w:color w:val="auto"/>
          <w:highlight w:val="none"/>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color w:val="auto"/>
          <w:szCs w:val="21"/>
          <w:highlight w:val="none"/>
        </w:rPr>
      </w:pPr>
      <w:r>
        <w:rPr>
          <w:rFonts w:hint="eastAsia" w:ascii="宋体" w:hAnsi="宋体"/>
          <w:color w:val="auto"/>
          <w:highlight w:val="none"/>
        </w:rPr>
        <w:t>9、</w:t>
      </w:r>
      <w:r>
        <w:rPr>
          <w:rFonts w:hint="eastAsia"/>
          <w:color w:val="auto"/>
          <w:highlight w:val="none"/>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10、与本投标有关的一切正式来往通讯请寄：</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r>
        <w:rPr>
          <w:rFonts w:hint="eastAsia" w:ascii="宋体" w:hAnsi="宋体"/>
          <w:color w:val="auto"/>
          <w:szCs w:val="21"/>
          <w:highlight w:val="none"/>
        </w:rPr>
        <w:t>邮编：</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传真：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pacing w:line="400" w:lineRule="exact"/>
        <w:ind w:left="540" w:firstLine="30"/>
        <w:jc w:val="left"/>
        <w:rPr>
          <w:rFonts w:ascii="宋体" w:hAnsi="宋体"/>
          <w:color w:val="auto"/>
          <w:szCs w:val="21"/>
          <w:highlight w:val="none"/>
        </w:rPr>
      </w:pPr>
    </w:p>
    <w:p>
      <w:pPr>
        <w:spacing w:line="400" w:lineRule="exact"/>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jc w:val="left"/>
        <w:rPr>
          <w:rFonts w:ascii="宋体" w:hAnsi="宋体"/>
          <w:color w:val="auto"/>
          <w:szCs w:val="21"/>
          <w:highlight w:val="none"/>
        </w:rPr>
      </w:pPr>
      <w:r>
        <w:rPr>
          <w:rFonts w:hint="eastAsia" w:ascii="宋体" w:hAnsi="宋体"/>
          <w:color w:val="auto"/>
          <w:szCs w:val="21"/>
          <w:highlight w:val="none"/>
        </w:rPr>
        <w:t>法定代表人（签字或盖章）：</w:t>
      </w:r>
    </w:p>
    <w:p>
      <w:pPr>
        <w:spacing w:line="400" w:lineRule="atLeast"/>
        <w:jc w:val="left"/>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jc w:val="center"/>
        <w:rPr>
          <w:rFonts w:hint="eastAsia" w:ascii="宋体" w:hAnsi="宋体"/>
          <w:b/>
          <w:color w:val="auto"/>
          <w:szCs w:val="21"/>
          <w:highlight w:val="none"/>
        </w:rPr>
      </w:pPr>
      <w:r>
        <w:rPr>
          <w:rStyle w:val="168"/>
          <w:rFonts w:hint="eastAsia" w:ascii="宋体" w:hAnsi="宋体"/>
          <w:color w:val="auto"/>
          <w:sz w:val="21"/>
          <w:szCs w:val="21"/>
          <w:highlight w:val="none"/>
          <w:lang w:val="en-US"/>
        </w:rPr>
        <w:t>注：联合体投标的，由联合体牵头人提供</w:t>
      </w:r>
      <w:r>
        <w:rPr>
          <w:rStyle w:val="168"/>
          <w:rFonts w:ascii="宋体" w:hAnsi="宋体"/>
          <w:color w:val="auto"/>
          <w:sz w:val="21"/>
          <w:szCs w:val="21"/>
          <w:highlight w:val="none"/>
        </w:rPr>
        <w:br w:type="page"/>
      </w:r>
      <w:r>
        <w:rPr>
          <w:rStyle w:val="168"/>
          <w:rFonts w:hint="eastAsia" w:ascii="宋体" w:hAnsi="宋体"/>
          <w:color w:val="auto"/>
          <w:sz w:val="21"/>
          <w:szCs w:val="21"/>
          <w:highlight w:val="none"/>
        </w:rPr>
        <w:t>B</w:t>
      </w:r>
      <w:r>
        <w:rPr>
          <w:rFonts w:ascii="宋体" w:hAnsi="宋体"/>
          <w:b/>
          <w:color w:val="auto"/>
          <w:szCs w:val="21"/>
          <w:highlight w:val="none"/>
        </w:rPr>
        <w:t>2</w:t>
      </w:r>
      <w:r>
        <w:rPr>
          <w:rFonts w:hint="eastAsia" w:ascii="宋体" w:hAnsi="宋体"/>
          <w:b/>
          <w:color w:val="auto"/>
          <w:szCs w:val="21"/>
          <w:highlight w:val="none"/>
          <w:lang w:eastAsia="zh-CN"/>
        </w:rPr>
        <w:t>.</w:t>
      </w:r>
      <w:r>
        <w:rPr>
          <w:rFonts w:hint="eastAsia" w:ascii="宋体" w:hAnsi="宋体"/>
          <w:b/>
          <w:color w:val="auto"/>
          <w:szCs w:val="21"/>
          <w:highlight w:val="none"/>
        </w:rPr>
        <w:t>法定代表人身份证明</w:t>
      </w:r>
    </w:p>
    <w:p>
      <w:pPr>
        <w:spacing w:after="120" w:afterLines="50" w:line="400" w:lineRule="exact"/>
        <w:jc w:val="center"/>
        <w:rPr>
          <w:rFonts w:hint="eastAsia" w:ascii="宋体" w:hAnsi="宋体"/>
          <w:b/>
          <w:bCs/>
          <w:color w:val="auto"/>
          <w:szCs w:val="21"/>
          <w:highlight w:val="none"/>
        </w:rPr>
      </w:pPr>
      <w:r>
        <w:rPr>
          <w:rFonts w:hint="eastAsia" w:ascii="宋体" w:hAnsi="宋体"/>
          <w:b/>
          <w:color w:val="auto"/>
          <w:szCs w:val="21"/>
          <w:highlight w:val="none"/>
        </w:rPr>
        <w:t>（非联合体投标须提供）</w:t>
      </w:r>
    </w:p>
    <w:p>
      <w:pPr>
        <w:pStyle w:val="17"/>
        <w:rPr>
          <w:color w:val="auto"/>
          <w:highlight w:val="none"/>
        </w:rPr>
      </w:pP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供应商名称：</w:t>
      </w:r>
      <w:r>
        <w:rPr>
          <w:rFonts w:ascii="宋体" w:hAnsi="宋体"/>
          <w:color w:val="auto"/>
          <w:szCs w:val="21"/>
          <w:highlight w:val="none"/>
          <w:u w:val="single"/>
        </w:rPr>
        <w:t xml:space="preserve">                   </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单位性质：</w:t>
      </w:r>
      <w:r>
        <w:rPr>
          <w:rFonts w:ascii="宋体" w:hAnsi="宋体"/>
          <w:color w:val="auto"/>
          <w:szCs w:val="21"/>
          <w:highlight w:val="none"/>
          <w:u w:val="single"/>
        </w:rPr>
        <w:t xml:space="preserve">                   </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地址：</w:t>
      </w:r>
      <w:r>
        <w:rPr>
          <w:rFonts w:ascii="宋体" w:hAnsi="宋体"/>
          <w:color w:val="auto"/>
          <w:szCs w:val="21"/>
          <w:highlight w:val="none"/>
          <w:u w:val="single"/>
        </w:rPr>
        <w:t xml:space="preserve">                   </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成立时间：</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经营期限：</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rPr>
        <w:t>性别：</w:t>
      </w:r>
      <w:r>
        <w:rPr>
          <w:rFonts w:ascii="宋体" w:hAnsi="宋体"/>
          <w:color w:val="auto"/>
          <w:szCs w:val="21"/>
          <w:highlight w:val="none"/>
          <w:u w:val="single"/>
        </w:rPr>
        <w:t xml:space="preserve">           </w:t>
      </w:r>
      <w:r>
        <w:rPr>
          <w:rFonts w:hint="eastAsia" w:ascii="宋体" w:hAnsi="宋体"/>
          <w:color w:val="auto"/>
          <w:szCs w:val="21"/>
          <w:highlight w:val="none"/>
        </w:rPr>
        <w:t>年龄：</w:t>
      </w:r>
      <w:r>
        <w:rPr>
          <w:rFonts w:ascii="宋体" w:hAnsi="宋体"/>
          <w:color w:val="auto"/>
          <w:szCs w:val="21"/>
          <w:highlight w:val="none"/>
          <w:u w:val="single"/>
        </w:rPr>
        <w:t xml:space="preserve">            </w:t>
      </w:r>
      <w:r>
        <w:rPr>
          <w:rFonts w:hint="eastAsia" w:ascii="宋体" w:hAnsi="宋体"/>
          <w:color w:val="auto"/>
          <w:szCs w:val="21"/>
          <w:highlight w:val="none"/>
        </w:rPr>
        <w:t>职务：</w:t>
      </w:r>
      <w:r>
        <w:rPr>
          <w:rFonts w:ascii="宋体" w:hAnsi="宋体"/>
          <w:color w:val="auto"/>
          <w:szCs w:val="21"/>
          <w:highlight w:val="none"/>
          <w:u w:val="single"/>
        </w:rPr>
        <w:t xml:space="preserve">          </w:t>
      </w:r>
    </w:p>
    <w:p>
      <w:pPr>
        <w:spacing w:after="120" w:afterLines="50" w:line="400" w:lineRule="exact"/>
        <w:rPr>
          <w:rFonts w:ascii="宋体" w:hAnsi="宋体"/>
          <w:color w:val="auto"/>
          <w:szCs w:val="21"/>
          <w:highlight w:val="none"/>
          <w:u w:val="single"/>
        </w:rPr>
      </w:pPr>
      <w:r>
        <w:rPr>
          <w:rFonts w:hint="eastAsia" w:ascii="宋体" w:hAnsi="宋体"/>
          <w:color w:val="auto"/>
          <w:szCs w:val="21"/>
          <w:highlight w:val="none"/>
        </w:rPr>
        <w:t>身份证号码：</w:t>
      </w:r>
      <w:r>
        <w:rPr>
          <w:rFonts w:ascii="宋体" w:hAnsi="宋体"/>
          <w:color w:val="auto"/>
          <w:szCs w:val="21"/>
          <w:highlight w:val="none"/>
          <w:u w:val="single"/>
        </w:rPr>
        <w:t xml:space="preserve">                   </w:t>
      </w:r>
    </w:p>
    <w:p>
      <w:pPr>
        <w:spacing w:line="400" w:lineRule="exact"/>
        <w:ind w:firstLine="560"/>
        <w:rPr>
          <w:rFonts w:ascii="宋体" w:hAnsi="宋体"/>
          <w:color w:val="auto"/>
          <w:szCs w:val="21"/>
          <w:highlight w:val="none"/>
        </w:rPr>
      </w:pPr>
    </w:p>
    <w:p>
      <w:pPr>
        <w:spacing w:line="400" w:lineRule="exact"/>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系</w:t>
      </w:r>
      <w:r>
        <w:rPr>
          <w:rFonts w:hint="eastAsia" w:ascii="宋体" w:hAnsi="宋体"/>
          <w:color w:val="auto"/>
          <w:szCs w:val="21"/>
          <w:highlight w:val="none"/>
          <w:u w:val="single"/>
        </w:rPr>
        <w:t>（供应商名称）</w:t>
      </w:r>
      <w:r>
        <w:rPr>
          <w:rFonts w:hint="eastAsia" w:ascii="宋体" w:hAnsi="宋体"/>
          <w:color w:val="auto"/>
          <w:szCs w:val="21"/>
          <w:highlight w:val="none"/>
        </w:rPr>
        <w:t>的法定代表人。</w:t>
      </w:r>
    </w:p>
    <w:p>
      <w:pPr>
        <w:spacing w:line="400" w:lineRule="exact"/>
        <w:ind w:firstLine="560"/>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特此证明。</w:t>
      </w:r>
    </w:p>
    <w:p>
      <w:pPr>
        <w:spacing w:line="400" w:lineRule="exac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400" w:lineRule="atLeast"/>
        <w:rPr>
          <w:rFonts w:ascii="宋体" w:hAnsi="宋体"/>
          <w:color w:val="auto"/>
          <w:szCs w:val="21"/>
          <w:highlight w:val="none"/>
          <w:u w:val="single"/>
        </w:rPr>
      </w:pPr>
    </w:p>
    <w:p>
      <w:pPr>
        <w:spacing w:line="400" w:lineRule="atLeast"/>
        <w:rPr>
          <w:rFonts w:ascii="宋体" w:hAnsi="宋体"/>
          <w:color w:val="auto"/>
          <w:szCs w:val="21"/>
          <w:highlight w:val="none"/>
          <w:u w:val="singl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后附：法定代表人身份证扫描件（不同页的须加盖供应商公章）。</w:t>
      </w:r>
    </w:p>
    <w:p>
      <w:pPr>
        <w:spacing w:line="400" w:lineRule="atLeast"/>
        <w:rPr>
          <w:rFonts w:ascii="宋体" w:hAnsi="宋体"/>
          <w:color w:val="auto"/>
          <w:szCs w:val="21"/>
          <w:highlight w:val="none"/>
          <w:u w:val="single"/>
        </w:rPr>
      </w:pPr>
    </w:p>
    <w:p>
      <w:pPr>
        <w:spacing w:line="400" w:lineRule="exact"/>
        <w:jc w:val="center"/>
        <w:rPr>
          <w:rFonts w:ascii="宋体" w:hAnsi="宋体"/>
          <w:b/>
          <w:color w:val="auto"/>
          <w:szCs w:val="21"/>
          <w:highlight w:val="none"/>
        </w:rPr>
      </w:pPr>
      <w:r>
        <w:rPr>
          <w:rStyle w:val="168"/>
          <w:rFonts w:ascii="宋体" w:hAnsi="宋体"/>
          <w:color w:val="auto"/>
          <w:sz w:val="21"/>
          <w:szCs w:val="21"/>
          <w:highlight w:val="none"/>
        </w:rPr>
        <w:br w:type="page"/>
      </w:r>
      <w:r>
        <w:rPr>
          <w:rFonts w:hint="eastAsia" w:ascii="宋体" w:hAnsi="宋体"/>
          <w:b/>
          <w:color w:val="auto"/>
          <w:szCs w:val="21"/>
          <w:highlight w:val="none"/>
        </w:rPr>
        <w:t>B</w:t>
      </w:r>
      <w:r>
        <w:rPr>
          <w:rFonts w:ascii="宋体" w:hAnsi="宋体"/>
          <w:b/>
          <w:color w:val="auto"/>
          <w:szCs w:val="21"/>
          <w:highlight w:val="none"/>
        </w:rPr>
        <w:t>3</w:t>
      </w:r>
      <w:r>
        <w:rPr>
          <w:rFonts w:hint="eastAsia" w:ascii="宋体" w:hAnsi="宋体"/>
          <w:b/>
          <w:color w:val="auto"/>
          <w:szCs w:val="21"/>
          <w:highlight w:val="none"/>
          <w:lang w:eastAsia="zh-CN"/>
        </w:rPr>
        <w:t>.</w:t>
      </w:r>
      <w:r>
        <w:rPr>
          <w:rFonts w:hint="eastAsia" w:ascii="宋体" w:hAnsi="宋体"/>
          <w:b/>
          <w:color w:val="auto"/>
          <w:szCs w:val="21"/>
          <w:highlight w:val="none"/>
        </w:rPr>
        <w:t>法定代表人授权书</w:t>
      </w:r>
    </w:p>
    <w:p>
      <w:pPr>
        <w:spacing w:line="440" w:lineRule="exact"/>
        <w:ind w:left="540" w:leftChars="257" w:firstLine="1282" w:firstLineChars="608"/>
        <w:rPr>
          <w:rFonts w:hint="eastAsia" w:ascii="宋体" w:hAnsi="宋体"/>
          <w:b/>
          <w:color w:val="auto"/>
          <w:szCs w:val="21"/>
          <w:highlight w:val="none"/>
        </w:rPr>
      </w:pPr>
      <w:r>
        <w:rPr>
          <w:rFonts w:hint="eastAsia" w:ascii="宋体" w:hAnsi="宋体"/>
          <w:b/>
          <w:color w:val="auto"/>
          <w:szCs w:val="21"/>
          <w:highlight w:val="none"/>
        </w:rPr>
        <w:t>（投标文件由授权代表签字或盖章时提供）（非联合体投标须提供）</w:t>
      </w:r>
    </w:p>
    <w:p>
      <w:pPr>
        <w:spacing w:line="360" w:lineRule="auto"/>
        <w:rPr>
          <w:rFonts w:ascii="宋体" w:hAnsi="宋体"/>
          <w:color w:val="auto"/>
          <w:szCs w:val="21"/>
          <w:highlight w:val="none"/>
        </w:rPr>
      </w:pPr>
      <w:r>
        <w:rPr>
          <w:rFonts w:hint="eastAsia" w:ascii="宋体" w:hAnsi="宋体"/>
          <w:color w:val="auto"/>
          <w:szCs w:val="21"/>
          <w:highlight w:val="none"/>
        </w:rPr>
        <w:t>致：采购人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rPr>
        <w:t>（供应商全称）</w:t>
      </w:r>
      <w:r>
        <w:rPr>
          <w:rFonts w:hint="eastAsia" w:ascii="宋体" w:hAnsi="宋体"/>
          <w:color w:val="auto"/>
          <w:szCs w:val="21"/>
          <w:highlight w:val="none"/>
        </w:rPr>
        <w:t>法定代表人</w:t>
      </w:r>
      <w:r>
        <w:rPr>
          <w:rFonts w:hint="eastAsia" w:ascii="宋体" w:hAnsi="宋体"/>
          <w:color w:val="auto"/>
          <w:szCs w:val="21"/>
          <w:highlight w:val="none"/>
          <w:u w:val="single"/>
        </w:rPr>
        <w:t>（法定代表人姓名）</w:t>
      </w:r>
      <w:r>
        <w:rPr>
          <w:rFonts w:hint="eastAsia" w:ascii="宋体" w:hAnsi="宋体"/>
          <w:color w:val="auto"/>
          <w:szCs w:val="21"/>
          <w:highlight w:val="none"/>
        </w:rPr>
        <w:t>授权</w:t>
      </w:r>
      <w:r>
        <w:rPr>
          <w:rFonts w:hint="eastAsia" w:ascii="宋体" w:hAnsi="宋体"/>
          <w:color w:val="auto"/>
          <w:szCs w:val="21"/>
          <w:highlight w:val="none"/>
          <w:u w:val="single"/>
        </w:rPr>
        <w:t>（授权代表姓名）</w:t>
      </w:r>
      <w:r>
        <w:rPr>
          <w:rFonts w:hint="eastAsia" w:ascii="宋体" w:hAnsi="宋体"/>
          <w:color w:val="auto"/>
          <w:szCs w:val="21"/>
          <w:highlight w:val="none"/>
        </w:rPr>
        <w:t>为授权代表，参加</w:t>
      </w:r>
      <w:r>
        <w:rPr>
          <w:rFonts w:hint="eastAsia" w:ascii="宋体" w:hAnsi="宋体"/>
          <w:color w:val="auto"/>
          <w:szCs w:val="21"/>
          <w:highlight w:val="none"/>
          <w:u w:val="single"/>
          <w:lang w:eastAsia="zh-CN"/>
        </w:rPr>
        <w:t>慈溪市匡堰城镇单元控制性详细规划项目</w:t>
      </w:r>
      <w:r>
        <w:rPr>
          <w:rFonts w:hint="eastAsia" w:ascii="宋体" w:hAnsi="宋体"/>
          <w:color w:val="auto"/>
          <w:szCs w:val="21"/>
          <w:highlight w:val="none"/>
        </w:rPr>
        <w:t>，项目编号为</w:t>
      </w:r>
      <w:r>
        <w:rPr>
          <w:rFonts w:hint="eastAsia" w:ascii="宋体" w:hAnsi="宋体"/>
          <w:color w:val="auto"/>
          <w:szCs w:val="21"/>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Cs w:val="21"/>
          <w:highlight w:val="none"/>
          <w:u w:val="single"/>
        </w:rPr>
        <w:t xml:space="preserve"> </w:t>
      </w:r>
      <w:r>
        <w:rPr>
          <w:rFonts w:hint="eastAsia" w:ascii="宋体" w:hAnsi="宋体"/>
          <w:color w:val="auto"/>
          <w:szCs w:val="21"/>
          <w:highlight w:val="none"/>
          <w:u w:val="single"/>
        </w:rPr>
        <w:fldChar w:fldCharType="end"/>
      </w:r>
      <w:r>
        <w:rPr>
          <w:rFonts w:hint="eastAsia" w:ascii="宋体" w:hAnsi="宋体"/>
          <w:color w:val="auto"/>
          <w:szCs w:val="21"/>
          <w:highlight w:val="none"/>
        </w:rPr>
        <w:t>，其在招投标活动中的一切活动本公司均予承认。</w:t>
      </w:r>
    </w:p>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jc w:val="left"/>
        <w:rPr>
          <w:rFonts w:ascii="宋体" w:hAnsi="宋体"/>
          <w:color w:val="auto"/>
          <w:szCs w:val="21"/>
          <w:highlight w:val="none"/>
        </w:rPr>
      </w:pPr>
      <w:r>
        <w:rPr>
          <w:rFonts w:hint="eastAsia" w:ascii="宋体" w:hAnsi="宋体"/>
          <w:color w:val="auto"/>
          <w:szCs w:val="21"/>
          <w:highlight w:val="none"/>
        </w:rPr>
        <w:t>法定代表人（签字或盖章）：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附：</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授权代表姓名：</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授权代表身份证号码：</w:t>
      </w:r>
      <w:r>
        <w:rPr>
          <w:rFonts w:ascii="宋体" w:hAnsi="宋体"/>
          <w:color w:val="auto"/>
          <w:szCs w:val="21"/>
          <w:highlight w:val="none"/>
          <w:u w:val="single"/>
        </w:rPr>
        <w:t xml:space="preserve">                   </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职务：</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详细通讯地址：</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555"/>
        <w:rPr>
          <w:rFonts w:ascii="宋体" w:hAnsi="宋体"/>
          <w:color w:val="auto"/>
          <w:szCs w:val="21"/>
          <w:highlight w:val="none"/>
        </w:rPr>
      </w:pPr>
      <w:r>
        <w:rPr>
          <w:rFonts w:hint="eastAsia" w:ascii="宋体" w:hAnsi="宋体"/>
          <w:color w:val="auto"/>
          <w:szCs w:val="21"/>
          <w:highlight w:val="none"/>
        </w:rPr>
        <w:t>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555"/>
        <w:rPr>
          <w:rFonts w:ascii="宋体" w:hAnsi="宋体"/>
          <w:color w:val="auto"/>
          <w:szCs w:val="21"/>
          <w:highlight w:val="none"/>
          <w:u w:val="single"/>
        </w:rPr>
      </w:pPr>
      <w:r>
        <w:rPr>
          <w:rFonts w:hint="eastAsia" w:ascii="宋体" w:hAnsi="宋体"/>
          <w:color w:val="auto"/>
          <w:szCs w:val="21"/>
          <w:highlight w:val="none"/>
        </w:rPr>
        <w:t>传真：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u w:val="single"/>
        </w:rPr>
      </w:pP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后附：</w:t>
      </w:r>
    </w:p>
    <w:p>
      <w:pPr>
        <w:spacing w:line="360" w:lineRule="auto"/>
        <w:ind w:firstLine="525" w:firstLineChars="25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、授权代表身份证扫描件（不同页的须加盖供应商公章）；</w:t>
      </w:r>
    </w:p>
    <w:p>
      <w:pPr>
        <w:spacing w:line="360" w:lineRule="auto"/>
        <w:ind w:firstLine="517" w:firstLineChars="250"/>
        <w:jc w:val="center"/>
        <w:rPr>
          <w:rFonts w:ascii="宋体" w:hAnsi="宋体"/>
          <w:b/>
          <w:color w:val="auto"/>
          <w:szCs w:val="21"/>
          <w:highlight w:val="none"/>
        </w:rPr>
      </w:pPr>
      <w:r>
        <w:rPr>
          <w:rStyle w:val="168"/>
          <w:rFonts w:ascii="宋体" w:hAnsi="宋体"/>
          <w:color w:val="auto"/>
          <w:sz w:val="21"/>
          <w:szCs w:val="21"/>
          <w:highlight w:val="none"/>
        </w:rPr>
        <w:br w:type="page"/>
      </w:r>
      <w:r>
        <w:rPr>
          <w:rFonts w:ascii="宋体" w:hAnsi="宋体"/>
          <w:b/>
          <w:color w:val="auto"/>
          <w:szCs w:val="21"/>
          <w:highlight w:val="none"/>
        </w:rPr>
        <w:t xml:space="preserve"> </w:t>
      </w:r>
    </w:p>
    <w:p>
      <w:pPr>
        <w:spacing w:line="440" w:lineRule="exact"/>
        <w:jc w:val="center"/>
        <w:rPr>
          <w:rFonts w:ascii="宋体" w:hAnsi="宋体"/>
          <w:b/>
          <w:color w:val="auto"/>
          <w:szCs w:val="21"/>
          <w:highlight w:val="none"/>
        </w:rPr>
      </w:pPr>
      <w:r>
        <w:rPr>
          <w:rFonts w:hint="eastAsia" w:ascii="宋体" w:hAnsi="宋体"/>
          <w:b/>
          <w:color w:val="auto"/>
          <w:szCs w:val="21"/>
          <w:highlight w:val="none"/>
        </w:rPr>
        <w:t>B</w:t>
      </w:r>
      <w:r>
        <w:rPr>
          <w:rFonts w:ascii="宋体" w:hAnsi="宋体"/>
          <w:b/>
          <w:color w:val="auto"/>
          <w:szCs w:val="21"/>
          <w:highlight w:val="none"/>
        </w:rPr>
        <w:t>4</w:t>
      </w:r>
      <w:r>
        <w:rPr>
          <w:rFonts w:hint="eastAsia" w:ascii="宋体" w:hAnsi="宋体"/>
          <w:b/>
          <w:color w:val="auto"/>
          <w:szCs w:val="21"/>
          <w:highlight w:val="none"/>
          <w:lang w:eastAsia="zh-CN"/>
        </w:rPr>
        <w:t>.</w:t>
      </w:r>
      <w:r>
        <w:rPr>
          <w:rFonts w:hint="eastAsia" w:ascii="宋体" w:hAnsi="宋体"/>
          <w:b/>
          <w:color w:val="auto"/>
          <w:szCs w:val="21"/>
          <w:highlight w:val="none"/>
        </w:rPr>
        <w:t>供应商一般情况</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1</w:t>
            </w:r>
          </w:p>
        </w:tc>
        <w:tc>
          <w:tcPr>
            <w:tcW w:w="8147" w:type="dxa"/>
            <w:gridSpan w:val="3"/>
            <w:vAlign w:val="center"/>
          </w:tcPr>
          <w:p>
            <w:pPr>
              <w:spacing w:line="400" w:lineRule="exact"/>
              <w:rPr>
                <w:rFonts w:ascii="宋体" w:hAnsi="宋体"/>
                <w:color w:val="auto"/>
                <w:szCs w:val="21"/>
                <w:highlight w:val="none"/>
              </w:rPr>
            </w:pPr>
            <w:r>
              <w:rPr>
                <w:rFonts w:hint="eastAsia" w:ascii="宋体" w:hAnsi="宋体"/>
                <w:color w:val="auto"/>
                <w:szCs w:val="21"/>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2</w:t>
            </w:r>
          </w:p>
        </w:tc>
        <w:tc>
          <w:tcPr>
            <w:tcW w:w="8147" w:type="dxa"/>
            <w:gridSpan w:val="3"/>
            <w:vAlign w:val="center"/>
          </w:tcPr>
          <w:p>
            <w:pPr>
              <w:spacing w:line="400" w:lineRule="exact"/>
              <w:rPr>
                <w:rFonts w:ascii="宋体" w:hAnsi="宋体"/>
                <w:color w:val="auto"/>
                <w:szCs w:val="21"/>
                <w:highlight w:val="none"/>
              </w:rPr>
            </w:pPr>
            <w:r>
              <w:rPr>
                <w:rFonts w:hint="eastAsia" w:ascii="宋体" w:hAnsi="宋体"/>
                <w:color w:val="auto"/>
                <w:szCs w:val="21"/>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3</w:t>
            </w:r>
          </w:p>
        </w:tc>
        <w:tc>
          <w:tcPr>
            <w:tcW w:w="8147" w:type="dxa"/>
            <w:gridSpan w:val="3"/>
            <w:vAlign w:val="center"/>
          </w:tcPr>
          <w:p>
            <w:pPr>
              <w:spacing w:line="400" w:lineRule="exact"/>
              <w:rPr>
                <w:rFonts w:ascii="宋体" w:hAnsi="宋体"/>
                <w:color w:val="auto"/>
                <w:szCs w:val="21"/>
                <w:highlight w:val="none"/>
              </w:rPr>
            </w:pPr>
            <w:r>
              <w:rPr>
                <w:rFonts w:hint="eastAsia" w:ascii="宋体" w:hAnsi="宋体"/>
                <w:color w:val="auto"/>
                <w:szCs w:val="21"/>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4</w:t>
            </w:r>
          </w:p>
        </w:tc>
        <w:tc>
          <w:tcPr>
            <w:tcW w:w="4305"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p>
        </w:tc>
        <w:tc>
          <w:tcPr>
            <w:tcW w:w="3842"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5</w:t>
            </w:r>
          </w:p>
        </w:tc>
        <w:tc>
          <w:tcPr>
            <w:tcW w:w="4305"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传</w:t>
            </w:r>
            <w:r>
              <w:rPr>
                <w:rFonts w:ascii="宋体" w:hAnsi="宋体"/>
                <w:color w:val="auto"/>
                <w:szCs w:val="21"/>
                <w:highlight w:val="none"/>
              </w:rPr>
              <w:t xml:space="preserve">  </w:t>
            </w:r>
            <w:r>
              <w:rPr>
                <w:rFonts w:hint="eastAsia" w:ascii="宋体" w:hAnsi="宋体"/>
                <w:color w:val="auto"/>
                <w:szCs w:val="21"/>
                <w:highlight w:val="none"/>
              </w:rPr>
              <w:t>真：</w:t>
            </w:r>
          </w:p>
        </w:tc>
        <w:tc>
          <w:tcPr>
            <w:tcW w:w="3842"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6</w:t>
            </w:r>
          </w:p>
        </w:tc>
        <w:tc>
          <w:tcPr>
            <w:tcW w:w="4305"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注册地：</w:t>
            </w:r>
          </w:p>
        </w:tc>
        <w:tc>
          <w:tcPr>
            <w:tcW w:w="3842"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7</w:t>
            </w:r>
          </w:p>
        </w:tc>
        <w:tc>
          <w:tcPr>
            <w:tcW w:w="8147" w:type="dxa"/>
            <w:gridSpan w:val="3"/>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8</w:t>
            </w:r>
          </w:p>
        </w:tc>
        <w:tc>
          <w:tcPr>
            <w:tcW w:w="8147" w:type="dxa"/>
            <w:gridSpan w:val="3"/>
            <w:vAlign w:val="center"/>
          </w:tcPr>
          <w:p>
            <w:pPr>
              <w:spacing w:line="400" w:lineRule="exact"/>
              <w:rPr>
                <w:rFonts w:ascii="宋体" w:hAnsi="宋体"/>
                <w:color w:val="auto"/>
                <w:szCs w:val="21"/>
                <w:highlight w:val="none"/>
              </w:rPr>
            </w:pPr>
            <w:r>
              <w:rPr>
                <w:rFonts w:hint="eastAsia" w:ascii="宋体" w:hAnsi="宋体"/>
                <w:color w:val="auto"/>
                <w:szCs w:val="21"/>
                <w:highlight w:val="none"/>
              </w:rPr>
              <w:t>公司（是否通过，何种）质量保证体系认证（如通过请附相关证书扫描件，提供认证机构年审监督报告）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9</w:t>
            </w:r>
          </w:p>
        </w:tc>
        <w:tc>
          <w:tcPr>
            <w:tcW w:w="4314"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从业人员数量</w:t>
            </w:r>
          </w:p>
        </w:tc>
        <w:tc>
          <w:tcPr>
            <w:tcW w:w="3833" w:type="dxa"/>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10</w:t>
            </w:r>
          </w:p>
        </w:tc>
        <w:tc>
          <w:tcPr>
            <w:tcW w:w="4314"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营业收入</w:t>
            </w:r>
          </w:p>
        </w:tc>
        <w:tc>
          <w:tcPr>
            <w:tcW w:w="3833" w:type="dxa"/>
            <w:vAlign w:val="center"/>
          </w:tcPr>
          <w:p>
            <w:pPr>
              <w:spacing w:line="40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vAlign w:val="center"/>
          </w:tcPr>
          <w:p>
            <w:pPr>
              <w:spacing w:line="400" w:lineRule="exact"/>
              <w:jc w:val="center"/>
              <w:rPr>
                <w:rFonts w:ascii="宋体" w:hAnsi="宋体"/>
                <w:color w:val="auto"/>
                <w:szCs w:val="21"/>
                <w:highlight w:val="none"/>
              </w:rPr>
            </w:pPr>
            <w:r>
              <w:rPr>
                <w:rFonts w:ascii="宋体" w:hAnsi="宋体"/>
                <w:color w:val="auto"/>
                <w:szCs w:val="21"/>
                <w:highlight w:val="none"/>
              </w:rPr>
              <w:t>11</w:t>
            </w:r>
          </w:p>
        </w:tc>
        <w:tc>
          <w:tcPr>
            <w:tcW w:w="4314" w:type="dxa"/>
            <w:gridSpan w:val="2"/>
            <w:vAlign w:val="center"/>
          </w:tcPr>
          <w:p>
            <w:pPr>
              <w:spacing w:line="400" w:lineRule="exact"/>
              <w:rPr>
                <w:rFonts w:ascii="宋体" w:hAnsi="宋体"/>
                <w:color w:val="auto"/>
                <w:szCs w:val="21"/>
                <w:highlight w:val="none"/>
              </w:rPr>
            </w:pPr>
            <w:r>
              <w:rPr>
                <w:rFonts w:hint="eastAsia" w:ascii="宋体" w:hAnsi="宋体"/>
                <w:color w:val="auto"/>
                <w:szCs w:val="21"/>
                <w:highlight w:val="none"/>
              </w:rPr>
              <w:t>其他需要说明的情况</w:t>
            </w:r>
          </w:p>
        </w:tc>
        <w:tc>
          <w:tcPr>
            <w:tcW w:w="3833" w:type="dxa"/>
            <w:vAlign w:val="center"/>
          </w:tcPr>
          <w:p>
            <w:pPr>
              <w:spacing w:line="400" w:lineRule="exact"/>
              <w:rPr>
                <w:rFonts w:ascii="宋体" w:hAnsi="宋体"/>
                <w:color w:val="auto"/>
                <w:szCs w:val="21"/>
                <w:highlight w:val="none"/>
              </w:rPr>
            </w:pPr>
          </w:p>
        </w:tc>
      </w:tr>
    </w:tbl>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rPr>
          <w:rStyle w:val="168"/>
          <w:rFonts w:ascii="宋体" w:hAnsi="宋体"/>
          <w:color w:val="auto"/>
          <w:sz w:val="21"/>
          <w:szCs w:val="21"/>
          <w:highlight w:val="none"/>
        </w:rPr>
      </w:pPr>
      <w:r>
        <w:rPr>
          <w:rFonts w:ascii="宋体" w:hAnsi="宋体"/>
          <w:color w:val="auto"/>
          <w:szCs w:val="21"/>
          <w:highlight w:val="none"/>
        </w:rPr>
        <w:br w:type="page"/>
      </w:r>
    </w:p>
    <w:p>
      <w:pPr>
        <w:spacing w:line="400" w:lineRule="exact"/>
        <w:jc w:val="center"/>
        <w:rPr>
          <w:rFonts w:ascii="宋体" w:hAnsi="宋体"/>
          <w:b/>
          <w:color w:val="auto"/>
          <w:szCs w:val="21"/>
          <w:highlight w:val="none"/>
        </w:rPr>
      </w:pPr>
      <w:r>
        <w:rPr>
          <w:rFonts w:ascii="宋体" w:hAnsi="宋体"/>
          <w:b/>
          <w:color w:val="auto"/>
          <w:szCs w:val="21"/>
          <w:highlight w:val="none"/>
        </w:rPr>
        <w:t>B5</w:t>
      </w:r>
      <w:r>
        <w:rPr>
          <w:rFonts w:hint="eastAsia" w:ascii="宋体" w:hAnsi="宋体"/>
          <w:b/>
          <w:color w:val="auto"/>
          <w:szCs w:val="21"/>
          <w:highlight w:val="none"/>
          <w:lang w:eastAsia="zh-CN"/>
        </w:rPr>
        <w:t>.</w:t>
      </w:r>
      <w:r>
        <w:rPr>
          <w:rFonts w:hint="eastAsia" w:ascii="宋体" w:hAnsi="宋体"/>
          <w:b/>
          <w:color w:val="auto"/>
          <w:szCs w:val="21"/>
          <w:highlight w:val="none"/>
        </w:rPr>
        <w:t>商务条款响应表</w:t>
      </w:r>
    </w:p>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慈溪市匡堰城镇单元控制性详细规划项目</w:t>
      </w:r>
    </w:p>
    <w:p>
      <w:pPr>
        <w:adjustRightInd w:val="0"/>
        <w:snapToGrid w:val="0"/>
        <w:spacing w:line="360" w:lineRule="auto"/>
        <w:rPr>
          <w:rFonts w:ascii="宋体" w:hAnsi="宋体"/>
          <w:color w:val="auto"/>
          <w:szCs w:val="21"/>
          <w:highlight w:val="none"/>
          <w:u w:val="singl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Cs w:val="21"/>
          <w:highlight w:val="none"/>
          <w:u w:val="single"/>
        </w:rPr>
        <w:t xml:space="preserve"> </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 xml:space="preserve">      </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369"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369"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369"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369"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369"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369" w:type="dxa"/>
            <w:vAlign w:val="center"/>
          </w:tcPr>
          <w:p>
            <w:pPr>
              <w:adjustRightInd w:val="0"/>
              <w:snapToGrid w:val="0"/>
              <w:spacing w:line="400" w:lineRule="exact"/>
              <w:jc w:val="center"/>
              <w:rPr>
                <w:rFonts w:ascii="宋体" w:hAnsi="宋体"/>
                <w:color w:val="auto"/>
                <w:szCs w:val="21"/>
                <w:highlight w:val="none"/>
              </w:rPr>
            </w:pPr>
          </w:p>
        </w:tc>
      </w:tr>
    </w:tbl>
    <w:p>
      <w:pPr>
        <w:adjustRightInd w:val="0"/>
        <w:snapToGrid w:val="0"/>
        <w:spacing w:line="360" w:lineRule="auto"/>
        <w:ind w:left="210" w:hanging="210" w:hangingChars="100"/>
        <w:rPr>
          <w:rFonts w:ascii="宋体" w:hAnsi="宋体"/>
          <w:color w:val="auto"/>
          <w:szCs w:val="21"/>
          <w:highlight w:val="none"/>
        </w:rPr>
      </w:pPr>
      <w:r>
        <w:rPr>
          <w:rFonts w:hint="eastAsia" w:ascii="宋体" w:hAnsi="宋体"/>
          <w:color w:val="auto"/>
          <w:szCs w:val="21"/>
          <w:highlight w:val="none"/>
        </w:rPr>
        <w:t>注：1、须与</w:t>
      </w:r>
      <w:r>
        <w:rPr>
          <w:rFonts w:hint="eastAsia" w:ascii="宋体" w:hAnsi="宋体"/>
          <w:color w:val="auto"/>
          <w:szCs w:val="21"/>
          <w:highlight w:val="none"/>
          <w:lang w:val="en-US" w:eastAsia="zh-CN"/>
        </w:rPr>
        <w:t>第二章</w:t>
      </w:r>
      <w:r>
        <w:rPr>
          <w:rFonts w:hint="eastAsia" w:ascii="宋体" w:hAnsi="宋体"/>
          <w:color w:val="auto"/>
          <w:szCs w:val="21"/>
          <w:highlight w:val="none"/>
        </w:rPr>
        <w:t>商务条款</w:t>
      </w:r>
      <w:r>
        <w:rPr>
          <w:rFonts w:hint="eastAsia" w:ascii="宋体" w:hAnsi="宋体"/>
          <w:color w:val="auto"/>
          <w:szCs w:val="21"/>
          <w:highlight w:val="none"/>
          <w:lang w:val="en-US" w:eastAsia="zh-CN"/>
        </w:rPr>
        <w:t>部分</w:t>
      </w:r>
      <w:r>
        <w:rPr>
          <w:rFonts w:hint="eastAsia" w:ascii="宋体" w:hAnsi="宋体"/>
          <w:color w:val="auto"/>
          <w:szCs w:val="21"/>
          <w:highlight w:val="none"/>
        </w:rPr>
        <w:t>逐项比较填写。</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2、若全部响应的，在上表填入“全部响应”。</w:t>
      </w:r>
    </w:p>
    <w:p>
      <w:pPr>
        <w:adjustRightInd w:val="0"/>
        <w:snapToGrid w:val="0"/>
        <w:spacing w:line="360" w:lineRule="auto"/>
        <w:rPr>
          <w:rFonts w:ascii="宋体" w:hAnsi="宋体"/>
          <w:color w:val="auto"/>
          <w:szCs w:val="21"/>
          <w:highlight w:val="none"/>
        </w:rPr>
      </w:pPr>
    </w:p>
    <w:p>
      <w:pPr>
        <w:spacing w:line="400" w:lineRule="atLeast"/>
        <w:jc w:val="left"/>
        <w:rPr>
          <w:rFonts w:ascii="宋体" w:hAnsi="宋体"/>
          <w:color w:val="auto"/>
          <w:szCs w:val="21"/>
          <w:highlight w:val="none"/>
        </w:rPr>
      </w:pPr>
      <w:bookmarkStart w:id="53" w:name="_Toc436408720"/>
      <w:bookmarkStart w:id="54" w:name="_Toc441316563"/>
      <w:r>
        <w:rPr>
          <w:rFonts w:hint="eastAsia" w:ascii="宋体" w:hAnsi="宋体"/>
          <w:color w:val="auto"/>
          <w:szCs w:val="21"/>
          <w:highlight w:val="none"/>
        </w:rPr>
        <w:t>供应商（盖章）：</w:t>
      </w:r>
    </w:p>
    <w:p>
      <w:pPr>
        <w:spacing w:line="400" w:lineRule="atLeast"/>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jc w:val="center"/>
        <w:rPr>
          <w:rFonts w:ascii="宋体" w:hAnsi="宋体"/>
          <w:b/>
          <w:color w:val="auto"/>
          <w:szCs w:val="21"/>
          <w:highlight w:val="none"/>
        </w:rPr>
      </w:pPr>
      <w:r>
        <w:rPr>
          <w:rFonts w:ascii="宋体" w:hAnsi="宋体"/>
          <w:color w:val="auto"/>
          <w:szCs w:val="21"/>
          <w:highlight w:val="none"/>
        </w:rPr>
        <w:br w:type="page"/>
      </w:r>
      <w:bookmarkEnd w:id="53"/>
      <w:bookmarkStart w:id="55" w:name="_Toc441316564"/>
      <w:r>
        <w:rPr>
          <w:rFonts w:ascii="宋体" w:hAnsi="宋体"/>
          <w:b/>
          <w:color w:val="auto"/>
          <w:szCs w:val="21"/>
          <w:highlight w:val="none"/>
        </w:rPr>
        <w:t xml:space="preserve"> </w:t>
      </w:r>
    </w:p>
    <w:p>
      <w:pPr>
        <w:spacing w:line="360" w:lineRule="auto"/>
        <w:jc w:val="center"/>
        <w:rPr>
          <w:rFonts w:ascii="宋体" w:hAnsi="宋体"/>
          <w:b/>
          <w:color w:val="auto"/>
          <w:szCs w:val="21"/>
          <w:highlight w:val="none"/>
        </w:rPr>
      </w:pPr>
      <w:r>
        <w:rPr>
          <w:rFonts w:ascii="宋体" w:hAnsi="宋体"/>
          <w:b/>
          <w:color w:val="auto"/>
          <w:szCs w:val="21"/>
          <w:highlight w:val="none"/>
        </w:rPr>
        <w:t>B</w:t>
      </w:r>
      <w:r>
        <w:rPr>
          <w:rFonts w:hint="eastAsia" w:ascii="宋体" w:hAnsi="宋体"/>
          <w:b/>
          <w:color w:val="auto"/>
          <w:szCs w:val="21"/>
          <w:highlight w:val="none"/>
        </w:rPr>
        <w:t>6</w:t>
      </w:r>
      <w:r>
        <w:rPr>
          <w:rFonts w:hint="eastAsia" w:ascii="宋体" w:hAnsi="宋体"/>
          <w:b/>
          <w:color w:val="auto"/>
          <w:szCs w:val="21"/>
          <w:highlight w:val="none"/>
          <w:lang w:eastAsia="zh-CN"/>
        </w:rPr>
        <w:t>.</w:t>
      </w:r>
      <w:r>
        <w:rPr>
          <w:rFonts w:hint="eastAsia" w:ascii="宋体" w:hAnsi="宋体"/>
          <w:b/>
          <w:bCs/>
          <w:color w:val="auto"/>
          <w:szCs w:val="21"/>
          <w:highlight w:val="none"/>
        </w:rPr>
        <w:t>合同条款响应表</w:t>
      </w:r>
    </w:p>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慈溪市匡堰城镇单元控制性详细规划项目</w:t>
      </w:r>
    </w:p>
    <w:p>
      <w:pPr>
        <w:adjustRightInd w:val="0"/>
        <w:snapToGrid w:val="0"/>
        <w:spacing w:line="360" w:lineRule="auto"/>
        <w:rPr>
          <w:rFonts w:ascii="宋体" w:hAnsi="宋体"/>
          <w:b/>
          <w:bCs/>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Cs w:val="21"/>
          <w:highlight w:val="none"/>
          <w:u w:val="single"/>
        </w:rPr>
        <w:t xml:space="preserve"> </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 xml:space="preserve">     </w:t>
      </w:r>
    </w:p>
    <w:tbl>
      <w:tblPr>
        <w:tblStyle w:val="4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533"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bl>
    <w:p>
      <w:pPr>
        <w:adjustRightInd w:val="0"/>
        <w:snapToGrid w:val="0"/>
        <w:spacing w:line="440" w:lineRule="exact"/>
        <w:ind w:left="210" w:hanging="210" w:hangingChars="100"/>
        <w:rPr>
          <w:rFonts w:ascii="宋体" w:hAnsi="宋体"/>
          <w:color w:val="auto"/>
          <w:szCs w:val="21"/>
          <w:highlight w:val="none"/>
        </w:rPr>
      </w:pPr>
      <w:r>
        <w:rPr>
          <w:rFonts w:hint="eastAsia" w:ascii="宋体" w:hAnsi="宋体"/>
          <w:color w:val="auto"/>
          <w:szCs w:val="21"/>
          <w:highlight w:val="none"/>
        </w:rPr>
        <w:t>注：1、须与“第</w:t>
      </w:r>
      <w:r>
        <w:rPr>
          <w:rFonts w:hint="eastAsia" w:ascii="宋体" w:hAnsi="宋体"/>
          <w:color w:val="auto"/>
          <w:szCs w:val="21"/>
          <w:highlight w:val="none"/>
          <w:lang w:val="en-US" w:eastAsia="zh-CN"/>
        </w:rPr>
        <w:t>五</w:t>
      </w:r>
      <w:r>
        <w:rPr>
          <w:rFonts w:hint="eastAsia" w:ascii="宋体" w:hAnsi="宋体"/>
          <w:color w:val="auto"/>
          <w:szCs w:val="21"/>
          <w:highlight w:val="none"/>
        </w:rPr>
        <w:t>章</w:t>
      </w:r>
      <w:r>
        <w:rPr>
          <w:rFonts w:ascii="宋体" w:hAnsi="宋体"/>
          <w:color w:val="auto"/>
          <w:szCs w:val="21"/>
          <w:highlight w:val="none"/>
        </w:rPr>
        <w:t xml:space="preserve">  </w:t>
      </w:r>
      <w:r>
        <w:rPr>
          <w:rFonts w:hint="eastAsia" w:ascii="宋体" w:hAnsi="宋体"/>
          <w:color w:val="auto"/>
          <w:szCs w:val="21"/>
          <w:highlight w:val="none"/>
        </w:rPr>
        <w:t>合同样本”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2、若全部响应的，在上表填入“全部响应”。</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jc w:val="center"/>
        <w:rPr>
          <w:rFonts w:ascii="宋体" w:hAnsi="宋体"/>
          <w:b/>
          <w:color w:val="auto"/>
          <w:szCs w:val="21"/>
          <w:highlight w:val="none"/>
        </w:rPr>
      </w:pPr>
      <w:r>
        <w:rPr>
          <w:rFonts w:ascii="宋体" w:hAnsi="宋体"/>
          <w:color w:val="auto"/>
          <w:szCs w:val="21"/>
          <w:highlight w:val="none"/>
        </w:rPr>
        <w:br w:type="page"/>
      </w:r>
      <w:r>
        <w:rPr>
          <w:rFonts w:ascii="宋体" w:hAnsi="宋体"/>
          <w:b/>
          <w:color w:val="auto"/>
          <w:szCs w:val="21"/>
          <w:highlight w:val="none"/>
        </w:rPr>
        <w:t>B7</w:t>
      </w:r>
      <w:r>
        <w:rPr>
          <w:rFonts w:hint="eastAsia" w:ascii="宋体" w:hAnsi="宋体"/>
          <w:b/>
          <w:color w:val="auto"/>
          <w:szCs w:val="21"/>
          <w:highlight w:val="none"/>
          <w:lang w:eastAsia="zh-CN"/>
        </w:rPr>
        <w:t>.</w:t>
      </w:r>
      <w:r>
        <w:rPr>
          <w:rFonts w:hint="eastAsia" w:ascii="宋体" w:hAnsi="宋体"/>
          <w:b/>
          <w:bCs/>
          <w:color w:val="auto"/>
          <w:szCs w:val="21"/>
          <w:highlight w:val="none"/>
        </w:rPr>
        <w:t>技术条款响应表</w:t>
      </w:r>
    </w:p>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慈溪市匡堰城镇单元控制性详细规划项目</w:t>
      </w:r>
    </w:p>
    <w:p>
      <w:pPr>
        <w:adjustRightInd w:val="0"/>
        <w:snapToGrid w:val="0"/>
        <w:spacing w:line="360" w:lineRule="auto"/>
        <w:rPr>
          <w:rFonts w:ascii="宋体" w:hAnsi="宋体"/>
          <w:b/>
          <w:bCs/>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Cs w:val="21"/>
          <w:highlight w:val="none"/>
          <w:u w:val="single"/>
        </w:rPr>
        <w:t xml:space="preserve"> </w:t>
      </w:r>
      <w:r>
        <w:rPr>
          <w:rFonts w:hint="eastAsia" w:ascii="宋体" w:hAnsi="宋体"/>
          <w:color w:val="auto"/>
          <w:szCs w:val="21"/>
          <w:highlight w:val="none"/>
          <w:u w:val="single"/>
        </w:rPr>
        <w:fldChar w:fldCharType="end"/>
      </w:r>
      <w:r>
        <w:rPr>
          <w:rFonts w:hint="eastAsia" w:ascii="宋体" w:hAnsi="宋体"/>
          <w:color w:val="auto"/>
          <w:szCs w:val="21"/>
          <w:highlight w:val="none"/>
          <w:u w:val="single"/>
        </w:rPr>
        <w:t xml:space="preserve">    </w:t>
      </w:r>
    </w:p>
    <w:tbl>
      <w:tblPr>
        <w:tblStyle w:val="47"/>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序号</w:t>
            </w:r>
          </w:p>
        </w:tc>
        <w:tc>
          <w:tcPr>
            <w:tcW w:w="2824"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招标要求</w:t>
            </w:r>
          </w:p>
        </w:tc>
        <w:tc>
          <w:tcPr>
            <w:tcW w:w="2835"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投标响应</w:t>
            </w:r>
          </w:p>
        </w:tc>
        <w:tc>
          <w:tcPr>
            <w:tcW w:w="2533" w:type="dxa"/>
            <w:vAlign w:val="center"/>
          </w:tcPr>
          <w:p>
            <w:pPr>
              <w:adjustRightInd w:val="0"/>
              <w:snapToGrid w:val="0"/>
              <w:spacing w:line="400" w:lineRule="exact"/>
              <w:jc w:val="center"/>
              <w:rPr>
                <w:rFonts w:ascii="宋体" w:hAnsi="宋体"/>
                <w:color w:val="auto"/>
                <w:szCs w:val="21"/>
                <w:highlight w:val="none"/>
              </w:rPr>
            </w:pPr>
            <w:r>
              <w:rPr>
                <w:rFonts w:hint="eastAsia" w:ascii="宋体" w:hAnsi="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vAlign w:val="center"/>
          </w:tcPr>
          <w:p>
            <w:pPr>
              <w:adjustRightInd w:val="0"/>
              <w:snapToGrid w:val="0"/>
              <w:spacing w:line="400" w:lineRule="exact"/>
              <w:jc w:val="center"/>
              <w:rPr>
                <w:rFonts w:ascii="宋体" w:hAnsi="宋体"/>
                <w:color w:val="auto"/>
                <w:szCs w:val="21"/>
                <w:highlight w:val="none"/>
              </w:rPr>
            </w:pPr>
          </w:p>
        </w:tc>
        <w:tc>
          <w:tcPr>
            <w:tcW w:w="2824" w:type="dxa"/>
            <w:vAlign w:val="center"/>
          </w:tcPr>
          <w:p>
            <w:pPr>
              <w:adjustRightInd w:val="0"/>
              <w:snapToGrid w:val="0"/>
              <w:spacing w:line="400" w:lineRule="exact"/>
              <w:jc w:val="center"/>
              <w:rPr>
                <w:rFonts w:ascii="宋体" w:hAnsi="宋体"/>
                <w:color w:val="auto"/>
                <w:szCs w:val="21"/>
                <w:highlight w:val="none"/>
              </w:rPr>
            </w:pPr>
          </w:p>
        </w:tc>
        <w:tc>
          <w:tcPr>
            <w:tcW w:w="2835" w:type="dxa"/>
            <w:vAlign w:val="center"/>
          </w:tcPr>
          <w:p>
            <w:pPr>
              <w:adjustRightInd w:val="0"/>
              <w:snapToGrid w:val="0"/>
              <w:spacing w:line="400" w:lineRule="exact"/>
              <w:jc w:val="center"/>
              <w:rPr>
                <w:rFonts w:ascii="宋体" w:hAnsi="宋体"/>
                <w:color w:val="auto"/>
                <w:szCs w:val="21"/>
                <w:highlight w:val="none"/>
              </w:rPr>
            </w:pPr>
          </w:p>
        </w:tc>
        <w:tc>
          <w:tcPr>
            <w:tcW w:w="2533" w:type="dxa"/>
            <w:vAlign w:val="center"/>
          </w:tcPr>
          <w:p>
            <w:pPr>
              <w:adjustRightInd w:val="0"/>
              <w:snapToGrid w:val="0"/>
              <w:spacing w:line="400" w:lineRule="exact"/>
              <w:jc w:val="center"/>
              <w:rPr>
                <w:rFonts w:ascii="宋体" w:hAnsi="宋体"/>
                <w:color w:val="auto"/>
                <w:szCs w:val="21"/>
                <w:highlight w:val="none"/>
              </w:rPr>
            </w:pPr>
          </w:p>
        </w:tc>
      </w:tr>
    </w:tbl>
    <w:p>
      <w:pPr>
        <w:adjustRightInd w:val="0"/>
        <w:snapToGrid w:val="0"/>
        <w:spacing w:line="440" w:lineRule="exact"/>
        <w:ind w:left="210" w:hanging="210" w:hangingChars="100"/>
        <w:rPr>
          <w:rFonts w:ascii="宋体" w:hAnsi="宋体"/>
          <w:color w:val="auto"/>
          <w:szCs w:val="21"/>
          <w:highlight w:val="none"/>
        </w:rPr>
      </w:pPr>
      <w:r>
        <w:rPr>
          <w:rFonts w:hint="eastAsia" w:ascii="宋体" w:hAnsi="宋体"/>
          <w:color w:val="auto"/>
          <w:szCs w:val="21"/>
          <w:highlight w:val="none"/>
        </w:rPr>
        <w:t>注：1、须与“第</w:t>
      </w:r>
      <w:r>
        <w:rPr>
          <w:rFonts w:hint="eastAsia" w:ascii="宋体" w:hAnsi="宋体"/>
          <w:color w:val="auto"/>
          <w:szCs w:val="21"/>
          <w:highlight w:val="none"/>
          <w:lang w:val="en-US" w:eastAsia="zh-CN"/>
        </w:rPr>
        <w:t>二</w:t>
      </w:r>
      <w:r>
        <w:rPr>
          <w:rFonts w:hint="eastAsia" w:ascii="宋体" w:hAnsi="宋体"/>
          <w:color w:val="auto"/>
          <w:szCs w:val="21"/>
          <w:highlight w:val="none"/>
        </w:rPr>
        <w:t>章</w:t>
      </w:r>
      <w:r>
        <w:rPr>
          <w:rFonts w:ascii="宋体" w:hAnsi="宋体"/>
          <w:color w:val="auto"/>
          <w:szCs w:val="21"/>
          <w:highlight w:val="none"/>
        </w:rPr>
        <w:t xml:space="preserve">  </w:t>
      </w:r>
      <w:r>
        <w:rPr>
          <w:rFonts w:hint="eastAsia" w:ascii="宋体" w:hAnsi="宋体"/>
          <w:color w:val="auto"/>
          <w:szCs w:val="21"/>
          <w:highlight w:val="none"/>
        </w:rPr>
        <w:t>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440" w:lineRule="exact"/>
        <w:ind w:left="210" w:hanging="210" w:hangingChars="100"/>
        <w:rPr>
          <w:rFonts w:ascii="宋体" w:hAnsi="宋体"/>
          <w:color w:val="auto"/>
          <w:szCs w:val="21"/>
          <w:highlight w:val="none"/>
        </w:rPr>
      </w:pPr>
      <w:r>
        <w:rPr>
          <w:rFonts w:hint="eastAsia" w:ascii="宋体" w:hAnsi="宋体"/>
          <w:color w:val="auto"/>
          <w:szCs w:val="21"/>
          <w:highlight w:val="none"/>
        </w:rPr>
        <w:t>2、若全部响应的，在上表填入“全部响应”。</w:t>
      </w: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u w:val="singl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400" w:lineRule="atLeast"/>
        <w:rPr>
          <w:rFonts w:ascii="宋体" w:hAnsi="宋体"/>
          <w:color w:val="auto"/>
          <w:szCs w:val="21"/>
          <w:highlight w:val="none"/>
          <w:u w:val="single"/>
        </w:rPr>
      </w:pPr>
    </w:p>
    <w:p>
      <w:pPr>
        <w:spacing w:line="240" w:lineRule="auto"/>
        <w:rPr>
          <w:rStyle w:val="168"/>
          <w:rFonts w:ascii="宋体" w:hAnsi="宋体"/>
          <w:color w:val="auto"/>
          <w:sz w:val="21"/>
          <w:szCs w:val="21"/>
          <w:highlight w:val="none"/>
        </w:rPr>
      </w:pPr>
      <w:r>
        <w:rPr>
          <w:rStyle w:val="168"/>
          <w:rFonts w:ascii="宋体" w:hAnsi="宋体"/>
          <w:color w:val="auto"/>
          <w:sz w:val="21"/>
          <w:szCs w:val="21"/>
          <w:highlight w:val="none"/>
        </w:rPr>
        <w:br w:type="page"/>
      </w:r>
      <w:r>
        <w:rPr>
          <w:rStyle w:val="168"/>
          <w:rFonts w:hint="eastAsia" w:ascii="宋体" w:hAnsi="宋体"/>
          <w:color w:val="auto"/>
          <w:sz w:val="21"/>
          <w:szCs w:val="21"/>
          <w:highlight w:val="none"/>
        </w:rPr>
        <w:t>B8.</w:t>
      </w:r>
      <w:r>
        <w:rPr>
          <w:rStyle w:val="168"/>
          <w:rFonts w:hint="eastAsia" w:ascii="宋体" w:hAnsi="宋体"/>
          <w:color w:val="auto"/>
          <w:sz w:val="21"/>
          <w:szCs w:val="21"/>
          <w:highlight w:val="none"/>
          <w:lang w:val="en-US"/>
        </w:rPr>
        <w:t>供应商</w:t>
      </w:r>
      <w:r>
        <w:rPr>
          <w:rStyle w:val="168"/>
          <w:rFonts w:hint="eastAsia" w:ascii="宋体" w:hAnsi="宋体"/>
          <w:color w:val="auto"/>
          <w:sz w:val="21"/>
          <w:szCs w:val="21"/>
          <w:highlight w:val="none"/>
        </w:rPr>
        <w:t>业绩、项目</w:t>
      </w:r>
      <w:r>
        <w:rPr>
          <w:rStyle w:val="168"/>
          <w:rFonts w:hint="eastAsia" w:ascii="宋体" w:hAnsi="宋体"/>
          <w:color w:val="auto"/>
          <w:sz w:val="21"/>
          <w:szCs w:val="21"/>
          <w:highlight w:val="none"/>
          <w:lang w:val="en-US"/>
        </w:rPr>
        <w:t>团队、</w:t>
      </w:r>
      <w:r>
        <w:rPr>
          <w:rStyle w:val="168"/>
          <w:rFonts w:hint="eastAsia" w:ascii="宋体" w:hAnsi="宋体"/>
          <w:color w:val="auto"/>
          <w:sz w:val="21"/>
          <w:szCs w:val="21"/>
          <w:highlight w:val="none"/>
        </w:rPr>
        <w:t>体系认证、</w:t>
      </w:r>
      <w:r>
        <w:rPr>
          <w:rStyle w:val="168"/>
          <w:rFonts w:hint="eastAsia" w:ascii="宋体" w:hAnsi="宋体"/>
          <w:color w:val="auto"/>
          <w:sz w:val="21"/>
          <w:szCs w:val="21"/>
          <w:highlight w:val="none"/>
          <w:lang w:val="en-US"/>
        </w:rPr>
        <w:t>证书</w:t>
      </w:r>
      <w:r>
        <w:rPr>
          <w:rStyle w:val="168"/>
          <w:rFonts w:hint="eastAsia" w:ascii="宋体" w:hAnsi="宋体"/>
          <w:color w:val="auto"/>
          <w:sz w:val="21"/>
          <w:szCs w:val="21"/>
          <w:highlight w:val="none"/>
        </w:rPr>
        <w:t>等</w:t>
      </w:r>
      <w:r>
        <w:rPr>
          <w:rStyle w:val="168"/>
          <w:rFonts w:hint="eastAsia" w:ascii="宋体" w:hAnsi="宋体"/>
          <w:color w:val="auto"/>
          <w:sz w:val="21"/>
          <w:szCs w:val="21"/>
          <w:highlight w:val="none"/>
          <w:lang w:val="en-US"/>
        </w:rPr>
        <w:t>商务证明</w:t>
      </w:r>
      <w:r>
        <w:rPr>
          <w:rStyle w:val="168"/>
          <w:rFonts w:hint="eastAsia" w:ascii="宋体" w:hAnsi="宋体"/>
          <w:color w:val="auto"/>
          <w:sz w:val="21"/>
          <w:szCs w:val="21"/>
          <w:highlight w:val="none"/>
        </w:rPr>
        <w:t>材料；</w:t>
      </w:r>
    </w:p>
    <w:p>
      <w:pPr>
        <w:spacing w:line="240" w:lineRule="auto"/>
        <w:rPr>
          <w:rStyle w:val="168"/>
          <w:rFonts w:ascii="宋体" w:hAnsi="宋体"/>
          <w:color w:val="auto"/>
          <w:sz w:val="21"/>
          <w:szCs w:val="21"/>
          <w:highlight w:val="none"/>
        </w:rPr>
      </w:pPr>
      <w:r>
        <w:rPr>
          <w:rStyle w:val="168"/>
          <w:rFonts w:hint="eastAsia" w:ascii="宋体" w:hAnsi="宋体"/>
          <w:color w:val="auto"/>
          <w:sz w:val="21"/>
          <w:szCs w:val="21"/>
          <w:highlight w:val="none"/>
        </w:rPr>
        <w:t>B9.技术服务方案；</w:t>
      </w:r>
    </w:p>
    <w:p>
      <w:pPr>
        <w:spacing w:line="240" w:lineRule="auto"/>
        <w:rPr>
          <w:rStyle w:val="168"/>
          <w:rFonts w:hAnsi="宋体"/>
          <w:color w:val="auto"/>
          <w:sz w:val="21"/>
          <w:szCs w:val="21"/>
          <w:highlight w:val="none"/>
        </w:rPr>
      </w:pPr>
      <w:r>
        <w:rPr>
          <w:rStyle w:val="168"/>
          <w:rFonts w:hint="eastAsia" w:ascii="宋体" w:hAnsi="宋体"/>
          <w:color w:val="auto"/>
          <w:sz w:val="21"/>
          <w:szCs w:val="21"/>
          <w:highlight w:val="none"/>
        </w:rPr>
        <w:t>B10.第</w:t>
      </w:r>
      <w:r>
        <w:rPr>
          <w:rStyle w:val="168"/>
          <w:rFonts w:hint="eastAsia" w:ascii="宋体" w:hAnsi="宋体"/>
          <w:color w:val="auto"/>
          <w:sz w:val="21"/>
          <w:szCs w:val="21"/>
          <w:highlight w:val="none"/>
          <w:lang w:val="en-US"/>
        </w:rPr>
        <w:t>四</w:t>
      </w:r>
      <w:r>
        <w:rPr>
          <w:rStyle w:val="168"/>
          <w:rFonts w:hint="eastAsia" w:ascii="宋体" w:hAnsi="宋体"/>
          <w:color w:val="auto"/>
          <w:sz w:val="21"/>
          <w:szCs w:val="21"/>
          <w:highlight w:val="none"/>
        </w:rPr>
        <w:t>章“评标办法及标准”中“商务和技术评分表”要求提供的其他资料（如有需提供）；B11.供应商认为需要的其他资料（如有需提供）。</w:t>
      </w:r>
    </w:p>
    <w:p>
      <w:pPr>
        <w:pStyle w:val="24"/>
        <w:adjustRightInd w:val="0"/>
        <w:snapToGrid w:val="0"/>
        <w:spacing w:line="400" w:lineRule="exact"/>
        <w:rPr>
          <w:rStyle w:val="168"/>
          <w:rFonts w:hAnsi="宋体"/>
          <w:color w:val="auto"/>
          <w:sz w:val="21"/>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r>
        <w:rPr>
          <w:rFonts w:hint="eastAsia" w:ascii="宋体" w:hAnsi="宋体"/>
          <w:b/>
          <w:color w:val="auto"/>
          <w:szCs w:val="21"/>
          <w:highlight w:val="none"/>
        </w:rPr>
        <w:t xml:space="preserve"> </w:t>
      </w: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spacing w:line="400" w:lineRule="exact"/>
        <w:rPr>
          <w:rFonts w:ascii="宋体" w:hAnsi="宋体"/>
          <w:b/>
          <w:color w:val="auto"/>
          <w:szCs w:val="21"/>
          <w:highlight w:val="none"/>
        </w:rPr>
      </w:pPr>
    </w:p>
    <w:p>
      <w:pPr>
        <w:autoSpaceDE w:val="0"/>
        <w:autoSpaceDN w:val="0"/>
        <w:adjustRightInd w:val="0"/>
        <w:spacing w:before="960" w:beforeLines="400" w:line="420" w:lineRule="exact"/>
        <w:jc w:val="center"/>
        <w:rPr>
          <w:rStyle w:val="168"/>
          <w:rFonts w:ascii="宋体" w:hAnsi="宋体"/>
          <w:color w:val="auto"/>
          <w:sz w:val="32"/>
          <w:szCs w:val="32"/>
          <w:highlight w:val="none"/>
        </w:rPr>
      </w:pPr>
      <w:bookmarkStart w:id="56" w:name="_Toc21541028"/>
      <w:bookmarkStart w:id="57" w:name="_Toc74987463"/>
      <w:bookmarkStart w:id="58" w:name="_Toc443468293"/>
      <w:bookmarkStart w:id="59" w:name="_Toc74987431"/>
      <w:r>
        <w:rPr>
          <w:rStyle w:val="168"/>
          <w:rFonts w:ascii="宋体" w:hAnsi="宋体"/>
          <w:color w:val="auto"/>
          <w:sz w:val="32"/>
          <w:szCs w:val="32"/>
          <w:highlight w:val="none"/>
        </w:rPr>
        <w:t>C.</w:t>
      </w:r>
      <w:r>
        <w:rPr>
          <w:rStyle w:val="168"/>
          <w:rFonts w:hint="eastAsia" w:ascii="宋体" w:hAnsi="宋体"/>
          <w:color w:val="auto"/>
          <w:sz w:val="32"/>
          <w:szCs w:val="32"/>
          <w:highlight w:val="none"/>
        </w:rPr>
        <w:t>报价文件</w:t>
      </w:r>
      <w:bookmarkEnd w:id="56"/>
      <w:bookmarkEnd w:id="57"/>
      <w:bookmarkEnd w:id="58"/>
      <w:bookmarkEnd w:id="59"/>
    </w:p>
    <w:p>
      <w:pPr>
        <w:autoSpaceDE w:val="0"/>
        <w:autoSpaceDN w:val="0"/>
        <w:adjustRightInd w:val="0"/>
        <w:spacing w:line="420" w:lineRule="exact"/>
        <w:rPr>
          <w:rStyle w:val="168"/>
          <w:rFonts w:ascii="宋体" w:hAnsi="宋体"/>
          <w:b w:val="0"/>
          <w:color w:val="auto"/>
          <w:highlight w:val="none"/>
          <w:lang w:val="zh-CN"/>
        </w:rPr>
      </w:pPr>
      <w:r>
        <w:rPr>
          <w:rStyle w:val="168"/>
          <w:rFonts w:ascii="宋体" w:hAnsi="宋体"/>
          <w:color w:val="auto"/>
          <w:sz w:val="32"/>
          <w:szCs w:val="32"/>
          <w:highlight w:val="none"/>
        </w:rPr>
        <w:br w:type="page"/>
      </w:r>
      <w:r>
        <w:rPr>
          <w:rStyle w:val="168"/>
          <w:rFonts w:hint="eastAsia" w:ascii="宋体" w:hAnsi="宋体"/>
          <w:color w:val="auto"/>
          <w:sz w:val="21"/>
          <w:szCs w:val="21"/>
          <w:highlight w:val="none"/>
        </w:rPr>
        <w:t>封面</w:t>
      </w:r>
    </w:p>
    <w:p>
      <w:pPr>
        <w:spacing w:line="360" w:lineRule="auto"/>
        <w:rPr>
          <w:rFonts w:ascii="宋体" w:hAnsi="宋体"/>
          <w:color w:val="auto"/>
          <w:sz w:val="28"/>
          <w:szCs w:val="28"/>
          <w:highlight w:val="none"/>
        </w:rPr>
      </w:pPr>
    </w:p>
    <w:p>
      <w:pPr>
        <w:pStyle w:val="200"/>
        <w:rPr>
          <w:color w:val="auto"/>
          <w:highlight w:val="none"/>
        </w:rPr>
      </w:pPr>
    </w:p>
    <w:p>
      <w:pPr>
        <w:spacing w:line="360" w:lineRule="auto"/>
        <w:jc w:val="center"/>
        <w:rPr>
          <w:rFonts w:hint="eastAsia" w:ascii="宋体" w:hAnsi="宋体" w:eastAsia="宋体"/>
          <w:color w:val="auto"/>
          <w:sz w:val="40"/>
          <w:szCs w:val="48"/>
          <w:highlight w:val="none"/>
          <w:u w:val="single"/>
          <w:lang w:eastAsia="zh-CN"/>
        </w:rPr>
      </w:pPr>
      <w:r>
        <w:rPr>
          <w:rFonts w:hint="eastAsia" w:ascii="宋体" w:hAnsi="宋体"/>
          <w:b/>
          <w:color w:val="auto"/>
          <w:sz w:val="40"/>
          <w:szCs w:val="48"/>
          <w:highlight w:val="none"/>
          <w:lang w:eastAsia="zh-CN"/>
        </w:rPr>
        <w:t>慈溪市匡堰城镇单元控制性详细规划项目</w:t>
      </w:r>
    </w:p>
    <w:p>
      <w:pPr>
        <w:spacing w:line="360" w:lineRule="auto"/>
        <w:jc w:val="center"/>
        <w:rPr>
          <w:rFonts w:ascii="宋体" w:hAnsi="宋体"/>
          <w:color w:val="auto"/>
          <w:sz w:val="36"/>
          <w:szCs w:val="36"/>
          <w:highlight w:val="none"/>
          <w:u w:val="singl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u w:val="single"/>
        </w:rPr>
        <w:t>项目编号：</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color w:val="auto"/>
          <w:sz w:val="36"/>
          <w:szCs w:val="36"/>
          <w:highlight w:val="none"/>
          <w:u w:val="single"/>
        </w:rPr>
        <w:t xml:space="preserve"> </w:t>
      </w:r>
      <w:r>
        <w:rPr>
          <w:rFonts w:hint="eastAsia" w:ascii="宋体" w:hAnsi="宋体"/>
          <w:color w:val="auto"/>
          <w:sz w:val="36"/>
          <w:szCs w:val="36"/>
          <w:highlight w:val="none"/>
          <w:u w:val="single"/>
        </w:rPr>
        <w:fldChar w:fldCharType="end"/>
      </w:r>
    </w:p>
    <w:p>
      <w:pPr>
        <w:rPr>
          <w:rFonts w:ascii="宋体" w:hAnsi="宋体"/>
          <w:color w:val="auto"/>
          <w:sz w:val="28"/>
          <w:szCs w:val="28"/>
          <w:highlight w:val="none"/>
        </w:rPr>
      </w:pP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（报价文件）</w:t>
      </w:r>
    </w:p>
    <w:p>
      <w:pPr>
        <w:jc w:val="center"/>
        <w:rPr>
          <w:rFonts w:ascii="宋体" w:hAnsi="宋体"/>
          <w:color w:val="auto"/>
          <w:sz w:val="28"/>
          <w:szCs w:val="28"/>
          <w:highlight w:val="none"/>
        </w:rPr>
      </w:pPr>
    </w:p>
    <w:p>
      <w:pPr>
        <w:spacing w:line="360" w:lineRule="auto"/>
        <w:jc w:val="center"/>
        <w:rPr>
          <w:rFonts w:ascii="宋体" w:hAnsi="宋体"/>
          <w:b/>
          <w:color w:val="auto"/>
          <w:sz w:val="72"/>
          <w:szCs w:val="72"/>
          <w:highlight w:val="none"/>
        </w:rPr>
      </w:pPr>
    </w:p>
    <w:p>
      <w:pPr>
        <w:spacing w:line="360" w:lineRule="auto"/>
        <w:jc w:val="center"/>
        <w:rPr>
          <w:rFonts w:ascii="宋体" w:hAnsi="宋体"/>
          <w:b/>
          <w:color w:val="auto"/>
          <w:sz w:val="72"/>
          <w:szCs w:val="72"/>
          <w:highlight w:val="none"/>
        </w:rPr>
      </w:pPr>
      <w:r>
        <w:rPr>
          <w:rFonts w:hint="eastAsia" w:ascii="宋体" w:hAnsi="宋体"/>
          <w:b/>
          <w:color w:val="auto"/>
          <w:sz w:val="72"/>
          <w:szCs w:val="72"/>
          <w:highlight w:val="none"/>
        </w:rPr>
        <w:t>投标文件</w:t>
      </w: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rPr>
      </w:pPr>
    </w:p>
    <w:p>
      <w:pPr>
        <w:spacing w:line="360" w:lineRule="auto"/>
        <w:jc w:val="center"/>
        <w:rPr>
          <w:rFonts w:ascii="宋体" w:hAnsi="宋体"/>
          <w:color w:val="auto"/>
          <w:sz w:val="36"/>
          <w:szCs w:val="36"/>
          <w:highlight w:val="none"/>
          <w:u w:val="single"/>
        </w:rPr>
      </w:pPr>
      <w:r>
        <w:rPr>
          <w:rFonts w:hint="eastAsia" w:ascii="宋体" w:hAnsi="宋体"/>
          <w:color w:val="auto"/>
          <w:sz w:val="36"/>
          <w:szCs w:val="36"/>
          <w:highlight w:val="none"/>
        </w:rPr>
        <w:t>供应商全称：</w:t>
      </w:r>
      <w:r>
        <w:rPr>
          <w:rFonts w:hint="eastAsia" w:ascii="宋体" w:hAnsi="宋体"/>
          <w:color w:val="auto"/>
          <w:sz w:val="36"/>
          <w:szCs w:val="36"/>
          <w:highlight w:val="none"/>
          <w:u w:val="single"/>
        </w:rPr>
        <w:t>（加盖单位公章）</w:t>
      </w:r>
    </w:p>
    <w:p>
      <w:pPr>
        <w:pStyle w:val="27"/>
        <w:ind w:left="101" w:leftChars="48" w:firstLine="1920" w:firstLineChars="800"/>
        <w:jc w:val="left"/>
        <w:rPr>
          <w:rFonts w:hAnsi="宋体"/>
          <w:color w:val="auto"/>
          <w:kern w:val="2"/>
          <w:szCs w:val="28"/>
          <w:highlight w:val="none"/>
          <w:u w:val="single"/>
        </w:rPr>
      </w:pPr>
    </w:p>
    <w:p>
      <w:pPr>
        <w:autoSpaceDE w:val="0"/>
        <w:autoSpaceDN w:val="0"/>
        <w:adjustRightInd w:val="0"/>
        <w:spacing w:line="400" w:lineRule="exact"/>
        <w:jc w:val="center"/>
        <w:outlineLvl w:val="9"/>
        <w:rPr>
          <w:rStyle w:val="168"/>
          <w:rFonts w:ascii="宋体" w:hAnsi="宋体"/>
          <w:color w:val="auto"/>
          <w:sz w:val="28"/>
          <w:szCs w:val="28"/>
          <w:highlight w:val="none"/>
        </w:rPr>
      </w:pPr>
      <w:bookmarkStart w:id="60" w:name="_Toc443468294"/>
      <w:bookmarkStart w:id="61" w:name="_Toc74987464"/>
      <w:bookmarkStart w:id="62" w:name="_Toc21541029"/>
      <w:bookmarkStart w:id="63" w:name="_Toc74987562"/>
      <w:bookmarkStart w:id="64" w:name="_Toc1675"/>
      <w:bookmarkStart w:id="65" w:name="_Toc74987432"/>
      <w:bookmarkStart w:id="66" w:name="_Toc85732609"/>
      <w:r>
        <w:rPr>
          <w:rFonts w:hint="eastAsia" w:ascii="宋体" w:hAnsi="宋体"/>
          <w:color w:val="auto"/>
          <w:sz w:val="36"/>
          <w:szCs w:val="36"/>
          <w:highlight w:val="none"/>
        </w:rPr>
        <w:t>年</w:t>
      </w:r>
      <w:r>
        <w:rPr>
          <w:rFonts w:ascii="宋体" w:hAnsi="宋体"/>
          <w:color w:val="auto"/>
          <w:sz w:val="36"/>
          <w:szCs w:val="36"/>
          <w:highlight w:val="none"/>
        </w:rPr>
        <w:t xml:space="preserve">  </w:t>
      </w:r>
      <w:r>
        <w:rPr>
          <w:rFonts w:hint="eastAsia" w:ascii="宋体" w:hAnsi="宋体"/>
          <w:color w:val="auto"/>
          <w:sz w:val="36"/>
          <w:szCs w:val="36"/>
          <w:highlight w:val="none"/>
        </w:rPr>
        <w:t>月</w:t>
      </w:r>
      <w:r>
        <w:rPr>
          <w:rFonts w:ascii="宋体" w:hAnsi="宋体"/>
          <w:color w:val="auto"/>
          <w:sz w:val="36"/>
          <w:szCs w:val="36"/>
          <w:highlight w:val="none"/>
        </w:rPr>
        <w:t xml:space="preserve">  </w:t>
      </w:r>
      <w:r>
        <w:rPr>
          <w:rFonts w:hint="eastAsia" w:ascii="宋体" w:hAnsi="宋体"/>
          <w:color w:val="auto"/>
          <w:sz w:val="36"/>
          <w:szCs w:val="36"/>
          <w:highlight w:val="none"/>
        </w:rPr>
        <w:t>日</w:t>
      </w:r>
      <w:bookmarkEnd w:id="60"/>
      <w:bookmarkEnd w:id="61"/>
      <w:bookmarkEnd w:id="62"/>
      <w:bookmarkEnd w:id="63"/>
      <w:bookmarkEnd w:id="64"/>
      <w:bookmarkEnd w:id="65"/>
      <w:bookmarkEnd w:id="66"/>
    </w:p>
    <w:p>
      <w:pPr>
        <w:autoSpaceDE w:val="0"/>
        <w:autoSpaceDN w:val="0"/>
        <w:adjustRightInd w:val="0"/>
        <w:spacing w:line="400" w:lineRule="exact"/>
        <w:jc w:val="center"/>
        <w:outlineLvl w:val="0"/>
        <w:rPr>
          <w:rStyle w:val="168"/>
          <w:rFonts w:ascii="宋体" w:hAnsi="宋体"/>
          <w:color w:val="auto"/>
          <w:sz w:val="28"/>
          <w:szCs w:val="28"/>
          <w:highlight w:val="none"/>
        </w:rPr>
      </w:pPr>
    </w:p>
    <w:p>
      <w:pPr>
        <w:spacing w:line="360" w:lineRule="auto"/>
        <w:jc w:val="center"/>
        <w:rPr>
          <w:rFonts w:ascii="宋体" w:hAnsi="宋体"/>
          <w:b/>
          <w:color w:val="auto"/>
          <w:szCs w:val="21"/>
          <w:highlight w:val="none"/>
        </w:rPr>
      </w:pPr>
      <w:r>
        <w:rPr>
          <w:rStyle w:val="168"/>
          <w:rFonts w:ascii="宋体" w:hAnsi="宋体"/>
          <w:color w:val="auto"/>
          <w:sz w:val="28"/>
          <w:szCs w:val="28"/>
          <w:highlight w:val="none"/>
        </w:rPr>
        <w:br w:type="page"/>
      </w:r>
      <w:bookmarkEnd w:id="54"/>
      <w:bookmarkEnd w:id="55"/>
      <w:bookmarkStart w:id="67" w:name="_Toc21541030"/>
      <w:bookmarkStart w:id="68" w:name="_Toc74987433"/>
      <w:bookmarkStart w:id="69" w:name="_Toc74987465"/>
      <w:r>
        <w:rPr>
          <w:rFonts w:ascii="宋体" w:hAnsi="宋体"/>
          <w:b/>
          <w:color w:val="auto"/>
          <w:szCs w:val="21"/>
          <w:highlight w:val="none"/>
        </w:rPr>
        <w:t>C1</w:t>
      </w:r>
      <w:r>
        <w:rPr>
          <w:rFonts w:hint="eastAsia" w:ascii="宋体" w:hAnsi="宋体"/>
          <w:b/>
          <w:color w:val="auto"/>
          <w:szCs w:val="21"/>
          <w:highlight w:val="none"/>
          <w:lang w:eastAsia="zh-CN"/>
        </w:rPr>
        <w:t>.</w:t>
      </w:r>
      <w:r>
        <w:rPr>
          <w:rFonts w:hint="eastAsia" w:ascii="宋体" w:hAnsi="宋体"/>
          <w:b/>
          <w:color w:val="auto"/>
          <w:szCs w:val="21"/>
          <w:highlight w:val="none"/>
        </w:rPr>
        <w:t>开标一览表</w:t>
      </w:r>
      <w:bookmarkEnd w:id="67"/>
      <w:bookmarkEnd w:id="68"/>
      <w:bookmarkEnd w:id="69"/>
    </w:p>
    <w:p>
      <w:pPr>
        <w:pStyle w:val="19"/>
        <w:spacing w:line="400" w:lineRule="exact"/>
        <w:ind w:firstLine="0"/>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慈溪市匡堰城镇单元控制性详细规划项目</w:t>
      </w:r>
    </w:p>
    <w:p>
      <w:pPr>
        <w:pStyle w:val="19"/>
        <w:spacing w:line="400" w:lineRule="exact"/>
        <w:ind w:firstLine="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项目编号：</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u w:val="single"/>
        </w:rPr>
        <w:fldChar w:fldCharType="end"/>
      </w:r>
    </w:p>
    <w:p>
      <w:pPr>
        <w:pStyle w:val="19"/>
        <w:spacing w:line="400" w:lineRule="exact"/>
        <w:ind w:firstLine="0"/>
        <w:jc w:val="right"/>
        <w:rPr>
          <w:rFonts w:ascii="宋体" w:hAnsi="宋体" w:eastAsia="宋体"/>
          <w:color w:val="auto"/>
          <w:sz w:val="21"/>
          <w:szCs w:val="21"/>
          <w:highlight w:val="none"/>
        </w:rPr>
      </w:pPr>
      <w:r>
        <w:rPr>
          <w:rFonts w:hint="eastAsia" w:ascii="宋体" w:hAnsi="宋体" w:eastAsia="宋体"/>
          <w:color w:val="auto"/>
          <w:sz w:val="21"/>
          <w:szCs w:val="21"/>
          <w:highlight w:val="none"/>
        </w:rPr>
        <w:t>金额单位：人民币（元）</w:t>
      </w:r>
    </w:p>
    <w:p>
      <w:pPr>
        <w:pStyle w:val="32"/>
        <w:rPr>
          <w:color w:val="auto"/>
          <w:highlight w:val="none"/>
        </w:rPr>
      </w:pPr>
    </w:p>
    <w:tbl>
      <w:tblPr>
        <w:tblStyle w:val="47"/>
        <w:tblW w:w="911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3890"/>
        <w:gridCol w:w="39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78" w:type="dxa"/>
            <w:vAlign w:val="center"/>
          </w:tcPr>
          <w:p>
            <w:pPr>
              <w:spacing w:line="54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标项</w:t>
            </w:r>
          </w:p>
        </w:tc>
        <w:tc>
          <w:tcPr>
            <w:tcW w:w="3890" w:type="dxa"/>
            <w:vAlign w:val="center"/>
          </w:tcPr>
          <w:p>
            <w:pPr>
              <w:spacing w:line="540" w:lineRule="exact"/>
              <w:ind w:firstLine="420" w:firstLineChars="0"/>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3942" w:type="dxa"/>
            <w:vAlign w:val="center"/>
          </w:tcPr>
          <w:p>
            <w:pPr>
              <w:spacing w:line="540" w:lineRule="exact"/>
              <w:ind w:firstLine="420" w:firstLineChars="0"/>
              <w:jc w:val="center"/>
              <w:rPr>
                <w:rFonts w:ascii="宋体" w:hAnsi="宋体" w:cs="宋体"/>
                <w:color w:val="auto"/>
                <w:szCs w:val="21"/>
                <w:highlight w:val="none"/>
              </w:rPr>
            </w:pPr>
            <w:r>
              <w:rPr>
                <w:rFonts w:hint="eastAsia" w:ascii="宋体" w:hAnsi="宋体" w:cs="宋体"/>
                <w:color w:val="auto"/>
                <w:szCs w:val="21"/>
                <w:highlight w:val="none"/>
              </w:rPr>
              <w:t>服务费（元）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278" w:type="dxa"/>
            <w:vAlign w:val="center"/>
          </w:tcPr>
          <w:p>
            <w:pPr>
              <w:jc w:val="center"/>
              <w:rPr>
                <w:rFonts w:hint="default" w:eastAsia="宋体"/>
                <w:color w:val="auto"/>
                <w:highlight w:val="none"/>
                <w:lang w:val="en-US" w:eastAsia="zh-CN"/>
              </w:rPr>
            </w:pPr>
            <w:r>
              <w:rPr>
                <w:rFonts w:hint="eastAsia"/>
                <w:color w:val="auto"/>
                <w:highlight w:val="none"/>
                <w:lang w:val="en-US" w:eastAsia="zh-CN"/>
              </w:rPr>
              <w:t>1</w:t>
            </w:r>
          </w:p>
        </w:tc>
        <w:tc>
          <w:tcPr>
            <w:tcW w:w="3890" w:type="dxa"/>
            <w:vAlign w:val="center"/>
          </w:tcPr>
          <w:p>
            <w:pPr>
              <w:jc w:val="center"/>
              <w:rPr>
                <w:rFonts w:ascii="Times New Roman" w:hAnsi="Times New Roman" w:eastAsia="方正书宋简体"/>
                <w:color w:val="auto"/>
                <w:sz w:val="24"/>
                <w:highlight w:val="none"/>
                <w:lang w:eastAsia="zh-CN"/>
              </w:rPr>
            </w:pPr>
            <w:r>
              <w:rPr>
                <w:rFonts w:hint="eastAsia" w:ascii="宋体" w:hAnsi="宋体" w:cs="宋体"/>
                <w:color w:val="auto"/>
                <w:szCs w:val="21"/>
                <w:highlight w:val="none"/>
                <w:lang w:eastAsia="zh-CN"/>
              </w:rPr>
              <w:t>慈溪市匡堰城镇单元控制性详细规划项目</w:t>
            </w:r>
          </w:p>
        </w:tc>
        <w:tc>
          <w:tcPr>
            <w:tcW w:w="3942" w:type="dxa"/>
            <w:vAlign w:val="center"/>
          </w:tcPr>
          <w:p>
            <w:pPr>
              <w:spacing w:line="540" w:lineRule="exact"/>
              <w:ind w:firstLine="420"/>
              <w:jc w:val="both"/>
              <w:rPr>
                <w:color w:val="auto"/>
                <w:highlight w:val="none"/>
              </w:rPr>
            </w:pPr>
            <w:r>
              <w:rPr>
                <w:rFonts w:hint="eastAsia"/>
                <w:color w:val="auto"/>
                <w:highlight w:val="none"/>
              </w:rPr>
              <w:t>小写：</w:t>
            </w:r>
          </w:p>
          <w:p>
            <w:pPr>
              <w:pStyle w:val="46"/>
              <w:ind w:firstLine="420" w:firstLineChars="200"/>
              <w:jc w:val="both"/>
              <w:rPr>
                <w:rFonts w:ascii="宋体" w:hAnsi="宋体" w:cs="宋体"/>
                <w:color w:val="auto"/>
                <w:szCs w:val="21"/>
                <w:highlight w:val="none"/>
              </w:rPr>
            </w:pPr>
            <w:r>
              <w:rPr>
                <w:rFonts w:hint="eastAsia" w:ascii="Times New Roman" w:hAnsi="Times New Roman" w:eastAsia="方正书宋简体"/>
                <w:color w:val="auto"/>
                <w:szCs w:val="22"/>
                <w:highlight w:val="none"/>
                <w:lang w:eastAsia="zh-CN"/>
              </w:rPr>
              <w:t>大写：</w:t>
            </w:r>
          </w:p>
        </w:tc>
      </w:tr>
    </w:tbl>
    <w:p>
      <w:pPr>
        <w:spacing w:line="400" w:lineRule="atLeast"/>
        <w:jc w:val="left"/>
        <w:rPr>
          <w:rFonts w:ascii="宋体" w:hAnsi="宋体"/>
          <w:b/>
          <w:bCs/>
          <w:color w:val="auto"/>
          <w:szCs w:val="21"/>
          <w:highlight w:val="none"/>
        </w:rPr>
      </w:pPr>
      <w:r>
        <w:rPr>
          <w:rFonts w:hint="eastAsia" w:ascii="宋体" w:hAnsi="宋体"/>
          <w:b/>
          <w:bCs/>
          <w:color w:val="auto"/>
          <w:szCs w:val="21"/>
          <w:highlight w:val="none"/>
          <w:lang w:val="en-US" w:eastAsia="zh-CN"/>
        </w:rPr>
        <w:t>注：1.</w:t>
      </w:r>
      <w:r>
        <w:rPr>
          <w:rFonts w:hint="eastAsia" w:ascii="宋体" w:hAnsi="宋体"/>
          <w:b/>
          <w:bCs/>
          <w:color w:val="auto"/>
          <w:szCs w:val="21"/>
          <w:highlight w:val="none"/>
        </w:rPr>
        <w:t>投标报价金额必须与C2 《分项报价表》投标报价中的金额一致。</w:t>
      </w:r>
    </w:p>
    <w:p>
      <w:pPr>
        <w:spacing w:line="400" w:lineRule="atLeast"/>
        <w:ind w:firstLine="422" w:firstLineChars="200"/>
        <w:jc w:val="left"/>
        <w:rPr>
          <w:rFonts w:hint="default" w:ascii="宋体" w:hAnsi="宋体"/>
          <w:b/>
          <w:bCs/>
          <w:color w:val="auto"/>
          <w:szCs w:val="21"/>
          <w:highlight w:val="none"/>
          <w:lang w:val="en-US" w:eastAsia="zh-CN"/>
        </w:rPr>
      </w:pPr>
      <w:r>
        <w:rPr>
          <w:rFonts w:hint="eastAsia" w:ascii="宋体" w:hAnsi="宋体"/>
          <w:b/>
          <w:bCs/>
          <w:color w:val="auto"/>
          <w:szCs w:val="21"/>
          <w:highlight w:val="none"/>
          <w:lang w:val="en-US" w:eastAsia="zh-CN"/>
        </w:rPr>
        <w:t>2.政采云系统中填报的投标报价和本表不一致时，以本表为准，并修改政采云系统上的报价。</w:t>
      </w:r>
    </w:p>
    <w:p>
      <w:pPr>
        <w:pStyle w:val="2"/>
        <w:rPr>
          <w:rFonts w:hint="eastAsia" w:ascii="宋体" w:hAnsi="宋体"/>
          <w:color w:val="auto"/>
          <w:szCs w:val="21"/>
          <w:highlight w:val="none"/>
          <w:lang w:val="en-US" w:eastAsia="zh-CN"/>
        </w:rPr>
      </w:pPr>
    </w:p>
    <w:p>
      <w:pPr>
        <w:rPr>
          <w:rFonts w:hint="eastAsia" w:ascii="宋体" w:hAnsi="宋体"/>
          <w:color w:val="auto"/>
          <w:szCs w:val="21"/>
          <w:highlight w:val="none"/>
          <w:lang w:val="en-US" w:eastAsia="zh-CN"/>
        </w:rPr>
      </w:pPr>
    </w:p>
    <w:p>
      <w:pPr>
        <w:pStyle w:val="2"/>
        <w:rPr>
          <w:rFonts w:hint="default"/>
          <w:color w:val="auto"/>
          <w:highlight w:val="none"/>
          <w:lang w:val="en-US" w:eastAsia="zh-CN"/>
        </w:rPr>
      </w:pP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p>
    <w:p>
      <w:pPr>
        <w:spacing w:line="400" w:lineRule="atLeast"/>
        <w:rPr>
          <w:rFonts w:ascii="宋体" w:hAnsi="宋体"/>
          <w:color w:val="auto"/>
          <w:szCs w:val="21"/>
          <w:highlight w:val="none"/>
        </w:rPr>
      </w:pP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360" w:lineRule="auto"/>
        <w:rPr>
          <w:rFonts w:ascii="宋体" w:hAnsi="宋体"/>
          <w:color w:val="auto"/>
          <w:szCs w:val="21"/>
          <w:highlight w:val="none"/>
        </w:rPr>
        <w:sectPr>
          <w:headerReference r:id="rId9" w:type="default"/>
          <w:footerReference r:id="rId10" w:type="default"/>
          <w:pgSz w:w="11907" w:h="16840"/>
          <w:pgMar w:top="1440" w:right="1800" w:bottom="1440" w:left="1800" w:header="285" w:footer="990" w:gutter="0"/>
          <w:cols w:space="720" w:num="1"/>
          <w:docGrid w:linePitch="285" w:charSpace="0"/>
        </w:sectPr>
      </w:pPr>
    </w:p>
    <w:p>
      <w:pPr>
        <w:spacing w:line="360" w:lineRule="auto"/>
        <w:jc w:val="center"/>
        <w:rPr>
          <w:rFonts w:ascii="宋体" w:hAnsi="宋体"/>
          <w:b/>
          <w:color w:val="auto"/>
          <w:sz w:val="21"/>
          <w:szCs w:val="21"/>
          <w:highlight w:val="none"/>
        </w:rPr>
      </w:pPr>
      <w:r>
        <w:rPr>
          <w:rFonts w:ascii="宋体" w:hAnsi="宋体"/>
          <w:b/>
          <w:color w:val="auto"/>
          <w:sz w:val="21"/>
          <w:szCs w:val="21"/>
          <w:highlight w:val="none"/>
        </w:rPr>
        <w:t>C2</w:t>
      </w:r>
      <w:r>
        <w:rPr>
          <w:rFonts w:hint="eastAsia" w:ascii="宋体" w:hAnsi="宋体"/>
          <w:b/>
          <w:color w:val="auto"/>
          <w:sz w:val="21"/>
          <w:szCs w:val="21"/>
          <w:highlight w:val="none"/>
          <w:lang w:eastAsia="zh-CN"/>
        </w:rPr>
        <w:t>.</w:t>
      </w:r>
      <w:r>
        <w:rPr>
          <w:rFonts w:hint="eastAsia" w:ascii="宋体" w:hAnsi="宋体"/>
          <w:b/>
          <w:color w:val="auto"/>
          <w:sz w:val="21"/>
          <w:szCs w:val="21"/>
          <w:highlight w:val="none"/>
        </w:rPr>
        <w:t>分项报价表</w:t>
      </w:r>
    </w:p>
    <w:p>
      <w:pPr>
        <w:pStyle w:val="19"/>
        <w:spacing w:line="400" w:lineRule="exact"/>
        <w:ind w:firstLine="0"/>
        <w:rPr>
          <w:rFonts w:ascii="宋体" w:hAnsi="宋体" w:eastAsia="宋体"/>
          <w:color w:val="auto"/>
          <w:sz w:val="21"/>
          <w:szCs w:val="21"/>
          <w:highlight w:val="none"/>
        </w:rPr>
      </w:pPr>
    </w:p>
    <w:p>
      <w:pPr>
        <w:pStyle w:val="19"/>
        <w:spacing w:line="400" w:lineRule="exact"/>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r>
        <w:rPr>
          <w:rFonts w:hint="eastAsia" w:ascii="宋体" w:hAnsi="宋体" w:eastAsia="宋体"/>
          <w:color w:val="auto"/>
          <w:sz w:val="21"/>
          <w:szCs w:val="21"/>
          <w:highlight w:val="none"/>
          <w:u w:val="single"/>
          <w:lang w:eastAsia="zh-CN"/>
        </w:rPr>
        <w:t>慈溪市匡堰城镇单元控制性详细规划项目</w:t>
      </w:r>
      <w:r>
        <w:rPr>
          <w:rFonts w:hint="eastAsia" w:ascii="宋体" w:hAnsi="宋体" w:eastAsia="宋体"/>
          <w:color w:val="auto"/>
          <w:sz w:val="21"/>
          <w:szCs w:val="21"/>
          <w:highlight w:val="none"/>
        </w:rPr>
        <w:t xml:space="preserve">              </w:t>
      </w:r>
    </w:p>
    <w:p>
      <w:pPr>
        <w:pStyle w:val="19"/>
        <w:spacing w:line="400" w:lineRule="exact"/>
        <w:ind w:firstLine="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采购编号：</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u w:val="single"/>
        </w:rPr>
        <w:fldChar w:fldCharType="end"/>
      </w:r>
    </w:p>
    <w:p>
      <w:pPr>
        <w:jc w:val="right"/>
        <w:rPr>
          <w:color w:val="auto"/>
          <w:highlight w:val="none"/>
        </w:rPr>
      </w:pPr>
      <w:r>
        <w:rPr>
          <w:rFonts w:hint="eastAsia"/>
          <w:color w:val="auto"/>
          <w:highlight w:val="none"/>
        </w:rPr>
        <w:t xml:space="preserve">    金额单位：人民币（元）</w:t>
      </w:r>
    </w:p>
    <w:tbl>
      <w:tblPr>
        <w:tblStyle w:val="47"/>
        <w:tblW w:w="912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21"/>
        <w:gridCol w:w="1521"/>
        <w:gridCol w:w="1521"/>
        <w:gridCol w:w="152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vAlign w:val="center"/>
          </w:tcPr>
          <w:p>
            <w:pPr>
              <w:spacing w:line="380" w:lineRule="exact"/>
              <w:ind w:right="420"/>
              <w:jc w:val="center"/>
              <w:rPr>
                <w:rFonts w:ascii="方正书宋简体" w:hAnsi="方正书宋简体"/>
                <w:color w:val="auto"/>
                <w:sz w:val="24"/>
                <w:szCs w:val="24"/>
                <w:highlight w:val="none"/>
              </w:rPr>
            </w:pPr>
          </w:p>
        </w:tc>
        <w:tc>
          <w:tcPr>
            <w:tcW w:w="1521" w:type="dxa"/>
            <w:vAlign w:val="center"/>
          </w:tcPr>
          <w:p>
            <w:pPr>
              <w:spacing w:line="380" w:lineRule="exact"/>
              <w:ind w:right="420"/>
              <w:jc w:val="center"/>
              <w:rPr>
                <w:rFonts w:ascii="方正书宋简体" w:hAnsi="方正书宋简体"/>
                <w:color w:val="auto"/>
                <w:sz w:val="24"/>
                <w:szCs w:val="24"/>
                <w:highlight w:val="none"/>
              </w:rPr>
            </w:pPr>
          </w:p>
        </w:tc>
        <w:tc>
          <w:tcPr>
            <w:tcW w:w="1521" w:type="dxa"/>
            <w:vAlign w:val="center"/>
          </w:tcPr>
          <w:p>
            <w:pPr>
              <w:spacing w:line="380" w:lineRule="exact"/>
              <w:ind w:right="420"/>
              <w:jc w:val="center"/>
              <w:rPr>
                <w:rFonts w:ascii="方正书宋简体" w:hAnsi="方正书宋简体"/>
                <w:color w:val="auto"/>
                <w:sz w:val="24"/>
                <w:szCs w:val="24"/>
                <w:highlight w:val="none"/>
              </w:rPr>
            </w:pPr>
          </w:p>
        </w:tc>
        <w:tc>
          <w:tcPr>
            <w:tcW w:w="1521" w:type="dxa"/>
            <w:vAlign w:val="center"/>
          </w:tcPr>
          <w:p>
            <w:pPr>
              <w:spacing w:line="380" w:lineRule="exact"/>
              <w:ind w:right="420"/>
              <w:jc w:val="center"/>
              <w:rPr>
                <w:rFonts w:ascii="方正书宋简体" w:hAnsi="方正书宋简体"/>
                <w:color w:val="auto"/>
                <w:sz w:val="24"/>
                <w:szCs w:val="24"/>
                <w:highlight w:val="none"/>
              </w:rPr>
            </w:pPr>
          </w:p>
        </w:tc>
        <w:tc>
          <w:tcPr>
            <w:tcW w:w="1521" w:type="dxa"/>
            <w:vAlign w:val="center"/>
          </w:tcPr>
          <w:p>
            <w:pPr>
              <w:spacing w:line="380" w:lineRule="exact"/>
              <w:ind w:right="420"/>
              <w:jc w:val="center"/>
              <w:rPr>
                <w:rFonts w:ascii="方正书宋简体" w:hAnsi="方正书宋简体"/>
                <w:color w:val="auto"/>
                <w:sz w:val="24"/>
                <w:szCs w:val="24"/>
                <w:highlight w:val="none"/>
              </w:rPr>
            </w:pPr>
          </w:p>
        </w:tc>
        <w:tc>
          <w:tcPr>
            <w:tcW w:w="1521" w:type="dxa"/>
            <w:vAlign w:val="center"/>
          </w:tcPr>
          <w:p>
            <w:pPr>
              <w:spacing w:line="380" w:lineRule="exact"/>
              <w:ind w:right="420"/>
              <w:jc w:val="center"/>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c>
          <w:tcPr>
            <w:tcW w:w="1521" w:type="dxa"/>
          </w:tcPr>
          <w:p>
            <w:pPr>
              <w:spacing w:line="380" w:lineRule="exact"/>
              <w:ind w:right="420"/>
              <w:jc w:val="left"/>
              <w:rPr>
                <w:rFonts w:ascii="方正书宋简体" w:hAnsi="方正书宋简体"/>
                <w:color w:val="auto"/>
                <w:sz w:val="24"/>
                <w:szCs w:val="24"/>
                <w:highlight w:val="none"/>
              </w:rPr>
            </w:pPr>
          </w:p>
        </w:tc>
      </w:tr>
    </w:tbl>
    <w:p>
      <w:pPr>
        <w:rPr>
          <w:color w:val="auto"/>
          <w:highlight w:val="none"/>
        </w:rPr>
      </w:pPr>
    </w:p>
    <w:p>
      <w:pPr>
        <w:rPr>
          <w:color w:val="auto"/>
          <w:highlight w:val="none"/>
        </w:rPr>
      </w:pPr>
    </w:p>
    <w:p>
      <w:pPr>
        <w:spacing w:line="360" w:lineRule="auto"/>
        <w:rPr>
          <w:b/>
          <w:bCs/>
          <w:color w:val="auto"/>
          <w:highlight w:val="none"/>
        </w:rPr>
      </w:pPr>
      <w:r>
        <w:rPr>
          <w:rFonts w:hint="eastAsia"/>
          <w:b/>
          <w:bCs/>
          <w:color w:val="auto"/>
          <w:highlight w:val="none"/>
        </w:rPr>
        <w:t>注：1、本项目投标报价为总包干价，合同期内服务费用不因市场等因素的变动而调整（政策调整除外）。</w:t>
      </w:r>
    </w:p>
    <w:p>
      <w:pPr>
        <w:spacing w:line="360" w:lineRule="auto"/>
        <w:ind w:firstLine="422" w:firstLineChars="200"/>
        <w:rPr>
          <w:b/>
          <w:bCs/>
          <w:color w:val="auto"/>
          <w:highlight w:val="none"/>
        </w:rPr>
      </w:pPr>
      <w:r>
        <w:rPr>
          <w:rFonts w:hint="eastAsia"/>
          <w:b/>
          <w:bCs/>
          <w:color w:val="auto"/>
          <w:highlight w:val="none"/>
        </w:rPr>
        <w:t>2.总计金额需与C1开标一览表中投标报价一致。</w:t>
      </w:r>
    </w:p>
    <w:p>
      <w:pPr>
        <w:spacing w:line="400" w:lineRule="atLeast"/>
        <w:jc w:val="left"/>
        <w:rPr>
          <w:rFonts w:ascii="宋体" w:hAnsi="宋体"/>
          <w:color w:val="auto"/>
          <w:szCs w:val="21"/>
          <w:highlight w:val="none"/>
        </w:rPr>
      </w:pPr>
      <w:r>
        <w:rPr>
          <w:rFonts w:hint="eastAsia" w:ascii="宋体" w:hAnsi="宋体"/>
          <w:color w:val="auto"/>
          <w:szCs w:val="21"/>
          <w:highlight w:val="none"/>
        </w:rPr>
        <w:t>供应商（盖章）：</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00" w:lineRule="atLeast"/>
        <w:rPr>
          <w:rFonts w:ascii="宋体" w:hAnsi="宋体"/>
          <w:color w:val="auto"/>
          <w:szCs w:val="21"/>
          <w:highlight w:val="none"/>
          <w:u w:val="single"/>
        </w:rPr>
      </w:pPr>
      <w:r>
        <w:rPr>
          <w:rFonts w:hint="eastAsia" w:ascii="宋体" w:hAnsi="宋体"/>
          <w:color w:val="auto"/>
          <w:szCs w:val="21"/>
          <w:highlight w:val="none"/>
        </w:rPr>
        <w:t>日            期：</w:t>
      </w:r>
      <w:r>
        <w:rPr>
          <w:rFonts w:ascii="宋体" w:hAnsi="宋体"/>
          <w:color w:val="auto"/>
          <w:szCs w:val="21"/>
          <w:highlight w:val="none"/>
          <w:u w:val="singl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1690"/>
        </w:tabs>
        <w:jc w:val="left"/>
        <w:rPr>
          <w:color w:val="auto"/>
          <w:highlight w:val="none"/>
        </w:rPr>
        <w:sectPr>
          <w:pgSz w:w="11907" w:h="16840"/>
          <w:pgMar w:top="1440" w:right="1800" w:bottom="1440" w:left="1800" w:header="285" w:footer="992" w:gutter="0"/>
          <w:cols w:space="720" w:num="1"/>
          <w:docGrid w:linePitch="285" w:charSpace="0"/>
        </w:sectPr>
      </w:pPr>
      <w:r>
        <w:rPr>
          <w:rFonts w:hint="eastAsia"/>
          <w:color w:val="auto"/>
          <w:highlight w:val="none"/>
        </w:rPr>
        <w:tab/>
      </w:r>
    </w:p>
    <w:p>
      <w:pPr>
        <w:spacing w:line="360" w:lineRule="auto"/>
        <w:jc w:val="center"/>
        <w:rPr>
          <w:rFonts w:ascii="宋体" w:hAnsi="宋体"/>
          <w:b/>
          <w:color w:val="auto"/>
          <w:szCs w:val="21"/>
          <w:highlight w:val="none"/>
        </w:rPr>
      </w:pPr>
      <w:bookmarkStart w:id="70" w:name="_Toc74987435"/>
      <w:bookmarkStart w:id="71" w:name="_Toc21541033"/>
      <w:bookmarkStart w:id="72" w:name="_Toc74987467"/>
      <w:r>
        <w:rPr>
          <w:rFonts w:hint="eastAsia" w:ascii="宋体" w:hAnsi="宋体"/>
          <w:b/>
          <w:color w:val="auto"/>
          <w:szCs w:val="21"/>
          <w:highlight w:val="none"/>
          <w:lang w:val="en-US" w:eastAsia="zh-CN"/>
        </w:rPr>
        <w:t>C3.</w:t>
      </w:r>
      <w:r>
        <w:rPr>
          <w:rFonts w:hint="eastAsia" w:ascii="宋体" w:hAnsi="宋体"/>
          <w:b/>
          <w:color w:val="auto"/>
          <w:szCs w:val="21"/>
          <w:highlight w:val="none"/>
        </w:rPr>
        <w:t>中小企业声明函（服务）</w:t>
      </w:r>
    </w:p>
    <w:p>
      <w:pPr>
        <w:spacing w:line="400" w:lineRule="exact"/>
        <w:rPr>
          <w:rFonts w:ascii="宋体" w:hAnsi="宋体"/>
          <w:b/>
          <w:color w:val="auto"/>
          <w:spacing w:val="6"/>
          <w:szCs w:val="21"/>
          <w:highlight w:val="none"/>
        </w:rPr>
      </w:pPr>
    </w:p>
    <w:p>
      <w:pPr>
        <w:pStyle w:val="17"/>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本公司（联合体）郑重声明，根据《政府采购促进中小企业发展管理办法》（财库﹝2020﹞46 号）的规定，本公司（联合体）参加</w:t>
      </w:r>
      <w:r>
        <w:rPr>
          <w:rFonts w:hint="eastAsia" w:cs="宋体"/>
          <w:i/>
          <w:iCs/>
          <w:color w:val="auto"/>
          <w:sz w:val="21"/>
          <w:szCs w:val="21"/>
          <w:highlight w:val="none"/>
          <w:u w:val="single"/>
        </w:rPr>
        <w:t>（单位名称）</w:t>
      </w:r>
      <w:r>
        <w:rPr>
          <w:rFonts w:hint="eastAsia" w:cs="宋体"/>
          <w:color w:val="auto"/>
          <w:sz w:val="21"/>
          <w:szCs w:val="21"/>
          <w:highlight w:val="none"/>
        </w:rPr>
        <w:t>的</w:t>
      </w:r>
      <w:r>
        <w:rPr>
          <w:rFonts w:hint="eastAsia" w:cs="宋体"/>
          <w:i/>
          <w:iCs/>
          <w:color w:val="auto"/>
          <w:sz w:val="21"/>
          <w:szCs w:val="21"/>
          <w:highlight w:val="none"/>
          <w:u w:val="single"/>
        </w:rPr>
        <w:t>（项目名称）</w:t>
      </w:r>
      <w:r>
        <w:rPr>
          <w:rFonts w:hint="eastAsia" w:cs="宋体"/>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7"/>
        <w:spacing w:line="400" w:lineRule="exact"/>
        <w:ind w:firstLine="420" w:firstLineChars="200"/>
        <w:rPr>
          <w:rFonts w:cs="宋体"/>
          <w:color w:val="auto"/>
          <w:sz w:val="21"/>
          <w:szCs w:val="21"/>
          <w:highlight w:val="none"/>
        </w:rPr>
      </w:pPr>
      <w:r>
        <w:rPr>
          <w:rFonts w:hint="eastAsia" w:cs="宋体"/>
          <w:color w:val="auto"/>
          <w:sz w:val="21"/>
          <w:szCs w:val="21"/>
          <w:highlight w:val="none"/>
        </w:rPr>
        <w:t>1.</w:t>
      </w:r>
      <w:r>
        <w:rPr>
          <w:rFonts w:hint="eastAsia" w:cs="宋体"/>
          <w:b/>
          <w:bCs/>
          <w:i w:val="0"/>
          <w:iCs w:val="0"/>
          <w:color w:val="auto"/>
          <w:sz w:val="21"/>
          <w:szCs w:val="21"/>
          <w:highlight w:val="none"/>
          <w:u w:val="single"/>
          <w:lang w:val="en-US" w:eastAsia="zh-CN"/>
        </w:rPr>
        <w:t>标项1</w:t>
      </w:r>
      <w:r>
        <w:rPr>
          <w:rFonts w:hint="eastAsia" w:cs="宋体"/>
          <w:b/>
          <w:bCs/>
          <w:i w:val="0"/>
          <w:iCs w:val="0"/>
          <w:color w:val="auto"/>
          <w:sz w:val="21"/>
          <w:szCs w:val="21"/>
          <w:highlight w:val="none"/>
          <w:u w:val="single"/>
        </w:rPr>
        <w:t>，</w:t>
      </w:r>
      <w:r>
        <w:rPr>
          <w:rFonts w:hint="eastAsia" w:cs="宋体"/>
          <w:color w:val="auto"/>
          <w:sz w:val="21"/>
          <w:szCs w:val="21"/>
          <w:highlight w:val="none"/>
        </w:rPr>
        <w:t>属于</w:t>
      </w:r>
      <w:r>
        <w:rPr>
          <w:rFonts w:hint="eastAsia" w:cs="宋体"/>
          <w:b/>
          <w:bCs/>
          <w:i w:val="0"/>
          <w:iCs w:val="0"/>
          <w:color w:val="auto"/>
          <w:sz w:val="21"/>
          <w:szCs w:val="21"/>
          <w:highlight w:val="none"/>
          <w:u w:val="single"/>
        </w:rPr>
        <w:t>其他未列明行业</w:t>
      </w:r>
      <w:r>
        <w:rPr>
          <w:rFonts w:hint="eastAsia" w:cs="宋体"/>
          <w:color w:val="auto"/>
          <w:sz w:val="21"/>
          <w:szCs w:val="21"/>
          <w:highlight w:val="none"/>
        </w:rPr>
        <w:t>；承建（承接）企业为</w:t>
      </w:r>
      <w:r>
        <w:rPr>
          <w:rFonts w:hint="eastAsia" w:cs="宋体"/>
          <w:i/>
          <w:iCs/>
          <w:color w:val="auto"/>
          <w:sz w:val="21"/>
          <w:szCs w:val="21"/>
          <w:highlight w:val="none"/>
          <w:u w:val="single"/>
        </w:rPr>
        <w:t>（企业名称）</w:t>
      </w:r>
      <w:r>
        <w:rPr>
          <w:rFonts w:hint="eastAsia" w:cs="宋体"/>
          <w:color w:val="auto"/>
          <w:sz w:val="21"/>
          <w:szCs w:val="21"/>
          <w:highlight w:val="none"/>
        </w:rPr>
        <w:t>，从业人员</w:t>
      </w:r>
      <w:r>
        <w:rPr>
          <w:rFonts w:hint="eastAsia" w:cs="宋体"/>
          <w:color w:val="auto"/>
          <w:sz w:val="21"/>
          <w:szCs w:val="21"/>
          <w:highlight w:val="none"/>
          <w:u w:val="single"/>
        </w:rPr>
        <w:t xml:space="preserve"> </w:t>
      </w:r>
      <w:r>
        <w:rPr>
          <w:rFonts w:hint="eastAsia" w:cs="宋体"/>
          <w:color w:val="auto"/>
          <w:sz w:val="21"/>
          <w:szCs w:val="21"/>
          <w:highlight w:val="none"/>
          <w:u w:val="single"/>
          <w:lang w:val="en-US" w:eastAsia="zh-CN"/>
        </w:rPr>
        <w:t xml:space="preserve"> </w:t>
      </w:r>
      <w:r>
        <w:rPr>
          <w:rFonts w:hint="eastAsia" w:cs="宋体"/>
          <w:color w:val="auto"/>
          <w:sz w:val="21"/>
          <w:szCs w:val="21"/>
          <w:highlight w:val="none"/>
          <w:u w:val="single"/>
        </w:rPr>
        <w:t xml:space="preserve">  </w:t>
      </w:r>
      <w:r>
        <w:rPr>
          <w:rFonts w:hint="eastAsia" w:cs="宋体"/>
          <w:color w:val="auto"/>
          <w:sz w:val="21"/>
          <w:szCs w:val="21"/>
          <w:highlight w:val="none"/>
        </w:rPr>
        <w:t>人，营业收入为</w:t>
      </w:r>
      <w:r>
        <w:rPr>
          <w:rFonts w:hint="eastAsia" w:cs="宋体"/>
          <w:color w:val="auto"/>
          <w:sz w:val="21"/>
          <w:szCs w:val="21"/>
          <w:highlight w:val="none"/>
          <w:u w:val="single"/>
        </w:rPr>
        <w:t xml:space="preserve">  </w:t>
      </w:r>
      <w:r>
        <w:rPr>
          <w:rFonts w:hint="eastAsia" w:cs="宋体"/>
          <w:color w:val="auto"/>
          <w:sz w:val="21"/>
          <w:szCs w:val="21"/>
          <w:highlight w:val="none"/>
          <w:u w:val="single"/>
          <w:lang w:val="en-US" w:eastAsia="zh-CN"/>
        </w:rPr>
        <w:t xml:space="preserve">  </w:t>
      </w:r>
      <w:r>
        <w:rPr>
          <w:rFonts w:hint="eastAsia" w:cs="宋体"/>
          <w:color w:val="auto"/>
          <w:sz w:val="21"/>
          <w:szCs w:val="21"/>
          <w:highlight w:val="none"/>
          <w:u w:val="single"/>
        </w:rPr>
        <w:t xml:space="preserve"> </w:t>
      </w:r>
      <w:r>
        <w:rPr>
          <w:rFonts w:hint="eastAsia" w:cs="宋体"/>
          <w:color w:val="auto"/>
          <w:sz w:val="21"/>
          <w:szCs w:val="21"/>
          <w:highlight w:val="none"/>
        </w:rPr>
        <w:t>万元，资产总额为</w:t>
      </w:r>
      <w:r>
        <w:rPr>
          <w:rFonts w:hint="eastAsia" w:cs="宋体"/>
          <w:color w:val="auto"/>
          <w:sz w:val="21"/>
          <w:szCs w:val="21"/>
          <w:highlight w:val="none"/>
          <w:u w:val="single"/>
        </w:rPr>
        <w:t xml:space="preserve"> </w:t>
      </w:r>
      <w:r>
        <w:rPr>
          <w:rFonts w:hint="eastAsia" w:cs="宋体"/>
          <w:color w:val="auto"/>
          <w:sz w:val="21"/>
          <w:szCs w:val="21"/>
          <w:highlight w:val="none"/>
          <w:u w:val="single"/>
          <w:lang w:val="en-US" w:eastAsia="zh-CN"/>
        </w:rPr>
        <w:t xml:space="preserve">  </w:t>
      </w:r>
      <w:r>
        <w:rPr>
          <w:rFonts w:hint="eastAsia" w:cs="宋体"/>
          <w:color w:val="auto"/>
          <w:sz w:val="21"/>
          <w:szCs w:val="21"/>
          <w:highlight w:val="none"/>
          <w:u w:val="single"/>
        </w:rPr>
        <w:t xml:space="preserve">  </w:t>
      </w:r>
      <w:r>
        <w:rPr>
          <w:rFonts w:hint="eastAsia" w:cs="宋体"/>
          <w:color w:val="auto"/>
          <w:sz w:val="21"/>
          <w:szCs w:val="21"/>
          <w:highlight w:val="none"/>
        </w:rPr>
        <w:t>万元</w:t>
      </w:r>
      <w:r>
        <w:rPr>
          <w:rFonts w:hint="eastAsia" w:cs="宋体"/>
          <w:color w:val="auto"/>
          <w:sz w:val="21"/>
          <w:szCs w:val="21"/>
          <w:highlight w:val="none"/>
          <w:vertAlign w:val="superscript"/>
        </w:rPr>
        <w:t>1</w:t>
      </w:r>
      <w:r>
        <w:rPr>
          <w:rFonts w:hint="eastAsia" w:cs="宋体"/>
          <w:color w:val="auto"/>
          <w:sz w:val="21"/>
          <w:szCs w:val="21"/>
          <w:highlight w:val="none"/>
        </w:rPr>
        <w:t>，属于</w:t>
      </w:r>
      <w:r>
        <w:rPr>
          <w:rFonts w:hint="eastAsia" w:cs="宋体"/>
          <w:color w:val="auto"/>
          <w:sz w:val="21"/>
          <w:szCs w:val="21"/>
          <w:highlight w:val="none"/>
          <w:u w:val="single"/>
          <w:lang w:val="en-US" w:eastAsia="zh-CN"/>
        </w:rPr>
        <w:t xml:space="preserve">     </w:t>
      </w:r>
      <w:r>
        <w:rPr>
          <w:rFonts w:hint="eastAsia" w:cs="宋体"/>
          <w:i/>
          <w:iCs/>
          <w:color w:val="auto"/>
          <w:sz w:val="21"/>
          <w:szCs w:val="21"/>
          <w:highlight w:val="none"/>
          <w:u w:val="single"/>
        </w:rPr>
        <w:t>（中型企业、小型企业、微型企业）</w:t>
      </w:r>
      <w:r>
        <w:rPr>
          <w:rFonts w:hint="eastAsia" w:cs="宋体"/>
          <w:color w:val="auto"/>
          <w:sz w:val="21"/>
          <w:szCs w:val="21"/>
          <w:highlight w:val="none"/>
        </w:rPr>
        <w:t>；</w:t>
      </w:r>
    </w:p>
    <w:p>
      <w:pPr>
        <w:pStyle w:val="17"/>
        <w:spacing w:line="400" w:lineRule="exact"/>
        <w:ind w:firstLine="420" w:firstLineChars="200"/>
        <w:jc w:val="left"/>
        <w:rPr>
          <w:rFonts w:hint="eastAsia" w:cs="宋体"/>
          <w:color w:val="auto"/>
          <w:sz w:val="21"/>
          <w:szCs w:val="21"/>
          <w:highlight w:val="none"/>
        </w:rPr>
      </w:pPr>
    </w:p>
    <w:p>
      <w:pPr>
        <w:pStyle w:val="17"/>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以上企业，不属于大企业的分支机构，不存在控股股东为大企业的情形，也不存在与大企业的负责人为同一人的情形。</w:t>
      </w:r>
    </w:p>
    <w:p>
      <w:pPr>
        <w:pStyle w:val="17"/>
        <w:spacing w:line="400" w:lineRule="exact"/>
        <w:ind w:firstLine="420" w:firstLineChars="200"/>
        <w:jc w:val="left"/>
        <w:rPr>
          <w:rFonts w:cs="宋体"/>
          <w:color w:val="auto"/>
          <w:sz w:val="21"/>
          <w:szCs w:val="21"/>
          <w:highlight w:val="none"/>
        </w:rPr>
      </w:pPr>
      <w:r>
        <w:rPr>
          <w:rFonts w:hint="eastAsia" w:cs="宋体"/>
          <w:color w:val="auto"/>
          <w:sz w:val="21"/>
          <w:szCs w:val="21"/>
          <w:highlight w:val="none"/>
        </w:rPr>
        <w:t>本企业对上述声明内容的真实性负责。如有虚假，将依法承担相应责任。</w:t>
      </w:r>
    </w:p>
    <w:p>
      <w:pPr>
        <w:pStyle w:val="17"/>
        <w:spacing w:line="400" w:lineRule="exact"/>
        <w:ind w:firstLine="3360" w:firstLineChars="1600"/>
        <w:jc w:val="left"/>
        <w:rPr>
          <w:rFonts w:cs="宋体"/>
          <w:color w:val="auto"/>
          <w:sz w:val="21"/>
          <w:szCs w:val="21"/>
          <w:highlight w:val="none"/>
        </w:rPr>
      </w:pPr>
    </w:p>
    <w:p>
      <w:pPr>
        <w:pStyle w:val="17"/>
        <w:spacing w:line="400" w:lineRule="exact"/>
        <w:ind w:firstLine="4095" w:firstLineChars="1950"/>
        <w:jc w:val="left"/>
        <w:rPr>
          <w:rFonts w:cs="宋体"/>
          <w:color w:val="auto"/>
          <w:sz w:val="21"/>
          <w:szCs w:val="21"/>
          <w:highlight w:val="none"/>
        </w:rPr>
      </w:pPr>
      <w:r>
        <w:rPr>
          <w:rFonts w:hint="eastAsia" w:cs="宋体"/>
          <w:color w:val="auto"/>
          <w:sz w:val="21"/>
          <w:szCs w:val="21"/>
          <w:highlight w:val="none"/>
        </w:rPr>
        <w:t>企业名称（盖章）：</w:t>
      </w:r>
    </w:p>
    <w:p>
      <w:pPr>
        <w:pStyle w:val="19"/>
        <w:spacing w:line="400" w:lineRule="exact"/>
        <w:ind w:firstLine="4095" w:firstLineChars="1950"/>
        <w:rPr>
          <w:rFonts w:ascii="宋体" w:hAnsi="宋体" w:eastAsia="宋体"/>
          <w:color w:val="auto"/>
          <w:sz w:val="21"/>
          <w:szCs w:val="21"/>
          <w:highlight w:val="none"/>
        </w:rPr>
      </w:pPr>
      <w:r>
        <w:rPr>
          <w:rFonts w:hint="eastAsia" w:ascii="宋体" w:hAnsi="宋体" w:eastAsia="宋体" w:cs="宋体"/>
          <w:color w:val="auto"/>
          <w:sz w:val="21"/>
          <w:szCs w:val="21"/>
          <w:highlight w:val="none"/>
        </w:rPr>
        <w:t>日 期：</w:t>
      </w:r>
    </w:p>
    <w:p>
      <w:pPr>
        <w:spacing w:line="400" w:lineRule="exact"/>
        <w:jc w:val="center"/>
        <w:rPr>
          <w:rFonts w:ascii="宋体" w:hAnsi="宋体"/>
          <w:b/>
          <w:color w:val="auto"/>
          <w:szCs w:val="21"/>
          <w:highlight w:val="none"/>
        </w:rPr>
      </w:pPr>
    </w:p>
    <w:p>
      <w:pPr>
        <w:spacing w:line="400" w:lineRule="exact"/>
        <w:jc w:val="center"/>
        <w:rPr>
          <w:rFonts w:ascii="宋体" w:hAnsi="宋体"/>
          <w:b/>
          <w:color w:val="auto"/>
          <w:szCs w:val="21"/>
          <w:highlight w:val="none"/>
        </w:rPr>
      </w:pPr>
    </w:p>
    <w:p>
      <w:pPr>
        <w:spacing w:line="400" w:lineRule="exact"/>
        <w:jc w:val="center"/>
        <w:rPr>
          <w:rFonts w:ascii="宋体" w:hAnsi="宋体" w:cs="宋体"/>
          <w:color w:val="auto"/>
          <w:szCs w:val="21"/>
          <w:highlight w:val="none"/>
        </w:rPr>
      </w:pPr>
    </w:p>
    <w:p>
      <w:pPr>
        <w:spacing w:line="400" w:lineRule="exact"/>
        <w:jc w:val="center"/>
        <w:rPr>
          <w:rFonts w:ascii="宋体" w:hAnsi="宋体" w:cs="宋体"/>
          <w:color w:val="auto"/>
          <w:szCs w:val="21"/>
          <w:highlight w:val="none"/>
        </w:rPr>
      </w:pPr>
    </w:p>
    <w:p>
      <w:pPr>
        <w:spacing w:line="400" w:lineRule="exact"/>
        <w:jc w:val="center"/>
        <w:rPr>
          <w:rFonts w:ascii="宋体" w:hAnsi="宋体" w:cs="宋体"/>
          <w:color w:val="auto"/>
          <w:szCs w:val="21"/>
          <w:highlight w:val="none"/>
        </w:rPr>
      </w:pPr>
    </w:p>
    <w:p>
      <w:pPr>
        <w:spacing w:line="400" w:lineRule="exact"/>
        <w:jc w:val="center"/>
        <w:rPr>
          <w:rFonts w:ascii="宋体" w:hAnsi="宋体" w:cs="宋体"/>
          <w:color w:val="auto"/>
          <w:szCs w:val="21"/>
          <w:highlight w:val="none"/>
        </w:rPr>
      </w:pPr>
    </w:p>
    <w:p>
      <w:pPr>
        <w:spacing w:line="400" w:lineRule="exact"/>
        <w:ind w:firstLine="3780" w:firstLineChars="1800"/>
        <w:rPr>
          <w:rFonts w:ascii="宋体" w:hAnsi="宋体"/>
          <w:color w:val="auto"/>
          <w:szCs w:val="21"/>
          <w:highlight w:val="none"/>
        </w:rPr>
      </w:pPr>
    </w:p>
    <w:p>
      <w:pPr>
        <w:numPr>
          <w:ilvl w:val="0"/>
          <w:numId w:val="5"/>
        </w:numPr>
        <w:spacing w:line="588" w:lineRule="exact"/>
        <w:jc w:val="left"/>
        <w:rPr>
          <w:rFonts w:ascii="宋体" w:hAnsi="宋体"/>
          <w:color w:val="auto"/>
          <w:szCs w:val="21"/>
          <w:highlight w:val="none"/>
        </w:rPr>
      </w:pPr>
      <w:r>
        <w:rPr>
          <w:rFonts w:ascii="宋体" w:hAnsi="宋体"/>
          <w:color w:val="auto"/>
          <w:szCs w:val="21"/>
          <w:highlight w:val="none"/>
        </w:rPr>
        <w:t>从业人员、营业收入、资产总额填报上一年度数据，无上一年度数据的新成立企业可不填报。</w:t>
      </w:r>
    </w:p>
    <w:p>
      <w:pPr>
        <w:numPr>
          <w:ilvl w:val="0"/>
          <w:numId w:val="5"/>
        </w:numPr>
        <w:spacing w:line="588" w:lineRule="exact"/>
        <w:jc w:val="left"/>
        <w:rPr>
          <w:rFonts w:ascii="宋体" w:hAnsi="宋体"/>
          <w:color w:val="auto"/>
          <w:szCs w:val="21"/>
          <w:highlight w:val="none"/>
        </w:rPr>
      </w:pPr>
      <w:r>
        <w:rPr>
          <w:rFonts w:hint="eastAsia" w:ascii="宋体" w:hAnsi="宋体"/>
          <w:color w:val="auto"/>
          <w:szCs w:val="21"/>
          <w:highlight w:val="none"/>
        </w:rPr>
        <w:t>采购文件中明确的所属行业：详见招标文件第</w:t>
      </w:r>
      <w:r>
        <w:rPr>
          <w:rFonts w:hint="eastAsia" w:ascii="宋体" w:hAnsi="宋体"/>
          <w:color w:val="auto"/>
          <w:szCs w:val="21"/>
          <w:highlight w:val="none"/>
          <w:lang w:val="en-US" w:eastAsia="zh-CN"/>
        </w:rPr>
        <w:t>四</w:t>
      </w:r>
      <w:r>
        <w:rPr>
          <w:rFonts w:hint="eastAsia" w:ascii="宋体" w:hAnsi="宋体"/>
          <w:color w:val="auto"/>
          <w:szCs w:val="21"/>
          <w:highlight w:val="none"/>
        </w:rPr>
        <w:t>章。</w:t>
      </w:r>
    </w:p>
    <w:p>
      <w:pPr>
        <w:pStyle w:val="2"/>
        <w:rPr>
          <w:color w:val="auto"/>
          <w:highlight w:val="none"/>
        </w:rPr>
      </w:pPr>
    </w:p>
    <w:p>
      <w:pPr>
        <w:spacing w:line="400" w:lineRule="exact"/>
        <w:ind w:firstLine="420" w:firstLineChars="200"/>
        <w:jc w:val="center"/>
        <w:rPr>
          <w:rFonts w:ascii="宋体" w:hAnsi="宋体"/>
          <w:color w:val="auto"/>
          <w:szCs w:val="21"/>
          <w:highlight w:val="none"/>
        </w:rPr>
      </w:pPr>
    </w:p>
    <w:p>
      <w:pPr>
        <w:spacing w:line="360" w:lineRule="auto"/>
        <w:jc w:val="center"/>
        <w:rPr>
          <w:rFonts w:ascii="宋体" w:hAnsi="宋体"/>
          <w:b/>
          <w:color w:val="auto"/>
          <w:szCs w:val="21"/>
          <w:highlight w:val="none"/>
        </w:rPr>
      </w:pPr>
      <w:r>
        <w:rPr>
          <w:rFonts w:hint="eastAsia" w:ascii="宋体" w:hAnsi="宋体" w:eastAsia="宋体" w:cs="宋体"/>
          <w:b/>
          <w:i w:val="0"/>
          <w:iCs/>
          <w:color w:val="auto"/>
          <w:sz w:val="21"/>
          <w:szCs w:val="21"/>
          <w:highlight w:val="none"/>
        </w:rPr>
        <w:t>注：联合体投标的，本表由联合体双方</w:t>
      </w:r>
      <w:r>
        <w:rPr>
          <w:rFonts w:hint="eastAsia" w:ascii="宋体" w:hAnsi="宋体" w:eastAsia="宋体" w:cs="宋体"/>
          <w:b/>
          <w:i w:val="0"/>
          <w:iCs/>
          <w:color w:val="auto"/>
          <w:sz w:val="21"/>
          <w:szCs w:val="21"/>
          <w:highlight w:val="none"/>
          <w:lang w:val="en-US" w:eastAsia="zh-CN"/>
        </w:rPr>
        <w:t>各自</w:t>
      </w:r>
      <w:r>
        <w:rPr>
          <w:rFonts w:hint="eastAsia" w:ascii="宋体" w:hAnsi="宋体" w:eastAsia="宋体" w:cs="宋体"/>
          <w:b/>
          <w:i w:val="0"/>
          <w:iCs/>
          <w:color w:val="auto"/>
          <w:sz w:val="21"/>
          <w:szCs w:val="21"/>
          <w:highlight w:val="none"/>
        </w:rPr>
        <w:t>提供</w:t>
      </w:r>
      <w:r>
        <w:rPr>
          <w:rFonts w:ascii="宋体" w:hAnsi="宋体"/>
          <w:color w:val="auto"/>
          <w:szCs w:val="21"/>
          <w:highlight w:val="none"/>
        </w:rPr>
        <w:br w:type="page"/>
      </w:r>
      <w:r>
        <w:rPr>
          <w:rFonts w:hint="eastAsia" w:ascii="宋体" w:hAnsi="宋体"/>
          <w:b/>
          <w:color w:val="auto"/>
          <w:szCs w:val="21"/>
          <w:highlight w:val="none"/>
          <w:lang w:val="en-US" w:eastAsia="zh-CN"/>
        </w:rPr>
        <w:t>C4</w:t>
      </w:r>
      <w:r>
        <w:rPr>
          <w:rFonts w:hint="eastAsia" w:ascii="宋体" w:hAnsi="宋体"/>
          <w:b/>
          <w:color w:val="auto"/>
          <w:szCs w:val="21"/>
          <w:highlight w:val="none"/>
          <w:lang w:eastAsia="zh-CN"/>
        </w:rPr>
        <w:t>.</w:t>
      </w:r>
      <w:r>
        <w:rPr>
          <w:rFonts w:hint="eastAsia" w:ascii="宋体" w:hAnsi="宋体"/>
          <w:b/>
          <w:color w:val="auto"/>
          <w:szCs w:val="21"/>
          <w:highlight w:val="none"/>
        </w:rPr>
        <w:t>残疾人福利性单位声明函（如有需提供）</w:t>
      </w:r>
    </w:p>
    <w:p>
      <w:pP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本单位郑重声明，根据《财政部</w:t>
      </w:r>
      <w:r>
        <w:rPr>
          <w:rFonts w:ascii="宋体" w:hAnsi="宋体"/>
          <w:color w:val="auto"/>
          <w:szCs w:val="21"/>
          <w:highlight w:val="none"/>
        </w:rPr>
        <w:t xml:space="preserve"> </w:t>
      </w:r>
      <w:r>
        <w:rPr>
          <w:rFonts w:hint="eastAsia" w:ascii="宋体" w:hAnsi="宋体"/>
          <w:color w:val="auto"/>
          <w:szCs w:val="21"/>
          <w:highlight w:val="none"/>
        </w:rPr>
        <w:t>民政部</w:t>
      </w:r>
      <w:r>
        <w:rPr>
          <w:rFonts w:ascii="宋体" w:hAnsi="宋体"/>
          <w:color w:val="auto"/>
          <w:szCs w:val="21"/>
          <w:highlight w:val="none"/>
        </w:rPr>
        <w:t xml:space="preserve"> </w:t>
      </w:r>
      <w:r>
        <w:rPr>
          <w:rFonts w:hint="eastAsia" w:ascii="宋体" w:hAnsi="宋体"/>
          <w:color w:val="auto"/>
          <w:szCs w:val="21"/>
          <w:highlight w:val="none"/>
        </w:rPr>
        <w:t>中国残疾人联合会关于促进残疾人就业政府采购政策的通知》（财库〔</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141</w:t>
      </w:r>
      <w:r>
        <w:rPr>
          <w:rFonts w:hint="eastAsia" w:ascii="宋体" w:hAnsi="宋体"/>
          <w:color w:val="auto"/>
          <w:szCs w:val="21"/>
          <w:highlight w:val="none"/>
        </w:rPr>
        <w:t>号）的规定，本单位为符合条件的残疾人福利性单位，且本单位参加</w:t>
      </w:r>
      <w:r>
        <w:rPr>
          <w:rFonts w:ascii="宋体" w:hAnsi="宋体"/>
          <w:color w:val="auto"/>
          <w:szCs w:val="21"/>
          <w:highlight w:val="none"/>
        </w:rPr>
        <w:t>______</w:t>
      </w:r>
      <w:r>
        <w:rPr>
          <w:rFonts w:hint="eastAsia" w:ascii="宋体" w:hAnsi="宋体"/>
          <w:color w:val="auto"/>
          <w:szCs w:val="21"/>
          <w:highlight w:val="none"/>
        </w:rPr>
        <w:t>单位的</w:t>
      </w:r>
      <w:r>
        <w:rPr>
          <w:rFonts w:ascii="宋体" w:hAnsi="宋体"/>
          <w:color w:val="auto"/>
          <w:szCs w:val="21"/>
          <w:highlight w:val="none"/>
        </w:rPr>
        <w:t>______</w:t>
      </w:r>
      <w:r>
        <w:rPr>
          <w:rFonts w:hint="eastAsia" w:ascii="宋体" w:hAnsi="宋体"/>
          <w:color w:val="auto"/>
          <w:szCs w:val="21"/>
          <w:highlight w:val="none"/>
        </w:rPr>
        <w:t>项目采购活动提供本单位制造的货物（由本单位承担工程</w:t>
      </w:r>
      <w:r>
        <w:rPr>
          <w:rFonts w:ascii="宋体" w:hAnsi="宋体"/>
          <w:color w:val="auto"/>
          <w:szCs w:val="21"/>
          <w:highlight w:val="none"/>
        </w:rPr>
        <w:t>/</w:t>
      </w:r>
      <w:r>
        <w:rPr>
          <w:rFonts w:hint="eastAsia" w:ascii="宋体" w:hAnsi="宋体"/>
          <w:color w:val="auto"/>
          <w:szCs w:val="21"/>
          <w:highlight w:val="none"/>
        </w:rPr>
        <w:t>提供服务），或者提供其他残疾人福利性单位制造的货物（不包括使用非残疾人福利性单位注册商标的货物）。</w:t>
      </w:r>
    </w:p>
    <w:p>
      <w:pPr>
        <w:spacing w:line="588" w:lineRule="exact"/>
        <w:ind w:firstLine="420" w:firstLineChars="200"/>
        <w:rPr>
          <w:rFonts w:ascii="宋体" w:hAnsi="宋体"/>
          <w:color w:val="auto"/>
          <w:szCs w:val="21"/>
          <w:highlight w:val="none"/>
        </w:rPr>
      </w:pPr>
      <w:r>
        <w:rPr>
          <w:rFonts w:hint="eastAsia" w:ascii="宋体" w:hAnsi="宋体"/>
          <w:color w:val="auto"/>
          <w:szCs w:val="21"/>
          <w:highlight w:val="none"/>
        </w:rPr>
        <w:t>本单位对上述声明的真实性负责。如有虚假，将依法承担相应责任。</w:t>
      </w:r>
    </w:p>
    <w:p>
      <w:pPr>
        <w:spacing w:line="588" w:lineRule="exact"/>
        <w:ind w:firstLine="420" w:firstLineChars="200"/>
        <w:rPr>
          <w:rFonts w:ascii="宋体" w:hAnsi="宋体"/>
          <w:color w:val="auto"/>
          <w:szCs w:val="21"/>
          <w:highlight w:val="none"/>
        </w:rPr>
      </w:pPr>
    </w:p>
    <w:p>
      <w:pPr>
        <w:spacing w:line="588" w:lineRule="exact"/>
        <w:ind w:firstLine="420" w:firstLineChars="200"/>
        <w:rPr>
          <w:rFonts w:ascii="宋体" w:hAnsi="宋体"/>
          <w:color w:val="auto"/>
          <w:szCs w:val="21"/>
          <w:highlight w:val="none"/>
        </w:rPr>
      </w:pPr>
    </w:p>
    <w:p>
      <w:pPr>
        <w:tabs>
          <w:tab w:val="left" w:pos="4860"/>
        </w:tabs>
        <w:spacing w:line="588" w:lineRule="exact"/>
        <w:ind w:right="1560" w:firstLine="420" w:firstLineChars="20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单位名称（盖章）：</w:t>
      </w:r>
    </w:p>
    <w:p>
      <w:pPr>
        <w:tabs>
          <w:tab w:val="left" w:pos="4860"/>
        </w:tabs>
        <w:spacing w:line="588" w:lineRule="exact"/>
        <w:ind w:right="1560" w:firstLine="420" w:firstLineChars="200"/>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日</w:t>
      </w:r>
      <w:r>
        <w:rPr>
          <w:rFonts w:ascii="宋体" w:hAnsi="宋体"/>
          <w:color w:val="auto"/>
          <w:szCs w:val="21"/>
          <w:highlight w:val="none"/>
        </w:rPr>
        <w:t xml:space="preserve">  </w:t>
      </w:r>
      <w:r>
        <w:rPr>
          <w:rFonts w:hint="eastAsia" w:ascii="宋体" w:hAnsi="宋体"/>
          <w:color w:val="auto"/>
          <w:szCs w:val="21"/>
          <w:highlight w:val="none"/>
        </w:rPr>
        <w:t>期：</w:t>
      </w:r>
    </w:p>
    <w:p>
      <w:pPr>
        <w:spacing w:line="400" w:lineRule="exact"/>
        <w:ind w:firstLine="422" w:firstLineChars="200"/>
        <w:rPr>
          <w:rFonts w:ascii="宋体" w:hAnsi="宋体"/>
          <w:b/>
          <w:color w:val="auto"/>
          <w:szCs w:val="21"/>
          <w:highlight w:val="none"/>
        </w:rPr>
      </w:pP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享受政府采购支持政策的残疾人福利性单位应当同时满足以下条件：</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（一）安置的残疾人占本单位在职职工人数的比例不低于</w:t>
      </w:r>
      <w:r>
        <w:rPr>
          <w:rFonts w:ascii="宋体" w:hAnsi="宋体"/>
          <w:color w:val="auto"/>
          <w:szCs w:val="21"/>
          <w:highlight w:val="none"/>
        </w:rPr>
        <w:t>25%</w:t>
      </w:r>
      <w:r>
        <w:rPr>
          <w:rFonts w:hint="eastAsia" w:ascii="宋体" w:hAnsi="宋体"/>
          <w:color w:val="auto"/>
          <w:szCs w:val="21"/>
          <w:highlight w:val="none"/>
        </w:rPr>
        <w:t>（含</w:t>
      </w:r>
      <w:r>
        <w:rPr>
          <w:rFonts w:ascii="宋体" w:hAnsi="宋体"/>
          <w:color w:val="auto"/>
          <w:szCs w:val="21"/>
          <w:highlight w:val="none"/>
        </w:rPr>
        <w:t>25%</w:t>
      </w:r>
      <w:r>
        <w:rPr>
          <w:rFonts w:hint="eastAsia" w:ascii="宋体" w:hAnsi="宋体"/>
          <w:color w:val="auto"/>
          <w:szCs w:val="21"/>
          <w:highlight w:val="none"/>
        </w:rPr>
        <w:t>），并且安置的残疾人人数不少于</w:t>
      </w:r>
      <w:r>
        <w:rPr>
          <w:rFonts w:ascii="宋体" w:hAnsi="宋体"/>
          <w:color w:val="auto"/>
          <w:szCs w:val="21"/>
          <w:highlight w:val="none"/>
        </w:rPr>
        <w:t>10</w:t>
      </w:r>
      <w:r>
        <w:rPr>
          <w:rFonts w:hint="eastAsia" w:ascii="宋体" w:hAnsi="宋体"/>
          <w:color w:val="auto"/>
          <w:szCs w:val="21"/>
          <w:highlight w:val="none"/>
        </w:rPr>
        <w:t>人（含</w:t>
      </w:r>
      <w:r>
        <w:rPr>
          <w:rFonts w:ascii="宋体" w:hAnsi="宋体"/>
          <w:color w:val="auto"/>
          <w:szCs w:val="21"/>
          <w:highlight w:val="none"/>
        </w:rPr>
        <w:t>10</w:t>
      </w:r>
      <w:r>
        <w:rPr>
          <w:rFonts w:hint="eastAsia" w:ascii="宋体" w:hAnsi="宋体"/>
          <w:color w:val="auto"/>
          <w:szCs w:val="21"/>
          <w:highlight w:val="none"/>
        </w:rPr>
        <w:t>人）；</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（二）依法与安置的每位残疾人签订了一年以上（含一年）的劳动合同或服务协议；</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（五）提供本单位制造的货物、承担的工程或者服务（以下简称产品），或者提供其他残疾人福利性单位制造的货物（不包括使用非残疾人福利性单位注册商标的货物）。</w:t>
      </w:r>
    </w:p>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前款所称残疾人是指法定劳动年龄内，持有《中华人民共和国残疾人证》或者《中华人民共和国残疾军人证（</w:t>
      </w:r>
      <w:r>
        <w:rPr>
          <w:rFonts w:ascii="宋体" w:hAnsi="宋体"/>
          <w:color w:val="auto"/>
          <w:szCs w:val="21"/>
          <w:highlight w:val="none"/>
        </w:rPr>
        <w:t>1</w:t>
      </w:r>
      <w:r>
        <w:rPr>
          <w:rFonts w:hint="eastAsia" w:ascii="宋体" w:hAnsi="宋体"/>
          <w:color w:val="auto"/>
          <w:szCs w:val="21"/>
          <w:highlight w:val="none"/>
        </w:rPr>
        <w:t>至</w:t>
      </w:r>
      <w:r>
        <w:rPr>
          <w:rFonts w:ascii="宋体" w:hAnsi="宋体"/>
          <w:color w:val="auto"/>
          <w:szCs w:val="21"/>
          <w:highlight w:val="none"/>
        </w:rPr>
        <w:t>8</w:t>
      </w:r>
      <w:r>
        <w:rPr>
          <w:rFonts w:hint="eastAsia" w:ascii="宋体" w:hAnsi="宋体"/>
          <w:color w:val="auto"/>
          <w:szCs w:val="21"/>
          <w:highlight w:val="none"/>
        </w:rPr>
        <w:t>级）》的自然人，包括具有劳动条件和劳动意愿的精神残疾人。在职职工人数是指与残疾人福利性单位建立劳动关系并依法签订劳动合同或者服务协议的雇员人数。</w:t>
      </w:r>
    </w:p>
    <w:p>
      <w:pPr>
        <w:rPr>
          <w:rFonts w:ascii="宋体" w:hAnsi="宋体"/>
          <w:b/>
          <w:color w:val="auto"/>
          <w:szCs w:val="21"/>
          <w:highlight w:val="none"/>
        </w:rPr>
      </w:pPr>
      <w:r>
        <w:rPr>
          <w:rFonts w:ascii="宋体" w:hAnsi="宋体"/>
          <w:b/>
          <w:color w:val="auto"/>
          <w:szCs w:val="21"/>
          <w:highlight w:val="none"/>
        </w:rPr>
        <w:br w:type="page"/>
      </w:r>
    </w:p>
    <w:p>
      <w:pPr>
        <w:spacing w:line="360" w:lineRule="auto"/>
        <w:jc w:val="center"/>
        <w:rPr>
          <w:rFonts w:ascii="宋体" w:hAnsi="宋体"/>
          <w:b/>
          <w:color w:val="auto"/>
          <w:szCs w:val="21"/>
          <w:highlight w:val="none"/>
        </w:rPr>
      </w:pPr>
      <w:r>
        <w:rPr>
          <w:rFonts w:ascii="宋体" w:hAnsi="宋体"/>
          <w:b/>
          <w:color w:val="auto"/>
          <w:szCs w:val="21"/>
          <w:highlight w:val="none"/>
        </w:rPr>
        <w:t>C</w:t>
      </w:r>
      <w:r>
        <w:rPr>
          <w:rFonts w:hint="eastAsia" w:ascii="宋体" w:hAnsi="宋体"/>
          <w:b/>
          <w:color w:val="auto"/>
          <w:szCs w:val="21"/>
          <w:highlight w:val="none"/>
          <w:lang w:val="en-US" w:eastAsia="zh-CN"/>
        </w:rPr>
        <w:t>5</w:t>
      </w:r>
      <w:r>
        <w:rPr>
          <w:rFonts w:hint="eastAsia" w:ascii="宋体" w:hAnsi="宋体"/>
          <w:b/>
          <w:color w:val="auto"/>
          <w:szCs w:val="21"/>
          <w:highlight w:val="none"/>
          <w:lang w:eastAsia="zh-CN"/>
        </w:rPr>
        <w:t>.</w:t>
      </w:r>
      <w:r>
        <w:rPr>
          <w:rFonts w:hint="eastAsia" w:ascii="宋体" w:hAnsi="宋体"/>
          <w:b/>
          <w:color w:val="auto"/>
          <w:szCs w:val="21"/>
          <w:highlight w:val="none"/>
        </w:rPr>
        <w:t>供应商认为需要的其他资料（如有需提供）</w:t>
      </w:r>
      <w:bookmarkEnd w:id="70"/>
      <w:bookmarkEnd w:id="71"/>
      <w:bookmarkEnd w:id="72"/>
    </w:p>
    <w:p>
      <w:pPr>
        <w:autoSpaceDE w:val="0"/>
        <w:autoSpaceDN w:val="0"/>
        <w:adjustRightInd w:val="0"/>
        <w:spacing w:line="400" w:lineRule="exact"/>
        <w:outlineLvl w:val="0"/>
        <w:rPr>
          <w:rFonts w:ascii="宋体" w:hAnsi="宋体"/>
          <w:b/>
          <w:color w:val="auto"/>
          <w:szCs w:val="21"/>
          <w:highlight w:val="none"/>
        </w:rPr>
      </w:pPr>
    </w:p>
    <w:p>
      <w:pPr>
        <w:spacing w:line="360" w:lineRule="auto"/>
        <w:jc w:val="center"/>
        <w:rPr>
          <w:rFonts w:ascii="宋体" w:hAnsi="宋体"/>
          <w:b/>
          <w:color w:val="auto"/>
          <w:szCs w:val="21"/>
          <w:highlight w:val="none"/>
        </w:rPr>
      </w:pPr>
      <w:r>
        <w:rPr>
          <w:rStyle w:val="168"/>
          <w:rFonts w:ascii="宋体" w:hAnsi="宋体"/>
          <w:color w:val="auto"/>
          <w:sz w:val="21"/>
          <w:szCs w:val="21"/>
          <w:highlight w:val="none"/>
        </w:rPr>
        <w:br w:type="page"/>
      </w:r>
      <w:bookmarkStart w:id="73" w:name="_Toc74987468"/>
      <w:bookmarkStart w:id="74" w:name="_Toc74987436"/>
      <w:r>
        <w:rPr>
          <w:rFonts w:hint="eastAsia" w:ascii="宋体" w:hAnsi="宋体"/>
          <w:b/>
          <w:color w:val="auto"/>
          <w:szCs w:val="21"/>
          <w:highlight w:val="none"/>
        </w:rPr>
        <w:t>政府采购活动现场确认声明书</w:t>
      </w:r>
      <w:bookmarkEnd w:id="73"/>
      <w:bookmarkEnd w:id="74"/>
    </w:p>
    <w:p>
      <w:pPr>
        <w:pStyle w:val="136"/>
        <w:snapToGrid w:val="0"/>
        <w:spacing w:line="400" w:lineRule="exact"/>
        <w:rPr>
          <w:rFonts w:hAnsi="宋体"/>
          <w:color w:val="auto"/>
          <w:szCs w:val="21"/>
          <w:highlight w:val="none"/>
        </w:rPr>
      </w:pPr>
      <w:r>
        <w:rPr>
          <w:rFonts w:hint="eastAsia" w:hAnsi="宋体"/>
          <w:color w:val="auto"/>
          <w:szCs w:val="21"/>
          <w:highlight w:val="none"/>
        </w:rPr>
        <w:t>致：采购人</w:t>
      </w:r>
    </w:p>
    <w:p>
      <w:pPr>
        <w:pStyle w:val="136"/>
        <w:snapToGrid w:val="0"/>
        <w:spacing w:line="400" w:lineRule="exact"/>
        <w:ind w:firstLine="420" w:firstLineChars="200"/>
        <w:rPr>
          <w:rFonts w:hAnsi="宋体"/>
          <w:color w:val="auto"/>
          <w:szCs w:val="21"/>
          <w:highlight w:val="none"/>
        </w:rPr>
      </w:pPr>
      <w:r>
        <w:rPr>
          <w:rFonts w:hint="eastAsia" w:hAnsi="宋体"/>
          <w:color w:val="auto"/>
          <w:szCs w:val="21"/>
          <w:highlight w:val="none"/>
        </w:rPr>
        <w:t>本人经由</w:t>
      </w:r>
      <w:r>
        <w:rPr>
          <w:rFonts w:hint="eastAsia" w:hAnsi="宋体" w:cs="宋体"/>
          <w:color w:val="auto"/>
          <w:szCs w:val="21"/>
          <w:highlight w:val="none"/>
          <w:u w:val="single"/>
        </w:rPr>
        <w:t>（供应商名称）法定代表人</w:t>
      </w:r>
      <w:r>
        <w:rPr>
          <w:rFonts w:hint="eastAsia" w:hAnsi="宋体"/>
          <w:color w:val="auto"/>
          <w:szCs w:val="21"/>
          <w:highlight w:val="none"/>
        </w:rPr>
        <w:t>（负责人）</w:t>
      </w:r>
      <w:r>
        <w:rPr>
          <w:rFonts w:hAnsi="宋体"/>
          <w:color w:val="auto"/>
          <w:szCs w:val="21"/>
          <w:highlight w:val="none"/>
          <w:u w:val="single"/>
        </w:rPr>
        <w:t xml:space="preserve">  </w:t>
      </w:r>
      <w:r>
        <w:rPr>
          <w:rFonts w:hint="eastAsia" w:hAnsi="宋体"/>
          <w:color w:val="auto"/>
          <w:szCs w:val="21"/>
          <w:highlight w:val="none"/>
          <w:u w:val="single"/>
        </w:rPr>
        <w:t xml:space="preserve"> </w:t>
      </w:r>
      <w:r>
        <w:rPr>
          <w:rFonts w:hAnsi="宋体"/>
          <w:color w:val="auto"/>
          <w:szCs w:val="21"/>
          <w:highlight w:val="none"/>
          <w:u w:val="single"/>
        </w:rPr>
        <w:t xml:space="preserve">  </w:t>
      </w:r>
      <w:r>
        <w:rPr>
          <w:rFonts w:hint="eastAsia" w:hAnsi="宋体"/>
          <w:color w:val="auto"/>
          <w:szCs w:val="21"/>
          <w:highlight w:val="none"/>
          <w:u w:val="single"/>
        </w:rPr>
        <w:t>（姓名）</w:t>
      </w:r>
      <w:r>
        <w:rPr>
          <w:rFonts w:hint="eastAsia" w:hAnsi="宋体"/>
          <w:color w:val="auto"/>
          <w:szCs w:val="21"/>
          <w:highlight w:val="none"/>
        </w:rPr>
        <w:t>合法授权参加</w:t>
      </w:r>
      <w:r>
        <w:rPr>
          <w:rFonts w:hint="eastAsia" w:hAnsi="宋体"/>
          <w:color w:val="auto"/>
          <w:szCs w:val="21"/>
          <w:highlight w:val="none"/>
          <w:u w:val="single"/>
          <w:lang w:eastAsia="zh-CN"/>
        </w:rPr>
        <w:t>慈溪市匡堰城镇单元控制性详细规划项目</w:t>
      </w:r>
      <w:r>
        <w:rPr>
          <w:rFonts w:hint="eastAsia" w:hAnsi="宋体"/>
          <w:color w:val="auto"/>
          <w:szCs w:val="21"/>
          <w:highlight w:val="none"/>
        </w:rPr>
        <w:t>（项目编号：</w:t>
      </w:r>
      <w:r>
        <w:rPr>
          <w:rFonts w:hint="eastAsia" w:hAnsi="宋体"/>
          <w:color w:val="auto"/>
          <w:szCs w:val="21"/>
          <w:highlight w:val="none"/>
          <w:u w:val="single"/>
        </w:rPr>
        <w:t xml:space="preserve"> </w:t>
      </w:r>
      <w:r>
        <w:rPr>
          <w:color w:val="auto"/>
          <w:highlight w:val="none"/>
        </w:rPr>
        <w:fldChar w:fldCharType="begin"/>
      </w:r>
      <w:r>
        <w:rPr>
          <w:color w:val="auto"/>
          <w:highlight w:val="none"/>
        </w:rPr>
        <w:instrText xml:space="preserve"> HYPERLINK "https://pay.zcygov.cn/purchaseplan_front/" \l "/plan/list/detail?id=1000000000007569839&amp;encrypt=1f2544fa333427dcec2e1c5237868c71" \t "https://www.zcygov.cn/bid-inviting/purchaseFileMake/announcementInfo/_blank" \o "CXZFCG[2022]658号" </w:instrText>
      </w:r>
      <w:r>
        <w:rPr>
          <w:color w:val="auto"/>
          <w:highlight w:val="none"/>
        </w:rPr>
        <w:fldChar w:fldCharType="separate"/>
      </w:r>
      <w:r>
        <w:rPr>
          <w:rFonts w:hint="eastAsia" w:hAnsi="宋体"/>
          <w:color w:val="auto"/>
          <w:szCs w:val="21"/>
          <w:highlight w:val="none"/>
          <w:u w:val="single"/>
        </w:rPr>
        <w:t xml:space="preserve"> </w:t>
      </w:r>
      <w:r>
        <w:rPr>
          <w:rFonts w:hint="eastAsia" w:hAnsi="宋体"/>
          <w:color w:val="auto"/>
          <w:szCs w:val="21"/>
          <w:highlight w:val="none"/>
          <w:u w:val="single"/>
        </w:rPr>
        <w:fldChar w:fldCharType="end"/>
      </w:r>
      <w:r>
        <w:rPr>
          <w:rFonts w:hint="eastAsia" w:hAnsi="宋体"/>
          <w:color w:val="auto"/>
          <w:szCs w:val="21"/>
          <w:highlight w:val="none"/>
          <w:u w:val="single"/>
        </w:rPr>
        <w:t xml:space="preserve"> </w:t>
      </w:r>
      <w:r>
        <w:rPr>
          <w:rFonts w:hint="eastAsia" w:hAnsi="宋体"/>
          <w:color w:val="auto"/>
          <w:szCs w:val="21"/>
          <w:highlight w:val="none"/>
        </w:rPr>
        <w:t>）政府采购活动，经与本单位法定代表人（负责人）联系确认，现就有关公平竞争事项郑重声明如下：</w:t>
      </w:r>
    </w:p>
    <w:p>
      <w:pPr>
        <w:pStyle w:val="221"/>
        <w:widowControl/>
        <w:numPr>
          <w:ilvl w:val="0"/>
          <w:numId w:val="6"/>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本单位与采购人之间</w:t>
      </w:r>
    </w:p>
    <w:p>
      <w:pPr>
        <w:pStyle w:val="221"/>
        <w:widowControl/>
        <w:snapToGrid w:val="0"/>
        <w:spacing w:line="400" w:lineRule="exact"/>
        <w:ind w:firstLine="425"/>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不存在利害关系</w:t>
      </w:r>
    </w:p>
    <w:p>
      <w:pPr>
        <w:pStyle w:val="221"/>
        <w:widowControl/>
        <w:snapToGrid w:val="0"/>
        <w:spacing w:line="400" w:lineRule="exact"/>
        <w:ind w:firstLine="425"/>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存在下列利害关系：</w:t>
      </w:r>
    </w:p>
    <w:p>
      <w:pPr>
        <w:pStyle w:val="221"/>
        <w:widowControl/>
        <w:snapToGrid w:val="0"/>
        <w:spacing w:line="400" w:lineRule="exact"/>
        <w:ind w:left="397" w:firstLine="28"/>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投资关系</w:t>
      </w:r>
      <w:r>
        <w:rPr>
          <w:rFonts w:ascii="宋体" w:hAnsi="宋体"/>
          <w:color w:val="auto"/>
          <w:szCs w:val="21"/>
          <w:highlight w:val="none"/>
        </w:rPr>
        <w:t xml:space="preserve">    B.</w:t>
      </w:r>
      <w:r>
        <w:rPr>
          <w:rFonts w:hint="eastAsia" w:ascii="宋体" w:hAnsi="宋体"/>
          <w:color w:val="auto"/>
          <w:szCs w:val="21"/>
          <w:highlight w:val="none"/>
        </w:rPr>
        <w:t>行政隶属关系</w:t>
      </w:r>
      <w:r>
        <w:rPr>
          <w:rFonts w:ascii="宋体" w:hAnsi="宋体"/>
          <w:color w:val="auto"/>
          <w:szCs w:val="21"/>
          <w:highlight w:val="none"/>
        </w:rPr>
        <w:t xml:space="preserve">    C.</w:t>
      </w:r>
      <w:r>
        <w:rPr>
          <w:rFonts w:hint="eastAsia" w:ascii="宋体" w:hAnsi="宋体"/>
          <w:color w:val="auto"/>
          <w:szCs w:val="21"/>
          <w:highlight w:val="none"/>
        </w:rPr>
        <w:t>业务指导关系</w:t>
      </w:r>
    </w:p>
    <w:p>
      <w:pPr>
        <w:pStyle w:val="221"/>
        <w:widowControl/>
        <w:snapToGrid w:val="0"/>
        <w:spacing w:line="400" w:lineRule="exact"/>
        <w:ind w:left="397" w:firstLine="23"/>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其他可能影响采购公正的利害关系</w:t>
      </w:r>
      <w:r>
        <w:rPr>
          <w:rFonts w:hint="eastAsia" w:ascii="宋体" w:hAnsi="宋体"/>
          <w:color w:val="auto"/>
          <w:szCs w:val="21"/>
          <w:highlight w:val="none"/>
          <w:u w:val="single"/>
        </w:rPr>
        <w:t>（如有，请如实说明）</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221"/>
        <w:widowControl/>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二、现已清楚知道参加本项目采购活动的其他所有供应商名称，本单位</w:t>
      </w:r>
    </w:p>
    <w:p>
      <w:pPr>
        <w:pStyle w:val="221"/>
        <w:widowControl/>
        <w:snapToGrid w:val="0"/>
        <w:spacing w:line="400" w:lineRule="exact"/>
        <w:ind w:firstLine="420" w:firstLineChars="200"/>
        <w:rPr>
          <w:rFonts w:ascii="宋体" w:hAnsi="宋体"/>
          <w:color w:val="auto"/>
          <w:szCs w:val="21"/>
          <w:highlight w:val="none"/>
        </w:rPr>
      </w:pPr>
      <w:r>
        <w:rPr>
          <w:rFonts w:hint="eastAsia" w:ascii="宋体" w:hAnsi="宋体" w:cs="宋体"/>
          <w:color w:val="auto"/>
          <w:szCs w:val="21"/>
          <w:highlight w:val="none"/>
        </w:rPr>
        <w:t>□与其他所有供应商之间均</w:t>
      </w:r>
      <w:r>
        <w:rPr>
          <w:rFonts w:hint="eastAsia" w:ascii="宋体" w:hAnsi="宋体"/>
          <w:color w:val="auto"/>
          <w:szCs w:val="21"/>
          <w:highlight w:val="none"/>
        </w:rPr>
        <w:t>不存在利害关系</w:t>
      </w:r>
    </w:p>
    <w:p>
      <w:pPr>
        <w:pStyle w:val="221"/>
        <w:widowControl/>
        <w:snapToGrid w:val="0"/>
        <w:spacing w:line="400" w:lineRule="exact"/>
        <w:ind w:firstLine="420" w:firstLineChars="200"/>
        <w:rPr>
          <w:rFonts w:ascii="宋体" w:hAnsi="宋体"/>
          <w:color w:val="auto"/>
          <w:szCs w:val="21"/>
          <w:highlight w:val="none"/>
        </w:rPr>
      </w:pPr>
      <w:r>
        <w:rPr>
          <w:rFonts w:hint="eastAsia" w:ascii="宋体" w:hAnsi="宋体" w:cs="宋体"/>
          <w:color w:val="auto"/>
          <w:szCs w:val="21"/>
          <w:highlight w:val="none"/>
        </w:rPr>
        <w:t>□与</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（供应商名称）</w:t>
      </w:r>
      <w:r>
        <w:rPr>
          <w:rFonts w:hint="eastAsia" w:ascii="宋体" w:hAnsi="宋体" w:cs="宋体"/>
          <w:color w:val="auto"/>
          <w:szCs w:val="21"/>
          <w:highlight w:val="none"/>
        </w:rPr>
        <w:t>之间</w:t>
      </w:r>
      <w:r>
        <w:rPr>
          <w:rFonts w:hint="eastAsia" w:ascii="宋体" w:hAnsi="宋体"/>
          <w:color w:val="auto"/>
          <w:szCs w:val="21"/>
          <w:highlight w:val="none"/>
        </w:rPr>
        <w:t>存在下列利害关系：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法定代表人或负责人或实际控制人是同一人</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B.</w:t>
      </w:r>
      <w:r>
        <w:rPr>
          <w:rFonts w:hint="eastAsia" w:ascii="宋体" w:hAnsi="宋体"/>
          <w:color w:val="auto"/>
          <w:szCs w:val="21"/>
          <w:highlight w:val="none"/>
        </w:rPr>
        <w:t>法定代表人或负责人或实际控制人是夫妻关系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法定代表人或负责人或实际控制人是直系血亲关系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D.</w:t>
      </w:r>
      <w:r>
        <w:rPr>
          <w:rFonts w:hint="eastAsia" w:ascii="宋体" w:hAnsi="宋体"/>
          <w:color w:val="auto"/>
          <w:szCs w:val="21"/>
          <w:highlight w:val="none"/>
        </w:rPr>
        <w:t>法定代表人或负责人或实际控制人存在三代以内旁系血亲关系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E.</w:t>
      </w:r>
      <w:r>
        <w:rPr>
          <w:rFonts w:hint="eastAsia" w:ascii="宋体" w:hAnsi="宋体"/>
          <w:color w:val="auto"/>
          <w:szCs w:val="21"/>
          <w:highlight w:val="none"/>
        </w:rPr>
        <w:t>法定代表人或负责人或实际控制人存在近姻亲关系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F.</w:t>
      </w:r>
      <w:r>
        <w:rPr>
          <w:rFonts w:hint="eastAsia" w:ascii="宋体" w:hAnsi="宋体"/>
          <w:color w:val="auto"/>
          <w:szCs w:val="21"/>
          <w:highlight w:val="none"/>
        </w:rPr>
        <w:t>法定代表人或负责人或实际控制人存在股份控制或实际控制关系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G.</w:t>
      </w:r>
      <w:r>
        <w:rPr>
          <w:rFonts w:hint="eastAsia" w:ascii="宋体" w:hAnsi="宋体"/>
          <w:color w:val="auto"/>
          <w:szCs w:val="21"/>
          <w:highlight w:val="none"/>
        </w:rPr>
        <w:t>存在共同直接或间接投资设立子公司、联营企业和合营企业情况</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H.</w:t>
      </w:r>
      <w:r>
        <w:rPr>
          <w:rFonts w:hint="eastAsia" w:ascii="宋体" w:hAnsi="宋体"/>
          <w:color w:val="auto"/>
          <w:szCs w:val="21"/>
          <w:highlight w:val="none"/>
        </w:rPr>
        <w:t>存在分级代理或代销关系、同一生产制造商关系、管理关系、重要业务（占主营业务收入</w:t>
      </w:r>
      <w:r>
        <w:rPr>
          <w:rFonts w:ascii="宋体" w:hAnsi="宋体"/>
          <w:color w:val="auto"/>
          <w:szCs w:val="21"/>
          <w:highlight w:val="none"/>
        </w:rPr>
        <w:t>50%</w:t>
      </w:r>
      <w:r>
        <w:rPr>
          <w:rFonts w:hint="eastAsia" w:ascii="宋体" w:hAnsi="宋体"/>
          <w:color w:val="auto"/>
          <w:szCs w:val="21"/>
          <w:highlight w:val="none"/>
        </w:rPr>
        <w:t>以上）或重要财务往来关系（如融资）等其他实质性控制关系</w:t>
      </w:r>
    </w:p>
    <w:p>
      <w:pPr>
        <w:pStyle w:val="221"/>
        <w:widowControl/>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I.</w:t>
      </w:r>
      <w:r>
        <w:rPr>
          <w:rFonts w:hint="eastAsia" w:ascii="宋体" w:hAnsi="宋体"/>
          <w:color w:val="auto"/>
          <w:szCs w:val="21"/>
          <w:highlight w:val="none"/>
        </w:rPr>
        <w:t>其他利害关系情况。</w:t>
      </w:r>
    </w:p>
    <w:p>
      <w:pPr>
        <w:pStyle w:val="221"/>
        <w:widowControl/>
        <w:numPr>
          <w:ilvl w:val="0"/>
          <w:numId w:val="7"/>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现已清楚知道并严格遵守政府采购法律法规和现场纪律。</w:t>
      </w:r>
    </w:p>
    <w:p>
      <w:pPr>
        <w:pStyle w:val="221"/>
        <w:widowControl/>
        <w:numPr>
          <w:ilvl w:val="0"/>
          <w:numId w:val="7"/>
        </w:numPr>
        <w:snapToGrid w:val="0"/>
        <w:spacing w:line="400" w:lineRule="exact"/>
        <w:ind w:firstLine="396" w:firstLineChars="189"/>
        <w:rPr>
          <w:rFonts w:ascii="宋体" w:hAnsi="宋体"/>
          <w:color w:val="auto"/>
          <w:szCs w:val="21"/>
          <w:highlight w:val="none"/>
        </w:rPr>
      </w:pPr>
      <w:r>
        <w:rPr>
          <w:rFonts w:hint="eastAsia" w:ascii="宋体" w:hAnsi="宋体"/>
          <w:color w:val="auto"/>
          <w:szCs w:val="21"/>
          <w:highlight w:val="none"/>
        </w:rPr>
        <w:t>我发现</w:t>
      </w:r>
      <w:r>
        <w:rPr>
          <w:rFonts w:ascii="宋体" w:hAnsi="宋体" w:cs="宋体"/>
          <w:color w:val="auto"/>
          <w:szCs w:val="21"/>
          <w:highlight w:val="none"/>
          <w:u w:val="single"/>
        </w:rPr>
        <w:t xml:space="preserve">           </w:t>
      </w:r>
      <w:r>
        <w:rPr>
          <w:rFonts w:hint="eastAsia" w:ascii="宋体" w:hAnsi="宋体"/>
          <w:color w:val="auto"/>
          <w:szCs w:val="21"/>
          <w:highlight w:val="none"/>
          <w:u w:val="single"/>
        </w:rPr>
        <w:t>供应商</w:t>
      </w:r>
      <w:r>
        <w:rPr>
          <w:rFonts w:ascii="宋体" w:hAnsi="宋体" w:cs="宋体"/>
          <w:color w:val="auto"/>
          <w:szCs w:val="21"/>
          <w:highlight w:val="none"/>
          <w:u w:val="single"/>
        </w:rPr>
        <w:t xml:space="preserve">           </w:t>
      </w:r>
      <w:r>
        <w:rPr>
          <w:rFonts w:hint="eastAsia" w:ascii="宋体" w:hAnsi="宋体"/>
          <w:color w:val="auto"/>
          <w:szCs w:val="21"/>
          <w:highlight w:val="none"/>
        </w:rPr>
        <w:t>之间存在或可能存在上述第二条第项利害关系。</w:t>
      </w:r>
    </w:p>
    <w:p>
      <w:pPr>
        <w:pStyle w:val="136"/>
        <w:snapToGrid w:val="0"/>
        <w:spacing w:line="400" w:lineRule="exact"/>
        <w:ind w:firstLine="420" w:firstLineChars="200"/>
        <w:rPr>
          <w:rFonts w:hAnsi="宋体"/>
          <w:color w:val="auto"/>
          <w:szCs w:val="21"/>
          <w:highlight w:val="none"/>
        </w:rPr>
      </w:pPr>
    </w:p>
    <w:p>
      <w:pPr>
        <w:pStyle w:val="136"/>
        <w:snapToGrid w:val="0"/>
        <w:spacing w:line="400" w:lineRule="exact"/>
        <w:ind w:firstLine="1365" w:firstLineChars="650"/>
        <w:rPr>
          <w:rFonts w:hAnsi="宋体"/>
          <w:color w:val="auto"/>
          <w:szCs w:val="21"/>
          <w:highlight w:val="none"/>
        </w:rPr>
      </w:pPr>
      <w:r>
        <w:rPr>
          <w:rFonts w:hAnsi="宋体"/>
          <w:color w:val="auto"/>
          <w:szCs w:val="21"/>
          <w:highlight w:val="none"/>
        </w:rPr>
        <w:t xml:space="preserve">                                </w:t>
      </w:r>
      <w:r>
        <w:rPr>
          <w:rFonts w:hint="eastAsia" w:hAnsi="宋体"/>
          <w:color w:val="auto"/>
          <w:szCs w:val="21"/>
          <w:highlight w:val="none"/>
        </w:rPr>
        <w:t>（供应商代表签名）</w:t>
      </w:r>
    </w:p>
    <w:p>
      <w:pPr>
        <w:spacing w:line="400" w:lineRule="exact"/>
        <w:ind w:firstLine="1318" w:firstLineChars="628"/>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p>
    <w:p>
      <w:pPr>
        <w:spacing w:line="500" w:lineRule="exact"/>
        <w:rPr>
          <w:rFonts w:ascii="宋体" w:hAnsi="宋体"/>
          <w:b/>
          <w:color w:val="auto"/>
          <w:sz w:val="24"/>
          <w:szCs w:val="24"/>
          <w:highlight w:val="none"/>
        </w:rPr>
      </w:pPr>
      <w:r>
        <w:rPr>
          <w:rFonts w:hint="eastAsia" w:ascii="宋体" w:hAnsi="宋体"/>
          <w:b/>
          <w:color w:val="auto"/>
          <w:sz w:val="24"/>
          <w:szCs w:val="24"/>
          <w:highlight w:val="none"/>
        </w:rPr>
        <w:t>注：</w:t>
      </w:r>
      <w:r>
        <w:rPr>
          <w:rFonts w:ascii="宋体" w:hAnsi="宋体"/>
          <w:b/>
          <w:color w:val="auto"/>
          <w:sz w:val="24"/>
          <w:szCs w:val="24"/>
          <w:highlight w:val="none"/>
        </w:rPr>
        <w:t>1</w:t>
      </w:r>
      <w:r>
        <w:rPr>
          <w:rFonts w:hint="eastAsia" w:ascii="宋体" w:hAnsi="宋体"/>
          <w:b/>
          <w:color w:val="auto"/>
          <w:sz w:val="24"/>
          <w:szCs w:val="24"/>
          <w:highlight w:val="none"/>
        </w:rPr>
        <w:t>、本表非投标文件的组成</w:t>
      </w:r>
      <w:r>
        <w:rPr>
          <w:rFonts w:hint="eastAsia" w:ascii="宋体" w:hAnsi="宋体" w:eastAsia="宋体" w:cs="Times New Roman"/>
          <w:b/>
          <w:color w:val="auto"/>
          <w:sz w:val="24"/>
          <w:szCs w:val="24"/>
          <w:highlight w:val="none"/>
        </w:rPr>
        <w:t>内容，</w:t>
      </w:r>
      <w:r>
        <w:rPr>
          <w:rFonts w:hint="eastAsia" w:ascii="宋体" w:hAnsi="宋体" w:cs="Times New Roman"/>
          <w:b/>
          <w:color w:val="auto"/>
          <w:sz w:val="24"/>
          <w:szCs w:val="24"/>
          <w:highlight w:val="none"/>
          <w:lang w:val="en-US" w:eastAsia="zh-CN"/>
        </w:rPr>
        <w:t>无</w:t>
      </w:r>
      <w:r>
        <w:rPr>
          <w:rFonts w:hint="eastAsia" w:ascii="宋体" w:hAnsi="宋体" w:eastAsia="宋体" w:cs="Times New Roman"/>
          <w:b/>
          <w:color w:val="auto"/>
          <w:sz w:val="24"/>
          <w:szCs w:val="24"/>
          <w:highlight w:val="none"/>
        </w:rPr>
        <w:t>须在投标文件中提供，在解密截止时间后以扫描件的形式发送至招标代理电子邮箱：</w:t>
      </w:r>
      <w:r>
        <w:rPr>
          <w:rFonts w:hint="eastAsia" w:ascii="宋体" w:hAnsi="宋体" w:eastAsia="宋体" w:cs="Times New Roman"/>
          <w:b/>
          <w:color w:val="auto"/>
          <w:sz w:val="24"/>
          <w:szCs w:val="24"/>
          <w:highlight w:val="none"/>
          <w:lang w:val="en-US" w:eastAsia="zh-CN"/>
        </w:rPr>
        <w:t>12589830</w:t>
      </w:r>
      <w:r>
        <w:rPr>
          <w:rFonts w:hint="eastAsia" w:ascii="宋体" w:hAnsi="宋体" w:eastAsia="宋体" w:cs="Times New Roman"/>
          <w:b/>
          <w:color w:val="auto"/>
          <w:sz w:val="24"/>
          <w:szCs w:val="24"/>
          <w:highlight w:val="none"/>
        </w:rPr>
        <w:t>@qq.com。</w:t>
      </w:r>
    </w:p>
    <w:p>
      <w:pPr>
        <w:spacing w:line="400" w:lineRule="exact"/>
        <w:rPr>
          <w:rFonts w:ascii="宋体" w:hAnsi="宋体"/>
          <w:b/>
          <w:color w:val="auto"/>
          <w:sz w:val="28"/>
          <w:szCs w:val="28"/>
          <w:highlight w:val="none"/>
        </w:rPr>
      </w:pPr>
    </w:p>
    <w:p>
      <w:pPr>
        <w:pStyle w:val="27"/>
        <w:spacing w:line="360" w:lineRule="auto"/>
        <w:ind w:left="101" w:leftChars="48" w:firstLine="2880" w:firstLineChars="800"/>
        <w:jc w:val="left"/>
        <w:rPr>
          <w:rFonts w:hAnsi="宋体"/>
          <w:color w:val="auto"/>
          <w:sz w:val="36"/>
          <w:szCs w:val="36"/>
          <w:highlight w:val="none"/>
        </w:rPr>
        <w:sectPr>
          <w:pgSz w:w="11907" w:h="16840"/>
          <w:pgMar w:top="1440" w:right="1800" w:bottom="1440" w:left="1800" w:header="285" w:footer="990" w:gutter="0"/>
          <w:cols w:space="720" w:num="1"/>
          <w:docGrid w:linePitch="285" w:charSpace="0"/>
        </w:sectPr>
      </w:pPr>
    </w:p>
    <w:tbl>
      <w:tblPr>
        <w:tblStyle w:val="47"/>
        <w:tblW w:w="15077" w:type="dxa"/>
        <w:tblInd w:w="-176" w:type="dxa"/>
        <w:tblLayout w:type="fixed"/>
        <w:tblCellMar>
          <w:top w:w="0" w:type="dxa"/>
          <w:left w:w="108" w:type="dxa"/>
          <w:bottom w:w="0" w:type="dxa"/>
          <w:right w:w="108" w:type="dxa"/>
        </w:tblCellMar>
      </w:tblPr>
      <w:tblGrid>
        <w:gridCol w:w="2003"/>
        <w:gridCol w:w="1563"/>
        <w:gridCol w:w="1728"/>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32"/>
                <w:szCs w:val="32"/>
                <w:highlight w:val="none"/>
              </w:rPr>
            </w:pPr>
            <w:r>
              <w:rPr>
                <w:rFonts w:hint="eastAsia" w:ascii="宋体" w:hAnsi="宋体" w:cs="宋体"/>
                <w:b/>
                <w:bCs/>
                <w:color w:val="auto"/>
                <w:kern w:val="0"/>
                <w:sz w:val="24"/>
                <w:highlight w:val="none"/>
              </w:rPr>
              <w:t>中小微行业划型标准规定（根据工信部联企业〔</w:t>
            </w:r>
            <w:r>
              <w:rPr>
                <w:rFonts w:ascii="宋体" w:hAnsi="宋体" w:cs="宋体"/>
                <w:b/>
                <w:bCs/>
                <w:color w:val="auto"/>
                <w:kern w:val="0"/>
                <w:sz w:val="24"/>
                <w:highlight w:val="none"/>
              </w:rPr>
              <w:t>2011</w:t>
            </w:r>
            <w:r>
              <w:rPr>
                <w:rFonts w:hint="eastAsia" w:ascii="宋体" w:hAnsi="宋体" w:cs="宋体"/>
                <w:b/>
                <w:bCs/>
                <w:color w:val="auto"/>
                <w:kern w:val="0"/>
                <w:sz w:val="24"/>
                <w:highlight w:val="none"/>
              </w:rPr>
              <w:t>〕</w:t>
            </w:r>
            <w:r>
              <w:rPr>
                <w:rFonts w:ascii="宋体" w:hAnsi="宋体" w:cs="宋体"/>
                <w:b/>
                <w:bCs/>
                <w:color w:val="auto"/>
                <w:kern w:val="0"/>
                <w:sz w:val="24"/>
                <w:highlight w:val="none"/>
              </w:rPr>
              <w:t>300</w:t>
            </w:r>
            <w:r>
              <w:rPr>
                <w:rFonts w:hint="eastAsia" w:ascii="宋体" w:hAnsi="宋体" w:cs="宋体"/>
                <w:b/>
                <w:bCs/>
                <w:color w:val="auto"/>
                <w:kern w:val="0"/>
                <w:sz w:val="24"/>
                <w:highlight w:val="none"/>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行业</w:t>
            </w:r>
          </w:p>
        </w:tc>
        <w:tc>
          <w:tcPr>
            <w:tcW w:w="4968" w:type="dxa"/>
            <w:gridSpan w:val="3"/>
            <w:tcBorders>
              <w:top w:val="single" w:color="auto"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中型企业</w:t>
            </w:r>
          </w:p>
        </w:tc>
        <w:tc>
          <w:tcPr>
            <w:tcW w:w="4282" w:type="dxa"/>
            <w:gridSpan w:val="3"/>
            <w:tcBorders>
              <w:top w:val="single" w:color="auto"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小型企业</w:t>
            </w:r>
          </w:p>
        </w:tc>
        <w:tc>
          <w:tcPr>
            <w:tcW w:w="3818" w:type="dxa"/>
            <w:gridSpan w:val="3"/>
            <w:tcBorders>
              <w:top w:val="single" w:color="auto" w:sz="8" w:space="0"/>
              <w:left w:val="nil"/>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kern w:val="0"/>
                <w:sz w:val="24"/>
                <w:highlight w:val="none"/>
              </w:rPr>
            </w:pP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（万元）</w:t>
            </w: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从业人员</w:t>
            </w:r>
            <w:r>
              <w:rPr>
                <w:rFonts w:ascii="宋体" w:hAnsi="宋体" w:cs="宋体"/>
                <w:color w:val="auto"/>
                <w:kern w:val="0"/>
                <w:sz w:val="20"/>
                <w:highlight w:val="none"/>
              </w:rPr>
              <w:t>X</w:t>
            </w:r>
            <w:r>
              <w:rPr>
                <w:rFonts w:hint="eastAsia" w:ascii="宋体" w:hAnsi="宋体" w:cs="宋体"/>
                <w:color w:val="auto"/>
                <w:kern w:val="0"/>
                <w:sz w:val="20"/>
                <w:highlight w:val="none"/>
              </w:rPr>
              <w:t>（人）</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营业收入</w:t>
            </w:r>
            <w:r>
              <w:rPr>
                <w:rFonts w:ascii="宋体" w:hAnsi="宋体" w:cs="宋体"/>
                <w:color w:val="auto"/>
                <w:kern w:val="0"/>
                <w:sz w:val="20"/>
                <w:highlight w:val="none"/>
              </w:rPr>
              <w:t>Y</w:t>
            </w:r>
            <w:r>
              <w:rPr>
                <w:rFonts w:hint="eastAsia" w:ascii="宋体" w:hAnsi="宋体" w:cs="宋体"/>
                <w:color w:val="auto"/>
                <w:kern w:val="0"/>
                <w:sz w:val="20"/>
                <w:highlight w:val="none"/>
              </w:rPr>
              <w:t>（万元）</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hint="eastAsia" w:ascii="宋体" w:hAnsi="宋体" w:cs="宋体"/>
                <w:color w:val="auto"/>
                <w:kern w:val="0"/>
                <w:sz w:val="20"/>
                <w:highlight w:val="none"/>
              </w:rPr>
              <w:t>资产总额</w:t>
            </w:r>
            <w:r>
              <w:rPr>
                <w:rFonts w:ascii="宋体" w:hAnsi="宋体" w:cs="宋体"/>
                <w:color w:val="auto"/>
                <w:kern w:val="0"/>
                <w:sz w:val="20"/>
                <w:highlight w:val="none"/>
              </w:rPr>
              <w:t>Z</w:t>
            </w:r>
            <w:r>
              <w:rPr>
                <w:rFonts w:hint="eastAsia" w:ascii="宋体" w:hAnsi="宋体" w:cs="宋体"/>
                <w:color w:val="auto"/>
                <w:kern w:val="0"/>
                <w:sz w:val="20"/>
                <w:highlight w:val="none"/>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w:t>
            </w:r>
            <w:r>
              <w:rPr>
                <w:rFonts w:hint="eastAsia" w:ascii="宋体" w:hAnsi="宋体" w:cs="宋体"/>
                <w:color w:val="auto"/>
                <w:kern w:val="0"/>
                <w:sz w:val="20"/>
                <w:highlight w:val="none"/>
              </w:rPr>
              <w:t>、农林牧渔业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46"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、工业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、建筑业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6000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80000</w:t>
            </w: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6000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4</w:t>
            </w:r>
            <w:r>
              <w:rPr>
                <w:rFonts w:hint="eastAsia" w:ascii="宋体" w:hAnsi="宋体" w:cs="宋体"/>
                <w:color w:val="auto"/>
                <w:kern w:val="0"/>
                <w:sz w:val="20"/>
                <w:highlight w:val="none"/>
              </w:rPr>
              <w:t>、批发业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40000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5</w:t>
            </w:r>
            <w:r>
              <w:rPr>
                <w:rFonts w:hint="eastAsia" w:ascii="宋体" w:hAnsi="宋体" w:cs="宋体"/>
                <w:color w:val="auto"/>
                <w:kern w:val="0"/>
                <w:sz w:val="20"/>
                <w:highlight w:val="none"/>
              </w:rPr>
              <w:t>、零售业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6</w:t>
            </w:r>
            <w:r>
              <w:rPr>
                <w:rFonts w:hint="eastAsia" w:ascii="宋体" w:hAnsi="宋体" w:cs="宋体"/>
                <w:color w:val="auto"/>
                <w:kern w:val="0"/>
                <w:sz w:val="20"/>
                <w:highlight w:val="none"/>
              </w:rPr>
              <w:t>、交通运输业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7</w:t>
            </w:r>
            <w:r>
              <w:rPr>
                <w:rFonts w:hint="eastAsia" w:ascii="宋体" w:hAnsi="宋体" w:cs="宋体"/>
                <w:color w:val="auto"/>
                <w:kern w:val="0"/>
                <w:sz w:val="20"/>
                <w:highlight w:val="none"/>
              </w:rPr>
              <w:t>、仓储业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8</w:t>
            </w:r>
            <w:r>
              <w:rPr>
                <w:rFonts w:hint="eastAsia" w:ascii="宋体" w:hAnsi="宋体" w:cs="宋体"/>
                <w:color w:val="auto"/>
                <w:kern w:val="0"/>
                <w:sz w:val="20"/>
                <w:highlight w:val="none"/>
              </w:rPr>
              <w:t>、邮政业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30000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9</w:t>
            </w:r>
            <w:r>
              <w:rPr>
                <w:rFonts w:hint="eastAsia" w:ascii="宋体" w:hAnsi="宋体" w:cs="宋体"/>
                <w:color w:val="auto"/>
                <w:kern w:val="0"/>
                <w:sz w:val="20"/>
                <w:highlight w:val="none"/>
              </w:rPr>
              <w:t>、住宿业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、餐饮业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V</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11</w:t>
            </w:r>
            <w:r>
              <w:rPr>
                <w:rFonts w:hint="eastAsia" w:ascii="宋体" w:hAnsi="宋体" w:cs="宋体"/>
                <w:color w:val="auto"/>
                <w:kern w:val="0"/>
                <w:sz w:val="20"/>
                <w:highlight w:val="none"/>
              </w:rPr>
              <w:t>、信息传输业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12</w:t>
            </w:r>
            <w:r>
              <w:rPr>
                <w:rFonts w:hint="eastAsia" w:ascii="宋体" w:hAnsi="宋体" w:cs="宋体"/>
                <w:color w:val="auto"/>
                <w:kern w:val="0"/>
                <w:sz w:val="20"/>
                <w:highlight w:val="none"/>
              </w:rPr>
              <w:t>、软件和信息技术服务业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13</w:t>
            </w:r>
            <w:r>
              <w:rPr>
                <w:rFonts w:hint="eastAsia" w:ascii="宋体" w:hAnsi="宋体" w:cs="宋体"/>
                <w:color w:val="auto"/>
                <w:kern w:val="0"/>
                <w:sz w:val="20"/>
                <w:highlight w:val="none"/>
              </w:rPr>
              <w:t>、房地产开发经营</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200000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10000</w:t>
            </w: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2000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14</w:t>
            </w:r>
            <w:r>
              <w:rPr>
                <w:rFonts w:hint="eastAsia" w:ascii="宋体" w:hAnsi="宋体" w:cs="宋体"/>
                <w:color w:val="auto"/>
                <w:kern w:val="0"/>
                <w:sz w:val="20"/>
                <w:highlight w:val="none"/>
              </w:rPr>
              <w:t>、物业管理</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300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5000</w:t>
            </w: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500</w:t>
            </w:r>
            <w:r>
              <w:rPr>
                <w:rFonts w:hint="eastAsia" w:ascii="宋体" w:hAnsi="宋体" w:cs="宋体"/>
                <w:color w:val="auto"/>
                <w:kern w:val="0"/>
                <w:sz w:val="20"/>
                <w:highlight w:val="none"/>
              </w:rPr>
              <w:t>≤</w:t>
            </w: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1000</w:t>
            </w: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Y</w:t>
            </w:r>
            <w:r>
              <w:rPr>
                <w:rFonts w:hint="eastAsia" w:ascii="宋体" w:hAnsi="宋体" w:cs="宋体"/>
                <w:color w:val="auto"/>
                <w:kern w:val="0"/>
                <w:sz w:val="20"/>
                <w:highlight w:val="none"/>
              </w:rPr>
              <w:t>＜</w:t>
            </w:r>
            <w:r>
              <w:rPr>
                <w:rFonts w:ascii="宋体" w:hAnsi="宋体" w:cs="宋体"/>
                <w:color w:val="auto"/>
                <w:kern w:val="0"/>
                <w:sz w:val="20"/>
                <w:highlight w:val="none"/>
              </w:rPr>
              <w:t>500</w:t>
            </w: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gridAfter w:val="1"/>
          <w:wAfter w:w="6" w:type="dxa"/>
          <w:trHeight w:val="310" w:hRule="atLeast"/>
        </w:trPr>
        <w:tc>
          <w:tcPr>
            <w:tcW w:w="2003" w:type="dxa"/>
            <w:tcBorders>
              <w:top w:val="nil"/>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15</w:t>
            </w:r>
            <w:r>
              <w:rPr>
                <w:rFonts w:hint="eastAsia" w:ascii="宋体" w:hAnsi="宋体" w:cs="宋体"/>
                <w:color w:val="auto"/>
                <w:kern w:val="0"/>
                <w:sz w:val="20"/>
                <w:highlight w:val="none"/>
              </w:rPr>
              <w:t>、其他未列明行业</w:t>
            </w:r>
          </w:p>
        </w:tc>
        <w:tc>
          <w:tcPr>
            <w:tcW w:w="156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677"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8000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120000</w:t>
            </w:r>
          </w:p>
        </w:tc>
        <w:tc>
          <w:tcPr>
            <w:tcW w:w="1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536"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8000</w:t>
            </w:r>
          </w:p>
        </w:tc>
        <w:tc>
          <w:tcPr>
            <w:tcW w:w="12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34"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Z</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ascii="宋体" w:hAnsi="宋体" w:cs="宋体"/>
                <w:color w:val="auto"/>
                <w:kern w:val="0"/>
                <w:sz w:val="20"/>
                <w:highlight w:val="none"/>
              </w:rPr>
              <w:t>16</w:t>
            </w:r>
            <w:r>
              <w:rPr>
                <w:rFonts w:hint="eastAsia" w:ascii="宋体" w:hAnsi="宋体" w:cs="宋体"/>
                <w:color w:val="auto"/>
                <w:kern w:val="0"/>
                <w:sz w:val="20"/>
                <w:highlight w:val="none"/>
              </w:rPr>
              <w:t>、其他未列明行业</w:t>
            </w:r>
          </w:p>
        </w:tc>
        <w:tc>
          <w:tcPr>
            <w:tcW w:w="1563"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300</w:t>
            </w:r>
          </w:p>
        </w:tc>
        <w:tc>
          <w:tcPr>
            <w:tcW w:w="1728"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677"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52"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10</w:t>
            </w:r>
            <w:r>
              <w:rPr>
                <w:rFonts w:hint="eastAsia" w:ascii="宋体" w:hAnsi="宋体" w:cs="宋体"/>
                <w:color w:val="auto"/>
                <w:kern w:val="0"/>
                <w:sz w:val="20"/>
                <w:highlight w:val="none"/>
              </w:rPr>
              <w:t>≤</w:t>
            </w: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100</w:t>
            </w:r>
          </w:p>
        </w:tc>
        <w:tc>
          <w:tcPr>
            <w:tcW w:w="1494"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536"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97"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r>
              <w:rPr>
                <w:rFonts w:ascii="宋体" w:hAnsi="宋体" w:cs="宋体"/>
                <w:color w:val="auto"/>
                <w:kern w:val="0"/>
                <w:sz w:val="20"/>
                <w:highlight w:val="none"/>
              </w:rPr>
              <w:t>X</w:t>
            </w:r>
            <w:r>
              <w:rPr>
                <w:rFonts w:hint="eastAsia" w:ascii="宋体" w:hAnsi="宋体" w:cs="宋体"/>
                <w:color w:val="auto"/>
                <w:kern w:val="0"/>
                <w:sz w:val="20"/>
                <w:highlight w:val="none"/>
              </w:rPr>
              <w:t>＜</w:t>
            </w:r>
            <w:r>
              <w:rPr>
                <w:rFonts w:ascii="宋体" w:hAnsi="宋体" w:cs="宋体"/>
                <w:color w:val="auto"/>
                <w:kern w:val="0"/>
                <w:sz w:val="20"/>
                <w:highlight w:val="none"/>
              </w:rPr>
              <w:t>10</w:t>
            </w:r>
          </w:p>
        </w:tc>
        <w:tc>
          <w:tcPr>
            <w:tcW w:w="1287"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c>
          <w:tcPr>
            <w:tcW w:w="123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color w:val="auto"/>
                <w:kern w:val="0"/>
                <w:sz w:val="20"/>
                <w:highlight w:val="none"/>
              </w:rPr>
            </w:pPr>
          </w:p>
        </w:tc>
      </w:tr>
      <w:tr>
        <w:tblPrEx>
          <w:tblCellMar>
            <w:top w:w="0" w:type="dxa"/>
            <w:left w:w="108" w:type="dxa"/>
            <w:bottom w:w="0" w:type="dxa"/>
            <w:right w:w="108" w:type="dxa"/>
          </w:tblCellMar>
        </w:tblPrEx>
        <w:trPr>
          <w:trHeight w:val="168" w:hRule="atLeast"/>
        </w:trPr>
        <w:tc>
          <w:tcPr>
            <w:tcW w:w="15077" w:type="dxa"/>
            <w:gridSpan w:val="11"/>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auto"/>
                <w:kern w:val="0"/>
                <w:sz w:val="20"/>
                <w:highlight w:val="none"/>
              </w:rPr>
            </w:pPr>
            <w:r>
              <w:rPr>
                <w:rFonts w:hint="eastAsia" w:ascii="宋体" w:hAnsi="宋体" w:cs="宋体"/>
                <w:color w:val="auto"/>
                <w:kern w:val="0"/>
                <w:sz w:val="20"/>
                <w:highlight w:val="none"/>
              </w:rPr>
              <w:t>说明　</w:t>
            </w:r>
            <w:r>
              <w:rPr>
                <w:rFonts w:ascii="宋体" w:hAnsi="宋体" w:cs="宋体"/>
                <w:color w:val="auto"/>
                <w:kern w:val="0"/>
                <w:sz w:val="20"/>
                <w:highlight w:val="none"/>
              </w:rPr>
              <w:t>1</w:t>
            </w:r>
            <w:r>
              <w:rPr>
                <w:rFonts w:hint="eastAsia" w:ascii="宋体" w:hAnsi="宋体" w:cs="宋体"/>
                <w:color w:val="auto"/>
                <w:kern w:val="0"/>
                <w:sz w:val="20"/>
                <w:highlight w:val="none"/>
              </w:rPr>
              <w:t>、企业类型的划分以统计部门的统计数据为依据。</w:t>
            </w:r>
          </w:p>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ascii="宋体" w:hAnsi="宋体" w:cs="宋体"/>
                <w:color w:val="auto"/>
                <w:kern w:val="0"/>
                <w:sz w:val="20"/>
                <w:highlight w:val="none"/>
              </w:rPr>
            </w:pPr>
            <w:r>
              <w:rPr>
                <w:rFonts w:ascii="宋体" w:hAnsi="宋体" w:cs="宋体"/>
                <w:color w:val="auto"/>
                <w:kern w:val="0"/>
                <w:sz w:val="20"/>
                <w:highlight w:val="none"/>
              </w:rPr>
              <w:t>2</w:t>
            </w:r>
            <w:r>
              <w:rPr>
                <w:rFonts w:hint="eastAsia" w:ascii="宋体" w:hAnsi="宋体" w:cs="宋体"/>
                <w:color w:val="auto"/>
                <w:kern w:val="0"/>
                <w:sz w:val="20"/>
                <w:highlight w:val="none"/>
              </w:rPr>
              <w:t>、个体工商户和本规定以外的行业，参照本规定进行划型。</w:t>
            </w:r>
          </w:p>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ascii="宋体" w:hAnsi="宋体" w:cs="宋体"/>
                <w:color w:val="auto"/>
                <w:kern w:val="0"/>
                <w:sz w:val="20"/>
                <w:highlight w:val="none"/>
              </w:rPr>
            </w:pPr>
            <w:r>
              <w:rPr>
                <w:rFonts w:ascii="宋体" w:hAnsi="宋体" w:cs="宋体"/>
                <w:color w:val="auto"/>
                <w:kern w:val="0"/>
                <w:sz w:val="20"/>
                <w:highlight w:val="none"/>
              </w:rPr>
              <w:t>3</w:t>
            </w:r>
            <w:r>
              <w:rPr>
                <w:rFonts w:hint="eastAsia" w:ascii="宋体" w:hAnsi="宋体" w:cs="宋体"/>
                <w:color w:val="auto"/>
                <w:kern w:val="0"/>
                <w:sz w:val="20"/>
                <w:highlight w:val="none"/>
              </w:rPr>
              <w:t>、本规定的中型企业标准上限即为大型企业标准的下限。</w:t>
            </w:r>
          </w:p>
        </w:tc>
      </w:tr>
    </w:tbl>
    <w:p>
      <w:pPr>
        <w:pStyle w:val="27"/>
        <w:tabs>
          <w:tab w:val="left" w:pos="811"/>
        </w:tabs>
        <w:spacing w:line="360" w:lineRule="auto"/>
        <w:jc w:val="left"/>
        <w:rPr>
          <w:rFonts w:hAnsi="宋体"/>
          <w:color w:val="auto"/>
          <w:sz w:val="36"/>
          <w:szCs w:val="36"/>
          <w:highlight w:val="none"/>
        </w:rPr>
      </w:pPr>
    </w:p>
    <w:sectPr>
      <w:pgSz w:w="16838" w:h="11906" w:orient="landscape"/>
      <w:pgMar w:top="1440" w:right="1800" w:bottom="1440" w:left="1800" w:header="737" w:footer="62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Univers">
    <w:panose1 w:val="020B0603020202030204"/>
    <w:charset w:val="00"/>
    <w:family w:val="swiss"/>
    <w:pitch w:val="default"/>
    <w:sig w:usb0="00000007" w:usb1="00000000" w:usb2="00000000" w:usb3="00000000" w:csb0="00000093"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7F" w:usb3="00000000" w:csb0="203F01FF" w:csb1="D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4</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h="850" w:hRule="exact" w:wrap="around" w:vAnchor="text" w:hAnchor="margin" w:xAlign="center" w:y="348"/>
      <w:jc w:val="center"/>
      <w:rPr>
        <w:rStyle w:val="52"/>
      </w:rPr>
    </w:pPr>
    <w:r>
      <w:fldChar w:fldCharType="begin"/>
    </w:r>
    <w:r>
      <w:rPr>
        <w:rStyle w:val="52"/>
      </w:rPr>
      <w:instrText xml:space="preserve">PAGE  </w:instrText>
    </w:r>
    <w:r>
      <w:fldChar w:fldCharType="separate"/>
    </w:r>
    <w:r>
      <w:rPr>
        <w:rStyle w:val="52"/>
      </w:rPr>
      <w:t>53</w:t>
    </w:r>
    <w:r>
      <w:fldChar w:fldCharType="end"/>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95FFB"/>
    <w:multiLevelType w:val="singleLevel"/>
    <w:tmpl w:val="DF995FFB"/>
    <w:lvl w:ilvl="0" w:tentative="0">
      <w:start w:val="1"/>
      <w:numFmt w:val="decimal"/>
      <w:suff w:val="nothing"/>
      <w:lvlText w:val="%1、"/>
      <w:lvlJc w:val="left"/>
    </w:lvl>
  </w:abstractNum>
  <w:abstractNum w:abstractNumId="1">
    <w:nsid w:val="E372E750"/>
    <w:multiLevelType w:val="singleLevel"/>
    <w:tmpl w:val="E372E750"/>
    <w:lvl w:ilvl="0" w:tentative="0">
      <w:start w:val="1"/>
      <w:numFmt w:val="decimal"/>
      <w:lvlText w:val="%1."/>
      <w:lvlJc w:val="left"/>
      <w:pPr>
        <w:tabs>
          <w:tab w:val="left" w:pos="312"/>
        </w:tabs>
      </w:pPr>
    </w:lvl>
  </w:abstractNum>
  <w:abstractNum w:abstractNumId="2">
    <w:nsid w:val="FCFC0E54"/>
    <w:multiLevelType w:val="singleLevel"/>
    <w:tmpl w:val="FCFC0E54"/>
    <w:lvl w:ilvl="0" w:tentative="0">
      <w:start w:val="3"/>
      <w:numFmt w:val="chineseCounting"/>
      <w:suff w:val="space"/>
      <w:lvlText w:val="第%1章"/>
      <w:lvlJc w:val="left"/>
      <w:rPr>
        <w:rFonts w:hint="eastAsia"/>
      </w:rPr>
    </w:lvl>
  </w:abstractNum>
  <w:abstractNum w:abstractNumId="3">
    <w:nsid w:val="1B193F26"/>
    <w:multiLevelType w:val="multilevel"/>
    <w:tmpl w:val="1B193F26"/>
    <w:lvl w:ilvl="0" w:tentative="0">
      <w:start w:val="1"/>
      <w:numFmt w:val="chineseCountingThousand"/>
      <w:lvlText w:val="%1、"/>
      <w:lvlJc w:val="left"/>
      <w:pPr>
        <w:ind w:left="846"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12227BF"/>
    <w:multiLevelType w:val="multilevel"/>
    <w:tmpl w:val="312227BF"/>
    <w:lvl w:ilvl="0" w:tentative="0">
      <w:start w:val="1"/>
      <w:numFmt w:val="japaneseCounting"/>
      <w:lvlText w:val="（%1）"/>
      <w:lvlJc w:val="left"/>
      <w:pPr>
        <w:ind w:left="1455" w:hanging="885"/>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54F403B5"/>
    <w:multiLevelType w:val="singleLevel"/>
    <w:tmpl w:val="54F403B5"/>
    <w:lvl w:ilvl="0" w:tentative="0">
      <w:start w:val="1"/>
      <w:numFmt w:val="chineseCounting"/>
      <w:suff w:val="nothing"/>
      <w:lvlText w:val="%1、"/>
      <w:lvlJc w:val="left"/>
      <w:rPr>
        <w:rFonts w:cs="Times New Roman"/>
      </w:rPr>
    </w:lvl>
  </w:abstractNum>
  <w:abstractNum w:abstractNumId="6">
    <w:nsid w:val="557FD3DA"/>
    <w:multiLevelType w:val="singleLevel"/>
    <w:tmpl w:val="557FD3DA"/>
    <w:lvl w:ilvl="0" w:tentative="0">
      <w:start w:val="3"/>
      <w:numFmt w:val="chineseCounting"/>
      <w:suff w:val="nothing"/>
      <w:lvlText w:val="%1、"/>
      <w:lvlJc w:val="left"/>
      <w:rPr>
        <w:rFonts w:cs="Times New Roman"/>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yMTFiMjg3YTc0MjNjMWU3MzY1OWQxM2FlZWIzMmMifQ=="/>
  </w:docVars>
  <w:rsids>
    <w:rsidRoot w:val="00172A27"/>
    <w:rsid w:val="0000018E"/>
    <w:rsid w:val="00001A82"/>
    <w:rsid w:val="00002288"/>
    <w:rsid w:val="00002B25"/>
    <w:rsid w:val="00003757"/>
    <w:rsid w:val="0000377D"/>
    <w:rsid w:val="000037AD"/>
    <w:rsid w:val="0000380B"/>
    <w:rsid w:val="00003965"/>
    <w:rsid w:val="000039EB"/>
    <w:rsid w:val="00003E11"/>
    <w:rsid w:val="0000545F"/>
    <w:rsid w:val="00005AD2"/>
    <w:rsid w:val="00006469"/>
    <w:rsid w:val="00007D74"/>
    <w:rsid w:val="00007FB4"/>
    <w:rsid w:val="00011313"/>
    <w:rsid w:val="000117A8"/>
    <w:rsid w:val="00012585"/>
    <w:rsid w:val="00013D65"/>
    <w:rsid w:val="0001464E"/>
    <w:rsid w:val="0001475D"/>
    <w:rsid w:val="00014763"/>
    <w:rsid w:val="000147A6"/>
    <w:rsid w:val="000147E2"/>
    <w:rsid w:val="00017165"/>
    <w:rsid w:val="000171FF"/>
    <w:rsid w:val="00020C91"/>
    <w:rsid w:val="000212AE"/>
    <w:rsid w:val="000217E4"/>
    <w:rsid w:val="00022DC6"/>
    <w:rsid w:val="00023D2D"/>
    <w:rsid w:val="00024548"/>
    <w:rsid w:val="0002570D"/>
    <w:rsid w:val="00026033"/>
    <w:rsid w:val="00026061"/>
    <w:rsid w:val="0002795F"/>
    <w:rsid w:val="00030242"/>
    <w:rsid w:val="00031274"/>
    <w:rsid w:val="00032826"/>
    <w:rsid w:val="000328FE"/>
    <w:rsid w:val="0003306F"/>
    <w:rsid w:val="00034204"/>
    <w:rsid w:val="000344B9"/>
    <w:rsid w:val="00035959"/>
    <w:rsid w:val="00036257"/>
    <w:rsid w:val="0003725C"/>
    <w:rsid w:val="000378FE"/>
    <w:rsid w:val="00037CE4"/>
    <w:rsid w:val="00037EA3"/>
    <w:rsid w:val="000414C4"/>
    <w:rsid w:val="00041A39"/>
    <w:rsid w:val="00041B3B"/>
    <w:rsid w:val="00043099"/>
    <w:rsid w:val="00043143"/>
    <w:rsid w:val="00043490"/>
    <w:rsid w:val="00043715"/>
    <w:rsid w:val="000437D4"/>
    <w:rsid w:val="00044435"/>
    <w:rsid w:val="00045CE3"/>
    <w:rsid w:val="00046F89"/>
    <w:rsid w:val="00047990"/>
    <w:rsid w:val="00050357"/>
    <w:rsid w:val="000509A8"/>
    <w:rsid w:val="000510EC"/>
    <w:rsid w:val="00051226"/>
    <w:rsid w:val="00051A67"/>
    <w:rsid w:val="00052035"/>
    <w:rsid w:val="00052187"/>
    <w:rsid w:val="00054494"/>
    <w:rsid w:val="000546E4"/>
    <w:rsid w:val="00054AD8"/>
    <w:rsid w:val="00054D7E"/>
    <w:rsid w:val="000557F0"/>
    <w:rsid w:val="00055A3D"/>
    <w:rsid w:val="00056048"/>
    <w:rsid w:val="000564BB"/>
    <w:rsid w:val="000568D1"/>
    <w:rsid w:val="00056B01"/>
    <w:rsid w:val="00056DC8"/>
    <w:rsid w:val="00056E86"/>
    <w:rsid w:val="00056F94"/>
    <w:rsid w:val="00057D5B"/>
    <w:rsid w:val="00060FB1"/>
    <w:rsid w:val="000613FD"/>
    <w:rsid w:val="000617D3"/>
    <w:rsid w:val="00061A87"/>
    <w:rsid w:val="00063327"/>
    <w:rsid w:val="00064121"/>
    <w:rsid w:val="00064AF3"/>
    <w:rsid w:val="00065622"/>
    <w:rsid w:val="00065626"/>
    <w:rsid w:val="0006615F"/>
    <w:rsid w:val="00066294"/>
    <w:rsid w:val="000666E4"/>
    <w:rsid w:val="000675B4"/>
    <w:rsid w:val="00070231"/>
    <w:rsid w:val="0007088F"/>
    <w:rsid w:val="0007129B"/>
    <w:rsid w:val="0007177A"/>
    <w:rsid w:val="00071AB2"/>
    <w:rsid w:val="000726A2"/>
    <w:rsid w:val="00074517"/>
    <w:rsid w:val="00074FCC"/>
    <w:rsid w:val="000766AD"/>
    <w:rsid w:val="00076EAC"/>
    <w:rsid w:val="000770AD"/>
    <w:rsid w:val="00077765"/>
    <w:rsid w:val="00077864"/>
    <w:rsid w:val="00077C69"/>
    <w:rsid w:val="00077F66"/>
    <w:rsid w:val="00077FAF"/>
    <w:rsid w:val="000816EB"/>
    <w:rsid w:val="00081DAC"/>
    <w:rsid w:val="0008275C"/>
    <w:rsid w:val="00083095"/>
    <w:rsid w:val="00083641"/>
    <w:rsid w:val="00083CA0"/>
    <w:rsid w:val="0008426D"/>
    <w:rsid w:val="000846B2"/>
    <w:rsid w:val="0008644B"/>
    <w:rsid w:val="00086CB0"/>
    <w:rsid w:val="000876CB"/>
    <w:rsid w:val="00087BC6"/>
    <w:rsid w:val="00087E79"/>
    <w:rsid w:val="0009066F"/>
    <w:rsid w:val="00090836"/>
    <w:rsid w:val="000912BA"/>
    <w:rsid w:val="00091A35"/>
    <w:rsid w:val="000941D6"/>
    <w:rsid w:val="000945F2"/>
    <w:rsid w:val="00096587"/>
    <w:rsid w:val="00096C6C"/>
    <w:rsid w:val="000A01C4"/>
    <w:rsid w:val="000A0A04"/>
    <w:rsid w:val="000A0A41"/>
    <w:rsid w:val="000A0F83"/>
    <w:rsid w:val="000A1218"/>
    <w:rsid w:val="000A2586"/>
    <w:rsid w:val="000A387A"/>
    <w:rsid w:val="000A3CD8"/>
    <w:rsid w:val="000A3FDD"/>
    <w:rsid w:val="000A497F"/>
    <w:rsid w:val="000A4FF4"/>
    <w:rsid w:val="000A5C01"/>
    <w:rsid w:val="000A7976"/>
    <w:rsid w:val="000B1619"/>
    <w:rsid w:val="000B1B5F"/>
    <w:rsid w:val="000B2117"/>
    <w:rsid w:val="000B2A80"/>
    <w:rsid w:val="000B33CA"/>
    <w:rsid w:val="000B494B"/>
    <w:rsid w:val="000B4B81"/>
    <w:rsid w:val="000B4BE2"/>
    <w:rsid w:val="000B53C9"/>
    <w:rsid w:val="000B5C0C"/>
    <w:rsid w:val="000B5D68"/>
    <w:rsid w:val="000B6717"/>
    <w:rsid w:val="000B7341"/>
    <w:rsid w:val="000B7791"/>
    <w:rsid w:val="000B7DD4"/>
    <w:rsid w:val="000C07E7"/>
    <w:rsid w:val="000C1770"/>
    <w:rsid w:val="000C1A07"/>
    <w:rsid w:val="000C1EB3"/>
    <w:rsid w:val="000C27D4"/>
    <w:rsid w:val="000C28B3"/>
    <w:rsid w:val="000C29B6"/>
    <w:rsid w:val="000C30FE"/>
    <w:rsid w:val="000C3200"/>
    <w:rsid w:val="000C3334"/>
    <w:rsid w:val="000C3E16"/>
    <w:rsid w:val="000C509A"/>
    <w:rsid w:val="000C596C"/>
    <w:rsid w:val="000C59C2"/>
    <w:rsid w:val="000C5BAF"/>
    <w:rsid w:val="000C721B"/>
    <w:rsid w:val="000C7792"/>
    <w:rsid w:val="000D190D"/>
    <w:rsid w:val="000D24F3"/>
    <w:rsid w:val="000D2D36"/>
    <w:rsid w:val="000D3592"/>
    <w:rsid w:val="000D4B07"/>
    <w:rsid w:val="000D5612"/>
    <w:rsid w:val="000D5E11"/>
    <w:rsid w:val="000D5F1A"/>
    <w:rsid w:val="000D6E5C"/>
    <w:rsid w:val="000D766C"/>
    <w:rsid w:val="000D7EB0"/>
    <w:rsid w:val="000E07CB"/>
    <w:rsid w:val="000E1172"/>
    <w:rsid w:val="000E16EE"/>
    <w:rsid w:val="000E1D05"/>
    <w:rsid w:val="000E22A0"/>
    <w:rsid w:val="000E2E16"/>
    <w:rsid w:val="000E2E7D"/>
    <w:rsid w:val="000E2F72"/>
    <w:rsid w:val="000E2FFC"/>
    <w:rsid w:val="000E3656"/>
    <w:rsid w:val="000E3836"/>
    <w:rsid w:val="000E3906"/>
    <w:rsid w:val="000E4D1F"/>
    <w:rsid w:val="000E5DB1"/>
    <w:rsid w:val="000E77CE"/>
    <w:rsid w:val="000E7D4D"/>
    <w:rsid w:val="000F03E6"/>
    <w:rsid w:val="000F0F1E"/>
    <w:rsid w:val="000F22BF"/>
    <w:rsid w:val="000F3E53"/>
    <w:rsid w:val="000F52F1"/>
    <w:rsid w:val="000F5C44"/>
    <w:rsid w:val="000F5E59"/>
    <w:rsid w:val="000F6493"/>
    <w:rsid w:val="000F6CBF"/>
    <w:rsid w:val="000F76B2"/>
    <w:rsid w:val="000F7B7C"/>
    <w:rsid w:val="00101FE8"/>
    <w:rsid w:val="00102729"/>
    <w:rsid w:val="00102A0A"/>
    <w:rsid w:val="00104558"/>
    <w:rsid w:val="001054A8"/>
    <w:rsid w:val="0010552B"/>
    <w:rsid w:val="00106100"/>
    <w:rsid w:val="001062FF"/>
    <w:rsid w:val="00106308"/>
    <w:rsid w:val="00110480"/>
    <w:rsid w:val="00110FE8"/>
    <w:rsid w:val="0011238B"/>
    <w:rsid w:val="00112DEA"/>
    <w:rsid w:val="00113033"/>
    <w:rsid w:val="001135E1"/>
    <w:rsid w:val="0011397C"/>
    <w:rsid w:val="0011637E"/>
    <w:rsid w:val="00116D80"/>
    <w:rsid w:val="001178EF"/>
    <w:rsid w:val="00117BF7"/>
    <w:rsid w:val="00117C5C"/>
    <w:rsid w:val="00121861"/>
    <w:rsid w:val="00123213"/>
    <w:rsid w:val="001234A0"/>
    <w:rsid w:val="00123E67"/>
    <w:rsid w:val="00124275"/>
    <w:rsid w:val="0012455A"/>
    <w:rsid w:val="00124569"/>
    <w:rsid w:val="00124F2B"/>
    <w:rsid w:val="00125836"/>
    <w:rsid w:val="00125DA2"/>
    <w:rsid w:val="00125DFE"/>
    <w:rsid w:val="00126A2B"/>
    <w:rsid w:val="00130106"/>
    <w:rsid w:val="001305AF"/>
    <w:rsid w:val="001310CF"/>
    <w:rsid w:val="0013128B"/>
    <w:rsid w:val="00131EEB"/>
    <w:rsid w:val="0013209A"/>
    <w:rsid w:val="001321AC"/>
    <w:rsid w:val="00133AAC"/>
    <w:rsid w:val="00133F6B"/>
    <w:rsid w:val="0013482F"/>
    <w:rsid w:val="001351F7"/>
    <w:rsid w:val="001352F5"/>
    <w:rsid w:val="001358BE"/>
    <w:rsid w:val="00135B1C"/>
    <w:rsid w:val="00135D87"/>
    <w:rsid w:val="00136713"/>
    <w:rsid w:val="00137933"/>
    <w:rsid w:val="00137C38"/>
    <w:rsid w:val="001412B3"/>
    <w:rsid w:val="00141A3D"/>
    <w:rsid w:val="00141DA4"/>
    <w:rsid w:val="00141E26"/>
    <w:rsid w:val="001420AC"/>
    <w:rsid w:val="0014220A"/>
    <w:rsid w:val="00143987"/>
    <w:rsid w:val="00143D8E"/>
    <w:rsid w:val="00143E4E"/>
    <w:rsid w:val="0014627F"/>
    <w:rsid w:val="0014669B"/>
    <w:rsid w:val="0014709C"/>
    <w:rsid w:val="001474EC"/>
    <w:rsid w:val="0015014F"/>
    <w:rsid w:val="001511A8"/>
    <w:rsid w:val="001514DF"/>
    <w:rsid w:val="001515A3"/>
    <w:rsid w:val="0015242E"/>
    <w:rsid w:val="00152A25"/>
    <w:rsid w:val="00152BFA"/>
    <w:rsid w:val="00152D09"/>
    <w:rsid w:val="0015323D"/>
    <w:rsid w:val="00153474"/>
    <w:rsid w:val="00155DD1"/>
    <w:rsid w:val="0015656F"/>
    <w:rsid w:val="00157814"/>
    <w:rsid w:val="00157AC5"/>
    <w:rsid w:val="00160AEE"/>
    <w:rsid w:val="001611B9"/>
    <w:rsid w:val="0016197A"/>
    <w:rsid w:val="00162216"/>
    <w:rsid w:val="001622DD"/>
    <w:rsid w:val="00162340"/>
    <w:rsid w:val="00162D8C"/>
    <w:rsid w:val="001635BE"/>
    <w:rsid w:val="00164368"/>
    <w:rsid w:val="0016437F"/>
    <w:rsid w:val="00164BD5"/>
    <w:rsid w:val="00165710"/>
    <w:rsid w:val="001657E4"/>
    <w:rsid w:val="001659BA"/>
    <w:rsid w:val="00165F65"/>
    <w:rsid w:val="001660EB"/>
    <w:rsid w:val="00167C68"/>
    <w:rsid w:val="00170BF8"/>
    <w:rsid w:val="00170FC3"/>
    <w:rsid w:val="0017189E"/>
    <w:rsid w:val="00171CC9"/>
    <w:rsid w:val="001728DE"/>
    <w:rsid w:val="00172A27"/>
    <w:rsid w:val="00172D38"/>
    <w:rsid w:val="00172D6A"/>
    <w:rsid w:val="00172F64"/>
    <w:rsid w:val="00173821"/>
    <w:rsid w:val="00173A5D"/>
    <w:rsid w:val="00173CEE"/>
    <w:rsid w:val="00173E29"/>
    <w:rsid w:val="00174277"/>
    <w:rsid w:val="001743E0"/>
    <w:rsid w:val="00174EFC"/>
    <w:rsid w:val="0017524D"/>
    <w:rsid w:val="00175A54"/>
    <w:rsid w:val="00175EAE"/>
    <w:rsid w:val="00175F46"/>
    <w:rsid w:val="00176341"/>
    <w:rsid w:val="00176CA5"/>
    <w:rsid w:val="00176F31"/>
    <w:rsid w:val="00177357"/>
    <w:rsid w:val="0018094D"/>
    <w:rsid w:val="00181422"/>
    <w:rsid w:val="00181450"/>
    <w:rsid w:val="00181697"/>
    <w:rsid w:val="001819B0"/>
    <w:rsid w:val="00181B60"/>
    <w:rsid w:val="00181D25"/>
    <w:rsid w:val="00182B02"/>
    <w:rsid w:val="00182BB0"/>
    <w:rsid w:val="0018342B"/>
    <w:rsid w:val="001837F7"/>
    <w:rsid w:val="00183839"/>
    <w:rsid w:val="001843A4"/>
    <w:rsid w:val="00184CCA"/>
    <w:rsid w:val="00184DDF"/>
    <w:rsid w:val="0018503F"/>
    <w:rsid w:val="001854F3"/>
    <w:rsid w:val="001854FC"/>
    <w:rsid w:val="00185801"/>
    <w:rsid w:val="0018608B"/>
    <w:rsid w:val="0018614A"/>
    <w:rsid w:val="001868CB"/>
    <w:rsid w:val="00186970"/>
    <w:rsid w:val="00186DA3"/>
    <w:rsid w:val="00187636"/>
    <w:rsid w:val="00187B3F"/>
    <w:rsid w:val="001916F9"/>
    <w:rsid w:val="00191B43"/>
    <w:rsid w:val="00192116"/>
    <w:rsid w:val="001929D2"/>
    <w:rsid w:val="00193506"/>
    <w:rsid w:val="001945DD"/>
    <w:rsid w:val="00194FA2"/>
    <w:rsid w:val="0019657D"/>
    <w:rsid w:val="001967E0"/>
    <w:rsid w:val="00196C38"/>
    <w:rsid w:val="0019734D"/>
    <w:rsid w:val="00197B19"/>
    <w:rsid w:val="001A2482"/>
    <w:rsid w:val="001A263B"/>
    <w:rsid w:val="001A2952"/>
    <w:rsid w:val="001A2E73"/>
    <w:rsid w:val="001A2EF7"/>
    <w:rsid w:val="001A3122"/>
    <w:rsid w:val="001A3306"/>
    <w:rsid w:val="001A3428"/>
    <w:rsid w:val="001A34EA"/>
    <w:rsid w:val="001A4B78"/>
    <w:rsid w:val="001A513E"/>
    <w:rsid w:val="001A5CE4"/>
    <w:rsid w:val="001A68D5"/>
    <w:rsid w:val="001A6B7B"/>
    <w:rsid w:val="001A6DE5"/>
    <w:rsid w:val="001A6EF8"/>
    <w:rsid w:val="001A71F6"/>
    <w:rsid w:val="001A7276"/>
    <w:rsid w:val="001A7B64"/>
    <w:rsid w:val="001B0193"/>
    <w:rsid w:val="001B03A6"/>
    <w:rsid w:val="001B2042"/>
    <w:rsid w:val="001B20C1"/>
    <w:rsid w:val="001B21AC"/>
    <w:rsid w:val="001B2E12"/>
    <w:rsid w:val="001B4088"/>
    <w:rsid w:val="001B4173"/>
    <w:rsid w:val="001B41E6"/>
    <w:rsid w:val="001B543E"/>
    <w:rsid w:val="001B5E56"/>
    <w:rsid w:val="001B6C9B"/>
    <w:rsid w:val="001B6EE2"/>
    <w:rsid w:val="001C0372"/>
    <w:rsid w:val="001C040D"/>
    <w:rsid w:val="001C0919"/>
    <w:rsid w:val="001C0D00"/>
    <w:rsid w:val="001C12A0"/>
    <w:rsid w:val="001C1322"/>
    <w:rsid w:val="001C1364"/>
    <w:rsid w:val="001C2294"/>
    <w:rsid w:val="001C27EC"/>
    <w:rsid w:val="001C3086"/>
    <w:rsid w:val="001C3A1D"/>
    <w:rsid w:val="001C3F9C"/>
    <w:rsid w:val="001C4A57"/>
    <w:rsid w:val="001C4FDF"/>
    <w:rsid w:val="001C520B"/>
    <w:rsid w:val="001C5777"/>
    <w:rsid w:val="001C5E59"/>
    <w:rsid w:val="001C6214"/>
    <w:rsid w:val="001C66C4"/>
    <w:rsid w:val="001C711E"/>
    <w:rsid w:val="001C7864"/>
    <w:rsid w:val="001C7BA9"/>
    <w:rsid w:val="001D0098"/>
    <w:rsid w:val="001D00EE"/>
    <w:rsid w:val="001D0795"/>
    <w:rsid w:val="001D08E4"/>
    <w:rsid w:val="001D17B4"/>
    <w:rsid w:val="001D2591"/>
    <w:rsid w:val="001D26E1"/>
    <w:rsid w:val="001D28FA"/>
    <w:rsid w:val="001D2D73"/>
    <w:rsid w:val="001D2F9B"/>
    <w:rsid w:val="001D4206"/>
    <w:rsid w:val="001D4289"/>
    <w:rsid w:val="001D501E"/>
    <w:rsid w:val="001D50A0"/>
    <w:rsid w:val="001D523E"/>
    <w:rsid w:val="001D6DA4"/>
    <w:rsid w:val="001D7120"/>
    <w:rsid w:val="001D7126"/>
    <w:rsid w:val="001D7202"/>
    <w:rsid w:val="001D799D"/>
    <w:rsid w:val="001D79FA"/>
    <w:rsid w:val="001E1055"/>
    <w:rsid w:val="001E383A"/>
    <w:rsid w:val="001E400C"/>
    <w:rsid w:val="001E47D7"/>
    <w:rsid w:val="001E4B3F"/>
    <w:rsid w:val="001E4B42"/>
    <w:rsid w:val="001E5B5D"/>
    <w:rsid w:val="001E6DA3"/>
    <w:rsid w:val="001E7BBF"/>
    <w:rsid w:val="001E7BC3"/>
    <w:rsid w:val="001F0428"/>
    <w:rsid w:val="001F1090"/>
    <w:rsid w:val="001F17B7"/>
    <w:rsid w:val="001F183C"/>
    <w:rsid w:val="001F1CF9"/>
    <w:rsid w:val="001F216C"/>
    <w:rsid w:val="001F2619"/>
    <w:rsid w:val="001F261C"/>
    <w:rsid w:val="001F3379"/>
    <w:rsid w:val="001F3C7A"/>
    <w:rsid w:val="001F3FD4"/>
    <w:rsid w:val="001F41D3"/>
    <w:rsid w:val="001F44E5"/>
    <w:rsid w:val="001F5D5D"/>
    <w:rsid w:val="001F66A4"/>
    <w:rsid w:val="001F708B"/>
    <w:rsid w:val="001F7226"/>
    <w:rsid w:val="001F7322"/>
    <w:rsid w:val="001F743C"/>
    <w:rsid w:val="00201011"/>
    <w:rsid w:val="0020120B"/>
    <w:rsid w:val="0020244F"/>
    <w:rsid w:val="00203AAB"/>
    <w:rsid w:val="00204CB4"/>
    <w:rsid w:val="0020582A"/>
    <w:rsid w:val="00205CA2"/>
    <w:rsid w:val="002069A1"/>
    <w:rsid w:val="0020709F"/>
    <w:rsid w:val="0020744E"/>
    <w:rsid w:val="00207AD7"/>
    <w:rsid w:val="00207B01"/>
    <w:rsid w:val="00210108"/>
    <w:rsid w:val="002110F1"/>
    <w:rsid w:val="002113AD"/>
    <w:rsid w:val="00211625"/>
    <w:rsid w:val="00211AFC"/>
    <w:rsid w:val="00211FB8"/>
    <w:rsid w:val="002127F5"/>
    <w:rsid w:val="00212BC1"/>
    <w:rsid w:val="0021494E"/>
    <w:rsid w:val="0021517E"/>
    <w:rsid w:val="00215858"/>
    <w:rsid w:val="00215884"/>
    <w:rsid w:val="002164F7"/>
    <w:rsid w:val="00216684"/>
    <w:rsid w:val="00216ACC"/>
    <w:rsid w:val="00217322"/>
    <w:rsid w:val="002212F0"/>
    <w:rsid w:val="00221718"/>
    <w:rsid w:val="002218F2"/>
    <w:rsid w:val="00222606"/>
    <w:rsid w:val="00222719"/>
    <w:rsid w:val="00222769"/>
    <w:rsid w:val="002227A2"/>
    <w:rsid w:val="00222C1B"/>
    <w:rsid w:val="002234A0"/>
    <w:rsid w:val="00223D32"/>
    <w:rsid w:val="00224413"/>
    <w:rsid w:val="00224483"/>
    <w:rsid w:val="00224993"/>
    <w:rsid w:val="00225714"/>
    <w:rsid w:val="0022684E"/>
    <w:rsid w:val="00227126"/>
    <w:rsid w:val="0022733D"/>
    <w:rsid w:val="00227372"/>
    <w:rsid w:val="0022773E"/>
    <w:rsid w:val="002305FF"/>
    <w:rsid w:val="00230F5B"/>
    <w:rsid w:val="00231710"/>
    <w:rsid w:val="002327D0"/>
    <w:rsid w:val="002329AA"/>
    <w:rsid w:val="00233995"/>
    <w:rsid w:val="00234379"/>
    <w:rsid w:val="002347FB"/>
    <w:rsid w:val="00235203"/>
    <w:rsid w:val="002353FD"/>
    <w:rsid w:val="00235EBA"/>
    <w:rsid w:val="002361D9"/>
    <w:rsid w:val="002364FF"/>
    <w:rsid w:val="0023679F"/>
    <w:rsid w:val="00237752"/>
    <w:rsid w:val="0023775B"/>
    <w:rsid w:val="00237F21"/>
    <w:rsid w:val="0024153F"/>
    <w:rsid w:val="00242F73"/>
    <w:rsid w:val="002430F9"/>
    <w:rsid w:val="00243185"/>
    <w:rsid w:val="00243560"/>
    <w:rsid w:val="00243AF1"/>
    <w:rsid w:val="00244AF8"/>
    <w:rsid w:val="00244BEC"/>
    <w:rsid w:val="00245374"/>
    <w:rsid w:val="0024539B"/>
    <w:rsid w:val="00246E6A"/>
    <w:rsid w:val="00247521"/>
    <w:rsid w:val="00247835"/>
    <w:rsid w:val="002502BB"/>
    <w:rsid w:val="002506A1"/>
    <w:rsid w:val="00250C28"/>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7B77"/>
    <w:rsid w:val="00257DA9"/>
    <w:rsid w:val="00261030"/>
    <w:rsid w:val="0026256B"/>
    <w:rsid w:val="00263008"/>
    <w:rsid w:val="0026311C"/>
    <w:rsid w:val="0026320F"/>
    <w:rsid w:val="002635B0"/>
    <w:rsid w:val="002638DB"/>
    <w:rsid w:val="00263B99"/>
    <w:rsid w:val="0026559A"/>
    <w:rsid w:val="002659F2"/>
    <w:rsid w:val="00265A13"/>
    <w:rsid w:val="00265F60"/>
    <w:rsid w:val="002663E7"/>
    <w:rsid w:val="002677FC"/>
    <w:rsid w:val="00267A1C"/>
    <w:rsid w:val="00270286"/>
    <w:rsid w:val="00272284"/>
    <w:rsid w:val="00272827"/>
    <w:rsid w:val="00272DD0"/>
    <w:rsid w:val="002739A0"/>
    <w:rsid w:val="00273BF6"/>
    <w:rsid w:val="002741E9"/>
    <w:rsid w:val="0027508F"/>
    <w:rsid w:val="00275AC4"/>
    <w:rsid w:val="002761E0"/>
    <w:rsid w:val="002765CF"/>
    <w:rsid w:val="002779BA"/>
    <w:rsid w:val="00277C3C"/>
    <w:rsid w:val="002804F4"/>
    <w:rsid w:val="002807FE"/>
    <w:rsid w:val="00281E4A"/>
    <w:rsid w:val="00281E7F"/>
    <w:rsid w:val="002823A4"/>
    <w:rsid w:val="00282E77"/>
    <w:rsid w:val="0028352F"/>
    <w:rsid w:val="002835E1"/>
    <w:rsid w:val="002837B8"/>
    <w:rsid w:val="00285089"/>
    <w:rsid w:val="00285374"/>
    <w:rsid w:val="002856F1"/>
    <w:rsid w:val="00285B3B"/>
    <w:rsid w:val="00285FF8"/>
    <w:rsid w:val="00286910"/>
    <w:rsid w:val="002878A8"/>
    <w:rsid w:val="00287D44"/>
    <w:rsid w:val="0029006D"/>
    <w:rsid w:val="002909BC"/>
    <w:rsid w:val="00291376"/>
    <w:rsid w:val="0029165A"/>
    <w:rsid w:val="0029226B"/>
    <w:rsid w:val="00292750"/>
    <w:rsid w:val="00292947"/>
    <w:rsid w:val="00293373"/>
    <w:rsid w:val="002937BE"/>
    <w:rsid w:val="002951E1"/>
    <w:rsid w:val="0029533D"/>
    <w:rsid w:val="00295D6D"/>
    <w:rsid w:val="002963A6"/>
    <w:rsid w:val="00296B76"/>
    <w:rsid w:val="00297B92"/>
    <w:rsid w:val="00297E19"/>
    <w:rsid w:val="002A07FF"/>
    <w:rsid w:val="002A0FC3"/>
    <w:rsid w:val="002A13D8"/>
    <w:rsid w:val="002A1D3C"/>
    <w:rsid w:val="002A3898"/>
    <w:rsid w:val="002A4315"/>
    <w:rsid w:val="002A51E1"/>
    <w:rsid w:val="002A5250"/>
    <w:rsid w:val="002A5301"/>
    <w:rsid w:val="002A65DA"/>
    <w:rsid w:val="002A74CF"/>
    <w:rsid w:val="002A77A1"/>
    <w:rsid w:val="002B0267"/>
    <w:rsid w:val="002B10A6"/>
    <w:rsid w:val="002B2BC5"/>
    <w:rsid w:val="002B2C36"/>
    <w:rsid w:val="002B37E3"/>
    <w:rsid w:val="002B4DA2"/>
    <w:rsid w:val="002B5CF2"/>
    <w:rsid w:val="002B65D6"/>
    <w:rsid w:val="002B66A7"/>
    <w:rsid w:val="002B6E8B"/>
    <w:rsid w:val="002B768D"/>
    <w:rsid w:val="002B7A93"/>
    <w:rsid w:val="002B7B2C"/>
    <w:rsid w:val="002B7E3F"/>
    <w:rsid w:val="002C00F0"/>
    <w:rsid w:val="002C01B1"/>
    <w:rsid w:val="002C0E7C"/>
    <w:rsid w:val="002C0EF0"/>
    <w:rsid w:val="002C0FEA"/>
    <w:rsid w:val="002C1D99"/>
    <w:rsid w:val="002C2A7F"/>
    <w:rsid w:val="002C2AA9"/>
    <w:rsid w:val="002C2B1E"/>
    <w:rsid w:val="002C31FB"/>
    <w:rsid w:val="002C4F35"/>
    <w:rsid w:val="002C5234"/>
    <w:rsid w:val="002C5956"/>
    <w:rsid w:val="002C5EF9"/>
    <w:rsid w:val="002C6C35"/>
    <w:rsid w:val="002D0266"/>
    <w:rsid w:val="002D0A70"/>
    <w:rsid w:val="002D11FE"/>
    <w:rsid w:val="002D14AA"/>
    <w:rsid w:val="002D1651"/>
    <w:rsid w:val="002D1C15"/>
    <w:rsid w:val="002D2C82"/>
    <w:rsid w:val="002D3091"/>
    <w:rsid w:val="002D34B3"/>
    <w:rsid w:val="002D4263"/>
    <w:rsid w:val="002D4657"/>
    <w:rsid w:val="002D4757"/>
    <w:rsid w:val="002D4CB6"/>
    <w:rsid w:val="002D4D0A"/>
    <w:rsid w:val="002D5305"/>
    <w:rsid w:val="002D5563"/>
    <w:rsid w:val="002D601D"/>
    <w:rsid w:val="002D69EE"/>
    <w:rsid w:val="002D7543"/>
    <w:rsid w:val="002D7D14"/>
    <w:rsid w:val="002E08A2"/>
    <w:rsid w:val="002E0904"/>
    <w:rsid w:val="002E0C8C"/>
    <w:rsid w:val="002E0F62"/>
    <w:rsid w:val="002E1645"/>
    <w:rsid w:val="002E1747"/>
    <w:rsid w:val="002E174E"/>
    <w:rsid w:val="002E1BC9"/>
    <w:rsid w:val="002E1CC2"/>
    <w:rsid w:val="002E2D83"/>
    <w:rsid w:val="002E3CA2"/>
    <w:rsid w:val="002E5A91"/>
    <w:rsid w:val="002E6A87"/>
    <w:rsid w:val="002E6D25"/>
    <w:rsid w:val="002E7DD7"/>
    <w:rsid w:val="002F0A9A"/>
    <w:rsid w:val="002F0C9C"/>
    <w:rsid w:val="002F125E"/>
    <w:rsid w:val="002F12B2"/>
    <w:rsid w:val="002F1CCB"/>
    <w:rsid w:val="002F37D5"/>
    <w:rsid w:val="002F4187"/>
    <w:rsid w:val="002F4337"/>
    <w:rsid w:val="002F46C6"/>
    <w:rsid w:val="002F4E75"/>
    <w:rsid w:val="002F5F0F"/>
    <w:rsid w:val="002F62A3"/>
    <w:rsid w:val="00300C9C"/>
    <w:rsid w:val="00300E6D"/>
    <w:rsid w:val="003012C8"/>
    <w:rsid w:val="00302055"/>
    <w:rsid w:val="00302955"/>
    <w:rsid w:val="00302C4D"/>
    <w:rsid w:val="003036FD"/>
    <w:rsid w:val="00303BD2"/>
    <w:rsid w:val="00303C59"/>
    <w:rsid w:val="00304CC5"/>
    <w:rsid w:val="00304D01"/>
    <w:rsid w:val="00304D6F"/>
    <w:rsid w:val="00306467"/>
    <w:rsid w:val="003073BF"/>
    <w:rsid w:val="003074F4"/>
    <w:rsid w:val="00307990"/>
    <w:rsid w:val="00307D1F"/>
    <w:rsid w:val="00307F12"/>
    <w:rsid w:val="0031023A"/>
    <w:rsid w:val="00310C09"/>
    <w:rsid w:val="0031116B"/>
    <w:rsid w:val="00311D6A"/>
    <w:rsid w:val="00312165"/>
    <w:rsid w:val="00312D44"/>
    <w:rsid w:val="00313831"/>
    <w:rsid w:val="00313D22"/>
    <w:rsid w:val="00314340"/>
    <w:rsid w:val="003148A4"/>
    <w:rsid w:val="00315039"/>
    <w:rsid w:val="00315053"/>
    <w:rsid w:val="0031700A"/>
    <w:rsid w:val="0031720C"/>
    <w:rsid w:val="003206D5"/>
    <w:rsid w:val="003214B7"/>
    <w:rsid w:val="00322145"/>
    <w:rsid w:val="00322215"/>
    <w:rsid w:val="00322470"/>
    <w:rsid w:val="00322624"/>
    <w:rsid w:val="003236DB"/>
    <w:rsid w:val="00323E85"/>
    <w:rsid w:val="00324461"/>
    <w:rsid w:val="00326F26"/>
    <w:rsid w:val="00327F40"/>
    <w:rsid w:val="0033119C"/>
    <w:rsid w:val="00331721"/>
    <w:rsid w:val="003317AA"/>
    <w:rsid w:val="00331B5B"/>
    <w:rsid w:val="00331E6E"/>
    <w:rsid w:val="0033339D"/>
    <w:rsid w:val="00333E87"/>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68ED"/>
    <w:rsid w:val="0035057D"/>
    <w:rsid w:val="00350A2D"/>
    <w:rsid w:val="00351E59"/>
    <w:rsid w:val="00352D19"/>
    <w:rsid w:val="00353461"/>
    <w:rsid w:val="00354A7F"/>
    <w:rsid w:val="00355752"/>
    <w:rsid w:val="00355C7E"/>
    <w:rsid w:val="00355F9F"/>
    <w:rsid w:val="003563F4"/>
    <w:rsid w:val="003569B8"/>
    <w:rsid w:val="00357508"/>
    <w:rsid w:val="003605F2"/>
    <w:rsid w:val="00361027"/>
    <w:rsid w:val="003619CE"/>
    <w:rsid w:val="00361E3B"/>
    <w:rsid w:val="0036202A"/>
    <w:rsid w:val="0036223C"/>
    <w:rsid w:val="00362DE0"/>
    <w:rsid w:val="00363343"/>
    <w:rsid w:val="003634BD"/>
    <w:rsid w:val="00364098"/>
    <w:rsid w:val="00364211"/>
    <w:rsid w:val="00364836"/>
    <w:rsid w:val="003648B6"/>
    <w:rsid w:val="00366A1A"/>
    <w:rsid w:val="00367609"/>
    <w:rsid w:val="00367C97"/>
    <w:rsid w:val="00370043"/>
    <w:rsid w:val="0037007E"/>
    <w:rsid w:val="00370D87"/>
    <w:rsid w:val="00370E83"/>
    <w:rsid w:val="00372DB9"/>
    <w:rsid w:val="0037373D"/>
    <w:rsid w:val="00373A97"/>
    <w:rsid w:val="00373AB6"/>
    <w:rsid w:val="00373C35"/>
    <w:rsid w:val="00373F34"/>
    <w:rsid w:val="00374082"/>
    <w:rsid w:val="0037468C"/>
    <w:rsid w:val="00374F02"/>
    <w:rsid w:val="003752DA"/>
    <w:rsid w:val="0037594D"/>
    <w:rsid w:val="00376B09"/>
    <w:rsid w:val="00376F95"/>
    <w:rsid w:val="003777DC"/>
    <w:rsid w:val="003779B8"/>
    <w:rsid w:val="00377C39"/>
    <w:rsid w:val="003806D3"/>
    <w:rsid w:val="00380C50"/>
    <w:rsid w:val="00381439"/>
    <w:rsid w:val="00381E97"/>
    <w:rsid w:val="00381ED9"/>
    <w:rsid w:val="0038229E"/>
    <w:rsid w:val="00384555"/>
    <w:rsid w:val="003848F8"/>
    <w:rsid w:val="00384C6D"/>
    <w:rsid w:val="003852D9"/>
    <w:rsid w:val="0038624A"/>
    <w:rsid w:val="00386529"/>
    <w:rsid w:val="00386DD4"/>
    <w:rsid w:val="00387FEE"/>
    <w:rsid w:val="00390BF4"/>
    <w:rsid w:val="003913E8"/>
    <w:rsid w:val="003914BE"/>
    <w:rsid w:val="003914CA"/>
    <w:rsid w:val="003927CB"/>
    <w:rsid w:val="003927F9"/>
    <w:rsid w:val="00392FA6"/>
    <w:rsid w:val="003933C7"/>
    <w:rsid w:val="00394575"/>
    <w:rsid w:val="00394ACB"/>
    <w:rsid w:val="00395DF9"/>
    <w:rsid w:val="00396096"/>
    <w:rsid w:val="003960C5"/>
    <w:rsid w:val="00396692"/>
    <w:rsid w:val="00396C65"/>
    <w:rsid w:val="003A0A88"/>
    <w:rsid w:val="003A238A"/>
    <w:rsid w:val="003A249A"/>
    <w:rsid w:val="003A24CE"/>
    <w:rsid w:val="003A2CB3"/>
    <w:rsid w:val="003A435E"/>
    <w:rsid w:val="003A4466"/>
    <w:rsid w:val="003A4734"/>
    <w:rsid w:val="003A64A9"/>
    <w:rsid w:val="003A6B0D"/>
    <w:rsid w:val="003A728C"/>
    <w:rsid w:val="003A7FC2"/>
    <w:rsid w:val="003B10C4"/>
    <w:rsid w:val="003B1E93"/>
    <w:rsid w:val="003B2345"/>
    <w:rsid w:val="003B26FD"/>
    <w:rsid w:val="003B2789"/>
    <w:rsid w:val="003B2E1A"/>
    <w:rsid w:val="003B3E34"/>
    <w:rsid w:val="003B430C"/>
    <w:rsid w:val="003B4547"/>
    <w:rsid w:val="003B58C2"/>
    <w:rsid w:val="003B5C8A"/>
    <w:rsid w:val="003B5C90"/>
    <w:rsid w:val="003B7092"/>
    <w:rsid w:val="003B7B18"/>
    <w:rsid w:val="003C1064"/>
    <w:rsid w:val="003C109F"/>
    <w:rsid w:val="003C1669"/>
    <w:rsid w:val="003C1F05"/>
    <w:rsid w:val="003C21AE"/>
    <w:rsid w:val="003C221A"/>
    <w:rsid w:val="003C22E8"/>
    <w:rsid w:val="003C23B0"/>
    <w:rsid w:val="003C5618"/>
    <w:rsid w:val="003C5E1D"/>
    <w:rsid w:val="003C6DB3"/>
    <w:rsid w:val="003C6EAD"/>
    <w:rsid w:val="003C72D1"/>
    <w:rsid w:val="003C7532"/>
    <w:rsid w:val="003D1A6C"/>
    <w:rsid w:val="003D1B33"/>
    <w:rsid w:val="003D2447"/>
    <w:rsid w:val="003D26B5"/>
    <w:rsid w:val="003D273C"/>
    <w:rsid w:val="003D29C1"/>
    <w:rsid w:val="003D2BB6"/>
    <w:rsid w:val="003D2F2D"/>
    <w:rsid w:val="003D313D"/>
    <w:rsid w:val="003D4367"/>
    <w:rsid w:val="003D52A8"/>
    <w:rsid w:val="003D5CA9"/>
    <w:rsid w:val="003D5DC9"/>
    <w:rsid w:val="003D5F48"/>
    <w:rsid w:val="003D6A63"/>
    <w:rsid w:val="003D7A7A"/>
    <w:rsid w:val="003D7D66"/>
    <w:rsid w:val="003E07A9"/>
    <w:rsid w:val="003E1590"/>
    <w:rsid w:val="003E1D1E"/>
    <w:rsid w:val="003E1D20"/>
    <w:rsid w:val="003E1E8E"/>
    <w:rsid w:val="003E21FC"/>
    <w:rsid w:val="003E2574"/>
    <w:rsid w:val="003E2CA0"/>
    <w:rsid w:val="003E36D1"/>
    <w:rsid w:val="003E3731"/>
    <w:rsid w:val="003E3BE0"/>
    <w:rsid w:val="003E5461"/>
    <w:rsid w:val="003E5954"/>
    <w:rsid w:val="003E5F37"/>
    <w:rsid w:val="003E649C"/>
    <w:rsid w:val="003E6E5E"/>
    <w:rsid w:val="003F04D7"/>
    <w:rsid w:val="003F0AEF"/>
    <w:rsid w:val="003F2594"/>
    <w:rsid w:val="003F25DC"/>
    <w:rsid w:val="003F2D13"/>
    <w:rsid w:val="003F2EB2"/>
    <w:rsid w:val="003F2FB9"/>
    <w:rsid w:val="003F2FDF"/>
    <w:rsid w:val="003F370D"/>
    <w:rsid w:val="003F3D6B"/>
    <w:rsid w:val="003F4306"/>
    <w:rsid w:val="003F4AF6"/>
    <w:rsid w:val="003F4DE2"/>
    <w:rsid w:val="003F505D"/>
    <w:rsid w:val="003F50FC"/>
    <w:rsid w:val="003F6A89"/>
    <w:rsid w:val="003F6C5B"/>
    <w:rsid w:val="003F7510"/>
    <w:rsid w:val="003F7600"/>
    <w:rsid w:val="003F79C5"/>
    <w:rsid w:val="00400900"/>
    <w:rsid w:val="00400C77"/>
    <w:rsid w:val="00402D1D"/>
    <w:rsid w:val="00403024"/>
    <w:rsid w:val="00405901"/>
    <w:rsid w:val="00406392"/>
    <w:rsid w:val="00406C01"/>
    <w:rsid w:val="0040787F"/>
    <w:rsid w:val="0041058F"/>
    <w:rsid w:val="0041070C"/>
    <w:rsid w:val="0041188A"/>
    <w:rsid w:val="0041219E"/>
    <w:rsid w:val="00412704"/>
    <w:rsid w:val="00412AAE"/>
    <w:rsid w:val="00412F00"/>
    <w:rsid w:val="0041398D"/>
    <w:rsid w:val="00413993"/>
    <w:rsid w:val="00413C17"/>
    <w:rsid w:val="00414C9A"/>
    <w:rsid w:val="00414E3D"/>
    <w:rsid w:val="00414F6B"/>
    <w:rsid w:val="00415189"/>
    <w:rsid w:val="0041524D"/>
    <w:rsid w:val="00415957"/>
    <w:rsid w:val="00416BE2"/>
    <w:rsid w:val="00417ED4"/>
    <w:rsid w:val="00420F3A"/>
    <w:rsid w:val="0042278D"/>
    <w:rsid w:val="00422BF8"/>
    <w:rsid w:val="004234FB"/>
    <w:rsid w:val="004239FB"/>
    <w:rsid w:val="00423A70"/>
    <w:rsid w:val="00423C4E"/>
    <w:rsid w:val="00424F58"/>
    <w:rsid w:val="0042503D"/>
    <w:rsid w:val="0042564D"/>
    <w:rsid w:val="00425CB8"/>
    <w:rsid w:val="0042622A"/>
    <w:rsid w:val="0042640A"/>
    <w:rsid w:val="00426536"/>
    <w:rsid w:val="00427636"/>
    <w:rsid w:val="00427669"/>
    <w:rsid w:val="004278C1"/>
    <w:rsid w:val="00427E8A"/>
    <w:rsid w:val="00427F4F"/>
    <w:rsid w:val="0043067D"/>
    <w:rsid w:val="00430868"/>
    <w:rsid w:val="00431051"/>
    <w:rsid w:val="00431E07"/>
    <w:rsid w:val="00431F15"/>
    <w:rsid w:val="00432954"/>
    <w:rsid w:val="004339E5"/>
    <w:rsid w:val="004341F7"/>
    <w:rsid w:val="00434287"/>
    <w:rsid w:val="00435142"/>
    <w:rsid w:val="004351F3"/>
    <w:rsid w:val="00435B9F"/>
    <w:rsid w:val="0043630A"/>
    <w:rsid w:val="004364F1"/>
    <w:rsid w:val="00436A31"/>
    <w:rsid w:val="004375C6"/>
    <w:rsid w:val="00440340"/>
    <w:rsid w:val="004410E9"/>
    <w:rsid w:val="00441703"/>
    <w:rsid w:val="00441DDA"/>
    <w:rsid w:val="00441FBA"/>
    <w:rsid w:val="00442E01"/>
    <w:rsid w:val="00443374"/>
    <w:rsid w:val="00444D34"/>
    <w:rsid w:val="00445448"/>
    <w:rsid w:val="00446870"/>
    <w:rsid w:val="00446C56"/>
    <w:rsid w:val="00446CE9"/>
    <w:rsid w:val="00450C96"/>
    <w:rsid w:val="00451782"/>
    <w:rsid w:val="00451850"/>
    <w:rsid w:val="00452121"/>
    <w:rsid w:val="004526A4"/>
    <w:rsid w:val="00452E92"/>
    <w:rsid w:val="0045336C"/>
    <w:rsid w:val="0045385F"/>
    <w:rsid w:val="00453AB9"/>
    <w:rsid w:val="004548D1"/>
    <w:rsid w:val="00456370"/>
    <w:rsid w:val="00457097"/>
    <w:rsid w:val="00457244"/>
    <w:rsid w:val="00457759"/>
    <w:rsid w:val="0046045F"/>
    <w:rsid w:val="00461101"/>
    <w:rsid w:val="004622CB"/>
    <w:rsid w:val="004636DA"/>
    <w:rsid w:val="00463CEB"/>
    <w:rsid w:val="00464178"/>
    <w:rsid w:val="004644D4"/>
    <w:rsid w:val="00464A94"/>
    <w:rsid w:val="00464DC3"/>
    <w:rsid w:val="00464E89"/>
    <w:rsid w:val="0046641E"/>
    <w:rsid w:val="00467873"/>
    <w:rsid w:val="0047014A"/>
    <w:rsid w:val="00470570"/>
    <w:rsid w:val="00470C7E"/>
    <w:rsid w:val="00470CD8"/>
    <w:rsid w:val="00471197"/>
    <w:rsid w:val="004713E2"/>
    <w:rsid w:val="00471B5B"/>
    <w:rsid w:val="00472DBD"/>
    <w:rsid w:val="00472E0F"/>
    <w:rsid w:val="004730F6"/>
    <w:rsid w:val="00473A1E"/>
    <w:rsid w:val="00473AB1"/>
    <w:rsid w:val="00473CC3"/>
    <w:rsid w:val="004749A2"/>
    <w:rsid w:val="0047563C"/>
    <w:rsid w:val="00475BB1"/>
    <w:rsid w:val="00476259"/>
    <w:rsid w:val="00477F8F"/>
    <w:rsid w:val="00480924"/>
    <w:rsid w:val="00481546"/>
    <w:rsid w:val="004818CC"/>
    <w:rsid w:val="004819A2"/>
    <w:rsid w:val="00482425"/>
    <w:rsid w:val="00482AF9"/>
    <w:rsid w:val="00483016"/>
    <w:rsid w:val="004836A3"/>
    <w:rsid w:val="00483CA2"/>
    <w:rsid w:val="00484E4A"/>
    <w:rsid w:val="00485283"/>
    <w:rsid w:val="00486DBE"/>
    <w:rsid w:val="004874D1"/>
    <w:rsid w:val="004879D6"/>
    <w:rsid w:val="00490828"/>
    <w:rsid w:val="00490F5A"/>
    <w:rsid w:val="00490FB3"/>
    <w:rsid w:val="0049104E"/>
    <w:rsid w:val="004916A6"/>
    <w:rsid w:val="004917C1"/>
    <w:rsid w:val="00491DA3"/>
    <w:rsid w:val="004927F7"/>
    <w:rsid w:val="00492C5A"/>
    <w:rsid w:val="00493C1D"/>
    <w:rsid w:val="00494293"/>
    <w:rsid w:val="00494355"/>
    <w:rsid w:val="00494D49"/>
    <w:rsid w:val="00495173"/>
    <w:rsid w:val="004954A5"/>
    <w:rsid w:val="004966B6"/>
    <w:rsid w:val="0049724B"/>
    <w:rsid w:val="00497E63"/>
    <w:rsid w:val="004A06AD"/>
    <w:rsid w:val="004A09A8"/>
    <w:rsid w:val="004A0BDA"/>
    <w:rsid w:val="004A2126"/>
    <w:rsid w:val="004A2FF5"/>
    <w:rsid w:val="004A35EE"/>
    <w:rsid w:val="004A3856"/>
    <w:rsid w:val="004A49E7"/>
    <w:rsid w:val="004A509D"/>
    <w:rsid w:val="004A51E1"/>
    <w:rsid w:val="004A5AF5"/>
    <w:rsid w:val="004A5D2C"/>
    <w:rsid w:val="004A68C6"/>
    <w:rsid w:val="004A6A5A"/>
    <w:rsid w:val="004A7C61"/>
    <w:rsid w:val="004A7D67"/>
    <w:rsid w:val="004B03C1"/>
    <w:rsid w:val="004B13D7"/>
    <w:rsid w:val="004B313D"/>
    <w:rsid w:val="004B3B24"/>
    <w:rsid w:val="004B3D1A"/>
    <w:rsid w:val="004B4832"/>
    <w:rsid w:val="004B5279"/>
    <w:rsid w:val="004B56DC"/>
    <w:rsid w:val="004B61EC"/>
    <w:rsid w:val="004B6762"/>
    <w:rsid w:val="004B6A92"/>
    <w:rsid w:val="004B73C7"/>
    <w:rsid w:val="004B7928"/>
    <w:rsid w:val="004B7CD9"/>
    <w:rsid w:val="004C0059"/>
    <w:rsid w:val="004C1B89"/>
    <w:rsid w:val="004C22AA"/>
    <w:rsid w:val="004C2946"/>
    <w:rsid w:val="004C2BE9"/>
    <w:rsid w:val="004C380A"/>
    <w:rsid w:val="004C3A00"/>
    <w:rsid w:val="004C3FAC"/>
    <w:rsid w:val="004C427B"/>
    <w:rsid w:val="004C47DC"/>
    <w:rsid w:val="004C4840"/>
    <w:rsid w:val="004C4887"/>
    <w:rsid w:val="004C59CB"/>
    <w:rsid w:val="004C5A71"/>
    <w:rsid w:val="004C6878"/>
    <w:rsid w:val="004C6A78"/>
    <w:rsid w:val="004C7A29"/>
    <w:rsid w:val="004D0179"/>
    <w:rsid w:val="004D0EF2"/>
    <w:rsid w:val="004D0FD2"/>
    <w:rsid w:val="004D27CA"/>
    <w:rsid w:val="004D29B1"/>
    <w:rsid w:val="004D3210"/>
    <w:rsid w:val="004D3217"/>
    <w:rsid w:val="004D3248"/>
    <w:rsid w:val="004D342B"/>
    <w:rsid w:val="004D362D"/>
    <w:rsid w:val="004D4CFE"/>
    <w:rsid w:val="004D5069"/>
    <w:rsid w:val="004D5661"/>
    <w:rsid w:val="004D5876"/>
    <w:rsid w:val="004D5EEF"/>
    <w:rsid w:val="004D637F"/>
    <w:rsid w:val="004D67B3"/>
    <w:rsid w:val="004D7F55"/>
    <w:rsid w:val="004E01A1"/>
    <w:rsid w:val="004E0C8E"/>
    <w:rsid w:val="004E1662"/>
    <w:rsid w:val="004E24AC"/>
    <w:rsid w:val="004E2983"/>
    <w:rsid w:val="004E2DE0"/>
    <w:rsid w:val="004E36E2"/>
    <w:rsid w:val="004E4EE5"/>
    <w:rsid w:val="004E66A2"/>
    <w:rsid w:val="004E6D19"/>
    <w:rsid w:val="004E7592"/>
    <w:rsid w:val="004E75A9"/>
    <w:rsid w:val="004E7D78"/>
    <w:rsid w:val="004F03ED"/>
    <w:rsid w:val="004F0416"/>
    <w:rsid w:val="004F0BA4"/>
    <w:rsid w:val="004F1A80"/>
    <w:rsid w:val="004F1A98"/>
    <w:rsid w:val="004F1CE0"/>
    <w:rsid w:val="004F2518"/>
    <w:rsid w:val="004F40DF"/>
    <w:rsid w:val="004F4478"/>
    <w:rsid w:val="004F4C0A"/>
    <w:rsid w:val="004F4D2E"/>
    <w:rsid w:val="004F5EE7"/>
    <w:rsid w:val="004F5F21"/>
    <w:rsid w:val="004F607A"/>
    <w:rsid w:val="004F63DF"/>
    <w:rsid w:val="004F64AE"/>
    <w:rsid w:val="004F6C06"/>
    <w:rsid w:val="004F6C6B"/>
    <w:rsid w:val="004F7612"/>
    <w:rsid w:val="004F766B"/>
    <w:rsid w:val="004F7871"/>
    <w:rsid w:val="004F7EBD"/>
    <w:rsid w:val="005009E2"/>
    <w:rsid w:val="00500A26"/>
    <w:rsid w:val="00500B26"/>
    <w:rsid w:val="00501195"/>
    <w:rsid w:val="005018B1"/>
    <w:rsid w:val="00501C0E"/>
    <w:rsid w:val="00502379"/>
    <w:rsid w:val="005027CE"/>
    <w:rsid w:val="00505225"/>
    <w:rsid w:val="00505FA4"/>
    <w:rsid w:val="00507499"/>
    <w:rsid w:val="0051108B"/>
    <w:rsid w:val="00511A26"/>
    <w:rsid w:val="005131E8"/>
    <w:rsid w:val="00514972"/>
    <w:rsid w:val="00515537"/>
    <w:rsid w:val="00515B04"/>
    <w:rsid w:val="00515CDD"/>
    <w:rsid w:val="005160EB"/>
    <w:rsid w:val="005172FF"/>
    <w:rsid w:val="00517EAD"/>
    <w:rsid w:val="00517FF6"/>
    <w:rsid w:val="00520CD4"/>
    <w:rsid w:val="005217C7"/>
    <w:rsid w:val="00521F1C"/>
    <w:rsid w:val="00522ECD"/>
    <w:rsid w:val="00522F1F"/>
    <w:rsid w:val="00524515"/>
    <w:rsid w:val="00524BE9"/>
    <w:rsid w:val="00525023"/>
    <w:rsid w:val="0052699B"/>
    <w:rsid w:val="00527101"/>
    <w:rsid w:val="005272DA"/>
    <w:rsid w:val="0052745D"/>
    <w:rsid w:val="00527F8E"/>
    <w:rsid w:val="00530680"/>
    <w:rsid w:val="00530800"/>
    <w:rsid w:val="0053088E"/>
    <w:rsid w:val="005309E2"/>
    <w:rsid w:val="005310D8"/>
    <w:rsid w:val="00531D6D"/>
    <w:rsid w:val="00531D8A"/>
    <w:rsid w:val="00532CD0"/>
    <w:rsid w:val="00533516"/>
    <w:rsid w:val="00533BA2"/>
    <w:rsid w:val="00533E41"/>
    <w:rsid w:val="005340A2"/>
    <w:rsid w:val="00534D6D"/>
    <w:rsid w:val="00536ADD"/>
    <w:rsid w:val="00537229"/>
    <w:rsid w:val="00537DC6"/>
    <w:rsid w:val="005406DA"/>
    <w:rsid w:val="00540B79"/>
    <w:rsid w:val="00540C21"/>
    <w:rsid w:val="005410C8"/>
    <w:rsid w:val="00541F2F"/>
    <w:rsid w:val="00541FD1"/>
    <w:rsid w:val="00542D58"/>
    <w:rsid w:val="00543382"/>
    <w:rsid w:val="00543788"/>
    <w:rsid w:val="00543DDF"/>
    <w:rsid w:val="0054496B"/>
    <w:rsid w:val="00544E80"/>
    <w:rsid w:val="0054505B"/>
    <w:rsid w:val="0054569D"/>
    <w:rsid w:val="00545922"/>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4F15"/>
    <w:rsid w:val="00556401"/>
    <w:rsid w:val="0056056A"/>
    <w:rsid w:val="00560B7C"/>
    <w:rsid w:val="00560F5E"/>
    <w:rsid w:val="005610A9"/>
    <w:rsid w:val="00561255"/>
    <w:rsid w:val="00562CEC"/>
    <w:rsid w:val="005632CA"/>
    <w:rsid w:val="00563A9C"/>
    <w:rsid w:val="00563AB9"/>
    <w:rsid w:val="00563F9F"/>
    <w:rsid w:val="0056467F"/>
    <w:rsid w:val="00564990"/>
    <w:rsid w:val="005649A9"/>
    <w:rsid w:val="00564E8F"/>
    <w:rsid w:val="0056501F"/>
    <w:rsid w:val="00565536"/>
    <w:rsid w:val="005660BA"/>
    <w:rsid w:val="005663F0"/>
    <w:rsid w:val="00566AFE"/>
    <w:rsid w:val="005672FE"/>
    <w:rsid w:val="00567D95"/>
    <w:rsid w:val="00567D99"/>
    <w:rsid w:val="00567F7C"/>
    <w:rsid w:val="0057069D"/>
    <w:rsid w:val="00571E51"/>
    <w:rsid w:val="00571F04"/>
    <w:rsid w:val="00572065"/>
    <w:rsid w:val="00572655"/>
    <w:rsid w:val="00572B4E"/>
    <w:rsid w:val="005732CA"/>
    <w:rsid w:val="00573E77"/>
    <w:rsid w:val="00574BC7"/>
    <w:rsid w:val="00574C35"/>
    <w:rsid w:val="00575028"/>
    <w:rsid w:val="0058066E"/>
    <w:rsid w:val="00580676"/>
    <w:rsid w:val="00580FE1"/>
    <w:rsid w:val="00581806"/>
    <w:rsid w:val="00582D0B"/>
    <w:rsid w:val="00583263"/>
    <w:rsid w:val="00583416"/>
    <w:rsid w:val="00583726"/>
    <w:rsid w:val="00583938"/>
    <w:rsid w:val="0058417D"/>
    <w:rsid w:val="00584620"/>
    <w:rsid w:val="005847B0"/>
    <w:rsid w:val="005849D1"/>
    <w:rsid w:val="00584ABA"/>
    <w:rsid w:val="00586232"/>
    <w:rsid w:val="005863B7"/>
    <w:rsid w:val="005871EE"/>
    <w:rsid w:val="00590455"/>
    <w:rsid w:val="00590B28"/>
    <w:rsid w:val="00591C52"/>
    <w:rsid w:val="005926DC"/>
    <w:rsid w:val="00593A1A"/>
    <w:rsid w:val="00593A49"/>
    <w:rsid w:val="00593CD4"/>
    <w:rsid w:val="00594459"/>
    <w:rsid w:val="005944E8"/>
    <w:rsid w:val="005944EE"/>
    <w:rsid w:val="00594ACF"/>
    <w:rsid w:val="00594B33"/>
    <w:rsid w:val="00595320"/>
    <w:rsid w:val="00595386"/>
    <w:rsid w:val="00595D4B"/>
    <w:rsid w:val="00595D9F"/>
    <w:rsid w:val="00595EE0"/>
    <w:rsid w:val="0059630A"/>
    <w:rsid w:val="0059663E"/>
    <w:rsid w:val="005966BA"/>
    <w:rsid w:val="005968EC"/>
    <w:rsid w:val="00596A86"/>
    <w:rsid w:val="00596D87"/>
    <w:rsid w:val="00596D93"/>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6CA"/>
    <w:rsid w:val="005A63AC"/>
    <w:rsid w:val="005A6432"/>
    <w:rsid w:val="005A6765"/>
    <w:rsid w:val="005A6D17"/>
    <w:rsid w:val="005B0131"/>
    <w:rsid w:val="005B0D57"/>
    <w:rsid w:val="005B121B"/>
    <w:rsid w:val="005B1C30"/>
    <w:rsid w:val="005B1F86"/>
    <w:rsid w:val="005B2674"/>
    <w:rsid w:val="005B2850"/>
    <w:rsid w:val="005B28C3"/>
    <w:rsid w:val="005B35B4"/>
    <w:rsid w:val="005B36A9"/>
    <w:rsid w:val="005B37CC"/>
    <w:rsid w:val="005B3B51"/>
    <w:rsid w:val="005B43DB"/>
    <w:rsid w:val="005B4539"/>
    <w:rsid w:val="005B4EDC"/>
    <w:rsid w:val="005B56B6"/>
    <w:rsid w:val="005B5B4E"/>
    <w:rsid w:val="005B5FBF"/>
    <w:rsid w:val="005B650E"/>
    <w:rsid w:val="005B657B"/>
    <w:rsid w:val="005C041C"/>
    <w:rsid w:val="005C18E6"/>
    <w:rsid w:val="005C23EB"/>
    <w:rsid w:val="005C2424"/>
    <w:rsid w:val="005C29C4"/>
    <w:rsid w:val="005C29D2"/>
    <w:rsid w:val="005C4432"/>
    <w:rsid w:val="005C5B9C"/>
    <w:rsid w:val="005C5DD2"/>
    <w:rsid w:val="005C5E64"/>
    <w:rsid w:val="005C5F9B"/>
    <w:rsid w:val="005C6A0B"/>
    <w:rsid w:val="005C6AAA"/>
    <w:rsid w:val="005C77AE"/>
    <w:rsid w:val="005C7A8F"/>
    <w:rsid w:val="005C7F37"/>
    <w:rsid w:val="005D05A6"/>
    <w:rsid w:val="005D101E"/>
    <w:rsid w:val="005D15DA"/>
    <w:rsid w:val="005D1A91"/>
    <w:rsid w:val="005D1AA4"/>
    <w:rsid w:val="005D1AE8"/>
    <w:rsid w:val="005D1CED"/>
    <w:rsid w:val="005D2B71"/>
    <w:rsid w:val="005D4599"/>
    <w:rsid w:val="005D579D"/>
    <w:rsid w:val="005D5C81"/>
    <w:rsid w:val="005D6408"/>
    <w:rsid w:val="005D6C41"/>
    <w:rsid w:val="005E07E5"/>
    <w:rsid w:val="005E0B69"/>
    <w:rsid w:val="005E1214"/>
    <w:rsid w:val="005E2397"/>
    <w:rsid w:val="005E2CC6"/>
    <w:rsid w:val="005E336B"/>
    <w:rsid w:val="005E3538"/>
    <w:rsid w:val="005E3906"/>
    <w:rsid w:val="005E3B01"/>
    <w:rsid w:val="005E3D61"/>
    <w:rsid w:val="005E4745"/>
    <w:rsid w:val="005E4E92"/>
    <w:rsid w:val="005E6E4B"/>
    <w:rsid w:val="005E6EC4"/>
    <w:rsid w:val="005E7604"/>
    <w:rsid w:val="005E7AFC"/>
    <w:rsid w:val="005E7DDE"/>
    <w:rsid w:val="005F0341"/>
    <w:rsid w:val="005F1614"/>
    <w:rsid w:val="005F27F0"/>
    <w:rsid w:val="005F346B"/>
    <w:rsid w:val="005F39F0"/>
    <w:rsid w:val="005F4429"/>
    <w:rsid w:val="005F4897"/>
    <w:rsid w:val="005F51AC"/>
    <w:rsid w:val="005F5253"/>
    <w:rsid w:val="005F5A7A"/>
    <w:rsid w:val="005F6C32"/>
    <w:rsid w:val="005F75D0"/>
    <w:rsid w:val="005F7C26"/>
    <w:rsid w:val="005F7C9A"/>
    <w:rsid w:val="0060065B"/>
    <w:rsid w:val="00600A45"/>
    <w:rsid w:val="00600E96"/>
    <w:rsid w:val="00600F2D"/>
    <w:rsid w:val="00601DB3"/>
    <w:rsid w:val="00601E67"/>
    <w:rsid w:val="00601F52"/>
    <w:rsid w:val="00602549"/>
    <w:rsid w:val="00602DD9"/>
    <w:rsid w:val="00603608"/>
    <w:rsid w:val="006038CB"/>
    <w:rsid w:val="00603FA3"/>
    <w:rsid w:val="00604092"/>
    <w:rsid w:val="00604B23"/>
    <w:rsid w:val="00604E11"/>
    <w:rsid w:val="00605749"/>
    <w:rsid w:val="0060580A"/>
    <w:rsid w:val="00605FCC"/>
    <w:rsid w:val="006060A9"/>
    <w:rsid w:val="00607945"/>
    <w:rsid w:val="006105B6"/>
    <w:rsid w:val="006108A1"/>
    <w:rsid w:val="00610B93"/>
    <w:rsid w:val="00610C19"/>
    <w:rsid w:val="00611D7A"/>
    <w:rsid w:val="006125AA"/>
    <w:rsid w:val="006130DB"/>
    <w:rsid w:val="0061392A"/>
    <w:rsid w:val="00615788"/>
    <w:rsid w:val="0061654E"/>
    <w:rsid w:val="006203AD"/>
    <w:rsid w:val="0062122B"/>
    <w:rsid w:val="00621442"/>
    <w:rsid w:val="00622FD3"/>
    <w:rsid w:val="00625E96"/>
    <w:rsid w:val="00626815"/>
    <w:rsid w:val="00626E3D"/>
    <w:rsid w:val="00627C66"/>
    <w:rsid w:val="00630500"/>
    <w:rsid w:val="006309D3"/>
    <w:rsid w:val="0063190B"/>
    <w:rsid w:val="0063287B"/>
    <w:rsid w:val="00632BD2"/>
    <w:rsid w:val="006334E3"/>
    <w:rsid w:val="0063362B"/>
    <w:rsid w:val="00635353"/>
    <w:rsid w:val="00636535"/>
    <w:rsid w:val="00640052"/>
    <w:rsid w:val="00640068"/>
    <w:rsid w:val="00640168"/>
    <w:rsid w:val="00640994"/>
    <w:rsid w:val="00641624"/>
    <w:rsid w:val="00641B3A"/>
    <w:rsid w:val="00641EB0"/>
    <w:rsid w:val="00642920"/>
    <w:rsid w:val="006433DB"/>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28AA"/>
    <w:rsid w:val="00652C88"/>
    <w:rsid w:val="00653C4A"/>
    <w:rsid w:val="00653DDC"/>
    <w:rsid w:val="0065461F"/>
    <w:rsid w:val="00654D85"/>
    <w:rsid w:val="00655D0B"/>
    <w:rsid w:val="00656ACB"/>
    <w:rsid w:val="00656D8A"/>
    <w:rsid w:val="00657D80"/>
    <w:rsid w:val="00657E21"/>
    <w:rsid w:val="0066117E"/>
    <w:rsid w:val="006613F6"/>
    <w:rsid w:val="00661C60"/>
    <w:rsid w:val="006620BB"/>
    <w:rsid w:val="00662470"/>
    <w:rsid w:val="00662566"/>
    <w:rsid w:val="00663289"/>
    <w:rsid w:val="00663B10"/>
    <w:rsid w:val="00663D54"/>
    <w:rsid w:val="00666630"/>
    <w:rsid w:val="00666806"/>
    <w:rsid w:val="00666F7A"/>
    <w:rsid w:val="006678BA"/>
    <w:rsid w:val="00667B8A"/>
    <w:rsid w:val="00667C02"/>
    <w:rsid w:val="00670113"/>
    <w:rsid w:val="00670124"/>
    <w:rsid w:val="00671798"/>
    <w:rsid w:val="00671E4A"/>
    <w:rsid w:val="0067314B"/>
    <w:rsid w:val="00673F68"/>
    <w:rsid w:val="006740E1"/>
    <w:rsid w:val="006741E7"/>
    <w:rsid w:val="006743E0"/>
    <w:rsid w:val="00674C12"/>
    <w:rsid w:val="006757CE"/>
    <w:rsid w:val="00676063"/>
    <w:rsid w:val="00676AFF"/>
    <w:rsid w:val="0067702D"/>
    <w:rsid w:val="0067710C"/>
    <w:rsid w:val="00677F71"/>
    <w:rsid w:val="00680569"/>
    <w:rsid w:val="00680A8F"/>
    <w:rsid w:val="00680F9E"/>
    <w:rsid w:val="00680FAC"/>
    <w:rsid w:val="0068217A"/>
    <w:rsid w:val="0068246A"/>
    <w:rsid w:val="00684B8C"/>
    <w:rsid w:val="0068619D"/>
    <w:rsid w:val="006864DE"/>
    <w:rsid w:val="00687121"/>
    <w:rsid w:val="00687BAE"/>
    <w:rsid w:val="00690A97"/>
    <w:rsid w:val="00691B5E"/>
    <w:rsid w:val="00691FC7"/>
    <w:rsid w:val="00692386"/>
    <w:rsid w:val="00692693"/>
    <w:rsid w:val="00692FA7"/>
    <w:rsid w:val="006934B8"/>
    <w:rsid w:val="00693CCD"/>
    <w:rsid w:val="00694B73"/>
    <w:rsid w:val="0069514E"/>
    <w:rsid w:val="00695F1C"/>
    <w:rsid w:val="00696E8B"/>
    <w:rsid w:val="00696F84"/>
    <w:rsid w:val="006970E6"/>
    <w:rsid w:val="00697AC4"/>
    <w:rsid w:val="006A0671"/>
    <w:rsid w:val="006A1366"/>
    <w:rsid w:val="006A1808"/>
    <w:rsid w:val="006A187B"/>
    <w:rsid w:val="006A1DD0"/>
    <w:rsid w:val="006A2703"/>
    <w:rsid w:val="006A29FE"/>
    <w:rsid w:val="006A3FD6"/>
    <w:rsid w:val="006A4B3B"/>
    <w:rsid w:val="006A4FD8"/>
    <w:rsid w:val="006A5303"/>
    <w:rsid w:val="006A56B6"/>
    <w:rsid w:val="006A5B07"/>
    <w:rsid w:val="006A5DBD"/>
    <w:rsid w:val="006A5DC0"/>
    <w:rsid w:val="006A6644"/>
    <w:rsid w:val="006A6B75"/>
    <w:rsid w:val="006A6BDC"/>
    <w:rsid w:val="006A6BE6"/>
    <w:rsid w:val="006A72D8"/>
    <w:rsid w:val="006A766B"/>
    <w:rsid w:val="006A769B"/>
    <w:rsid w:val="006B032A"/>
    <w:rsid w:val="006B0AE0"/>
    <w:rsid w:val="006B198E"/>
    <w:rsid w:val="006B2315"/>
    <w:rsid w:val="006B269D"/>
    <w:rsid w:val="006B2D05"/>
    <w:rsid w:val="006B2E11"/>
    <w:rsid w:val="006B31ED"/>
    <w:rsid w:val="006B3261"/>
    <w:rsid w:val="006B3600"/>
    <w:rsid w:val="006B3B0B"/>
    <w:rsid w:val="006B3D9C"/>
    <w:rsid w:val="006B45E9"/>
    <w:rsid w:val="006B4924"/>
    <w:rsid w:val="006B4AD5"/>
    <w:rsid w:val="006B682C"/>
    <w:rsid w:val="006B738C"/>
    <w:rsid w:val="006C080F"/>
    <w:rsid w:val="006C0EAB"/>
    <w:rsid w:val="006C1812"/>
    <w:rsid w:val="006C198D"/>
    <w:rsid w:val="006C25D1"/>
    <w:rsid w:val="006C270A"/>
    <w:rsid w:val="006C2BA3"/>
    <w:rsid w:val="006C3528"/>
    <w:rsid w:val="006C3826"/>
    <w:rsid w:val="006C5400"/>
    <w:rsid w:val="006C5548"/>
    <w:rsid w:val="006C558D"/>
    <w:rsid w:val="006C69E1"/>
    <w:rsid w:val="006C6E28"/>
    <w:rsid w:val="006C7061"/>
    <w:rsid w:val="006C737B"/>
    <w:rsid w:val="006D0A00"/>
    <w:rsid w:val="006D0B78"/>
    <w:rsid w:val="006D0E11"/>
    <w:rsid w:val="006D1930"/>
    <w:rsid w:val="006D2A98"/>
    <w:rsid w:val="006D2C91"/>
    <w:rsid w:val="006D2E3E"/>
    <w:rsid w:val="006D317E"/>
    <w:rsid w:val="006D4107"/>
    <w:rsid w:val="006D7986"/>
    <w:rsid w:val="006D7FF5"/>
    <w:rsid w:val="006E0E47"/>
    <w:rsid w:val="006E1054"/>
    <w:rsid w:val="006E11D1"/>
    <w:rsid w:val="006E1460"/>
    <w:rsid w:val="006E158F"/>
    <w:rsid w:val="006E2512"/>
    <w:rsid w:val="006E3152"/>
    <w:rsid w:val="006E31E2"/>
    <w:rsid w:val="006E37FA"/>
    <w:rsid w:val="006E40E3"/>
    <w:rsid w:val="006E42B6"/>
    <w:rsid w:val="006E4BC0"/>
    <w:rsid w:val="006E5129"/>
    <w:rsid w:val="006E6354"/>
    <w:rsid w:val="006E64AE"/>
    <w:rsid w:val="006E6D9F"/>
    <w:rsid w:val="006E7432"/>
    <w:rsid w:val="006E7629"/>
    <w:rsid w:val="006E767E"/>
    <w:rsid w:val="006E7C7F"/>
    <w:rsid w:val="006E7F95"/>
    <w:rsid w:val="006F11E3"/>
    <w:rsid w:val="006F1279"/>
    <w:rsid w:val="006F1A31"/>
    <w:rsid w:val="006F2650"/>
    <w:rsid w:val="006F2D48"/>
    <w:rsid w:val="006F310E"/>
    <w:rsid w:val="006F36E2"/>
    <w:rsid w:val="006F3BA5"/>
    <w:rsid w:val="006F3D03"/>
    <w:rsid w:val="006F450E"/>
    <w:rsid w:val="006F47EB"/>
    <w:rsid w:val="006F4E58"/>
    <w:rsid w:val="006F651E"/>
    <w:rsid w:val="006F6B67"/>
    <w:rsid w:val="006F7EA9"/>
    <w:rsid w:val="00701C06"/>
    <w:rsid w:val="00702463"/>
    <w:rsid w:val="00702B71"/>
    <w:rsid w:val="00703084"/>
    <w:rsid w:val="0070347F"/>
    <w:rsid w:val="00705561"/>
    <w:rsid w:val="007055A2"/>
    <w:rsid w:val="00706457"/>
    <w:rsid w:val="00706554"/>
    <w:rsid w:val="00706D20"/>
    <w:rsid w:val="00707AA6"/>
    <w:rsid w:val="00710B0E"/>
    <w:rsid w:val="00710B6E"/>
    <w:rsid w:val="00711055"/>
    <w:rsid w:val="007114DB"/>
    <w:rsid w:val="00712CBE"/>
    <w:rsid w:val="00714794"/>
    <w:rsid w:val="007159E8"/>
    <w:rsid w:val="00715E99"/>
    <w:rsid w:val="00715F10"/>
    <w:rsid w:val="007163B4"/>
    <w:rsid w:val="0071675A"/>
    <w:rsid w:val="00716AB7"/>
    <w:rsid w:val="00717276"/>
    <w:rsid w:val="007212CC"/>
    <w:rsid w:val="00721F96"/>
    <w:rsid w:val="007224A1"/>
    <w:rsid w:val="00722C0C"/>
    <w:rsid w:val="00723528"/>
    <w:rsid w:val="00723566"/>
    <w:rsid w:val="00724372"/>
    <w:rsid w:val="00724674"/>
    <w:rsid w:val="00724F6F"/>
    <w:rsid w:val="007255FC"/>
    <w:rsid w:val="0072592D"/>
    <w:rsid w:val="00726DC8"/>
    <w:rsid w:val="007306C6"/>
    <w:rsid w:val="007307CE"/>
    <w:rsid w:val="00731667"/>
    <w:rsid w:val="007316BE"/>
    <w:rsid w:val="00732E79"/>
    <w:rsid w:val="00733949"/>
    <w:rsid w:val="00734265"/>
    <w:rsid w:val="00734CC7"/>
    <w:rsid w:val="007357E1"/>
    <w:rsid w:val="007359E9"/>
    <w:rsid w:val="00735EFF"/>
    <w:rsid w:val="00735FA7"/>
    <w:rsid w:val="00736605"/>
    <w:rsid w:val="00737738"/>
    <w:rsid w:val="00740486"/>
    <w:rsid w:val="00740DDE"/>
    <w:rsid w:val="007420A7"/>
    <w:rsid w:val="007427F5"/>
    <w:rsid w:val="007428AC"/>
    <w:rsid w:val="00742F5F"/>
    <w:rsid w:val="00742FFB"/>
    <w:rsid w:val="00743A4C"/>
    <w:rsid w:val="00744211"/>
    <w:rsid w:val="00744607"/>
    <w:rsid w:val="0074566A"/>
    <w:rsid w:val="007459CE"/>
    <w:rsid w:val="007459EE"/>
    <w:rsid w:val="00745B64"/>
    <w:rsid w:val="00746CBC"/>
    <w:rsid w:val="00746DAF"/>
    <w:rsid w:val="00746E87"/>
    <w:rsid w:val="0074764D"/>
    <w:rsid w:val="00747791"/>
    <w:rsid w:val="0075047B"/>
    <w:rsid w:val="007507C4"/>
    <w:rsid w:val="0075118D"/>
    <w:rsid w:val="00751571"/>
    <w:rsid w:val="00751B1C"/>
    <w:rsid w:val="00752A29"/>
    <w:rsid w:val="00753534"/>
    <w:rsid w:val="00753639"/>
    <w:rsid w:val="00753E05"/>
    <w:rsid w:val="007568C7"/>
    <w:rsid w:val="00756A2A"/>
    <w:rsid w:val="00756EE3"/>
    <w:rsid w:val="00757270"/>
    <w:rsid w:val="00757359"/>
    <w:rsid w:val="007579D2"/>
    <w:rsid w:val="00760437"/>
    <w:rsid w:val="00760495"/>
    <w:rsid w:val="00760ADF"/>
    <w:rsid w:val="00760F4E"/>
    <w:rsid w:val="00761AC8"/>
    <w:rsid w:val="00764784"/>
    <w:rsid w:val="00770726"/>
    <w:rsid w:val="00770DC0"/>
    <w:rsid w:val="00771068"/>
    <w:rsid w:val="007727A7"/>
    <w:rsid w:val="00772D8F"/>
    <w:rsid w:val="00773721"/>
    <w:rsid w:val="00774EC3"/>
    <w:rsid w:val="00775ADB"/>
    <w:rsid w:val="00775E38"/>
    <w:rsid w:val="007760F9"/>
    <w:rsid w:val="00776811"/>
    <w:rsid w:val="007768B8"/>
    <w:rsid w:val="00777F0D"/>
    <w:rsid w:val="0078064D"/>
    <w:rsid w:val="00781423"/>
    <w:rsid w:val="00781BDA"/>
    <w:rsid w:val="0078256A"/>
    <w:rsid w:val="00782855"/>
    <w:rsid w:val="00782EF9"/>
    <w:rsid w:val="007836A4"/>
    <w:rsid w:val="007837ED"/>
    <w:rsid w:val="00784042"/>
    <w:rsid w:val="0078433B"/>
    <w:rsid w:val="00784C74"/>
    <w:rsid w:val="007856C8"/>
    <w:rsid w:val="0078583C"/>
    <w:rsid w:val="00785879"/>
    <w:rsid w:val="00785A23"/>
    <w:rsid w:val="0078657C"/>
    <w:rsid w:val="00786B2C"/>
    <w:rsid w:val="007872A6"/>
    <w:rsid w:val="00787367"/>
    <w:rsid w:val="00787487"/>
    <w:rsid w:val="00787E26"/>
    <w:rsid w:val="00790052"/>
    <w:rsid w:val="00791498"/>
    <w:rsid w:val="00792248"/>
    <w:rsid w:val="00793549"/>
    <w:rsid w:val="00793D94"/>
    <w:rsid w:val="00794A98"/>
    <w:rsid w:val="00795175"/>
    <w:rsid w:val="007953EE"/>
    <w:rsid w:val="00795672"/>
    <w:rsid w:val="00795C2F"/>
    <w:rsid w:val="00796586"/>
    <w:rsid w:val="007973D5"/>
    <w:rsid w:val="0079789F"/>
    <w:rsid w:val="007978FF"/>
    <w:rsid w:val="00797CBA"/>
    <w:rsid w:val="00797FC1"/>
    <w:rsid w:val="007A1AD7"/>
    <w:rsid w:val="007A21DD"/>
    <w:rsid w:val="007A22D1"/>
    <w:rsid w:val="007A2ABE"/>
    <w:rsid w:val="007A2BC3"/>
    <w:rsid w:val="007A2C9E"/>
    <w:rsid w:val="007A322F"/>
    <w:rsid w:val="007A3BEB"/>
    <w:rsid w:val="007A418C"/>
    <w:rsid w:val="007A4437"/>
    <w:rsid w:val="007A4641"/>
    <w:rsid w:val="007A4D16"/>
    <w:rsid w:val="007A5B21"/>
    <w:rsid w:val="007A5EBB"/>
    <w:rsid w:val="007A603B"/>
    <w:rsid w:val="007A6CE5"/>
    <w:rsid w:val="007A6EFF"/>
    <w:rsid w:val="007A6FDB"/>
    <w:rsid w:val="007A714D"/>
    <w:rsid w:val="007B055B"/>
    <w:rsid w:val="007B13CE"/>
    <w:rsid w:val="007B14EE"/>
    <w:rsid w:val="007B251B"/>
    <w:rsid w:val="007B32DB"/>
    <w:rsid w:val="007B3C6D"/>
    <w:rsid w:val="007B3F50"/>
    <w:rsid w:val="007B548B"/>
    <w:rsid w:val="007B5B21"/>
    <w:rsid w:val="007B60E4"/>
    <w:rsid w:val="007B629A"/>
    <w:rsid w:val="007B6FC1"/>
    <w:rsid w:val="007B7897"/>
    <w:rsid w:val="007B7903"/>
    <w:rsid w:val="007B7D60"/>
    <w:rsid w:val="007B7EA4"/>
    <w:rsid w:val="007C02D3"/>
    <w:rsid w:val="007C0568"/>
    <w:rsid w:val="007C0A4E"/>
    <w:rsid w:val="007C1025"/>
    <w:rsid w:val="007C1536"/>
    <w:rsid w:val="007C193F"/>
    <w:rsid w:val="007C1A74"/>
    <w:rsid w:val="007C2386"/>
    <w:rsid w:val="007C268C"/>
    <w:rsid w:val="007C28BF"/>
    <w:rsid w:val="007C2E96"/>
    <w:rsid w:val="007C33D7"/>
    <w:rsid w:val="007C3719"/>
    <w:rsid w:val="007C374A"/>
    <w:rsid w:val="007C3BAD"/>
    <w:rsid w:val="007C5CFB"/>
    <w:rsid w:val="007C5F2F"/>
    <w:rsid w:val="007C6523"/>
    <w:rsid w:val="007C7C36"/>
    <w:rsid w:val="007C7DCB"/>
    <w:rsid w:val="007D0679"/>
    <w:rsid w:val="007D0E7B"/>
    <w:rsid w:val="007D1BF2"/>
    <w:rsid w:val="007D1D31"/>
    <w:rsid w:val="007D29BB"/>
    <w:rsid w:val="007D2AD3"/>
    <w:rsid w:val="007D3845"/>
    <w:rsid w:val="007D3AD2"/>
    <w:rsid w:val="007D44AC"/>
    <w:rsid w:val="007D514A"/>
    <w:rsid w:val="007D5311"/>
    <w:rsid w:val="007D5A1E"/>
    <w:rsid w:val="007D5ADD"/>
    <w:rsid w:val="007D6335"/>
    <w:rsid w:val="007D67BA"/>
    <w:rsid w:val="007D79AB"/>
    <w:rsid w:val="007D7C54"/>
    <w:rsid w:val="007E0D20"/>
    <w:rsid w:val="007E12DD"/>
    <w:rsid w:val="007E16BF"/>
    <w:rsid w:val="007E1EE6"/>
    <w:rsid w:val="007E1FFB"/>
    <w:rsid w:val="007E2285"/>
    <w:rsid w:val="007E2903"/>
    <w:rsid w:val="007E293B"/>
    <w:rsid w:val="007E3BA2"/>
    <w:rsid w:val="007E41E6"/>
    <w:rsid w:val="007E43AF"/>
    <w:rsid w:val="007E4C62"/>
    <w:rsid w:val="007E5D42"/>
    <w:rsid w:val="007E5DAF"/>
    <w:rsid w:val="007E637A"/>
    <w:rsid w:val="007F0EEE"/>
    <w:rsid w:val="007F216A"/>
    <w:rsid w:val="007F2467"/>
    <w:rsid w:val="007F2DF2"/>
    <w:rsid w:val="007F3DD9"/>
    <w:rsid w:val="007F44DF"/>
    <w:rsid w:val="007F571F"/>
    <w:rsid w:val="007F5E61"/>
    <w:rsid w:val="007F7770"/>
    <w:rsid w:val="007F783A"/>
    <w:rsid w:val="007F7B56"/>
    <w:rsid w:val="007F7BA5"/>
    <w:rsid w:val="0080015F"/>
    <w:rsid w:val="008002BA"/>
    <w:rsid w:val="00800BEC"/>
    <w:rsid w:val="0080162A"/>
    <w:rsid w:val="008017DE"/>
    <w:rsid w:val="00801ADE"/>
    <w:rsid w:val="00801BEE"/>
    <w:rsid w:val="00801CF4"/>
    <w:rsid w:val="00801DF3"/>
    <w:rsid w:val="00801EBA"/>
    <w:rsid w:val="0080292D"/>
    <w:rsid w:val="00804EC3"/>
    <w:rsid w:val="00805517"/>
    <w:rsid w:val="00805603"/>
    <w:rsid w:val="008076B2"/>
    <w:rsid w:val="00807BC1"/>
    <w:rsid w:val="00807C5A"/>
    <w:rsid w:val="008106EE"/>
    <w:rsid w:val="008110C3"/>
    <w:rsid w:val="008114AA"/>
    <w:rsid w:val="008122FD"/>
    <w:rsid w:val="00814B71"/>
    <w:rsid w:val="00814F1E"/>
    <w:rsid w:val="0081566C"/>
    <w:rsid w:val="00817233"/>
    <w:rsid w:val="008173DD"/>
    <w:rsid w:val="008177D8"/>
    <w:rsid w:val="00817A9B"/>
    <w:rsid w:val="00820EBF"/>
    <w:rsid w:val="008219F9"/>
    <w:rsid w:val="00821E51"/>
    <w:rsid w:val="00821EED"/>
    <w:rsid w:val="00822327"/>
    <w:rsid w:val="00822A3E"/>
    <w:rsid w:val="00822B95"/>
    <w:rsid w:val="00822BEF"/>
    <w:rsid w:val="008245BA"/>
    <w:rsid w:val="00824794"/>
    <w:rsid w:val="00824900"/>
    <w:rsid w:val="00824DB5"/>
    <w:rsid w:val="00824FC2"/>
    <w:rsid w:val="008252EA"/>
    <w:rsid w:val="00825CF0"/>
    <w:rsid w:val="00825DD2"/>
    <w:rsid w:val="00826652"/>
    <w:rsid w:val="00827933"/>
    <w:rsid w:val="00830E8A"/>
    <w:rsid w:val="00831067"/>
    <w:rsid w:val="00831183"/>
    <w:rsid w:val="00831647"/>
    <w:rsid w:val="00831817"/>
    <w:rsid w:val="008319B5"/>
    <w:rsid w:val="00831F82"/>
    <w:rsid w:val="00832304"/>
    <w:rsid w:val="008324BE"/>
    <w:rsid w:val="0083281F"/>
    <w:rsid w:val="008333F9"/>
    <w:rsid w:val="00833ADF"/>
    <w:rsid w:val="00834261"/>
    <w:rsid w:val="008342CE"/>
    <w:rsid w:val="0083431C"/>
    <w:rsid w:val="00834CCF"/>
    <w:rsid w:val="0083532A"/>
    <w:rsid w:val="00835575"/>
    <w:rsid w:val="00835A61"/>
    <w:rsid w:val="0083622F"/>
    <w:rsid w:val="00836B62"/>
    <w:rsid w:val="0083732F"/>
    <w:rsid w:val="00837A21"/>
    <w:rsid w:val="008412F8"/>
    <w:rsid w:val="0084242F"/>
    <w:rsid w:val="00842467"/>
    <w:rsid w:val="008425DA"/>
    <w:rsid w:val="008435BB"/>
    <w:rsid w:val="00844BC0"/>
    <w:rsid w:val="0084510B"/>
    <w:rsid w:val="00845AF3"/>
    <w:rsid w:val="00845E89"/>
    <w:rsid w:val="00846712"/>
    <w:rsid w:val="00846731"/>
    <w:rsid w:val="008468A4"/>
    <w:rsid w:val="008468CD"/>
    <w:rsid w:val="008469C3"/>
    <w:rsid w:val="00846B20"/>
    <w:rsid w:val="00847447"/>
    <w:rsid w:val="008477D7"/>
    <w:rsid w:val="00847EEB"/>
    <w:rsid w:val="008501EF"/>
    <w:rsid w:val="0085060F"/>
    <w:rsid w:val="0085112B"/>
    <w:rsid w:val="0085168A"/>
    <w:rsid w:val="00851779"/>
    <w:rsid w:val="00851C40"/>
    <w:rsid w:val="00852677"/>
    <w:rsid w:val="00852DC8"/>
    <w:rsid w:val="0085357A"/>
    <w:rsid w:val="008537AA"/>
    <w:rsid w:val="00854BB7"/>
    <w:rsid w:val="00854C8D"/>
    <w:rsid w:val="00855429"/>
    <w:rsid w:val="008560EA"/>
    <w:rsid w:val="0085682F"/>
    <w:rsid w:val="00856904"/>
    <w:rsid w:val="008570C8"/>
    <w:rsid w:val="00857957"/>
    <w:rsid w:val="00860CBB"/>
    <w:rsid w:val="00860E63"/>
    <w:rsid w:val="00860E6D"/>
    <w:rsid w:val="00860F35"/>
    <w:rsid w:val="00861679"/>
    <w:rsid w:val="00862E95"/>
    <w:rsid w:val="00864F1E"/>
    <w:rsid w:val="00865870"/>
    <w:rsid w:val="00867143"/>
    <w:rsid w:val="0086742B"/>
    <w:rsid w:val="00870140"/>
    <w:rsid w:val="00870528"/>
    <w:rsid w:val="008706DF"/>
    <w:rsid w:val="008708E1"/>
    <w:rsid w:val="00870F31"/>
    <w:rsid w:val="008710DC"/>
    <w:rsid w:val="00871E04"/>
    <w:rsid w:val="00871F97"/>
    <w:rsid w:val="008735D6"/>
    <w:rsid w:val="0087371F"/>
    <w:rsid w:val="00873A7D"/>
    <w:rsid w:val="00873DCA"/>
    <w:rsid w:val="00874157"/>
    <w:rsid w:val="008758C8"/>
    <w:rsid w:val="00875D89"/>
    <w:rsid w:val="00875EA8"/>
    <w:rsid w:val="008770C8"/>
    <w:rsid w:val="0087780A"/>
    <w:rsid w:val="00877B36"/>
    <w:rsid w:val="00880B5A"/>
    <w:rsid w:val="00880F8A"/>
    <w:rsid w:val="00881619"/>
    <w:rsid w:val="00881AA1"/>
    <w:rsid w:val="00881CDA"/>
    <w:rsid w:val="00882CDF"/>
    <w:rsid w:val="00883375"/>
    <w:rsid w:val="00884644"/>
    <w:rsid w:val="00884C8C"/>
    <w:rsid w:val="00885189"/>
    <w:rsid w:val="00885803"/>
    <w:rsid w:val="008861AF"/>
    <w:rsid w:val="008862E0"/>
    <w:rsid w:val="00887821"/>
    <w:rsid w:val="00887A9A"/>
    <w:rsid w:val="00887D35"/>
    <w:rsid w:val="008900A9"/>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59AA"/>
    <w:rsid w:val="008A5C4D"/>
    <w:rsid w:val="008A63D7"/>
    <w:rsid w:val="008A67B7"/>
    <w:rsid w:val="008A6D51"/>
    <w:rsid w:val="008A6DA8"/>
    <w:rsid w:val="008A7D00"/>
    <w:rsid w:val="008B0F3C"/>
    <w:rsid w:val="008B178D"/>
    <w:rsid w:val="008B1800"/>
    <w:rsid w:val="008B1A7D"/>
    <w:rsid w:val="008B1F3A"/>
    <w:rsid w:val="008B205D"/>
    <w:rsid w:val="008B2534"/>
    <w:rsid w:val="008B2575"/>
    <w:rsid w:val="008B2AC6"/>
    <w:rsid w:val="008B2BC7"/>
    <w:rsid w:val="008B2CB7"/>
    <w:rsid w:val="008B2D61"/>
    <w:rsid w:val="008B3735"/>
    <w:rsid w:val="008B3C3B"/>
    <w:rsid w:val="008B4AC2"/>
    <w:rsid w:val="008B5586"/>
    <w:rsid w:val="008B5686"/>
    <w:rsid w:val="008B5D27"/>
    <w:rsid w:val="008B6751"/>
    <w:rsid w:val="008B6C87"/>
    <w:rsid w:val="008B6D46"/>
    <w:rsid w:val="008B702E"/>
    <w:rsid w:val="008B72E8"/>
    <w:rsid w:val="008B73C3"/>
    <w:rsid w:val="008C01F9"/>
    <w:rsid w:val="008C0EBA"/>
    <w:rsid w:val="008C0F6E"/>
    <w:rsid w:val="008C117F"/>
    <w:rsid w:val="008C11D0"/>
    <w:rsid w:val="008C151B"/>
    <w:rsid w:val="008C1868"/>
    <w:rsid w:val="008C1FDA"/>
    <w:rsid w:val="008C2C2C"/>
    <w:rsid w:val="008C3283"/>
    <w:rsid w:val="008C381D"/>
    <w:rsid w:val="008C4081"/>
    <w:rsid w:val="008C509D"/>
    <w:rsid w:val="008C533F"/>
    <w:rsid w:val="008C5BBD"/>
    <w:rsid w:val="008C63DE"/>
    <w:rsid w:val="008C64A6"/>
    <w:rsid w:val="008C76D0"/>
    <w:rsid w:val="008C7D51"/>
    <w:rsid w:val="008C7E5F"/>
    <w:rsid w:val="008D0806"/>
    <w:rsid w:val="008D0D16"/>
    <w:rsid w:val="008D1552"/>
    <w:rsid w:val="008D1AD9"/>
    <w:rsid w:val="008D1E10"/>
    <w:rsid w:val="008D1EB3"/>
    <w:rsid w:val="008D2A79"/>
    <w:rsid w:val="008D2E02"/>
    <w:rsid w:val="008D3C32"/>
    <w:rsid w:val="008D4594"/>
    <w:rsid w:val="008D4D38"/>
    <w:rsid w:val="008D54E3"/>
    <w:rsid w:val="008D5A4A"/>
    <w:rsid w:val="008D61EE"/>
    <w:rsid w:val="008D6C4B"/>
    <w:rsid w:val="008D719E"/>
    <w:rsid w:val="008D72F1"/>
    <w:rsid w:val="008E0342"/>
    <w:rsid w:val="008E0DE0"/>
    <w:rsid w:val="008E1667"/>
    <w:rsid w:val="008E1991"/>
    <w:rsid w:val="008E1A52"/>
    <w:rsid w:val="008E2A5D"/>
    <w:rsid w:val="008E3589"/>
    <w:rsid w:val="008E380B"/>
    <w:rsid w:val="008E383C"/>
    <w:rsid w:val="008E388F"/>
    <w:rsid w:val="008E5134"/>
    <w:rsid w:val="008E5BE0"/>
    <w:rsid w:val="008E63C7"/>
    <w:rsid w:val="008E7940"/>
    <w:rsid w:val="008E7F9D"/>
    <w:rsid w:val="008F0293"/>
    <w:rsid w:val="008F256B"/>
    <w:rsid w:val="008F2684"/>
    <w:rsid w:val="008F2D71"/>
    <w:rsid w:val="008F336E"/>
    <w:rsid w:val="008F3BB2"/>
    <w:rsid w:val="008F441E"/>
    <w:rsid w:val="008F4866"/>
    <w:rsid w:val="008F4912"/>
    <w:rsid w:val="008F5358"/>
    <w:rsid w:val="008F538B"/>
    <w:rsid w:val="008F597E"/>
    <w:rsid w:val="008F5BEC"/>
    <w:rsid w:val="008F6211"/>
    <w:rsid w:val="008F709B"/>
    <w:rsid w:val="008F71C4"/>
    <w:rsid w:val="008F7E22"/>
    <w:rsid w:val="00902364"/>
    <w:rsid w:val="00902FB2"/>
    <w:rsid w:val="009030DE"/>
    <w:rsid w:val="00904BAF"/>
    <w:rsid w:val="00904BB5"/>
    <w:rsid w:val="00905548"/>
    <w:rsid w:val="0090674A"/>
    <w:rsid w:val="009072BC"/>
    <w:rsid w:val="0090776B"/>
    <w:rsid w:val="00907D16"/>
    <w:rsid w:val="00907F3C"/>
    <w:rsid w:val="00910BBC"/>
    <w:rsid w:val="00910C40"/>
    <w:rsid w:val="00910EAC"/>
    <w:rsid w:val="00912219"/>
    <w:rsid w:val="00912579"/>
    <w:rsid w:val="00912864"/>
    <w:rsid w:val="00912970"/>
    <w:rsid w:val="00913134"/>
    <w:rsid w:val="009133EB"/>
    <w:rsid w:val="00914847"/>
    <w:rsid w:val="0091499B"/>
    <w:rsid w:val="00914ADD"/>
    <w:rsid w:val="00915149"/>
    <w:rsid w:val="0091517B"/>
    <w:rsid w:val="00915812"/>
    <w:rsid w:val="00916487"/>
    <w:rsid w:val="009169F8"/>
    <w:rsid w:val="00917957"/>
    <w:rsid w:val="0092083E"/>
    <w:rsid w:val="00920B36"/>
    <w:rsid w:val="00921A6F"/>
    <w:rsid w:val="00921F2B"/>
    <w:rsid w:val="00922058"/>
    <w:rsid w:val="0092283F"/>
    <w:rsid w:val="00923638"/>
    <w:rsid w:val="009244EE"/>
    <w:rsid w:val="00924DF4"/>
    <w:rsid w:val="00925095"/>
    <w:rsid w:val="009252BA"/>
    <w:rsid w:val="00925C18"/>
    <w:rsid w:val="00926445"/>
    <w:rsid w:val="0092728E"/>
    <w:rsid w:val="00927713"/>
    <w:rsid w:val="00931472"/>
    <w:rsid w:val="0093150A"/>
    <w:rsid w:val="00931613"/>
    <w:rsid w:val="00931776"/>
    <w:rsid w:val="00932FB6"/>
    <w:rsid w:val="0093374B"/>
    <w:rsid w:val="009337A8"/>
    <w:rsid w:val="00934DB6"/>
    <w:rsid w:val="00935041"/>
    <w:rsid w:val="009353B0"/>
    <w:rsid w:val="00935928"/>
    <w:rsid w:val="00936631"/>
    <w:rsid w:val="00936AD0"/>
    <w:rsid w:val="00936BB4"/>
    <w:rsid w:val="00936C0A"/>
    <w:rsid w:val="00936CB6"/>
    <w:rsid w:val="00936CBC"/>
    <w:rsid w:val="009371B3"/>
    <w:rsid w:val="009375FC"/>
    <w:rsid w:val="00937735"/>
    <w:rsid w:val="009405DA"/>
    <w:rsid w:val="00941234"/>
    <w:rsid w:val="009415EF"/>
    <w:rsid w:val="00942B10"/>
    <w:rsid w:val="00943048"/>
    <w:rsid w:val="00943A78"/>
    <w:rsid w:val="00943E32"/>
    <w:rsid w:val="00944306"/>
    <w:rsid w:val="009443B2"/>
    <w:rsid w:val="00944AB3"/>
    <w:rsid w:val="0094502F"/>
    <w:rsid w:val="0094523F"/>
    <w:rsid w:val="00945686"/>
    <w:rsid w:val="009464A5"/>
    <w:rsid w:val="00946CEE"/>
    <w:rsid w:val="00947409"/>
    <w:rsid w:val="00950609"/>
    <w:rsid w:val="00950839"/>
    <w:rsid w:val="0095209D"/>
    <w:rsid w:val="00952811"/>
    <w:rsid w:val="009535E3"/>
    <w:rsid w:val="00953602"/>
    <w:rsid w:val="009545A3"/>
    <w:rsid w:val="009551F2"/>
    <w:rsid w:val="00955245"/>
    <w:rsid w:val="0095563E"/>
    <w:rsid w:val="00955846"/>
    <w:rsid w:val="00957370"/>
    <w:rsid w:val="009573CA"/>
    <w:rsid w:val="00957C24"/>
    <w:rsid w:val="00957F15"/>
    <w:rsid w:val="00957F30"/>
    <w:rsid w:val="0096031E"/>
    <w:rsid w:val="00960C07"/>
    <w:rsid w:val="00960C10"/>
    <w:rsid w:val="00960D7D"/>
    <w:rsid w:val="00960DD2"/>
    <w:rsid w:val="009614F8"/>
    <w:rsid w:val="00963072"/>
    <w:rsid w:val="009631F5"/>
    <w:rsid w:val="00963AD3"/>
    <w:rsid w:val="00963D08"/>
    <w:rsid w:val="00963E42"/>
    <w:rsid w:val="00964554"/>
    <w:rsid w:val="00964ADF"/>
    <w:rsid w:val="009659EC"/>
    <w:rsid w:val="009661BD"/>
    <w:rsid w:val="0096620C"/>
    <w:rsid w:val="00967234"/>
    <w:rsid w:val="00967279"/>
    <w:rsid w:val="00967580"/>
    <w:rsid w:val="0096766C"/>
    <w:rsid w:val="00970BAB"/>
    <w:rsid w:val="0097131F"/>
    <w:rsid w:val="00971553"/>
    <w:rsid w:val="00972EA4"/>
    <w:rsid w:val="00973172"/>
    <w:rsid w:val="00973FA3"/>
    <w:rsid w:val="009740AE"/>
    <w:rsid w:val="00974361"/>
    <w:rsid w:val="009743F4"/>
    <w:rsid w:val="0097618F"/>
    <w:rsid w:val="0097722D"/>
    <w:rsid w:val="009804C1"/>
    <w:rsid w:val="00980705"/>
    <w:rsid w:val="00980D1F"/>
    <w:rsid w:val="00980DF8"/>
    <w:rsid w:val="00980FE1"/>
    <w:rsid w:val="00981256"/>
    <w:rsid w:val="009816B2"/>
    <w:rsid w:val="0098170D"/>
    <w:rsid w:val="009826DC"/>
    <w:rsid w:val="0098288A"/>
    <w:rsid w:val="00982FAC"/>
    <w:rsid w:val="009834A0"/>
    <w:rsid w:val="00983E39"/>
    <w:rsid w:val="00984DD5"/>
    <w:rsid w:val="0098532F"/>
    <w:rsid w:val="009858CF"/>
    <w:rsid w:val="00985B92"/>
    <w:rsid w:val="00985D19"/>
    <w:rsid w:val="00986FC9"/>
    <w:rsid w:val="00987B4E"/>
    <w:rsid w:val="0099020D"/>
    <w:rsid w:val="0099073D"/>
    <w:rsid w:val="00991B3D"/>
    <w:rsid w:val="00992DBB"/>
    <w:rsid w:val="00993BB9"/>
    <w:rsid w:val="00994462"/>
    <w:rsid w:val="00994ACD"/>
    <w:rsid w:val="00996FF7"/>
    <w:rsid w:val="009A0165"/>
    <w:rsid w:val="009A01F5"/>
    <w:rsid w:val="009A0205"/>
    <w:rsid w:val="009A035D"/>
    <w:rsid w:val="009A06E4"/>
    <w:rsid w:val="009A0B64"/>
    <w:rsid w:val="009A0DE5"/>
    <w:rsid w:val="009A0F46"/>
    <w:rsid w:val="009A1B5D"/>
    <w:rsid w:val="009A1C91"/>
    <w:rsid w:val="009A21DA"/>
    <w:rsid w:val="009A2740"/>
    <w:rsid w:val="009A2840"/>
    <w:rsid w:val="009A289D"/>
    <w:rsid w:val="009A3A3A"/>
    <w:rsid w:val="009A4249"/>
    <w:rsid w:val="009A47DB"/>
    <w:rsid w:val="009A511B"/>
    <w:rsid w:val="009A5857"/>
    <w:rsid w:val="009A5EBE"/>
    <w:rsid w:val="009A6307"/>
    <w:rsid w:val="009A63F9"/>
    <w:rsid w:val="009A6AA5"/>
    <w:rsid w:val="009A7892"/>
    <w:rsid w:val="009B1232"/>
    <w:rsid w:val="009B1C49"/>
    <w:rsid w:val="009B39B1"/>
    <w:rsid w:val="009B48E8"/>
    <w:rsid w:val="009B49D6"/>
    <w:rsid w:val="009B5E15"/>
    <w:rsid w:val="009B7559"/>
    <w:rsid w:val="009B7FEA"/>
    <w:rsid w:val="009C0968"/>
    <w:rsid w:val="009C0CFC"/>
    <w:rsid w:val="009C0D4F"/>
    <w:rsid w:val="009C11B4"/>
    <w:rsid w:val="009C15E8"/>
    <w:rsid w:val="009C1697"/>
    <w:rsid w:val="009C1E8C"/>
    <w:rsid w:val="009C28D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A06"/>
    <w:rsid w:val="009D0B1E"/>
    <w:rsid w:val="009D153F"/>
    <w:rsid w:val="009D2585"/>
    <w:rsid w:val="009D2C02"/>
    <w:rsid w:val="009D30F3"/>
    <w:rsid w:val="009D337F"/>
    <w:rsid w:val="009D3685"/>
    <w:rsid w:val="009D3735"/>
    <w:rsid w:val="009D4DF1"/>
    <w:rsid w:val="009D57CA"/>
    <w:rsid w:val="009D738D"/>
    <w:rsid w:val="009D73C4"/>
    <w:rsid w:val="009D7594"/>
    <w:rsid w:val="009D7C10"/>
    <w:rsid w:val="009E09F6"/>
    <w:rsid w:val="009E10CA"/>
    <w:rsid w:val="009E160D"/>
    <w:rsid w:val="009E2377"/>
    <w:rsid w:val="009E4701"/>
    <w:rsid w:val="009E4CF7"/>
    <w:rsid w:val="009E5195"/>
    <w:rsid w:val="009E5332"/>
    <w:rsid w:val="009E5BBD"/>
    <w:rsid w:val="009E5DBB"/>
    <w:rsid w:val="009E6BEA"/>
    <w:rsid w:val="009E6CB3"/>
    <w:rsid w:val="009E6D31"/>
    <w:rsid w:val="009E7509"/>
    <w:rsid w:val="009E7955"/>
    <w:rsid w:val="009F0646"/>
    <w:rsid w:val="009F1492"/>
    <w:rsid w:val="009F2548"/>
    <w:rsid w:val="009F27D9"/>
    <w:rsid w:val="009F2B33"/>
    <w:rsid w:val="009F3529"/>
    <w:rsid w:val="009F3A7D"/>
    <w:rsid w:val="009F4D04"/>
    <w:rsid w:val="009F523B"/>
    <w:rsid w:val="009F56F4"/>
    <w:rsid w:val="009F5E18"/>
    <w:rsid w:val="009F649C"/>
    <w:rsid w:val="009F68C7"/>
    <w:rsid w:val="009F700A"/>
    <w:rsid w:val="009F709D"/>
    <w:rsid w:val="009F7D19"/>
    <w:rsid w:val="00A006D8"/>
    <w:rsid w:val="00A00E28"/>
    <w:rsid w:val="00A00E8E"/>
    <w:rsid w:val="00A01091"/>
    <w:rsid w:val="00A016DA"/>
    <w:rsid w:val="00A018DB"/>
    <w:rsid w:val="00A01DAD"/>
    <w:rsid w:val="00A01DFD"/>
    <w:rsid w:val="00A02130"/>
    <w:rsid w:val="00A02350"/>
    <w:rsid w:val="00A025A0"/>
    <w:rsid w:val="00A02DBB"/>
    <w:rsid w:val="00A02EC0"/>
    <w:rsid w:val="00A03175"/>
    <w:rsid w:val="00A0470C"/>
    <w:rsid w:val="00A0493F"/>
    <w:rsid w:val="00A051A8"/>
    <w:rsid w:val="00A05868"/>
    <w:rsid w:val="00A06782"/>
    <w:rsid w:val="00A0681D"/>
    <w:rsid w:val="00A069B5"/>
    <w:rsid w:val="00A075BF"/>
    <w:rsid w:val="00A10033"/>
    <w:rsid w:val="00A10C65"/>
    <w:rsid w:val="00A11B01"/>
    <w:rsid w:val="00A11B6F"/>
    <w:rsid w:val="00A11FDC"/>
    <w:rsid w:val="00A12735"/>
    <w:rsid w:val="00A12B2F"/>
    <w:rsid w:val="00A137AF"/>
    <w:rsid w:val="00A14342"/>
    <w:rsid w:val="00A149BB"/>
    <w:rsid w:val="00A152AD"/>
    <w:rsid w:val="00A16121"/>
    <w:rsid w:val="00A16CB8"/>
    <w:rsid w:val="00A1721E"/>
    <w:rsid w:val="00A17868"/>
    <w:rsid w:val="00A17A96"/>
    <w:rsid w:val="00A17C12"/>
    <w:rsid w:val="00A203AE"/>
    <w:rsid w:val="00A20D8B"/>
    <w:rsid w:val="00A20E47"/>
    <w:rsid w:val="00A21658"/>
    <w:rsid w:val="00A21BBE"/>
    <w:rsid w:val="00A221B0"/>
    <w:rsid w:val="00A225A5"/>
    <w:rsid w:val="00A22AC7"/>
    <w:rsid w:val="00A23979"/>
    <w:rsid w:val="00A23B7E"/>
    <w:rsid w:val="00A2422B"/>
    <w:rsid w:val="00A24622"/>
    <w:rsid w:val="00A247F6"/>
    <w:rsid w:val="00A24BD8"/>
    <w:rsid w:val="00A24DA0"/>
    <w:rsid w:val="00A24E80"/>
    <w:rsid w:val="00A26811"/>
    <w:rsid w:val="00A27303"/>
    <w:rsid w:val="00A27629"/>
    <w:rsid w:val="00A27BDD"/>
    <w:rsid w:val="00A300A6"/>
    <w:rsid w:val="00A30524"/>
    <w:rsid w:val="00A31B3C"/>
    <w:rsid w:val="00A31DB4"/>
    <w:rsid w:val="00A3282B"/>
    <w:rsid w:val="00A32BDC"/>
    <w:rsid w:val="00A3383E"/>
    <w:rsid w:val="00A33C91"/>
    <w:rsid w:val="00A33CEC"/>
    <w:rsid w:val="00A34046"/>
    <w:rsid w:val="00A3510D"/>
    <w:rsid w:val="00A357EF"/>
    <w:rsid w:val="00A35C15"/>
    <w:rsid w:val="00A36E32"/>
    <w:rsid w:val="00A37E36"/>
    <w:rsid w:val="00A40023"/>
    <w:rsid w:val="00A41403"/>
    <w:rsid w:val="00A43AD4"/>
    <w:rsid w:val="00A44207"/>
    <w:rsid w:val="00A44394"/>
    <w:rsid w:val="00A444E7"/>
    <w:rsid w:val="00A44AB0"/>
    <w:rsid w:val="00A45429"/>
    <w:rsid w:val="00A4581E"/>
    <w:rsid w:val="00A46B6E"/>
    <w:rsid w:val="00A46C1C"/>
    <w:rsid w:val="00A47559"/>
    <w:rsid w:val="00A47A1E"/>
    <w:rsid w:val="00A47C7E"/>
    <w:rsid w:val="00A47DCB"/>
    <w:rsid w:val="00A50203"/>
    <w:rsid w:val="00A503EA"/>
    <w:rsid w:val="00A50BCF"/>
    <w:rsid w:val="00A50D1E"/>
    <w:rsid w:val="00A50E3B"/>
    <w:rsid w:val="00A50E95"/>
    <w:rsid w:val="00A51898"/>
    <w:rsid w:val="00A526C6"/>
    <w:rsid w:val="00A52C68"/>
    <w:rsid w:val="00A5434E"/>
    <w:rsid w:val="00A5475B"/>
    <w:rsid w:val="00A54A27"/>
    <w:rsid w:val="00A54A39"/>
    <w:rsid w:val="00A550D5"/>
    <w:rsid w:val="00A55169"/>
    <w:rsid w:val="00A551DD"/>
    <w:rsid w:val="00A55ACC"/>
    <w:rsid w:val="00A56399"/>
    <w:rsid w:val="00A5672F"/>
    <w:rsid w:val="00A567D4"/>
    <w:rsid w:val="00A56AB9"/>
    <w:rsid w:val="00A57246"/>
    <w:rsid w:val="00A57C0B"/>
    <w:rsid w:val="00A57DFA"/>
    <w:rsid w:val="00A60E07"/>
    <w:rsid w:val="00A60F0B"/>
    <w:rsid w:val="00A61BB0"/>
    <w:rsid w:val="00A62B12"/>
    <w:rsid w:val="00A631C3"/>
    <w:rsid w:val="00A63248"/>
    <w:rsid w:val="00A6371C"/>
    <w:rsid w:val="00A642B4"/>
    <w:rsid w:val="00A64FBC"/>
    <w:rsid w:val="00A66291"/>
    <w:rsid w:val="00A66F40"/>
    <w:rsid w:val="00A66FF4"/>
    <w:rsid w:val="00A67789"/>
    <w:rsid w:val="00A6791D"/>
    <w:rsid w:val="00A7015E"/>
    <w:rsid w:val="00A7027F"/>
    <w:rsid w:val="00A7064D"/>
    <w:rsid w:val="00A7249D"/>
    <w:rsid w:val="00A72579"/>
    <w:rsid w:val="00A72AB3"/>
    <w:rsid w:val="00A72CB3"/>
    <w:rsid w:val="00A72FE5"/>
    <w:rsid w:val="00A734C0"/>
    <w:rsid w:val="00A74A1B"/>
    <w:rsid w:val="00A806F1"/>
    <w:rsid w:val="00A80BB5"/>
    <w:rsid w:val="00A818A9"/>
    <w:rsid w:val="00A81C9B"/>
    <w:rsid w:val="00A81D07"/>
    <w:rsid w:val="00A83204"/>
    <w:rsid w:val="00A83CD9"/>
    <w:rsid w:val="00A83FB5"/>
    <w:rsid w:val="00A847E6"/>
    <w:rsid w:val="00A8496C"/>
    <w:rsid w:val="00A858A1"/>
    <w:rsid w:val="00A87C75"/>
    <w:rsid w:val="00A9060A"/>
    <w:rsid w:val="00A91447"/>
    <w:rsid w:val="00A91456"/>
    <w:rsid w:val="00A91E31"/>
    <w:rsid w:val="00A92265"/>
    <w:rsid w:val="00A92624"/>
    <w:rsid w:val="00A92B1A"/>
    <w:rsid w:val="00A93708"/>
    <w:rsid w:val="00A94036"/>
    <w:rsid w:val="00A946B4"/>
    <w:rsid w:val="00A95799"/>
    <w:rsid w:val="00A95B04"/>
    <w:rsid w:val="00A95FB7"/>
    <w:rsid w:val="00A96117"/>
    <w:rsid w:val="00A96296"/>
    <w:rsid w:val="00A964D5"/>
    <w:rsid w:val="00A96540"/>
    <w:rsid w:val="00AA041B"/>
    <w:rsid w:val="00AA06C9"/>
    <w:rsid w:val="00AA08E1"/>
    <w:rsid w:val="00AA14A1"/>
    <w:rsid w:val="00AA1D75"/>
    <w:rsid w:val="00AA2097"/>
    <w:rsid w:val="00AA3B00"/>
    <w:rsid w:val="00AA3CEF"/>
    <w:rsid w:val="00AA41C1"/>
    <w:rsid w:val="00AA436D"/>
    <w:rsid w:val="00AA53F9"/>
    <w:rsid w:val="00AA5C16"/>
    <w:rsid w:val="00AA73CD"/>
    <w:rsid w:val="00AA7499"/>
    <w:rsid w:val="00AA79E3"/>
    <w:rsid w:val="00AA7B6B"/>
    <w:rsid w:val="00AB020B"/>
    <w:rsid w:val="00AB0938"/>
    <w:rsid w:val="00AB1423"/>
    <w:rsid w:val="00AB1AC2"/>
    <w:rsid w:val="00AB1DEF"/>
    <w:rsid w:val="00AB2333"/>
    <w:rsid w:val="00AB28F6"/>
    <w:rsid w:val="00AB2F0D"/>
    <w:rsid w:val="00AB31D2"/>
    <w:rsid w:val="00AB4076"/>
    <w:rsid w:val="00AB465D"/>
    <w:rsid w:val="00AB4822"/>
    <w:rsid w:val="00AB51DC"/>
    <w:rsid w:val="00AB5520"/>
    <w:rsid w:val="00AB58AE"/>
    <w:rsid w:val="00AB5931"/>
    <w:rsid w:val="00AB74B3"/>
    <w:rsid w:val="00AB7851"/>
    <w:rsid w:val="00AC1A3C"/>
    <w:rsid w:val="00AC233A"/>
    <w:rsid w:val="00AC37FA"/>
    <w:rsid w:val="00AC3DCB"/>
    <w:rsid w:val="00AC4026"/>
    <w:rsid w:val="00AC4072"/>
    <w:rsid w:val="00AC4288"/>
    <w:rsid w:val="00AC48E4"/>
    <w:rsid w:val="00AC64B2"/>
    <w:rsid w:val="00AC65B1"/>
    <w:rsid w:val="00AC7193"/>
    <w:rsid w:val="00AC76F8"/>
    <w:rsid w:val="00AC7A65"/>
    <w:rsid w:val="00AC7F97"/>
    <w:rsid w:val="00AD01FC"/>
    <w:rsid w:val="00AD0B48"/>
    <w:rsid w:val="00AD0EC4"/>
    <w:rsid w:val="00AD124B"/>
    <w:rsid w:val="00AD172B"/>
    <w:rsid w:val="00AD1B27"/>
    <w:rsid w:val="00AD1C38"/>
    <w:rsid w:val="00AD2572"/>
    <w:rsid w:val="00AD2733"/>
    <w:rsid w:val="00AD2776"/>
    <w:rsid w:val="00AD2A4A"/>
    <w:rsid w:val="00AD2ECF"/>
    <w:rsid w:val="00AD355A"/>
    <w:rsid w:val="00AD39CE"/>
    <w:rsid w:val="00AD3A72"/>
    <w:rsid w:val="00AD4185"/>
    <w:rsid w:val="00AD433F"/>
    <w:rsid w:val="00AD46B5"/>
    <w:rsid w:val="00AD4F47"/>
    <w:rsid w:val="00AD6508"/>
    <w:rsid w:val="00AD68EF"/>
    <w:rsid w:val="00AD69F5"/>
    <w:rsid w:val="00AD6FFF"/>
    <w:rsid w:val="00AD7338"/>
    <w:rsid w:val="00AD7E6C"/>
    <w:rsid w:val="00AE0214"/>
    <w:rsid w:val="00AE0389"/>
    <w:rsid w:val="00AE0BB2"/>
    <w:rsid w:val="00AE10F5"/>
    <w:rsid w:val="00AE11DC"/>
    <w:rsid w:val="00AE14B2"/>
    <w:rsid w:val="00AE268E"/>
    <w:rsid w:val="00AE39A1"/>
    <w:rsid w:val="00AE4C00"/>
    <w:rsid w:val="00AE5B77"/>
    <w:rsid w:val="00AE5B8E"/>
    <w:rsid w:val="00AE6489"/>
    <w:rsid w:val="00AE695E"/>
    <w:rsid w:val="00AE69EE"/>
    <w:rsid w:val="00AE6D5F"/>
    <w:rsid w:val="00AE6E7D"/>
    <w:rsid w:val="00AE778D"/>
    <w:rsid w:val="00AE7C3D"/>
    <w:rsid w:val="00AE7FF1"/>
    <w:rsid w:val="00AF03C1"/>
    <w:rsid w:val="00AF0674"/>
    <w:rsid w:val="00AF14FB"/>
    <w:rsid w:val="00AF2467"/>
    <w:rsid w:val="00AF2E56"/>
    <w:rsid w:val="00AF35F8"/>
    <w:rsid w:val="00AF4074"/>
    <w:rsid w:val="00AF437E"/>
    <w:rsid w:val="00AF5981"/>
    <w:rsid w:val="00AF6545"/>
    <w:rsid w:val="00AF66B4"/>
    <w:rsid w:val="00B000EB"/>
    <w:rsid w:val="00B00105"/>
    <w:rsid w:val="00B00279"/>
    <w:rsid w:val="00B00707"/>
    <w:rsid w:val="00B012A6"/>
    <w:rsid w:val="00B01FA7"/>
    <w:rsid w:val="00B0263D"/>
    <w:rsid w:val="00B02DA0"/>
    <w:rsid w:val="00B030E7"/>
    <w:rsid w:val="00B037E1"/>
    <w:rsid w:val="00B0399B"/>
    <w:rsid w:val="00B03A4D"/>
    <w:rsid w:val="00B048D3"/>
    <w:rsid w:val="00B04C4B"/>
    <w:rsid w:val="00B04DDE"/>
    <w:rsid w:val="00B055AD"/>
    <w:rsid w:val="00B05A0F"/>
    <w:rsid w:val="00B0607B"/>
    <w:rsid w:val="00B07D39"/>
    <w:rsid w:val="00B1027C"/>
    <w:rsid w:val="00B10760"/>
    <w:rsid w:val="00B10DF2"/>
    <w:rsid w:val="00B11A45"/>
    <w:rsid w:val="00B12355"/>
    <w:rsid w:val="00B12B95"/>
    <w:rsid w:val="00B12D77"/>
    <w:rsid w:val="00B133B6"/>
    <w:rsid w:val="00B138EA"/>
    <w:rsid w:val="00B13AB9"/>
    <w:rsid w:val="00B13E03"/>
    <w:rsid w:val="00B13E92"/>
    <w:rsid w:val="00B146D5"/>
    <w:rsid w:val="00B1504F"/>
    <w:rsid w:val="00B15653"/>
    <w:rsid w:val="00B15782"/>
    <w:rsid w:val="00B1588A"/>
    <w:rsid w:val="00B15980"/>
    <w:rsid w:val="00B1623C"/>
    <w:rsid w:val="00B162F8"/>
    <w:rsid w:val="00B1737E"/>
    <w:rsid w:val="00B201C0"/>
    <w:rsid w:val="00B23168"/>
    <w:rsid w:val="00B236E8"/>
    <w:rsid w:val="00B239A9"/>
    <w:rsid w:val="00B2490E"/>
    <w:rsid w:val="00B24AD1"/>
    <w:rsid w:val="00B24B34"/>
    <w:rsid w:val="00B253A6"/>
    <w:rsid w:val="00B256A6"/>
    <w:rsid w:val="00B256A7"/>
    <w:rsid w:val="00B263D3"/>
    <w:rsid w:val="00B27668"/>
    <w:rsid w:val="00B3005F"/>
    <w:rsid w:val="00B30124"/>
    <w:rsid w:val="00B319AA"/>
    <w:rsid w:val="00B3275A"/>
    <w:rsid w:val="00B3368E"/>
    <w:rsid w:val="00B33693"/>
    <w:rsid w:val="00B340EF"/>
    <w:rsid w:val="00B34638"/>
    <w:rsid w:val="00B34998"/>
    <w:rsid w:val="00B34F1B"/>
    <w:rsid w:val="00B36563"/>
    <w:rsid w:val="00B37695"/>
    <w:rsid w:val="00B3776B"/>
    <w:rsid w:val="00B37A99"/>
    <w:rsid w:val="00B404DD"/>
    <w:rsid w:val="00B4119E"/>
    <w:rsid w:val="00B427BD"/>
    <w:rsid w:val="00B429C1"/>
    <w:rsid w:val="00B42BCF"/>
    <w:rsid w:val="00B42D82"/>
    <w:rsid w:val="00B433CD"/>
    <w:rsid w:val="00B437D5"/>
    <w:rsid w:val="00B43C00"/>
    <w:rsid w:val="00B43D3F"/>
    <w:rsid w:val="00B455BE"/>
    <w:rsid w:val="00B46CD3"/>
    <w:rsid w:val="00B46F3E"/>
    <w:rsid w:val="00B4727B"/>
    <w:rsid w:val="00B479B2"/>
    <w:rsid w:val="00B50A08"/>
    <w:rsid w:val="00B50AFD"/>
    <w:rsid w:val="00B5196E"/>
    <w:rsid w:val="00B51B6A"/>
    <w:rsid w:val="00B52690"/>
    <w:rsid w:val="00B529DE"/>
    <w:rsid w:val="00B52A87"/>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34F6"/>
    <w:rsid w:val="00B64006"/>
    <w:rsid w:val="00B64650"/>
    <w:rsid w:val="00B646A5"/>
    <w:rsid w:val="00B64E05"/>
    <w:rsid w:val="00B64F46"/>
    <w:rsid w:val="00B64F92"/>
    <w:rsid w:val="00B64FC1"/>
    <w:rsid w:val="00B665B8"/>
    <w:rsid w:val="00B702B1"/>
    <w:rsid w:val="00B70C16"/>
    <w:rsid w:val="00B70CC8"/>
    <w:rsid w:val="00B71FFF"/>
    <w:rsid w:val="00B72D45"/>
    <w:rsid w:val="00B73273"/>
    <w:rsid w:val="00B737F9"/>
    <w:rsid w:val="00B7541E"/>
    <w:rsid w:val="00B75B22"/>
    <w:rsid w:val="00B7615C"/>
    <w:rsid w:val="00B767F5"/>
    <w:rsid w:val="00B7680F"/>
    <w:rsid w:val="00B801DD"/>
    <w:rsid w:val="00B8047F"/>
    <w:rsid w:val="00B8067E"/>
    <w:rsid w:val="00B812CC"/>
    <w:rsid w:val="00B816F4"/>
    <w:rsid w:val="00B819B9"/>
    <w:rsid w:val="00B82860"/>
    <w:rsid w:val="00B82E71"/>
    <w:rsid w:val="00B83E21"/>
    <w:rsid w:val="00B8411E"/>
    <w:rsid w:val="00B841C8"/>
    <w:rsid w:val="00B84427"/>
    <w:rsid w:val="00B85BE3"/>
    <w:rsid w:val="00B86086"/>
    <w:rsid w:val="00B86626"/>
    <w:rsid w:val="00B8686E"/>
    <w:rsid w:val="00B86B2F"/>
    <w:rsid w:val="00B87F5C"/>
    <w:rsid w:val="00B90EA1"/>
    <w:rsid w:val="00B91436"/>
    <w:rsid w:val="00B91782"/>
    <w:rsid w:val="00B921E7"/>
    <w:rsid w:val="00B92943"/>
    <w:rsid w:val="00B92E2F"/>
    <w:rsid w:val="00B9354F"/>
    <w:rsid w:val="00B9357E"/>
    <w:rsid w:val="00B9487E"/>
    <w:rsid w:val="00B94979"/>
    <w:rsid w:val="00B952DC"/>
    <w:rsid w:val="00B9755C"/>
    <w:rsid w:val="00BA09FE"/>
    <w:rsid w:val="00BA147B"/>
    <w:rsid w:val="00BA21A6"/>
    <w:rsid w:val="00BA3A5C"/>
    <w:rsid w:val="00BA4BEA"/>
    <w:rsid w:val="00BA4E0A"/>
    <w:rsid w:val="00BA6950"/>
    <w:rsid w:val="00BA6CF3"/>
    <w:rsid w:val="00BA762E"/>
    <w:rsid w:val="00BA7D7B"/>
    <w:rsid w:val="00BB06C9"/>
    <w:rsid w:val="00BB090D"/>
    <w:rsid w:val="00BB09C3"/>
    <w:rsid w:val="00BB0EEF"/>
    <w:rsid w:val="00BB0FAE"/>
    <w:rsid w:val="00BB1914"/>
    <w:rsid w:val="00BB2294"/>
    <w:rsid w:val="00BB2BD9"/>
    <w:rsid w:val="00BB316A"/>
    <w:rsid w:val="00BB3C2D"/>
    <w:rsid w:val="00BB714A"/>
    <w:rsid w:val="00BC0F69"/>
    <w:rsid w:val="00BC1037"/>
    <w:rsid w:val="00BC2CD0"/>
    <w:rsid w:val="00BC365C"/>
    <w:rsid w:val="00BC4C4D"/>
    <w:rsid w:val="00BC4DAF"/>
    <w:rsid w:val="00BC5005"/>
    <w:rsid w:val="00BC6022"/>
    <w:rsid w:val="00BC637B"/>
    <w:rsid w:val="00BC75DB"/>
    <w:rsid w:val="00BC7F01"/>
    <w:rsid w:val="00BD0F15"/>
    <w:rsid w:val="00BD111C"/>
    <w:rsid w:val="00BD113F"/>
    <w:rsid w:val="00BD216D"/>
    <w:rsid w:val="00BD2506"/>
    <w:rsid w:val="00BD2FEE"/>
    <w:rsid w:val="00BD477B"/>
    <w:rsid w:val="00BD4844"/>
    <w:rsid w:val="00BD488C"/>
    <w:rsid w:val="00BD4CB9"/>
    <w:rsid w:val="00BD4E3B"/>
    <w:rsid w:val="00BD538B"/>
    <w:rsid w:val="00BD68EF"/>
    <w:rsid w:val="00BD73E6"/>
    <w:rsid w:val="00BD7FAE"/>
    <w:rsid w:val="00BE09C8"/>
    <w:rsid w:val="00BE0A92"/>
    <w:rsid w:val="00BE1850"/>
    <w:rsid w:val="00BE2B4E"/>
    <w:rsid w:val="00BE2C25"/>
    <w:rsid w:val="00BE2D02"/>
    <w:rsid w:val="00BE2E37"/>
    <w:rsid w:val="00BE3060"/>
    <w:rsid w:val="00BE336E"/>
    <w:rsid w:val="00BE342F"/>
    <w:rsid w:val="00BE3984"/>
    <w:rsid w:val="00BE3B57"/>
    <w:rsid w:val="00BE51D8"/>
    <w:rsid w:val="00BE5E59"/>
    <w:rsid w:val="00BE5F8D"/>
    <w:rsid w:val="00BF0329"/>
    <w:rsid w:val="00BF10B3"/>
    <w:rsid w:val="00BF1635"/>
    <w:rsid w:val="00BF16EB"/>
    <w:rsid w:val="00BF253B"/>
    <w:rsid w:val="00BF2B9A"/>
    <w:rsid w:val="00BF2C07"/>
    <w:rsid w:val="00BF2C4C"/>
    <w:rsid w:val="00BF39D4"/>
    <w:rsid w:val="00BF3E1B"/>
    <w:rsid w:val="00BF4F6E"/>
    <w:rsid w:val="00BF52D6"/>
    <w:rsid w:val="00BF6210"/>
    <w:rsid w:val="00BF7044"/>
    <w:rsid w:val="00BF7202"/>
    <w:rsid w:val="00C00DD2"/>
    <w:rsid w:val="00C02164"/>
    <w:rsid w:val="00C02B6B"/>
    <w:rsid w:val="00C0314F"/>
    <w:rsid w:val="00C034FE"/>
    <w:rsid w:val="00C039C6"/>
    <w:rsid w:val="00C04005"/>
    <w:rsid w:val="00C045DE"/>
    <w:rsid w:val="00C04F94"/>
    <w:rsid w:val="00C05027"/>
    <w:rsid w:val="00C05148"/>
    <w:rsid w:val="00C051D1"/>
    <w:rsid w:val="00C056CA"/>
    <w:rsid w:val="00C069B4"/>
    <w:rsid w:val="00C06ED1"/>
    <w:rsid w:val="00C071B9"/>
    <w:rsid w:val="00C0737C"/>
    <w:rsid w:val="00C076D1"/>
    <w:rsid w:val="00C07CD7"/>
    <w:rsid w:val="00C10601"/>
    <w:rsid w:val="00C11103"/>
    <w:rsid w:val="00C116F0"/>
    <w:rsid w:val="00C117C5"/>
    <w:rsid w:val="00C11EE2"/>
    <w:rsid w:val="00C12120"/>
    <w:rsid w:val="00C138F4"/>
    <w:rsid w:val="00C13F6C"/>
    <w:rsid w:val="00C14D95"/>
    <w:rsid w:val="00C15E70"/>
    <w:rsid w:val="00C1615B"/>
    <w:rsid w:val="00C161B7"/>
    <w:rsid w:val="00C17BB0"/>
    <w:rsid w:val="00C17D29"/>
    <w:rsid w:val="00C2011C"/>
    <w:rsid w:val="00C205D4"/>
    <w:rsid w:val="00C2366F"/>
    <w:rsid w:val="00C244DE"/>
    <w:rsid w:val="00C2475B"/>
    <w:rsid w:val="00C24C62"/>
    <w:rsid w:val="00C2587B"/>
    <w:rsid w:val="00C25DF8"/>
    <w:rsid w:val="00C26A67"/>
    <w:rsid w:val="00C27C89"/>
    <w:rsid w:val="00C27E35"/>
    <w:rsid w:val="00C3052F"/>
    <w:rsid w:val="00C31E6E"/>
    <w:rsid w:val="00C332B3"/>
    <w:rsid w:val="00C33C90"/>
    <w:rsid w:val="00C3540A"/>
    <w:rsid w:val="00C357E6"/>
    <w:rsid w:val="00C36090"/>
    <w:rsid w:val="00C368E7"/>
    <w:rsid w:val="00C36AAB"/>
    <w:rsid w:val="00C36D89"/>
    <w:rsid w:val="00C37103"/>
    <w:rsid w:val="00C37D3E"/>
    <w:rsid w:val="00C407E5"/>
    <w:rsid w:val="00C412CC"/>
    <w:rsid w:val="00C41A04"/>
    <w:rsid w:val="00C432C2"/>
    <w:rsid w:val="00C43CCF"/>
    <w:rsid w:val="00C4433A"/>
    <w:rsid w:val="00C44CAE"/>
    <w:rsid w:val="00C44D29"/>
    <w:rsid w:val="00C44FDC"/>
    <w:rsid w:val="00C46508"/>
    <w:rsid w:val="00C47021"/>
    <w:rsid w:val="00C47C92"/>
    <w:rsid w:val="00C47DB5"/>
    <w:rsid w:val="00C507CD"/>
    <w:rsid w:val="00C50C71"/>
    <w:rsid w:val="00C51B0C"/>
    <w:rsid w:val="00C526E0"/>
    <w:rsid w:val="00C551C4"/>
    <w:rsid w:val="00C554BC"/>
    <w:rsid w:val="00C55E57"/>
    <w:rsid w:val="00C56CED"/>
    <w:rsid w:val="00C56D00"/>
    <w:rsid w:val="00C57896"/>
    <w:rsid w:val="00C57CF3"/>
    <w:rsid w:val="00C60135"/>
    <w:rsid w:val="00C6142B"/>
    <w:rsid w:val="00C62193"/>
    <w:rsid w:val="00C62A10"/>
    <w:rsid w:val="00C62FBD"/>
    <w:rsid w:val="00C6464A"/>
    <w:rsid w:val="00C65432"/>
    <w:rsid w:val="00C6632D"/>
    <w:rsid w:val="00C667B5"/>
    <w:rsid w:val="00C703F6"/>
    <w:rsid w:val="00C71DCC"/>
    <w:rsid w:val="00C73D11"/>
    <w:rsid w:val="00C73E70"/>
    <w:rsid w:val="00C73FD0"/>
    <w:rsid w:val="00C74C8E"/>
    <w:rsid w:val="00C750C4"/>
    <w:rsid w:val="00C751FB"/>
    <w:rsid w:val="00C75272"/>
    <w:rsid w:val="00C759CF"/>
    <w:rsid w:val="00C75D46"/>
    <w:rsid w:val="00C77136"/>
    <w:rsid w:val="00C778AE"/>
    <w:rsid w:val="00C77959"/>
    <w:rsid w:val="00C80E8B"/>
    <w:rsid w:val="00C81A64"/>
    <w:rsid w:val="00C82073"/>
    <w:rsid w:val="00C8228E"/>
    <w:rsid w:val="00C82540"/>
    <w:rsid w:val="00C829C8"/>
    <w:rsid w:val="00C82C9C"/>
    <w:rsid w:val="00C83210"/>
    <w:rsid w:val="00C833C8"/>
    <w:rsid w:val="00C83693"/>
    <w:rsid w:val="00C83D6A"/>
    <w:rsid w:val="00C847D6"/>
    <w:rsid w:val="00C849D6"/>
    <w:rsid w:val="00C84B25"/>
    <w:rsid w:val="00C84EE8"/>
    <w:rsid w:val="00C85716"/>
    <w:rsid w:val="00C86F06"/>
    <w:rsid w:val="00C870C6"/>
    <w:rsid w:val="00C87866"/>
    <w:rsid w:val="00C87B96"/>
    <w:rsid w:val="00C87CE5"/>
    <w:rsid w:val="00C90090"/>
    <w:rsid w:val="00C9022C"/>
    <w:rsid w:val="00C903A8"/>
    <w:rsid w:val="00C916C7"/>
    <w:rsid w:val="00C91702"/>
    <w:rsid w:val="00C9183A"/>
    <w:rsid w:val="00C91E57"/>
    <w:rsid w:val="00C9213E"/>
    <w:rsid w:val="00C9217F"/>
    <w:rsid w:val="00C921AA"/>
    <w:rsid w:val="00C92380"/>
    <w:rsid w:val="00C92CF0"/>
    <w:rsid w:val="00C9323E"/>
    <w:rsid w:val="00C936F8"/>
    <w:rsid w:val="00C93DF9"/>
    <w:rsid w:val="00C9436F"/>
    <w:rsid w:val="00C94CE5"/>
    <w:rsid w:val="00C95AE9"/>
    <w:rsid w:val="00C9684D"/>
    <w:rsid w:val="00C97AB4"/>
    <w:rsid w:val="00CA0173"/>
    <w:rsid w:val="00CA0325"/>
    <w:rsid w:val="00CA07D5"/>
    <w:rsid w:val="00CA09C1"/>
    <w:rsid w:val="00CA0B22"/>
    <w:rsid w:val="00CA0CA1"/>
    <w:rsid w:val="00CA105A"/>
    <w:rsid w:val="00CA1B7D"/>
    <w:rsid w:val="00CA21F4"/>
    <w:rsid w:val="00CA3732"/>
    <w:rsid w:val="00CA37B4"/>
    <w:rsid w:val="00CA37C4"/>
    <w:rsid w:val="00CA44B3"/>
    <w:rsid w:val="00CA5032"/>
    <w:rsid w:val="00CA54E5"/>
    <w:rsid w:val="00CA5F4B"/>
    <w:rsid w:val="00CA67E5"/>
    <w:rsid w:val="00CB06BD"/>
    <w:rsid w:val="00CB07E7"/>
    <w:rsid w:val="00CB0DD9"/>
    <w:rsid w:val="00CB1285"/>
    <w:rsid w:val="00CB1495"/>
    <w:rsid w:val="00CB1ACA"/>
    <w:rsid w:val="00CB26EA"/>
    <w:rsid w:val="00CB3B59"/>
    <w:rsid w:val="00CB44C3"/>
    <w:rsid w:val="00CB4672"/>
    <w:rsid w:val="00CB4B94"/>
    <w:rsid w:val="00CB4CD5"/>
    <w:rsid w:val="00CB530D"/>
    <w:rsid w:val="00CB56B8"/>
    <w:rsid w:val="00CB61CC"/>
    <w:rsid w:val="00CB691B"/>
    <w:rsid w:val="00CB6C30"/>
    <w:rsid w:val="00CB6DA2"/>
    <w:rsid w:val="00CB7020"/>
    <w:rsid w:val="00CB7191"/>
    <w:rsid w:val="00CC03D9"/>
    <w:rsid w:val="00CC161C"/>
    <w:rsid w:val="00CC1F65"/>
    <w:rsid w:val="00CC28BF"/>
    <w:rsid w:val="00CC28C3"/>
    <w:rsid w:val="00CC2BD8"/>
    <w:rsid w:val="00CC307C"/>
    <w:rsid w:val="00CC32F6"/>
    <w:rsid w:val="00CC3A76"/>
    <w:rsid w:val="00CC42B4"/>
    <w:rsid w:val="00CC4B00"/>
    <w:rsid w:val="00CC5C4C"/>
    <w:rsid w:val="00CC723A"/>
    <w:rsid w:val="00CC723C"/>
    <w:rsid w:val="00CD15D6"/>
    <w:rsid w:val="00CD16F8"/>
    <w:rsid w:val="00CD174C"/>
    <w:rsid w:val="00CD1BD8"/>
    <w:rsid w:val="00CD2FBC"/>
    <w:rsid w:val="00CD32A6"/>
    <w:rsid w:val="00CD3479"/>
    <w:rsid w:val="00CD3F01"/>
    <w:rsid w:val="00CD5159"/>
    <w:rsid w:val="00CD51F7"/>
    <w:rsid w:val="00CD67C4"/>
    <w:rsid w:val="00CD6C10"/>
    <w:rsid w:val="00CD71B4"/>
    <w:rsid w:val="00CD7766"/>
    <w:rsid w:val="00CD7B89"/>
    <w:rsid w:val="00CE0DE1"/>
    <w:rsid w:val="00CE1D5E"/>
    <w:rsid w:val="00CE3F47"/>
    <w:rsid w:val="00CE6AE0"/>
    <w:rsid w:val="00CE72FD"/>
    <w:rsid w:val="00CE7678"/>
    <w:rsid w:val="00CE792A"/>
    <w:rsid w:val="00CE7C23"/>
    <w:rsid w:val="00CF06E5"/>
    <w:rsid w:val="00CF07F5"/>
    <w:rsid w:val="00CF0D08"/>
    <w:rsid w:val="00CF14F8"/>
    <w:rsid w:val="00CF2434"/>
    <w:rsid w:val="00CF243E"/>
    <w:rsid w:val="00CF2721"/>
    <w:rsid w:val="00CF2C4F"/>
    <w:rsid w:val="00CF3779"/>
    <w:rsid w:val="00CF3C14"/>
    <w:rsid w:val="00CF3F32"/>
    <w:rsid w:val="00CF4FDB"/>
    <w:rsid w:val="00CF5688"/>
    <w:rsid w:val="00CF5ACA"/>
    <w:rsid w:val="00CF60E1"/>
    <w:rsid w:val="00CF621E"/>
    <w:rsid w:val="00CF71B9"/>
    <w:rsid w:val="00CF7800"/>
    <w:rsid w:val="00D00776"/>
    <w:rsid w:val="00D02389"/>
    <w:rsid w:val="00D0247C"/>
    <w:rsid w:val="00D03918"/>
    <w:rsid w:val="00D039CA"/>
    <w:rsid w:val="00D0423A"/>
    <w:rsid w:val="00D047C9"/>
    <w:rsid w:val="00D070FE"/>
    <w:rsid w:val="00D072EC"/>
    <w:rsid w:val="00D07C66"/>
    <w:rsid w:val="00D07D9A"/>
    <w:rsid w:val="00D104E8"/>
    <w:rsid w:val="00D1056B"/>
    <w:rsid w:val="00D119E2"/>
    <w:rsid w:val="00D12C34"/>
    <w:rsid w:val="00D1315D"/>
    <w:rsid w:val="00D155A0"/>
    <w:rsid w:val="00D16374"/>
    <w:rsid w:val="00D16581"/>
    <w:rsid w:val="00D16692"/>
    <w:rsid w:val="00D1738F"/>
    <w:rsid w:val="00D17CCC"/>
    <w:rsid w:val="00D17F59"/>
    <w:rsid w:val="00D2003D"/>
    <w:rsid w:val="00D21046"/>
    <w:rsid w:val="00D2142C"/>
    <w:rsid w:val="00D21527"/>
    <w:rsid w:val="00D21FAF"/>
    <w:rsid w:val="00D22123"/>
    <w:rsid w:val="00D22CDC"/>
    <w:rsid w:val="00D234FF"/>
    <w:rsid w:val="00D23E5C"/>
    <w:rsid w:val="00D2477B"/>
    <w:rsid w:val="00D25077"/>
    <w:rsid w:val="00D25B9A"/>
    <w:rsid w:val="00D264D7"/>
    <w:rsid w:val="00D268A6"/>
    <w:rsid w:val="00D26E9E"/>
    <w:rsid w:val="00D27604"/>
    <w:rsid w:val="00D27990"/>
    <w:rsid w:val="00D31AC7"/>
    <w:rsid w:val="00D31DA5"/>
    <w:rsid w:val="00D31F94"/>
    <w:rsid w:val="00D3206E"/>
    <w:rsid w:val="00D32E44"/>
    <w:rsid w:val="00D32E89"/>
    <w:rsid w:val="00D343BE"/>
    <w:rsid w:val="00D34D8E"/>
    <w:rsid w:val="00D35497"/>
    <w:rsid w:val="00D35795"/>
    <w:rsid w:val="00D35BB2"/>
    <w:rsid w:val="00D3639F"/>
    <w:rsid w:val="00D369A6"/>
    <w:rsid w:val="00D37703"/>
    <w:rsid w:val="00D40A33"/>
    <w:rsid w:val="00D40AED"/>
    <w:rsid w:val="00D4165C"/>
    <w:rsid w:val="00D419C6"/>
    <w:rsid w:val="00D41F8D"/>
    <w:rsid w:val="00D4262E"/>
    <w:rsid w:val="00D43CB3"/>
    <w:rsid w:val="00D448A5"/>
    <w:rsid w:val="00D44B89"/>
    <w:rsid w:val="00D44EAC"/>
    <w:rsid w:val="00D45D31"/>
    <w:rsid w:val="00D46F90"/>
    <w:rsid w:val="00D474C9"/>
    <w:rsid w:val="00D47DF7"/>
    <w:rsid w:val="00D5009B"/>
    <w:rsid w:val="00D5017F"/>
    <w:rsid w:val="00D504A5"/>
    <w:rsid w:val="00D50F41"/>
    <w:rsid w:val="00D5156D"/>
    <w:rsid w:val="00D517EC"/>
    <w:rsid w:val="00D52A67"/>
    <w:rsid w:val="00D53031"/>
    <w:rsid w:val="00D5377A"/>
    <w:rsid w:val="00D53E68"/>
    <w:rsid w:val="00D541F0"/>
    <w:rsid w:val="00D5420E"/>
    <w:rsid w:val="00D550AB"/>
    <w:rsid w:val="00D552CE"/>
    <w:rsid w:val="00D5596C"/>
    <w:rsid w:val="00D56A27"/>
    <w:rsid w:val="00D5739A"/>
    <w:rsid w:val="00D57771"/>
    <w:rsid w:val="00D617F1"/>
    <w:rsid w:val="00D61CF9"/>
    <w:rsid w:val="00D62B3D"/>
    <w:rsid w:val="00D630DD"/>
    <w:rsid w:val="00D6313F"/>
    <w:rsid w:val="00D63B66"/>
    <w:rsid w:val="00D64005"/>
    <w:rsid w:val="00D64054"/>
    <w:rsid w:val="00D654D0"/>
    <w:rsid w:val="00D665CB"/>
    <w:rsid w:val="00D66740"/>
    <w:rsid w:val="00D66B84"/>
    <w:rsid w:val="00D7066C"/>
    <w:rsid w:val="00D70D6E"/>
    <w:rsid w:val="00D7197D"/>
    <w:rsid w:val="00D719E6"/>
    <w:rsid w:val="00D71EC2"/>
    <w:rsid w:val="00D72285"/>
    <w:rsid w:val="00D72381"/>
    <w:rsid w:val="00D72984"/>
    <w:rsid w:val="00D7357C"/>
    <w:rsid w:val="00D74DD0"/>
    <w:rsid w:val="00D7567F"/>
    <w:rsid w:val="00D75FB8"/>
    <w:rsid w:val="00D76732"/>
    <w:rsid w:val="00D76C89"/>
    <w:rsid w:val="00D76EC5"/>
    <w:rsid w:val="00D77041"/>
    <w:rsid w:val="00D770D9"/>
    <w:rsid w:val="00D77F45"/>
    <w:rsid w:val="00D80A1F"/>
    <w:rsid w:val="00D813C3"/>
    <w:rsid w:val="00D81657"/>
    <w:rsid w:val="00D81C4F"/>
    <w:rsid w:val="00D8257B"/>
    <w:rsid w:val="00D82591"/>
    <w:rsid w:val="00D84F7E"/>
    <w:rsid w:val="00D851EE"/>
    <w:rsid w:val="00D85A35"/>
    <w:rsid w:val="00D85DAF"/>
    <w:rsid w:val="00D87C38"/>
    <w:rsid w:val="00D91101"/>
    <w:rsid w:val="00D922FE"/>
    <w:rsid w:val="00D93200"/>
    <w:rsid w:val="00D9454F"/>
    <w:rsid w:val="00D95C91"/>
    <w:rsid w:val="00D95EC6"/>
    <w:rsid w:val="00D95F09"/>
    <w:rsid w:val="00D95F4B"/>
    <w:rsid w:val="00D95F84"/>
    <w:rsid w:val="00D964D2"/>
    <w:rsid w:val="00D96820"/>
    <w:rsid w:val="00D979E2"/>
    <w:rsid w:val="00DA0374"/>
    <w:rsid w:val="00DA2939"/>
    <w:rsid w:val="00DA2CCF"/>
    <w:rsid w:val="00DA2E20"/>
    <w:rsid w:val="00DA314B"/>
    <w:rsid w:val="00DA3581"/>
    <w:rsid w:val="00DA3D94"/>
    <w:rsid w:val="00DA3E7E"/>
    <w:rsid w:val="00DA568D"/>
    <w:rsid w:val="00DA5787"/>
    <w:rsid w:val="00DA5AA6"/>
    <w:rsid w:val="00DA5E83"/>
    <w:rsid w:val="00DA6141"/>
    <w:rsid w:val="00DA61CB"/>
    <w:rsid w:val="00DA6798"/>
    <w:rsid w:val="00DA6B8E"/>
    <w:rsid w:val="00DA6C3C"/>
    <w:rsid w:val="00DA70CD"/>
    <w:rsid w:val="00DA76F0"/>
    <w:rsid w:val="00DA77BA"/>
    <w:rsid w:val="00DA7F44"/>
    <w:rsid w:val="00DB0067"/>
    <w:rsid w:val="00DB0362"/>
    <w:rsid w:val="00DB0ABB"/>
    <w:rsid w:val="00DB0F71"/>
    <w:rsid w:val="00DB11A3"/>
    <w:rsid w:val="00DB1369"/>
    <w:rsid w:val="00DB1F53"/>
    <w:rsid w:val="00DB278E"/>
    <w:rsid w:val="00DB2E93"/>
    <w:rsid w:val="00DB30DD"/>
    <w:rsid w:val="00DB368A"/>
    <w:rsid w:val="00DB4BBE"/>
    <w:rsid w:val="00DB5644"/>
    <w:rsid w:val="00DB594F"/>
    <w:rsid w:val="00DB595B"/>
    <w:rsid w:val="00DB5D7B"/>
    <w:rsid w:val="00DB6659"/>
    <w:rsid w:val="00DB6CB1"/>
    <w:rsid w:val="00DB7A59"/>
    <w:rsid w:val="00DC088D"/>
    <w:rsid w:val="00DC2873"/>
    <w:rsid w:val="00DC2B8A"/>
    <w:rsid w:val="00DC2F67"/>
    <w:rsid w:val="00DC3421"/>
    <w:rsid w:val="00DC3475"/>
    <w:rsid w:val="00DC35A7"/>
    <w:rsid w:val="00DC37C2"/>
    <w:rsid w:val="00DC3D2E"/>
    <w:rsid w:val="00DC3E43"/>
    <w:rsid w:val="00DC4C0B"/>
    <w:rsid w:val="00DC4CF3"/>
    <w:rsid w:val="00DC58B7"/>
    <w:rsid w:val="00DC6652"/>
    <w:rsid w:val="00DC7266"/>
    <w:rsid w:val="00DC7D9E"/>
    <w:rsid w:val="00DD01A5"/>
    <w:rsid w:val="00DD110A"/>
    <w:rsid w:val="00DD1A4C"/>
    <w:rsid w:val="00DD2BDE"/>
    <w:rsid w:val="00DD313A"/>
    <w:rsid w:val="00DD3311"/>
    <w:rsid w:val="00DD35C9"/>
    <w:rsid w:val="00DD3E7C"/>
    <w:rsid w:val="00DD460A"/>
    <w:rsid w:val="00DD4AE0"/>
    <w:rsid w:val="00DD56F6"/>
    <w:rsid w:val="00DD5897"/>
    <w:rsid w:val="00DD60B7"/>
    <w:rsid w:val="00DD65F1"/>
    <w:rsid w:val="00DD73AA"/>
    <w:rsid w:val="00DD7A43"/>
    <w:rsid w:val="00DD7FDC"/>
    <w:rsid w:val="00DE0919"/>
    <w:rsid w:val="00DE11DC"/>
    <w:rsid w:val="00DE1BD7"/>
    <w:rsid w:val="00DE2460"/>
    <w:rsid w:val="00DE2634"/>
    <w:rsid w:val="00DE5460"/>
    <w:rsid w:val="00DE5B1F"/>
    <w:rsid w:val="00DE5DA0"/>
    <w:rsid w:val="00DE6371"/>
    <w:rsid w:val="00DE68CD"/>
    <w:rsid w:val="00DE695E"/>
    <w:rsid w:val="00DE7821"/>
    <w:rsid w:val="00DF00D6"/>
    <w:rsid w:val="00DF0577"/>
    <w:rsid w:val="00DF0709"/>
    <w:rsid w:val="00DF0A6C"/>
    <w:rsid w:val="00DF0C06"/>
    <w:rsid w:val="00DF14B0"/>
    <w:rsid w:val="00DF1D64"/>
    <w:rsid w:val="00DF1F29"/>
    <w:rsid w:val="00DF31CF"/>
    <w:rsid w:val="00DF344B"/>
    <w:rsid w:val="00DF4277"/>
    <w:rsid w:val="00DF43DF"/>
    <w:rsid w:val="00DF46AB"/>
    <w:rsid w:val="00DF4E7F"/>
    <w:rsid w:val="00DF5F90"/>
    <w:rsid w:val="00DF65B6"/>
    <w:rsid w:val="00DF7350"/>
    <w:rsid w:val="00DF7DDB"/>
    <w:rsid w:val="00E00FC2"/>
    <w:rsid w:val="00E0102C"/>
    <w:rsid w:val="00E03036"/>
    <w:rsid w:val="00E036D4"/>
    <w:rsid w:val="00E03E74"/>
    <w:rsid w:val="00E03E9E"/>
    <w:rsid w:val="00E042B1"/>
    <w:rsid w:val="00E049CC"/>
    <w:rsid w:val="00E04AD1"/>
    <w:rsid w:val="00E054EF"/>
    <w:rsid w:val="00E0597B"/>
    <w:rsid w:val="00E06551"/>
    <w:rsid w:val="00E06F8C"/>
    <w:rsid w:val="00E07C1B"/>
    <w:rsid w:val="00E10760"/>
    <w:rsid w:val="00E11476"/>
    <w:rsid w:val="00E11E8F"/>
    <w:rsid w:val="00E12845"/>
    <w:rsid w:val="00E12A43"/>
    <w:rsid w:val="00E13A3B"/>
    <w:rsid w:val="00E1423A"/>
    <w:rsid w:val="00E14C73"/>
    <w:rsid w:val="00E1585B"/>
    <w:rsid w:val="00E15E54"/>
    <w:rsid w:val="00E160B5"/>
    <w:rsid w:val="00E16257"/>
    <w:rsid w:val="00E16542"/>
    <w:rsid w:val="00E167C8"/>
    <w:rsid w:val="00E16CC5"/>
    <w:rsid w:val="00E20157"/>
    <w:rsid w:val="00E205B1"/>
    <w:rsid w:val="00E215AE"/>
    <w:rsid w:val="00E216B7"/>
    <w:rsid w:val="00E21765"/>
    <w:rsid w:val="00E21939"/>
    <w:rsid w:val="00E222F5"/>
    <w:rsid w:val="00E2268B"/>
    <w:rsid w:val="00E251E2"/>
    <w:rsid w:val="00E251EF"/>
    <w:rsid w:val="00E256EB"/>
    <w:rsid w:val="00E25848"/>
    <w:rsid w:val="00E26E3C"/>
    <w:rsid w:val="00E2734F"/>
    <w:rsid w:val="00E277BD"/>
    <w:rsid w:val="00E27AA5"/>
    <w:rsid w:val="00E27ACD"/>
    <w:rsid w:val="00E27B6E"/>
    <w:rsid w:val="00E303B2"/>
    <w:rsid w:val="00E30D22"/>
    <w:rsid w:val="00E315A9"/>
    <w:rsid w:val="00E31E80"/>
    <w:rsid w:val="00E325EC"/>
    <w:rsid w:val="00E32ED8"/>
    <w:rsid w:val="00E340C8"/>
    <w:rsid w:val="00E34B7D"/>
    <w:rsid w:val="00E37096"/>
    <w:rsid w:val="00E375D4"/>
    <w:rsid w:val="00E403DC"/>
    <w:rsid w:val="00E40AD6"/>
    <w:rsid w:val="00E40DF4"/>
    <w:rsid w:val="00E40E58"/>
    <w:rsid w:val="00E40F43"/>
    <w:rsid w:val="00E41637"/>
    <w:rsid w:val="00E41A90"/>
    <w:rsid w:val="00E43594"/>
    <w:rsid w:val="00E449F5"/>
    <w:rsid w:val="00E44F52"/>
    <w:rsid w:val="00E4564D"/>
    <w:rsid w:val="00E4566B"/>
    <w:rsid w:val="00E45C16"/>
    <w:rsid w:val="00E4621D"/>
    <w:rsid w:val="00E46E69"/>
    <w:rsid w:val="00E46FE7"/>
    <w:rsid w:val="00E471C4"/>
    <w:rsid w:val="00E478F3"/>
    <w:rsid w:val="00E501CF"/>
    <w:rsid w:val="00E5062E"/>
    <w:rsid w:val="00E507A5"/>
    <w:rsid w:val="00E522E9"/>
    <w:rsid w:val="00E5263F"/>
    <w:rsid w:val="00E53AC7"/>
    <w:rsid w:val="00E53E54"/>
    <w:rsid w:val="00E53F28"/>
    <w:rsid w:val="00E5418E"/>
    <w:rsid w:val="00E5603B"/>
    <w:rsid w:val="00E560A5"/>
    <w:rsid w:val="00E57CB4"/>
    <w:rsid w:val="00E60C57"/>
    <w:rsid w:val="00E61391"/>
    <w:rsid w:val="00E61689"/>
    <w:rsid w:val="00E62D6E"/>
    <w:rsid w:val="00E63034"/>
    <w:rsid w:val="00E63B5A"/>
    <w:rsid w:val="00E648A2"/>
    <w:rsid w:val="00E66714"/>
    <w:rsid w:val="00E66CC8"/>
    <w:rsid w:val="00E67D89"/>
    <w:rsid w:val="00E7032B"/>
    <w:rsid w:val="00E704DC"/>
    <w:rsid w:val="00E70CE9"/>
    <w:rsid w:val="00E72987"/>
    <w:rsid w:val="00E734DB"/>
    <w:rsid w:val="00E735A8"/>
    <w:rsid w:val="00E73681"/>
    <w:rsid w:val="00E759CF"/>
    <w:rsid w:val="00E76A2A"/>
    <w:rsid w:val="00E8037B"/>
    <w:rsid w:val="00E80BEB"/>
    <w:rsid w:val="00E8198C"/>
    <w:rsid w:val="00E8201A"/>
    <w:rsid w:val="00E822CA"/>
    <w:rsid w:val="00E82AC7"/>
    <w:rsid w:val="00E82B99"/>
    <w:rsid w:val="00E82C8A"/>
    <w:rsid w:val="00E83CF7"/>
    <w:rsid w:val="00E84907"/>
    <w:rsid w:val="00E84E31"/>
    <w:rsid w:val="00E8500B"/>
    <w:rsid w:val="00E859DF"/>
    <w:rsid w:val="00E87465"/>
    <w:rsid w:val="00E8791B"/>
    <w:rsid w:val="00E90936"/>
    <w:rsid w:val="00E9120B"/>
    <w:rsid w:val="00E91697"/>
    <w:rsid w:val="00E91999"/>
    <w:rsid w:val="00E9225C"/>
    <w:rsid w:val="00E935D3"/>
    <w:rsid w:val="00E93F63"/>
    <w:rsid w:val="00E941F0"/>
    <w:rsid w:val="00E9422F"/>
    <w:rsid w:val="00E94255"/>
    <w:rsid w:val="00E94EAE"/>
    <w:rsid w:val="00E97CE1"/>
    <w:rsid w:val="00EA07C2"/>
    <w:rsid w:val="00EA08B9"/>
    <w:rsid w:val="00EA0C88"/>
    <w:rsid w:val="00EA14BA"/>
    <w:rsid w:val="00EA1E06"/>
    <w:rsid w:val="00EA2AB0"/>
    <w:rsid w:val="00EA2E76"/>
    <w:rsid w:val="00EA2F2F"/>
    <w:rsid w:val="00EA31D3"/>
    <w:rsid w:val="00EA39B2"/>
    <w:rsid w:val="00EA3DB0"/>
    <w:rsid w:val="00EA3EF3"/>
    <w:rsid w:val="00EA413C"/>
    <w:rsid w:val="00EA4463"/>
    <w:rsid w:val="00EA4526"/>
    <w:rsid w:val="00EA46F2"/>
    <w:rsid w:val="00EA4FFC"/>
    <w:rsid w:val="00EA5339"/>
    <w:rsid w:val="00EA5688"/>
    <w:rsid w:val="00EA5D4F"/>
    <w:rsid w:val="00EA7BD2"/>
    <w:rsid w:val="00EA7C9C"/>
    <w:rsid w:val="00EA7CA5"/>
    <w:rsid w:val="00EB0C9B"/>
    <w:rsid w:val="00EB2280"/>
    <w:rsid w:val="00EB24B9"/>
    <w:rsid w:val="00EB29A3"/>
    <w:rsid w:val="00EB29AD"/>
    <w:rsid w:val="00EB2A6B"/>
    <w:rsid w:val="00EB2BC2"/>
    <w:rsid w:val="00EB2DCB"/>
    <w:rsid w:val="00EB2E9D"/>
    <w:rsid w:val="00EB398A"/>
    <w:rsid w:val="00EB3A1A"/>
    <w:rsid w:val="00EB3AAB"/>
    <w:rsid w:val="00EB3E63"/>
    <w:rsid w:val="00EB5062"/>
    <w:rsid w:val="00EB5A6E"/>
    <w:rsid w:val="00EB61F9"/>
    <w:rsid w:val="00EB63B2"/>
    <w:rsid w:val="00EB6630"/>
    <w:rsid w:val="00EB67FB"/>
    <w:rsid w:val="00EB6967"/>
    <w:rsid w:val="00EB6ADD"/>
    <w:rsid w:val="00EB6D2B"/>
    <w:rsid w:val="00EB709C"/>
    <w:rsid w:val="00EC0C29"/>
    <w:rsid w:val="00EC13B2"/>
    <w:rsid w:val="00EC13BA"/>
    <w:rsid w:val="00EC2099"/>
    <w:rsid w:val="00EC2541"/>
    <w:rsid w:val="00EC2732"/>
    <w:rsid w:val="00EC2C02"/>
    <w:rsid w:val="00EC3910"/>
    <w:rsid w:val="00EC3A3B"/>
    <w:rsid w:val="00EC3DA1"/>
    <w:rsid w:val="00EC47C3"/>
    <w:rsid w:val="00EC498E"/>
    <w:rsid w:val="00EC51A7"/>
    <w:rsid w:val="00EC558E"/>
    <w:rsid w:val="00EC5964"/>
    <w:rsid w:val="00EC5CEE"/>
    <w:rsid w:val="00EC61F5"/>
    <w:rsid w:val="00EC6772"/>
    <w:rsid w:val="00ED033D"/>
    <w:rsid w:val="00ED0D3D"/>
    <w:rsid w:val="00ED0FEF"/>
    <w:rsid w:val="00ED139A"/>
    <w:rsid w:val="00ED1C5C"/>
    <w:rsid w:val="00ED2903"/>
    <w:rsid w:val="00ED290A"/>
    <w:rsid w:val="00ED2DE4"/>
    <w:rsid w:val="00ED2F50"/>
    <w:rsid w:val="00ED2F7E"/>
    <w:rsid w:val="00ED3776"/>
    <w:rsid w:val="00ED39B0"/>
    <w:rsid w:val="00ED4A24"/>
    <w:rsid w:val="00ED4F49"/>
    <w:rsid w:val="00ED501D"/>
    <w:rsid w:val="00ED501F"/>
    <w:rsid w:val="00ED5458"/>
    <w:rsid w:val="00ED58E8"/>
    <w:rsid w:val="00ED5C30"/>
    <w:rsid w:val="00ED5E09"/>
    <w:rsid w:val="00ED5E98"/>
    <w:rsid w:val="00ED5F3F"/>
    <w:rsid w:val="00ED6362"/>
    <w:rsid w:val="00ED6485"/>
    <w:rsid w:val="00ED6BEC"/>
    <w:rsid w:val="00ED6CDA"/>
    <w:rsid w:val="00ED71B4"/>
    <w:rsid w:val="00ED7887"/>
    <w:rsid w:val="00ED797B"/>
    <w:rsid w:val="00ED7D81"/>
    <w:rsid w:val="00ED7E95"/>
    <w:rsid w:val="00EE06C6"/>
    <w:rsid w:val="00EE0EEF"/>
    <w:rsid w:val="00EE21B5"/>
    <w:rsid w:val="00EE2429"/>
    <w:rsid w:val="00EE2D0F"/>
    <w:rsid w:val="00EE302A"/>
    <w:rsid w:val="00EE34CD"/>
    <w:rsid w:val="00EE3557"/>
    <w:rsid w:val="00EE3651"/>
    <w:rsid w:val="00EE370E"/>
    <w:rsid w:val="00EE3C21"/>
    <w:rsid w:val="00EE4F8D"/>
    <w:rsid w:val="00EE523A"/>
    <w:rsid w:val="00EE59B1"/>
    <w:rsid w:val="00EE618F"/>
    <w:rsid w:val="00EE6713"/>
    <w:rsid w:val="00EE6857"/>
    <w:rsid w:val="00EE7B08"/>
    <w:rsid w:val="00EF0149"/>
    <w:rsid w:val="00EF01D6"/>
    <w:rsid w:val="00EF042C"/>
    <w:rsid w:val="00EF0980"/>
    <w:rsid w:val="00EF09E6"/>
    <w:rsid w:val="00EF0B99"/>
    <w:rsid w:val="00EF11F7"/>
    <w:rsid w:val="00EF2A4B"/>
    <w:rsid w:val="00EF317F"/>
    <w:rsid w:val="00EF32A3"/>
    <w:rsid w:val="00EF3775"/>
    <w:rsid w:val="00EF3CD1"/>
    <w:rsid w:val="00EF405B"/>
    <w:rsid w:val="00EF5CD4"/>
    <w:rsid w:val="00EF7B69"/>
    <w:rsid w:val="00EF7C1C"/>
    <w:rsid w:val="00F0038C"/>
    <w:rsid w:val="00F00881"/>
    <w:rsid w:val="00F00966"/>
    <w:rsid w:val="00F0122C"/>
    <w:rsid w:val="00F01D89"/>
    <w:rsid w:val="00F021F3"/>
    <w:rsid w:val="00F03293"/>
    <w:rsid w:val="00F03AA9"/>
    <w:rsid w:val="00F03C02"/>
    <w:rsid w:val="00F043BC"/>
    <w:rsid w:val="00F057D5"/>
    <w:rsid w:val="00F05F5E"/>
    <w:rsid w:val="00F066FD"/>
    <w:rsid w:val="00F06AA6"/>
    <w:rsid w:val="00F06DB4"/>
    <w:rsid w:val="00F0716D"/>
    <w:rsid w:val="00F071C6"/>
    <w:rsid w:val="00F073A9"/>
    <w:rsid w:val="00F1031D"/>
    <w:rsid w:val="00F10691"/>
    <w:rsid w:val="00F110A0"/>
    <w:rsid w:val="00F110DF"/>
    <w:rsid w:val="00F12010"/>
    <w:rsid w:val="00F13ADA"/>
    <w:rsid w:val="00F14531"/>
    <w:rsid w:val="00F1475C"/>
    <w:rsid w:val="00F147AF"/>
    <w:rsid w:val="00F14893"/>
    <w:rsid w:val="00F14FF5"/>
    <w:rsid w:val="00F15D5E"/>
    <w:rsid w:val="00F16021"/>
    <w:rsid w:val="00F163C8"/>
    <w:rsid w:val="00F1666B"/>
    <w:rsid w:val="00F166C2"/>
    <w:rsid w:val="00F16875"/>
    <w:rsid w:val="00F1732B"/>
    <w:rsid w:val="00F173CE"/>
    <w:rsid w:val="00F17BC8"/>
    <w:rsid w:val="00F20206"/>
    <w:rsid w:val="00F2088A"/>
    <w:rsid w:val="00F20DA0"/>
    <w:rsid w:val="00F21214"/>
    <w:rsid w:val="00F21CEC"/>
    <w:rsid w:val="00F21D94"/>
    <w:rsid w:val="00F21DAF"/>
    <w:rsid w:val="00F22599"/>
    <w:rsid w:val="00F22727"/>
    <w:rsid w:val="00F22837"/>
    <w:rsid w:val="00F2348D"/>
    <w:rsid w:val="00F238BB"/>
    <w:rsid w:val="00F239B9"/>
    <w:rsid w:val="00F23F47"/>
    <w:rsid w:val="00F24260"/>
    <w:rsid w:val="00F2443F"/>
    <w:rsid w:val="00F24EB7"/>
    <w:rsid w:val="00F250AF"/>
    <w:rsid w:val="00F25324"/>
    <w:rsid w:val="00F27ABA"/>
    <w:rsid w:val="00F32088"/>
    <w:rsid w:val="00F32AFA"/>
    <w:rsid w:val="00F334B9"/>
    <w:rsid w:val="00F33B4D"/>
    <w:rsid w:val="00F33FEB"/>
    <w:rsid w:val="00F34AB8"/>
    <w:rsid w:val="00F34E0E"/>
    <w:rsid w:val="00F350D3"/>
    <w:rsid w:val="00F35A2F"/>
    <w:rsid w:val="00F362C9"/>
    <w:rsid w:val="00F379EB"/>
    <w:rsid w:val="00F407F0"/>
    <w:rsid w:val="00F40B11"/>
    <w:rsid w:val="00F41A9B"/>
    <w:rsid w:val="00F41F44"/>
    <w:rsid w:val="00F42792"/>
    <w:rsid w:val="00F43303"/>
    <w:rsid w:val="00F433B9"/>
    <w:rsid w:val="00F434E0"/>
    <w:rsid w:val="00F43C65"/>
    <w:rsid w:val="00F45394"/>
    <w:rsid w:val="00F453B8"/>
    <w:rsid w:val="00F45737"/>
    <w:rsid w:val="00F45ACA"/>
    <w:rsid w:val="00F45EE1"/>
    <w:rsid w:val="00F4659B"/>
    <w:rsid w:val="00F4706D"/>
    <w:rsid w:val="00F51AC0"/>
    <w:rsid w:val="00F51D95"/>
    <w:rsid w:val="00F51F41"/>
    <w:rsid w:val="00F52105"/>
    <w:rsid w:val="00F52C82"/>
    <w:rsid w:val="00F5337F"/>
    <w:rsid w:val="00F53AEA"/>
    <w:rsid w:val="00F53D5F"/>
    <w:rsid w:val="00F540C8"/>
    <w:rsid w:val="00F54A0B"/>
    <w:rsid w:val="00F5515F"/>
    <w:rsid w:val="00F559A5"/>
    <w:rsid w:val="00F55E8D"/>
    <w:rsid w:val="00F562CC"/>
    <w:rsid w:val="00F5665A"/>
    <w:rsid w:val="00F5743B"/>
    <w:rsid w:val="00F60C13"/>
    <w:rsid w:val="00F6111E"/>
    <w:rsid w:val="00F61301"/>
    <w:rsid w:val="00F613BB"/>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46F"/>
    <w:rsid w:val="00F73BD5"/>
    <w:rsid w:val="00F73D21"/>
    <w:rsid w:val="00F752B1"/>
    <w:rsid w:val="00F75B17"/>
    <w:rsid w:val="00F75B35"/>
    <w:rsid w:val="00F75EE9"/>
    <w:rsid w:val="00F75F93"/>
    <w:rsid w:val="00F76496"/>
    <w:rsid w:val="00F7656E"/>
    <w:rsid w:val="00F77014"/>
    <w:rsid w:val="00F7766B"/>
    <w:rsid w:val="00F77BA6"/>
    <w:rsid w:val="00F81309"/>
    <w:rsid w:val="00F8164A"/>
    <w:rsid w:val="00F81B08"/>
    <w:rsid w:val="00F8266E"/>
    <w:rsid w:val="00F82D07"/>
    <w:rsid w:val="00F835E7"/>
    <w:rsid w:val="00F83EA0"/>
    <w:rsid w:val="00F84D12"/>
    <w:rsid w:val="00F85D99"/>
    <w:rsid w:val="00F87AFA"/>
    <w:rsid w:val="00F9139C"/>
    <w:rsid w:val="00F91500"/>
    <w:rsid w:val="00F919E0"/>
    <w:rsid w:val="00F91A57"/>
    <w:rsid w:val="00F933DF"/>
    <w:rsid w:val="00F93698"/>
    <w:rsid w:val="00F94191"/>
    <w:rsid w:val="00F9431E"/>
    <w:rsid w:val="00F95997"/>
    <w:rsid w:val="00F95E21"/>
    <w:rsid w:val="00F96B8F"/>
    <w:rsid w:val="00FA07ED"/>
    <w:rsid w:val="00FA147A"/>
    <w:rsid w:val="00FA173A"/>
    <w:rsid w:val="00FA184F"/>
    <w:rsid w:val="00FA1CCF"/>
    <w:rsid w:val="00FA25D4"/>
    <w:rsid w:val="00FA2D45"/>
    <w:rsid w:val="00FA3757"/>
    <w:rsid w:val="00FA38D5"/>
    <w:rsid w:val="00FA3C48"/>
    <w:rsid w:val="00FA3E6D"/>
    <w:rsid w:val="00FA4880"/>
    <w:rsid w:val="00FA4BF0"/>
    <w:rsid w:val="00FA64DB"/>
    <w:rsid w:val="00FA65D1"/>
    <w:rsid w:val="00FA7F68"/>
    <w:rsid w:val="00FB03DA"/>
    <w:rsid w:val="00FB0B3B"/>
    <w:rsid w:val="00FB1051"/>
    <w:rsid w:val="00FB3272"/>
    <w:rsid w:val="00FB356D"/>
    <w:rsid w:val="00FB4063"/>
    <w:rsid w:val="00FB4CD4"/>
    <w:rsid w:val="00FB63F8"/>
    <w:rsid w:val="00FB74AC"/>
    <w:rsid w:val="00FB753F"/>
    <w:rsid w:val="00FC0401"/>
    <w:rsid w:val="00FC05A8"/>
    <w:rsid w:val="00FC1F44"/>
    <w:rsid w:val="00FC2129"/>
    <w:rsid w:val="00FC2F4B"/>
    <w:rsid w:val="00FC39A8"/>
    <w:rsid w:val="00FC3A6B"/>
    <w:rsid w:val="00FC3B03"/>
    <w:rsid w:val="00FC3C05"/>
    <w:rsid w:val="00FC40F4"/>
    <w:rsid w:val="00FC45D3"/>
    <w:rsid w:val="00FC6410"/>
    <w:rsid w:val="00FC7280"/>
    <w:rsid w:val="00FC78D9"/>
    <w:rsid w:val="00FD1216"/>
    <w:rsid w:val="00FD26D2"/>
    <w:rsid w:val="00FD3AF2"/>
    <w:rsid w:val="00FD4012"/>
    <w:rsid w:val="00FD40B7"/>
    <w:rsid w:val="00FD42C7"/>
    <w:rsid w:val="00FD455B"/>
    <w:rsid w:val="00FD4650"/>
    <w:rsid w:val="00FD4F86"/>
    <w:rsid w:val="00FD565B"/>
    <w:rsid w:val="00FD5AE9"/>
    <w:rsid w:val="00FD708B"/>
    <w:rsid w:val="00FD7271"/>
    <w:rsid w:val="00FD7B05"/>
    <w:rsid w:val="00FD7DF3"/>
    <w:rsid w:val="00FE05D4"/>
    <w:rsid w:val="00FE14E6"/>
    <w:rsid w:val="00FE1BD6"/>
    <w:rsid w:val="00FE2419"/>
    <w:rsid w:val="00FE2E16"/>
    <w:rsid w:val="00FE31EA"/>
    <w:rsid w:val="00FE4039"/>
    <w:rsid w:val="00FE555E"/>
    <w:rsid w:val="00FE5D98"/>
    <w:rsid w:val="00FE5FDB"/>
    <w:rsid w:val="00FE66AC"/>
    <w:rsid w:val="00FE6764"/>
    <w:rsid w:val="00FE6791"/>
    <w:rsid w:val="00FE78E5"/>
    <w:rsid w:val="00FF0247"/>
    <w:rsid w:val="00FF111B"/>
    <w:rsid w:val="00FF1421"/>
    <w:rsid w:val="00FF16FD"/>
    <w:rsid w:val="00FF1B5C"/>
    <w:rsid w:val="00FF2B8A"/>
    <w:rsid w:val="00FF2B8E"/>
    <w:rsid w:val="00FF2D8B"/>
    <w:rsid w:val="00FF2E79"/>
    <w:rsid w:val="00FF4202"/>
    <w:rsid w:val="00FF4537"/>
    <w:rsid w:val="00FF472C"/>
    <w:rsid w:val="00FF4A0A"/>
    <w:rsid w:val="00FF4A3E"/>
    <w:rsid w:val="00FF4B29"/>
    <w:rsid w:val="00FF67DE"/>
    <w:rsid w:val="00FF7A1B"/>
    <w:rsid w:val="011473B7"/>
    <w:rsid w:val="011B2144"/>
    <w:rsid w:val="01431A4A"/>
    <w:rsid w:val="0164426F"/>
    <w:rsid w:val="017436F8"/>
    <w:rsid w:val="01A324E9"/>
    <w:rsid w:val="01C54B55"/>
    <w:rsid w:val="01CD4DD9"/>
    <w:rsid w:val="01E44FDB"/>
    <w:rsid w:val="02095476"/>
    <w:rsid w:val="020967F0"/>
    <w:rsid w:val="0227279B"/>
    <w:rsid w:val="02807357"/>
    <w:rsid w:val="0296055D"/>
    <w:rsid w:val="02B35D48"/>
    <w:rsid w:val="02D0381A"/>
    <w:rsid w:val="02FD1971"/>
    <w:rsid w:val="02FF7A7B"/>
    <w:rsid w:val="031B2C7F"/>
    <w:rsid w:val="032C4E8C"/>
    <w:rsid w:val="0338676F"/>
    <w:rsid w:val="034D09C7"/>
    <w:rsid w:val="03604B36"/>
    <w:rsid w:val="039610A4"/>
    <w:rsid w:val="03970EF3"/>
    <w:rsid w:val="03B91F1D"/>
    <w:rsid w:val="03B94246"/>
    <w:rsid w:val="03BD55AE"/>
    <w:rsid w:val="03D14FF0"/>
    <w:rsid w:val="03D3399E"/>
    <w:rsid w:val="03E811F5"/>
    <w:rsid w:val="03FE4719"/>
    <w:rsid w:val="03FE4DF0"/>
    <w:rsid w:val="04021815"/>
    <w:rsid w:val="04194CE4"/>
    <w:rsid w:val="04207E21"/>
    <w:rsid w:val="045E6757"/>
    <w:rsid w:val="045F6B9B"/>
    <w:rsid w:val="04664A43"/>
    <w:rsid w:val="04D1736D"/>
    <w:rsid w:val="04D57FCB"/>
    <w:rsid w:val="05113F0C"/>
    <w:rsid w:val="0559183C"/>
    <w:rsid w:val="056A376A"/>
    <w:rsid w:val="05746676"/>
    <w:rsid w:val="059D3E1F"/>
    <w:rsid w:val="05AA0AEE"/>
    <w:rsid w:val="05F81055"/>
    <w:rsid w:val="06066A9D"/>
    <w:rsid w:val="06563FCE"/>
    <w:rsid w:val="065906F6"/>
    <w:rsid w:val="06622C7D"/>
    <w:rsid w:val="06633805"/>
    <w:rsid w:val="06691980"/>
    <w:rsid w:val="069A3EBB"/>
    <w:rsid w:val="06C968FB"/>
    <w:rsid w:val="06E57A2A"/>
    <w:rsid w:val="070D6D82"/>
    <w:rsid w:val="07147BAB"/>
    <w:rsid w:val="071E0080"/>
    <w:rsid w:val="073D3CA0"/>
    <w:rsid w:val="073D6DD6"/>
    <w:rsid w:val="075C5614"/>
    <w:rsid w:val="07A16757"/>
    <w:rsid w:val="07A62D33"/>
    <w:rsid w:val="07B47EE7"/>
    <w:rsid w:val="07D371FC"/>
    <w:rsid w:val="081859DF"/>
    <w:rsid w:val="08210E81"/>
    <w:rsid w:val="08A2174C"/>
    <w:rsid w:val="08A533B6"/>
    <w:rsid w:val="08D35DAA"/>
    <w:rsid w:val="08E65ADD"/>
    <w:rsid w:val="08EF7436"/>
    <w:rsid w:val="09306D58"/>
    <w:rsid w:val="09563B8E"/>
    <w:rsid w:val="096A1084"/>
    <w:rsid w:val="096B38AC"/>
    <w:rsid w:val="09954DC5"/>
    <w:rsid w:val="099B705D"/>
    <w:rsid w:val="09A11172"/>
    <w:rsid w:val="09B513A5"/>
    <w:rsid w:val="09D04097"/>
    <w:rsid w:val="09ED69F7"/>
    <w:rsid w:val="0A041DCA"/>
    <w:rsid w:val="0A051F93"/>
    <w:rsid w:val="0A073BAC"/>
    <w:rsid w:val="0A583965"/>
    <w:rsid w:val="0A717628"/>
    <w:rsid w:val="0AE40B42"/>
    <w:rsid w:val="0AFA60E7"/>
    <w:rsid w:val="0B0E7430"/>
    <w:rsid w:val="0B454EE2"/>
    <w:rsid w:val="0B561C40"/>
    <w:rsid w:val="0B8B296C"/>
    <w:rsid w:val="0BD240F7"/>
    <w:rsid w:val="0BDA423F"/>
    <w:rsid w:val="0BE13394"/>
    <w:rsid w:val="0BE75377"/>
    <w:rsid w:val="0C0544CC"/>
    <w:rsid w:val="0C104C1F"/>
    <w:rsid w:val="0C236700"/>
    <w:rsid w:val="0C3152C1"/>
    <w:rsid w:val="0C6236CC"/>
    <w:rsid w:val="0C70010D"/>
    <w:rsid w:val="0C7B4F16"/>
    <w:rsid w:val="0CB169C3"/>
    <w:rsid w:val="0D38267F"/>
    <w:rsid w:val="0D5364A5"/>
    <w:rsid w:val="0D892EDB"/>
    <w:rsid w:val="0DAA4E50"/>
    <w:rsid w:val="0DAA5A2B"/>
    <w:rsid w:val="0DAB19A6"/>
    <w:rsid w:val="0DAD4881"/>
    <w:rsid w:val="0DC932D7"/>
    <w:rsid w:val="0DD03D90"/>
    <w:rsid w:val="0DE620DB"/>
    <w:rsid w:val="0DEC0073"/>
    <w:rsid w:val="0E1C3D4F"/>
    <w:rsid w:val="0E1D4B66"/>
    <w:rsid w:val="0E5434E9"/>
    <w:rsid w:val="0E9D4A1E"/>
    <w:rsid w:val="0EA904C1"/>
    <w:rsid w:val="0F001570"/>
    <w:rsid w:val="0F81030D"/>
    <w:rsid w:val="0F934D7E"/>
    <w:rsid w:val="0F956847"/>
    <w:rsid w:val="0F980C7B"/>
    <w:rsid w:val="0F9A07CB"/>
    <w:rsid w:val="0FEB145D"/>
    <w:rsid w:val="10991687"/>
    <w:rsid w:val="10B86030"/>
    <w:rsid w:val="10E356F7"/>
    <w:rsid w:val="111B02EE"/>
    <w:rsid w:val="113E3FDC"/>
    <w:rsid w:val="11557AE1"/>
    <w:rsid w:val="115F625F"/>
    <w:rsid w:val="11695CA6"/>
    <w:rsid w:val="119B6361"/>
    <w:rsid w:val="11D24C0A"/>
    <w:rsid w:val="12160F3D"/>
    <w:rsid w:val="121A2F8C"/>
    <w:rsid w:val="12294108"/>
    <w:rsid w:val="12296A3A"/>
    <w:rsid w:val="12383670"/>
    <w:rsid w:val="126E269F"/>
    <w:rsid w:val="127C16A5"/>
    <w:rsid w:val="129E10BB"/>
    <w:rsid w:val="12AC765E"/>
    <w:rsid w:val="12C614D5"/>
    <w:rsid w:val="12CD3CFD"/>
    <w:rsid w:val="12E54A8E"/>
    <w:rsid w:val="12F232D0"/>
    <w:rsid w:val="13023513"/>
    <w:rsid w:val="13113756"/>
    <w:rsid w:val="132E255A"/>
    <w:rsid w:val="1354736C"/>
    <w:rsid w:val="137361BF"/>
    <w:rsid w:val="13A929FF"/>
    <w:rsid w:val="13C24A51"/>
    <w:rsid w:val="13CC4D06"/>
    <w:rsid w:val="13DA623E"/>
    <w:rsid w:val="142A0116"/>
    <w:rsid w:val="143119FB"/>
    <w:rsid w:val="144A20C6"/>
    <w:rsid w:val="14D964F6"/>
    <w:rsid w:val="152A4FA3"/>
    <w:rsid w:val="152F6116"/>
    <w:rsid w:val="15633BC1"/>
    <w:rsid w:val="15A715FE"/>
    <w:rsid w:val="15B17473"/>
    <w:rsid w:val="15D867AD"/>
    <w:rsid w:val="15E45152"/>
    <w:rsid w:val="16323177"/>
    <w:rsid w:val="163A7468"/>
    <w:rsid w:val="1658748E"/>
    <w:rsid w:val="16873D30"/>
    <w:rsid w:val="16D3646B"/>
    <w:rsid w:val="16DA0303"/>
    <w:rsid w:val="17230BEA"/>
    <w:rsid w:val="17707953"/>
    <w:rsid w:val="17822E75"/>
    <w:rsid w:val="178B36A1"/>
    <w:rsid w:val="17976192"/>
    <w:rsid w:val="17981FF4"/>
    <w:rsid w:val="17D905BB"/>
    <w:rsid w:val="17DC4231"/>
    <w:rsid w:val="183A374F"/>
    <w:rsid w:val="183C74C7"/>
    <w:rsid w:val="187A4DB9"/>
    <w:rsid w:val="18A5319B"/>
    <w:rsid w:val="18A93FD3"/>
    <w:rsid w:val="18B52B28"/>
    <w:rsid w:val="18BF1EA7"/>
    <w:rsid w:val="18C15C1F"/>
    <w:rsid w:val="18C75DFD"/>
    <w:rsid w:val="19145D4E"/>
    <w:rsid w:val="19151A93"/>
    <w:rsid w:val="1917583F"/>
    <w:rsid w:val="19315E61"/>
    <w:rsid w:val="193E101D"/>
    <w:rsid w:val="19455B15"/>
    <w:rsid w:val="19540841"/>
    <w:rsid w:val="19A30E80"/>
    <w:rsid w:val="19D075C2"/>
    <w:rsid w:val="19F44FB8"/>
    <w:rsid w:val="1A153D9C"/>
    <w:rsid w:val="1A155C41"/>
    <w:rsid w:val="1A1E2B3C"/>
    <w:rsid w:val="1A4B40F2"/>
    <w:rsid w:val="1A4E19E1"/>
    <w:rsid w:val="1A6E7911"/>
    <w:rsid w:val="1A8A3DEE"/>
    <w:rsid w:val="1A9829AF"/>
    <w:rsid w:val="1ABE574D"/>
    <w:rsid w:val="1AD11AC9"/>
    <w:rsid w:val="1ADF3326"/>
    <w:rsid w:val="1B045BC5"/>
    <w:rsid w:val="1B2B3D6C"/>
    <w:rsid w:val="1B5643D9"/>
    <w:rsid w:val="1B57738F"/>
    <w:rsid w:val="1B6028EE"/>
    <w:rsid w:val="1B61418F"/>
    <w:rsid w:val="1B6D2FAC"/>
    <w:rsid w:val="1B7D578C"/>
    <w:rsid w:val="1B884268"/>
    <w:rsid w:val="1B947CCE"/>
    <w:rsid w:val="1BAF7FB0"/>
    <w:rsid w:val="1BEC2FB3"/>
    <w:rsid w:val="1BFB39E5"/>
    <w:rsid w:val="1BFC2ACA"/>
    <w:rsid w:val="1C0C02EF"/>
    <w:rsid w:val="1C1237ED"/>
    <w:rsid w:val="1C124DF9"/>
    <w:rsid w:val="1C1517A1"/>
    <w:rsid w:val="1C3A12E6"/>
    <w:rsid w:val="1C676ADD"/>
    <w:rsid w:val="1C817B9F"/>
    <w:rsid w:val="1C8D3242"/>
    <w:rsid w:val="1C8F7D5E"/>
    <w:rsid w:val="1CA4388D"/>
    <w:rsid w:val="1CB533A4"/>
    <w:rsid w:val="1CC53F56"/>
    <w:rsid w:val="1CFD009B"/>
    <w:rsid w:val="1D0467DB"/>
    <w:rsid w:val="1D16018A"/>
    <w:rsid w:val="1D9E208B"/>
    <w:rsid w:val="1DBC14DB"/>
    <w:rsid w:val="1DF24184"/>
    <w:rsid w:val="1DFA3861"/>
    <w:rsid w:val="1E04274B"/>
    <w:rsid w:val="1E0E2DA5"/>
    <w:rsid w:val="1E2C3B3A"/>
    <w:rsid w:val="1E6A2FD8"/>
    <w:rsid w:val="1E764DB5"/>
    <w:rsid w:val="1E8079E2"/>
    <w:rsid w:val="1EAD7657"/>
    <w:rsid w:val="1ECC0E79"/>
    <w:rsid w:val="1ED8487F"/>
    <w:rsid w:val="1ED949A9"/>
    <w:rsid w:val="1EDC75E7"/>
    <w:rsid w:val="1EFB52BB"/>
    <w:rsid w:val="1F1926EB"/>
    <w:rsid w:val="1F1C0096"/>
    <w:rsid w:val="1F473FF8"/>
    <w:rsid w:val="1F721A21"/>
    <w:rsid w:val="1F775289"/>
    <w:rsid w:val="1F8A4FBC"/>
    <w:rsid w:val="1F917602"/>
    <w:rsid w:val="1F974FE3"/>
    <w:rsid w:val="1FA83694"/>
    <w:rsid w:val="1FCA4FB8"/>
    <w:rsid w:val="2006356E"/>
    <w:rsid w:val="20282F0E"/>
    <w:rsid w:val="20576F39"/>
    <w:rsid w:val="206770AC"/>
    <w:rsid w:val="20713A86"/>
    <w:rsid w:val="209D487B"/>
    <w:rsid w:val="20A953AC"/>
    <w:rsid w:val="20C52024"/>
    <w:rsid w:val="20E00C0C"/>
    <w:rsid w:val="20F75181"/>
    <w:rsid w:val="20F9407B"/>
    <w:rsid w:val="20FF1092"/>
    <w:rsid w:val="21196B08"/>
    <w:rsid w:val="214918B6"/>
    <w:rsid w:val="214F03B6"/>
    <w:rsid w:val="215B0293"/>
    <w:rsid w:val="219537A4"/>
    <w:rsid w:val="21C015A7"/>
    <w:rsid w:val="21C8715A"/>
    <w:rsid w:val="2208666C"/>
    <w:rsid w:val="22105521"/>
    <w:rsid w:val="22254E0E"/>
    <w:rsid w:val="226A4C31"/>
    <w:rsid w:val="22835CF3"/>
    <w:rsid w:val="22B67E76"/>
    <w:rsid w:val="22D4654E"/>
    <w:rsid w:val="22EF1233"/>
    <w:rsid w:val="23111B23"/>
    <w:rsid w:val="23132B8B"/>
    <w:rsid w:val="23190E75"/>
    <w:rsid w:val="23403BE4"/>
    <w:rsid w:val="23C30A9D"/>
    <w:rsid w:val="23D9206E"/>
    <w:rsid w:val="23E4737F"/>
    <w:rsid w:val="24113F6E"/>
    <w:rsid w:val="24764DC1"/>
    <w:rsid w:val="248D262D"/>
    <w:rsid w:val="24D10F97"/>
    <w:rsid w:val="253B0B07"/>
    <w:rsid w:val="256E2D8B"/>
    <w:rsid w:val="25777813"/>
    <w:rsid w:val="2581355B"/>
    <w:rsid w:val="25AA584B"/>
    <w:rsid w:val="25D446E3"/>
    <w:rsid w:val="25D52D09"/>
    <w:rsid w:val="26117431"/>
    <w:rsid w:val="261B33F3"/>
    <w:rsid w:val="262827A7"/>
    <w:rsid w:val="26390EBE"/>
    <w:rsid w:val="26710DE8"/>
    <w:rsid w:val="268325A1"/>
    <w:rsid w:val="268A3AF4"/>
    <w:rsid w:val="26A85D28"/>
    <w:rsid w:val="26B41E2F"/>
    <w:rsid w:val="26B50445"/>
    <w:rsid w:val="26C71ADC"/>
    <w:rsid w:val="26EC45CA"/>
    <w:rsid w:val="26EC4E82"/>
    <w:rsid w:val="270F2017"/>
    <w:rsid w:val="27413455"/>
    <w:rsid w:val="274E23DE"/>
    <w:rsid w:val="2751016E"/>
    <w:rsid w:val="275D6B12"/>
    <w:rsid w:val="278D175D"/>
    <w:rsid w:val="27986411"/>
    <w:rsid w:val="27B452E0"/>
    <w:rsid w:val="27B506FD"/>
    <w:rsid w:val="27D843EB"/>
    <w:rsid w:val="27DF6728"/>
    <w:rsid w:val="281D1A18"/>
    <w:rsid w:val="28537F15"/>
    <w:rsid w:val="285F1E1A"/>
    <w:rsid w:val="287F06EA"/>
    <w:rsid w:val="28C57E02"/>
    <w:rsid w:val="28CD2F54"/>
    <w:rsid w:val="28E54ED2"/>
    <w:rsid w:val="28FB4835"/>
    <w:rsid w:val="28FD67FF"/>
    <w:rsid w:val="2916166F"/>
    <w:rsid w:val="294B7E09"/>
    <w:rsid w:val="29650277"/>
    <w:rsid w:val="297939AC"/>
    <w:rsid w:val="297D4984"/>
    <w:rsid w:val="29A62492"/>
    <w:rsid w:val="29D11A3A"/>
    <w:rsid w:val="29D15596"/>
    <w:rsid w:val="2A2B2EF8"/>
    <w:rsid w:val="2A4370E4"/>
    <w:rsid w:val="2A4B3E74"/>
    <w:rsid w:val="2A6C6D93"/>
    <w:rsid w:val="2A6D6BF8"/>
    <w:rsid w:val="2A831341"/>
    <w:rsid w:val="2ACF254B"/>
    <w:rsid w:val="2AD52EFE"/>
    <w:rsid w:val="2B0100FD"/>
    <w:rsid w:val="2B011EAB"/>
    <w:rsid w:val="2B110340"/>
    <w:rsid w:val="2B2426AA"/>
    <w:rsid w:val="2B2C517A"/>
    <w:rsid w:val="2B4C3B06"/>
    <w:rsid w:val="2B7B1CD4"/>
    <w:rsid w:val="2B9D1BD3"/>
    <w:rsid w:val="2BD33847"/>
    <w:rsid w:val="2BD75CEC"/>
    <w:rsid w:val="2C1106C8"/>
    <w:rsid w:val="2C2C4111"/>
    <w:rsid w:val="2C407BBE"/>
    <w:rsid w:val="2C475FE3"/>
    <w:rsid w:val="2C531232"/>
    <w:rsid w:val="2C8935BA"/>
    <w:rsid w:val="2CA00D0A"/>
    <w:rsid w:val="2CAD46B5"/>
    <w:rsid w:val="2CD258AD"/>
    <w:rsid w:val="2CFE48F4"/>
    <w:rsid w:val="2D2307FE"/>
    <w:rsid w:val="2D3630AA"/>
    <w:rsid w:val="2D4C74A5"/>
    <w:rsid w:val="2D55028C"/>
    <w:rsid w:val="2D8E0D27"/>
    <w:rsid w:val="2DB63420"/>
    <w:rsid w:val="2E2D5B6D"/>
    <w:rsid w:val="2E7F1A64"/>
    <w:rsid w:val="2EDA6C9B"/>
    <w:rsid w:val="2EDE49DD"/>
    <w:rsid w:val="2EF24CD6"/>
    <w:rsid w:val="2F0D2540"/>
    <w:rsid w:val="2F5A693F"/>
    <w:rsid w:val="2F624903"/>
    <w:rsid w:val="2F656EAC"/>
    <w:rsid w:val="2F6C1017"/>
    <w:rsid w:val="2F851C2B"/>
    <w:rsid w:val="2F8B5E11"/>
    <w:rsid w:val="2F953F5B"/>
    <w:rsid w:val="2F9B6BBA"/>
    <w:rsid w:val="2FA675E1"/>
    <w:rsid w:val="301A3026"/>
    <w:rsid w:val="301D08F8"/>
    <w:rsid w:val="3048309B"/>
    <w:rsid w:val="30F74B66"/>
    <w:rsid w:val="30F96E53"/>
    <w:rsid w:val="310271F1"/>
    <w:rsid w:val="3104458E"/>
    <w:rsid w:val="310D71B6"/>
    <w:rsid w:val="313305B8"/>
    <w:rsid w:val="313708CB"/>
    <w:rsid w:val="313C35D6"/>
    <w:rsid w:val="31666F0B"/>
    <w:rsid w:val="31741628"/>
    <w:rsid w:val="31B25359"/>
    <w:rsid w:val="31D644A3"/>
    <w:rsid w:val="31EF5153"/>
    <w:rsid w:val="322E2CC1"/>
    <w:rsid w:val="32566F80"/>
    <w:rsid w:val="32744B8F"/>
    <w:rsid w:val="329C77E0"/>
    <w:rsid w:val="33093FF2"/>
    <w:rsid w:val="330D3AE3"/>
    <w:rsid w:val="33601ACE"/>
    <w:rsid w:val="33813B89"/>
    <w:rsid w:val="33821C32"/>
    <w:rsid w:val="33AC27B5"/>
    <w:rsid w:val="33FC5905"/>
    <w:rsid w:val="3424001A"/>
    <w:rsid w:val="34587BAC"/>
    <w:rsid w:val="3459046D"/>
    <w:rsid w:val="345A5CDB"/>
    <w:rsid w:val="345C54F6"/>
    <w:rsid w:val="348304E7"/>
    <w:rsid w:val="34DC1F18"/>
    <w:rsid w:val="35131158"/>
    <w:rsid w:val="353E374D"/>
    <w:rsid w:val="356928AF"/>
    <w:rsid w:val="359E15E2"/>
    <w:rsid w:val="35CA3E1A"/>
    <w:rsid w:val="35D46B3A"/>
    <w:rsid w:val="35FC2E1B"/>
    <w:rsid w:val="360F1920"/>
    <w:rsid w:val="36215AC7"/>
    <w:rsid w:val="3632365F"/>
    <w:rsid w:val="363C351B"/>
    <w:rsid w:val="36A01C7A"/>
    <w:rsid w:val="36BC7573"/>
    <w:rsid w:val="36CA3A99"/>
    <w:rsid w:val="36D86C0D"/>
    <w:rsid w:val="36FB77C2"/>
    <w:rsid w:val="3715740A"/>
    <w:rsid w:val="37386C54"/>
    <w:rsid w:val="373A1EFF"/>
    <w:rsid w:val="37514E7C"/>
    <w:rsid w:val="37C318AF"/>
    <w:rsid w:val="37CB0907"/>
    <w:rsid w:val="37F4701F"/>
    <w:rsid w:val="37F76B0F"/>
    <w:rsid w:val="39017524"/>
    <w:rsid w:val="39255B4E"/>
    <w:rsid w:val="3958538C"/>
    <w:rsid w:val="39820717"/>
    <w:rsid w:val="39A570A9"/>
    <w:rsid w:val="3A013C75"/>
    <w:rsid w:val="3A1F40FB"/>
    <w:rsid w:val="3A353BF0"/>
    <w:rsid w:val="3A6366DE"/>
    <w:rsid w:val="3A8D7824"/>
    <w:rsid w:val="3AD331DF"/>
    <w:rsid w:val="3B263C85"/>
    <w:rsid w:val="3B3B31B7"/>
    <w:rsid w:val="3B7444A1"/>
    <w:rsid w:val="3B7F12F6"/>
    <w:rsid w:val="3B847FBD"/>
    <w:rsid w:val="3B973B49"/>
    <w:rsid w:val="3BFD4FB1"/>
    <w:rsid w:val="3C161445"/>
    <w:rsid w:val="3C17152E"/>
    <w:rsid w:val="3C4B267E"/>
    <w:rsid w:val="3C6601EC"/>
    <w:rsid w:val="3C6E4D25"/>
    <w:rsid w:val="3C7523AB"/>
    <w:rsid w:val="3C7C081B"/>
    <w:rsid w:val="3C7C2505"/>
    <w:rsid w:val="3CB7061B"/>
    <w:rsid w:val="3CEF24AB"/>
    <w:rsid w:val="3D540560"/>
    <w:rsid w:val="3D5630FB"/>
    <w:rsid w:val="3D6407A3"/>
    <w:rsid w:val="3D962926"/>
    <w:rsid w:val="3DA46DF1"/>
    <w:rsid w:val="3DD44DB4"/>
    <w:rsid w:val="3DE713D4"/>
    <w:rsid w:val="3DF04170"/>
    <w:rsid w:val="3E2972F7"/>
    <w:rsid w:val="3E381EFD"/>
    <w:rsid w:val="3E4D56DB"/>
    <w:rsid w:val="3E7C1B1C"/>
    <w:rsid w:val="3E8804C1"/>
    <w:rsid w:val="3E97296B"/>
    <w:rsid w:val="3EA846BF"/>
    <w:rsid w:val="3ED967CE"/>
    <w:rsid w:val="3F1D08EF"/>
    <w:rsid w:val="3FB407E8"/>
    <w:rsid w:val="3FED2FEE"/>
    <w:rsid w:val="3FF0411E"/>
    <w:rsid w:val="3FF64C40"/>
    <w:rsid w:val="400B13AA"/>
    <w:rsid w:val="404B79F8"/>
    <w:rsid w:val="404E74E8"/>
    <w:rsid w:val="405368AD"/>
    <w:rsid w:val="4073437D"/>
    <w:rsid w:val="40784565"/>
    <w:rsid w:val="40A6112C"/>
    <w:rsid w:val="40D01062"/>
    <w:rsid w:val="40E75A55"/>
    <w:rsid w:val="4125649B"/>
    <w:rsid w:val="41592C89"/>
    <w:rsid w:val="416D1BF0"/>
    <w:rsid w:val="41924A76"/>
    <w:rsid w:val="419B135E"/>
    <w:rsid w:val="41A736CF"/>
    <w:rsid w:val="41D37CA5"/>
    <w:rsid w:val="41F52311"/>
    <w:rsid w:val="422A188F"/>
    <w:rsid w:val="42301A8E"/>
    <w:rsid w:val="42385911"/>
    <w:rsid w:val="423B4701"/>
    <w:rsid w:val="42426BD9"/>
    <w:rsid w:val="425B44EE"/>
    <w:rsid w:val="427F607F"/>
    <w:rsid w:val="42AD609A"/>
    <w:rsid w:val="42B97A25"/>
    <w:rsid w:val="42BC2E2F"/>
    <w:rsid w:val="42ED3E60"/>
    <w:rsid w:val="430622FC"/>
    <w:rsid w:val="434A2693"/>
    <w:rsid w:val="436F39FE"/>
    <w:rsid w:val="4392593E"/>
    <w:rsid w:val="439873F8"/>
    <w:rsid w:val="4399767D"/>
    <w:rsid w:val="43B35FE0"/>
    <w:rsid w:val="43D441A9"/>
    <w:rsid w:val="43F56AA3"/>
    <w:rsid w:val="43F839F3"/>
    <w:rsid w:val="44290050"/>
    <w:rsid w:val="443342FC"/>
    <w:rsid w:val="445F4788"/>
    <w:rsid w:val="446E1F07"/>
    <w:rsid w:val="44A15C7B"/>
    <w:rsid w:val="44A9589D"/>
    <w:rsid w:val="44E87B8C"/>
    <w:rsid w:val="44EE3FA4"/>
    <w:rsid w:val="451B3DA8"/>
    <w:rsid w:val="45365B70"/>
    <w:rsid w:val="4537679D"/>
    <w:rsid w:val="45444DCB"/>
    <w:rsid w:val="454F1D39"/>
    <w:rsid w:val="459F5A93"/>
    <w:rsid w:val="45CA7A30"/>
    <w:rsid w:val="45CE1EE4"/>
    <w:rsid w:val="45F37724"/>
    <w:rsid w:val="45F621B4"/>
    <w:rsid w:val="45FB06B0"/>
    <w:rsid w:val="45FC0CDF"/>
    <w:rsid w:val="4673578D"/>
    <w:rsid w:val="46767799"/>
    <w:rsid w:val="467D28D5"/>
    <w:rsid w:val="46854808"/>
    <w:rsid w:val="468A243D"/>
    <w:rsid w:val="46A47E62"/>
    <w:rsid w:val="46B856BC"/>
    <w:rsid w:val="46BA50B0"/>
    <w:rsid w:val="46CD5CDF"/>
    <w:rsid w:val="46F012F9"/>
    <w:rsid w:val="47197576"/>
    <w:rsid w:val="471A2341"/>
    <w:rsid w:val="47507FEA"/>
    <w:rsid w:val="476D294A"/>
    <w:rsid w:val="47AA7A75"/>
    <w:rsid w:val="47D209FF"/>
    <w:rsid w:val="47D534BB"/>
    <w:rsid w:val="47DD2C1E"/>
    <w:rsid w:val="47F866B8"/>
    <w:rsid w:val="480E7A78"/>
    <w:rsid w:val="48194880"/>
    <w:rsid w:val="481B4154"/>
    <w:rsid w:val="482E032B"/>
    <w:rsid w:val="4840038A"/>
    <w:rsid w:val="485A0F31"/>
    <w:rsid w:val="48616187"/>
    <w:rsid w:val="48DF33D4"/>
    <w:rsid w:val="48E25830"/>
    <w:rsid w:val="48ED301E"/>
    <w:rsid w:val="48F03833"/>
    <w:rsid w:val="493019DF"/>
    <w:rsid w:val="49942410"/>
    <w:rsid w:val="49A3785C"/>
    <w:rsid w:val="49D071C0"/>
    <w:rsid w:val="49D825AA"/>
    <w:rsid w:val="49E05655"/>
    <w:rsid w:val="4A0330F2"/>
    <w:rsid w:val="4A062BE2"/>
    <w:rsid w:val="4A34774F"/>
    <w:rsid w:val="4A404346"/>
    <w:rsid w:val="4A781081"/>
    <w:rsid w:val="4A9D3546"/>
    <w:rsid w:val="4ADF76BB"/>
    <w:rsid w:val="4AEC002A"/>
    <w:rsid w:val="4B4B5BA4"/>
    <w:rsid w:val="4B540C01"/>
    <w:rsid w:val="4B95421D"/>
    <w:rsid w:val="4BA21651"/>
    <w:rsid w:val="4BB51A61"/>
    <w:rsid w:val="4C0373D9"/>
    <w:rsid w:val="4C2C4B82"/>
    <w:rsid w:val="4C2C7C0F"/>
    <w:rsid w:val="4C4C2747"/>
    <w:rsid w:val="4C823226"/>
    <w:rsid w:val="4C87625C"/>
    <w:rsid w:val="4CC354DE"/>
    <w:rsid w:val="4D222F58"/>
    <w:rsid w:val="4D7762D0"/>
    <w:rsid w:val="4D8E5C93"/>
    <w:rsid w:val="4D903B74"/>
    <w:rsid w:val="4DFA0CB0"/>
    <w:rsid w:val="4E4D5283"/>
    <w:rsid w:val="4E606D65"/>
    <w:rsid w:val="4E6B160F"/>
    <w:rsid w:val="4E760336"/>
    <w:rsid w:val="4E7A0A5F"/>
    <w:rsid w:val="4EBC01AF"/>
    <w:rsid w:val="4EDD0DB8"/>
    <w:rsid w:val="4EF27870"/>
    <w:rsid w:val="4F35438F"/>
    <w:rsid w:val="4F363F69"/>
    <w:rsid w:val="4F45079D"/>
    <w:rsid w:val="4F810D59"/>
    <w:rsid w:val="4F910980"/>
    <w:rsid w:val="4FFC114C"/>
    <w:rsid w:val="500E27F0"/>
    <w:rsid w:val="508555EC"/>
    <w:rsid w:val="50B213CE"/>
    <w:rsid w:val="50C87602"/>
    <w:rsid w:val="50FA103B"/>
    <w:rsid w:val="51071719"/>
    <w:rsid w:val="510734C7"/>
    <w:rsid w:val="511703CE"/>
    <w:rsid w:val="51522E9B"/>
    <w:rsid w:val="5160182B"/>
    <w:rsid w:val="517D392F"/>
    <w:rsid w:val="519122F3"/>
    <w:rsid w:val="51A20A8F"/>
    <w:rsid w:val="51CB045D"/>
    <w:rsid w:val="51F07A9F"/>
    <w:rsid w:val="52320466"/>
    <w:rsid w:val="524A77D1"/>
    <w:rsid w:val="524C01BF"/>
    <w:rsid w:val="524E3378"/>
    <w:rsid w:val="525F5585"/>
    <w:rsid w:val="52715451"/>
    <w:rsid w:val="52CD24EF"/>
    <w:rsid w:val="530154A1"/>
    <w:rsid w:val="536E11E4"/>
    <w:rsid w:val="53725DB9"/>
    <w:rsid w:val="539E1218"/>
    <w:rsid w:val="53A21BCD"/>
    <w:rsid w:val="53CD0215"/>
    <w:rsid w:val="53F964C6"/>
    <w:rsid w:val="540208BE"/>
    <w:rsid w:val="54224844"/>
    <w:rsid w:val="54534179"/>
    <w:rsid w:val="54626AC8"/>
    <w:rsid w:val="54632C3F"/>
    <w:rsid w:val="547277F2"/>
    <w:rsid w:val="54AF6350"/>
    <w:rsid w:val="54DE4E87"/>
    <w:rsid w:val="55AB5DB5"/>
    <w:rsid w:val="55B41744"/>
    <w:rsid w:val="55D818D6"/>
    <w:rsid w:val="55F83D27"/>
    <w:rsid w:val="5604752C"/>
    <w:rsid w:val="560721BC"/>
    <w:rsid w:val="56193EF6"/>
    <w:rsid w:val="56263D1A"/>
    <w:rsid w:val="563B701E"/>
    <w:rsid w:val="56D7432E"/>
    <w:rsid w:val="571E156B"/>
    <w:rsid w:val="57303F7D"/>
    <w:rsid w:val="573A3649"/>
    <w:rsid w:val="57580F21"/>
    <w:rsid w:val="5763497E"/>
    <w:rsid w:val="57792DAF"/>
    <w:rsid w:val="579251E4"/>
    <w:rsid w:val="57A53A3A"/>
    <w:rsid w:val="584D1551"/>
    <w:rsid w:val="587C13DB"/>
    <w:rsid w:val="58BE3005"/>
    <w:rsid w:val="58DD4440"/>
    <w:rsid w:val="58EC42C6"/>
    <w:rsid w:val="59086494"/>
    <w:rsid w:val="592947BA"/>
    <w:rsid w:val="5939034E"/>
    <w:rsid w:val="594352B9"/>
    <w:rsid w:val="596F60AE"/>
    <w:rsid w:val="59710078"/>
    <w:rsid w:val="59CE4445"/>
    <w:rsid w:val="5A0E4094"/>
    <w:rsid w:val="5A1E20C2"/>
    <w:rsid w:val="5A24333C"/>
    <w:rsid w:val="5A357CBF"/>
    <w:rsid w:val="5A3B7A47"/>
    <w:rsid w:val="5A4532B2"/>
    <w:rsid w:val="5A9056E2"/>
    <w:rsid w:val="5ABE2890"/>
    <w:rsid w:val="5ACD39D4"/>
    <w:rsid w:val="5B0B723D"/>
    <w:rsid w:val="5B1618E7"/>
    <w:rsid w:val="5B37709F"/>
    <w:rsid w:val="5BA10461"/>
    <w:rsid w:val="5BCB77E7"/>
    <w:rsid w:val="5BEA3E40"/>
    <w:rsid w:val="5C081B46"/>
    <w:rsid w:val="5C0F3E28"/>
    <w:rsid w:val="5C3433E4"/>
    <w:rsid w:val="5C5B6DBD"/>
    <w:rsid w:val="5C60789B"/>
    <w:rsid w:val="5C7D4F86"/>
    <w:rsid w:val="5CA45C48"/>
    <w:rsid w:val="5CF40B40"/>
    <w:rsid w:val="5D1A4582"/>
    <w:rsid w:val="5D1E5CA6"/>
    <w:rsid w:val="5D301FF8"/>
    <w:rsid w:val="5D3A4C25"/>
    <w:rsid w:val="5D481F40"/>
    <w:rsid w:val="5D4B3FA0"/>
    <w:rsid w:val="5D7E0FB5"/>
    <w:rsid w:val="5DB55BCD"/>
    <w:rsid w:val="5DDC5CDC"/>
    <w:rsid w:val="5DE8500B"/>
    <w:rsid w:val="5DFC012C"/>
    <w:rsid w:val="5E2B11CC"/>
    <w:rsid w:val="5E6560D6"/>
    <w:rsid w:val="5EB34C8F"/>
    <w:rsid w:val="5EBF1885"/>
    <w:rsid w:val="5ED74E21"/>
    <w:rsid w:val="5F337B7D"/>
    <w:rsid w:val="5F3C4C84"/>
    <w:rsid w:val="5F701483"/>
    <w:rsid w:val="5FC324AB"/>
    <w:rsid w:val="5FCD7FD2"/>
    <w:rsid w:val="5FD82410"/>
    <w:rsid w:val="5FF067F2"/>
    <w:rsid w:val="5FFC08B7"/>
    <w:rsid w:val="5FFE2E5B"/>
    <w:rsid w:val="602A2D2E"/>
    <w:rsid w:val="602D0A71"/>
    <w:rsid w:val="603A61AE"/>
    <w:rsid w:val="6051475F"/>
    <w:rsid w:val="609C1EB0"/>
    <w:rsid w:val="60C3607A"/>
    <w:rsid w:val="60FE69AF"/>
    <w:rsid w:val="61066D33"/>
    <w:rsid w:val="61273712"/>
    <w:rsid w:val="613025C6"/>
    <w:rsid w:val="613E2DF6"/>
    <w:rsid w:val="613F280A"/>
    <w:rsid w:val="615C33BC"/>
    <w:rsid w:val="61671D60"/>
    <w:rsid w:val="61AF3E33"/>
    <w:rsid w:val="61C55405"/>
    <w:rsid w:val="61D25D9B"/>
    <w:rsid w:val="61F41846"/>
    <w:rsid w:val="61FE0917"/>
    <w:rsid w:val="620A12CA"/>
    <w:rsid w:val="62165216"/>
    <w:rsid w:val="62C05BCC"/>
    <w:rsid w:val="62F47749"/>
    <w:rsid w:val="635D166D"/>
    <w:rsid w:val="64406FC4"/>
    <w:rsid w:val="646B1B68"/>
    <w:rsid w:val="648A0240"/>
    <w:rsid w:val="64966BE4"/>
    <w:rsid w:val="64C74A0D"/>
    <w:rsid w:val="64FD41BE"/>
    <w:rsid w:val="65063A90"/>
    <w:rsid w:val="65175B08"/>
    <w:rsid w:val="651B533C"/>
    <w:rsid w:val="652A6C34"/>
    <w:rsid w:val="654E0AAD"/>
    <w:rsid w:val="65DE4CE7"/>
    <w:rsid w:val="66071BDE"/>
    <w:rsid w:val="66352A82"/>
    <w:rsid w:val="664034E9"/>
    <w:rsid w:val="66A001EE"/>
    <w:rsid w:val="66B23A7E"/>
    <w:rsid w:val="66B82FCF"/>
    <w:rsid w:val="66C043ED"/>
    <w:rsid w:val="66C7577B"/>
    <w:rsid w:val="66E300DB"/>
    <w:rsid w:val="670C7632"/>
    <w:rsid w:val="671309C0"/>
    <w:rsid w:val="679A4C3E"/>
    <w:rsid w:val="68065131"/>
    <w:rsid w:val="681B6E66"/>
    <w:rsid w:val="68441D23"/>
    <w:rsid w:val="68502D3B"/>
    <w:rsid w:val="689773CF"/>
    <w:rsid w:val="68CF0917"/>
    <w:rsid w:val="69085BD7"/>
    <w:rsid w:val="691150BC"/>
    <w:rsid w:val="69132EFA"/>
    <w:rsid w:val="69360585"/>
    <w:rsid w:val="693764BC"/>
    <w:rsid w:val="69382A2C"/>
    <w:rsid w:val="69434640"/>
    <w:rsid w:val="69565192"/>
    <w:rsid w:val="69594684"/>
    <w:rsid w:val="695F0D98"/>
    <w:rsid w:val="69DB5D7C"/>
    <w:rsid w:val="69F544C0"/>
    <w:rsid w:val="6A016E46"/>
    <w:rsid w:val="6A1862EE"/>
    <w:rsid w:val="6A4D41E9"/>
    <w:rsid w:val="6A505A87"/>
    <w:rsid w:val="6A5135AE"/>
    <w:rsid w:val="6A9C0CCD"/>
    <w:rsid w:val="6AB20692"/>
    <w:rsid w:val="6ABC3366"/>
    <w:rsid w:val="6AC25E12"/>
    <w:rsid w:val="6AE34B4E"/>
    <w:rsid w:val="6AFB6F7F"/>
    <w:rsid w:val="6B166CD1"/>
    <w:rsid w:val="6B277D58"/>
    <w:rsid w:val="6B2D6E6C"/>
    <w:rsid w:val="6B385C49"/>
    <w:rsid w:val="6B7A2BC8"/>
    <w:rsid w:val="6B7F6C44"/>
    <w:rsid w:val="6B8A22C6"/>
    <w:rsid w:val="6BDC2773"/>
    <w:rsid w:val="6C545122"/>
    <w:rsid w:val="6C6C00BA"/>
    <w:rsid w:val="6C920B69"/>
    <w:rsid w:val="6C9446F5"/>
    <w:rsid w:val="6CB3536E"/>
    <w:rsid w:val="6CC4639B"/>
    <w:rsid w:val="6CD3133C"/>
    <w:rsid w:val="6D1D63C6"/>
    <w:rsid w:val="6D3B47CD"/>
    <w:rsid w:val="6D506283"/>
    <w:rsid w:val="6D626411"/>
    <w:rsid w:val="6DAC11D0"/>
    <w:rsid w:val="6DEF7AF4"/>
    <w:rsid w:val="6DF87AF7"/>
    <w:rsid w:val="6E027099"/>
    <w:rsid w:val="6E1119D2"/>
    <w:rsid w:val="6EB3379C"/>
    <w:rsid w:val="6F1359BD"/>
    <w:rsid w:val="6F16439A"/>
    <w:rsid w:val="6F441A17"/>
    <w:rsid w:val="6F712728"/>
    <w:rsid w:val="6F891280"/>
    <w:rsid w:val="6F8B2143"/>
    <w:rsid w:val="6F906926"/>
    <w:rsid w:val="6FD11118"/>
    <w:rsid w:val="6FD360C5"/>
    <w:rsid w:val="6FE1733C"/>
    <w:rsid w:val="701A2DBF"/>
    <w:rsid w:val="70294DB1"/>
    <w:rsid w:val="70CD2A9F"/>
    <w:rsid w:val="70D903E3"/>
    <w:rsid w:val="70E70B82"/>
    <w:rsid w:val="710E63FD"/>
    <w:rsid w:val="715E6A26"/>
    <w:rsid w:val="717A5259"/>
    <w:rsid w:val="71A60683"/>
    <w:rsid w:val="71B44B4E"/>
    <w:rsid w:val="71E748C2"/>
    <w:rsid w:val="72200435"/>
    <w:rsid w:val="725F4BB0"/>
    <w:rsid w:val="728704B4"/>
    <w:rsid w:val="72927005"/>
    <w:rsid w:val="72A77E7B"/>
    <w:rsid w:val="72AC6C58"/>
    <w:rsid w:val="72E53669"/>
    <w:rsid w:val="72EB6979"/>
    <w:rsid w:val="730F1B13"/>
    <w:rsid w:val="73505BF0"/>
    <w:rsid w:val="7352461E"/>
    <w:rsid w:val="73F531FC"/>
    <w:rsid w:val="74312486"/>
    <w:rsid w:val="743261FE"/>
    <w:rsid w:val="748372AA"/>
    <w:rsid w:val="748A7DE8"/>
    <w:rsid w:val="74962C31"/>
    <w:rsid w:val="74BE7A92"/>
    <w:rsid w:val="74EA4FDD"/>
    <w:rsid w:val="75061B64"/>
    <w:rsid w:val="752C0E9F"/>
    <w:rsid w:val="75427DFE"/>
    <w:rsid w:val="756248C1"/>
    <w:rsid w:val="756E3266"/>
    <w:rsid w:val="759A22AD"/>
    <w:rsid w:val="75B80031"/>
    <w:rsid w:val="75BA64AB"/>
    <w:rsid w:val="761600B6"/>
    <w:rsid w:val="763C15B6"/>
    <w:rsid w:val="764861AD"/>
    <w:rsid w:val="766E211A"/>
    <w:rsid w:val="76AC04E9"/>
    <w:rsid w:val="76D66732"/>
    <w:rsid w:val="770B1E2E"/>
    <w:rsid w:val="771C566F"/>
    <w:rsid w:val="77387FCF"/>
    <w:rsid w:val="775A6197"/>
    <w:rsid w:val="77862AE9"/>
    <w:rsid w:val="77AD6983"/>
    <w:rsid w:val="77C269C6"/>
    <w:rsid w:val="77CA55F2"/>
    <w:rsid w:val="77E36DBE"/>
    <w:rsid w:val="78000AED"/>
    <w:rsid w:val="780633AF"/>
    <w:rsid w:val="782567A5"/>
    <w:rsid w:val="78393FFF"/>
    <w:rsid w:val="78746DE5"/>
    <w:rsid w:val="78950E64"/>
    <w:rsid w:val="78B57239"/>
    <w:rsid w:val="78D24D05"/>
    <w:rsid w:val="78F32400"/>
    <w:rsid w:val="7911045C"/>
    <w:rsid w:val="793B555D"/>
    <w:rsid w:val="79515378"/>
    <w:rsid w:val="79554FB7"/>
    <w:rsid w:val="79751067"/>
    <w:rsid w:val="79B73810"/>
    <w:rsid w:val="79F6450D"/>
    <w:rsid w:val="79FC52E4"/>
    <w:rsid w:val="7A747570"/>
    <w:rsid w:val="7A936B29"/>
    <w:rsid w:val="7AD0650C"/>
    <w:rsid w:val="7AEA7832"/>
    <w:rsid w:val="7B0A3A31"/>
    <w:rsid w:val="7B28499C"/>
    <w:rsid w:val="7B3A497C"/>
    <w:rsid w:val="7B437FDF"/>
    <w:rsid w:val="7B476A33"/>
    <w:rsid w:val="7B542FB9"/>
    <w:rsid w:val="7B6E2211"/>
    <w:rsid w:val="7B7223D6"/>
    <w:rsid w:val="7B861FC5"/>
    <w:rsid w:val="7B8C2698"/>
    <w:rsid w:val="7BA109FB"/>
    <w:rsid w:val="7BB17C45"/>
    <w:rsid w:val="7BB65736"/>
    <w:rsid w:val="7BC41E31"/>
    <w:rsid w:val="7BCD09DE"/>
    <w:rsid w:val="7C0E60D1"/>
    <w:rsid w:val="7C4C347A"/>
    <w:rsid w:val="7C5A65DC"/>
    <w:rsid w:val="7C8E6F15"/>
    <w:rsid w:val="7CF14CE5"/>
    <w:rsid w:val="7D1B0177"/>
    <w:rsid w:val="7D453655"/>
    <w:rsid w:val="7D7D15ED"/>
    <w:rsid w:val="7D7D678B"/>
    <w:rsid w:val="7D932742"/>
    <w:rsid w:val="7D983576"/>
    <w:rsid w:val="7DBA0D19"/>
    <w:rsid w:val="7E087814"/>
    <w:rsid w:val="7E2C4AFF"/>
    <w:rsid w:val="7E6B21F2"/>
    <w:rsid w:val="7E6B79EA"/>
    <w:rsid w:val="7E891110"/>
    <w:rsid w:val="7EBB576E"/>
    <w:rsid w:val="7ED61168"/>
    <w:rsid w:val="7EE43213"/>
    <w:rsid w:val="7F127358"/>
    <w:rsid w:val="7F1864F8"/>
    <w:rsid w:val="7F7737E9"/>
    <w:rsid w:val="7F912972"/>
    <w:rsid w:val="7F930498"/>
    <w:rsid w:val="7F972712"/>
    <w:rsid w:val="7F9B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qFormat="1" w:uiPriority="0" w:name="endnote reference"/>
    <w:lsdException w:qFormat="1"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8"/>
    <w:autoRedefine/>
    <w:qFormat/>
    <w:uiPriority w:val="9"/>
    <w:pPr>
      <w:keepNext/>
      <w:spacing w:line="380" w:lineRule="exact"/>
      <w:jc w:val="center"/>
      <w:outlineLvl w:val="0"/>
    </w:pPr>
    <w:rPr>
      <w:rFonts w:ascii="宋体" w:hAnsi="宋体"/>
      <w:b/>
      <w:kern w:val="44"/>
      <w:sz w:val="44"/>
      <w:szCs w:val="44"/>
    </w:rPr>
  </w:style>
  <w:style w:type="paragraph" w:styleId="3">
    <w:name w:val="heading 2"/>
    <w:basedOn w:val="1"/>
    <w:next w:val="1"/>
    <w:link w:val="59"/>
    <w:autoRedefine/>
    <w:qFormat/>
    <w:uiPriority w:val="0"/>
    <w:pPr>
      <w:keepNext/>
      <w:keepLines/>
      <w:tabs>
        <w:tab w:val="left" w:pos="578"/>
      </w:tabs>
      <w:spacing w:beforeLines="50" w:afterLines="50" w:line="360" w:lineRule="auto"/>
      <w:ind w:left="578" w:hanging="578"/>
      <w:outlineLvl w:val="1"/>
    </w:pPr>
    <w:rPr>
      <w:rFonts w:ascii="Arial" w:hAnsi="Arial" w:eastAsia="黑体"/>
      <w:b/>
      <w:bCs/>
      <w:sz w:val="32"/>
      <w:szCs w:val="32"/>
      <w:lang w:eastAsia="en-US"/>
    </w:rPr>
  </w:style>
  <w:style w:type="paragraph" w:styleId="4">
    <w:name w:val="heading 3"/>
    <w:basedOn w:val="1"/>
    <w:next w:val="1"/>
    <w:link w:val="60"/>
    <w:autoRedefine/>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5">
    <w:name w:val="heading 4"/>
    <w:basedOn w:val="1"/>
    <w:next w:val="1"/>
    <w:link w:val="61"/>
    <w:autoRedefine/>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6">
    <w:name w:val="heading 5"/>
    <w:basedOn w:val="1"/>
    <w:next w:val="1"/>
    <w:link w:val="62"/>
    <w:autoRedefine/>
    <w:qFormat/>
    <w:uiPriority w:val="9"/>
    <w:pPr>
      <w:keepNext/>
      <w:keepLines/>
      <w:tabs>
        <w:tab w:val="left" w:pos="1548"/>
      </w:tabs>
      <w:spacing w:before="280" w:after="290" w:line="376" w:lineRule="auto"/>
      <w:ind w:left="1548" w:hanging="1548"/>
      <w:outlineLvl w:val="4"/>
    </w:pPr>
    <w:rPr>
      <w:b/>
      <w:sz w:val="28"/>
    </w:rPr>
  </w:style>
  <w:style w:type="paragraph" w:styleId="7">
    <w:name w:val="heading 6"/>
    <w:basedOn w:val="1"/>
    <w:next w:val="1"/>
    <w:link w:val="63"/>
    <w:autoRedefine/>
    <w:qFormat/>
    <w:uiPriority w:val="9"/>
    <w:pPr>
      <w:keepNext/>
      <w:keepLines/>
      <w:spacing w:before="240" w:after="64" w:line="320" w:lineRule="auto"/>
      <w:outlineLvl w:val="5"/>
    </w:pPr>
    <w:rPr>
      <w:rFonts w:ascii="Cambria" w:hAnsi="Cambria"/>
      <w:b/>
      <w:sz w:val="24"/>
    </w:rPr>
  </w:style>
  <w:style w:type="paragraph" w:styleId="8">
    <w:name w:val="heading 7"/>
    <w:basedOn w:val="1"/>
    <w:next w:val="1"/>
    <w:link w:val="64"/>
    <w:autoRedefine/>
    <w:qFormat/>
    <w:uiPriority w:val="9"/>
    <w:pPr>
      <w:keepNext/>
      <w:keepLines/>
      <w:tabs>
        <w:tab w:val="left" w:pos="1296"/>
      </w:tabs>
      <w:spacing w:before="240" w:after="64" w:line="317" w:lineRule="auto"/>
      <w:ind w:left="2940" w:hanging="420"/>
      <w:outlineLvl w:val="6"/>
    </w:pPr>
    <w:rPr>
      <w:b/>
      <w:sz w:val="24"/>
    </w:rPr>
  </w:style>
  <w:style w:type="paragraph" w:styleId="9">
    <w:name w:val="heading 8"/>
    <w:basedOn w:val="1"/>
    <w:next w:val="1"/>
    <w:link w:val="65"/>
    <w:autoRedefine/>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0">
    <w:name w:val="heading 9"/>
    <w:basedOn w:val="1"/>
    <w:next w:val="1"/>
    <w:link w:val="66"/>
    <w:autoRedefine/>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9">
    <w:name w:val="Default Paragraph Font"/>
    <w:autoRedefine/>
    <w:semiHidden/>
    <w:unhideWhenUsed/>
    <w:qFormat/>
    <w:uiPriority w:val="1"/>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 w:val="18"/>
      <w:szCs w:val="18"/>
    </w:rPr>
  </w:style>
  <w:style w:type="paragraph" w:styleId="12">
    <w:name w:val="Normal Indent"/>
    <w:basedOn w:val="1"/>
    <w:next w:val="1"/>
    <w:link w:val="67"/>
    <w:autoRedefine/>
    <w:qFormat/>
    <w:uiPriority w:val="0"/>
    <w:pPr>
      <w:ind w:firstLine="420" w:firstLineChars="200"/>
    </w:pPr>
    <w:rPr>
      <w:rFonts w:ascii="宋体" w:hAnsi="宋体"/>
      <w:spacing w:val="14"/>
      <w:kern w:val="24"/>
      <w:sz w:val="24"/>
      <w:szCs w:val="24"/>
    </w:rPr>
  </w:style>
  <w:style w:type="paragraph" w:styleId="13">
    <w:name w:val="Document Map"/>
    <w:basedOn w:val="1"/>
    <w:link w:val="68"/>
    <w:autoRedefine/>
    <w:semiHidden/>
    <w:qFormat/>
    <w:uiPriority w:val="99"/>
    <w:pPr>
      <w:shd w:val="clear" w:color="auto" w:fill="000080"/>
    </w:pPr>
  </w:style>
  <w:style w:type="paragraph" w:styleId="14">
    <w:name w:val="toa heading"/>
    <w:basedOn w:val="1"/>
    <w:next w:val="1"/>
    <w:autoRedefine/>
    <w:qFormat/>
    <w:uiPriority w:val="0"/>
    <w:pPr>
      <w:spacing w:before="120"/>
    </w:pPr>
    <w:rPr>
      <w:rFonts w:ascii="Arial" w:hAnsi="Arial" w:cs="Arial"/>
      <w:sz w:val="24"/>
    </w:rPr>
  </w:style>
  <w:style w:type="paragraph" w:styleId="15">
    <w:name w:val="annotation text"/>
    <w:basedOn w:val="1"/>
    <w:link w:val="69"/>
    <w:autoRedefine/>
    <w:qFormat/>
    <w:uiPriority w:val="0"/>
    <w:pPr>
      <w:jc w:val="left"/>
    </w:pPr>
    <w:rPr>
      <w:rFonts w:ascii="宋体" w:hAnsi="宋体"/>
      <w:szCs w:val="21"/>
    </w:rPr>
  </w:style>
  <w:style w:type="paragraph" w:styleId="16">
    <w:name w:val="Body Text 3"/>
    <w:basedOn w:val="1"/>
    <w:link w:val="70"/>
    <w:autoRedefine/>
    <w:qFormat/>
    <w:uiPriority w:val="99"/>
    <w:pPr>
      <w:spacing w:after="120" w:line="360" w:lineRule="auto"/>
    </w:pPr>
    <w:rPr>
      <w:kern w:val="0"/>
      <w:sz w:val="16"/>
    </w:rPr>
  </w:style>
  <w:style w:type="paragraph" w:styleId="17">
    <w:name w:val="Body Text"/>
    <w:basedOn w:val="1"/>
    <w:next w:val="18"/>
    <w:link w:val="57"/>
    <w:autoRedefine/>
    <w:qFormat/>
    <w:uiPriority w:val="99"/>
    <w:rPr>
      <w:rFonts w:ascii="宋体" w:hAnsi="宋体"/>
      <w:kern w:val="0"/>
      <w:sz w:val="20"/>
    </w:rPr>
  </w:style>
  <w:style w:type="paragraph" w:styleId="18">
    <w:name w:val="Body Text First Indent"/>
    <w:basedOn w:val="17"/>
    <w:next w:val="1"/>
    <w:link w:val="82"/>
    <w:autoRedefine/>
    <w:qFormat/>
    <w:uiPriority w:val="99"/>
    <w:pPr>
      <w:spacing w:after="120"/>
      <w:ind w:firstLine="420" w:firstLineChars="100"/>
    </w:pPr>
    <w:rPr>
      <w:i/>
      <w:sz w:val="24"/>
    </w:rPr>
  </w:style>
  <w:style w:type="paragraph" w:styleId="19">
    <w:name w:val="Body Text Indent"/>
    <w:basedOn w:val="1"/>
    <w:link w:val="71"/>
    <w:autoRedefine/>
    <w:qFormat/>
    <w:uiPriority w:val="99"/>
    <w:pPr>
      <w:spacing w:line="380" w:lineRule="exact"/>
      <w:ind w:firstLine="480"/>
    </w:pPr>
    <w:rPr>
      <w:rFonts w:eastAsia="方正书宋简体"/>
      <w:sz w:val="24"/>
    </w:rPr>
  </w:style>
  <w:style w:type="paragraph" w:styleId="20">
    <w:name w:val="List Number 3"/>
    <w:basedOn w:val="1"/>
    <w:autoRedefine/>
    <w:qFormat/>
    <w:uiPriority w:val="99"/>
    <w:pPr>
      <w:widowControl/>
      <w:tabs>
        <w:tab w:val="left" w:pos="482"/>
      </w:tabs>
      <w:spacing w:afterLines="50"/>
      <w:ind w:left="482" w:hanging="340"/>
      <w:jc w:val="left"/>
    </w:pPr>
    <w:rPr>
      <w:kern w:val="0"/>
      <w:sz w:val="24"/>
    </w:rPr>
  </w:style>
  <w:style w:type="paragraph" w:styleId="21">
    <w:name w:val="Block Text"/>
    <w:basedOn w:val="1"/>
    <w:autoRedefine/>
    <w:unhideWhenUsed/>
    <w:qFormat/>
    <w:uiPriority w:val="99"/>
    <w:pPr>
      <w:spacing w:after="120"/>
      <w:ind w:left="1440" w:leftChars="700" w:right="1440" w:rightChars="700"/>
    </w:pPr>
    <w:rPr>
      <w:szCs w:val="24"/>
    </w:rPr>
  </w:style>
  <w:style w:type="paragraph" w:styleId="22">
    <w:name w:val="toc 5"/>
    <w:basedOn w:val="1"/>
    <w:next w:val="1"/>
    <w:autoRedefine/>
    <w:qFormat/>
    <w:uiPriority w:val="39"/>
    <w:pPr>
      <w:ind w:left="840"/>
      <w:jc w:val="left"/>
    </w:pPr>
    <w:rPr>
      <w:sz w:val="18"/>
      <w:szCs w:val="18"/>
    </w:rPr>
  </w:style>
  <w:style w:type="paragraph" w:styleId="23">
    <w:name w:val="toc 3"/>
    <w:basedOn w:val="1"/>
    <w:next w:val="1"/>
    <w:autoRedefine/>
    <w:qFormat/>
    <w:uiPriority w:val="39"/>
    <w:pPr>
      <w:ind w:left="420"/>
      <w:jc w:val="left"/>
    </w:pPr>
    <w:rPr>
      <w:i/>
      <w:iCs/>
      <w:sz w:val="20"/>
    </w:rPr>
  </w:style>
  <w:style w:type="paragraph" w:styleId="24">
    <w:name w:val="Plain Text"/>
    <w:basedOn w:val="1"/>
    <w:next w:val="25"/>
    <w:link w:val="72"/>
    <w:autoRedefine/>
    <w:qFormat/>
    <w:uiPriority w:val="0"/>
    <w:pPr>
      <w:widowControl/>
      <w:spacing w:before="100" w:beforeAutospacing="1" w:after="100" w:afterAutospacing="1"/>
      <w:jc w:val="left"/>
    </w:pPr>
    <w:rPr>
      <w:rFonts w:ascii="宋体" w:hAnsi="Courier New"/>
      <w:kern w:val="0"/>
      <w:sz w:val="20"/>
    </w:rPr>
  </w:style>
  <w:style w:type="paragraph" w:styleId="25">
    <w:name w:val="toc 1"/>
    <w:basedOn w:val="1"/>
    <w:next w:val="1"/>
    <w:autoRedefine/>
    <w:qFormat/>
    <w:uiPriority w:val="39"/>
    <w:pPr>
      <w:tabs>
        <w:tab w:val="right" w:leader="dot" w:pos="8721"/>
      </w:tabs>
      <w:spacing w:line="480" w:lineRule="auto"/>
    </w:pPr>
    <w:rPr>
      <w:rFonts w:ascii="宋体" w:hAnsi="宋体"/>
      <w:color w:val="000000"/>
      <w:sz w:val="32"/>
      <w:szCs w:val="32"/>
    </w:rPr>
  </w:style>
  <w:style w:type="paragraph" w:styleId="26">
    <w:name w:val="toc 8"/>
    <w:basedOn w:val="1"/>
    <w:next w:val="1"/>
    <w:autoRedefine/>
    <w:qFormat/>
    <w:uiPriority w:val="39"/>
    <w:pPr>
      <w:ind w:left="1470"/>
      <w:jc w:val="left"/>
    </w:pPr>
    <w:rPr>
      <w:sz w:val="18"/>
      <w:szCs w:val="18"/>
    </w:rPr>
  </w:style>
  <w:style w:type="paragraph" w:styleId="27">
    <w:name w:val="Date"/>
    <w:basedOn w:val="1"/>
    <w:next w:val="1"/>
    <w:link w:val="73"/>
    <w:autoRedefine/>
    <w:qFormat/>
    <w:uiPriority w:val="99"/>
    <w:pPr>
      <w:adjustRightInd w:val="0"/>
      <w:spacing w:line="312" w:lineRule="atLeast"/>
      <w:jc w:val="right"/>
      <w:textAlignment w:val="baseline"/>
    </w:pPr>
    <w:rPr>
      <w:rFonts w:ascii="宋体"/>
      <w:kern w:val="0"/>
      <w:sz w:val="24"/>
    </w:rPr>
  </w:style>
  <w:style w:type="paragraph" w:styleId="28">
    <w:name w:val="Body Text Indent 2"/>
    <w:basedOn w:val="1"/>
    <w:link w:val="74"/>
    <w:autoRedefine/>
    <w:qFormat/>
    <w:uiPriority w:val="99"/>
    <w:pPr>
      <w:spacing w:line="380" w:lineRule="exact"/>
      <w:ind w:left="840" w:hanging="45"/>
    </w:pPr>
    <w:rPr>
      <w:rFonts w:ascii="宋体"/>
      <w:sz w:val="24"/>
    </w:rPr>
  </w:style>
  <w:style w:type="paragraph" w:styleId="29">
    <w:name w:val="endnote text"/>
    <w:basedOn w:val="1"/>
    <w:autoRedefine/>
    <w:semiHidden/>
    <w:unhideWhenUsed/>
    <w:qFormat/>
    <w:uiPriority w:val="0"/>
    <w:pPr>
      <w:snapToGrid w:val="0"/>
      <w:jc w:val="left"/>
    </w:pPr>
  </w:style>
  <w:style w:type="paragraph" w:styleId="30">
    <w:name w:val="Balloon Text"/>
    <w:basedOn w:val="1"/>
    <w:link w:val="75"/>
    <w:autoRedefine/>
    <w:semiHidden/>
    <w:qFormat/>
    <w:uiPriority w:val="99"/>
    <w:rPr>
      <w:rFonts w:ascii="宋体" w:hAnsi="宋体"/>
      <w:sz w:val="18"/>
      <w:szCs w:val="18"/>
    </w:rPr>
  </w:style>
  <w:style w:type="paragraph" w:styleId="31">
    <w:name w:val="footer"/>
    <w:basedOn w:val="1"/>
    <w:link w:val="76"/>
    <w:autoRedefine/>
    <w:qFormat/>
    <w:uiPriority w:val="99"/>
    <w:pPr>
      <w:tabs>
        <w:tab w:val="center" w:pos="4153"/>
        <w:tab w:val="right" w:pos="8306"/>
      </w:tabs>
      <w:snapToGrid w:val="0"/>
      <w:jc w:val="left"/>
    </w:pPr>
    <w:rPr>
      <w:rFonts w:ascii="宋体" w:hAnsi="宋体"/>
      <w:sz w:val="18"/>
      <w:szCs w:val="18"/>
    </w:rPr>
  </w:style>
  <w:style w:type="paragraph" w:styleId="32">
    <w:name w:val="envelope return"/>
    <w:basedOn w:val="1"/>
    <w:autoRedefine/>
    <w:qFormat/>
    <w:uiPriority w:val="0"/>
    <w:pPr>
      <w:snapToGrid w:val="0"/>
    </w:pPr>
    <w:rPr>
      <w:rFonts w:ascii="Arial" w:hAnsi="Arial"/>
    </w:rPr>
  </w:style>
  <w:style w:type="paragraph" w:styleId="33">
    <w:name w:val="header"/>
    <w:basedOn w:val="1"/>
    <w:link w:val="77"/>
    <w:autoRedefine/>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4">
    <w:name w:val="toc 4"/>
    <w:basedOn w:val="1"/>
    <w:next w:val="1"/>
    <w:autoRedefine/>
    <w:qFormat/>
    <w:uiPriority w:val="39"/>
    <w:pPr>
      <w:ind w:left="630"/>
      <w:jc w:val="left"/>
    </w:pPr>
    <w:rPr>
      <w:sz w:val="18"/>
      <w:szCs w:val="18"/>
    </w:rPr>
  </w:style>
  <w:style w:type="paragraph" w:styleId="35">
    <w:name w:val="List Number 5"/>
    <w:basedOn w:val="1"/>
    <w:autoRedefine/>
    <w:qFormat/>
    <w:uiPriority w:val="99"/>
    <w:pPr>
      <w:tabs>
        <w:tab w:val="left" w:pos="2608"/>
      </w:tabs>
      <w:spacing w:line="360" w:lineRule="auto"/>
      <w:ind w:left="840" w:hanging="360"/>
    </w:pPr>
    <w:rPr>
      <w:sz w:val="24"/>
      <w:szCs w:val="24"/>
    </w:rPr>
  </w:style>
  <w:style w:type="paragraph" w:styleId="36">
    <w:name w:val="toc 6"/>
    <w:basedOn w:val="1"/>
    <w:next w:val="1"/>
    <w:autoRedefine/>
    <w:qFormat/>
    <w:uiPriority w:val="39"/>
    <w:pPr>
      <w:ind w:left="1050"/>
      <w:jc w:val="left"/>
    </w:pPr>
    <w:rPr>
      <w:sz w:val="18"/>
      <w:szCs w:val="18"/>
    </w:rPr>
  </w:style>
  <w:style w:type="paragraph" w:styleId="37">
    <w:name w:val="Body Text Indent 3"/>
    <w:basedOn w:val="1"/>
    <w:link w:val="78"/>
    <w:autoRedefine/>
    <w:qFormat/>
    <w:uiPriority w:val="99"/>
    <w:pPr>
      <w:spacing w:line="380" w:lineRule="exact"/>
      <w:ind w:left="525"/>
    </w:pPr>
    <w:rPr>
      <w:rFonts w:ascii="宋体" w:hAnsi="宋体"/>
      <w:b/>
      <w:sz w:val="24"/>
      <w:szCs w:val="24"/>
    </w:rPr>
  </w:style>
  <w:style w:type="paragraph" w:styleId="38">
    <w:name w:val="table of figures"/>
    <w:basedOn w:val="1"/>
    <w:next w:val="1"/>
    <w:autoRedefine/>
    <w:qFormat/>
    <w:uiPriority w:val="99"/>
    <w:pPr>
      <w:ind w:left="420" w:hanging="420"/>
      <w:jc w:val="left"/>
    </w:pPr>
    <w:rPr>
      <w:smallCaps/>
      <w:sz w:val="20"/>
    </w:rPr>
  </w:style>
  <w:style w:type="paragraph" w:styleId="39">
    <w:name w:val="toc 2"/>
    <w:basedOn w:val="1"/>
    <w:next w:val="1"/>
    <w:autoRedefine/>
    <w:qFormat/>
    <w:uiPriority w:val="39"/>
    <w:pPr>
      <w:ind w:left="210"/>
      <w:jc w:val="left"/>
    </w:pPr>
    <w:rPr>
      <w:smallCaps/>
      <w:sz w:val="20"/>
    </w:rPr>
  </w:style>
  <w:style w:type="paragraph" w:styleId="40">
    <w:name w:val="toc 9"/>
    <w:basedOn w:val="1"/>
    <w:next w:val="1"/>
    <w:autoRedefine/>
    <w:qFormat/>
    <w:uiPriority w:val="39"/>
    <w:pPr>
      <w:ind w:left="1680"/>
      <w:jc w:val="left"/>
    </w:pPr>
    <w:rPr>
      <w:sz w:val="18"/>
      <w:szCs w:val="18"/>
    </w:rPr>
  </w:style>
  <w:style w:type="paragraph" w:styleId="41">
    <w:name w:val="Body Text 2"/>
    <w:basedOn w:val="1"/>
    <w:link w:val="79"/>
    <w:autoRedefine/>
    <w:qFormat/>
    <w:uiPriority w:val="99"/>
    <w:pPr>
      <w:spacing w:after="120" w:line="480" w:lineRule="auto"/>
    </w:pPr>
    <w:rPr>
      <w:kern w:val="0"/>
      <w:sz w:val="24"/>
    </w:rPr>
  </w:style>
  <w:style w:type="paragraph" w:styleId="42">
    <w:name w:val="HTML Preformatted"/>
    <w:basedOn w:val="1"/>
    <w:link w:val="80"/>
    <w:autoRedefine/>
    <w:qFormat/>
    <w:uiPriority w:val="99"/>
    <w:rPr>
      <w:rFonts w:ascii="Courier New" w:hAnsi="Courier New"/>
      <w:sz w:val="20"/>
    </w:rPr>
  </w:style>
  <w:style w:type="paragraph" w:styleId="43">
    <w:name w:val="Normal (Web)"/>
    <w:basedOn w:val="1"/>
    <w:autoRedefine/>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4">
    <w:name w:val="index 1"/>
    <w:basedOn w:val="1"/>
    <w:next w:val="1"/>
    <w:autoRedefine/>
    <w:semiHidden/>
    <w:qFormat/>
    <w:uiPriority w:val="99"/>
  </w:style>
  <w:style w:type="paragraph" w:styleId="45">
    <w:name w:val="annotation subject"/>
    <w:basedOn w:val="15"/>
    <w:next w:val="15"/>
    <w:link w:val="81"/>
    <w:autoRedefine/>
    <w:semiHidden/>
    <w:qFormat/>
    <w:uiPriority w:val="99"/>
    <w:rPr>
      <w:b/>
    </w:rPr>
  </w:style>
  <w:style w:type="paragraph" w:styleId="46">
    <w:name w:val="Body Text First Indent 2"/>
    <w:basedOn w:val="19"/>
    <w:link w:val="83"/>
    <w:autoRedefine/>
    <w:unhideWhenUsed/>
    <w:qFormat/>
    <w:uiPriority w:val="0"/>
    <w:pPr>
      <w:ind w:firstLine="420" w:firstLineChars="200"/>
    </w:pPr>
    <w:rPr>
      <w:rFonts w:ascii="Verdana" w:hAnsi="Verdana" w:eastAsia="宋体"/>
      <w:sz w:val="21"/>
      <w:lang w:eastAsia="en-US"/>
    </w:rPr>
  </w:style>
  <w:style w:type="table" w:styleId="48">
    <w:name w:val="Table Grid"/>
    <w:basedOn w:val="4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autoRedefine/>
    <w:qFormat/>
    <w:uiPriority w:val="22"/>
    <w:rPr>
      <w:b/>
    </w:rPr>
  </w:style>
  <w:style w:type="character" w:styleId="51">
    <w:name w:val="endnote reference"/>
    <w:basedOn w:val="49"/>
    <w:autoRedefine/>
    <w:semiHidden/>
    <w:unhideWhenUsed/>
    <w:qFormat/>
    <w:uiPriority w:val="0"/>
    <w:rPr>
      <w:vertAlign w:val="superscript"/>
    </w:rPr>
  </w:style>
  <w:style w:type="character" w:styleId="52">
    <w:name w:val="page number"/>
    <w:autoRedefine/>
    <w:qFormat/>
    <w:uiPriority w:val="99"/>
    <w:rPr>
      <w:rFonts w:cs="Times New Roman"/>
    </w:rPr>
  </w:style>
  <w:style w:type="character" w:styleId="53">
    <w:name w:val="Emphasis"/>
    <w:autoRedefine/>
    <w:qFormat/>
    <w:uiPriority w:val="20"/>
    <w:rPr>
      <w:i/>
    </w:rPr>
  </w:style>
  <w:style w:type="character" w:styleId="54">
    <w:name w:val="HTML Typewriter"/>
    <w:autoRedefine/>
    <w:qFormat/>
    <w:uiPriority w:val="99"/>
    <w:rPr>
      <w:rFonts w:ascii="Courier New" w:hAnsi="Courier New"/>
      <w:sz w:val="20"/>
    </w:rPr>
  </w:style>
  <w:style w:type="character" w:styleId="55">
    <w:name w:val="Hyperlink"/>
    <w:autoRedefine/>
    <w:qFormat/>
    <w:uiPriority w:val="99"/>
    <w:rPr>
      <w:color w:val="0000FF"/>
      <w:u w:val="single"/>
    </w:rPr>
  </w:style>
  <w:style w:type="character" w:styleId="56">
    <w:name w:val="annotation reference"/>
    <w:autoRedefine/>
    <w:semiHidden/>
    <w:qFormat/>
    <w:uiPriority w:val="99"/>
    <w:rPr>
      <w:sz w:val="21"/>
    </w:rPr>
  </w:style>
  <w:style w:type="character" w:customStyle="1" w:styleId="57">
    <w:name w:val="正文文本 Char2"/>
    <w:link w:val="17"/>
    <w:autoRedefine/>
    <w:qFormat/>
    <w:locked/>
    <w:uiPriority w:val="99"/>
    <w:rPr>
      <w:rFonts w:ascii="宋体" w:hAnsi="宋体" w:eastAsia="宋体" w:cs="宋体"/>
      <w:lang w:val="en-US" w:eastAsia="zh-CN"/>
    </w:rPr>
  </w:style>
  <w:style w:type="character" w:customStyle="1" w:styleId="58">
    <w:name w:val="标题 1 Char1"/>
    <w:link w:val="2"/>
    <w:autoRedefine/>
    <w:qFormat/>
    <w:locked/>
    <w:uiPriority w:val="9"/>
    <w:rPr>
      <w:rFonts w:ascii="宋体" w:hAnsi="宋体" w:eastAsia="宋体" w:cs="宋体"/>
      <w:b/>
      <w:kern w:val="44"/>
      <w:sz w:val="44"/>
      <w:szCs w:val="44"/>
      <w:lang w:val="en-US" w:eastAsia="zh-CN"/>
    </w:rPr>
  </w:style>
  <w:style w:type="character" w:customStyle="1" w:styleId="59">
    <w:name w:val="标题 2 Char2"/>
    <w:link w:val="3"/>
    <w:autoRedefine/>
    <w:qFormat/>
    <w:uiPriority w:val="0"/>
    <w:rPr>
      <w:rFonts w:hint="default" w:ascii="Arial" w:hAnsi="Arial" w:eastAsia="黑体" w:cs="Arial"/>
      <w:b/>
      <w:bCs/>
      <w:kern w:val="2"/>
      <w:sz w:val="32"/>
      <w:szCs w:val="32"/>
      <w:lang w:eastAsia="en-US"/>
    </w:rPr>
  </w:style>
  <w:style w:type="character" w:customStyle="1" w:styleId="60">
    <w:name w:val="标题 3 Char1"/>
    <w:link w:val="4"/>
    <w:autoRedefine/>
    <w:qFormat/>
    <w:locked/>
    <w:uiPriority w:val="9"/>
    <w:rPr>
      <w:rFonts w:ascii="宋体" w:hAnsi="宋体" w:eastAsia="宋体" w:cs="宋体"/>
      <w:b/>
      <w:kern w:val="2"/>
      <w:sz w:val="32"/>
      <w:szCs w:val="32"/>
      <w:lang w:val="en-US" w:eastAsia="zh-CN"/>
    </w:rPr>
  </w:style>
  <w:style w:type="character" w:customStyle="1" w:styleId="61">
    <w:name w:val="标题 4 Char"/>
    <w:link w:val="5"/>
    <w:autoRedefine/>
    <w:qFormat/>
    <w:locked/>
    <w:uiPriority w:val="0"/>
    <w:rPr>
      <w:rFonts w:ascii="Arial" w:hAnsi="Arial" w:eastAsia="黑体"/>
      <w:b/>
      <w:kern w:val="2"/>
      <w:sz w:val="28"/>
      <w:lang w:val="en-US" w:eastAsia="zh-CN"/>
    </w:rPr>
  </w:style>
  <w:style w:type="character" w:customStyle="1" w:styleId="62">
    <w:name w:val="标题 5 Char"/>
    <w:link w:val="6"/>
    <w:autoRedefine/>
    <w:qFormat/>
    <w:locked/>
    <w:uiPriority w:val="9"/>
    <w:rPr>
      <w:rFonts w:eastAsia="宋体"/>
      <w:b/>
      <w:kern w:val="2"/>
      <w:sz w:val="28"/>
      <w:lang w:val="en-US" w:eastAsia="zh-CN"/>
    </w:rPr>
  </w:style>
  <w:style w:type="character" w:customStyle="1" w:styleId="63">
    <w:name w:val="标题 6 Char"/>
    <w:link w:val="7"/>
    <w:autoRedefine/>
    <w:qFormat/>
    <w:locked/>
    <w:uiPriority w:val="9"/>
    <w:rPr>
      <w:rFonts w:ascii="Cambria" w:hAnsi="Cambria" w:eastAsia="宋体"/>
      <w:b/>
      <w:kern w:val="2"/>
      <w:sz w:val="24"/>
      <w:lang w:val="en-US" w:eastAsia="zh-CN"/>
    </w:rPr>
  </w:style>
  <w:style w:type="character" w:customStyle="1" w:styleId="64">
    <w:name w:val="标题 7 Char"/>
    <w:link w:val="8"/>
    <w:autoRedefine/>
    <w:qFormat/>
    <w:locked/>
    <w:uiPriority w:val="9"/>
    <w:rPr>
      <w:b/>
      <w:kern w:val="2"/>
      <w:sz w:val="24"/>
    </w:rPr>
  </w:style>
  <w:style w:type="character" w:customStyle="1" w:styleId="65">
    <w:name w:val="标题 8 Char"/>
    <w:link w:val="9"/>
    <w:autoRedefine/>
    <w:qFormat/>
    <w:locked/>
    <w:uiPriority w:val="9"/>
    <w:rPr>
      <w:rFonts w:ascii="Arial" w:hAnsi="Arial" w:eastAsia="黑体"/>
      <w:kern w:val="2"/>
      <w:sz w:val="24"/>
    </w:rPr>
  </w:style>
  <w:style w:type="character" w:customStyle="1" w:styleId="66">
    <w:name w:val="标题 9 Char"/>
    <w:link w:val="10"/>
    <w:autoRedefine/>
    <w:qFormat/>
    <w:locked/>
    <w:uiPriority w:val="9"/>
    <w:rPr>
      <w:rFonts w:ascii="Arial" w:hAnsi="Arial" w:eastAsia="黑体"/>
      <w:kern w:val="2"/>
      <w:sz w:val="21"/>
    </w:rPr>
  </w:style>
  <w:style w:type="character" w:customStyle="1" w:styleId="67">
    <w:name w:val="正文缩进 Char1"/>
    <w:link w:val="12"/>
    <w:autoRedefine/>
    <w:qFormat/>
    <w:locked/>
    <w:uiPriority w:val="0"/>
    <w:rPr>
      <w:rFonts w:ascii="宋体" w:hAnsi="宋体" w:eastAsia="宋体" w:cs="宋体"/>
      <w:spacing w:val="14"/>
      <w:kern w:val="24"/>
      <w:sz w:val="24"/>
      <w:szCs w:val="24"/>
      <w:lang w:val="en-US" w:eastAsia="zh-CN"/>
    </w:rPr>
  </w:style>
  <w:style w:type="character" w:customStyle="1" w:styleId="68">
    <w:name w:val="文档结构图 Char"/>
    <w:link w:val="13"/>
    <w:autoRedefine/>
    <w:qFormat/>
    <w:locked/>
    <w:uiPriority w:val="99"/>
    <w:rPr>
      <w:rFonts w:eastAsia="宋体"/>
      <w:kern w:val="2"/>
      <w:sz w:val="21"/>
      <w:lang w:val="en-US" w:eastAsia="zh-CN"/>
    </w:rPr>
  </w:style>
  <w:style w:type="character" w:customStyle="1" w:styleId="69">
    <w:name w:val="批注文字 Char1"/>
    <w:link w:val="15"/>
    <w:autoRedefine/>
    <w:qFormat/>
    <w:locked/>
    <w:uiPriority w:val="0"/>
    <w:rPr>
      <w:rFonts w:ascii="宋体" w:hAnsi="宋体" w:eastAsia="宋体" w:cs="宋体"/>
      <w:kern w:val="2"/>
      <w:sz w:val="21"/>
      <w:szCs w:val="21"/>
      <w:lang w:val="en-US" w:eastAsia="zh-CN"/>
    </w:rPr>
  </w:style>
  <w:style w:type="character" w:customStyle="1" w:styleId="70">
    <w:name w:val="正文文本 3 Char"/>
    <w:link w:val="16"/>
    <w:autoRedefine/>
    <w:qFormat/>
    <w:locked/>
    <w:uiPriority w:val="99"/>
    <w:rPr>
      <w:rFonts w:eastAsia="宋体"/>
      <w:sz w:val="16"/>
    </w:rPr>
  </w:style>
  <w:style w:type="character" w:customStyle="1" w:styleId="71">
    <w:name w:val="正文文本缩进 Char2"/>
    <w:link w:val="19"/>
    <w:autoRedefine/>
    <w:qFormat/>
    <w:locked/>
    <w:uiPriority w:val="99"/>
    <w:rPr>
      <w:rFonts w:eastAsia="方正书宋简体"/>
      <w:kern w:val="2"/>
      <w:sz w:val="24"/>
      <w:lang w:val="en-US" w:eastAsia="zh-CN"/>
    </w:rPr>
  </w:style>
  <w:style w:type="character" w:customStyle="1" w:styleId="72">
    <w:name w:val="纯文本 Char3"/>
    <w:link w:val="24"/>
    <w:autoRedefine/>
    <w:qFormat/>
    <w:locked/>
    <w:uiPriority w:val="0"/>
    <w:rPr>
      <w:rFonts w:ascii="宋体" w:hAnsi="Courier New" w:eastAsia="宋体" w:cs="宋体"/>
      <w:lang w:val="en-US" w:eastAsia="zh-CN"/>
    </w:rPr>
  </w:style>
  <w:style w:type="character" w:customStyle="1" w:styleId="73">
    <w:name w:val="日期 Char"/>
    <w:link w:val="27"/>
    <w:autoRedefine/>
    <w:qFormat/>
    <w:locked/>
    <w:uiPriority w:val="99"/>
    <w:rPr>
      <w:rFonts w:ascii="宋体" w:cs="Times New Roman"/>
      <w:sz w:val="24"/>
    </w:rPr>
  </w:style>
  <w:style w:type="character" w:customStyle="1" w:styleId="74">
    <w:name w:val="正文文本缩进 2 Char"/>
    <w:link w:val="28"/>
    <w:autoRedefine/>
    <w:qFormat/>
    <w:locked/>
    <w:uiPriority w:val="99"/>
    <w:rPr>
      <w:rFonts w:ascii="宋体" w:eastAsia="宋体"/>
      <w:kern w:val="2"/>
      <w:sz w:val="24"/>
      <w:lang w:val="en-US" w:eastAsia="zh-CN"/>
    </w:rPr>
  </w:style>
  <w:style w:type="character" w:customStyle="1" w:styleId="75">
    <w:name w:val="批注框文本 Char1"/>
    <w:link w:val="30"/>
    <w:autoRedefine/>
    <w:qFormat/>
    <w:locked/>
    <w:uiPriority w:val="99"/>
    <w:rPr>
      <w:rFonts w:ascii="宋体" w:hAnsi="宋体" w:eastAsia="宋体" w:cs="宋体"/>
      <w:kern w:val="2"/>
      <w:sz w:val="18"/>
      <w:szCs w:val="18"/>
      <w:lang w:val="en-US" w:eastAsia="zh-CN"/>
    </w:rPr>
  </w:style>
  <w:style w:type="character" w:customStyle="1" w:styleId="76">
    <w:name w:val="页脚 Char1"/>
    <w:link w:val="31"/>
    <w:autoRedefine/>
    <w:qFormat/>
    <w:locked/>
    <w:uiPriority w:val="99"/>
    <w:rPr>
      <w:rFonts w:ascii="宋体" w:hAnsi="宋体" w:eastAsia="宋体" w:cs="宋体"/>
      <w:kern w:val="2"/>
      <w:sz w:val="18"/>
      <w:szCs w:val="18"/>
      <w:lang w:val="en-US" w:eastAsia="zh-CN"/>
    </w:rPr>
  </w:style>
  <w:style w:type="character" w:customStyle="1" w:styleId="77">
    <w:name w:val="页眉 Char1"/>
    <w:link w:val="33"/>
    <w:autoRedefine/>
    <w:qFormat/>
    <w:locked/>
    <w:uiPriority w:val="99"/>
    <w:rPr>
      <w:rFonts w:ascii="宋体" w:hAnsi="宋体" w:eastAsia="宋体" w:cs="宋体"/>
      <w:kern w:val="2"/>
      <w:sz w:val="18"/>
      <w:szCs w:val="18"/>
      <w:lang w:val="en-US" w:eastAsia="zh-CN"/>
    </w:rPr>
  </w:style>
  <w:style w:type="character" w:customStyle="1" w:styleId="78">
    <w:name w:val="正文文本缩进 3 Char1"/>
    <w:link w:val="37"/>
    <w:autoRedefine/>
    <w:qFormat/>
    <w:locked/>
    <w:uiPriority w:val="99"/>
    <w:rPr>
      <w:rFonts w:ascii="宋体" w:hAnsi="宋体" w:eastAsia="宋体" w:cs="宋体"/>
      <w:b/>
      <w:kern w:val="2"/>
      <w:sz w:val="24"/>
      <w:szCs w:val="24"/>
      <w:lang w:val="en-US" w:eastAsia="zh-CN"/>
    </w:rPr>
  </w:style>
  <w:style w:type="character" w:customStyle="1" w:styleId="79">
    <w:name w:val="正文文本 2 Char"/>
    <w:link w:val="41"/>
    <w:autoRedefine/>
    <w:qFormat/>
    <w:locked/>
    <w:uiPriority w:val="99"/>
    <w:rPr>
      <w:rFonts w:eastAsia="宋体"/>
      <w:sz w:val="24"/>
    </w:rPr>
  </w:style>
  <w:style w:type="character" w:customStyle="1" w:styleId="80">
    <w:name w:val="HTML 预设格式 Char"/>
    <w:link w:val="42"/>
    <w:autoRedefine/>
    <w:qFormat/>
    <w:locked/>
    <w:uiPriority w:val="99"/>
    <w:rPr>
      <w:rFonts w:ascii="Courier New" w:hAnsi="Courier New"/>
      <w:kern w:val="2"/>
    </w:rPr>
  </w:style>
  <w:style w:type="character" w:customStyle="1" w:styleId="81">
    <w:name w:val="批注主题 Char1"/>
    <w:link w:val="45"/>
    <w:autoRedefine/>
    <w:qFormat/>
    <w:locked/>
    <w:uiPriority w:val="99"/>
    <w:rPr>
      <w:rFonts w:ascii="宋体" w:hAnsi="宋体" w:eastAsia="宋体" w:cs="宋体"/>
      <w:b/>
      <w:kern w:val="2"/>
      <w:sz w:val="21"/>
      <w:szCs w:val="21"/>
      <w:lang w:val="en-US" w:eastAsia="zh-CN"/>
    </w:rPr>
  </w:style>
  <w:style w:type="character" w:customStyle="1" w:styleId="82">
    <w:name w:val="正文首行缩进 Char"/>
    <w:link w:val="18"/>
    <w:autoRedefine/>
    <w:qFormat/>
    <w:locked/>
    <w:uiPriority w:val="99"/>
    <w:rPr>
      <w:rFonts w:ascii="宋体" w:hAnsi="宋体" w:eastAsia="宋体" w:cs="宋体"/>
      <w:i/>
      <w:kern w:val="2"/>
      <w:sz w:val="24"/>
      <w:lang w:val="en-US" w:eastAsia="zh-CN"/>
    </w:rPr>
  </w:style>
  <w:style w:type="character" w:customStyle="1" w:styleId="83">
    <w:name w:val="正文首行缩进 2 Char"/>
    <w:link w:val="46"/>
    <w:autoRedefine/>
    <w:qFormat/>
    <w:uiPriority w:val="0"/>
    <w:rPr>
      <w:rFonts w:hint="default" w:ascii="Verdana" w:hAnsi="Verdana" w:cs="Verdana"/>
      <w:kern w:val="2"/>
      <w:sz w:val="21"/>
      <w:szCs w:val="20"/>
      <w:lang w:eastAsia="en-US"/>
    </w:rPr>
  </w:style>
  <w:style w:type="character" w:customStyle="1" w:styleId="84">
    <w:name w:val="访问过的超链接1"/>
    <w:autoRedefine/>
    <w:qFormat/>
    <w:uiPriority w:val="99"/>
    <w:rPr>
      <w:color w:val="800080"/>
      <w:u w:val="single"/>
    </w:rPr>
  </w:style>
  <w:style w:type="character" w:customStyle="1" w:styleId="85">
    <w:name w:val="标题 2 Char1"/>
    <w:autoRedefine/>
    <w:qFormat/>
    <w:locked/>
    <w:uiPriority w:val="9"/>
    <w:rPr>
      <w:rFonts w:ascii="Cambria" w:hAnsi="Cambria" w:eastAsia="宋体" w:cs="Cambria"/>
      <w:kern w:val="2"/>
      <w:sz w:val="21"/>
      <w:szCs w:val="21"/>
      <w:lang w:val="en-US" w:eastAsia="zh-CN"/>
    </w:rPr>
  </w:style>
  <w:style w:type="paragraph" w:customStyle="1" w:styleId="86">
    <w:name w:val="[Normal]"/>
    <w:autoRedefine/>
    <w:qFormat/>
    <w:uiPriority w:val="0"/>
    <w:rPr>
      <w:rFonts w:ascii="宋体" w:hAnsi="宋体" w:eastAsia="宋体" w:cs="Times New Roman"/>
      <w:sz w:val="24"/>
      <w:szCs w:val="22"/>
      <w:lang w:val="zh-CN" w:eastAsia="zh-CN" w:bidi="ar-SA"/>
    </w:rPr>
  </w:style>
  <w:style w:type="character" w:customStyle="1" w:styleId="87">
    <w:name w:val="正文文本 字符"/>
    <w:autoRedefine/>
    <w:qFormat/>
    <w:locked/>
    <w:uiPriority w:val="99"/>
    <w:rPr>
      <w:rFonts w:ascii="宋体" w:hAnsi="宋体" w:eastAsia="宋体" w:cs="宋体"/>
      <w:lang w:val="en-US" w:eastAsia="zh-CN"/>
    </w:rPr>
  </w:style>
  <w:style w:type="character" w:customStyle="1" w:styleId="88">
    <w:name w:val="正文文本 Char"/>
    <w:autoRedefine/>
    <w:qFormat/>
    <w:uiPriority w:val="0"/>
    <w:rPr>
      <w:rFonts w:eastAsia="宋体"/>
      <w:i/>
      <w:kern w:val="2"/>
      <w:sz w:val="18"/>
      <w:lang w:val="en-US" w:eastAsia="zh-CN"/>
    </w:rPr>
  </w:style>
  <w:style w:type="character" w:customStyle="1" w:styleId="89">
    <w:name w:val="List Paragraph Char"/>
    <w:link w:val="90"/>
    <w:autoRedefine/>
    <w:qFormat/>
    <w:locked/>
    <w:uiPriority w:val="0"/>
    <w:rPr>
      <w:rFonts w:ascii="Calibri" w:hAnsi="Calibri" w:eastAsia="宋体"/>
      <w:kern w:val="2"/>
      <w:sz w:val="22"/>
      <w:lang w:val="en-US" w:eastAsia="zh-CN"/>
    </w:rPr>
  </w:style>
  <w:style w:type="paragraph" w:customStyle="1" w:styleId="90">
    <w:name w:val="列出段落1"/>
    <w:basedOn w:val="1"/>
    <w:link w:val="89"/>
    <w:autoRedefine/>
    <w:qFormat/>
    <w:uiPriority w:val="0"/>
    <w:pPr>
      <w:ind w:firstLine="420" w:firstLineChars="200"/>
    </w:pPr>
    <w:rPr>
      <w:rFonts w:ascii="Calibri" w:hAnsi="Calibri"/>
      <w:sz w:val="22"/>
    </w:rPr>
  </w:style>
  <w:style w:type="character" w:customStyle="1" w:styleId="91">
    <w:name w:val="无间距字符"/>
    <w:link w:val="92"/>
    <w:autoRedefine/>
    <w:qFormat/>
    <w:locked/>
    <w:uiPriority w:val="0"/>
    <w:rPr>
      <w:sz w:val="22"/>
      <w:lang w:val="en-US" w:eastAsia="zh-CN" w:bidi="ar-SA"/>
    </w:rPr>
  </w:style>
  <w:style w:type="paragraph" w:customStyle="1" w:styleId="92">
    <w:name w:val="无间距"/>
    <w:link w:val="91"/>
    <w:autoRedefine/>
    <w:qFormat/>
    <w:uiPriority w:val="0"/>
    <w:rPr>
      <w:rFonts w:ascii="Times New Roman" w:hAnsi="Times New Roman" w:eastAsia="宋体" w:cs="Times New Roman"/>
      <w:sz w:val="22"/>
      <w:lang w:val="en-US" w:eastAsia="zh-CN" w:bidi="ar-SA"/>
    </w:rPr>
  </w:style>
  <w:style w:type="character" w:customStyle="1" w:styleId="93">
    <w:name w:val="日期 字符1"/>
    <w:autoRedefine/>
    <w:semiHidden/>
    <w:qFormat/>
    <w:uiPriority w:val="99"/>
    <w:rPr>
      <w:kern w:val="2"/>
      <w:sz w:val="21"/>
    </w:rPr>
  </w:style>
  <w:style w:type="character" w:customStyle="1" w:styleId="94">
    <w:name w:val="正文文本 字符1"/>
    <w:autoRedefine/>
    <w:semiHidden/>
    <w:qFormat/>
    <w:uiPriority w:val="99"/>
    <w:rPr>
      <w:kern w:val="2"/>
      <w:sz w:val="21"/>
    </w:rPr>
  </w:style>
  <w:style w:type="character" w:customStyle="1" w:styleId="95">
    <w:name w:val="纯文本 Char"/>
    <w:autoRedefine/>
    <w:qFormat/>
    <w:uiPriority w:val="99"/>
    <w:rPr>
      <w:rFonts w:ascii="宋体" w:hAnsi="宋体" w:eastAsia="宋体"/>
      <w:color w:val="000000"/>
      <w:sz w:val="24"/>
      <w:lang w:val="en-US" w:eastAsia="zh-CN"/>
    </w:rPr>
  </w:style>
  <w:style w:type="character" w:customStyle="1" w:styleId="96">
    <w:name w:val="纯文本 Char2"/>
    <w:autoRedefine/>
    <w:qFormat/>
    <w:uiPriority w:val="0"/>
    <w:rPr>
      <w:rFonts w:ascii="宋体" w:hAnsi="宋体" w:eastAsia="宋体"/>
      <w:color w:val="000000"/>
      <w:sz w:val="24"/>
      <w:lang w:val="en-US" w:eastAsia="zh-CN"/>
    </w:rPr>
  </w:style>
  <w:style w:type="character" w:customStyle="1" w:styleId="97">
    <w:name w:val="中等深浅网格 1 - 强调文字颜色 2 Char"/>
    <w:link w:val="98"/>
    <w:autoRedefine/>
    <w:qFormat/>
    <w:locked/>
    <w:uiPriority w:val="34"/>
    <w:rPr>
      <w:rFonts w:ascii="Calibri" w:hAnsi="Calibri"/>
      <w:kern w:val="2"/>
      <w:sz w:val="22"/>
    </w:rPr>
  </w:style>
  <w:style w:type="paragraph" w:customStyle="1" w:styleId="98">
    <w:name w:val="中等深浅网格 1 - 强调文字颜色 21"/>
    <w:basedOn w:val="1"/>
    <w:link w:val="97"/>
    <w:autoRedefine/>
    <w:qFormat/>
    <w:uiPriority w:val="34"/>
    <w:pPr>
      <w:ind w:firstLine="420" w:firstLineChars="200"/>
    </w:pPr>
    <w:rPr>
      <w:rFonts w:ascii="Calibri" w:hAnsi="Calibri"/>
      <w:sz w:val="22"/>
    </w:rPr>
  </w:style>
  <w:style w:type="character" w:customStyle="1" w:styleId="99">
    <w:name w:val="纯文本 Char1"/>
    <w:autoRedefine/>
    <w:qFormat/>
    <w:locked/>
    <w:uiPriority w:val="99"/>
    <w:rPr>
      <w:rFonts w:ascii="宋体" w:hAnsi="Courier New" w:eastAsia="宋体" w:cs="宋体"/>
      <w:lang w:val="en-US" w:eastAsia="zh-CN"/>
    </w:rPr>
  </w:style>
  <w:style w:type="character" w:customStyle="1" w:styleId="100">
    <w:name w:val="页眉 Char"/>
    <w:autoRedefine/>
    <w:qFormat/>
    <w:uiPriority w:val="99"/>
    <w:rPr>
      <w:rFonts w:eastAsia="宋体"/>
      <w:kern w:val="2"/>
      <w:sz w:val="18"/>
      <w:lang w:val="en-US" w:eastAsia="zh-CN"/>
    </w:rPr>
  </w:style>
  <w:style w:type="character" w:customStyle="1" w:styleId="101">
    <w:name w:val="样式2 Char"/>
    <w:link w:val="102"/>
    <w:autoRedefine/>
    <w:qFormat/>
    <w:locked/>
    <w:uiPriority w:val="0"/>
    <w:rPr>
      <w:rFonts w:ascii="黑体" w:hAnsi="黑体" w:eastAsia="黑体"/>
      <w:color w:val="FF0000"/>
      <w:kern w:val="2"/>
      <w:sz w:val="32"/>
      <w:lang w:val="en-US" w:eastAsia="zh-CN"/>
    </w:rPr>
  </w:style>
  <w:style w:type="paragraph" w:customStyle="1" w:styleId="102">
    <w:name w:val="样式2"/>
    <w:basedOn w:val="4"/>
    <w:link w:val="101"/>
    <w:autoRedefine/>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03">
    <w:name w:val="标题2正文 Char Char"/>
    <w:link w:val="104"/>
    <w:autoRedefine/>
    <w:qFormat/>
    <w:locked/>
    <w:uiPriority w:val="0"/>
    <w:rPr>
      <w:rFonts w:eastAsia="宋体"/>
      <w:sz w:val="24"/>
    </w:rPr>
  </w:style>
  <w:style w:type="paragraph" w:customStyle="1" w:styleId="104">
    <w:name w:val="标题2正文 Char"/>
    <w:basedOn w:val="1"/>
    <w:link w:val="103"/>
    <w:autoRedefine/>
    <w:qFormat/>
    <w:uiPriority w:val="0"/>
    <w:pPr>
      <w:spacing w:beforeLines="50" w:afterLines="50"/>
      <w:ind w:right="38" w:rightChars="18" w:firstLine="420"/>
    </w:pPr>
    <w:rPr>
      <w:kern w:val="0"/>
      <w:sz w:val="24"/>
    </w:rPr>
  </w:style>
  <w:style w:type="character" w:customStyle="1" w:styleId="105">
    <w:name w:val="正文缩进 Char"/>
    <w:autoRedefine/>
    <w:qFormat/>
    <w:uiPriority w:val="0"/>
    <w:rPr>
      <w:rFonts w:eastAsia="宋体"/>
      <w:kern w:val="2"/>
      <w:sz w:val="24"/>
      <w:lang w:val="en-US" w:eastAsia="zh-CN"/>
    </w:rPr>
  </w:style>
  <w:style w:type="character" w:customStyle="1" w:styleId="106">
    <w:name w:val="批注框文本 字符1"/>
    <w:autoRedefine/>
    <w:semiHidden/>
    <w:qFormat/>
    <w:uiPriority w:val="99"/>
    <w:rPr>
      <w:kern w:val="2"/>
      <w:sz w:val="18"/>
      <w:szCs w:val="18"/>
    </w:rPr>
  </w:style>
  <w:style w:type="character" w:customStyle="1" w:styleId="107">
    <w:name w:val="apple-converted-space"/>
    <w:autoRedefine/>
    <w:qFormat/>
    <w:uiPriority w:val="0"/>
    <w:rPr>
      <w:rFonts w:cs="Times New Roman"/>
    </w:rPr>
  </w:style>
  <w:style w:type="character" w:customStyle="1" w:styleId="108">
    <w:name w:val="页脚 Char"/>
    <w:autoRedefine/>
    <w:qFormat/>
    <w:uiPriority w:val="99"/>
    <w:rPr>
      <w:rFonts w:eastAsia="宋体"/>
      <w:kern w:val="2"/>
      <w:sz w:val="18"/>
      <w:lang w:val="en-US" w:eastAsia="zh-CN"/>
    </w:rPr>
  </w:style>
  <w:style w:type="character" w:customStyle="1" w:styleId="109">
    <w:name w:val="正文文本 3 字符1"/>
    <w:autoRedefine/>
    <w:semiHidden/>
    <w:qFormat/>
    <w:uiPriority w:val="99"/>
    <w:rPr>
      <w:kern w:val="2"/>
      <w:sz w:val="16"/>
      <w:szCs w:val="16"/>
    </w:rPr>
  </w:style>
  <w:style w:type="character" w:customStyle="1" w:styleId="110">
    <w:name w:val="font61"/>
    <w:autoRedefine/>
    <w:qFormat/>
    <w:uiPriority w:val="0"/>
    <w:rPr>
      <w:rFonts w:ascii="Times New Roman" w:hAnsi="Times New Roman"/>
      <w:color w:val="000000"/>
      <w:sz w:val="20"/>
      <w:u w:val="none"/>
    </w:rPr>
  </w:style>
  <w:style w:type="character" w:customStyle="1" w:styleId="111">
    <w:name w:val="font01"/>
    <w:autoRedefine/>
    <w:qFormat/>
    <w:uiPriority w:val="0"/>
    <w:rPr>
      <w:rFonts w:ascii="宋体" w:hAnsi="宋体" w:eastAsia="宋体"/>
      <w:color w:val="000000"/>
      <w:sz w:val="24"/>
      <w:u w:val="none"/>
    </w:rPr>
  </w:style>
  <w:style w:type="character" w:customStyle="1" w:styleId="112">
    <w:name w:val="日期 字符"/>
    <w:autoRedefine/>
    <w:qFormat/>
    <w:locked/>
    <w:uiPriority w:val="99"/>
    <w:rPr>
      <w:rFonts w:ascii="宋体" w:cs="Times New Roman"/>
      <w:sz w:val="24"/>
    </w:rPr>
  </w:style>
  <w:style w:type="character" w:customStyle="1" w:styleId="113">
    <w:name w:val="纯文本 字符"/>
    <w:autoRedefine/>
    <w:qFormat/>
    <w:locked/>
    <w:uiPriority w:val="0"/>
    <w:rPr>
      <w:rFonts w:ascii="宋体" w:hAnsi="Courier New" w:eastAsia="宋体" w:cs="宋体"/>
      <w:lang w:val="en-US" w:eastAsia="zh-CN"/>
    </w:rPr>
  </w:style>
  <w:style w:type="character" w:customStyle="1" w:styleId="114">
    <w:name w:val="标题 9 字符"/>
    <w:autoRedefine/>
    <w:qFormat/>
    <w:locked/>
    <w:uiPriority w:val="9"/>
    <w:rPr>
      <w:rFonts w:ascii="Arial" w:hAnsi="Arial" w:eastAsia="黑体"/>
      <w:kern w:val="2"/>
      <w:sz w:val="21"/>
    </w:rPr>
  </w:style>
  <w:style w:type="character" w:customStyle="1" w:styleId="115">
    <w:name w:val="标题 6 字符"/>
    <w:autoRedefine/>
    <w:qFormat/>
    <w:locked/>
    <w:uiPriority w:val="9"/>
    <w:rPr>
      <w:rFonts w:ascii="Cambria" w:hAnsi="Cambria" w:eastAsia="宋体"/>
      <w:b/>
      <w:kern w:val="2"/>
      <w:sz w:val="24"/>
      <w:lang w:val="en-US" w:eastAsia="zh-CN"/>
    </w:rPr>
  </w:style>
  <w:style w:type="character" w:customStyle="1" w:styleId="116">
    <w:name w:val="h6 Char"/>
    <w:autoRedefine/>
    <w:qFormat/>
    <w:uiPriority w:val="0"/>
    <w:rPr>
      <w:rFonts w:ascii="Arial" w:hAnsi="Arial" w:eastAsia="宋体"/>
      <w:b/>
      <w:kern w:val="2"/>
      <w:sz w:val="24"/>
      <w:lang w:val="en-US" w:eastAsia="zh-CN"/>
    </w:rPr>
  </w:style>
  <w:style w:type="character" w:customStyle="1" w:styleId="117">
    <w:name w:val="文档结构图 字符"/>
    <w:autoRedefine/>
    <w:qFormat/>
    <w:locked/>
    <w:uiPriority w:val="99"/>
    <w:rPr>
      <w:rFonts w:eastAsia="宋体"/>
      <w:kern w:val="2"/>
      <w:sz w:val="21"/>
      <w:lang w:val="en-US" w:eastAsia="zh-CN"/>
    </w:rPr>
  </w:style>
  <w:style w:type="character" w:customStyle="1" w:styleId="118">
    <w:name w:val="列出段落 字符"/>
    <w:autoRedefine/>
    <w:qFormat/>
    <w:locked/>
    <w:uiPriority w:val="34"/>
    <w:rPr>
      <w:rFonts w:eastAsia="宋体"/>
      <w:kern w:val="2"/>
      <w:sz w:val="24"/>
      <w:lang w:val="en-US" w:eastAsia="zh-CN"/>
    </w:rPr>
  </w:style>
  <w:style w:type="character" w:customStyle="1" w:styleId="119">
    <w:name w:val="正文文本 3 字符"/>
    <w:autoRedefine/>
    <w:qFormat/>
    <w:locked/>
    <w:uiPriority w:val="99"/>
    <w:rPr>
      <w:rFonts w:eastAsia="宋体"/>
      <w:sz w:val="16"/>
    </w:rPr>
  </w:style>
  <w:style w:type="character" w:customStyle="1" w:styleId="120">
    <w:name w:val="方案－正文 Char"/>
    <w:link w:val="121"/>
    <w:autoRedefine/>
    <w:qFormat/>
    <w:locked/>
    <w:uiPriority w:val="0"/>
    <w:rPr>
      <w:rFonts w:ascii="仿宋_GB2312" w:hAnsi="宋体"/>
      <w:sz w:val="24"/>
    </w:rPr>
  </w:style>
  <w:style w:type="paragraph" w:customStyle="1" w:styleId="121">
    <w:name w:val="方案－正文"/>
    <w:basedOn w:val="1"/>
    <w:link w:val="120"/>
    <w:autoRedefine/>
    <w:qFormat/>
    <w:uiPriority w:val="0"/>
    <w:pPr>
      <w:spacing w:line="360" w:lineRule="auto"/>
      <w:ind w:firstLine="480" w:firstLineChars="200"/>
    </w:pPr>
    <w:rPr>
      <w:rFonts w:ascii="仿宋_GB2312" w:hAnsi="宋体"/>
      <w:kern w:val="0"/>
      <w:sz w:val="24"/>
    </w:rPr>
  </w:style>
  <w:style w:type="character" w:customStyle="1" w:styleId="122">
    <w:name w:val="正文文本缩进 2 字符"/>
    <w:autoRedefine/>
    <w:qFormat/>
    <w:locked/>
    <w:uiPriority w:val="99"/>
    <w:rPr>
      <w:rFonts w:ascii="宋体" w:eastAsia="宋体"/>
      <w:kern w:val="2"/>
      <w:sz w:val="24"/>
      <w:lang w:val="en-US" w:eastAsia="zh-CN"/>
    </w:rPr>
  </w:style>
  <w:style w:type="character" w:customStyle="1" w:styleId="123">
    <w:name w:val="标题 1 Char"/>
    <w:autoRedefine/>
    <w:qFormat/>
    <w:uiPriority w:val="0"/>
    <w:rPr>
      <w:rFonts w:ascii="宋体" w:eastAsia="宋体"/>
      <w:b/>
      <w:kern w:val="2"/>
      <w:sz w:val="28"/>
      <w:lang w:val="en-US" w:eastAsia="zh-CN"/>
    </w:rPr>
  </w:style>
  <w:style w:type="character" w:customStyle="1" w:styleId="124">
    <w:name w:val="批注文字 Char"/>
    <w:autoRedefine/>
    <w:qFormat/>
    <w:locked/>
    <w:uiPriority w:val="0"/>
    <w:rPr>
      <w:rFonts w:cs="Times New Roman"/>
      <w:kern w:val="2"/>
      <w:sz w:val="21"/>
    </w:rPr>
  </w:style>
  <w:style w:type="character" w:customStyle="1" w:styleId="125">
    <w:name w:val="正文缩进 字符"/>
    <w:autoRedefine/>
    <w:qFormat/>
    <w:locked/>
    <w:uiPriority w:val="0"/>
    <w:rPr>
      <w:rFonts w:ascii="宋体" w:hAnsi="宋体" w:eastAsia="宋体" w:cs="宋体"/>
      <w:spacing w:val="14"/>
      <w:kern w:val="24"/>
      <w:sz w:val="24"/>
      <w:szCs w:val="24"/>
      <w:lang w:val="en-US" w:eastAsia="zh-CN"/>
    </w:rPr>
  </w:style>
  <w:style w:type="character" w:customStyle="1" w:styleId="126">
    <w:name w:val="批注框文本 Char"/>
    <w:autoRedefine/>
    <w:semiHidden/>
    <w:qFormat/>
    <w:locked/>
    <w:uiPriority w:val="99"/>
    <w:rPr>
      <w:rFonts w:cs="Times New Roman"/>
      <w:kern w:val="2"/>
      <w:sz w:val="18"/>
      <w:szCs w:val="18"/>
    </w:rPr>
  </w:style>
  <w:style w:type="character" w:customStyle="1" w:styleId="127">
    <w:name w:val="font11"/>
    <w:autoRedefine/>
    <w:qFormat/>
    <w:uiPriority w:val="0"/>
    <w:rPr>
      <w:rFonts w:ascii="Times New Roman" w:hAnsi="Times New Roman"/>
      <w:color w:val="000000"/>
      <w:sz w:val="24"/>
      <w:u w:val="none"/>
    </w:rPr>
  </w:style>
  <w:style w:type="character" w:customStyle="1" w:styleId="128">
    <w:name w:val="批注文字 字符"/>
    <w:autoRedefine/>
    <w:qFormat/>
    <w:locked/>
    <w:uiPriority w:val="99"/>
    <w:rPr>
      <w:rFonts w:ascii="宋体" w:hAnsi="宋体" w:eastAsia="宋体" w:cs="宋体"/>
      <w:kern w:val="2"/>
      <w:sz w:val="21"/>
      <w:szCs w:val="21"/>
      <w:lang w:val="en-US" w:eastAsia="zh-CN"/>
    </w:rPr>
  </w:style>
  <w:style w:type="character" w:customStyle="1" w:styleId="129">
    <w:name w:val="批注主题 字符"/>
    <w:autoRedefine/>
    <w:qFormat/>
    <w:locked/>
    <w:uiPriority w:val="99"/>
    <w:rPr>
      <w:rFonts w:ascii="宋体" w:hAnsi="宋体" w:eastAsia="宋体" w:cs="宋体"/>
      <w:b/>
      <w:kern w:val="2"/>
      <w:sz w:val="21"/>
      <w:szCs w:val="21"/>
      <w:lang w:val="en-US" w:eastAsia="zh-CN"/>
    </w:rPr>
  </w:style>
  <w:style w:type="character" w:customStyle="1" w:styleId="130">
    <w:name w:val="批注文字 字符1"/>
    <w:autoRedefine/>
    <w:semiHidden/>
    <w:qFormat/>
    <w:uiPriority w:val="99"/>
    <w:rPr>
      <w:kern w:val="2"/>
      <w:sz w:val="21"/>
    </w:rPr>
  </w:style>
  <w:style w:type="character" w:customStyle="1" w:styleId="131">
    <w:name w:val="列出段落 Char"/>
    <w:link w:val="132"/>
    <w:autoRedefine/>
    <w:qFormat/>
    <w:locked/>
    <w:uiPriority w:val="34"/>
    <w:rPr>
      <w:rFonts w:eastAsia="宋体"/>
      <w:kern w:val="2"/>
      <w:sz w:val="24"/>
      <w:lang w:val="en-US" w:eastAsia="zh-CN"/>
    </w:rPr>
  </w:style>
  <w:style w:type="paragraph" w:styleId="132">
    <w:name w:val="List Paragraph"/>
    <w:basedOn w:val="1"/>
    <w:link w:val="131"/>
    <w:autoRedefine/>
    <w:qFormat/>
    <w:uiPriority w:val="34"/>
    <w:pPr>
      <w:ind w:firstLine="420" w:firstLineChars="200"/>
    </w:pPr>
    <w:rPr>
      <w:sz w:val="24"/>
    </w:rPr>
  </w:style>
  <w:style w:type="character" w:customStyle="1" w:styleId="133">
    <w:name w:val="正文文本缩进 Char1"/>
    <w:autoRedefine/>
    <w:qFormat/>
    <w:uiPriority w:val="0"/>
    <w:rPr>
      <w:rFonts w:eastAsia="方正书宋简体"/>
      <w:kern w:val="2"/>
      <w:sz w:val="24"/>
      <w:lang w:val="en-US" w:eastAsia="zh-CN"/>
    </w:rPr>
  </w:style>
  <w:style w:type="character" w:customStyle="1" w:styleId="134">
    <w:name w:val="hui3"/>
    <w:autoRedefine/>
    <w:qFormat/>
    <w:uiPriority w:val="0"/>
    <w:rPr>
      <w:color w:val="333333"/>
    </w:rPr>
  </w:style>
  <w:style w:type="character" w:customStyle="1" w:styleId="135">
    <w:name w:val="纯文本 Char Char"/>
    <w:link w:val="136"/>
    <w:autoRedefine/>
    <w:qFormat/>
    <w:uiPriority w:val="0"/>
    <w:rPr>
      <w:rFonts w:ascii="宋体" w:hAnsi="Courier New"/>
      <w:kern w:val="2"/>
      <w:sz w:val="21"/>
    </w:rPr>
  </w:style>
  <w:style w:type="paragraph" w:customStyle="1" w:styleId="136">
    <w:name w:val="纯文本1"/>
    <w:basedOn w:val="1"/>
    <w:link w:val="135"/>
    <w:autoRedefine/>
    <w:qFormat/>
    <w:uiPriority w:val="0"/>
    <w:rPr>
      <w:rFonts w:ascii="宋体" w:hAnsi="Courier New"/>
    </w:rPr>
  </w:style>
  <w:style w:type="character" w:customStyle="1" w:styleId="137">
    <w:name w:val="NormalCharacter"/>
    <w:autoRedefine/>
    <w:semiHidden/>
    <w:qFormat/>
    <w:uiPriority w:val="0"/>
  </w:style>
  <w:style w:type="character" w:customStyle="1" w:styleId="138">
    <w:name w:val="页脚 字符"/>
    <w:autoRedefine/>
    <w:qFormat/>
    <w:locked/>
    <w:uiPriority w:val="99"/>
    <w:rPr>
      <w:rFonts w:ascii="宋体" w:hAnsi="宋体" w:eastAsia="宋体" w:cs="宋体"/>
      <w:kern w:val="2"/>
      <w:sz w:val="18"/>
      <w:szCs w:val="18"/>
      <w:lang w:val="en-US" w:eastAsia="zh-CN"/>
    </w:rPr>
  </w:style>
  <w:style w:type="character" w:customStyle="1" w:styleId="139">
    <w:name w:val="正文文本 2 字符"/>
    <w:autoRedefine/>
    <w:qFormat/>
    <w:locked/>
    <w:uiPriority w:val="99"/>
    <w:rPr>
      <w:rFonts w:eastAsia="宋体"/>
      <w:sz w:val="24"/>
    </w:rPr>
  </w:style>
  <w:style w:type="character" w:customStyle="1" w:styleId="140">
    <w:name w:val="批注主题 字符1"/>
    <w:autoRedefine/>
    <w:semiHidden/>
    <w:qFormat/>
    <w:uiPriority w:val="99"/>
    <w:rPr>
      <w:b/>
      <w:bCs/>
      <w:kern w:val="2"/>
      <w:sz w:val="21"/>
    </w:rPr>
  </w:style>
  <w:style w:type="character" w:customStyle="1" w:styleId="141">
    <w:name w:val="页眉 字符1"/>
    <w:autoRedefine/>
    <w:semiHidden/>
    <w:qFormat/>
    <w:uiPriority w:val="99"/>
    <w:rPr>
      <w:kern w:val="2"/>
      <w:sz w:val="18"/>
      <w:szCs w:val="18"/>
    </w:rPr>
  </w:style>
  <w:style w:type="character" w:customStyle="1" w:styleId="142">
    <w:name w:val="正文文本缩进 2 字符1"/>
    <w:autoRedefine/>
    <w:semiHidden/>
    <w:qFormat/>
    <w:uiPriority w:val="99"/>
    <w:rPr>
      <w:kern w:val="2"/>
      <w:sz w:val="21"/>
    </w:rPr>
  </w:style>
  <w:style w:type="character" w:customStyle="1" w:styleId="143">
    <w:name w:val="正文首行缩进 字符"/>
    <w:autoRedefine/>
    <w:qFormat/>
    <w:locked/>
    <w:uiPriority w:val="99"/>
    <w:rPr>
      <w:rFonts w:ascii="宋体" w:hAnsi="宋体" w:eastAsia="宋体" w:cs="宋体"/>
      <w:i/>
      <w:kern w:val="2"/>
      <w:sz w:val="24"/>
      <w:lang w:val="en-US" w:eastAsia="zh-CN"/>
    </w:rPr>
  </w:style>
  <w:style w:type="character" w:customStyle="1" w:styleId="144">
    <w:name w:val="正文文本缩进 字符1"/>
    <w:autoRedefine/>
    <w:qFormat/>
    <w:locked/>
    <w:uiPriority w:val="99"/>
    <w:rPr>
      <w:rFonts w:eastAsia="方正书宋简体"/>
      <w:kern w:val="2"/>
      <w:sz w:val="24"/>
      <w:lang w:val="en-US" w:eastAsia="zh-CN"/>
    </w:rPr>
  </w:style>
  <w:style w:type="character" w:customStyle="1" w:styleId="145">
    <w:name w:val="纯文本 字符1"/>
    <w:autoRedefine/>
    <w:semiHidden/>
    <w:qFormat/>
    <w:uiPriority w:val="99"/>
    <w:rPr>
      <w:rFonts w:ascii="等线" w:hAnsi="Courier New" w:eastAsia="等线" w:cs="Courier New"/>
      <w:kern w:val="2"/>
      <w:sz w:val="21"/>
    </w:rPr>
  </w:style>
  <w:style w:type="character" w:customStyle="1" w:styleId="146">
    <w:name w:val="纯文本 字符2"/>
    <w:autoRedefine/>
    <w:qFormat/>
    <w:locked/>
    <w:uiPriority w:val="99"/>
    <w:rPr>
      <w:rFonts w:ascii="宋体" w:hAnsi="Courier New" w:cs="宋体"/>
    </w:rPr>
  </w:style>
  <w:style w:type="character" w:customStyle="1" w:styleId="147">
    <w:name w:val="HTML 预设格式 字符"/>
    <w:autoRedefine/>
    <w:qFormat/>
    <w:locked/>
    <w:uiPriority w:val="99"/>
    <w:rPr>
      <w:rFonts w:ascii="Courier New" w:hAnsi="Courier New"/>
      <w:kern w:val="2"/>
    </w:rPr>
  </w:style>
  <w:style w:type="character" w:customStyle="1" w:styleId="148">
    <w:name w:val="标题 3 Char"/>
    <w:autoRedefine/>
    <w:qFormat/>
    <w:uiPriority w:val="0"/>
    <w:rPr>
      <w:rFonts w:ascii="Arial" w:hAnsi="Arial" w:eastAsia="黑体"/>
      <w:b/>
      <w:kern w:val="2"/>
      <w:sz w:val="32"/>
      <w:lang w:val="en-US" w:eastAsia="zh-CN"/>
    </w:rPr>
  </w:style>
  <w:style w:type="character" w:customStyle="1" w:styleId="149">
    <w:name w:val="标题 5 字符"/>
    <w:autoRedefine/>
    <w:qFormat/>
    <w:locked/>
    <w:uiPriority w:val="9"/>
    <w:rPr>
      <w:rFonts w:eastAsia="宋体"/>
      <w:b/>
      <w:kern w:val="2"/>
      <w:sz w:val="28"/>
      <w:lang w:val="en-US" w:eastAsia="zh-CN"/>
    </w:rPr>
  </w:style>
  <w:style w:type="character" w:customStyle="1" w:styleId="150">
    <w:name w:val="金保标题3 Char"/>
    <w:link w:val="151"/>
    <w:autoRedefine/>
    <w:qFormat/>
    <w:locked/>
    <w:uiPriority w:val="0"/>
    <w:rPr>
      <w:rFonts w:ascii="楷体" w:hAnsi="楷体" w:eastAsia="楷体"/>
      <w:b/>
      <w:sz w:val="28"/>
    </w:rPr>
  </w:style>
  <w:style w:type="paragraph" w:customStyle="1" w:styleId="151">
    <w:name w:val="金保标题3"/>
    <w:basedOn w:val="4"/>
    <w:next w:val="1"/>
    <w:link w:val="150"/>
    <w:autoRedefine/>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152">
    <w:name w:val="文档结构图 字符1"/>
    <w:autoRedefine/>
    <w:semiHidden/>
    <w:qFormat/>
    <w:uiPriority w:val="99"/>
    <w:rPr>
      <w:rFonts w:ascii="Microsoft YaHei UI" w:eastAsia="Microsoft YaHei UI"/>
      <w:kern w:val="2"/>
      <w:sz w:val="18"/>
      <w:szCs w:val="18"/>
    </w:rPr>
  </w:style>
  <w:style w:type="character" w:customStyle="1" w:styleId="153">
    <w:name w:val="页脚 字符1"/>
    <w:autoRedefine/>
    <w:semiHidden/>
    <w:qFormat/>
    <w:uiPriority w:val="99"/>
    <w:rPr>
      <w:kern w:val="2"/>
      <w:sz w:val="18"/>
      <w:szCs w:val="18"/>
    </w:rPr>
  </w:style>
  <w:style w:type="character" w:customStyle="1" w:styleId="154">
    <w:name w:val="HTML 预设格式 字符1"/>
    <w:autoRedefine/>
    <w:semiHidden/>
    <w:qFormat/>
    <w:uiPriority w:val="99"/>
    <w:rPr>
      <w:rFonts w:ascii="Courier New" w:hAnsi="Courier New" w:cs="Courier New"/>
      <w:kern w:val="2"/>
    </w:rPr>
  </w:style>
  <w:style w:type="character" w:customStyle="1" w:styleId="155">
    <w:name w:val="批注框文本 字符"/>
    <w:autoRedefine/>
    <w:qFormat/>
    <w:locked/>
    <w:uiPriority w:val="99"/>
    <w:rPr>
      <w:rFonts w:ascii="宋体" w:hAnsi="宋体" w:eastAsia="宋体" w:cs="宋体"/>
      <w:kern w:val="2"/>
      <w:sz w:val="18"/>
      <w:szCs w:val="18"/>
      <w:lang w:val="en-US" w:eastAsia="zh-CN"/>
    </w:rPr>
  </w:style>
  <w:style w:type="character" w:customStyle="1" w:styleId="156">
    <w:name w:val="标题 8 字符"/>
    <w:autoRedefine/>
    <w:qFormat/>
    <w:locked/>
    <w:uiPriority w:val="9"/>
    <w:rPr>
      <w:rFonts w:ascii="Arial" w:hAnsi="Arial" w:eastAsia="黑体"/>
      <w:kern w:val="2"/>
      <w:sz w:val="24"/>
    </w:rPr>
  </w:style>
  <w:style w:type="character" w:customStyle="1" w:styleId="157">
    <w:name w:val="正文文本缩进 3 Char"/>
    <w:autoRedefine/>
    <w:qFormat/>
    <w:uiPriority w:val="0"/>
    <w:rPr>
      <w:rFonts w:ascii="宋体" w:eastAsia="宋体"/>
      <w:kern w:val="2"/>
      <w:sz w:val="24"/>
      <w:lang w:val="en-US" w:eastAsia="zh-CN"/>
    </w:rPr>
  </w:style>
  <w:style w:type="character" w:customStyle="1" w:styleId="158">
    <w:name w:val="正文文本缩进 字符2"/>
    <w:autoRedefine/>
    <w:semiHidden/>
    <w:qFormat/>
    <w:uiPriority w:val="99"/>
    <w:rPr>
      <w:kern w:val="2"/>
      <w:sz w:val="21"/>
    </w:rPr>
  </w:style>
  <w:style w:type="character" w:customStyle="1" w:styleId="159">
    <w:name w:val="标题 3 字符"/>
    <w:autoRedefine/>
    <w:qFormat/>
    <w:locked/>
    <w:uiPriority w:val="9"/>
    <w:rPr>
      <w:rFonts w:ascii="宋体" w:hAnsi="宋体" w:eastAsia="宋体" w:cs="宋体"/>
      <w:b/>
      <w:kern w:val="2"/>
      <w:sz w:val="32"/>
      <w:szCs w:val="32"/>
      <w:lang w:val="en-US" w:eastAsia="zh-CN"/>
    </w:rPr>
  </w:style>
  <w:style w:type="character" w:customStyle="1" w:styleId="160">
    <w:name w:val="标题 4 字符"/>
    <w:autoRedefine/>
    <w:qFormat/>
    <w:locked/>
    <w:uiPriority w:val="9"/>
    <w:rPr>
      <w:rFonts w:ascii="Arial" w:hAnsi="Arial" w:eastAsia="黑体"/>
      <w:b/>
      <w:kern w:val="2"/>
      <w:sz w:val="28"/>
      <w:lang w:val="en-US" w:eastAsia="zh-CN"/>
    </w:rPr>
  </w:style>
  <w:style w:type="character" w:customStyle="1" w:styleId="161">
    <w:name w:val="样式4 Char"/>
    <w:link w:val="162"/>
    <w:autoRedefine/>
    <w:qFormat/>
    <w:locked/>
    <w:uiPriority w:val="0"/>
    <w:rPr>
      <w:rFonts w:ascii="黑体" w:hAnsi="黑体" w:eastAsia="黑体"/>
      <w:kern w:val="44"/>
      <w:sz w:val="44"/>
      <w:lang w:val="en-US" w:eastAsia="zh-CN"/>
    </w:rPr>
  </w:style>
  <w:style w:type="paragraph" w:customStyle="1" w:styleId="162">
    <w:name w:val="样式4"/>
    <w:basedOn w:val="2"/>
    <w:link w:val="161"/>
    <w:autoRedefine/>
    <w:qFormat/>
    <w:uiPriority w:val="0"/>
    <w:pPr>
      <w:keepLines/>
      <w:spacing w:line="360" w:lineRule="auto"/>
    </w:pPr>
    <w:rPr>
      <w:rFonts w:ascii="黑体" w:hAnsi="黑体" w:eastAsia="黑体"/>
      <w:b w:val="0"/>
      <w:szCs w:val="20"/>
    </w:rPr>
  </w:style>
  <w:style w:type="character" w:customStyle="1" w:styleId="163">
    <w:name w:val="正文文本缩进 字符"/>
    <w:autoRedefine/>
    <w:qFormat/>
    <w:uiPriority w:val="0"/>
    <w:rPr>
      <w:rFonts w:ascii="Calibri" w:hAnsi="Calibri" w:cs="Calibri"/>
    </w:rPr>
  </w:style>
  <w:style w:type="character" w:customStyle="1" w:styleId="164">
    <w:name w:val="表格用 Char Char"/>
    <w:link w:val="165"/>
    <w:autoRedefine/>
    <w:qFormat/>
    <w:locked/>
    <w:uiPriority w:val="0"/>
    <w:rPr>
      <w:rFonts w:ascii="宋体" w:hAnsi="宋体" w:cs="宋体"/>
      <w:szCs w:val="24"/>
    </w:rPr>
  </w:style>
  <w:style w:type="paragraph" w:customStyle="1" w:styleId="165">
    <w:name w:val="表格用"/>
    <w:basedOn w:val="1"/>
    <w:link w:val="164"/>
    <w:autoRedefine/>
    <w:qFormat/>
    <w:uiPriority w:val="0"/>
    <w:pPr>
      <w:widowControl/>
      <w:spacing w:line="360" w:lineRule="auto"/>
      <w:jc w:val="left"/>
    </w:pPr>
    <w:rPr>
      <w:rFonts w:ascii="宋体" w:hAnsi="宋体"/>
      <w:kern w:val="0"/>
      <w:sz w:val="20"/>
      <w:szCs w:val="24"/>
    </w:rPr>
  </w:style>
  <w:style w:type="character" w:customStyle="1" w:styleId="166">
    <w:name w:val="批注主题 Char"/>
    <w:autoRedefine/>
    <w:semiHidden/>
    <w:qFormat/>
    <w:locked/>
    <w:uiPriority w:val="0"/>
    <w:rPr>
      <w:rFonts w:cs="Times New Roman"/>
      <w:b/>
      <w:bCs/>
      <w:kern w:val="2"/>
      <w:sz w:val="21"/>
    </w:rPr>
  </w:style>
  <w:style w:type="character" w:customStyle="1" w:styleId="167">
    <w:name w:val="标题 1 字符"/>
    <w:autoRedefine/>
    <w:qFormat/>
    <w:locked/>
    <w:uiPriority w:val="9"/>
    <w:rPr>
      <w:rFonts w:ascii="宋体" w:hAnsi="宋体" w:eastAsia="宋体" w:cs="宋体"/>
      <w:b/>
      <w:kern w:val="44"/>
      <w:sz w:val="44"/>
      <w:szCs w:val="44"/>
      <w:lang w:val="en-US" w:eastAsia="zh-CN"/>
    </w:rPr>
  </w:style>
  <w:style w:type="character" w:customStyle="1" w:styleId="168">
    <w:name w:val="标题 1 Char Char"/>
    <w:autoRedefine/>
    <w:qFormat/>
    <w:uiPriority w:val="0"/>
    <w:rPr>
      <w:rFonts w:eastAsia="宋体"/>
      <w:b/>
      <w:spacing w:val="-2"/>
      <w:sz w:val="24"/>
      <w:lang w:val="en-US" w:eastAsia="zh-CN"/>
    </w:rPr>
  </w:style>
  <w:style w:type="character" w:customStyle="1" w:styleId="169">
    <w:name w:val="正文文本 Char1"/>
    <w:autoRedefine/>
    <w:qFormat/>
    <w:uiPriority w:val="99"/>
    <w:rPr>
      <w:rFonts w:ascii="Times New Roman" w:hAnsi="Times New Roman" w:eastAsia="宋体" w:cs="Times New Roman"/>
      <w:sz w:val="24"/>
      <w:szCs w:val="24"/>
    </w:rPr>
  </w:style>
  <w:style w:type="character" w:customStyle="1" w:styleId="170">
    <w:name w:val="标题 2 Char"/>
    <w:autoRedefine/>
    <w:qFormat/>
    <w:uiPriority w:val="0"/>
    <w:rPr>
      <w:rFonts w:ascii="Arial" w:hAnsi="Arial" w:eastAsia="黑体"/>
      <w:b/>
      <w:kern w:val="2"/>
      <w:sz w:val="32"/>
      <w:lang w:val="en-US" w:eastAsia="zh-CN"/>
    </w:rPr>
  </w:style>
  <w:style w:type="character" w:customStyle="1" w:styleId="171">
    <w:name w:val="正文文本缩进 Char"/>
    <w:autoRedefine/>
    <w:qFormat/>
    <w:locked/>
    <w:uiPriority w:val="99"/>
    <w:rPr>
      <w:rFonts w:eastAsia="方正书宋简体"/>
      <w:kern w:val="2"/>
      <w:sz w:val="24"/>
      <w:lang w:val="en-US" w:eastAsia="zh-CN"/>
    </w:rPr>
  </w:style>
  <w:style w:type="character" w:customStyle="1" w:styleId="172">
    <w:name w:val="正文文本 2 字符1"/>
    <w:autoRedefine/>
    <w:semiHidden/>
    <w:qFormat/>
    <w:uiPriority w:val="99"/>
    <w:rPr>
      <w:kern w:val="2"/>
      <w:sz w:val="21"/>
    </w:rPr>
  </w:style>
  <w:style w:type="character" w:customStyle="1" w:styleId="173">
    <w:name w:val="页眉 字符"/>
    <w:autoRedefine/>
    <w:qFormat/>
    <w:locked/>
    <w:uiPriority w:val="99"/>
    <w:rPr>
      <w:rFonts w:ascii="宋体" w:hAnsi="宋体" w:eastAsia="宋体" w:cs="宋体"/>
      <w:kern w:val="2"/>
      <w:sz w:val="18"/>
      <w:szCs w:val="18"/>
      <w:lang w:val="en-US" w:eastAsia="zh-CN"/>
    </w:rPr>
  </w:style>
  <w:style w:type="character" w:customStyle="1" w:styleId="174">
    <w:name w:val="正文文本首行缩进 字符"/>
    <w:autoRedefine/>
    <w:semiHidden/>
    <w:qFormat/>
    <w:uiPriority w:val="99"/>
  </w:style>
  <w:style w:type="character" w:customStyle="1" w:styleId="175">
    <w:name w:val="样式5 Char"/>
    <w:link w:val="176"/>
    <w:autoRedefine/>
    <w:qFormat/>
    <w:locked/>
    <w:uiPriority w:val="0"/>
    <w:rPr>
      <w:rFonts w:eastAsia="宋体"/>
      <w:b/>
      <w:kern w:val="2"/>
      <w:sz w:val="28"/>
      <w:lang w:val="en-US" w:eastAsia="zh-CN"/>
    </w:rPr>
  </w:style>
  <w:style w:type="paragraph" w:customStyle="1" w:styleId="176">
    <w:name w:val="样式5"/>
    <w:basedOn w:val="1"/>
    <w:link w:val="175"/>
    <w:autoRedefine/>
    <w:qFormat/>
    <w:uiPriority w:val="0"/>
    <w:pPr>
      <w:keepNext/>
      <w:keepLines/>
      <w:spacing w:before="280" w:after="290" w:line="376" w:lineRule="auto"/>
      <w:ind w:left="210" w:leftChars="100" w:right="210" w:rightChars="100"/>
      <w:outlineLvl w:val="4"/>
    </w:pPr>
    <w:rPr>
      <w:b/>
      <w:sz w:val="28"/>
    </w:rPr>
  </w:style>
  <w:style w:type="character" w:customStyle="1" w:styleId="177">
    <w:name w:val="样式1 Char"/>
    <w:link w:val="178"/>
    <w:autoRedefine/>
    <w:qFormat/>
    <w:locked/>
    <w:uiPriority w:val="0"/>
    <w:rPr>
      <w:rFonts w:ascii="黑体" w:hAnsi="黑体" w:eastAsia="黑体"/>
      <w:b/>
      <w:kern w:val="2"/>
      <w:sz w:val="32"/>
    </w:rPr>
  </w:style>
  <w:style w:type="paragraph" w:customStyle="1" w:styleId="178">
    <w:name w:val="样式1"/>
    <w:basedOn w:val="3"/>
    <w:link w:val="177"/>
    <w:autoRedefine/>
    <w:qFormat/>
    <w:uiPriority w:val="0"/>
    <w:pPr>
      <w:tabs>
        <w:tab w:val="clear" w:pos="578"/>
      </w:tabs>
      <w:spacing w:beforeLines="0" w:afterLines="0"/>
      <w:ind w:left="0" w:firstLine="0"/>
    </w:pPr>
    <w:rPr>
      <w:rFonts w:ascii="黑体" w:hAnsi="黑体"/>
      <w:bCs w:val="0"/>
      <w:szCs w:val="20"/>
    </w:rPr>
  </w:style>
  <w:style w:type="character" w:customStyle="1" w:styleId="179">
    <w:name w:val="apple-style-span"/>
    <w:autoRedefine/>
    <w:qFormat/>
    <w:uiPriority w:val="0"/>
    <w:rPr>
      <w:rFonts w:cs="Times New Roman"/>
    </w:rPr>
  </w:style>
  <w:style w:type="character" w:customStyle="1" w:styleId="180">
    <w:name w:val="标题 7 字符"/>
    <w:autoRedefine/>
    <w:qFormat/>
    <w:locked/>
    <w:uiPriority w:val="9"/>
    <w:rPr>
      <w:b/>
      <w:kern w:val="2"/>
      <w:sz w:val="24"/>
    </w:rPr>
  </w:style>
  <w:style w:type="character" w:customStyle="1" w:styleId="181">
    <w:name w:val="未处理的提及"/>
    <w:autoRedefine/>
    <w:unhideWhenUsed/>
    <w:qFormat/>
    <w:uiPriority w:val="99"/>
    <w:rPr>
      <w:color w:val="605E5C"/>
      <w:shd w:val="clear" w:color="auto" w:fill="E1DFDD"/>
    </w:rPr>
  </w:style>
  <w:style w:type="character" w:customStyle="1" w:styleId="182">
    <w:name w:val="哈哈正文 Char"/>
    <w:link w:val="183"/>
    <w:autoRedefine/>
    <w:qFormat/>
    <w:locked/>
    <w:uiPriority w:val="0"/>
    <w:rPr>
      <w:rFonts w:ascii="宋体" w:hAnsi="宋体" w:eastAsia="宋体"/>
      <w:kern w:val="2"/>
      <w:sz w:val="24"/>
      <w:lang w:val="en-US" w:eastAsia="zh-CN"/>
    </w:rPr>
  </w:style>
  <w:style w:type="paragraph" w:customStyle="1" w:styleId="183">
    <w:name w:val="哈哈正文"/>
    <w:basedOn w:val="1"/>
    <w:link w:val="182"/>
    <w:autoRedefine/>
    <w:qFormat/>
    <w:uiPriority w:val="0"/>
    <w:pPr>
      <w:spacing w:line="360" w:lineRule="auto"/>
      <w:ind w:firstLine="200" w:firstLineChars="200"/>
    </w:pPr>
    <w:rPr>
      <w:rFonts w:ascii="宋体" w:hAnsi="宋体"/>
      <w:sz w:val="24"/>
    </w:rPr>
  </w:style>
  <w:style w:type="character" w:customStyle="1" w:styleId="184">
    <w:name w:val="标题 2 字符"/>
    <w:autoRedefine/>
    <w:qFormat/>
    <w:locked/>
    <w:uiPriority w:val="9"/>
    <w:rPr>
      <w:rFonts w:ascii="Cambria" w:hAnsi="Cambria" w:eastAsia="宋体" w:cs="Cambria"/>
      <w:kern w:val="2"/>
      <w:sz w:val="21"/>
      <w:szCs w:val="21"/>
      <w:lang w:val="en-US" w:eastAsia="zh-CN"/>
    </w:rPr>
  </w:style>
  <w:style w:type="character" w:customStyle="1" w:styleId="185">
    <w:name w:val="正文文本缩进 3 字符"/>
    <w:autoRedefine/>
    <w:qFormat/>
    <w:locked/>
    <w:uiPriority w:val="99"/>
    <w:rPr>
      <w:rFonts w:ascii="宋体" w:hAnsi="宋体" w:eastAsia="宋体" w:cs="宋体"/>
      <w:b/>
      <w:kern w:val="2"/>
      <w:sz w:val="24"/>
      <w:szCs w:val="24"/>
      <w:lang w:val="en-US" w:eastAsia="zh-CN"/>
    </w:rPr>
  </w:style>
  <w:style w:type="character" w:customStyle="1" w:styleId="186">
    <w:name w:val="正文文本缩进 3 字符1"/>
    <w:autoRedefine/>
    <w:semiHidden/>
    <w:qFormat/>
    <w:uiPriority w:val="99"/>
    <w:rPr>
      <w:kern w:val="2"/>
      <w:sz w:val="16"/>
      <w:szCs w:val="16"/>
    </w:rPr>
  </w:style>
  <w:style w:type="paragraph" w:customStyle="1" w:styleId="187">
    <w:name w:val="Char"/>
    <w:basedOn w:val="1"/>
    <w:autoRedefine/>
    <w:qFormat/>
    <w:uiPriority w:val="0"/>
    <w:rPr>
      <w:rFonts w:ascii="仿宋_GB2312" w:eastAsia="仿宋_GB2312"/>
      <w:b/>
      <w:sz w:val="32"/>
      <w:szCs w:val="32"/>
    </w:rPr>
  </w:style>
  <w:style w:type="paragraph" w:customStyle="1" w:styleId="188">
    <w:name w:val="Char Char Char1 Char"/>
    <w:basedOn w:val="1"/>
    <w:autoRedefine/>
    <w:qFormat/>
    <w:uiPriority w:val="0"/>
    <w:pPr>
      <w:spacing w:line="360" w:lineRule="auto"/>
      <w:ind w:firstLine="200" w:firstLineChars="200"/>
    </w:pPr>
  </w:style>
  <w:style w:type="paragraph" w:customStyle="1" w:styleId="189">
    <w:name w:val="无间隔1"/>
    <w:autoRedefine/>
    <w:qFormat/>
    <w:uiPriority w:val="0"/>
    <w:rPr>
      <w:rFonts w:ascii="Times New Roman" w:hAnsi="Times New Roman" w:eastAsia="宋体" w:cs="Times New Roman"/>
      <w:sz w:val="21"/>
      <w:lang w:val="en-US" w:eastAsia="zh-CN" w:bidi="ar-SA"/>
    </w:rPr>
  </w:style>
  <w:style w:type="paragraph" w:customStyle="1" w:styleId="190">
    <w:name w:val="默认段落字体11"/>
    <w:basedOn w:val="1"/>
    <w:autoRedefine/>
    <w:qFormat/>
    <w:uiPriority w:val="0"/>
    <w:pPr>
      <w:widowControl/>
      <w:spacing w:before="100" w:beforeAutospacing="1" w:after="100" w:afterAutospacing="1"/>
      <w:jc w:val="left"/>
    </w:pPr>
    <w:rPr>
      <w:szCs w:val="22"/>
    </w:rPr>
  </w:style>
  <w:style w:type="paragraph" w:customStyle="1" w:styleId="191">
    <w:name w:val="xl25"/>
    <w:basedOn w:val="1"/>
    <w:autoRedefine/>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192">
    <w:name w:val="Item List in Table"/>
    <w:basedOn w:val="1"/>
    <w:autoRedefine/>
    <w:qFormat/>
    <w:uiPriority w:val="0"/>
    <w:pPr>
      <w:widowControl/>
      <w:tabs>
        <w:tab w:val="left" w:pos="284"/>
      </w:tabs>
      <w:topLinePunct/>
      <w:adjustRightInd w:val="0"/>
      <w:snapToGrid w:val="0"/>
      <w:spacing w:before="80" w:after="80" w:line="240" w:lineRule="atLeast"/>
      <w:jc w:val="left"/>
    </w:pPr>
    <w:rPr>
      <w:rFonts w:cs="Arial"/>
      <w:kern w:val="0"/>
      <w:szCs w:val="21"/>
    </w:rPr>
  </w:style>
  <w:style w:type="paragraph" w:customStyle="1" w:styleId="193">
    <w:name w:val="符号 1"/>
    <w:basedOn w:val="19"/>
    <w:autoRedefine/>
    <w:qFormat/>
    <w:uiPriority w:val="0"/>
    <w:pPr>
      <w:tabs>
        <w:tab w:val="left" w:pos="900"/>
      </w:tabs>
      <w:spacing w:line="360" w:lineRule="auto"/>
      <w:ind w:left="1200" w:hanging="720"/>
    </w:pPr>
    <w:rPr>
      <w:rFonts w:eastAsia="宋体"/>
      <w:kern w:val="28"/>
      <w:szCs w:val="24"/>
    </w:rPr>
  </w:style>
  <w:style w:type="paragraph" w:customStyle="1" w:styleId="194">
    <w:name w:val="Char Char Char Char Char Char Char"/>
    <w:basedOn w:val="1"/>
    <w:autoRedefine/>
    <w:qFormat/>
    <w:uiPriority w:val="0"/>
    <w:pPr>
      <w:tabs>
        <w:tab w:val="left" w:pos="432"/>
      </w:tabs>
      <w:ind w:left="432" w:hanging="432"/>
    </w:pPr>
    <w:rPr>
      <w:rFonts w:ascii="Tahoma" w:hAnsi="Tahoma"/>
      <w:sz w:val="24"/>
    </w:rPr>
  </w:style>
  <w:style w:type="paragraph" w:customStyle="1" w:styleId="195">
    <w:name w:val="标题1"/>
    <w:basedOn w:val="24"/>
    <w:autoRedefine/>
    <w:qFormat/>
    <w:uiPriority w:val="0"/>
    <w:pPr>
      <w:keepLines/>
      <w:tabs>
        <w:tab w:val="left" w:pos="397"/>
      </w:tabs>
      <w:spacing w:before="120" w:after="120" w:line="300" w:lineRule="auto"/>
      <w:ind w:firstLine="340"/>
    </w:pPr>
    <w:rPr>
      <w:rFonts w:ascii="黑体" w:hAnsi="宋体" w:eastAsia="黑体"/>
      <w:b/>
      <w:bCs/>
      <w:spacing w:val="6"/>
      <w:kern w:val="44"/>
      <w:sz w:val="36"/>
    </w:rPr>
  </w:style>
  <w:style w:type="paragraph" w:customStyle="1" w:styleId="196">
    <w:name w:val="Body"/>
    <w:autoRedefine/>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97">
    <w:name w:val="Char11"/>
    <w:basedOn w:val="1"/>
    <w:autoRedefine/>
    <w:qFormat/>
    <w:uiPriority w:val="0"/>
    <w:rPr>
      <w:szCs w:val="24"/>
    </w:rPr>
  </w:style>
  <w:style w:type="paragraph" w:customStyle="1" w:styleId="198">
    <w:name w:val="itemlistintab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99">
    <w:name w:val="Char12"/>
    <w:basedOn w:val="1"/>
    <w:autoRedefine/>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00">
    <w:name w:val="首行缩进"/>
    <w:basedOn w:val="1"/>
    <w:autoRedefine/>
    <w:qFormat/>
    <w:uiPriority w:val="0"/>
    <w:pPr>
      <w:spacing w:line="360" w:lineRule="auto"/>
      <w:ind w:firstLine="480" w:firstLineChars="200"/>
      <w:jc w:val="left"/>
    </w:pPr>
    <w:rPr>
      <w:rFonts w:ascii="宋体" w:hAnsi="宋体"/>
      <w:sz w:val="24"/>
    </w:rPr>
  </w:style>
  <w:style w:type="paragraph" w:customStyle="1" w:styleId="201">
    <w:name w:val="正文 居中"/>
    <w:basedOn w:val="1"/>
    <w:autoRedefine/>
    <w:qFormat/>
    <w:uiPriority w:val="0"/>
    <w:pPr>
      <w:spacing w:line="360" w:lineRule="auto"/>
      <w:jc w:val="center"/>
    </w:pPr>
    <w:rPr>
      <w:rFonts w:cs="宋体"/>
      <w:sz w:val="24"/>
    </w:rPr>
  </w:style>
  <w:style w:type="paragraph" w:customStyle="1" w:styleId="202">
    <w:name w:val="表内文字"/>
    <w:basedOn w:val="1"/>
    <w:autoRedefine/>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03">
    <w:name w:val="列出段落2"/>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204">
    <w:name w:val="默认段落字体 Para Char Char Char Char Char Char Char Char Char Char"/>
    <w:basedOn w:val="1"/>
    <w:autoRedefine/>
    <w:qFormat/>
    <w:uiPriority w:val="0"/>
    <w:rPr>
      <w:rFonts w:ascii="Tahoma" w:hAnsi="Tahoma"/>
      <w:sz w:val="24"/>
    </w:rPr>
  </w:style>
  <w:style w:type="paragraph" w:customStyle="1" w:styleId="205">
    <w:name w:val="样式 正文缩进 + 首行缩进:  2 字符"/>
    <w:basedOn w:val="12"/>
    <w:autoRedefine/>
    <w:qFormat/>
    <w:uiPriority w:val="99"/>
    <w:pPr>
      <w:spacing w:line="360" w:lineRule="auto"/>
      <w:ind w:firstLine="200"/>
    </w:pPr>
  </w:style>
  <w:style w:type="paragraph" w:customStyle="1" w:styleId="206">
    <w:name w:val="Default"/>
    <w:autoRedefine/>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07">
    <w:name w:val="列出段落11"/>
    <w:basedOn w:val="1"/>
    <w:autoRedefine/>
    <w:qFormat/>
    <w:uiPriority w:val="0"/>
    <w:pPr>
      <w:ind w:firstLine="420" w:firstLineChars="200"/>
    </w:pPr>
    <w:rPr>
      <w:szCs w:val="24"/>
    </w:rPr>
  </w:style>
  <w:style w:type="paragraph" w:customStyle="1" w:styleId="208">
    <w:name w:val="正文文本缩进 + 四号"/>
    <w:basedOn w:val="19"/>
    <w:autoRedefine/>
    <w:qFormat/>
    <w:uiPriority w:val="0"/>
    <w:pPr>
      <w:spacing w:line="360" w:lineRule="auto"/>
      <w:ind w:firstLine="560" w:firstLineChars="200"/>
    </w:pPr>
    <w:rPr>
      <w:rFonts w:ascii="仿宋_GB2312" w:eastAsia="仿宋_GB2312"/>
      <w:color w:val="000000"/>
      <w:sz w:val="28"/>
      <w:szCs w:val="28"/>
    </w:rPr>
  </w:style>
  <w:style w:type="paragraph" w:customStyle="1" w:styleId="209">
    <w:name w:val="大标题"/>
    <w:basedOn w:val="1"/>
    <w:autoRedefine/>
    <w:qFormat/>
    <w:uiPriority w:val="0"/>
    <w:pPr>
      <w:autoSpaceDE w:val="0"/>
      <w:autoSpaceDN w:val="0"/>
      <w:adjustRightInd w:val="0"/>
      <w:spacing w:after="560"/>
      <w:jc w:val="center"/>
    </w:pPr>
    <w:rPr>
      <w:rFonts w:ascii="Arial Black" w:hAnsi="Arial Black"/>
      <w:b/>
      <w:kern w:val="0"/>
      <w:sz w:val="56"/>
    </w:rPr>
  </w:style>
  <w:style w:type="paragraph" w:customStyle="1" w:styleId="210">
    <w:name w:val="正文无缩进"/>
    <w:basedOn w:val="1"/>
    <w:autoRedefine/>
    <w:qFormat/>
    <w:uiPriority w:val="0"/>
    <w:pPr>
      <w:widowControl/>
      <w:autoSpaceDE w:val="0"/>
      <w:autoSpaceDN w:val="0"/>
      <w:spacing w:line="300" w:lineRule="auto"/>
      <w:textAlignment w:val="bottom"/>
    </w:pPr>
    <w:rPr>
      <w:rFonts w:eastAsia="楷体_GB2312"/>
    </w:rPr>
  </w:style>
  <w:style w:type="paragraph" w:customStyle="1" w:styleId="211">
    <w:name w:val="Char2"/>
    <w:basedOn w:val="1"/>
    <w:autoRedefine/>
    <w:qFormat/>
    <w:uiPriority w:val="0"/>
    <w:pPr>
      <w:tabs>
        <w:tab w:val="left" w:pos="1200"/>
      </w:tabs>
      <w:ind w:left="1200" w:hanging="720"/>
    </w:pPr>
    <w:rPr>
      <w:sz w:val="24"/>
      <w:szCs w:val="24"/>
    </w:rPr>
  </w:style>
  <w:style w:type="paragraph" w:customStyle="1" w:styleId="212">
    <w:name w:val="font1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13">
    <w:name w:val="此正文"/>
    <w:basedOn w:val="1"/>
    <w:autoRedefine/>
    <w:qFormat/>
    <w:uiPriority w:val="0"/>
    <w:pPr>
      <w:spacing w:line="360" w:lineRule="auto"/>
      <w:ind w:firstLine="200" w:firstLineChars="200"/>
    </w:pPr>
    <w:rPr>
      <w:sz w:val="24"/>
      <w:szCs w:val="24"/>
    </w:rPr>
  </w:style>
  <w:style w:type="paragraph" w:customStyle="1" w:styleId="214">
    <w:name w:val="Char Char1 Char Char Char Char"/>
    <w:basedOn w:val="1"/>
    <w:autoRedefine/>
    <w:qFormat/>
    <w:uiPriority w:val="0"/>
    <w:rPr>
      <w:rFonts w:ascii="Tahoma" w:hAnsi="Tahoma"/>
      <w:sz w:val="24"/>
    </w:rPr>
  </w:style>
  <w:style w:type="paragraph" w:customStyle="1" w:styleId="215">
    <w:name w:val="标准正文"/>
    <w:basedOn w:val="1"/>
    <w:autoRedefine/>
    <w:qFormat/>
    <w:uiPriority w:val="0"/>
    <w:pPr>
      <w:adjustRightInd w:val="0"/>
      <w:spacing w:line="360" w:lineRule="auto"/>
      <w:ind w:firstLine="480" w:firstLineChars="200"/>
    </w:pPr>
    <w:rPr>
      <w:kern w:val="0"/>
      <w:sz w:val="24"/>
    </w:rPr>
  </w:style>
  <w:style w:type="paragraph" w:customStyle="1" w:styleId="216">
    <w:name w:val="表格正文"/>
    <w:basedOn w:val="1"/>
    <w:autoRedefine/>
    <w:qFormat/>
    <w:uiPriority w:val="0"/>
    <w:rPr>
      <w:rFonts w:eastAsia="黑体"/>
    </w:rPr>
  </w:style>
  <w:style w:type="paragraph" w:customStyle="1" w:styleId="217">
    <w:name w:val="_Style 5"/>
    <w:basedOn w:val="1"/>
    <w:autoRedefine/>
    <w:qFormat/>
    <w:uiPriority w:val="0"/>
    <w:pPr>
      <w:widowControl/>
      <w:spacing w:after="160" w:line="360" w:lineRule="auto"/>
      <w:ind w:firstLine="200" w:firstLineChars="200"/>
      <w:jc w:val="left"/>
    </w:pPr>
    <w:rPr>
      <w:rFonts w:ascii="宋体" w:hAnsi="宋体"/>
      <w:sz w:val="24"/>
    </w:rPr>
  </w:style>
  <w:style w:type="paragraph" w:customStyle="1" w:styleId="218">
    <w:name w:val="xl28"/>
    <w:basedOn w:val="1"/>
    <w:autoRedefine/>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19">
    <w:name w:val="Proposals body"/>
    <w:basedOn w:val="1"/>
    <w:next w:val="1"/>
    <w:autoRedefine/>
    <w:qFormat/>
    <w:uiPriority w:val="0"/>
    <w:pPr>
      <w:widowControl/>
      <w:spacing w:line="360" w:lineRule="auto"/>
      <w:jc w:val="left"/>
    </w:pPr>
    <w:rPr>
      <w:rFonts w:ascii="宋体"/>
      <w:color w:val="000000"/>
      <w:kern w:val="0"/>
      <w:sz w:val="24"/>
    </w:rPr>
  </w:style>
  <w:style w:type="paragraph" w:customStyle="1" w:styleId="220">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21">
    <w:name w:val="正文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彩色列表 - 强调文字颜色 11"/>
    <w:basedOn w:val="1"/>
    <w:autoRedefine/>
    <w:qFormat/>
    <w:uiPriority w:val="0"/>
    <w:pPr>
      <w:ind w:firstLine="420" w:firstLineChars="200"/>
    </w:pPr>
    <w:rPr>
      <w:rFonts w:ascii="Calibri" w:hAnsi="Calibri"/>
      <w:szCs w:val="22"/>
    </w:rPr>
  </w:style>
  <w:style w:type="paragraph" w:customStyle="1" w:styleId="223">
    <w:name w:val="Char Char Char"/>
    <w:basedOn w:val="1"/>
    <w:autoRedefine/>
    <w:qFormat/>
    <w:uiPriority w:val="0"/>
    <w:pPr>
      <w:spacing w:before="120" w:after="120" w:line="360" w:lineRule="auto"/>
      <w:ind w:firstLine="200" w:firstLineChars="200"/>
    </w:pPr>
    <w:rPr>
      <w:rFonts w:ascii="Tahoma" w:hAnsi="Tahoma"/>
      <w:sz w:val="24"/>
    </w:rPr>
  </w:style>
  <w:style w:type="paragraph" w:customStyle="1" w:styleId="224">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6">
    <w:name w:val="正文文本缩进1"/>
    <w:basedOn w:val="1"/>
    <w:autoRedefine/>
    <w:qFormat/>
    <w:uiPriority w:val="0"/>
    <w:pPr>
      <w:spacing w:after="120"/>
      <w:ind w:left="420" w:leftChars="200"/>
    </w:pPr>
    <w:rPr>
      <w:szCs w:val="24"/>
    </w:rPr>
  </w:style>
  <w:style w:type="paragraph" w:styleId="227">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28">
    <w:name w:val="tabletextchar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29">
    <w:name w:val="Normal 2"/>
    <w:basedOn w:val="1"/>
    <w:autoRedefine/>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30">
    <w:name w:val="List Paragraph1"/>
    <w:basedOn w:val="1"/>
    <w:autoRedefine/>
    <w:qFormat/>
    <w:uiPriority w:val="34"/>
    <w:pPr>
      <w:ind w:firstLine="420" w:firstLineChars="200"/>
    </w:pPr>
    <w:rPr>
      <w:szCs w:val="24"/>
    </w:rPr>
  </w:style>
  <w:style w:type="paragraph" w:customStyle="1" w:styleId="231">
    <w:name w:val="标题3"/>
    <w:basedOn w:val="4"/>
    <w:autoRedefine/>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232">
    <w:name w:val="Char1"/>
    <w:basedOn w:val="1"/>
    <w:autoRedefine/>
    <w:qFormat/>
    <w:uiPriority w:val="0"/>
    <w:rPr>
      <w:rFonts w:ascii="仿宋_GB2312" w:eastAsia="仿宋_GB2312"/>
      <w:b/>
      <w:sz w:val="32"/>
      <w:szCs w:val="32"/>
    </w:rPr>
  </w:style>
  <w:style w:type="paragraph" w:customStyle="1" w:styleId="233">
    <w:name w:val="正文2"/>
    <w:basedOn w:val="1"/>
    <w:autoRedefine/>
    <w:qFormat/>
    <w:uiPriority w:val="0"/>
    <w:pPr>
      <w:spacing w:beforeLines="50" w:afterLines="50" w:line="360" w:lineRule="auto"/>
      <w:ind w:firstLine="480" w:firstLineChars="200"/>
    </w:pPr>
    <w:rPr>
      <w:rFonts w:ascii="宋体" w:hAnsi="宋体"/>
      <w:sz w:val="24"/>
      <w:szCs w:val="24"/>
    </w:rPr>
  </w:style>
  <w:style w:type="paragraph" w:customStyle="1" w:styleId="234">
    <w:name w:val="符号 2"/>
    <w:basedOn w:val="193"/>
    <w:autoRedefine/>
    <w:qFormat/>
    <w:uiPriority w:val="0"/>
    <w:pPr>
      <w:tabs>
        <w:tab w:val="left" w:pos="1320"/>
        <w:tab w:val="clear" w:pos="900"/>
      </w:tabs>
      <w:ind w:left="1320" w:hanging="420"/>
    </w:pPr>
  </w:style>
  <w:style w:type="paragraph" w:customStyle="1" w:styleId="235">
    <w:name w:val="默认段落字体 Para Char Char Char Char Char Char Char Char Char1 Char Char Char Char"/>
    <w:basedOn w:val="1"/>
    <w:autoRedefine/>
    <w:qFormat/>
    <w:uiPriority w:val="0"/>
    <w:rPr>
      <w:rFonts w:ascii="Tahoma" w:hAnsi="Tahoma"/>
      <w:sz w:val="24"/>
    </w:rPr>
  </w:style>
  <w:style w:type="paragraph" w:customStyle="1" w:styleId="236">
    <w:name w:val="UserStyle_4"/>
    <w:basedOn w:val="1"/>
    <w:autoRedefine/>
    <w:qFormat/>
    <w:uiPriority w:val="0"/>
    <w:pPr>
      <w:widowControl/>
      <w:ind w:firstLine="420" w:firstLineChars="200"/>
    </w:pPr>
    <w:rPr>
      <w:rFonts w:ascii="Calibri" w:hAnsi="Calibri"/>
      <w:szCs w:val="22"/>
    </w:rPr>
  </w:style>
  <w:style w:type="paragraph" w:customStyle="1" w:styleId="237">
    <w:name w:val="正文编码"/>
    <w:basedOn w:val="18"/>
    <w:autoRedefine/>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38">
    <w:name w:val="tabletext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39">
    <w:name w:val="Char Char Char Char"/>
    <w:basedOn w:val="1"/>
    <w:autoRedefine/>
    <w:qFormat/>
    <w:uiPriority w:val="0"/>
    <w:pPr>
      <w:widowControl/>
      <w:spacing w:line="400" w:lineRule="exact"/>
      <w:jc w:val="center"/>
    </w:pPr>
    <w:rPr>
      <w:rFonts w:ascii="Verdana" w:hAnsi="Verdana"/>
      <w:kern w:val="0"/>
      <w:lang w:eastAsia="en-US"/>
    </w:rPr>
  </w:style>
  <w:style w:type="paragraph" w:customStyle="1" w:styleId="240">
    <w:name w:val="正文段"/>
    <w:basedOn w:val="1"/>
    <w:autoRedefine/>
    <w:qFormat/>
    <w:uiPriority w:val="0"/>
    <w:pPr>
      <w:widowControl/>
      <w:snapToGrid w:val="0"/>
      <w:spacing w:afterLines="50"/>
      <w:ind w:firstLine="200" w:firstLineChars="200"/>
    </w:pPr>
    <w:rPr>
      <w:kern w:val="0"/>
      <w:sz w:val="24"/>
    </w:rPr>
  </w:style>
  <w:style w:type="paragraph" w:customStyle="1" w:styleId="241">
    <w:name w:val="p0"/>
    <w:basedOn w:val="1"/>
    <w:autoRedefine/>
    <w:qFormat/>
    <w:uiPriority w:val="0"/>
    <w:pPr>
      <w:widowControl/>
    </w:pPr>
    <w:rPr>
      <w:kern w:val="0"/>
      <w:szCs w:val="21"/>
    </w:rPr>
  </w:style>
  <w:style w:type="paragraph" w:customStyle="1" w:styleId="242">
    <w:name w:val="Table Text"/>
    <w:basedOn w:val="1"/>
    <w:autoRedefine/>
    <w:qFormat/>
    <w:uiPriority w:val="0"/>
    <w:pPr>
      <w:widowControl/>
      <w:jc w:val="left"/>
    </w:pPr>
    <w:rPr>
      <w:rFonts w:ascii="Arial" w:hAnsi="Arial"/>
      <w:kern w:val="0"/>
      <w:szCs w:val="21"/>
    </w:rPr>
  </w:style>
  <w:style w:type="paragraph" w:customStyle="1" w:styleId="243">
    <w:name w:val="Other|1"/>
    <w:basedOn w:val="1"/>
    <w:autoRedefine/>
    <w:qFormat/>
    <w:uiPriority w:val="0"/>
    <w:pPr>
      <w:spacing w:line="427" w:lineRule="auto"/>
      <w:ind w:firstLine="400"/>
    </w:pPr>
    <w:rPr>
      <w:rFonts w:ascii="宋体" w:hAnsi="宋体" w:cs="宋体"/>
      <w:color w:val="6A6D74"/>
      <w:sz w:val="19"/>
      <w:szCs w:val="19"/>
      <w:lang w:val="zh-TW" w:eastAsia="zh-TW" w:bidi="zh-TW"/>
    </w:rPr>
  </w:style>
  <w:style w:type="paragraph" w:customStyle="1" w:styleId="244">
    <w:name w:val="标准小四"/>
    <w:basedOn w:val="1"/>
    <w:autoRedefine/>
    <w:qFormat/>
    <w:uiPriority w:val="0"/>
    <w:pPr>
      <w:spacing w:line="360" w:lineRule="auto"/>
      <w:ind w:firstLine="480" w:firstLineChars="200"/>
    </w:pPr>
    <w:rPr>
      <w:rFonts w:ascii="Arial" w:hAnsi="Arial"/>
      <w:sz w:val="24"/>
      <w:szCs w:val="21"/>
    </w:rPr>
  </w:style>
  <w:style w:type="table" w:customStyle="1" w:styleId="245">
    <w:name w:val="Table Normal"/>
    <w:autoRedefine/>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 w:type="character" w:customStyle="1" w:styleId="246">
    <w:name w:val="列表段落 字符"/>
    <w:autoRedefine/>
    <w:qFormat/>
    <w:locked/>
    <w:uiPriority w:val="34"/>
    <w:rPr>
      <w:rFonts w:eastAsia="宋体"/>
      <w:sz w:val="24"/>
    </w:rPr>
  </w:style>
  <w:style w:type="character" w:customStyle="1" w:styleId="247">
    <w:name w:val="标题 1 Char2"/>
    <w:autoRedefine/>
    <w:qFormat/>
    <w:uiPriority w:val="0"/>
    <w:rPr>
      <w:rFonts w:hint="default" w:ascii="Verdana" w:hAnsi="Verdana" w:cs="Verdana"/>
      <w:b/>
      <w:bCs/>
      <w:kern w:val="44"/>
      <w:sz w:val="44"/>
      <w:szCs w:val="44"/>
      <w:lang w:eastAsia="en-US"/>
    </w:rPr>
  </w:style>
  <w:style w:type="paragraph" w:customStyle="1" w:styleId="248">
    <w:name w:val="A正文小四"/>
    <w:basedOn w:val="1"/>
    <w:autoRedefine/>
    <w:qFormat/>
    <w:uiPriority w:val="0"/>
    <w:pPr>
      <w:spacing w:line="360" w:lineRule="auto"/>
      <w:ind w:firstLine="600" w:firstLineChars="200"/>
      <w:jc w:val="left"/>
    </w:pPr>
    <w:rPr>
      <w:color w:val="000000"/>
      <w:szCs w:val="24"/>
    </w:rPr>
  </w:style>
  <w:style w:type="paragraph" w:customStyle="1" w:styleId="249">
    <w:name w:val="列出段落3"/>
    <w:basedOn w:val="1"/>
    <w:autoRedefine/>
    <w:qFormat/>
    <w:uiPriority w:val="0"/>
    <w:pPr>
      <w:ind w:firstLine="420" w:firstLineChars="200"/>
    </w:pPr>
    <w:rPr>
      <w:rFonts w:ascii="Calibri" w:hAnsi="Calibri"/>
      <w:szCs w:val="22"/>
    </w:rPr>
  </w:style>
  <w:style w:type="character" w:customStyle="1" w:styleId="250">
    <w:name w:val="注： Char Char"/>
    <w:link w:val="251"/>
    <w:autoRedefine/>
    <w:qFormat/>
    <w:uiPriority w:val="0"/>
    <w:rPr>
      <w:rFonts w:ascii="宋体" w:hAnsi="Tahoma"/>
      <w:sz w:val="18"/>
    </w:rPr>
  </w:style>
  <w:style w:type="paragraph" w:customStyle="1" w:styleId="251">
    <w:name w:val="注："/>
    <w:next w:val="225"/>
    <w:link w:val="250"/>
    <w:autoRedefine/>
    <w:qFormat/>
    <w:uiPriority w:val="0"/>
    <w:pPr>
      <w:widowControl w:val="0"/>
      <w:tabs>
        <w:tab w:val="left" w:pos="360"/>
        <w:tab w:val="left" w:pos="700"/>
      </w:tabs>
      <w:autoSpaceDE w:val="0"/>
      <w:autoSpaceDN w:val="0"/>
      <w:ind w:left="360" w:hanging="360"/>
      <w:jc w:val="both"/>
    </w:pPr>
    <w:rPr>
      <w:rFonts w:ascii="宋体" w:hAnsi="Tahoma" w:eastAsia="宋体" w:cs="Times New Roman"/>
      <w:sz w:val="18"/>
      <w:lang w:val="en-US" w:eastAsia="zh-CN" w:bidi="ar-SA"/>
    </w:rPr>
  </w:style>
  <w:style w:type="paragraph" w:customStyle="1" w:styleId="252">
    <w:name w:val="Char Char Char Char1"/>
    <w:basedOn w:val="1"/>
    <w:autoRedefine/>
    <w:qFormat/>
    <w:uiPriority w:val="0"/>
    <w:rPr>
      <w:rFonts w:ascii="Tahoma" w:hAnsi="Tahoma"/>
      <w:sz w:val="24"/>
    </w:rPr>
  </w:style>
  <w:style w:type="paragraph" w:customStyle="1" w:styleId="253">
    <w:name w:val="章标题"/>
    <w:next w:val="225"/>
    <w:autoRedefine/>
    <w:qFormat/>
    <w:uiPriority w:val="0"/>
    <w:pPr>
      <w:tabs>
        <w:tab w:val="left" w:pos="840"/>
        <w:tab w:val="left" w:pos="1440"/>
      </w:tabs>
      <w:spacing w:beforeLines="50" w:afterLines="50"/>
      <w:ind w:left="840" w:hanging="420"/>
      <w:jc w:val="both"/>
      <w:outlineLvl w:val="1"/>
    </w:pPr>
    <w:rPr>
      <w:rFonts w:ascii="黑体" w:hAnsi="Times New Roman" w:eastAsia="黑体" w:cs="Times New Roman"/>
      <w:sz w:val="21"/>
      <w:lang w:val="en-US" w:eastAsia="zh-CN" w:bidi="ar-SA"/>
    </w:rPr>
  </w:style>
  <w:style w:type="paragraph" w:customStyle="1" w:styleId="254">
    <w:name w:val="一级条标题"/>
    <w:next w:val="225"/>
    <w:autoRedefine/>
    <w:qFormat/>
    <w:uiPriority w:val="0"/>
    <w:pPr>
      <w:tabs>
        <w:tab w:val="left" w:pos="1260"/>
        <w:tab w:val="left" w:pos="2160"/>
      </w:tabs>
      <w:ind w:left="1260" w:hanging="420"/>
      <w:outlineLvl w:val="2"/>
    </w:pPr>
    <w:rPr>
      <w:rFonts w:ascii="Times New Roman" w:hAnsi="Times New Roman" w:eastAsia="黑体" w:cs="Times New Roman"/>
      <w:sz w:val="21"/>
      <w:lang w:val="en-US" w:eastAsia="zh-CN" w:bidi="ar-SA"/>
    </w:rPr>
  </w:style>
  <w:style w:type="paragraph" w:customStyle="1" w:styleId="255">
    <w:name w:val="正文表标题"/>
    <w:next w:val="225"/>
    <w:autoRedefine/>
    <w:qFormat/>
    <w:uiPriority w:val="0"/>
    <w:pPr>
      <w:tabs>
        <w:tab w:val="left" w:pos="360"/>
        <w:tab w:val="left" w:pos="510"/>
      </w:tabs>
      <w:ind w:left="510" w:hanging="390"/>
      <w:jc w:val="center"/>
    </w:pPr>
    <w:rPr>
      <w:rFonts w:ascii="黑体" w:hAnsi="Times New Roman" w:eastAsia="黑体" w:cs="Times New Roman"/>
      <w:sz w:val="21"/>
      <w:lang w:val="en-US" w:eastAsia="zh-CN" w:bidi="ar-SA"/>
    </w:rPr>
  </w:style>
  <w:style w:type="character" w:customStyle="1" w:styleId="256">
    <w:name w:val="15"/>
    <w:autoRedefine/>
    <w:qFormat/>
    <w:uiPriority w:val="0"/>
    <w:rPr>
      <w:rFonts w:hint="default" w:ascii="Times New Roman" w:hAnsi="Times New Roman" w:eastAsia="宋体" w:cs="Times New Roman"/>
      <w:b/>
      <w:spacing w:val="-2"/>
      <w:sz w:val="24"/>
      <w:szCs w:val="24"/>
    </w:rPr>
  </w:style>
  <w:style w:type="character" w:customStyle="1" w:styleId="257">
    <w:name w:val="font131"/>
    <w:autoRedefine/>
    <w:qFormat/>
    <w:uiPriority w:val="0"/>
    <w:rPr>
      <w:rFonts w:hint="default" w:ascii="Times New Roman" w:hAnsi="Times New Roman" w:cs="Times New Roman"/>
      <w:color w:val="000000"/>
      <w:sz w:val="24"/>
      <w:szCs w:val="24"/>
      <w:u w:val="none"/>
    </w:rPr>
  </w:style>
  <w:style w:type="character" w:customStyle="1" w:styleId="258">
    <w:name w:val="font151"/>
    <w:autoRedefine/>
    <w:qFormat/>
    <w:uiPriority w:val="0"/>
    <w:rPr>
      <w:rFonts w:hint="eastAsia" w:ascii="宋体" w:hAnsi="宋体" w:eastAsia="宋体" w:cs="宋体"/>
      <w:color w:val="000000"/>
      <w:sz w:val="24"/>
      <w:szCs w:val="24"/>
      <w:u w:val="none"/>
    </w:rPr>
  </w:style>
  <w:style w:type="character" w:customStyle="1" w:styleId="259">
    <w:name w:val="font161"/>
    <w:autoRedefine/>
    <w:qFormat/>
    <w:uiPriority w:val="0"/>
    <w:rPr>
      <w:rFonts w:hint="eastAsia" w:ascii="宋体" w:hAnsi="宋体" w:eastAsia="宋体" w:cs="宋体"/>
      <w:color w:val="000000"/>
      <w:sz w:val="24"/>
      <w:szCs w:val="24"/>
      <w:u w:val="none"/>
    </w:rPr>
  </w:style>
  <w:style w:type="paragraph" w:customStyle="1" w:styleId="260">
    <w:name w:val="Body text|1"/>
    <w:basedOn w:val="1"/>
    <w:autoRedefine/>
    <w:qFormat/>
    <w:uiPriority w:val="0"/>
    <w:pPr>
      <w:spacing w:line="461" w:lineRule="auto"/>
      <w:ind w:firstLine="400"/>
    </w:pPr>
    <w:rPr>
      <w:rFonts w:ascii="宋体" w:hAnsi="宋体" w:cs="宋体"/>
      <w:sz w:val="28"/>
      <w:szCs w:val="28"/>
      <w:lang w:val="zh-TW" w:eastAsia="zh-TW" w:bidi="zh-TW"/>
    </w:rPr>
  </w:style>
  <w:style w:type="paragraph" w:customStyle="1" w:styleId="261">
    <w:name w:val="Table Paragraph"/>
    <w:basedOn w:val="1"/>
    <w:autoRedefine/>
    <w:qFormat/>
    <w:uiPriority w:val="1"/>
  </w:style>
  <w:style w:type="paragraph" w:customStyle="1" w:styleId="262">
    <w:name w:val="Body Text First Indent 21"/>
    <w:basedOn w:val="263"/>
    <w:autoRedefine/>
    <w:qFormat/>
    <w:uiPriority w:val="99"/>
    <w:pPr>
      <w:ind w:firstLine="420"/>
    </w:pPr>
  </w:style>
  <w:style w:type="paragraph" w:customStyle="1" w:styleId="263">
    <w:name w:val="Body Text Indent1"/>
    <w:basedOn w:val="1"/>
    <w:autoRedefine/>
    <w:qFormat/>
    <w:uiPriority w:val="9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60</Pages>
  <Words>30986</Words>
  <Characters>32387</Characters>
  <Lines>254</Lines>
  <Paragraphs>71</Paragraphs>
  <TotalTime>83</TotalTime>
  <ScaleCrop>false</ScaleCrop>
  <LinksUpToDate>false</LinksUpToDate>
  <CharactersWithSpaces>34095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2023-03-06T23:55:00Z</dcterms:created>
  <dc:creator>dyp</dc:creator>
  <cp:lastModifiedBy>南天星</cp:lastModifiedBy>
  <cp:lastPrinted>2023-11-30T00:39:00Z</cp:lastPrinted>
  <dcterms:modified xsi:type="dcterms:W3CDTF">2024-04-24T03:27:16Z</dcterms:modified>
  <dc:title>第一部分  投标方须知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66E6C5BCA1904AC89F780B9BA40EE90B_13</vt:lpwstr>
  </property>
</Properties>
</file>