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08CB1">
      <w:pPr>
        <w:adjustRightInd/>
        <w:spacing w:line="360" w:lineRule="auto"/>
        <w:jc w:val="both"/>
        <w:rPr>
          <w:rFonts w:ascii="宋体" w:hAnsi="宋体" w:cs="宋体"/>
          <w:color w:val="auto"/>
          <w:sz w:val="52"/>
          <w:szCs w:val="52"/>
          <w:highlight w:val="none"/>
        </w:rPr>
      </w:pPr>
      <w:r>
        <w:rPr>
          <w:rFonts w:hint="eastAsia" w:ascii="宋体" w:hAnsi="宋体" w:cs="宋体"/>
          <w:color w:val="auto"/>
          <w:sz w:val="52"/>
          <w:szCs w:val="52"/>
          <w:highlight w:val="none"/>
        </w:rPr>
        <w:t>2025年余杭区青少年竞技体育服务项目</w:t>
      </w:r>
    </w:p>
    <w:p w14:paraId="2A6607C6">
      <w:pPr>
        <w:adjustRightInd/>
        <w:spacing w:line="360" w:lineRule="auto"/>
        <w:jc w:val="center"/>
        <w:rPr>
          <w:rFonts w:hint="eastAsia" w:ascii="宋体" w:hAnsi="宋体" w:cs="宋体"/>
          <w:b/>
          <w:color w:val="auto"/>
          <w:sz w:val="44"/>
          <w:szCs w:val="44"/>
          <w:highlight w:val="none"/>
        </w:rPr>
      </w:pPr>
    </w:p>
    <w:p w14:paraId="371E18AA">
      <w:pPr>
        <w:adjustRightInd/>
        <w:spacing w:line="360" w:lineRule="auto"/>
        <w:jc w:val="center"/>
        <w:rPr>
          <w:rFonts w:hint="eastAsia" w:ascii="宋体" w:hAnsi="宋体" w:cs="宋体"/>
          <w:b/>
          <w:color w:val="auto"/>
          <w:sz w:val="44"/>
          <w:szCs w:val="44"/>
          <w:highlight w:val="none"/>
        </w:rPr>
      </w:pPr>
    </w:p>
    <w:p w14:paraId="42BFE1D6">
      <w:pPr>
        <w:adjustRightInd/>
        <w:spacing w:line="360" w:lineRule="auto"/>
        <w:jc w:val="center"/>
        <w:rPr>
          <w:rFonts w:hint="eastAsia" w:ascii="宋体" w:hAnsi="宋体" w:cs="宋体"/>
          <w:b/>
          <w:color w:val="auto"/>
          <w:sz w:val="44"/>
          <w:szCs w:val="44"/>
          <w:highlight w:val="none"/>
        </w:rPr>
      </w:pPr>
    </w:p>
    <w:p w14:paraId="5759925A">
      <w:pPr>
        <w:adjustRightInd/>
        <w:spacing w:line="360" w:lineRule="auto"/>
        <w:jc w:val="center"/>
        <w:rPr>
          <w:rFonts w:hint="eastAsia" w:ascii="宋体" w:hAnsi="宋体" w:cs="宋体"/>
          <w:b/>
          <w:color w:val="auto"/>
          <w:sz w:val="44"/>
          <w:szCs w:val="44"/>
          <w:highlight w:val="none"/>
        </w:rPr>
      </w:pPr>
    </w:p>
    <w:p w14:paraId="0DD26C2F">
      <w:pPr>
        <w:adjustRightInd/>
        <w:spacing w:line="360" w:lineRule="auto"/>
        <w:jc w:val="center"/>
        <w:rPr>
          <w:rFonts w:hint="eastAsia" w:ascii="宋体" w:hAnsi="宋体" w:cs="宋体"/>
          <w:b/>
          <w:color w:val="auto"/>
          <w:sz w:val="44"/>
          <w:szCs w:val="44"/>
          <w:highlight w:val="none"/>
        </w:rPr>
      </w:pPr>
    </w:p>
    <w:p w14:paraId="44500414">
      <w:pPr>
        <w:pStyle w:val="79"/>
        <w:rPr>
          <w:rFonts w:hint="eastAsia" w:ascii="宋体" w:hAnsi="宋体" w:cs="宋体"/>
          <w:b/>
          <w:color w:val="auto"/>
          <w:sz w:val="44"/>
          <w:szCs w:val="44"/>
          <w:highlight w:val="none"/>
        </w:rPr>
      </w:pPr>
    </w:p>
    <w:p w14:paraId="46BF7BE6">
      <w:pPr>
        <w:pStyle w:val="79"/>
        <w:rPr>
          <w:rFonts w:hint="eastAsia" w:ascii="宋体" w:hAnsi="宋体" w:cs="宋体"/>
          <w:b/>
          <w:color w:val="auto"/>
          <w:sz w:val="44"/>
          <w:szCs w:val="44"/>
          <w:highlight w:val="none"/>
        </w:rPr>
      </w:pPr>
    </w:p>
    <w:p w14:paraId="23387CDE">
      <w:pPr>
        <w:adjustRightInd/>
        <w:spacing w:line="360" w:lineRule="auto"/>
        <w:jc w:val="center"/>
        <w:rPr>
          <w:rFonts w:hint="eastAsia" w:ascii="宋体" w:hAnsi="宋体" w:cs="宋体"/>
          <w:color w:val="auto"/>
          <w:sz w:val="30"/>
          <w:szCs w:val="30"/>
          <w:highlight w:val="none"/>
        </w:rPr>
      </w:pPr>
      <w:r>
        <w:rPr>
          <w:rFonts w:hint="eastAsia" w:ascii="宋体" w:hAnsi="宋体" w:cs="宋体"/>
          <w:b/>
          <w:color w:val="auto"/>
          <w:sz w:val="44"/>
          <w:szCs w:val="44"/>
          <w:highlight w:val="none"/>
        </w:rPr>
        <w:t>（电子招投标）</w:t>
      </w:r>
    </w:p>
    <w:p w14:paraId="1F4C79A8">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编号:330110250460050000003</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684F2959">
      <w:pPr>
        <w:snapToGrid w:val="0"/>
        <w:spacing w:line="360" w:lineRule="auto"/>
        <w:jc w:val="center"/>
        <w:rPr>
          <w:rFonts w:ascii="宋体" w:hAnsi="宋体" w:cs="宋体"/>
          <w:sz w:val="32"/>
          <w:szCs w:val="32"/>
          <w:highlight w:val="none"/>
        </w:rPr>
      </w:pPr>
      <w:r>
        <w:rPr>
          <w:rFonts w:hint="eastAsia" w:ascii="宋体" w:hAnsi="宋体" w:cs="宋体"/>
          <w:sz w:val="32"/>
          <w:szCs w:val="32"/>
          <w:highlight w:val="none"/>
        </w:rPr>
        <w:t>采购人：杭州市余杭区社会体育指导中心</w:t>
      </w:r>
    </w:p>
    <w:p w14:paraId="485330A7">
      <w:pPr>
        <w:snapToGrid w:val="0"/>
        <w:spacing w:line="360" w:lineRule="auto"/>
        <w:jc w:val="center"/>
        <w:rPr>
          <w:rFonts w:hint="eastAsia" w:ascii="宋体" w:hAnsi="宋体" w:cs="宋体"/>
          <w:bCs/>
          <w:sz w:val="32"/>
          <w:szCs w:val="32"/>
          <w:highlight w:val="none"/>
        </w:rPr>
      </w:pPr>
      <w:r>
        <w:rPr>
          <w:rFonts w:hint="eastAsia" w:ascii="宋体" w:hAnsi="宋体" w:cs="宋体"/>
          <w:bCs/>
          <w:sz w:val="32"/>
          <w:szCs w:val="32"/>
          <w:highlight w:val="none"/>
        </w:rPr>
        <w:t>采购代理机构：德威工程管理咨询有限公司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六</w:t>
      </w:r>
      <w:r>
        <w:rPr>
          <w:rFonts w:hint="eastAsia" w:ascii="宋体" w:hAnsi="宋体" w:cs="宋体"/>
          <w:bCs/>
          <w:color w:val="auto"/>
          <w:sz w:val="32"/>
          <w:szCs w:val="32"/>
          <w:highlight w:val="none"/>
        </w:rPr>
        <w:t>月</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2025年余杭区青少年竞技体育服务项目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10</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13</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330110250460050000003</w:t>
      </w:r>
    </w:p>
    <w:p w14:paraId="76A80613">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2025年余杭区青少年竞技体育服务项目</w:t>
      </w:r>
    </w:p>
    <w:p w14:paraId="0310CFA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sz w:val="24"/>
          <w:highlight w:val="none"/>
        </w:rPr>
        <w:t>770000</w:t>
      </w:r>
    </w:p>
    <w:p w14:paraId="1A2C8D8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sz w:val="24"/>
          <w:highlight w:val="none"/>
        </w:rPr>
        <w:t>770000</w:t>
      </w:r>
    </w:p>
    <w:p w14:paraId="6EC5DB8E">
      <w:pPr>
        <w:pStyle w:val="8"/>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2025年余杭区青少年竞技体育服务项目主要内容：2025年余杭区青少年竞技体育服务项目。</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highlight w:val="none"/>
        </w:rPr>
        <w:t>详见招标文件，第三部分采购需求。</w:t>
      </w:r>
    </w:p>
    <w:p w14:paraId="07281B02">
      <w:pPr>
        <w:pStyle w:val="8"/>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2F6717D">
      <w:pPr>
        <w:spacing w:line="360" w:lineRule="auto"/>
        <w:rPr>
          <w:rFonts w:ascii="宋体" w:hAnsi="宋体" w:cs="宋体"/>
          <w:sz w:val="24"/>
          <w:highlight w:val="none"/>
        </w:rPr>
      </w:pPr>
      <w:r>
        <w:rPr>
          <w:rFonts w:hint="eastAsia" w:ascii="宋体" w:hAnsi="宋体" w:cs="宋体"/>
          <w:color w:val="auto"/>
          <w:sz w:val="24"/>
          <w:highlight w:val="none"/>
        </w:rPr>
        <w:t xml:space="preserve">    </w:t>
      </w:r>
      <w:r>
        <w:rPr>
          <w:rFonts w:hint="eastAsia" w:ascii="宋体" w:hAnsi="宋体" w:cs="宋体"/>
          <w:sz w:val="24"/>
          <w:highlight w:val="none"/>
        </w:rPr>
        <w:t>名    称：杭州市余杭区社会体育指导中心</w:t>
      </w:r>
    </w:p>
    <w:p w14:paraId="12E9F67D">
      <w:pPr>
        <w:spacing w:line="360" w:lineRule="auto"/>
        <w:rPr>
          <w:rFonts w:hint="eastAsia" w:ascii="宋体" w:hAnsi="宋体" w:cs="宋体"/>
          <w:sz w:val="24"/>
          <w:highlight w:val="none"/>
        </w:rPr>
      </w:pPr>
      <w:r>
        <w:rPr>
          <w:rFonts w:hint="eastAsia" w:ascii="宋体" w:hAnsi="宋体" w:cs="宋体"/>
          <w:sz w:val="24"/>
          <w:highlight w:val="none"/>
        </w:rPr>
        <w:t xml:space="preserve">    地    址：文一西路1500区政府8号楼</w:t>
      </w:r>
    </w:p>
    <w:p w14:paraId="0E1D4DF8">
      <w:pPr>
        <w:spacing w:line="360" w:lineRule="auto"/>
        <w:ind w:firstLine="480"/>
        <w:rPr>
          <w:rFonts w:ascii="宋体" w:hAnsi="宋体" w:cs="宋体"/>
          <w:sz w:val="24"/>
          <w:highlight w:val="none"/>
        </w:rPr>
      </w:pPr>
      <w:r>
        <w:rPr>
          <w:rFonts w:hint="eastAsia" w:ascii="宋体" w:hAnsi="宋体" w:cs="宋体"/>
          <w:sz w:val="24"/>
          <w:highlight w:val="none"/>
        </w:rPr>
        <w:t>传    真： /</w:t>
      </w:r>
    </w:p>
    <w:p w14:paraId="37DA30EA">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项目联系人（询问）：叶建军</w:t>
      </w:r>
    </w:p>
    <w:p w14:paraId="451EC055">
      <w:pPr>
        <w:spacing w:line="360" w:lineRule="auto"/>
        <w:ind w:firstLine="480"/>
        <w:rPr>
          <w:rFonts w:ascii="宋体" w:hAnsi="宋体" w:cs="宋体"/>
          <w:sz w:val="24"/>
          <w:highlight w:val="none"/>
        </w:rPr>
      </w:pPr>
      <w:r>
        <w:rPr>
          <w:rFonts w:hint="eastAsia" w:ascii="宋体" w:hAnsi="宋体" w:cs="宋体"/>
          <w:sz w:val="24"/>
          <w:highlight w:val="none"/>
        </w:rPr>
        <w:t>项目联系方式（询问）：13819189838</w:t>
      </w:r>
    </w:p>
    <w:p w14:paraId="085D2EDE">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质疑联系人：李亚勇</w:t>
      </w:r>
    </w:p>
    <w:p w14:paraId="64E303BD">
      <w:pPr>
        <w:spacing w:line="360" w:lineRule="auto"/>
        <w:ind w:firstLine="480"/>
        <w:rPr>
          <w:rFonts w:ascii="宋体" w:hAnsi="宋体" w:cs="宋体"/>
          <w:color w:val="auto"/>
          <w:sz w:val="24"/>
          <w:highlight w:val="none"/>
        </w:rPr>
      </w:pPr>
      <w:r>
        <w:rPr>
          <w:rFonts w:hint="eastAsia" w:ascii="宋体" w:hAnsi="宋体" w:cs="宋体"/>
          <w:sz w:val="24"/>
          <w:highlight w:val="none"/>
        </w:rPr>
        <w:t>质疑联系方式：13588889415</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1F1720A">
      <w:pPr>
        <w:spacing w:line="360" w:lineRule="auto"/>
        <w:ind w:firstLine="480"/>
        <w:rPr>
          <w:rFonts w:ascii="宋体" w:hAnsi="宋体" w:cs="宋体"/>
          <w:sz w:val="24"/>
          <w:highlight w:val="none"/>
        </w:rPr>
      </w:pPr>
      <w:r>
        <w:rPr>
          <w:rFonts w:hint="eastAsia" w:ascii="宋体" w:hAnsi="宋体" w:cs="宋体"/>
          <w:sz w:val="24"/>
          <w:highlight w:val="none"/>
        </w:rPr>
        <w:t>名    称：德威工程管理咨询有限公司</w:t>
      </w:r>
    </w:p>
    <w:p w14:paraId="7B7692C6">
      <w:pPr>
        <w:spacing w:line="360" w:lineRule="auto"/>
        <w:ind w:firstLine="480"/>
        <w:rPr>
          <w:rFonts w:ascii="宋体" w:hAnsi="宋体" w:cs="宋体"/>
          <w:sz w:val="24"/>
          <w:highlight w:val="none"/>
        </w:rPr>
      </w:pPr>
      <w:r>
        <w:rPr>
          <w:rFonts w:hint="eastAsia" w:ascii="宋体" w:hAnsi="宋体" w:cs="宋体"/>
          <w:sz w:val="24"/>
          <w:highlight w:val="none"/>
        </w:rPr>
        <w:t>地    址：浙江省杭州市临平区星桥街道星源路368号元星大厦9楼</w:t>
      </w:r>
    </w:p>
    <w:p w14:paraId="52F16CBA">
      <w:pPr>
        <w:spacing w:line="360" w:lineRule="auto"/>
        <w:rPr>
          <w:rFonts w:ascii="宋体" w:hAnsi="宋体" w:cs="宋体"/>
          <w:sz w:val="24"/>
          <w:highlight w:val="none"/>
        </w:rPr>
      </w:pPr>
      <w:r>
        <w:rPr>
          <w:rFonts w:hint="eastAsia" w:ascii="宋体" w:hAnsi="宋体" w:cs="宋体"/>
          <w:sz w:val="24"/>
          <w:highlight w:val="none"/>
        </w:rPr>
        <w:t xml:space="preserve">    传    真： </w:t>
      </w:r>
    </w:p>
    <w:p w14:paraId="4D27E0FF">
      <w:pPr>
        <w:spacing w:line="360" w:lineRule="auto"/>
        <w:rPr>
          <w:rFonts w:ascii="宋体" w:hAnsi="宋体" w:cs="宋体"/>
          <w:sz w:val="24"/>
          <w:highlight w:val="none"/>
        </w:rPr>
      </w:pPr>
      <w:r>
        <w:rPr>
          <w:rFonts w:hint="eastAsia" w:ascii="宋体" w:hAnsi="宋体" w:cs="宋体"/>
          <w:sz w:val="24"/>
          <w:highlight w:val="none"/>
        </w:rPr>
        <w:t xml:space="preserve">    项目联系人（询问）：</w:t>
      </w:r>
      <w:r>
        <w:rPr>
          <w:rFonts w:hint="eastAsia" w:ascii="宋体" w:hAnsi="宋体" w:cs="宋体"/>
          <w:sz w:val="24"/>
          <w:highlight w:val="none"/>
          <w:lang w:eastAsia="zh-CN"/>
        </w:rPr>
        <w:t>陈</w:t>
      </w:r>
      <w:r>
        <w:rPr>
          <w:rFonts w:hint="eastAsia" w:ascii="宋体" w:hAnsi="宋体" w:cs="宋体"/>
          <w:sz w:val="24"/>
          <w:highlight w:val="none"/>
        </w:rPr>
        <w:t>工</w:t>
      </w:r>
    </w:p>
    <w:p w14:paraId="16041AE2">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项目联系方式（询问）：</w:t>
      </w:r>
      <w:r>
        <w:rPr>
          <w:rFonts w:hint="eastAsia" w:ascii="宋体" w:hAnsi="宋体" w:cs="宋体"/>
          <w:sz w:val="24"/>
          <w:highlight w:val="none"/>
          <w:lang w:val="en-US" w:eastAsia="zh-CN"/>
        </w:rPr>
        <w:t>17826819077</w:t>
      </w:r>
    </w:p>
    <w:p w14:paraId="754C76EF">
      <w:pPr>
        <w:spacing w:line="360" w:lineRule="auto"/>
        <w:rPr>
          <w:rFonts w:ascii="宋体" w:hAnsi="宋体" w:cs="宋体"/>
          <w:sz w:val="24"/>
          <w:highlight w:val="none"/>
        </w:rPr>
      </w:pPr>
      <w:r>
        <w:rPr>
          <w:rFonts w:hint="eastAsia" w:ascii="宋体" w:hAnsi="宋体" w:cs="宋体"/>
          <w:sz w:val="24"/>
          <w:highlight w:val="none"/>
        </w:rPr>
        <w:t xml:space="preserve">    质疑联系人：吴工</w:t>
      </w:r>
    </w:p>
    <w:p w14:paraId="3F5D7E0A">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rPr>
        <w:t>质疑联系方式：13666661865</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2025年余杭区青少年竞技体育服务项目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w:t>
            </w:r>
            <w:r>
              <w:rPr>
                <w:rFonts w:hint="eastAsia" w:ascii="宋体" w:hAnsi="宋体" w:cs="宋体"/>
                <w:color w:val="auto"/>
                <w:kern w:val="0"/>
                <w:sz w:val="24"/>
                <w:highlight w:val="none"/>
              </w:rPr>
              <w:t>行业；</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79"/>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仿宋"/>
                <w:kern w:val="0"/>
                <w:sz w:val="24"/>
                <w:highlight w:val="none"/>
                <w:u w:val="single"/>
              </w:rPr>
              <w:t>浙江省杭州市临平区星桥街道星源路368号元星大厦9楼</w:t>
            </w:r>
            <w:r>
              <w:rPr>
                <w:rFonts w:hint="eastAsia" w:hAnsi="宋体" w:cs="宋体"/>
                <w:kern w:val="28"/>
                <w:sz w:val="24"/>
                <w:szCs w:val="24"/>
                <w:highlight w:val="none"/>
              </w:rPr>
              <w:t>；备份投标文件签收人员联系电话：</w:t>
            </w:r>
            <w:r>
              <w:rPr>
                <w:rFonts w:hint="eastAsia" w:hAnsi="宋体" w:cs="宋体"/>
                <w:sz w:val="24"/>
                <w:highlight w:val="none"/>
                <w:u w:val="single"/>
              </w:rPr>
              <w:t>17826819077</w:t>
            </w:r>
            <w:r>
              <w:rPr>
                <w:rFonts w:hint="eastAsia" w:hAnsi="宋体" w:cs="宋体"/>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04A9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5F4CE2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31DA80E">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F4BB69C">
            <w:pPr>
              <w:spacing w:line="360" w:lineRule="auto"/>
              <w:rPr>
                <w:rFonts w:hint="eastAsia" w:ascii="宋体" w:hAnsi="宋体" w:cs="宋体"/>
                <w:snapToGrid w:val="0"/>
                <w:color w:val="auto"/>
                <w:kern w:val="28"/>
                <w:sz w:val="24"/>
                <w:highlight w:val="none"/>
              </w:rPr>
            </w:pPr>
            <w:r>
              <w:rPr>
                <w:rFonts w:hint="eastAsia" w:ascii="宋体" w:hAnsi="宋体" w:cs="宋体"/>
                <w:b/>
                <w:bCs/>
                <w:snapToGrid w:val="0"/>
                <w:color w:val="auto"/>
                <w:kern w:val="28"/>
                <w:sz w:val="24"/>
                <w:highlight w:val="none"/>
              </w:rPr>
              <w:t>中标单位需在结果发布后，提供本项目纸质投标文件（资格文件”、“报价文件”和“商务技术文件”）四份（正本一份，副本三份）。</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壹人</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r>
              <w:rPr>
                <w:rFonts w:hint="eastAsia" w:hAnsi="宋体" w:cs="宋体"/>
                <w:color w:val="000000"/>
                <w:kern w:val="28"/>
                <w:sz w:val="24"/>
                <w:szCs w:val="24"/>
                <w:highlight w:val="none"/>
              </w:rPr>
              <w:t>排名第一的中标候选人放弃中标、因不可抗力不能履行合同、不按照招标文件要求提交履约保证金担保，或者被查实存在影响中标结果的违法行为等情形，不符合中标条件的，招标人将重新招标。</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574C6D67">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w:t>
            </w:r>
            <w:r>
              <w:rPr>
                <w:rFonts w:hint="eastAsia" w:ascii="宋体" w:hAnsi="宋体" w:cs="宋体"/>
                <w:color w:val="auto"/>
                <w:kern w:val="0"/>
                <w:sz w:val="24"/>
                <w:highlight w:val="none"/>
                <w:lang w:val="en" w:eastAsia="zh-CN"/>
              </w:rPr>
              <w:t>项目</w:t>
            </w:r>
            <w:r>
              <w:rPr>
                <w:rFonts w:hint="eastAsia" w:ascii="宋体" w:hAnsi="宋体" w:eastAsia="宋体" w:cs="宋体"/>
                <w:color w:val="auto"/>
                <w:kern w:val="0"/>
                <w:sz w:val="24"/>
                <w:highlight w:val="none"/>
                <w:lang w:val="en" w:eastAsia="zh-CN"/>
              </w:rPr>
              <w:t>招标代理服务费按文件招标代理服务付费标准（服务招标）收费标准计取。各投标人报价中应予以考虑，本项目涉及所有相关招标代理费用、评审专家费用等均由</w:t>
            </w:r>
            <w:r>
              <w:rPr>
                <w:rFonts w:hint="eastAsia" w:ascii="宋体" w:hAnsi="宋体" w:eastAsia="宋体" w:cs="宋体"/>
                <w:b/>
                <w:bCs/>
                <w:color w:val="auto"/>
                <w:kern w:val="0"/>
                <w:sz w:val="24"/>
                <w:highlight w:val="none"/>
                <w:u w:val="single"/>
                <w:lang w:val="en" w:eastAsia="zh-CN"/>
              </w:rPr>
              <w:t>中标人支付</w:t>
            </w:r>
            <w:r>
              <w:rPr>
                <w:rFonts w:hint="eastAsia" w:ascii="宋体" w:hAnsi="宋体" w:eastAsia="宋体" w:cs="宋体"/>
                <w:color w:val="auto"/>
                <w:kern w:val="0"/>
                <w:sz w:val="24"/>
                <w:highlight w:val="none"/>
                <w:lang w:val="en" w:eastAsia="zh-CN"/>
              </w:rPr>
              <w:t>；中标人在接到中标通知书时以人民币方式向采购代理机构支付。该项目招标代理费等全部相关费用由德威工程管理咨询有限公司授权德威工程管理咨询有限公司余杭分公司进行财务结算。</w:t>
            </w:r>
            <w:bookmarkStart w:id="523" w:name="_GoBack"/>
            <w:bookmarkEnd w:id="523"/>
          </w:p>
          <w:p w14:paraId="6129343D">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招标代理服务费的交纳方式：以转帐或支票的形式支付，名称：德德威工程管理咨询有限公司余杭分公司，开户行：杭州银行乔司小微综合支行，账号：3301041060003520677。</w:t>
            </w:r>
          </w:p>
        </w:tc>
      </w:tr>
    </w:tbl>
    <w:p w14:paraId="3D9539A9">
      <w:pPr>
        <w:snapToGrid w:val="0"/>
        <w:spacing w:line="440" w:lineRule="exact"/>
        <w:rPr>
          <w:rFonts w:ascii="宋体" w:hAnsi="宋体" w:cs="宋体"/>
          <w:b/>
          <w:bCs/>
          <w:color w:val="000000"/>
          <w:kern w:val="0"/>
          <w:sz w:val="24"/>
        </w:rPr>
      </w:pPr>
      <w:r>
        <w:rPr>
          <w:rFonts w:hint="eastAsia" w:ascii="宋体" w:hAnsi="宋体" w:cs="宋体"/>
          <w:b/>
          <w:bCs/>
          <w:color w:val="000000"/>
          <w:kern w:val="0"/>
          <w:sz w:val="24"/>
        </w:rPr>
        <w:t>附件</w:t>
      </w:r>
    </w:p>
    <w:p w14:paraId="718B2CE0">
      <w:pPr>
        <w:jc w:val="center"/>
        <w:rPr>
          <w:b/>
          <w:sz w:val="32"/>
        </w:rPr>
      </w:pPr>
      <w:r>
        <w:rPr>
          <w:rFonts w:hint="eastAsia"/>
          <w:b/>
          <w:sz w:val="32"/>
        </w:rPr>
        <w:t>招标代理服务收费标准</w:t>
      </w:r>
    </w:p>
    <w:p w14:paraId="487F7F13">
      <w:pPr>
        <w:jc w:val="center"/>
        <w:rPr>
          <w:b/>
          <w:sz w:val="32"/>
        </w:rPr>
      </w:pPr>
      <w:r>
        <w:rPr>
          <w:b/>
          <w:sz w:val="20"/>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332740</wp:posOffset>
                </wp:positionV>
                <wp:extent cx="1371600" cy="1089660"/>
                <wp:effectExtent l="3175" t="3810" r="15875" b="11430"/>
                <wp:wrapNone/>
                <wp:docPr id="10" name="直接连接符 10"/>
                <wp:cNvGraphicFramePr/>
                <a:graphic xmlns:a="http://schemas.openxmlformats.org/drawingml/2006/main">
                  <a:graphicData uri="http://schemas.microsoft.com/office/word/2010/wordprocessingShape">
                    <wps:wsp>
                      <wps:cNvCnPr/>
                      <wps:spPr>
                        <a:xfrm flipH="1" flipV="1">
                          <a:off x="0" y="0"/>
                          <a:ext cx="1371600" cy="108966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9pt;margin-top:26.2pt;height:85.8pt;width:108pt;z-index:251663360;mso-width-relative:page;mso-height-relative:page;" filled="f" stroked="t" coordsize="21600,21600" o:gfxdata="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QulBXSAAAACQEAAA8AAAAAAAAAAQAgAAAAIgAAAGRycy9kb3du&#10;cmV2LnhtbFBLAQIUABQAAAAIAIdO4kBpo6s5BQIAAAIEAAAOAAAAAAAAAAEAIAAAACEBAABkcnMv&#10;ZTJvRG9jLnhtbFBLBQYAAAAABgAGAFkBAACYBQAAAAA=&#10;">
                <v:fill on="f" focussize="0,0"/>
                <v:stroke color="#000000" joinstyle="round"/>
                <v:imagedata o:title=""/>
                <o:lock v:ext="edit" aspectratio="f"/>
              </v:line>
            </w:pict>
          </mc:Fallback>
        </mc:AlternateConten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26A0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448" w:type="dxa"/>
          </w:tcPr>
          <w:p w14:paraId="4F7E9CAD">
            <w:pPr>
              <w:ind w:firstLine="1275"/>
              <w:rPr>
                <w:b/>
              </w:rPr>
            </w:pPr>
            <w:r>
              <w:rPr>
                <w:b/>
                <w:sz w:val="20"/>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431800</wp:posOffset>
                      </wp:positionV>
                      <wp:extent cx="1600200" cy="594360"/>
                      <wp:effectExtent l="1905" t="4445" r="17145" b="10795"/>
                      <wp:wrapNone/>
                      <wp:docPr id="9" name="直接连接符 9"/>
                      <wp:cNvGraphicFramePr/>
                      <a:graphic xmlns:a="http://schemas.openxmlformats.org/drawingml/2006/main">
                        <a:graphicData uri="http://schemas.microsoft.com/office/word/2010/wordprocessingShape">
                          <wps:wsp>
                            <wps:cNvCnPr/>
                            <wps:spPr>
                              <a:xfrm flipH="1" flipV="1">
                                <a:off x="0" y="0"/>
                                <a:ext cx="1600200" cy="59436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9pt;margin-top:34pt;height:46.8pt;width:126pt;z-index:251662336;mso-width-relative:page;mso-height-relative:page;" filled="f" stroked="t" coordsize="21600,21600" o:allowincell="f" o:gfxdata="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2hnHd1QAAAAoBAAAPAAAAAAAAAAEAIAAAACIAAABkcnMvZG93&#10;bnJldi54bWxQSwECFAAUAAAACACHTuJApkR21QMCAAD/AwAADgAAAAAAAAABACAAAAAkAQAAZHJz&#10;L2Uyb0RvYy54bWxQSwUGAAAAAAYABgBZAQAAmQUAAAAA&#10;">
                      <v:fill on="f" focussize="0,0"/>
                      <v:stroke color="#000000" joinstyle="round"/>
                      <v:imagedata o:title=""/>
                      <o:lock v:ext="edit" aspectratio="f"/>
                    </v:line>
                  </w:pict>
                </mc:Fallback>
              </mc:AlternateContent>
            </w:r>
            <w:r>
              <w:rPr>
                <w:b/>
                <w:sz w:val="20"/>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1" name="直接连接符 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AUyJcHvAQAA5AMAAA4AAAAAAAAAAQAgAAAAJAEAAGRycy9lMm9Eb2MueG1sUEsFBgAAAAAG&#10;AAYAWQEAAIUFAAAAAA==&#10;">
                      <v:fill on="f" focussize="0,0"/>
                      <v:stroke color="#000000" joinstyle="round"/>
                      <v:imagedata o:title=""/>
                      <o:lock v:ext="edit" aspectratio="f"/>
                    </v:line>
                  </w:pict>
                </mc:Fallback>
              </mc:AlternateContent>
            </w:r>
            <w:r>
              <w:rPr>
                <w:rFonts w:hint="eastAsia"/>
                <w:b/>
              </w:rPr>
              <w:t>服</w:t>
            </w:r>
          </w:p>
          <w:p w14:paraId="56D39F21">
            <w:pPr>
              <w:ind w:firstLine="211"/>
              <w:rPr>
                <w:b/>
              </w:rPr>
            </w:pPr>
            <w:r>
              <w:rPr>
                <w:rFonts w:hint="eastAsia"/>
                <w:b/>
              </w:rPr>
              <w:t>费　　　　　务</w:t>
            </w:r>
          </w:p>
          <w:p w14:paraId="0027885C">
            <w:pPr>
              <w:ind w:firstLine="1004"/>
              <w:rPr>
                <w:b/>
              </w:rPr>
            </w:pPr>
            <w:r>
              <w:rPr>
                <w:rFonts w:hint="eastAsia"/>
                <w:b/>
              </w:rPr>
              <w:t>　　　类</w:t>
            </w:r>
          </w:p>
          <w:p w14:paraId="23DCC9BA">
            <w:pPr>
              <w:ind w:firstLine="1054"/>
              <w:rPr>
                <w:b/>
              </w:rPr>
            </w:pPr>
            <w:r>
              <w:rPr>
                <w:rFonts w:hint="eastAsia"/>
                <w:b/>
              </w:rPr>
              <w:t>率　　　型</w:t>
            </w:r>
          </w:p>
          <w:p w14:paraId="1E78B7C1">
            <w:pPr>
              <w:ind w:firstLine="1054"/>
              <w:rPr>
                <w:b/>
              </w:rPr>
            </w:pPr>
            <w:r>
              <w:rPr>
                <w:rFonts w:hint="eastAsia"/>
                <w:b/>
              </w:rPr>
              <w:t>　　　　</w:t>
            </w:r>
          </w:p>
          <w:p w14:paraId="5860FF7A">
            <w:pPr>
              <w:rPr>
                <w:b/>
              </w:rPr>
            </w:pPr>
            <w:r>
              <w:rPr>
                <w:rFonts w:hint="eastAsia"/>
                <w:b/>
              </w:rPr>
              <w:t>中标金额（万元）</w:t>
            </w:r>
          </w:p>
        </w:tc>
        <w:tc>
          <w:tcPr>
            <w:tcW w:w="1980" w:type="dxa"/>
            <w:vAlign w:val="center"/>
          </w:tcPr>
          <w:p w14:paraId="645A1982">
            <w:pPr>
              <w:jc w:val="center"/>
              <w:rPr>
                <w:b/>
              </w:rPr>
            </w:pPr>
            <w:r>
              <w:rPr>
                <w:rFonts w:hint="eastAsia"/>
                <w:b/>
              </w:rPr>
              <w:t>货物招标</w:t>
            </w:r>
          </w:p>
        </w:tc>
        <w:tc>
          <w:tcPr>
            <w:tcW w:w="1980" w:type="dxa"/>
            <w:vAlign w:val="center"/>
          </w:tcPr>
          <w:p w14:paraId="1AAC3666">
            <w:pPr>
              <w:jc w:val="center"/>
              <w:rPr>
                <w:b/>
              </w:rPr>
            </w:pPr>
            <w:r>
              <w:rPr>
                <w:rFonts w:hint="eastAsia"/>
                <w:b/>
              </w:rPr>
              <w:t>服务招标</w:t>
            </w:r>
          </w:p>
        </w:tc>
        <w:tc>
          <w:tcPr>
            <w:tcW w:w="1980" w:type="dxa"/>
            <w:vAlign w:val="center"/>
          </w:tcPr>
          <w:p w14:paraId="0D9FD2C8">
            <w:pPr>
              <w:jc w:val="center"/>
              <w:rPr>
                <w:b/>
              </w:rPr>
            </w:pPr>
            <w:r>
              <w:rPr>
                <w:rFonts w:hint="eastAsia"/>
                <w:b/>
              </w:rPr>
              <w:t>工程招标</w:t>
            </w:r>
          </w:p>
        </w:tc>
      </w:tr>
      <w:tr w14:paraId="7657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56F3ECFA">
            <w:pPr>
              <w:jc w:val="center"/>
            </w:pPr>
            <w:r>
              <w:rPr>
                <w:rFonts w:hint="eastAsia"/>
              </w:rPr>
              <w:t>100以下</w:t>
            </w:r>
          </w:p>
        </w:tc>
        <w:tc>
          <w:tcPr>
            <w:tcW w:w="1980" w:type="dxa"/>
          </w:tcPr>
          <w:p w14:paraId="76B27A8D">
            <w:pPr>
              <w:jc w:val="center"/>
            </w:pPr>
            <w:r>
              <w:rPr>
                <w:rFonts w:hint="eastAsia"/>
              </w:rPr>
              <w:t>1.5%</w:t>
            </w:r>
          </w:p>
        </w:tc>
        <w:tc>
          <w:tcPr>
            <w:tcW w:w="1980" w:type="dxa"/>
          </w:tcPr>
          <w:p w14:paraId="6FFE6DA6">
            <w:pPr>
              <w:jc w:val="center"/>
            </w:pPr>
            <w:r>
              <w:rPr>
                <w:rFonts w:hint="eastAsia"/>
              </w:rPr>
              <w:t>1.5%</w:t>
            </w:r>
          </w:p>
        </w:tc>
        <w:tc>
          <w:tcPr>
            <w:tcW w:w="1980" w:type="dxa"/>
          </w:tcPr>
          <w:p w14:paraId="2EB0C12C">
            <w:pPr>
              <w:jc w:val="center"/>
            </w:pPr>
            <w:r>
              <w:rPr>
                <w:rFonts w:hint="eastAsia"/>
              </w:rPr>
              <w:t>1.0%</w:t>
            </w:r>
          </w:p>
        </w:tc>
      </w:tr>
      <w:tr w14:paraId="0743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437D6138">
            <w:pPr>
              <w:jc w:val="center"/>
            </w:pPr>
            <w:r>
              <w:rPr>
                <w:rFonts w:hint="eastAsia"/>
              </w:rPr>
              <w:t>100-500</w:t>
            </w:r>
          </w:p>
        </w:tc>
        <w:tc>
          <w:tcPr>
            <w:tcW w:w="1980" w:type="dxa"/>
          </w:tcPr>
          <w:p w14:paraId="37A0F9B2">
            <w:pPr>
              <w:jc w:val="center"/>
            </w:pPr>
            <w:r>
              <w:rPr>
                <w:rFonts w:hint="eastAsia"/>
              </w:rPr>
              <w:t>1.1%</w:t>
            </w:r>
          </w:p>
        </w:tc>
        <w:tc>
          <w:tcPr>
            <w:tcW w:w="1980" w:type="dxa"/>
          </w:tcPr>
          <w:p w14:paraId="6BC3B5F7">
            <w:pPr>
              <w:jc w:val="center"/>
            </w:pPr>
            <w:r>
              <w:rPr>
                <w:rFonts w:hint="eastAsia"/>
              </w:rPr>
              <w:t>0.8%</w:t>
            </w:r>
          </w:p>
        </w:tc>
        <w:tc>
          <w:tcPr>
            <w:tcW w:w="1980" w:type="dxa"/>
          </w:tcPr>
          <w:p w14:paraId="5BA20E45">
            <w:pPr>
              <w:jc w:val="center"/>
            </w:pPr>
            <w:r>
              <w:rPr>
                <w:rFonts w:hint="eastAsia"/>
              </w:rPr>
              <w:t>0.7%</w:t>
            </w:r>
          </w:p>
        </w:tc>
      </w:tr>
      <w:tr w14:paraId="1280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236149DE">
            <w:pPr>
              <w:jc w:val="center"/>
            </w:pPr>
            <w:r>
              <w:rPr>
                <w:rFonts w:hint="eastAsia"/>
              </w:rPr>
              <w:t>500-1000</w:t>
            </w:r>
          </w:p>
        </w:tc>
        <w:tc>
          <w:tcPr>
            <w:tcW w:w="1980" w:type="dxa"/>
          </w:tcPr>
          <w:p w14:paraId="2B4DABA7">
            <w:pPr>
              <w:jc w:val="center"/>
            </w:pPr>
            <w:r>
              <w:rPr>
                <w:rFonts w:hint="eastAsia"/>
              </w:rPr>
              <w:t>0.8%</w:t>
            </w:r>
          </w:p>
        </w:tc>
        <w:tc>
          <w:tcPr>
            <w:tcW w:w="1980" w:type="dxa"/>
          </w:tcPr>
          <w:p w14:paraId="463D8009">
            <w:pPr>
              <w:jc w:val="center"/>
            </w:pPr>
            <w:r>
              <w:rPr>
                <w:rFonts w:hint="eastAsia"/>
              </w:rPr>
              <w:t>0.45%</w:t>
            </w:r>
          </w:p>
        </w:tc>
        <w:tc>
          <w:tcPr>
            <w:tcW w:w="1980" w:type="dxa"/>
          </w:tcPr>
          <w:p w14:paraId="7B01FF10">
            <w:pPr>
              <w:jc w:val="center"/>
            </w:pPr>
            <w:r>
              <w:rPr>
                <w:rFonts w:hint="eastAsia"/>
              </w:rPr>
              <w:t>0.55%</w:t>
            </w:r>
          </w:p>
        </w:tc>
      </w:tr>
      <w:tr w14:paraId="7B8D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2DFE3D83">
            <w:pPr>
              <w:jc w:val="center"/>
            </w:pPr>
            <w:r>
              <w:rPr>
                <w:rFonts w:hint="eastAsia"/>
              </w:rPr>
              <w:t>1000-5000</w:t>
            </w:r>
          </w:p>
        </w:tc>
        <w:tc>
          <w:tcPr>
            <w:tcW w:w="1980" w:type="dxa"/>
          </w:tcPr>
          <w:p w14:paraId="58A55D19">
            <w:pPr>
              <w:jc w:val="center"/>
            </w:pPr>
            <w:r>
              <w:rPr>
                <w:rFonts w:hint="eastAsia"/>
              </w:rPr>
              <w:t>0.5%</w:t>
            </w:r>
          </w:p>
        </w:tc>
        <w:tc>
          <w:tcPr>
            <w:tcW w:w="1980" w:type="dxa"/>
          </w:tcPr>
          <w:p w14:paraId="386765CA">
            <w:pPr>
              <w:jc w:val="center"/>
            </w:pPr>
            <w:r>
              <w:rPr>
                <w:rFonts w:hint="eastAsia"/>
              </w:rPr>
              <w:t>0.25%</w:t>
            </w:r>
          </w:p>
        </w:tc>
        <w:tc>
          <w:tcPr>
            <w:tcW w:w="1980" w:type="dxa"/>
          </w:tcPr>
          <w:p w14:paraId="28712F6A">
            <w:pPr>
              <w:jc w:val="center"/>
            </w:pPr>
            <w:r>
              <w:rPr>
                <w:rFonts w:hint="eastAsia"/>
              </w:rPr>
              <w:t>0.35%</w:t>
            </w:r>
          </w:p>
        </w:tc>
      </w:tr>
      <w:tr w14:paraId="039A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298FFF6C">
            <w:pPr>
              <w:jc w:val="center"/>
            </w:pPr>
            <w:r>
              <w:rPr>
                <w:rFonts w:hint="eastAsia"/>
              </w:rPr>
              <w:t>5000-10000</w:t>
            </w:r>
          </w:p>
        </w:tc>
        <w:tc>
          <w:tcPr>
            <w:tcW w:w="1980" w:type="dxa"/>
          </w:tcPr>
          <w:p w14:paraId="4FBBDB7C">
            <w:pPr>
              <w:jc w:val="center"/>
            </w:pPr>
            <w:r>
              <w:rPr>
                <w:rFonts w:hint="eastAsia"/>
              </w:rPr>
              <w:t>0.25%</w:t>
            </w:r>
          </w:p>
        </w:tc>
        <w:tc>
          <w:tcPr>
            <w:tcW w:w="1980" w:type="dxa"/>
          </w:tcPr>
          <w:p w14:paraId="0499FD9E">
            <w:pPr>
              <w:jc w:val="center"/>
            </w:pPr>
            <w:r>
              <w:rPr>
                <w:rFonts w:hint="eastAsia"/>
              </w:rPr>
              <w:t>0.1%</w:t>
            </w:r>
          </w:p>
        </w:tc>
        <w:tc>
          <w:tcPr>
            <w:tcW w:w="1980" w:type="dxa"/>
          </w:tcPr>
          <w:p w14:paraId="47DDF3AD">
            <w:pPr>
              <w:jc w:val="center"/>
            </w:pPr>
            <w:r>
              <w:rPr>
                <w:rFonts w:hint="eastAsia"/>
              </w:rPr>
              <w:t>0.2%</w:t>
            </w:r>
          </w:p>
        </w:tc>
      </w:tr>
      <w:tr w14:paraId="3E6F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363E7B32">
            <w:pPr>
              <w:jc w:val="center"/>
            </w:pPr>
            <w:r>
              <w:rPr>
                <w:rFonts w:hint="eastAsia"/>
              </w:rPr>
              <w:t>10000-100000</w:t>
            </w:r>
          </w:p>
        </w:tc>
        <w:tc>
          <w:tcPr>
            <w:tcW w:w="1980" w:type="dxa"/>
          </w:tcPr>
          <w:p w14:paraId="4665E9BC">
            <w:pPr>
              <w:jc w:val="center"/>
            </w:pPr>
            <w:r>
              <w:rPr>
                <w:rFonts w:hint="eastAsia"/>
              </w:rPr>
              <w:t>0.05%</w:t>
            </w:r>
          </w:p>
        </w:tc>
        <w:tc>
          <w:tcPr>
            <w:tcW w:w="1980" w:type="dxa"/>
          </w:tcPr>
          <w:p w14:paraId="090A0845">
            <w:pPr>
              <w:jc w:val="center"/>
            </w:pPr>
            <w:r>
              <w:rPr>
                <w:rFonts w:hint="eastAsia"/>
              </w:rPr>
              <w:t>0.05%</w:t>
            </w:r>
          </w:p>
        </w:tc>
        <w:tc>
          <w:tcPr>
            <w:tcW w:w="1980" w:type="dxa"/>
          </w:tcPr>
          <w:p w14:paraId="4ED59D7A">
            <w:pPr>
              <w:jc w:val="center"/>
            </w:pPr>
            <w:r>
              <w:rPr>
                <w:rFonts w:hint="eastAsia"/>
              </w:rPr>
              <w:t>0.05%</w:t>
            </w:r>
          </w:p>
        </w:tc>
      </w:tr>
      <w:tr w14:paraId="416D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471B59FE">
            <w:pPr>
              <w:jc w:val="center"/>
            </w:pPr>
            <w:r>
              <w:rPr>
                <w:rFonts w:hint="eastAsia"/>
              </w:rPr>
              <w:t>1000000以上</w:t>
            </w:r>
          </w:p>
        </w:tc>
        <w:tc>
          <w:tcPr>
            <w:tcW w:w="1980" w:type="dxa"/>
          </w:tcPr>
          <w:p w14:paraId="6C4F2550">
            <w:pPr>
              <w:jc w:val="center"/>
            </w:pPr>
            <w:r>
              <w:rPr>
                <w:rFonts w:hint="eastAsia"/>
              </w:rPr>
              <w:t>0.01%</w:t>
            </w:r>
          </w:p>
        </w:tc>
        <w:tc>
          <w:tcPr>
            <w:tcW w:w="1980" w:type="dxa"/>
          </w:tcPr>
          <w:p w14:paraId="4343568F">
            <w:pPr>
              <w:jc w:val="center"/>
            </w:pPr>
            <w:r>
              <w:rPr>
                <w:rFonts w:hint="eastAsia"/>
              </w:rPr>
              <w:t>0.01%</w:t>
            </w:r>
          </w:p>
        </w:tc>
        <w:tc>
          <w:tcPr>
            <w:tcW w:w="1980" w:type="dxa"/>
          </w:tcPr>
          <w:p w14:paraId="7E85D206">
            <w:pPr>
              <w:jc w:val="center"/>
            </w:pPr>
            <w:r>
              <w:rPr>
                <w:rFonts w:hint="eastAsia"/>
              </w:rPr>
              <w:t>0.01%</w:t>
            </w:r>
          </w:p>
        </w:tc>
      </w:tr>
    </w:tbl>
    <w:p w14:paraId="716AD9B3">
      <w:pPr>
        <w:snapToGrid w:val="0"/>
        <w:spacing w:line="440" w:lineRule="exact"/>
        <w:rPr>
          <w:rFonts w:ascii="宋体" w:hAnsi="宋体" w:cs="宋体"/>
          <w:b/>
          <w:bCs/>
          <w:color w:val="000000"/>
          <w:kern w:val="0"/>
          <w:sz w:val="24"/>
        </w:rPr>
      </w:pPr>
      <w:r>
        <w:rPr>
          <w:rFonts w:hint="eastAsia" w:ascii="宋体" w:hAnsi="宋体" w:cs="宋体"/>
          <w:b/>
          <w:bCs/>
          <w:color w:val="000000"/>
          <w:kern w:val="0"/>
          <w:sz w:val="24"/>
        </w:rPr>
        <w:t>注：1. 按本表费率计算的收费为招标代理服务全过程的收费最高限价。</w:t>
      </w:r>
    </w:p>
    <w:p w14:paraId="01C07321">
      <w:pPr>
        <w:snapToGrid w:val="0"/>
        <w:spacing w:line="440" w:lineRule="exact"/>
        <w:rPr>
          <w:rFonts w:ascii="宋体" w:hAnsi="宋体" w:cs="宋体"/>
          <w:b/>
          <w:bCs/>
          <w:color w:val="000000"/>
          <w:kern w:val="0"/>
          <w:sz w:val="24"/>
        </w:rPr>
      </w:pPr>
      <w:r>
        <w:rPr>
          <w:rFonts w:hint="eastAsia" w:ascii="宋体" w:hAnsi="宋体" w:cs="宋体"/>
          <w:b/>
          <w:bCs/>
          <w:color w:val="000000"/>
          <w:kern w:val="0"/>
          <w:sz w:val="24"/>
        </w:rPr>
        <w:t>2. 招标代理服务收费按差额定率累进法计算。</w:t>
      </w:r>
    </w:p>
    <w:p w14:paraId="10D885BE">
      <w:pPr>
        <w:snapToGrid w:val="0"/>
        <w:spacing w:line="440" w:lineRule="exact"/>
        <w:rPr>
          <w:rFonts w:ascii="宋体" w:hAnsi="宋体" w:cs="宋体"/>
          <w:b/>
          <w:bCs/>
          <w:color w:val="000000"/>
          <w:kern w:val="0"/>
          <w:sz w:val="24"/>
        </w:rPr>
      </w:pPr>
      <w:r>
        <w:rPr>
          <w:rFonts w:hint="eastAsia" w:ascii="宋体" w:hAnsi="宋体" w:cs="宋体"/>
          <w:b/>
          <w:bCs/>
          <w:color w:val="000000"/>
          <w:kern w:val="0"/>
          <w:sz w:val="24"/>
        </w:rPr>
        <w:t>3. 每件招标代理服务按上表计算不足4000元，按4000元收费。</w:t>
      </w:r>
    </w:p>
    <w:p w14:paraId="30491A41">
      <w:pPr>
        <w:snapToGrid w:val="0"/>
        <w:spacing w:line="440" w:lineRule="exact"/>
        <w:rPr>
          <w:rFonts w:ascii="宋体" w:hAnsi="宋体" w:cs="宋体"/>
          <w:b/>
          <w:bCs/>
          <w:color w:val="000000"/>
          <w:kern w:val="0"/>
          <w:sz w:val="24"/>
        </w:rPr>
      </w:pPr>
      <w:r>
        <w:rPr>
          <w:rFonts w:hint="eastAsia" w:ascii="宋体" w:hAnsi="宋体" w:cs="宋体"/>
          <w:b/>
          <w:bCs/>
          <w:color w:val="000000"/>
          <w:kern w:val="0"/>
          <w:sz w:val="24"/>
        </w:rPr>
        <w:t>4. 招标代理服务费包含开评标场地租赁费。</w:t>
      </w:r>
    </w:p>
    <w:p w14:paraId="280D5DA6">
      <w:pPr>
        <w:snapToGrid w:val="0"/>
        <w:spacing w:line="360" w:lineRule="auto"/>
        <w:jc w:val="center"/>
        <w:rPr>
          <w:rFonts w:ascii="宋体" w:hAnsi="宋体" w:cs="宋体"/>
          <w:b/>
          <w:sz w:val="32"/>
          <w:szCs w:val="20"/>
        </w:rPr>
      </w:pPr>
      <w:r>
        <w:rPr>
          <w:rFonts w:hint="eastAsia" w:ascii="宋体" w:hAnsi="宋体" w:cs="宋体"/>
          <w:b/>
          <w:bCs/>
          <w:color w:val="000000"/>
          <w:kern w:val="0"/>
          <w:sz w:val="24"/>
        </w:rPr>
        <w:t>5. 招标代理服务费不包括支付的评标专家费，评标费用由招标代理单位代付的在招标代理合同中单独列项，专家人数一般为5人，特殊项目不得超过7人。</w:t>
      </w:r>
    </w:p>
    <w:p w14:paraId="2A35471F">
      <w:pPr>
        <w:snapToGrid w:val="0"/>
        <w:spacing w:line="360" w:lineRule="auto"/>
        <w:jc w:val="both"/>
        <w:rPr>
          <w:rFonts w:ascii="宋体" w:hAnsi="宋体" w:cs="宋体"/>
          <w:b/>
          <w:color w:val="auto"/>
          <w:sz w:val="32"/>
          <w:szCs w:val="20"/>
          <w:highlight w:val="none"/>
        </w:rPr>
      </w:pPr>
    </w:p>
    <w:p w14:paraId="2BBDDC63">
      <w:pPr>
        <w:snapToGrid w:val="0"/>
        <w:spacing w:line="360" w:lineRule="auto"/>
        <w:jc w:val="both"/>
        <w:rPr>
          <w:rFonts w:ascii="宋体" w:hAnsi="宋体" w:cs="宋体"/>
          <w:b/>
          <w:color w:val="auto"/>
          <w:sz w:val="32"/>
          <w:szCs w:val="20"/>
          <w:highlight w:val="none"/>
        </w:rPr>
      </w:pPr>
    </w:p>
    <w:p w14:paraId="0139FDAD">
      <w:pPr>
        <w:snapToGrid w:val="0"/>
        <w:spacing w:line="360" w:lineRule="auto"/>
        <w:jc w:val="both"/>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6"/>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8"/>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89"/>
        <w:shd w:val="clear" w:color="auto" w:fill="FFFFFF"/>
        <w:snapToGrid w:val="0"/>
        <w:spacing w:after="240" w:afterAutospacing="0" w:line="360" w:lineRule="auto"/>
        <w:ind w:firstLine="400"/>
        <w:contextualSpacing/>
        <w:rPr>
          <w:rFonts w:hint="eastAsia"/>
          <w:color w:val="auto"/>
          <w:highlight w:val="none"/>
        </w:rPr>
      </w:pP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6"/>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0"/>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6"/>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6"/>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6"/>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6"/>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68057669"/>
      <w:bookmarkEnd w:id="16"/>
      <w:bookmarkStart w:id="17" w:name="_Hlt75236290"/>
      <w:bookmarkEnd w:id="17"/>
      <w:bookmarkStart w:id="18" w:name="_Hlt74714665"/>
      <w:bookmarkEnd w:id="18"/>
      <w:bookmarkStart w:id="19" w:name="_Hlt75236101"/>
      <w:bookmarkEnd w:id="19"/>
      <w:bookmarkStart w:id="20" w:name="_Hlt74730295"/>
      <w:bookmarkEnd w:id="20"/>
      <w:bookmarkStart w:id="21" w:name="_Hlt74707468"/>
      <w:bookmarkEnd w:id="21"/>
      <w:bookmarkStart w:id="22" w:name="_Hlt68072998"/>
      <w:bookmarkEnd w:id="22"/>
      <w:bookmarkStart w:id="23" w:name="_Hlt74729768"/>
      <w:bookmarkEnd w:id="23"/>
      <w:bookmarkStart w:id="24" w:name="_Hlt75236011"/>
      <w:bookmarkEnd w:id="24"/>
      <w:bookmarkStart w:id="25" w:name="_Hlt68073093"/>
      <w:bookmarkEnd w:id="25"/>
      <w:bookmarkStart w:id="26" w:name="_Hlt68072990"/>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60D5C808">
      <w:pPr>
        <w:spacing w:line="360" w:lineRule="auto"/>
        <w:jc w:val="center"/>
        <w:outlineLvl w:val="0"/>
        <w:rPr>
          <w:rFonts w:hint="eastAsia" w:ascii="宋体" w:hAnsi="宋体" w:eastAsia="宋体" w:cs="宋体"/>
          <w:b/>
          <w:sz w:val="32"/>
          <w:szCs w:val="32"/>
          <w:highlight w:val="none"/>
        </w:rPr>
      </w:pPr>
      <w:bookmarkStart w:id="28" w:name="_Toc33335632"/>
      <w:bookmarkStart w:id="29" w:name="_Toc135212467"/>
      <w:r>
        <w:rPr>
          <w:rFonts w:hint="eastAsia" w:ascii="宋体" w:hAnsi="宋体" w:eastAsia="宋体" w:cs="宋体"/>
          <w:b/>
          <w:sz w:val="32"/>
          <w:szCs w:val="32"/>
          <w:highlight w:val="none"/>
        </w:rPr>
        <w:t>项目技术规范和服务要求</w:t>
      </w:r>
    </w:p>
    <w:bookmarkEnd w:id="28"/>
    <w:bookmarkEnd w:id="29"/>
    <w:p w14:paraId="675F8F2A">
      <w:pPr>
        <w:widowControl w:val="0"/>
        <w:wordWrap/>
        <w:adjustRightInd/>
        <w:snapToGrid/>
        <w:spacing w:line="600" w:lineRule="exact"/>
        <w:ind w:firstLine="482" w:firstLineChars="200"/>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采购需求中带“</w:t>
      </w:r>
      <w:r>
        <w:rPr>
          <w:rFonts w:hint="eastAsia" w:ascii="宋体" w:hAnsi="宋体" w:eastAsia="宋体" w:cs="宋体"/>
          <w:sz w:val="24"/>
          <w:szCs w:val="24"/>
          <w:highlight w:val="none"/>
        </w:rPr>
        <w:t>▲</w:t>
      </w:r>
      <w:r>
        <w:rPr>
          <w:rFonts w:hint="eastAsia" w:ascii="宋体" w:hAnsi="宋体" w:eastAsia="宋体" w:cs="宋体"/>
          <w:b/>
          <w:color w:val="000000"/>
          <w:sz w:val="24"/>
          <w:highlight w:val="none"/>
        </w:rPr>
        <w:t>”条款为实质性内容，投标人须在投标文件中提供《符合性审查资料》（格式见第</w:t>
      </w:r>
      <w:r>
        <w:rPr>
          <w:rFonts w:hint="eastAsia" w:ascii="宋体" w:hAnsi="宋体" w:eastAsia="宋体" w:cs="宋体"/>
          <w:b/>
          <w:color w:val="000000"/>
          <w:sz w:val="24"/>
          <w:highlight w:val="none"/>
          <w:lang w:val="en-US" w:eastAsia="zh-CN"/>
        </w:rPr>
        <w:t>六</w:t>
      </w:r>
      <w:r>
        <w:rPr>
          <w:rFonts w:hint="eastAsia" w:ascii="宋体" w:hAnsi="宋体" w:eastAsia="宋体" w:cs="宋体"/>
          <w:b/>
          <w:color w:val="000000"/>
          <w:sz w:val="24"/>
          <w:highlight w:val="none"/>
        </w:rPr>
        <w:t>部分  应提交的有关格式范例），如有任意一条未响应或不满足，将被视为无效。</w:t>
      </w:r>
    </w:p>
    <w:p w14:paraId="70A1A99C">
      <w:pPr>
        <w:pStyle w:val="2"/>
        <w:rPr>
          <w:rFonts w:hint="eastAsia"/>
          <w:highlight w:val="none"/>
        </w:rPr>
      </w:pPr>
    </w:p>
    <w:p w14:paraId="222E9E0B">
      <w:pPr>
        <w:widowControl w:val="0"/>
        <w:numPr>
          <w:ilvl w:val="0"/>
          <w:numId w:val="0"/>
        </w:numPr>
        <w:wordWrap/>
        <w:adjustRightInd/>
        <w:snapToGrid/>
        <w:spacing w:line="600" w:lineRule="exac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rPr>
        <w:t>项目概况</w:t>
      </w:r>
      <w:r>
        <w:rPr>
          <w:rFonts w:hint="eastAsia" w:ascii="宋体" w:hAnsi="宋体" w:eastAsia="宋体" w:cs="宋体"/>
          <w:b/>
          <w:bCs/>
          <w:sz w:val="24"/>
          <w:szCs w:val="24"/>
          <w:highlight w:val="none"/>
          <w:lang w:eastAsia="zh-CN"/>
        </w:rPr>
        <w:t>：</w:t>
      </w:r>
    </w:p>
    <w:p w14:paraId="769ECC8B">
      <w:pPr>
        <w:keepNext w:val="0"/>
        <w:keepLines w:val="0"/>
        <w:pageBreakBefore w:val="0"/>
        <w:numPr>
          <w:ilvl w:val="0"/>
          <w:numId w:val="0"/>
        </w:numPr>
        <w:kinsoku/>
        <w:wordWrap/>
        <w:overflowPunct/>
        <w:topLinePunct w:val="0"/>
        <w:autoSpaceDE/>
        <w:autoSpaceDN/>
        <w:bidi w:val="0"/>
        <w:spacing w:before="0" w:beforeLines="0" w:after="0" w:afterLines="0" w:line="360" w:lineRule="auto"/>
        <w:ind w:right="0" w:rightChars="0"/>
        <w:jc w:val="left"/>
        <w:textAlignment w:val="auto"/>
        <w:outlineLvl w:val="9"/>
        <w:rPr>
          <w:rFonts w:hint="eastAsia" w:ascii="宋体" w:hAnsi="宋体" w:eastAsia="宋体" w:cs="宋体"/>
          <w:b w:val="0"/>
          <w:bCs w:val="0"/>
          <w:color w:val="FF0000"/>
          <w:sz w:val="24"/>
          <w:szCs w:val="24"/>
          <w:highlight w:val="none"/>
          <w:lang w:eastAsia="zh-CN"/>
        </w:rPr>
      </w:pPr>
      <w:bookmarkStart w:id="30" w:name="_Toc135212471"/>
      <w:bookmarkStart w:id="31" w:name="_Toc33335636"/>
      <w:r>
        <w:rPr>
          <w:rFonts w:ascii="宋体" w:hAnsi="宋体" w:eastAsia="宋体" w:cs="宋体"/>
          <w:b w:val="0"/>
          <w:bCs w:val="0"/>
          <w:color w:val="auto"/>
          <w:sz w:val="24"/>
          <w:szCs w:val="24"/>
          <w:highlight w:val="none"/>
        </w:rPr>
        <w:t>1、项目名称</w:t>
      </w:r>
      <w:r>
        <w:rPr>
          <w:rFonts w:hint="eastAsia" w:ascii="宋体" w:hAnsi="宋体" w:eastAsia="宋体" w:cs="宋体"/>
          <w:b w:val="0"/>
          <w:bCs w:val="0"/>
          <w:color w:val="auto"/>
          <w:sz w:val="24"/>
          <w:szCs w:val="24"/>
          <w:highlight w:val="none"/>
          <w:lang w:eastAsia="zh-CN"/>
        </w:rPr>
        <w:t>：2025年余杭区青少年竞技体育服务项目</w:t>
      </w:r>
    </w:p>
    <w:p w14:paraId="350ECD93">
      <w:pPr>
        <w:widowControl w:val="0"/>
        <w:numPr>
          <w:ilvl w:val="0"/>
          <w:numId w:val="0"/>
        </w:numPr>
        <w:wordWrap/>
        <w:adjustRightInd/>
        <w:snapToGrid/>
        <w:spacing w:line="600" w:lineRule="exact"/>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2、计划时间、地点</w:t>
      </w:r>
    </w:p>
    <w:p w14:paraId="12551385">
      <w:pPr>
        <w:widowControl w:val="0"/>
        <w:numPr>
          <w:ilvl w:val="0"/>
          <w:numId w:val="0"/>
        </w:numPr>
        <w:wordWrap/>
        <w:adjustRightInd/>
        <w:snapToGrid/>
        <w:spacing w:line="600" w:lineRule="exact"/>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计划时间：以具体采购人要求为准</w:t>
      </w:r>
    </w:p>
    <w:p w14:paraId="070A83A9">
      <w:pPr>
        <w:widowControl w:val="0"/>
        <w:numPr>
          <w:ilvl w:val="0"/>
          <w:numId w:val="0"/>
        </w:numPr>
        <w:wordWrap/>
        <w:adjustRightInd/>
        <w:snapToGrid/>
        <w:spacing w:line="600" w:lineRule="exact"/>
        <w:textAlignment w:val="auto"/>
        <w:rPr>
          <w:rFonts w:ascii="宋体" w:hAnsi="宋体" w:eastAsia="宋体" w:cs="宋体"/>
          <w:b w:val="0"/>
          <w:bCs w:val="0"/>
          <w:color w:val="000000"/>
          <w:sz w:val="24"/>
          <w:szCs w:val="24"/>
        </w:rPr>
      </w:pPr>
      <w:r>
        <w:rPr>
          <w:rFonts w:ascii="宋体" w:hAnsi="宋体" w:eastAsia="宋体" w:cs="宋体"/>
          <w:b w:val="0"/>
          <w:bCs w:val="0"/>
          <w:color w:val="000000"/>
          <w:sz w:val="24"/>
          <w:szCs w:val="24"/>
        </w:rPr>
        <w:t>地点：以具体采购人要求为准</w:t>
      </w:r>
    </w:p>
    <w:p w14:paraId="5FD1EFE1">
      <w:pPr>
        <w:widowControl w:val="0"/>
        <w:numPr>
          <w:ilvl w:val="0"/>
          <w:numId w:val="0"/>
        </w:numPr>
        <w:wordWrap/>
        <w:adjustRightInd/>
        <w:snapToGrid/>
        <w:spacing w:line="600" w:lineRule="exact"/>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3、项目：武术散打、拳击、射击、跆拳道、羽毛球、网球、马术、射箭、举重、自行车和体操项目。（</w:t>
      </w:r>
      <w:r>
        <w:rPr>
          <w:rFonts w:ascii="宋体" w:hAnsi="宋体" w:eastAsia="宋体" w:cs="宋体"/>
          <w:b w:val="0"/>
          <w:bCs w:val="0"/>
          <w:color w:val="000000"/>
          <w:sz w:val="24"/>
          <w:szCs w:val="24"/>
        </w:rPr>
        <w:t>以具体采购人要求为准</w:t>
      </w:r>
      <w:r>
        <w:rPr>
          <w:rFonts w:hint="eastAsia" w:ascii="宋体" w:hAnsi="宋体" w:cs="宋体"/>
          <w:b w:val="0"/>
          <w:bCs w:val="0"/>
          <w:color w:val="000000"/>
          <w:sz w:val="24"/>
          <w:szCs w:val="24"/>
          <w:lang w:val="en-US" w:eastAsia="zh-CN"/>
        </w:rPr>
        <w:t>）</w:t>
      </w:r>
    </w:p>
    <w:p w14:paraId="6316B2CE">
      <w:pPr>
        <w:widowControl w:val="0"/>
        <w:numPr>
          <w:ilvl w:val="0"/>
          <w:numId w:val="0"/>
        </w:numPr>
        <w:wordWrap/>
        <w:adjustRightInd/>
        <w:snapToGrid/>
        <w:spacing w:line="60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宋体" w:hAnsi="宋体" w:eastAsia="宋体" w:cs="宋体"/>
          <w:b/>
          <w:bCs/>
          <w:sz w:val="24"/>
          <w:szCs w:val="24"/>
          <w:highlight w:val="none"/>
          <w:lang w:val="en-US" w:eastAsia="zh-CN"/>
        </w:rPr>
        <w:t>二、</w:t>
      </w:r>
      <w:r>
        <w:rPr>
          <w:rFonts w:hint="eastAsia" w:ascii="宋体" w:hAnsi="宋体" w:cs="宋体"/>
          <w:b/>
          <w:bCs/>
          <w:sz w:val="24"/>
          <w:szCs w:val="24"/>
          <w:highlight w:val="none"/>
          <w:lang w:val="en-US" w:eastAsia="zh-CN"/>
        </w:rPr>
        <w:t>服务内容</w:t>
      </w:r>
      <w:r>
        <w:rPr>
          <w:rFonts w:hint="eastAsia" w:ascii="宋体" w:hAnsi="宋体" w:eastAsia="宋体" w:cs="宋体"/>
          <w:b/>
          <w:bCs/>
          <w:sz w:val="24"/>
          <w:szCs w:val="24"/>
          <w:highlight w:val="none"/>
          <w:lang w:val="en-US" w:eastAsia="zh-CN"/>
        </w:rPr>
        <w:t>：</w:t>
      </w:r>
    </w:p>
    <w:p w14:paraId="325A7BF2">
      <w:pPr>
        <w:widowControl/>
        <w:numPr>
          <w:ilvl w:val="0"/>
          <w:numId w:val="0"/>
        </w:numPr>
        <w:spacing w:line="600" w:lineRule="exact"/>
        <w:ind w:firstLine="480" w:firstLineChars="200"/>
        <w:rPr>
          <w:rFonts w:hint="default" w:ascii="宋体" w:hAnsi="宋体" w:cs="宋体"/>
          <w:b w:val="0"/>
          <w:bCs/>
          <w:color w:val="000000"/>
          <w:sz w:val="24"/>
          <w:lang w:val="en-US" w:eastAsia="zh-CN" w:bidi="ar"/>
        </w:rPr>
      </w:pPr>
      <w:r>
        <w:rPr>
          <w:rFonts w:hint="default" w:ascii="宋体" w:hAnsi="宋体" w:cs="宋体"/>
          <w:b w:val="0"/>
          <w:bCs/>
          <w:color w:val="000000"/>
          <w:sz w:val="24"/>
          <w:lang w:val="en-US" w:eastAsia="zh-CN" w:bidi="ar"/>
        </w:rPr>
        <w:t>1.入围服务单位，负责合同约定的各项目青少年竞技体育后备人才培养工作。与普通中小学运动队和社会体育机构联合等形式，积极配合做好区社体中心青少年训练等工作任务。</w:t>
      </w:r>
    </w:p>
    <w:p w14:paraId="17ECC5A9">
      <w:pPr>
        <w:widowControl/>
        <w:numPr>
          <w:ilvl w:val="0"/>
          <w:numId w:val="0"/>
        </w:numPr>
        <w:spacing w:line="600" w:lineRule="exact"/>
        <w:ind w:firstLine="480" w:firstLineChars="200"/>
        <w:rPr>
          <w:rFonts w:hint="default" w:ascii="宋体" w:hAnsi="宋体" w:cs="宋体"/>
          <w:b w:val="0"/>
          <w:bCs/>
          <w:color w:val="000000"/>
          <w:sz w:val="24"/>
          <w:lang w:val="en-US" w:eastAsia="zh-CN" w:bidi="ar"/>
        </w:rPr>
      </w:pPr>
      <w:r>
        <w:rPr>
          <w:rFonts w:hint="default" w:ascii="宋体" w:hAnsi="宋体" w:cs="宋体"/>
          <w:b w:val="0"/>
          <w:bCs/>
          <w:color w:val="000000"/>
          <w:sz w:val="24"/>
          <w:lang w:val="en-US" w:eastAsia="zh-CN" w:bidi="ar"/>
        </w:rPr>
        <w:t>2.入围服务单位，负责聘请该运动项目相配套的专业教练员，且制定相关的管理制度。按要求落实教练员年度、阶段、周训练计划和总结。每星期训练次数不得少于四次。</w:t>
      </w:r>
    </w:p>
    <w:p w14:paraId="668B643B">
      <w:pPr>
        <w:widowControl/>
        <w:numPr>
          <w:ilvl w:val="0"/>
          <w:numId w:val="0"/>
        </w:numPr>
        <w:spacing w:line="600" w:lineRule="exact"/>
        <w:ind w:firstLine="480" w:firstLineChars="200"/>
        <w:rPr>
          <w:rFonts w:hint="default" w:ascii="宋体" w:hAnsi="宋体" w:cs="宋体"/>
          <w:b w:val="0"/>
          <w:bCs/>
          <w:color w:val="000000"/>
          <w:sz w:val="24"/>
          <w:lang w:val="en-US" w:eastAsia="zh-CN" w:bidi="ar"/>
        </w:rPr>
      </w:pPr>
      <w:r>
        <w:rPr>
          <w:rFonts w:hint="default" w:ascii="宋体" w:hAnsi="宋体" w:cs="宋体"/>
          <w:b w:val="0"/>
          <w:bCs/>
          <w:color w:val="000000"/>
          <w:sz w:val="24"/>
          <w:lang w:val="en-US" w:eastAsia="zh-CN" w:bidi="ar"/>
        </w:rPr>
        <w:t>3.入围服务单位，负责该项目后备人才招生、管理、训练、输送等。同时选拔优秀运动员，代表余杭区参加市级及以上各类比赛（参加上级的比赛费用由区社体中心承担）。</w:t>
      </w:r>
    </w:p>
    <w:p w14:paraId="43D15539">
      <w:pPr>
        <w:widowControl/>
        <w:numPr>
          <w:ilvl w:val="0"/>
          <w:numId w:val="0"/>
        </w:numPr>
        <w:spacing w:line="600" w:lineRule="exact"/>
        <w:ind w:firstLine="480" w:firstLineChars="200"/>
        <w:rPr>
          <w:rFonts w:hint="default" w:ascii="宋体" w:hAnsi="宋体" w:cs="宋体"/>
          <w:b w:val="0"/>
          <w:bCs/>
          <w:color w:val="000000"/>
          <w:sz w:val="24"/>
          <w:lang w:val="en-US" w:eastAsia="zh-CN" w:bidi="ar"/>
        </w:rPr>
      </w:pPr>
      <w:r>
        <w:rPr>
          <w:rFonts w:hint="default" w:ascii="宋体" w:hAnsi="宋体" w:cs="宋体"/>
          <w:b w:val="0"/>
          <w:bCs/>
          <w:color w:val="000000"/>
          <w:sz w:val="24"/>
          <w:lang w:val="en-US" w:eastAsia="zh-CN" w:bidi="ar"/>
        </w:rPr>
        <w:t>4.入围服务单位，应加强学生运动员日常管理和后勤安全保障工作，且出资为所有受训学生运动员购买人身意外伤害保险。对于受训学生运动员发生意外事故所造成的损失，应通过保险理赔进行赔偿。但如因入围服务单位委派的教练员擅自离岗或教练员违反规定的原因导致意外事故发生的，应先通过保险理赔程序进行赔偿，在保险赔款不能完全弥补受训队员损失的情况下，由入围服务单位方予以补足。</w:t>
      </w:r>
    </w:p>
    <w:p w14:paraId="65B50C7F">
      <w:pPr>
        <w:spacing w:line="600" w:lineRule="exact"/>
        <w:jc w:val="left"/>
        <w:rPr>
          <w:rFonts w:hint="eastAsia" w:ascii="宋体" w:hAnsi="宋体" w:cs="宋体"/>
          <w:b/>
          <w:bCs w:val="0"/>
          <w:sz w:val="24"/>
          <w:highlight w:val="none"/>
          <w:lang w:val="en-US" w:eastAsia="zh-CN"/>
        </w:rPr>
      </w:pPr>
      <w:r>
        <w:rPr>
          <w:rFonts w:hint="eastAsia" w:ascii="宋体" w:hAnsi="宋体" w:eastAsia="宋体" w:cs="宋体"/>
          <w:b w:val="0"/>
          <w:bCs w:val="0"/>
          <w:sz w:val="24"/>
          <w:szCs w:val="24"/>
          <w:highlight w:val="none"/>
          <w:lang w:val="en-US" w:eastAsia="zh-CN"/>
        </w:rPr>
        <w:t>▲</w:t>
      </w:r>
      <w:r>
        <w:rPr>
          <w:rFonts w:hint="eastAsia" w:ascii="宋体" w:hAnsi="宋体" w:cs="宋体"/>
          <w:b/>
          <w:bCs w:val="0"/>
          <w:sz w:val="24"/>
          <w:highlight w:val="none"/>
          <w:lang w:val="en-US" w:eastAsia="zh-CN"/>
        </w:rPr>
        <w:t>三、考核要求：</w:t>
      </w:r>
    </w:p>
    <w:p w14:paraId="2E38AE8E">
      <w:pPr>
        <w:spacing w:line="600" w:lineRule="exact"/>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区社体中心负责监督训练工作、审核报送的各种训练计划，做好教练员选派和考核管理工作。组织对入围服务训练单位进行年度考核，根据年度考核结果，核拨预留剩余费用。</w:t>
      </w:r>
    </w:p>
    <w:p w14:paraId="0C8C8A08">
      <w:pPr>
        <w:spacing w:line="600" w:lineRule="exact"/>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入围服务单位在年度管理过程中，如有下列情况之一者，将视为考核不合格，取消预留剩余补助经费：</w:t>
      </w:r>
    </w:p>
    <w:p w14:paraId="025BF279">
      <w:pPr>
        <w:spacing w:line="600" w:lineRule="exact"/>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（1）不按时上交年度训练计划及相关情况统计表;</w:t>
      </w:r>
    </w:p>
    <w:p w14:paraId="4C9D237F">
      <w:pPr>
        <w:spacing w:line="600" w:lineRule="exact"/>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（2）招录不符合项目要求的教练员，没有落实专职教练员带训；</w:t>
      </w:r>
    </w:p>
    <w:p w14:paraId="168D8029">
      <w:pPr>
        <w:spacing w:line="600" w:lineRule="exact"/>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（3）训练时间严重不足;</w:t>
      </w:r>
    </w:p>
    <w:p w14:paraId="7F960288">
      <w:pPr>
        <w:spacing w:line="600" w:lineRule="exact"/>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（4）不按时做好运动员注册手续；</w:t>
      </w:r>
    </w:p>
    <w:p w14:paraId="63E044E6">
      <w:pPr>
        <w:spacing w:line="600" w:lineRule="exact"/>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（5）无理由不参加由区体育部门组队、组织的省市比赛；</w:t>
      </w:r>
    </w:p>
    <w:p w14:paraId="6A9D9B28">
      <w:pPr>
        <w:spacing w:line="600" w:lineRule="exact"/>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（6）一年内没有10名及以上运动员在市以上比赛中获得前三名成绩或在区级比赛中获得集体项目、个人项目团体总分第一名成绩;</w:t>
      </w:r>
    </w:p>
    <w:p w14:paraId="1FDB74D5">
      <w:pPr>
        <w:spacing w:line="600" w:lineRule="exact"/>
        <w:rPr>
          <w:rFonts w:hint="eastAsia" w:ascii="宋体" w:hAnsi="宋体" w:eastAsia="宋体" w:cs="宋体"/>
          <w:b/>
          <w:bCs/>
          <w:sz w:val="24"/>
          <w:szCs w:val="24"/>
          <w:highlight w:val="none"/>
          <w:lang w:val="en-US" w:eastAsia="zh-CN"/>
        </w:rPr>
      </w:pPr>
      <w:r>
        <w:rPr>
          <w:rFonts w:hint="eastAsia" w:ascii="宋体" w:hAnsi="宋体" w:cs="宋体"/>
          <w:b w:val="0"/>
          <w:bCs w:val="0"/>
          <w:sz w:val="24"/>
          <w:szCs w:val="24"/>
          <w:highlight w:val="none"/>
          <w:lang w:val="en-US" w:eastAsia="zh-CN"/>
        </w:rPr>
        <w:t>（7）未经区社体中心同意，擅自将在训运动员流失或输送到外省、市、区。四</w:t>
      </w:r>
      <w:r>
        <w:rPr>
          <w:rFonts w:hint="eastAsia" w:ascii="宋体" w:hAnsi="宋体" w:eastAsia="宋体" w:cs="宋体"/>
          <w:b/>
          <w:bCs/>
          <w:sz w:val="24"/>
          <w:szCs w:val="24"/>
          <w:highlight w:val="none"/>
          <w:lang w:val="en-US" w:eastAsia="zh-CN"/>
        </w:rPr>
        <w:t>、</w:t>
      </w:r>
      <w:r>
        <w:rPr>
          <w:rFonts w:hint="eastAsia" w:ascii="宋体" w:hAnsi="宋体" w:cs="宋体"/>
          <w:b/>
          <w:bCs w:val="0"/>
          <w:sz w:val="24"/>
          <w:highlight w:val="none"/>
        </w:rPr>
        <w:t>费用结算方式</w:t>
      </w:r>
      <w:r>
        <w:rPr>
          <w:rFonts w:hint="eastAsia" w:ascii="宋体" w:hAnsi="宋体" w:eastAsia="宋体" w:cs="宋体"/>
          <w:b/>
          <w:bCs/>
          <w:sz w:val="24"/>
          <w:szCs w:val="24"/>
          <w:highlight w:val="none"/>
          <w:lang w:val="en-US" w:eastAsia="zh-CN"/>
        </w:rPr>
        <w:t>：</w:t>
      </w:r>
    </w:p>
    <w:p w14:paraId="70EAE516">
      <w:pPr>
        <w:bidi w:val="0"/>
        <w:ind w:firstLine="480" w:firstLineChars="200"/>
        <w:rPr>
          <w:rFonts w:hint="eastAsia"/>
          <w:sz w:val="24"/>
          <w:szCs w:val="24"/>
          <w:lang w:val="en-US" w:eastAsia="zh-CN"/>
        </w:rPr>
      </w:pPr>
    </w:p>
    <w:p w14:paraId="5771D3BE">
      <w:pPr>
        <w:bidi w:val="0"/>
        <w:ind w:firstLine="480" w:firstLineChars="200"/>
        <w:rPr>
          <w:rFonts w:hint="eastAsia"/>
          <w:sz w:val="24"/>
          <w:szCs w:val="24"/>
          <w:lang w:val="en-US" w:eastAsia="zh-CN"/>
        </w:rPr>
      </w:pPr>
      <w:r>
        <w:rPr>
          <w:rFonts w:hint="eastAsia"/>
          <w:sz w:val="24"/>
          <w:szCs w:val="24"/>
          <w:lang w:val="en-US" w:eastAsia="zh-CN"/>
        </w:rPr>
        <w:t>合同签订后支付合同总价的50%作为预付款；体育训练活动安全顺利结束后，供应商应向采购方提供青少年竞技体育训练工作所有资料后支付合同总价 50%。</w:t>
      </w:r>
    </w:p>
    <w:p w14:paraId="4EAA8BE7">
      <w:pPr>
        <w:spacing w:line="600" w:lineRule="exact"/>
        <w:rPr>
          <w:rFonts w:hint="eastAsia" w:ascii="宋体" w:hAnsi="宋体" w:cs="宋体"/>
          <w:b/>
          <w:bCs/>
          <w:sz w:val="24"/>
          <w:szCs w:val="24"/>
          <w:lang w:val="en-US" w:eastAsia="zh-CN"/>
        </w:rPr>
      </w:pPr>
    </w:p>
    <w:bookmarkEnd w:id="30"/>
    <w:bookmarkEnd w:id="31"/>
    <w:p w14:paraId="76EAB88B">
      <w:pPr>
        <w:rPr>
          <w:rFonts w:hint="eastAsia" w:ascii="宋体" w:hAnsi="宋体" w:eastAsia="宋体" w:cs="宋体"/>
          <w:b/>
          <w:bCs/>
          <w:sz w:val="28"/>
          <w:szCs w:val="28"/>
        </w:rPr>
      </w:pPr>
      <w:r>
        <w:rPr>
          <w:rFonts w:hint="eastAsia" w:ascii="宋体" w:hAnsi="宋体" w:eastAsia="宋体" w:cs="宋体"/>
          <w:b w:val="0"/>
          <w:bCs w:val="0"/>
          <w:sz w:val="24"/>
          <w:szCs w:val="24"/>
          <w:highlight w:val="none"/>
          <w:lang w:val="en-US" w:eastAsia="zh-CN"/>
        </w:rPr>
        <w:t>▲</w:t>
      </w:r>
      <w:r>
        <w:rPr>
          <w:rFonts w:hint="eastAsia" w:ascii="宋体" w:hAnsi="宋体" w:eastAsia="宋体" w:cs="宋体"/>
          <w:b/>
          <w:bCs/>
          <w:sz w:val="28"/>
          <w:szCs w:val="28"/>
          <w:lang w:eastAsia="zh-CN"/>
        </w:rPr>
        <w:t>五、</w:t>
      </w:r>
      <w:r>
        <w:rPr>
          <w:rFonts w:hint="eastAsia" w:ascii="宋体" w:hAnsi="宋体" w:eastAsia="宋体" w:cs="宋体"/>
          <w:b/>
          <w:bCs/>
          <w:sz w:val="28"/>
          <w:szCs w:val="28"/>
        </w:rPr>
        <w:t>服务期限：</w:t>
      </w:r>
    </w:p>
    <w:p w14:paraId="1D4F9A44">
      <w:pPr>
        <w:rPr>
          <w:rFonts w:ascii="宋体" w:hAnsi="宋体" w:eastAsia="宋体" w:cs="宋体"/>
          <w:b w:val="0"/>
          <w:bCs w:val="0"/>
          <w:color w:val="000000"/>
          <w:sz w:val="24"/>
          <w:szCs w:val="24"/>
        </w:rPr>
      </w:pPr>
    </w:p>
    <w:p w14:paraId="1BA866A1">
      <w:pPr>
        <w:rPr>
          <w:rFonts w:hint="eastAsia" w:ascii="宋体" w:hAnsi="宋体" w:cs="宋体"/>
          <w:b/>
          <w:sz w:val="24"/>
          <w:lang w:val="en-US" w:eastAsia="zh-CN"/>
        </w:rPr>
      </w:pPr>
      <w:r>
        <w:rPr>
          <w:rFonts w:ascii="宋体" w:hAnsi="宋体" w:eastAsia="宋体" w:cs="宋体"/>
          <w:b w:val="0"/>
          <w:bCs w:val="0"/>
          <w:color w:val="000000"/>
          <w:sz w:val="24"/>
          <w:szCs w:val="24"/>
          <w:highlight w:val="none"/>
        </w:rPr>
        <w:t>自合同签署生效之日起至成交供应商所承担的</w:t>
      </w:r>
      <w:r>
        <w:rPr>
          <w:rFonts w:hint="eastAsia" w:ascii="宋体" w:hAnsi="宋体" w:eastAsia="宋体" w:cs="宋体"/>
          <w:b w:val="0"/>
          <w:bCs w:val="0"/>
          <w:color w:val="000000"/>
          <w:sz w:val="24"/>
          <w:szCs w:val="24"/>
          <w:highlight w:val="none"/>
          <w:lang w:val="en-US" w:eastAsia="zh-CN"/>
        </w:rPr>
        <w:t>202</w:t>
      </w:r>
      <w:r>
        <w:rPr>
          <w:rFonts w:hint="eastAsia" w:ascii="宋体" w:hAnsi="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lang w:val="en-US" w:eastAsia="zh-CN"/>
        </w:rPr>
        <w:t>年余杭区青少年竞技体育服务项目</w:t>
      </w:r>
      <w:r>
        <w:rPr>
          <w:rFonts w:ascii="宋体" w:hAnsi="宋体" w:eastAsia="宋体" w:cs="宋体"/>
          <w:b w:val="0"/>
          <w:bCs w:val="0"/>
          <w:color w:val="000000"/>
          <w:sz w:val="24"/>
          <w:szCs w:val="24"/>
          <w:highlight w:val="none"/>
        </w:rPr>
        <w:t>全部工作结束止。</w:t>
      </w:r>
      <w:r>
        <w:rPr>
          <w:rFonts w:hint="eastAsia" w:ascii="宋体" w:hAnsi="宋体" w:cs="宋体"/>
          <w:b/>
          <w:sz w:val="24"/>
          <w:highlight w:val="none"/>
        </w:rPr>
        <w:br w:type="page"/>
      </w:r>
    </w:p>
    <w:p w14:paraId="7D18B210">
      <w:pPr>
        <w:rPr>
          <w:rFonts w:hint="eastAsia" w:ascii="宋体" w:hAnsi="宋体" w:cs="宋体"/>
          <w:b/>
          <w:color w:val="auto"/>
          <w:sz w:val="36"/>
          <w:szCs w:val="36"/>
          <w:highlight w:val="none"/>
        </w:rPr>
      </w:pPr>
      <w:r>
        <w:rPr>
          <w:rFonts w:hint="eastAsia" w:ascii="宋体" w:hAnsi="宋体" w:cs="宋体"/>
          <w:b/>
          <w:sz w:val="24"/>
          <w:highlight w:val="none"/>
          <w:lang w:val="en-US" w:eastAsia="zh-CN"/>
        </w:rPr>
        <w:t xml:space="preserve">                   </w:t>
      </w:r>
      <w:r>
        <w:rPr>
          <w:rFonts w:hint="eastAsia" w:ascii="宋体" w:hAnsi="宋体" w:cs="宋体"/>
          <w:b/>
          <w:color w:val="auto"/>
          <w:sz w:val="36"/>
          <w:szCs w:val="36"/>
          <w:highlight w:val="none"/>
        </w:rPr>
        <w:t xml:space="preserve">第四部分   </w:t>
      </w:r>
      <w:bookmarkStart w:id="32" w:name="_Toc184308092"/>
      <w:bookmarkEnd w:id="32"/>
      <w:bookmarkStart w:id="33" w:name="_Toc184313244"/>
      <w:bookmarkEnd w:id="33"/>
      <w:bookmarkStart w:id="34" w:name="_Toc184310301"/>
      <w:bookmarkEnd w:id="34"/>
      <w:bookmarkStart w:id="35" w:name="_Toc184314429"/>
      <w:bookmarkEnd w:id="35"/>
      <w:bookmarkStart w:id="36" w:name="_Toc184314467"/>
      <w:bookmarkEnd w:id="36"/>
      <w:bookmarkStart w:id="37" w:name="_Toc184313288"/>
      <w:bookmarkEnd w:id="37"/>
      <w:bookmarkStart w:id="38" w:name="_Toc184308096"/>
      <w:bookmarkEnd w:id="38"/>
      <w:bookmarkStart w:id="39" w:name="_Toc184313306"/>
      <w:bookmarkEnd w:id="39"/>
      <w:bookmarkStart w:id="40" w:name="_Toc184308054"/>
      <w:bookmarkEnd w:id="40"/>
      <w:bookmarkStart w:id="41" w:name="_Toc184312104"/>
      <w:bookmarkEnd w:id="41"/>
      <w:bookmarkStart w:id="42" w:name="_Toc184308082"/>
      <w:bookmarkEnd w:id="42"/>
      <w:bookmarkStart w:id="43" w:name="_Toc184312107"/>
      <w:bookmarkEnd w:id="43"/>
      <w:bookmarkStart w:id="44" w:name="_Toc184313300"/>
      <w:bookmarkEnd w:id="44"/>
      <w:bookmarkStart w:id="45" w:name="_Toc184308077"/>
      <w:bookmarkEnd w:id="45"/>
      <w:bookmarkStart w:id="46" w:name="_Toc184308085"/>
      <w:bookmarkEnd w:id="46"/>
      <w:bookmarkStart w:id="47" w:name="_Toc184313239"/>
      <w:bookmarkEnd w:id="47"/>
      <w:bookmarkStart w:id="48" w:name="_Toc184310306"/>
      <w:bookmarkEnd w:id="48"/>
      <w:bookmarkStart w:id="49" w:name="_Toc184312112"/>
      <w:bookmarkEnd w:id="49"/>
      <w:bookmarkStart w:id="50" w:name="_Toc184313295"/>
      <w:bookmarkEnd w:id="50"/>
      <w:bookmarkStart w:id="51" w:name="_Toc184310288"/>
      <w:bookmarkEnd w:id="51"/>
      <w:bookmarkStart w:id="52" w:name="_Toc184314425"/>
      <w:bookmarkEnd w:id="52"/>
      <w:bookmarkStart w:id="53" w:name="_Toc184314476"/>
      <w:bookmarkEnd w:id="53"/>
      <w:bookmarkStart w:id="54" w:name="_Toc184313292"/>
      <w:bookmarkEnd w:id="54"/>
      <w:bookmarkStart w:id="55" w:name="_Toc184308102"/>
      <w:bookmarkEnd w:id="55"/>
      <w:bookmarkStart w:id="56" w:name="_Toc184308075"/>
      <w:bookmarkEnd w:id="56"/>
      <w:bookmarkStart w:id="57" w:name="_Toc184308081"/>
      <w:bookmarkEnd w:id="57"/>
      <w:bookmarkStart w:id="58" w:name="_Toc184313268"/>
      <w:bookmarkEnd w:id="58"/>
      <w:bookmarkStart w:id="59" w:name="_Toc184314463"/>
      <w:bookmarkEnd w:id="59"/>
      <w:bookmarkStart w:id="60" w:name="_Toc184312072"/>
      <w:bookmarkEnd w:id="60"/>
      <w:bookmarkStart w:id="61" w:name="_Toc184312105"/>
      <w:bookmarkEnd w:id="61"/>
      <w:bookmarkStart w:id="62" w:name="_Toc184313266"/>
      <w:bookmarkEnd w:id="62"/>
      <w:bookmarkStart w:id="63" w:name="_Toc184310284"/>
      <w:bookmarkEnd w:id="63"/>
      <w:bookmarkStart w:id="64" w:name="_Toc184310313"/>
      <w:bookmarkEnd w:id="64"/>
      <w:bookmarkStart w:id="65" w:name="_Toc184312067"/>
      <w:bookmarkEnd w:id="65"/>
      <w:bookmarkStart w:id="66" w:name="_Toc184310322"/>
      <w:bookmarkEnd w:id="66"/>
      <w:bookmarkStart w:id="67" w:name="_Toc184314456"/>
      <w:bookmarkEnd w:id="67"/>
      <w:bookmarkStart w:id="68" w:name="_Toc184314415"/>
      <w:bookmarkEnd w:id="68"/>
      <w:bookmarkStart w:id="69" w:name="_Toc184313248"/>
      <w:bookmarkEnd w:id="69"/>
      <w:bookmarkStart w:id="70" w:name="_Toc184312125"/>
      <w:bookmarkEnd w:id="70"/>
      <w:bookmarkStart w:id="71" w:name="_Toc184312121"/>
      <w:bookmarkEnd w:id="71"/>
      <w:bookmarkStart w:id="72" w:name="_Toc184314451"/>
      <w:bookmarkEnd w:id="72"/>
      <w:bookmarkStart w:id="73" w:name="_Toc184313267"/>
      <w:bookmarkEnd w:id="73"/>
      <w:bookmarkStart w:id="74" w:name="_Toc184313297"/>
      <w:bookmarkEnd w:id="74"/>
      <w:bookmarkStart w:id="75" w:name="_Toc184313285"/>
      <w:bookmarkEnd w:id="75"/>
      <w:bookmarkStart w:id="76" w:name="_Toc184313290"/>
      <w:bookmarkEnd w:id="76"/>
      <w:bookmarkStart w:id="77" w:name="_Toc184310276"/>
      <w:bookmarkEnd w:id="77"/>
      <w:bookmarkStart w:id="78" w:name="_Toc184308060"/>
      <w:bookmarkEnd w:id="78"/>
      <w:bookmarkStart w:id="79" w:name="_Toc184310294"/>
      <w:bookmarkEnd w:id="79"/>
      <w:bookmarkStart w:id="80" w:name="_Toc184310308"/>
      <w:bookmarkEnd w:id="80"/>
      <w:bookmarkStart w:id="81" w:name="_Toc184313280"/>
      <w:bookmarkEnd w:id="81"/>
      <w:bookmarkStart w:id="82" w:name="_Toc184308097"/>
      <w:bookmarkEnd w:id="82"/>
      <w:bookmarkStart w:id="83" w:name="_Toc184308106"/>
      <w:bookmarkEnd w:id="83"/>
      <w:bookmarkStart w:id="84" w:name="_Toc184312129"/>
      <w:bookmarkEnd w:id="84"/>
      <w:bookmarkStart w:id="85" w:name="_Toc184313309"/>
      <w:bookmarkEnd w:id="85"/>
      <w:bookmarkStart w:id="86" w:name="_Toc184308057"/>
      <w:bookmarkEnd w:id="86"/>
      <w:bookmarkStart w:id="87" w:name="_Toc184314447"/>
      <w:bookmarkEnd w:id="87"/>
      <w:bookmarkStart w:id="88" w:name="_Toc184313281"/>
      <w:bookmarkEnd w:id="88"/>
      <w:bookmarkStart w:id="89" w:name="_Toc184313264"/>
      <w:bookmarkEnd w:id="89"/>
      <w:bookmarkStart w:id="90" w:name="_Toc184308069"/>
      <w:bookmarkEnd w:id="90"/>
      <w:bookmarkStart w:id="91" w:name="_Toc184310274"/>
      <w:bookmarkEnd w:id="91"/>
      <w:bookmarkStart w:id="92" w:name="_Toc184314481"/>
      <w:bookmarkEnd w:id="92"/>
      <w:bookmarkStart w:id="93" w:name="_Toc184313249"/>
      <w:bookmarkEnd w:id="93"/>
      <w:bookmarkStart w:id="94" w:name="_Toc184312095"/>
      <w:bookmarkEnd w:id="94"/>
      <w:bookmarkStart w:id="95" w:name="_Toc184308061"/>
      <w:bookmarkEnd w:id="95"/>
      <w:bookmarkStart w:id="96" w:name="_Toc184313272"/>
      <w:bookmarkEnd w:id="96"/>
      <w:bookmarkStart w:id="97" w:name="_Toc184308053"/>
      <w:bookmarkEnd w:id="97"/>
      <w:bookmarkStart w:id="98" w:name="_Toc184312082"/>
      <w:bookmarkEnd w:id="98"/>
      <w:bookmarkStart w:id="99" w:name="_Toc184308084"/>
      <w:bookmarkEnd w:id="99"/>
      <w:bookmarkStart w:id="100" w:name="_Toc184313307"/>
      <w:bookmarkEnd w:id="100"/>
      <w:bookmarkStart w:id="101" w:name="_Toc184313277"/>
      <w:bookmarkEnd w:id="101"/>
      <w:bookmarkStart w:id="102" w:name="_Toc184313251"/>
      <w:bookmarkEnd w:id="102"/>
      <w:bookmarkStart w:id="103" w:name="_Toc184312111"/>
      <w:bookmarkEnd w:id="103"/>
      <w:bookmarkStart w:id="104" w:name="_Toc184308067"/>
      <w:bookmarkEnd w:id="104"/>
      <w:bookmarkStart w:id="105" w:name="_Toc184308093"/>
      <w:bookmarkEnd w:id="105"/>
      <w:bookmarkStart w:id="106" w:name="_Toc184314424"/>
      <w:bookmarkEnd w:id="106"/>
      <w:bookmarkStart w:id="107" w:name="_Toc184312087"/>
      <w:bookmarkEnd w:id="107"/>
      <w:bookmarkStart w:id="108" w:name="_Toc184312078"/>
      <w:bookmarkEnd w:id="108"/>
      <w:bookmarkStart w:id="109" w:name="_Toc184312093"/>
      <w:bookmarkEnd w:id="109"/>
      <w:bookmarkStart w:id="110" w:name="_Toc184312090"/>
      <w:bookmarkEnd w:id="110"/>
      <w:bookmarkStart w:id="111" w:name="_Toc184310292"/>
      <w:bookmarkEnd w:id="111"/>
      <w:bookmarkStart w:id="112" w:name="_Toc184314437"/>
      <w:bookmarkEnd w:id="112"/>
      <w:bookmarkStart w:id="113" w:name="_Toc184312100"/>
      <w:bookmarkEnd w:id="113"/>
      <w:bookmarkStart w:id="114" w:name="_Toc184314441"/>
      <w:bookmarkEnd w:id="114"/>
      <w:bookmarkStart w:id="115" w:name="_Toc184314412"/>
      <w:bookmarkEnd w:id="115"/>
      <w:bookmarkStart w:id="116" w:name="_Toc184313282"/>
      <w:bookmarkEnd w:id="116"/>
      <w:bookmarkStart w:id="117" w:name="_Toc184310304"/>
      <w:bookmarkEnd w:id="117"/>
      <w:bookmarkStart w:id="118" w:name="_Toc184314466"/>
      <w:bookmarkEnd w:id="118"/>
      <w:bookmarkStart w:id="119" w:name="_Toc184310303"/>
      <w:bookmarkEnd w:id="119"/>
      <w:bookmarkStart w:id="120" w:name="_Toc184314426"/>
      <w:bookmarkEnd w:id="120"/>
      <w:bookmarkStart w:id="121" w:name="_Toc184310290"/>
      <w:bookmarkEnd w:id="121"/>
      <w:bookmarkStart w:id="122" w:name="_Toc184308042"/>
      <w:bookmarkEnd w:id="122"/>
      <w:bookmarkStart w:id="123" w:name="_Toc184312132"/>
      <w:bookmarkEnd w:id="123"/>
      <w:bookmarkStart w:id="124" w:name="_Toc184308078"/>
      <w:bookmarkEnd w:id="124"/>
      <w:bookmarkStart w:id="125" w:name="_Toc184314475"/>
      <w:bookmarkEnd w:id="125"/>
      <w:bookmarkStart w:id="126" w:name="_Toc184310310"/>
      <w:bookmarkEnd w:id="126"/>
      <w:bookmarkStart w:id="127" w:name="_Toc184308062"/>
      <w:bookmarkEnd w:id="127"/>
      <w:bookmarkStart w:id="128" w:name="_Toc184314431"/>
      <w:bookmarkEnd w:id="128"/>
      <w:bookmarkStart w:id="129" w:name="_Toc184312128"/>
      <w:bookmarkEnd w:id="129"/>
      <w:bookmarkStart w:id="130" w:name="_Toc184308070"/>
      <w:bookmarkEnd w:id="130"/>
      <w:bookmarkStart w:id="131" w:name="_Toc184308088"/>
      <w:bookmarkEnd w:id="131"/>
      <w:bookmarkStart w:id="132" w:name="_Toc184310342"/>
      <w:bookmarkEnd w:id="132"/>
      <w:bookmarkStart w:id="133" w:name="_Toc184308100"/>
      <w:bookmarkEnd w:id="133"/>
      <w:bookmarkStart w:id="134" w:name="_Toc184314444"/>
      <w:bookmarkEnd w:id="134"/>
      <w:bookmarkStart w:id="135" w:name="_Toc184313252"/>
      <w:bookmarkEnd w:id="135"/>
      <w:bookmarkStart w:id="136" w:name="_Toc184308099"/>
      <w:bookmarkEnd w:id="136"/>
      <w:bookmarkStart w:id="137" w:name="_Toc184308089"/>
      <w:bookmarkEnd w:id="137"/>
      <w:bookmarkStart w:id="138" w:name="_Toc184308107"/>
      <w:bookmarkEnd w:id="138"/>
      <w:bookmarkStart w:id="139" w:name="_Toc184310341"/>
      <w:bookmarkEnd w:id="139"/>
      <w:bookmarkStart w:id="140" w:name="_Toc184314448"/>
      <w:bookmarkEnd w:id="140"/>
      <w:bookmarkStart w:id="141" w:name="_Toc184310327"/>
      <w:bookmarkEnd w:id="141"/>
      <w:bookmarkStart w:id="142" w:name="_Toc184308058"/>
      <w:bookmarkEnd w:id="142"/>
      <w:bookmarkStart w:id="143" w:name="_Toc184310317"/>
      <w:bookmarkEnd w:id="143"/>
      <w:bookmarkStart w:id="144" w:name="_Toc184310316"/>
      <w:bookmarkEnd w:id="144"/>
      <w:bookmarkStart w:id="145" w:name="_Toc184314421"/>
      <w:bookmarkEnd w:id="145"/>
      <w:bookmarkStart w:id="146" w:name="_Toc184313271"/>
      <w:bookmarkEnd w:id="146"/>
      <w:bookmarkStart w:id="147" w:name="_Toc184313287"/>
      <w:bookmarkEnd w:id="147"/>
      <w:bookmarkStart w:id="148" w:name="_Toc184312122"/>
      <w:bookmarkEnd w:id="148"/>
      <w:bookmarkStart w:id="149" w:name="_Toc184313308"/>
      <w:bookmarkEnd w:id="149"/>
      <w:bookmarkStart w:id="150" w:name="_Toc184313247"/>
      <w:bookmarkEnd w:id="150"/>
      <w:bookmarkStart w:id="151" w:name="_Toc184312073"/>
      <w:bookmarkEnd w:id="151"/>
      <w:bookmarkStart w:id="152" w:name="_Toc184312117"/>
      <w:bookmarkEnd w:id="152"/>
      <w:bookmarkStart w:id="153" w:name="_Toc184310297"/>
      <w:bookmarkEnd w:id="153"/>
      <w:bookmarkStart w:id="154" w:name="_Toc184314410"/>
      <w:bookmarkEnd w:id="154"/>
      <w:bookmarkStart w:id="155" w:name="_Toc184310279"/>
      <w:bookmarkEnd w:id="155"/>
      <w:bookmarkStart w:id="156" w:name="_Toc184310298"/>
      <w:bookmarkEnd w:id="156"/>
      <w:bookmarkStart w:id="157" w:name="_Toc184312139"/>
      <w:bookmarkEnd w:id="157"/>
      <w:bookmarkStart w:id="158" w:name="_Toc184312071"/>
      <w:bookmarkEnd w:id="158"/>
      <w:bookmarkStart w:id="159" w:name="_Toc184310314"/>
      <w:bookmarkEnd w:id="159"/>
      <w:bookmarkStart w:id="160" w:name="_Toc184314433"/>
      <w:bookmarkEnd w:id="160"/>
      <w:bookmarkStart w:id="161" w:name="_Toc184308049"/>
      <w:bookmarkEnd w:id="161"/>
      <w:bookmarkStart w:id="162" w:name="_Toc184312092"/>
      <w:bookmarkEnd w:id="162"/>
      <w:bookmarkStart w:id="163" w:name="_Toc184310283"/>
      <w:bookmarkEnd w:id="163"/>
      <w:bookmarkStart w:id="164" w:name="_Toc184308079"/>
      <w:bookmarkEnd w:id="164"/>
      <w:bookmarkStart w:id="165" w:name="_Toc184310338"/>
      <w:bookmarkEnd w:id="165"/>
      <w:bookmarkStart w:id="166" w:name="_Toc184308083"/>
      <w:bookmarkEnd w:id="166"/>
      <w:bookmarkStart w:id="167" w:name="_Toc184313241"/>
      <w:bookmarkEnd w:id="167"/>
      <w:bookmarkStart w:id="168" w:name="_Toc184308056"/>
      <w:bookmarkEnd w:id="168"/>
      <w:bookmarkStart w:id="169" w:name="_Toc184313253"/>
      <w:bookmarkEnd w:id="169"/>
      <w:bookmarkStart w:id="170" w:name="_Toc184314450"/>
      <w:bookmarkEnd w:id="170"/>
      <w:bookmarkStart w:id="171" w:name="_Toc184314438"/>
      <w:bookmarkEnd w:id="171"/>
      <w:bookmarkStart w:id="172" w:name="_Toc184313304"/>
      <w:bookmarkEnd w:id="172"/>
      <w:bookmarkStart w:id="173" w:name="_Toc184313258"/>
      <w:bookmarkEnd w:id="173"/>
      <w:bookmarkStart w:id="174" w:name="_Toc184314414"/>
      <w:bookmarkEnd w:id="174"/>
      <w:bookmarkStart w:id="175" w:name="_Toc184314416"/>
      <w:bookmarkEnd w:id="175"/>
      <w:bookmarkStart w:id="176" w:name="_Toc184312102"/>
      <w:bookmarkEnd w:id="176"/>
      <w:bookmarkStart w:id="177" w:name="_Toc184313298"/>
      <w:bookmarkEnd w:id="177"/>
      <w:bookmarkStart w:id="178" w:name="_Toc184308065"/>
      <w:bookmarkEnd w:id="178"/>
      <w:bookmarkStart w:id="179" w:name="_Toc184314418"/>
      <w:bookmarkEnd w:id="179"/>
      <w:bookmarkStart w:id="180" w:name="_Toc184313294"/>
      <w:bookmarkEnd w:id="180"/>
      <w:bookmarkStart w:id="181" w:name="_Toc184314413"/>
      <w:bookmarkEnd w:id="181"/>
      <w:bookmarkStart w:id="182" w:name="_Toc184312135"/>
      <w:bookmarkEnd w:id="182"/>
      <w:bookmarkStart w:id="183" w:name="_Toc184312068"/>
      <w:bookmarkEnd w:id="183"/>
      <w:bookmarkStart w:id="184" w:name="_Toc184310291"/>
      <w:bookmarkEnd w:id="184"/>
      <w:bookmarkStart w:id="185" w:name="_Toc184308050"/>
      <w:bookmarkEnd w:id="185"/>
      <w:bookmarkStart w:id="186" w:name="_Toc184314464"/>
      <w:bookmarkEnd w:id="186"/>
      <w:bookmarkStart w:id="187" w:name="_Toc184308063"/>
      <w:bookmarkEnd w:id="187"/>
      <w:bookmarkStart w:id="188" w:name="_Toc184312116"/>
      <w:bookmarkEnd w:id="188"/>
      <w:bookmarkStart w:id="189" w:name="_Toc184308043"/>
      <w:bookmarkEnd w:id="189"/>
      <w:bookmarkStart w:id="190" w:name="_Toc184310299"/>
      <w:bookmarkEnd w:id="190"/>
      <w:bookmarkStart w:id="191" w:name="_Toc184310339"/>
      <w:bookmarkEnd w:id="191"/>
      <w:bookmarkStart w:id="192" w:name="_Toc184308051"/>
      <w:bookmarkEnd w:id="192"/>
      <w:bookmarkStart w:id="193" w:name="_Toc184312127"/>
      <w:bookmarkEnd w:id="193"/>
      <w:bookmarkStart w:id="194" w:name="_Toc184312124"/>
      <w:bookmarkEnd w:id="194"/>
      <w:bookmarkStart w:id="195" w:name="_Toc184308038"/>
      <w:bookmarkEnd w:id="195"/>
      <w:bookmarkStart w:id="196" w:name="_Toc184310328"/>
      <w:bookmarkEnd w:id="196"/>
      <w:bookmarkStart w:id="197" w:name="_Toc184314479"/>
      <w:bookmarkEnd w:id="197"/>
      <w:bookmarkStart w:id="198" w:name="_Toc184313263"/>
      <w:bookmarkEnd w:id="198"/>
      <w:bookmarkStart w:id="199" w:name="_Toc184308103"/>
      <w:bookmarkEnd w:id="199"/>
      <w:bookmarkStart w:id="200" w:name="_Toc184310325"/>
      <w:bookmarkEnd w:id="200"/>
      <w:bookmarkStart w:id="201" w:name="_Toc184313275"/>
      <w:bookmarkEnd w:id="201"/>
      <w:bookmarkStart w:id="202" w:name="_Toc184314457"/>
      <w:bookmarkEnd w:id="202"/>
      <w:bookmarkStart w:id="203" w:name="_Toc184312133"/>
      <w:bookmarkEnd w:id="203"/>
      <w:bookmarkStart w:id="204" w:name="_Toc184310273"/>
      <w:bookmarkEnd w:id="204"/>
      <w:bookmarkStart w:id="205" w:name="_Toc184312089"/>
      <w:bookmarkEnd w:id="205"/>
      <w:bookmarkStart w:id="206" w:name="_Toc184314468"/>
      <w:bookmarkEnd w:id="206"/>
      <w:bookmarkStart w:id="207" w:name="_Toc184314435"/>
      <w:bookmarkEnd w:id="207"/>
      <w:bookmarkStart w:id="208" w:name="_Toc184314458"/>
      <w:bookmarkEnd w:id="208"/>
      <w:bookmarkStart w:id="209" w:name="_Toc184314423"/>
      <w:bookmarkEnd w:id="209"/>
      <w:bookmarkStart w:id="210" w:name="_Toc184310289"/>
      <w:bookmarkEnd w:id="210"/>
      <w:bookmarkStart w:id="211" w:name="_Toc184313240"/>
      <w:bookmarkEnd w:id="211"/>
      <w:bookmarkStart w:id="212" w:name="_Toc184313302"/>
      <w:bookmarkEnd w:id="212"/>
      <w:bookmarkStart w:id="213" w:name="_Toc184314430"/>
      <w:bookmarkEnd w:id="213"/>
      <w:bookmarkStart w:id="214" w:name="_Toc184308036"/>
      <w:bookmarkEnd w:id="214"/>
      <w:bookmarkStart w:id="215" w:name="_Toc184312086"/>
      <w:bookmarkEnd w:id="215"/>
      <w:bookmarkStart w:id="216" w:name="_Toc184312136"/>
      <w:bookmarkEnd w:id="216"/>
      <w:bookmarkStart w:id="217" w:name="_Toc184308073"/>
      <w:bookmarkEnd w:id="217"/>
      <w:bookmarkStart w:id="218" w:name="_Toc184310336"/>
      <w:bookmarkEnd w:id="218"/>
      <w:bookmarkStart w:id="219" w:name="_Toc184310340"/>
      <w:bookmarkEnd w:id="219"/>
      <w:bookmarkStart w:id="220" w:name="_Toc184310332"/>
      <w:bookmarkEnd w:id="220"/>
      <w:bookmarkStart w:id="221" w:name="_Toc184308047"/>
      <w:bookmarkEnd w:id="221"/>
      <w:bookmarkStart w:id="222" w:name="_Toc184314443"/>
      <w:bookmarkEnd w:id="222"/>
      <w:bookmarkStart w:id="223" w:name="_Toc184313301"/>
      <w:bookmarkEnd w:id="223"/>
      <w:bookmarkStart w:id="224" w:name="_Toc184312131"/>
      <w:bookmarkEnd w:id="224"/>
      <w:bookmarkStart w:id="225" w:name="_Toc184312123"/>
      <w:bookmarkEnd w:id="225"/>
      <w:bookmarkStart w:id="226" w:name="_Toc184312099"/>
      <w:bookmarkEnd w:id="226"/>
      <w:bookmarkStart w:id="227" w:name="_Toc184312098"/>
      <w:bookmarkEnd w:id="227"/>
      <w:bookmarkStart w:id="228" w:name="_Toc184314442"/>
      <w:bookmarkEnd w:id="228"/>
      <w:bookmarkStart w:id="229" w:name="_Toc184312120"/>
      <w:bookmarkEnd w:id="229"/>
      <w:bookmarkStart w:id="230" w:name="_Toc184312138"/>
      <w:bookmarkEnd w:id="230"/>
      <w:bookmarkStart w:id="231" w:name="_Toc184314439"/>
      <w:bookmarkEnd w:id="231"/>
      <w:bookmarkStart w:id="232" w:name="_Toc184314419"/>
      <w:bookmarkEnd w:id="232"/>
      <w:bookmarkStart w:id="233" w:name="_Toc184312077"/>
      <w:bookmarkEnd w:id="233"/>
      <w:bookmarkStart w:id="234" w:name="_Toc184310300"/>
      <w:bookmarkEnd w:id="234"/>
      <w:bookmarkStart w:id="235" w:name="_Toc184310312"/>
      <w:bookmarkEnd w:id="235"/>
      <w:bookmarkStart w:id="236" w:name="_Toc184308059"/>
      <w:bookmarkEnd w:id="236"/>
      <w:bookmarkStart w:id="237" w:name="_Toc184308071"/>
      <w:bookmarkEnd w:id="237"/>
      <w:bookmarkStart w:id="238" w:name="_Toc184313242"/>
      <w:bookmarkEnd w:id="238"/>
      <w:bookmarkStart w:id="239" w:name="_Toc184313261"/>
      <w:bookmarkEnd w:id="239"/>
      <w:bookmarkStart w:id="240" w:name="_Toc184312108"/>
      <w:bookmarkEnd w:id="240"/>
      <w:bookmarkStart w:id="241" w:name="_Toc184310277"/>
      <w:bookmarkEnd w:id="241"/>
      <w:bookmarkStart w:id="242" w:name="_Toc184313291"/>
      <w:bookmarkEnd w:id="242"/>
      <w:bookmarkStart w:id="243" w:name="_Toc184312070"/>
      <w:bookmarkEnd w:id="243"/>
      <w:bookmarkStart w:id="244" w:name="_Toc184310309"/>
      <w:bookmarkEnd w:id="244"/>
      <w:bookmarkStart w:id="245" w:name="_Toc184314411"/>
      <w:bookmarkEnd w:id="245"/>
      <w:bookmarkStart w:id="246" w:name="_Toc184313257"/>
      <w:bookmarkEnd w:id="246"/>
      <w:bookmarkStart w:id="247" w:name="_Toc184310335"/>
      <w:bookmarkEnd w:id="247"/>
      <w:bookmarkStart w:id="248" w:name="_Toc184314473"/>
      <w:bookmarkEnd w:id="248"/>
      <w:bookmarkStart w:id="249" w:name="_Toc184312088"/>
      <w:bookmarkEnd w:id="249"/>
      <w:bookmarkStart w:id="250" w:name="_Toc184312106"/>
      <w:bookmarkEnd w:id="250"/>
      <w:bookmarkStart w:id="251" w:name="_Toc184312119"/>
      <w:bookmarkEnd w:id="251"/>
      <w:bookmarkStart w:id="252" w:name="_Toc184314454"/>
      <w:bookmarkEnd w:id="252"/>
      <w:bookmarkStart w:id="253" w:name="_Toc184310295"/>
      <w:bookmarkEnd w:id="253"/>
      <w:bookmarkStart w:id="254" w:name="_Toc184312096"/>
      <w:bookmarkEnd w:id="254"/>
      <w:bookmarkStart w:id="255" w:name="_Toc184313293"/>
      <w:bookmarkEnd w:id="255"/>
      <w:bookmarkStart w:id="256" w:name="_Toc184313260"/>
      <w:bookmarkEnd w:id="256"/>
      <w:bookmarkStart w:id="257" w:name="_Toc184314417"/>
      <w:bookmarkEnd w:id="257"/>
      <w:bookmarkStart w:id="258" w:name="_Toc184314420"/>
      <w:bookmarkEnd w:id="258"/>
      <w:bookmarkStart w:id="259" w:name="_Toc184310272"/>
      <w:bookmarkEnd w:id="259"/>
      <w:bookmarkStart w:id="260" w:name="_Toc184312094"/>
      <w:bookmarkEnd w:id="260"/>
      <w:bookmarkStart w:id="261" w:name="_Toc184314432"/>
      <w:bookmarkEnd w:id="261"/>
      <w:bookmarkStart w:id="262" w:name="_Toc184312134"/>
      <w:bookmarkEnd w:id="262"/>
      <w:bookmarkStart w:id="263" w:name="_Toc184314427"/>
      <w:bookmarkEnd w:id="263"/>
      <w:bookmarkStart w:id="264" w:name="_Toc184310302"/>
      <w:bookmarkEnd w:id="264"/>
      <w:bookmarkStart w:id="265" w:name="_Toc184308101"/>
      <w:bookmarkEnd w:id="265"/>
      <w:bookmarkStart w:id="266" w:name="_Toc184310321"/>
      <w:bookmarkEnd w:id="266"/>
      <w:bookmarkStart w:id="267" w:name="_Toc184308086"/>
      <w:bookmarkEnd w:id="267"/>
      <w:bookmarkStart w:id="268" w:name="_Toc184314470"/>
      <w:bookmarkEnd w:id="268"/>
      <w:bookmarkStart w:id="269" w:name="_Toc184308068"/>
      <w:bookmarkEnd w:id="269"/>
      <w:bookmarkStart w:id="270" w:name="_Toc184314436"/>
      <w:bookmarkEnd w:id="270"/>
      <w:bookmarkStart w:id="271" w:name="_Toc184314428"/>
      <w:bookmarkEnd w:id="271"/>
      <w:bookmarkStart w:id="272" w:name="_Toc184310285"/>
      <w:bookmarkEnd w:id="272"/>
      <w:bookmarkStart w:id="273" w:name="_Toc184314471"/>
      <w:bookmarkEnd w:id="273"/>
      <w:bookmarkStart w:id="274" w:name="_Toc184310311"/>
      <w:bookmarkEnd w:id="274"/>
      <w:bookmarkStart w:id="275" w:name="_Toc184312114"/>
      <w:bookmarkEnd w:id="275"/>
      <w:bookmarkStart w:id="276" w:name="_Toc184314465"/>
      <w:bookmarkEnd w:id="276"/>
      <w:bookmarkStart w:id="277" w:name="_Toc184313286"/>
      <w:bookmarkEnd w:id="277"/>
      <w:bookmarkStart w:id="278" w:name="_Toc184310305"/>
      <w:bookmarkEnd w:id="278"/>
      <w:bookmarkStart w:id="279" w:name="_Toc184312118"/>
      <w:bookmarkEnd w:id="279"/>
      <w:bookmarkStart w:id="280" w:name="_Toc184313283"/>
      <w:bookmarkEnd w:id="280"/>
      <w:bookmarkStart w:id="281" w:name="_Toc184313246"/>
      <w:bookmarkEnd w:id="281"/>
      <w:bookmarkStart w:id="282" w:name="_Toc184314477"/>
      <w:bookmarkEnd w:id="282"/>
      <w:bookmarkStart w:id="283" w:name="_Toc184312101"/>
      <w:bookmarkEnd w:id="283"/>
      <w:bookmarkStart w:id="284" w:name="_Toc184310293"/>
      <w:bookmarkEnd w:id="284"/>
      <w:bookmarkStart w:id="285" w:name="_Toc184310329"/>
      <w:bookmarkEnd w:id="285"/>
      <w:bookmarkStart w:id="286" w:name="_Toc184308048"/>
      <w:bookmarkEnd w:id="286"/>
      <w:bookmarkStart w:id="287" w:name="_Toc184308066"/>
      <w:bookmarkEnd w:id="287"/>
      <w:bookmarkStart w:id="288" w:name="_Toc184313243"/>
      <w:bookmarkEnd w:id="288"/>
      <w:bookmarkStart w:id="289" w:name="_Toc184314460"/>
      <w:bookmarkEnd w:id="289"/>
      <w:bookmarkStart w:id="290" w:name="_Toc184312130"/>
      <w:bookmarkEnd w:id="290"/>
      <w:bookmarkStart w:id="291" w:name="_Toc184308037"/>
      <w:bookmarkEnd w:id="291"/>
      <w:bookmarkStart w:id="292" w:name="_Toc184312097"/>
      <w:bookmarkEnd w:id="292"/>
      <w:bookmarkStart w:id="293" w:name="_Toc184313254"/>
      <w:bookmarkEnd w:id="293"/>
      <w:bookmarkStart w:id="294" w:name="_Toc184312091"/>
      <w:bookmarkEnd w:id="294"/>
      <w:bookmarkStart w:id="295" w:name="_Toc184314449"/>
      <w:bookmarkEnd w:id="295"/>
      <w:bookmarkStart w:id="296" w:name="_Toc184310307"/>
      <w:bookmarkEnd w:id="296"/>
      <w:bookmarkStart w:id="297" w:name="_Toc184308094"/>
      <w:bookmarkEnd w:id="297"/>
      <w:bookmarkStart w:id="298" w:name="_Toc184312081"/>
      <w:bookmarkEnd w:id="298"/>
      <w:bookmarkStart w:id="299" w:name="_Toc184310318"/>
      <w:bookmarkEnd w:id="299"/>
      <w:bookmarkStart w:id="300" w:name="_Toc184313289"/>
      <w:bookmarkEnd w:id="300"/>
      <w:bookmarkStart w:id="301" w:name="_Toc184308052"/>
      <w:bookmarkEnd w:id="301"/>
      <w:bookmarkStart w:id="302" w:name="_Toc184312080"/>
      <w:bookmarkEnd w:id="302"/>
      <w:bookmarkStart w:id="303" w:name="_Toc184308105"/>
      <w:bookmarkEnd w:id="303"/>
      <w:bookmarkStart w:id="304" w:name="_Toc184314472"/>
      <w:bookmarkEnd w:id="304"/>
      <w:bookmarkStart w:id="305" w:name="_Toc184310280"/>
      <w:bookmarkEnd w:id="305"/>
      <w:bookmarkStart w:id="306" w:name="_Toc184313255"/>
      <w:bookmarkEnd w:id="306"/>
      <w:bookmarkStart w:id="307" w:name="_Toc184308091"/>
      <w:bookmarkEnd w:id="307"/>
      <w:bookmarkStart w:id="308" w:name="_Toc184310330"/>
      <w:bookmarkEnd w:id="308"/>
      <w:bookmarkStart w:id="309" w:name="_Toc184310343"/>
      <w:bookmarkEnd w:id="309"/>
      <w:bookmarkStart w:id="310" w:name="_Toc184312115"/>
      <w:bookmarkEnd w:id="310"/>
      <w:bookmarkStart w:id="311" w:name="_Toc184308090"/>
      <w:bookmarkEnd w:id="311"/>
      <w:bookmarkStart w:id="312" w:name="_Toc184308044"/>
      <w:bookmarkEnd w:id="312"/>
      <w:bookmarkStart w:id="313" w:name="_Toc184312085"/>
      <w:bookmarkEnd w:id="313"/>
      <w:bookmarkStart w:id="314" w:name="_Toc184314461"/>
      <w:bookmarkEnd w:id="314"/>
      <w:bookmarkStart w:id="315" w:name="_Toc184310333"/>
      <w:bookmarkEnd w:id="315"/>
      <w:bookmarkStart w:id="316" w:name="_Toc184313296"/>
      <w:bookmarkEnd w:id="316"/>
      <w:bookmarkStart w:id="317" w:name="_Toc184313273"/>
      <w:bookmarkEnd w:id="317"/>
      <w:bookmarkStart w:id="318" w:name="_Toc184310287"/>
      <w:bookmarkEnd w:id="318"/>
      <w:bookmarkStart w:id="319" w:name="_Toc184308095"/>
      <w:bookmarkEnd w:id="319"/>
      <w:bookmarkStart w:id="320" w:name="_Toc184312126"/>
      <w:bookmarkEnd w:id="320"/>
      <w:bookmarkStart w:id="321" w:name="_Toc184312084"/>
      <w:bookmarkEnd w:id="321"/>
      <w:bookmarkStart w:id="322" w:name="_Toc184313256"/>
      <w:bookmarkEnd w:id="322"/>
      <w:bookmarkStart w:id="323" w:name="_Toc184314462"/>
      <w:bookmarkEnd w:id="323"/>
      <w:bookmarkStart w:id="324" w:name="_Toc184310282"/>
      <w:bookmarkEnd w:id="324"/>
      <w:bookmarkStart w:id="325" w:name="_Toc184312113"/>
      <w:bookmarkEnd w:id="325"/>
      <w:bookmarkStart w:id="326" w:name="_Toc184314459"/>
      <w:bookmarkEnd w:id="326"/>
      <w:bookmarkStart w:id="327" w:name="_Toc184314446"/>
      <w:bookmarkEnd w:id="327"/>
      <w:bookmarkStart w:id="328" w:name="_Toc184308045"/>
      <w:bookmarkEnd w:id="328"/>
      <w:bookmarkStart w:id="329" w:name="_Toc184312083"/>
      <w:bookmarkEnd w:id="329"/>
      <w:bookmarkStart w:id="330" w:name="_Toc184313270"/>
      <w:bookmarkEnd w:id="330"/>
      <w:bookmarkStart w:id="331" w:name="_Toc184308072"/>
      <w:bookmarkEnd w:id="331"/>
      <w:bookmarkStart w:id="332" w:name="_Toc184310320"/>
      <w:bookmarkEnd w:id="332"/>
      <w:bookmarkStart w:id="333" w:name="_Toc184314453"/>
      <w:bookmarkEnd w:id="333"/>
      <w:bookmarkStart w:id="334" w:name="_Toc184313279"/>
      <w:bookmarkEnd w:id="334"/>
      <w:bookmarkStart w:id="335" w:name="_Toc184310334"/>
      <w:bookmarkEnd w:id="335"/>
      <w:bookmarkStart w:id="336" w:name="_Toc184313250"/>
      <w:bookmarkEnd w:id="336"/>
      <w:bookmarkStart w:id="337" w:name="_Toc184313305"/>
      <w:bookmarkEnd w:id="337"/>
      <w:bookmarkStart w:id="338" w:name="_Toc184313284"/>
      <w:bookmarkEnd w:id="338"/>
      <w:bookmarkStart w:id="339" w:name="_Toc184310296"/>
      <w:bookmarkEnd w:id="339"/>
      <w:bookmarkStart w:id="340" w:name="_Toc184312079"/>
      <w:bookmarkEnd w:id="340"/>
      <w:bookmarkStart w:id="341" w:name="_Toc184314422"/>
      <w:bookmarkEnd w:id="341"/>
      <w:bookmarkStart w:id="342" w:name="_Toc184314482"/>
      <w:bookmarkEnd w:id="342"/>
      <w:bookmarkStart w:id="343" w:name="_Toc184314445"/>
      <w:bookmarkEnd w:id="343"/>
      <w:bookmarkStart w:id="344" w:name="_Toc184310337"/>
      <w:bookmarkEnd w:id="344"/>
      <w:bookmarkStart w:id="345" w:name="_Toc184313303"/>
      <w:bookmarkEnd w:id="345"/>
      <w:bookmarkStart w:id="346" w:name="_Toc184310315"/>
      <w:bookmarkEnd w:id="346"/>
      <w:bookmarkStart w:id="347" w:name="_Toc184308039"/>
      <w:bookmarkEnd w:id="347"/>
      <w:bookmarkStart w:id="348" w:name="_Toc184308104"/>
      <w:bookmarkEnd w:id="348"/>
      <w:bookmarkStart w:id="349" w:name="_Toc184312074"/>
      <w:bookmarkEnd w:id="349"/>
      <w:bookmarkStart w:id="350" w:name="_Toc184314440"/>
      <w:bookmarkEnd w:id="350"/>
      <w:bookmarkStart w:id="351" w:name="_Toc184313299"/>
      <w:bookmarkEnd w:id="351"/>
      <w:bookmarkStart w:id="352" w:name="_Toc184308087"/>
      <w:bookmarkEnd w:id="352"/>
      <w:bookmarkStart w:id="353" w:name="_Toc184314474"/>
      <w:bookmarkEnd w:id="353"/>
      <w:bookmarkStart w:id="354" w:name="_Toc184310326"/>
      <w:bookmarkEnd w:id="354"/>
      <w:bookmarkStart w:id="355" w:name="_Toc184313259"/>
      <w:bookmarkEnd w:id="355"/>
      <w:bookmarkStart w:id="356" w:name="_Toc184308055"/>
      <w:bookmarkEnd w:id="356"/>
      <w:bookmarkStart w:id="357" w:name="_Toc184313262"/>
      <w:bookmarkEnd w:id="357"/>
      <w:bookmarkStart w:id="358" w:name="_Toc184314480"/>
      <w:bookmarkEnd w:id="358"/>
      <w:bookmarkStart w:id="359" w:name="_Toc184310324"/>
      <w:bookmarkEnd w:id="359"/>
      <w:bookmarkStart w:id="360" w:name="_Toc184312109"/>
      <w:bookmarkEnd w:id="360"/>
      <w:bookmarkStart w:id="361" w:name="_Toc184314434"/>
      <w:bookmarkEnd w:id="361"/>
      <w:bookmarkStart w:id="362" w:name="_Toc184313269"/>
      <w:bookmarkEnd w:id="362"/>
      <w:bookmarkStart w:id="363" w:name="_Toc184313238"/>
      <w:bookmarkEnd w:id="363"/>
      <w:bookmarkStart w:id="364" w:name="_Toc184308098"/>
      <w:bookmarkEnd w:id="364"/>
      <w:bookmarkStart w:id="365" w:name="_Toc184312103"/>
      <w:bookmarkEnd w:id="365"/>
      <w:bookmarkStart w:id="366" w:name="_Toc184313274"/>
      <w:bookmarkEnd w:id="366"/>
      <w:bookmarkStart w:id="367" w:name="_Toc184308040"/>
      <w:bookmarkEnd w:id="367"/>
      <w:bookmarkStart w:id="368" w:name="_Toc184308074"/>
      <w:bookmarkEnd w:id="368"/>
      <w:bookmarkStart w:id="369" w:name="_Toc184310286"/>
      <w:bookmarkEnd w:id="369"/>
      <w:bookmarkStart w:id="370" w:name="_Toc184314452"/>
      <w:bookmarkEnd w:id="370"/>
      <w:bookmarkStart w:id="371" w:name="_Toc184314478"/>
      <w:bookmarkEnd w:id="371"/>
      <w:bookmarkStart w:id="372" w:name="_Toc184314455"/>
      <w:bookmarkEnd w:id="372"/>
      <w:bookmarkStart w:id="373" w:name="_Toc184312076"/>
      <w:bookmarkEnd w:id="373"/>
      <w:bookmarkStart w:id="374" w:name="_Toc184308080"/>
      <w:bookmarkEnd w:id="374"/>
      <w:bookmarkStart w:id="375" w:name="_Toc184310331"/>
      <w:bookmarkEnd w:id="375"/>
      <w:bookmarkStart w:id="376" w:name="_Toc184312075"/>
      <w:bookmarkEnd w:id="376"/>
      <w:bookmarkStart w:id="377" w:name="_Toc184310323"/>
      <w:bookmarkEnd w:id="377"/>
      <w:bookmarkStart w:id="378" w:name="_Toc184313245"/>
      <w:bookmarkEnd w:id="378"/>
      <w:bookmarkStart w:id="379" w:name="_Toc184310344"/>
      <w:bookmarkEnd w:id="379"/>
      <w:bookmarkStart w:id="380" w:name="_Toc184310281"/>
      <w:bookmarkEnd w:id="380"/>
      <w:bookmarkStart w:id="381" w:name="_Toc184310319"/>
      <w:bookmarkEnd w:id="381"/>
      <w:bookmarkStart w:id="382" w:name="_Toc184312110"/>
      <w:bookmarkEnd w:id="382"/>
      <w:bookmarkStart w:id="383" w:name="_Toc184313265"/>
      <w:bookmarkEnd w:id="383"/>
      <w:bookmarkStart w:id="384" w:name="_Toc184310275"/>
      <w:bookmarkEnd w:id="384"/>
      <w:bookmarkStart w:id="385" w:name="_Toc184313276"/>
      <w:bookmarkEnd w:id="385"/>
      <w:bookmarkStart w:id="386" w:name="_Toc184308046"/>
      <w:bookmarkEnd w:id="386"/>
      <w:bookmarkStart w:id="387" w:name="_Toc184308064"/>
      <w:bookmarkEnd w:id="387"/>
      <w:bookmarkStart w:id="388" w:name="_Toc184308076"/>
      <w:bookmarkEnd w:id="388"/>
      <w:bookmarkStart w:id="389" w:name="_Toc184313278"/>
      <w:bookmarkEnd w:id="389"/>
      <w:bookmarkStart w:id="390" w:name="_Toc184310278"/>
      <w:bookmarkEnd w:id="390"/>
      <w:bookmarkStart w:id="391" w:name="_Toc184312137"/>
      <w:bookmarkEnd w:id="391"/>
      <w:bookmarkStart w:id="392" w:name="_Toc184312069"/>
      <w:bookmarkEnd w:id="392"/>
      <w:bookmarkStart w:id="393" w:name="_Toc184308041"/>
      <w:bookmarkEnd w:id="393"/>
      <w:bookmarkStart w:id="394" w:name="_Toc184308108"/>
      <w:bookmarkEnd w:id="394"/>
      <w:bookmarkStart w:id="395" w:name="_Toc184313310"/>
      <w:bookmarkEnd w:id="395"/>
      <w:bookmarkStart w:id="396" w:name="_Toc184314469"/>
      <w:bookmarkEnd w:id="396"/>
      <w:r>
        <w:rPr>
          <w:rFonts w:hint="eastAsia" w:ascii="宋体" w:hAnsi="宋体" w:cs="宋体"/>
          <w:b/>
          <w:color w:val="auto"/>
          <w:sz w:val="36"/>
          <w:szCs w:val="36"/>
          <w:highlight w:val="none"/>
        </w:rPr>
        <w:t>评标办法</w:t>
      </w:r>
    </w:p>
    <w:p w14:paraId="045FE5C9">
      <w:pPr>
        <w:pStyle w:val="131"/>
        <w:spacing w:before="0"/>
        <w:ind w:firstLine="602" w:firstLineChars="250"/>
        <w:rPr>
          <w:rFonts w:ascii="宋体" w:hAnsi="宋体" w:cs="宋体"/>
          <w:color w:val="000000"/>
          <w:szCs w:val="24"/>
          <w:highlight w:val="none"/>
        </w:rPr>
      </w:pPr>
      <w:r>
        <w:rPr>
          <w:rFonts w:hint="eastAsia" w:ascii="宋体" w:hAnsi="宋体" w:cs="宋体"/>
          <w:b/>
          <w:color w:val="000000"/>
          <w:szCs w:val="24"/>
          <w:highlight w:val="none"/>
        </w:rPr>
        <w:t>1、本次评标采用综合评分法，总分为100分。</w:t>
      </w:r>
    </w:p>
    <w:p w14:paraId="6D3FC1A7">
      <w:pPr>
        <w:pStyle w:val="131"/>
        <w:spacing w:before="0"/>
        <w:ind w:firstLine="600" w:firstLineChars="250"/>
      </w:pPr>
      <w:r>
        <w:rPr>
          <w:rFonts w:hint="eastAsia" w:ascii="宋体" w:hAnsi="宋体" w:cs="宋体"/>
          <w:bCs/>
          <w:color w:val="000000"/>
          <w:szCs w:val="24"/>
          <w:highlight w:val="none"/>
        </w:rPr>
        <w:t>各投标人的综合得分为：投标价格得分+技术商务得分之和，总和为100分，其中：投标价格得分</w:t>
      </w:r>
      <w:r>
        <w:rPr>
          <w:rFonts w:hint="eastAsia" w:ascii="宋体" w:hAnsi="宋体" w:cs="宋体"/>
          <w:bCs/>
          <w:color w:val="000000"/>
          <w:szCs w:val="24"/>
          <w:highlight w:val="none"/>
          <w:lang w:val="en-US" w:eastAsia="zh-CN"/>
        </w:rPr>
        <w:t>2</w:t>
      </w:r>
      <w:r>
        <w:rPr>
          <w:rFonts w:hint="eastAsia" w:ascii="宋体" w:hAnsi="宋体" w:cs="宋体"/>
          <w:bCs/>
          <w:color w:val="000000"/>
          <w:szCs w:val="24"/>
          <w:highlight w:val="none"/>
        </w:rPr>
        <w:t>0分，商务技术得分</w:t>
      </w:r>
      <w:r>
        <w:rPr>
          <w:rFonts w:hint="eastAsia" w:ascii="宋体" w:hAnsi="宋体" w:cs="宋体"/>
          <w:bCs/>
          <w:color w:val="000000"/>
          <w:szCs w:val="24"/>
          <w:highlight w:val="none"/>
          <w:lang w:val="en-US" w:eastAsia="zh-CN"/>
        </w:rPr>
        <w:t>8</w:t>
      </w:r>
      <w:r>
        <w:rPr>
          <w:rFonts w:hint="eastAsia" w:ascii="宋体" w:hAnsi="宋体" w:cs="宋体"/>
          <w:bCs/>
          <w:color w:val="000000"/>
          <w:szCs w:val="24"/>
          <w:highlight w:val="none"/>
        </w:rPr>
        <w:t>0分。</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027"/>
        <w:gridCol w:w="5762"/>
        <w:gridCol w:w="1250"/>
      </w:tblGrid>
      <w:tr w14:paraId="48F76F20">
        <w:tblPrEx>
          <w:tblCellMar>
            <w:top w:w="0" w:type="dxa"/>
            <w:left w:w="108" w:type="dxa"/>
            <w:bottom w:w="0" w:type="dxa"/>
            <w:right w:w="108" w:type="dxa"/>
          </w:tblCellMar>
        </w:tblPrEx>
        <w:tc>
          <w:tcPr>
            <w:tcW w:w="456" w:type="dxa"/>
            <w:noWrap w:val="0"/>
            <w:vAlign w:val="top"/>
          </w:tcPr>
          <w:p w14:paraId="2BED5D05">
            <w:pPr>
              <w:pageBreakBefore w:val="0"/>
              <w:kinsoku/>
              <w:wordWrap/>
              <w:overflowPunct/>
              <w:topLinePunct w:val="0"/>
              <w:bidi w:val="0"/>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序号</w:t>
            </w:r>
          </w:p>
        </w:tc>
        <w:tc>
          <w:tcPr>
            <w:tcW w:w="1027" w:type="dxa"/>
            <w:noWrap w:val="0"/>
            <w:vAlign w:val="top"/>
          </w:tcPr>
          <w:p w14:paraId="509B9F25">
            <w:pPr>
              <w:pageBreakBefore w:val="0"/>
              <w:kinsoku/>
              <w:wordWrap/>
              <w:overflowPunct/>
              <w:topLinePunct w:val="0"/>
              <w:bidi w:val="0"/>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评审内容</w:t>
            </w:r>
          </w:p>
        </w:tc>
        <w:tc>
          <w:tcPr>
            <w:tcW w:w="5762" w:type="dxa"/>
            <w:noWrap w:val="0"/>
            <w:vAlign w:val="top"/>
          </w:tcPr>
          <w:p w14:paraId="3B3FBE0A">
            <w:pPr>
              <w:pageBreakBefore w:val="0"/>
              <w:kinsoku/>
              <w:wordWrap/>
              <w:overflowPunct/>
              <w:topLinePunct w:val="0"/>
              <w:bidi w:val="0"/>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评分标准</w:t>
            </w:r>
          </w:p>
        </w:tc>
        <w:tc>
          <w:tcPr>
            <w:tcW w:w="1250" w:type="dxa"/>
            <w:noWrap w:val="0"/>
            <w:vAlign w:val="top"/>
          </w:tcPr>
          <w:p w14:paraId="51143719">
            <w:pPr>
              <w:pageBreakBefore w:val="0"/>
              <w:kinsoku/>
              <w:wordWrap/>
              <w:overflowPunct/>
              <w:topLinePunct w:val="0"/>
              <w:bidi w:val="0"/>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分值</w:t>
            </w:r>
          </w:p>
        </w:tc>
      </w:tr>
      <w:tr w14:paraId="36E93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456" w:type="dxa"/>
            <w:noWrap w:val="0"/>
            <w:vAlign w:val="center"/>
          </w:tcPr>
          <w:p w14:paraId="5C050CAA">
            <w:pPr>
              <w:pageBreakBefore w:val="0"/>
              <w:kinsoku/>
              <w:wordWrap/>
              <w:overflowPunct/>
              <w:topLinePunct w:val="0"/>
              <w:bidi w:val="0"/>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w:t>
            </w:r>
          </w:p>
        </w:tc>
        <w:tc>
          <w:tcPr>
            <w:tcW w:w="1027" w:type="dxa"/>
            <w:vMerge w:val="restart"/>
            <w:noWrap w:val="0"/>
            <w:vAlign w:val="top"/>
          </w:tcPr>
          <w:p w14:paraId="15CC59BA">
            <w:pPr>
              <w:pageBreakBefore w:val="0"/>
              <w:kinsoku/>
              <w:wordWrap/>
              <w:overflowPunct/>
              <w:topLinePunct w:val="0"/>
              <w:bidi w:val="0"/>
              <w:spacing w:line="400" w:lineRule="exact"/>
              <w:rPr>
                <w:rFonts w:hint="eastAsia" w:ascii="宋体" w:hAnsi="宋体" w:eastAsia="宋体" w:cs="宋体"/>
                <w:color w:val="000000"/>
                <w:kern w:val="2"/>
                <w:sz w:val="24"/>
                <w:szCs w:val="24"/>
                <w:lang w:val="en-US" w:eastAsia="zh-CN" w:bidi="ar-SA"/>
              </w:rPr>
            </w:pPr>
            <w:r>
              <w:rPr>
                <w:rFonts w:hint="eastAsia" w:ascii="宋体" w:hAnsi="宋体" w:eastAsia="宋体" w:cs="宋体"/>
                <w:i w:val="0"/>
                <w:color w:val="auto"/>
                <w:kern w:val="0"/>
                <w:sz w:val="24"/>
                <w:szCs w:val="24"/>
                <w:u w:val="none"/>
                <w:lang w:val="en-US" w:eastAsia="zh-CN" w:bidi="ar"/>
              </w:rPr>
              <w:t>重难点分析及合理化建议</w:t>
            </w:r>
          </w:p>
        </w:tc>
        <w:tc>
          <w:tcPr>
            <w:tcW w:w="5762" w:type="dxa"/>
            <w:noWrap w:val="0"/>
            <w:vAlign w:val="center"/>
          </w:tcPr>
          <w:p w14:paraId="292F32B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eastAsia="zh-CN"/>
              </w:rPr>
              <w:t>人</w:t>
            </w:r>
            <w:r>
              <w:rPr>
                <w:rFonts w:hint="eastAsia" w:ascii="宋体" w:hAnsi="宋体" w:eastAsia="宋体" w:cs="宋体"/>
                <w:sz w:val="24"/>
                <w:szCs w:val="24"/>
                <w:highlight w:val="none"/>
                <w:lang w:val="en-US" w:eastAsia="zh-CN"/>
              </w:rPr>
              <w:t>对本</w:t>
            </w:r>
            <w:r>
              <w:rPr>
                <w:rFonts w:hint="eastAsia" w:ascii="宋体" w:hAnsi="宋体" w:eastAsia="宋体" w:cs="宋体"/>
                <w:i w:val="0"/>
                <w:color w:val="auto"/>
                <w:kern w:val="0"/>
                <w:sz w:val="24"/>
                <w:szCs w:val="24"/>
                <w:u w:val="none"/>
                <w:lang w:val="en-US" w:eastAsia="zh-CN" w:bidi="ar"/>
              </w:rPr>
              <w:t>标项</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重点、难点</w:t>
            </w:r>
            <w:r>
              <w:rPr>
                <w:rFonts w:hint="eastAsia" w:ascii="宋体" w:hAnsi="宋体" w:eastAsia="宋体" w:cs="宋体"/>
                <w:sz w:val="24"/>
                <w:szCs w:val="24"/>
                <w:highlight w:val="none"/>
                <w:lang w:val="en-US" w:eastAsia="zh-CN"/>
              </w:rPr>
              <w:t>等情况的理解程度</w:t>
            </w:r>
            <w:r>
              <w:rPr>
                <w:rFonts w:hint="eastAsia" w:ascii="宋体" w:hAnsi="宋体" w:cs="宋体"/>
                <w:sz w:val="24"/>
                <w:szCs w:val="24"/>
                <w:highlight w:val="none"/>
                <w:lang w:val="en-US" w:eastAsia="zh-CN"/>
              </w:rPr>
              <w:t>进行分析</w:t>
            </w:r>
            <w:r>
              <w:rPr>
                <w:rFonts w:hint="eastAsia" w:ascii="宋体" w:hAnsi="宋体" w:cs="@仿宋_GB2312"/>
                <w:bCs/>
                <w:color w:val="auto"/>
                <w:sz w:val="24"/>
                <w:szCs w:val="24"/>
                <w:highlight w:val="none"/>
                <w:lang w:eastAsia="zh-CN"/>
              </w:rPr>
              <w:t>：</w:t>
            </w:r>
            <w:r>
              <w:rPr>
                <w:rFonts w:hint="eastAsia" w:ascii="宋体" w:hAnsi="宋体" w:cs="仿宋"/>
                <w:snapToGrid w:val="0"/>
                <w:sz w:val="24"/>
                <w:highlight w:val="none"/>
              </w:rPr>
              <w:t>对本</w:t>
            </w:r>
            <w:r>
              <w:rPr>
                <w:rFonts w:hint="eastAsia" w:ascii="宋体" w:hAnsi="宋体" w:eastAsia="宋体" w:cs="宋体"/>
                <w:i w:val="0"/>
                <w:color w:val="auto"/>
                <w:kern w:val="0"/>
                <w:sz w:val="24"/>
                <w:szCs w:val="24"/>
                <w:u w:val="none"/>
                <w:lang w:val="en-US" w:eastAsia="zh-CN" w:bidi="ar"/>
              </w:rPr>
              <w:t>标项</w:t>
            </w:r>
            <w:r>
              <w:rPr>
                <w:rFonts w:hint="eastAsia" w:ascii="宋体" w:hAnsi="宋体" w:cs="仿宋"/>
                <w:snapToGrid w:val="0"/>
                <w:sz w:val="24"/>
                <w:highlight w:val="none"/>
              </w:rPr>
              <w:t>的重点、难点分析</w:t>
            </w:r>
            <w:r>
              <w:rPr>
                <w:rFonts w:hint="eastAsia" w:ascii="宋体" w:hAnsi="宋体" w:cs="仿宋"/>
                <w:snapToGrid w:val="0"/>
                <w:sz w:val="24"/>
                <w:highlight w:val="none"/>
                <w:lang w:val="en-US" w:eastAsia="zh-CN"/>
              </w:rPr>
              <w:t>透彻</w:t>
            </w:r>
            <w:r>
              <w:rPr>
                <w:rFonts w:hint="eastAsia" w:ascii="宋体" w:hAnsi="宋体" w:cs="仿宋"/>
                <w:snapToGrid w:val="0"/>
                <w:sz w:val="24"/>
                <w:highlight w:val="none"/>
              </w:rPr>
              <w:t>，</w:t>
            </w:r>
            <w:r>
              <w:rPr>
                <w:rFonts w:hint="eastAsia" w:ascii="宋体" w:hAnsi="宋体" w:cs="@仿宋_GB2312"/>
                <w:bCs/>
                <w:color w:val="auto"/>
                <w:sz w:val="24"/>
                <w:szCs w:val="24"/>
                <w:highlight w:val="none"/>
                <w:lang w:eastAsia="zh-CN"/>
              </w:rPr>
              <w:t>方案</w:t>
            </w:r>
            <w:r>
              <w:rPr>
                <w:rFonts w:hint="eastAsia" w:ascii="宋体" w:hAnsi="宋体" w:cs="仿宋"/>
                <w:snapToGrid w:val="0"/>
                <w:sz w:val="24"/>
                <w:highlight w:val="none"/>
              </w:rPr>
              <w:t>关键技术与解决措施</w:t>
            </w:r>
            <w:r>
              <w:rPr>
                <w:rFonts w:hint="eastAsia" w:ascii="宋体" w:hAnsi="宋体" w:cs="@仿宋_GB2312"/>
                <w:bCs/>
                <w:color w:val="auto"/>
                <w:sz w:val="24"/>
                <w:szCs w:val="24"/>
                <w:highlight w:val="none"/>
              </w:rPr>
              <w:t>具有科学性、合理性和可操作性</w:t>
            </w:r>
            <w:r>
              <w:rPr>
                <w:rFonts w:hint="eastAsia" w:ascii="宋体" w:hAnsi="宋体" w:cs="@仿宋_GB2312"/>
                <w:bCs/>
                <w:color w:val="auto"/>
                <w:sz w:val="24"/>
                <w:szCs w:val="24"/>
                <w:highlight w:val="none"/>
                <w:lang w:eastAsia="zh-CN"/>
              </w:rPr>
              <w:t>的</w:t>
            </w:r>
            <w:r>
              <w:rPr>
                <w:rFonts w:hint="eastAsia" w:ascii="宋体" w:hAnsi="宋体" w:cs="Calibri"/>
                <w:color w:val="auto"/>
                <w:sz w:val="24"/>
                <w:szCs w:val="24"/>
                <w:highlight w:val="none"/>
              </w:rPr>
              <w:t>得</w:t>
            </w:r>
            <w:r>
              <w:rPr>
                <w:rFonts w:hint="eastAsia" w:ascii="宋体" w:hAnsi="宋体" w:cs="Calibri"/>
                <w:color w:val="auto"/>
                <w:sz w:val="24"/>
                <w:szCs w:val="24"/>
                <w:highlight w:val="none"/>
                <w:lang w:val="en-US" w:eastAsia="zh-CN"/>
              </w:rPr>
              <w:t>5</w:t>
            </w:r>
            <w:r>
              <w:rPr>
                <w:rFonts w:hint="eastAsia" w:ascii="宋体" w:hAnsi="宋体" w:cs="Calibri"/>
                <w:color w:val="auto"/>
                <w:sz w:val="24"/>
                <w:szCs w:val="24"/>
                <w:highlight w:val="none"/>
              </w:rPr>
              <w:t>分；</w:t>
            </w:r>
            <w:r>
              <w:rPr>
                <w:rFonts w:hint="eastAsia" w:ascii="宋体" w:hAnsi="宋体" w:cs="@仿宋_GB2312"/>
                <w:bCs/>
                <w:color w:val="auto"/>
                <w:sz w:val="24"/>
                <w:szCs w:val="24"/>
                <w:highlight w:val="none"/>
                <w:lang w:eastAsia="zh-CN"/>
              </w:rPr>
              <w:t>方案</w:t>
            </w:r>
            <w:r>
              <w:rPr>
                <w:rFonts w:hint="eastAsia" w:ascii="宋体" w:hAnsi="宋体" w:cs="Calibri"/>
                <w:color w:val="auto"/>
                <w:sz w:val="24"/>
                <w:szCs w:val="24"/>
                <w:highlight w:val="none"/>
              </w:rPr>
              <w:t>较为科学、合理和可行</w:t>
            </w:r>
            <w:r>
              <w:rPr>
                <w:rFonts w:hint="eastAsia" w:ascii="宋体" w:hAnsi="宋体" w:cs="Calibri"/>
                <w:color w:val="auto"/>
                <w:sz w:val="24"/>
                <w:szCs w:val="24"/>
                <w:highlight w:val="none"/>
                <w:lang w:eastAsia="zh-CN"/>
              </w:rPr>
              <w:t>的</w:t>
            </w:r>
            <w:r>
              <w:rPr>
                <w:rFonts w:hint="eastAsia" w:ascii="宋体" w:hAnsi="宋体" w:cs="Calibri"/>
                <w:color w:val="auto"/>
                <w:sz w:val="24"/>
                <w:szCs w:val="24"/>
                <w:highlight w:val="none"/>
              </w:rPr>
              <w:t>得</w:t>
            </w:r>
            <w:r>
              <w:rPr>
                <w:rFonts w:hint="eastAsia" w:ascii="宋体" w:hAnsi="宋体" w:cs="Calibri"/>
                <w:color w:val="auto"/>
                <w:sz w:val="24"/>
                <w:szCs w:val="24"/>
                <w:highlight w:val="none"/>
                <w:lang w:val="en-US" w:eastAsia="zh-CN"/>
              </w:rPr>
              <w:t>3</w:t>
            </w:r>
            <w:r>
              <w:rPr>
                <w:rFonts w:hint="eastAsia" w:ascii="宋体" w:hAnsi="宋体" w:cs="Calibri"/>
                <w:color w:val="auto"/>
                <w:sz w:val="24"/>
                <w:szCs w:val="24"/>
                <w:highlight w:val="none"/>
              </w:rPr>
              <w:t>分；</w:t>
            </w:r>
            <w:r>
              <w:rPr>
                <w:rFonts w:hint="eastAsia" w:ascii="宋体" w:hAnsi="宋体" w:cs="@仿宋_GB2312"/>
                <w:bCs/>
                <w:color w:val="auto"/>
                <w:sz w:val="24"/>
                <w:szCs w:val="24"/>
                <w:highlight w:val="none"/>
                <w:lang w:eastAsia="zh-CN"/>
              </w:rPr>
              <w:t>方案</w:t>
            </w:r>
            <w:r>
              <w:rPr>
                <w:rFonts w:hint="eastAsia" w:ascii="宋体" w:hAnsi="宋体" w:cs="Calibri"/>
                <w:color w:val="auto"/>
                <w:sz w:val="24"/>
                <w:szCs w:val="24"/>
                <w:highlight w:val="none"/>
              </w:rPr>
              <w:t>不够全面，科学性、合理性和可操作性一般</w:t>
            </w:r>
            <w:r>
              <w:rPr>
                <w:rFonts w:hint="eastAsia" w:ascii="宋体" w:hAnsi="宋体" w:cs="Calibri"/>
                <w:color w:val="auto"/>
                <w:sz w:val="24"/>
                <w:szCs w:val="24"/>
                <w:highlight w:val="none"/>
                <w:lang w:eastAsia="zh-CN"/>
              </w:rPr>
              <w:t>的</w:t>
            </w:r>
            <w:r>
              <w:rPr>
                <w:rFonts w:hint="eastAsia" w:ascii="宋体" w:hAnsi="宋体" w:cs="Calibri"/>
                <w:color w:val="auto"/>
                <w:sz w:val="24"/>
                <w:szCs w:val="24"/>
                <w:highlight w:val="none"/>
              </w:rPr>
              <w:t>得</w:t>
            </w:r>
            <w:r>
              <w:rPr>
                <w:rFonts w:hint="eastAsia" w:ascii="宋体" w:hAnsi="宋体" w:cs="Calibri"/>
                <w:color w:val="auto"/>
                <w:sz w:val="24"/>
                <w:szCs w:val="24"/>
                <w:highlight w:val="none"/>
                <w:lang w:val="en-US" w:eastAsia="zh-CN"/>
              </w:rPr>
              <w:t>1</w:t>
            </w:r>
            <w:r>
              <w:rPr>
                <w:rFonts w:hint="eastAsia" w:ascii="宋体" w:hAnsi="宋体" w:cs="Calibri"/>
                <w:color w:val="auto"/>
                <w:sz w:val="24"/>
                <w:szCs w:val="24"/>
                <w:highlight w:val="none"/>
              </w:rPr>
              <w:t>分；</w:t>
            </w:r>
            <w:r>
              <w:rPr>
                <w:rFonts w:hint="eastAsia" w:ascii="宋体" w:hAnsi="宋体" w:eastAsia="宋体" w:cs="宋体"/>
                <w:i w:val="0"/>
                <w:color w:val="auto"/>
                <w:kern w:val="0"/>
                <w:sz w:val="24"/>
                <w:szCs w:val="24"/>
                <w:u w:val="none"/>
                <w:lang w:val="en-US" w:eastAsia="zh-CN" w:bidi="ar"/>
              </w:rPr>
              <w:t>未提供方案或完全不满足采购需求的</w:t>
            </w:r>
            <w:r>
              <w:rPr>
                <w:rFonts w:hint="eastAsia" w:ascii="宋体" w:hAnsi="宋体" w:eastAsia="宋体" w:cs="宋体"/>
                <w:color w:val="000000"/>
                <w:kern w:val="1"/>
                <w:sz w:val="24"/>
                <w:szCs w:val="24"/>
                <w:highlight w:val="none"/>
                <w:lang w:val="en-US" w:eastAsia="zh-CN"/>
              </w:rPr>
              <w:t>不得分</w:t>
            </w:r>
            <w:r>
              <w:rPr>
                <w:rFonts w:hint="eastAsia" w:ascii="宋体" w:hAnsi="宋体" w:eastAsia="宋体" w:cs="宋体"/>
                <w:i w:val="0"/>
                <w:color w:val="auto"/>
                <w:kern w:val="0"/>
                <w:sz w:val="24"/>
                <w:szCs w:val="24"/>
                <w:u w:val="none"/>
                <w:lang w:val="en-US" w:eastAsia="zh-CN" w:bidi="ar"/>
              </w:rPr>
              <w:t>。（0-5分）</w:t>
            </w:r>
          </w:p>
        </w:tc>
        <w:tc>
          <w:tcPr>
            <w:tcW w:w="1250" w:type="dxa"/>
            <w:noWrap w:val="0"/>
            <w:vAlign w:val="center"/>
          </w:tcPr>
          <w:p w14:paraId="0CEECA34">
            <w:pPr>
              <w:pageBreakBefore w:val="0"/>
              <w:kinsoku/>
              <w:wordWrap/>
              <w:overflowPunct/>
              <w:topLinePunct w:val="0"/>
              <w:bidi w:val="0"/>
              <w:spacing w:line="400" w:lineRule="exact"/>
              <w:jc w:val="center"/>
              <w:rPr>
                <w:rFonts w:hint="default" w:ascii="宋体" w:hAnsi="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5分</w:t>
            </w:r>
          </w:p>
        </w:tc>
      </w:tr>
      <w:tr w14:paraId="5740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456" w:type="dxa"/>
            <w:noWrap w:val="0"/>
            <w:vAlign w:val="center"/>
          </w:tcPr>
          <w:p w14:paraId="50D87B46">
            <w:pPr>
              <w:pageBreakBefore w:val="0"/>
              <w:kinsoku/>
              <w:wordWrap/>
              <w:overflowPunct/>
              <w:topLinePunct w:val="0"/>
              <w:bidi w:val="0"/>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2</w:t>
            </w:r>
          </w:p>
        </w:tc>
        <w:tc>
          <w:tcPr>
            <w:tcW w:w="1027" w:type="dxa"/>
            <w:vMerge w:val="continue"/>
            <w:noWrap w:val="0"/>
            <w:vAlign w:val="top"/>
          </w:tcPr>
          <w:p w14:paraId="45395C21">
            <w:pPr>
              <w:pageBreakBefore w:val="0"/>
              <w:kinsoku/>
              <w:wordWrap/>
              <w:overflowPunct/>
              <w:topLinePunct w:val="0"/>
              <w:bidi w:val="0"/>
              <w:spacing w:line="400" w:lineRule="exact"/>
              <w:rPr>
                <w:rFonts w:hint="eastAsia" w:ascii="宋体" w:hAnsi="宋体" w:eastAsia="宋体" w:cs="宋体"/>
                <w:color w:val="000000"/>
                <w:kern w:val="2"/>
                <w:sz w:val="24"/>
                <w:szCs w:val="24"/>
                <w:lang w:val="en-US" w:eastAsia="zh-CN" w:bidi="ar-SA"/>
              </w:rPr>
            </w:pPr>
          </w:p>
        </w:tc>
        <w:tc>
          <w:tcPr>
            <w:tcW w:w="5762" w:type="dxa"/>
            <w:noWrap w:val="0"/>
            <w:vAlign w:val="center"/>
          </w:tcPr>
          <w:p w14:paraId="68D2BC9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eastAsia="zh-CN"/>
              </w:rPr>
              <w:t>人</w:t>
            </w:r>
            <w:r>
              <w:rPr>
                <w:rFonts w:hint="eastAsia" w:ascii="宋体" w:hAnsi="宋体" w:eastAsia="宋体" w:cs="宋体"/>
                <w:sz w:val="24"/>
                <w:szCs w:val="24"/>
                <w:highlight w:val="none"/>
              </w:rPr>
              <w:t>对本</w:t>
            </w:r>
            <w:r>
              <w:rPr>
                <w:rFonts w:hint="eastAsia" w:ascii="宋体" w:hAnsi="宋体" w:eastAsia="宋体" w:cs="宋体"/>
                <w:i w:val="0"/>
                <w:color w:val="auto"/>
                <w:kern w:val="0"/>
                <w:sz w:val="24"/>
                <w:szCs w:val="24"/>
                <w:u w:val="none"/>
                <w:lang w:val="en-US" w:eastAsia="zh-CN" w:bidi="ar"/>
              </w:rPr>
              <w:t>标项</w:t>
            </w:r>
            <w:r>
              <w:rPr>
                <w:rFonts w:hint="eastAsia" w:ascii="宋体" w:hAnsi="宋体" w:eastAsia="宋体" w:cs="宋体"/>
                <w:sz w:val="24"/>
                <w:szCs w:val="24"/>
                <w:highlight w:val="none"/>
              </w:rPr>
              <w:t>的合理化建议：条理较清晰较严谨，内容无前后矛盾，有突出重点、难点且作出分析，可行性较高，方案符合需求等</w:t>
            </w:r>
            <w:r>
              <w:rPr>
                <w:rFonts w:hint="eastAsia" w:ascii="宋体" w:hAnsi="宋体" w:eastAsia="宋体" w:cs="宋体"/>
                <w:sz w:val="24"/>
                <w:szCs w:val="24"/>
                <w:lang w:eastAsia="zh-CN"/>
              </w:rPr>
              <w:t>：内容科学性、完整性、可行性高的得</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分；内容科学性、完整性、可行性一般的得</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分；内容科学性、完整性、可行性较差的得</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分；</w:t>
            </w:r>
            <w:r>
              <w:rPr>
                <w:rFonts w:hint="eastAsia" w:ascii="宋体" w:hAnsi="宋体" w:eastAsia="宋体" w:cs="宋体"/>
                <w:i w:val="0"/>
                <w:color w:val="auto"/>
                <w:kern w:val="0"/>
                <w:sz w:val="24"/>
                <w:szCs w:val="24"/>
                <w:u w:val="none"/>
                <w:lang w:val="en-US" w:eastAsia="zh-CN" w:bidi="ar"/>
              </w:rPr>
              <w:t>未提供方案或完全不满足采购需求的</w:t>
            </w:r>
            <w:r>
              <w:rPr>
                <w:rFonts w:hint="eastAsia" w:ascii="宋体" w:hAnsi="宋体" w:eastAsia="宋体" w:cs="宋体"/>
                <w:color w:val="000000"/>
                <w:kern w:val="1"/>
                <w:sz w:val="24"/>
                <w:szCs w:val="24"/>
                <w:highlight w:val="none"/>
                <w:lang w:val="en-US" w:eastAsia="zh-CN"/>
              </w:rPr>
              <w:t>不得分</w:t>
            </w:r>
            <w:r>
              <w:rPr>
                <w:rFonts w:hint="eastAsia" w:ascii="宋体" w:hAnsi="宋体" w:eastAsia="宋体" w:cs="宋体"/>
                <w:sz w:val="24"/>
                <w:szCs w:val="24"/>
                <w:lang w:eastAsia="zh-CN"/>
              </w:rPr>
              <w:t>。</w:t>
            </w:r>
            <w:r>
              <w:rPr>
                <w:rFonts w:hint="eastAsia" w:ascii="宋体" w:hAnsi="宋体" w:eastAsia="宋体" w:cs="宋体"/>
                <w:i w:val="0"/>
                <w:color w:val="auto"/>
                <w:kern w:val="0"/>
                <w:sz w:val="24"/>
                <w:szCs w:val="24"/>
                <w:u w:val="none"/>
                <w:lang w:val="en-US" w:eastAsia="zh-CN" w:bidi="ar"/>
              </w:rPr>
              <w:t>（0-5分）</w:t>
            </w:r>
          </w:p>
        </w:tc>
        <w:tc>
          <w:tcPr>
            <w:tcW w:w="1250" w:type="dxa"/>
            <w:noWrap w:val="0"/>
            <w:vAlign w:val="center"/>
          </w:tcPr>
          <w:p w14:paraId="309055E0">
            <w:pPr>
              <w:pageBreakBefore w:val="0"/>
              <w:kinsoku/>
              <w:wordWrap/>
              <w:overflowPunct/>
              <w:topLinePunct w:val="0"/>
              <w:bidi w:val="0"/>
              <w:spacing w:line="400" w:lineRule="exact"/>
              <w:jc w:val="center"/>
              <w:rPr>
                <w:rFonts w:hint="default" w:ascii="宋体" w:hAnsi="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5分</w:t>
            </w:r>
          </w:p>
        </w:tc>
      </w:tr>
      <w:tr w14:paraId="24B7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noWrap w:val="0"/>
            <w:vAlign w:val="center"/>
          </w:tcPr>
          <w:p w14:paraId="2D11CF77">
            <w:pPr>
              <w:pageBreakBefore w:val="0"/>
              <w:kinsoku/>
              <w:wordWrap/>
              <w:overflowPunct/>
              <w:topLinePunct w:val="0"/>
              <w:bidi w:val="0"/>
              <w:spacing w:line="400" w:lineRule="exact"/>
              <w:jc w:val="center"/>
              <w:rPr>
                <w:rFonts w:hint="eastAsia" w:ascii="宋体" w:hAnsi="宋体" w:eastAsia="宋体" w:cs="宋体"/>
                <w:color w:val="000000"/>
                <w:kern w:val="2"/>
                <w:sz w:val="24"/>
                <w:szCs w:val="24"/>
                <w:lang w:val="en-US" w:eastAsia="zh-CN" w:bidi="ar-SA"/>
              </w:rPr>
            </w:pPr>
          </w:p>
          <w:p w14:paraId="35DDAD79">
            <w:pPr>
              <w:pageBreakBefore w:val="0"/>
              <w:kinsoku/>
              <w:wordWrap/>
              <w:overflowPunct/>
              <w:topLinePunct w:val="0"/>
              <w:bidi w:val="0"/>
              <w:spacing w:line="400" w:lineRule="exact"/>
              <w:jc w:val="center"/>
              <w:rPr>
                <w:rFonts w:hint="eastAsia" w:ascii="宋体" w:hAnsi="宋体" w:eastAsia="宋体" w:cs="宋体"/>
                <w:color w:val="000000"/>
                <w:kern w:val="2"/>
                <w:sz w:val="24"/>
                <w:szCs w:val="24"/>
                <w:lang w:val="en-US" w:eastAsia="zh-CN" w:bidi="ar-SA"/>
              </w:rPr>
            </w:pPr>
          </w:p>
          <w:p w14:paraId="3E7E9FD5">
            <w:pPr>
              <w:pageBreakBefore w:val="0"/>
              <w:kinsoku/>
              <w:wordWrap/>
              <w:overflowPunct/>
              <w:topLinePunct w:val="0"/>
              <w:bidi w:val="0"/>
              <w:spacing w:line="400" w:lineRule="exact"/>
              <w:jc w:val="center"/>
              <w:rPr>
                <w:rFonts w:hint="eastAsia" w:ascii="宋体" w:hAnsi="宋体" w:eastAsia="宋体" w:cs="宋体"/>
                <w:color w:val="000000"/>
                <w:kern w:val="2"/>
                <w:sz w:val="24"/>
                <w:szCs w:val="24"/>
                <w:lang w:val="en-US" w:eastAsia="zh-CN" w:bidi="ar-SA"/>
              </w:rPr>
            </w:pPr>
          </w:p>
          <w:p w14:paraId="53E24E28">
            <w:pPr>
              <w:pageBreakBefore w:val="0"/>
              <w:kinsoku/>
              <w:wordWrap/>
              <w:overflowPunct/>
              <w:topLinePunct w:val="0"/>
              <w:bidi w:val="0"/>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3</w:t>
            </w:r>
          </w:p>
        </w:tc>
        <w:tc>
          <w:tcPr>
            <w:tcW w:w="1027" w:type="dxa"/>
            <w:vMerge w:val="restart"/>
            <w:noWrap w:val="0"/>
            <w:vAlign w:val="top"/>
          </w:tcPr>
          <w:p w14:paraId="05B4F266">
            <w:pPr>
              <w:pageBreakBefore w:val="0"/>
              <w:kinsoku/>
              <w:wordWrap/>
              <w:overflowPunct/>
              <w:topLinePunct w:val="0"/>
              <w:bidi w:val="0"/>
              <w:spacing w:line="400" w:lineRule="exact"/>
              <w:rPr>
                <w:rFonts w:hint="eastAsia" w:ascii="宋体" w:hAnsi="宋体" w:eastAsia="宋体" w:cs="宋体"/>
                <w:color w:val="000000"/>
                <w:kern w:val="2"/>
                <w:sz w:val="24"/>
                <w:szCs w:val="24"/>
                <w:lang w:val="en-US" w:eastAsia="zh-CN" w:bidi="ar-SA"/>
              </w:rPr>
            </w:pPr>
          </w:p>
          <w:p w14:paraId="1FE22F86">
            <w:pPr>
              <w:pageBreakBefore w:val="0"/>
              <w:kinsoku/>
              <w:wordWrap/>
              <w:overflowPunct/>
              <w:topLinePunct w:val="0"/>
              <w:bidi w:val="0"/>
              <w:spacing w:line="400" w:lineRule="exact"/>
              <w:rPr>
                <w:rFonts w:hint="eastAsia" w:ascii="宋体" w:hAnsi="宋体" w:eastAsia="宋体" w:cs="宋体"/>
                <w:color w:val="000000"/>
                <w:kern w:val="2"/>
                <w:sz w:val="24"/>
                <w:szCs w:val="24"/>
                <w:lang w:val="en-US" w:eastAsia="zh-CN" w:bidi="ar-SA"/>
              </w:rPr>
            </w:pPr>
          </w:p>
          <w:p w14:paraId="69C98E7B">
            <w:pPr>
              <w:pageBreakBefore w:val="0"/>
              <w:kinsoku/>
              <w:wordWrap/>
              <w:overflowPunct/>
              <w:topLinePunct w:val="0"/>
              <w:bidi w:val="0"/>
              <w:spacing w:line="400" w:lineRule="exact"/>
              <w:rPr>
                <w:rFonts w:hint="eastAsia" w:ascii="宋体" w:hAnsi="宋体" w:eastAsia="宋体" w:cs="宋体"/>
                <w:color w:val="000000"/>
                <w:kern w:val="2"/>
                <w:sz w:val="24"/>
                <w:szCs w:val="24"/>
                <w:lang w:val="en-US" w:eastAsia="zh-CN" w:bidi="ar-SA"/>
              </w:rPr>
            </w:pPr>
          </w:p>
          <w:p w14:paraId="36E33B92">
            <w:pPr>
              <w:pageBreakBefore w:val="0"/>
              <w:kinsoku/>
              <w:wordWrap/>
              <w:overflowPunct/>
              <w:topLinePunct w:val="0"/>
              <w:bidi w:val="0"/>
              <w:spacing w:line="400" w:lineRule="exact"/>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项目实施方案</w:t>
            </w:r>
          </w:p>
        </w:tc>
        <w:tc>
          <w:tcPr>
            <w:tcW w:w="5762" w:type="dxa"/>
            <w:noWrap w:val="0"/>
            <w:vAlign w:val="top"/>
          </w:tcPr>
          <w:p w14:paraId="136B2F99">
            <w:pPr>
              <w:pageBreakBefore w:val="0"/>
              <w:kinsoku/>
              <w:wordWrap/>
              <w:overflowPunct/>
              <w:topLinePunct w:val="0"/>
              <w:bidi w:val="0"/>
              <w:spacing w:line="400" w:lineRule="exact"/>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3</w:t>
            </w:r>
            <w:r>
              <w:rPr>
                <w:rFonts w:hint="eastAsia" w:ascii="宋体" w:hAnsi="宋体" w:eastAsia="宋体" w:cs="宋体"/>
                <w:color w:val="000000"/>
                <w:kern w:val="2"/>
                <w:sz w:val="24"/>
                <w:szCs w:val="24"/>
                <w:lang w:val="en-US" w:eastAsia="zh-CN" w:bidi="ar-SA"/>
              </w:rPr>
              <w:t>、对本项目系统总体要求的理解，</w:t>
            </w:r>
            <w:r>
              <w:rPr>
                <w:rFonts w:hint="eastAsia" w:ascii="宋体" w:hAnsi="宋体" w:eastAsia="宋体" w:cs="宋体"/>
                <w:color w:val="000000"/>
                <w:kern w:val="2"/>
                <w:sz w:val="24"/>
                <w:szCs w:val="24"/>
                <w:lang w:val="en-US" w:eastAsia="zh-Hans" w:bidi="ar-SA"/>
              </w:rPr>
              <w:t>根据</w:t>
            </w:r>
            <w:r>
              <w:rPr>
                <w:rFonts w:hint="eastAsia" w:ascii="宋体" w:hAnsi="宋体" w:eastAsia="宋体" w:cs="宋体"/>
                <w:color w:val="000000"/>
                <w:kern w:val="2"/>
                <w:sz w:val="24"/>
                <w:szCs w:val="24"/>
                <w:lang w:val="en-US" w:eastAsia="zh-CN" w:bidi="ar-SA"/>
              </w:rPr>
              <w:t>制定本项目总体架构及解决方案以及对本项目的</w:t>
            </w:r>
            <w:r>
              <w:rPr>
                <w:rFonts w:hint="eastAsia" w:ascii="宋体" w:hAnsi="宋体" w:cs="宋体"/>
                <w:color w:val="000000"/>
                <w:kern w:val="2"/>
                <w:sz w:val="24"/>
                <w:szCs w:val="24"/>
                <w:lang w:val="en-US" w:eastAsia="zh-CN" w:bidi="ar-SA"/>
              </w:rPr>
              <w:t>体育</w:t>
            </w:r>
            <w:r>
              <w:rPr>
                <w:rFonts w:hint="eastAsia" w:ascii="宋体" w:hAnsi="宋体" w:eastAsia="宋体" w:cs="宋体"/>
                <w:color w:val="000000"/>
                <w:kern w:val="2"/>
                <w:sz w:val="24"/>
                <w:szCs w:val="24"/>
                <w:lang w:val="en-US" w:eastAsia="zh-CN" w:bidi="ar-SA"/>
              </w:rPr>
              <w:t>服务总体实施方案，科学有效</w:t>
            </w:r>
            <w:r>
              <w:rPr>
                <w:rFonts w:hint="eastAsia" w:ascii="宋体" w:hAnsi="宋体" w:eastAsia="宋体" w:cs="宋体"/>
                <w:color w:val="000000"/>
                <w:kern w:val="2"/>
                <w:sz w:val="24"/>
                <w:szCs w:val="24"/>
                <w:lang w:val="en-US" w:eastAsia="zh-Hans" w:bidi="ar-SA"/>
              </w:rPr>
              <w:t>等情况综合评定</w:t>
            </w:r>
            <w:r>
              <w:rPr>
                <w:rFonts w:hint="eastAsia" w:ascii="宋体" w:hAnsi="宋体" w:eastAsia="宋体" w:cs="宋体"/>
                <w:color w:val="000000"/>
                <w:kern w:val="2"/>
                <w:sz w:val="24"/>
                <w:szCs w:val="24"/>
                <w:lang w:val="en-US" w:eastAsia="zh-CN" w:bidi="ar-SA"/>
              </w:rPr>
              <w:t>。内容科学性、合理性、规范性，描述全面详细的得6分；内容科学性、合理性、规范性，描述较为全面详细的得4分；内容科学性、合理性、规范性，描述不全面或不详细的得2分；内容描述欠缺科学性、合理性、规范性的得1分；未提供或完全不符的0分。</w:t>
            </w:r>
            <w:r>
              <w:rPr>
                <w:rFonts w:hint="eastAsia" w:ascii="宋体" w:hAnsi="宋体" w:eastAsia="宋体" w:cs="宋体"/>
                <w:color w:val="000000"/>
                <w:kern w:val="2"/>
                <w:sz w:val="24"/>
                <w:szCs w:val="24"/>
                <w:lang w:val="en-US" w:eastAsia="zh-Hans" w:bidi="ar-SA"/>
              </w:rPr>
              <w:t>（</w:t>
            </w:r>
            <w:r>
              <w:rPr>
                <w:rFonts w:hint="default" w:ascii="宋体" w:hAnsi="宋体" w:eastAsia="宋体" w:cs="宋体"/>
                <w:color w:val="000000"/>
                <w:kern w:val="2"/>
                <w:sz w:val="24"/>
                <w:szCs w:val="24"/>
                <w:lang w:val="en-US" w:eastAsia="zh-Hans" w:bidi="ar-SA"/>
              </w:rPr>
              <w:t>0-6</w:t>
            </w:r>
            <w:r>
              <w:rPr>
                <w:rFonts w:hint="eastAsia" w:ascii="宋体" w:hAnsi="宋体" w:eastAsia="宋体" w:cs="宋体"/>
                <w:color w:val="000000"/>
                <w:kern w:val="2"/>
                <w:sz w:val="24"/>
                <w:szCs w:val="24"/>
                <w:lang w:val="en-US" w:eastAsia="zh-Hans" w:bidi="ar-SA"/>
              </w:rPr>
              <w:t>分）</w:t>
            </w:r>
          </w:p>
        </w:tc>
        <w:tc>
          <w:tcPr>
            <w:tcW w:w="1250" w:type="dxa"/>
            <w:noWrap w:val="0"/>
            <w:vAlign w:val="center"/>
          </w:tcPr>
          <w:p w14:paraId="2293F257">
            <w:pPr>
              <w:pageBreakBefore w:val="0"/>
              <w:kinsoku/>
              <w:wordWrap/>
              <w:overflowPunct/>
              <w:topLinePunct w:val="0"/>
              <w:bidi w:val="0"/>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6分</w:t>
            </w:r>
          </w:p>
        </w:tc>
      </w:tr>
      <w:tr w14:paraId="05D8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456" w:type="dxa"/>
            <w:noWrap w:val="0"/>
            <w:vAlign w:val="center"/>
          </w:tcPr>
          <w:p w14:paraId="68B7D021">
            <w:pPr>
              <w:pageBreakBefore w:val="0"/>
              <w:kinsoku/>
              <w:wordWrap/>
              <w:overflowPunct/>
              <w:topLinePunct w:val="0"/>
              <w:bidi w:val="0"/>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4</w:t>
            </w:r>
          </w:p>
        </w:tc>
        <w:tc>
          <w:tcPr>
            <w:tcW w:w="1027" w:type="dxa"/>
            <w:vMerge w:val="continue"/>
            <w:noWrap w:val="0"/>
            <w:vAlign w:val="top"/>
          </w:tcPr>
          <w:p w14:paraId="2BAC8C42">
            <w:pPr>
              <w:pageBreakBefore w:val="0"/>
              <w:kinsoku/>
              <w:wordWrap/>
              <w:overflowPunct/>
              <w:topLinePunct w:val="0"/>
              <w:bidi w:val="0"/>
              <w:spacing w:line="400" w:lineRule="exact"/>
              <w:rPr>
                <w:rFonts w:hint="eastAsia" w:ascii="宋体" w:hAnsi="宋体" w:eastAsia="宋体" w:cs="宋体"/>
                <w:color w:val="000000"/>
                <w:kern w:val="2"/>
                <w:sz w:val="24"/>
                <w:szCs w:val="24"/>
                <w:lang w:val="en-US" w:eastAsia="zh-CN" w:bidi="ar-SA"/>
              </w:rPr>
            </w:pPr>
          </w:p>
        </w:tc>
        <w:tc>
          <w:tcPr>
            <w:tcW w:w="5762" w:type="dxa"/>
            <w:noWrap w:val="0"/>
            <w:vAlign w:val="top"/>
          </w:tcPr>
          <w:p w14:paraId="3ABAA3BC">
            <w:pPr>
              <w:pageBreakBefore w:val="0"/>
              <w:kinsoku/>
              <w:wordWrap/>
              <w:overflowPunct/>
              <w:topLinePunct w:val="0"/>
              <w:bidi w:val="0"/>
              <w:spacing w:line="400" w:lineRule="exact"/>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4</w:t>
            </w:r>
            <w:r>
              <w:rPr>
                <w:rFonts w:hint="eastAsia" w:ascii="宋体" w:hAnsi="宋体" w:eastAsia="宋体" w:cs="宋体"/>
                <w:color w:val="000000"/>
                <w:kern w:val="2"/>
                <w:sz w:val="24"/>
                <w:szCs w:val="24"/>
                <w:lang w:val="en-US" w:eastAsia="zh-CN" w:bidi="ar-SA"/>
              </w:rPr>
              <w:t>、</w:t>
            </w:r>
            <w:r>
              <w:rPr>
                <w:rFonts w:hint="eastAsia" w:ascii="宋体" w:hAnsi="宋体" w:cs="宋体"/>
                <w:color w:val="000000"/>
                <w:kern w:val="2"/>
                <w:sz w:val="24"/>
                <w:szCs w:val="24"/>
                <w:lang w:val="en-US" w:eastAsia="zh-CN" w:bidi="ar-SA"/>
              </w:rPr>
              <w:t>服务</w:t>
            </w:r>
            <w:r>
              <w:rPr>
                <w:rFonts w:hint="eastAsia" w:ascii="宋体" w:hAnsi="宋体" w:eastAsia="宋体" w:cs="宋体"/>
                <w:color w:val="000000"/>
                <w:kern w:val="2"/>
                <w:sz w:val="24"/>
                <w:szCs w:val="24"/>
                <w:lang w:val="en-US" w:eastAsia="zh-CN" w:bidi="ar-SA"/>
              </w:rPr>
              <w:t>方案（包括训练计划、训练内容、训练目标、训练台账等内容）。内容科学性、合理性、规范性，描述全面详细的得6分；内容科学性、合理性、规范性，描述较为全面详细的得4分；内容科学性、合理性、规范性，描述不全面或不详细的得2分；内容描述欠缺科学性、合理性、规范性的得1分；未提供或完全不符的0分。（0-</w:t>
            </w:r>
            <w:r>
              <w:rPr>
                <w:rFonts w:hint="default" w:ascii="宋体" w:hAnsi="宋体" w:eastAsia="宋体" w:cs="宋体"/>
                <w:color w:val="000000"/>
                <w:kern w:val="2"/>
                <w:sz w:val="24"/>
                <w:szCs w:val="24"/>
                <w:lang w:val="en-US" w:eastAsia="zh-CN" w:bidi="ar-SA"/>
              </w:rPr>
              <w:t>6</w:t>
            </w:r>
            <w:r>
              <w:rPr>
                <w:rFonts w:hint="eastAsia" w:ascii="宋体" w:hAnsi="宋体" w:eastAsia="宋体" w:cs="宋体"/>
                <w:color w:val="000000"/>
                <w:kern w:val="2"/>
                <w:sz w:val="24"/>
                <w:szCs w:val="24"/>
                <w:lang w:val="en-US" w:eastAsia="zh-CN" w:bidi="ar-SA"/>
              </w:rPr>
              <w:t>分）</w:t>
            </w:r>
          </w:p>
        </w:tc>
        <w:tc>
          <w:tcPr>
            <w:tcW w:w="1250" w:type="dxa"/>
            <w:noWrap w:val="0"/>
            <w:vAlign w:val="center"/>
          </w:tcPr>
          <w:p w14:paraId="4697121D">
            <w:pPr>
              <w:pageBreakBefore w:val="0"/>
              <w:kinsoku/>
              <w:wordWrap/>
              <w:overflowPunct/>
              <w:topLinePunct w:val="0"/>
              <w:bidi w:val="0"/>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6分</w:t>
            </w:r>
          </w:p>
        </w:tc>
      </w:tr>
      <w:tr w14:paraId="5E3C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456" w:type="dxa"/>
            <w:noWrap w:val="0"/>
            <w:vAlign w:val="center"/>
          </w:tcPr>
          <w:p w14:paraId="5C8841B5">
            <w:pPr>
              <w:pageBreakBefore w:val="0"/>
              <w:kinsoku/>
              <w:wordWrap/>
              <w:overflowPunct/>
              <w:topLinePunct w:val="0"/>
              <w:bidi w:val="0"/>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5</w:t>
            </w:r>
          </w:p>
        </w:tc>
        <w:tc>
          <w:tcPr>
            <w:tcW w:w="1027" w:type="dxa"/>
            <w:vMerge w:val="restart"/>
            <w:noWrap w:val="0"/>
            <w:vAlign w:val="center"/>
          </w:tcPr>
          <w:p w14:paraId="2DE9A5D2">
            <w:pPr>
              <w:pageBreakBefore w:val="0"/>
              <w:kinsoku/>
              <w:wordWrap/>
              <w:overflowPunct/>
              <w:topLinePunct w:val="0"/>
              <w:bidi w:val="0"/>
              <w:spacing w:line="400" w:lineRule="exac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安全保障</w:t>
            </w:r>
          </w:p>
        </w:tc>
        <w:tc>
          <w:tcPr>
            <w:tcW w:w="5762" w:type="dxa"/>
            <w:noWrap w:val="0"/>
            <w:vAlign w:val="center"/>
          </w:tcPr>
          <w:p w14:paraId="06554163">
            <w:pPr>
              <w:pageBreakBefore w:val="0"/>
              <w:kinsoku/>
              <w:wordWrap/>
              <w:overflowPunct/>
              <w:topLinePunct w:val="0"/>
              <w:bidi w:val="0"/>
              <w:spacing w:line="400" w:lineRule="exact"/>
              <w:rPr>
                <w:rFonts w:hint="default" w:ascii="宋体" w:hAnsi="宋体" w:eastAsia="宋体" w:cs="宋体"/>
                <w:color w:val="000000"/>
                <w:kern w:val="2"/>
                <w:sz w:val="24"/>
                <w:szCs w:val="24"/>
                <w:lang w:val="en-US" w:eastAsia="zh-Hans" w:bidi="ar-SA"/>
              </w:rPr>
            </w:pPr>
            <w:r>
              <w:rPr>
                <w:rFonts w:hint="eastAsia" w:ascii="宋体" w:hAnsi="宋体" w:cs="宋体"/>
                <w:color w:val="000000"/>
                <w:kern w:val="2"/>
                <w:sz w:val="24"/>
                <w:szCs w:val="24"/>
                <w:lang w:val="en-US" w:eastAsia="zh-CN" w:bidi="ar-SA"/>
              </w:rPr>
              <w:t>5</w:t>
            </w:r>
            <w:r>
              <w:rPr>
                <w:rFonts w:hint="eastAsia" w:ascii="宋体" w:hAnsi="宋体" w:eastAsia="宋体" w:cs="宋体"/>
                <w:color w:val="000000"/>
                <w:kern w:val="2"/>
                <w:sz w:val="24"/>
                <w:szCs w:val="24"/>
                <w:lang w:val="en-US" w:eastAsia="zh-Hans" w:bidi="ar-SA"/>
              </w:rPr>
              <w:t>、</w:t>
            </w:r>
            <w:r>
              <w:rPr>
                <w:rFonts w:hint="eastAsia" w:ascii="宋体" w:hAnsi="宋体" w:eastAsia="宋体" w:cs="宋体"/>
                <w:color w:val="000000"/>
                <w:kern w:val="2"/>
                <w:sz w:val="24"/>
                <w:szCs w:val="24"/>
                <w:lang w:val="en-US" w:eastAsia="zh-CN" w:bidi="ar-SA"/>
              </w:rPr>
              <w:t>根据安全保障方案的科学性、合理性，可操作性，是否能确保培训顺利举行。内容科学性、合理性、规范性，描述全面详细的得6分；内容科学性、合理性、规范性，描述较为全面详细的得4分；内容科学性、合理性、规范性，描述不全面或不详细的得2分；内容描述欠缺科学性、合理性、规范性的得1分；未提供或完全不符的0分。</w:t>
            </w:r>
            <w:r>
              <w:rPr>
                <w:rFonts w:hint="eastAsia" w:ascii="宋体" w:hAnsi="宋体" w:eastAsia="宋体" w:cs="宋体"/>
                <w:color w:val="000000"/>
                <w:kern w:val="2"/>
                <w:sz w:val="24"/>
                <w:szCs w:val="24"/>
                <w:lang w:val="en-US" w:eastAsia="zh-Hans" w:bidi="ar-SA"/>
              </w:rPr>
              <w:t>（</w:t>
            </w:r>
            <w:r>
              <w:rPr>
                <w:rFonts w:hint="default" w:ascii="宋体" w:hAnsi="宋体" w:eastAsia="宋体" w:cs="宋体"/>
                <w:color w:val="000000"/>
                <w:kern w:val="2"/>
                <w:sz w:val="24"/>
                <w:szCs w:val="24"/>
                <w:lang w:val="en-US" w:eastAsia="zh-Hans" w:bidi="ar-SA"/>
              </w:rPr>
              <w:t>0-6</w:t>
            </w:r>
            <w:r>
              <w:rPr>
                <w:rFonts w:hint="eastAsia" w:ascii="宋体" w:hAnsi="宋体" w:eastAsia="宋体" w:cs="宋体"/>
                <w:color w:val="000000"/>
                <w:kern w:val="2"/>
                <w:sz w:val="24"/>
                <w:szCs w:val="24"/>
                <w:lang w:val="en-US" w:eastAsia="zh-Hans" w:bidi="ar-SA"/>
              </w:rPr>
              <w:t>分）</w:t>
            </w:r>
          </w:p>
        </w:tc>
        <w:tc>
          <w:tcPr>
            <w:tcW w:w="1250" w:type="dxa"/>
            <w:noWrap w:val="0"/>
            <w:vAlign w:val="center"/>
          </w:tcPr>
          <w:p w14:paraId="623C50F6">
            <w:pPr>
              <w:pageBreakBefore w:val="0"/>
              <w:kinsoku/>
              <w:wordWrap/>
              <w:overflowPunct/>
              <w:topLinePunct w:val="0"/>
              <w:bidi w:val="0"/>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6分</w:t>
            </w:r>
          </w:p>
        </w:tc>
      </w:tr>
      <w:tr w14:paraId="0244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456" w:type="dxa"/>
            <w:noWrap w:val="0"/>
            <w:vAlign w:val="center"/>
          </w:tcPr>
          <w:p w14:paraId="7D0AC2A5">
            <w:pPr>
              <w:pageBreakBefore w:val="0"/>
              <w:kinsoku/>
              <w:wordWrap/>
              <w:overflowPunct/>
              <w:topLinePunct w:val="0"/>
              <w:bidi w:val="0"/>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6</w:t>
            </w:r>
          </w:p>
        </w:tc>
        <w:tc>
          <w:tcPr>
            <w:tcW w:w="1027" w:type="dxa"/>
            <w:vMerge w:val="continue"/>
            <w:noWrap w:val="0"/>
            <w:vAlign w:val="center"/>
          </w:tcPr>
          <w:p w14:paraId="1FBA03CF">
            <w:pPr>
              <w:pageBreakBefore w:val="0"/>
              <w:kinsoku/>
              <w:wordWrap/>
              <w:overflowPunct/>
              <w:topLinePunct w:val="0"/>
              <w:bidi w:val="0"/>
              <w:spacing w:line="400" w:lineRule="exact"/>
              <w:rPr>
                <w:rFonts w:hint="eastAsia" w:ascii="宋体" w:hAnsi="宋体" w:eastAsia="宋体" w:cs="宋体"/>
                <w:color w:val="000000"/>
                <w:kern w:val="2"/>
                <w:sz w:val="24"/>
                <w:szCs w:val="24"/>
                <w:lang w:val="en-US" w:eastAsia="zh-CN" w:bidi="ar-SA"/>
              </w:rPr>
            </w:pPr>
          </w:p>
        </w:tc>
        <w:tc>
          <w:tcPr>
            <w:tcW w:w="5762" w:type="dxa"/>
            <w:noWrap w:val="0"/>
            <w:vAlign w:val="center"/>
          </w:tcPr>
          <w:p w14:paraId="7A6FB70F">
            <w:pPr>
              <w:pageBreakBefore w:val="0"/>
              <w:kinsoku/>
              <w:wordWrap/>
              <w:overflowPunct/>
              <w:topLinePunct w:val="0"/>
              <w:bidi w:val="0"/>
              <w:spacing w:line="400" w:lineRule="exact"/>
              <w:rPr>
                <w:rFonts w:hint="default" w:ascii="宋体" w:hAnsi="宋体" w:eastAsia="宋体" w:cs="宋体"/>
                <w:color w:val="000000"/>
                <w:kern w:val="2"/>
                <w:sz w:val="24"/>
                <w:szCs w:val="24"/>
                <w:lang w:val="en-US" w:eastAsia="zh-Hans" w:bidi="ar-SA"/>
              </w:rPr>
            </w:pPr>
            <w:r>
              <w:rPr>
                <w:rFonts w:hint="eastAsia" w:ascii="宋体" w:hAnsi="宋体" w:cs="宋体"/>
                <w:color w:val="000000"/>
                <w:kern w:val="2"/>
                <w:sz w:val="24"/>
                <w:szCs w:val="24"/>
                <w:lang w:val="en-US" w:eastAsia="zh-CN" w:bidi="ar-SA"/>
              </w:rPr>
              <w:t>6</w:t>
            </w:r>
            <w:r>
              <w:rPr>
                <w:rFonts w:hint="eastAsia" w:ascii="宋体" w:hAnsi="宋体" w:eastAsia="宋体" w:cs="宋体"/>
                <w:color w:val="000000"/>
                <w:kern w:val="2"/>
                <w:sz w:val="24"/>
                <w:szCs w:val="24"/>
                <w:lang w:val="en-US" w:eastAsia="zh-Hans" w:bidi="ar-SA"/>
              </w:rPr>
              <w:t>、</w:t>
            </w:r>
            <w:r>
              <w:rPr>
                <w:rFonts w:hint="eastAsia" w:ascii="宋体" w:hAnsi="宋体" w:cs="宋体"/>
                <w:color w:val="000000"/>
                <w:kern w:val="2"/>
                <w:sz w:val="24"/>
                <w:szCs w:val="24"/>
                <w:lang w:val="en-US" w:eastAsia="zh-CN" w:bidi="ar-SA"/>
              </w:rPr>
              <w:t>服务</w:t>
            </w:r>
            <w:r>
              <w:rPr>
                <w:rFonts w:hint="eastAsia" w:ascii="宋体" w:hAnsi="宋体" w:eastAsia="宋体" w:cs="宋体"/>
                <w:color w:val="000000"/>
                <w:kern w:val="2"/>
                <w:sz w:val="24"/>
                <w:szCs w:val="24"/>
                <w:lang w:val="en-US" w:eastAsia="zh-Hans" w:bidi="ar-SA"/>
              </w:rPr>
              <w:t>过程中配备</w:t>
            </w:r>
            <w:r>
              <w:rPr>
                <w:rFonts w:hint="default" w:ascii="宋体" w:hAnsi="宋体" w:eastAsia="宋体" w:cs="宋体"/>
                <w:color w:val="000000"/>
                <w:kern w:val="2"/>
                <w:sz w:val="24"/>
                <w:szCs w:val="24"/>
                <w:lang w:val="en-US" w:eastAsia="zh-Hans" w:bidi="ar-SA"/>
              </w:rPr>
              <w:t>医疗保障人员</w:t>
            </w:r>
            <w:r>
              <w:rPr>
                <w:rFonts w:hint="eastAsia" w:ascii="宋体" w:hAnsi="宋体" w:eastAsia="宋体" w:cs="宋体"/>
                <w:color w:val="000000"/>
                <w:kern w:val="2"/>
                <w:sz w:val="24"/>
                <w:szCs w:val="24"/>
                <w:lang w:val="en-US" w:eastAsia="zh-Hans" w:bidi="ar-SA"/>
              </w:rPr>
              <w:t>，需具备救护师资证书</w:t>
            </w:r>
            <w:r>
              <w:rPr>
                <w:rFonts w:hint="eastAsia" w:ascii="宋体" w:hAnsi="宋体" w:cs="宋体"/>
                <w:color w:val="000000"/>
                <w:kern w:val="2"/>
                <w:sz w:val="24"/>
                <w:szCs w:val="24"/>
                <w:lang w:val="en-US" w:eastAsia="zh-CN" w:bidi="ar-SA"/>
              </w:rPr>
              <w:t>或</w:t>
            </w:r>
            <w:r>
              <w:rPr>
                <w:rFonts w:hint="eastAsia" w:ascii="宋体" w:hAnsi="宋体" w:eastAsia="宋体" w:cs="宋体"/>
                <w:color w:val="000000"/>
                <w:kern w:val="2"/>
                <w:sz w:val="24"/>
                <w:szCs w:val="24"/>
                <w:lang w:val="en-US" w:eastAsia="zh-Hans" w:bidi="ar-SA"/>
              </w:rPr>
              <w:t>红十字救护员证等红十字会救护培训合格证书的，</w:t>
            </w:r>
            <w:r>
              <w:rPr>
                <w:rFonts w:hint="default" w:ascii="宋体" w:hAnsi="宋体" w:eastAsia="宋体" w:cs="宋体"/>
                <w:color w:val="000000"/>
                <w:kern w:val="2"/>
                <w:sz w:val="24"/>
                <w:szCs w:val="24"/>
                <w:lang w:val="en-US" w:eastAsia="zh-Hans" w:bidi="ar-SA"/>
              </w:rPr>
              <w:t>1人得1分，最多</w:t>
            </w:r>
            <w:r>
              <w:rPr>
                <w:rFonts w:hint="eastAsia" w:ascii="宋体" w:hAnsi="宋体" w:cs="宋体"/>
                <w:color w:val="000000"/>
                <w:kern w:val="2"/>
                <w:sz w:val="24"/>
                <w:szCs w:val="24"/>
                <w:lang w:val="en-US" w:eastAsia="zh-CN" w:bidi="ar-SA"/>
              </w:rPr>
              <w:t>3</w:t>
            </w:r>
            <w:r>
              <w:rPr>
                <w:rFonts w:hint="default" w:ascii="宋体" w:hAnsi="宋体" w:eastAsia="宋体" w:cs="宋体"/>
                <w:color w:val="000000"/>
                <w:kern w:val="2"/>
                <w:sz w:val="24"/>
                <w:szCs w:val="24"/>
                <w:lang w:val="en-US" w:eastAsia="zh-Hans" w:bidi="ar-SA"/>
              </w:rPr>
              <w:t>分。</w:t>
            </w:r>
            <w:r>
              <w:rPr>
                <w:rFonts w:hint="eastAsia" w:ascii="宋体" w:hAnsi="宋体" w:eastAsia="宋体" w:cs="宋体"/>
                <w:color w:val="000000"/>
                <w:kern w:val="2"/>
                <w:sz w:val="24"/>
                <w:szCs w:val="24"/>
                <w:lang w:val="en-US" w:eastAsia="zh-Hans" w:bidi="ar-SA"/>
              </w:rPr>
              <w:t>（</w:t>
            </w:r>
            <w:r>
              <w:rPr>
                <w:rFonts w:hint="default" w:ascii="宋体" w:hAnsi="宋体" w:eastAsia="宋体" w:cs="宋体"/>
                <w:color w:val="000000"/>
                <w:kern w:val="2"/>
                <w:sz w:val="24"/>
                <w:szCs w:val="24"/>
                <w:lang w:val="en-US" w:eastAsia="zh-Hans" w:bidi="ar-SA"/>
              </w:rPr>
              <w:t>0-</w:t>
            </w:r>
            <w:r>
              <w:rPr>
                <w:rFonts w:hint="eastAsia" w:ascii="宋体" w:hAnsi="宋体" w:eastAsia="宋体" w:cs="宋体"/>
                <w:color w:val="000000"/>
                <w:kern w:val="2"/>
                <w:sz w:val="24"/>
                <w:szCs w:val="24"/>
                <w:lang w:val="en-US" w:eastAsia="zh-CN" w:bidi="ar-SA"/>
              </w:rPr>
              <w:t>3</w:t>
            </w:r>
            <w:r>
              <w:rPr>
                <w:rFonts w:hint="eastAsia" w:ascii="宋体" w:hAnsi="宋体" w:eastAsia="宋体" w:cs="宋体"/>
                <w:color w:val="000000"/>
                <w:kern w:val="2"/>
                <w:sz w:val="24"/>
                <w:szCs w:val="24"/>
                <w:lang w:val="en-US" w:eastAsia="zh-Hans" w:bidi="ar-SA"/>
              </w:rPr>
              <w:t>分）</w:t>
            </w:r>
            <w:r>
              <w:rPr>
                <w:rFonts w:hint="default" w:ascii="宋体" w:hAnsi="宋体" w:eastAsia="宋体" w:cs="宋体"/>
                <w:color w:val="000000"/>
                <w:kern w:val="2"/>
                <w:sz w:val="24"/>
                <w:szCs w:val="24"/>
                <w:lang w:val="en-US" w:eastAsia="zh-Hans" w:bidi="ar-SA"/>
              </w:rPr>
              <w:t>（医疗保障人员</w:t>
            </w:r>
            <w:r>
              <w:rPr>
                <w:rFonts w:hint="eastAsia" w:ascii="宋体" w:hAnsi="宋体" w:eastAsia="宋体" w:cs="宋体"/>
                <w:color w:val="000000"/>
                <w:kern w:val="2"/>
                <w:sz w:val="24"/>
                <w:szCs w:val="24"/>
                <w:lang w:val="en-US" w:eastAsia="zh-CN" w:bidi="ar-SA"/>
              </w:rPr>
              <w:t>需提供人员在投标单位2025年</w:t>
            </w:r>
            <w:r>
              <w:rPr>
                <w:rFonts w:hint="eastAsia" w:ascii="宋体" w:hAnsi="宋体" w:cs="宋体"/>
                <w:color w:val="000000"/>
                <w:kern w:val="2"/>
                <w:sz w:val="24"/>
                <w:szCs w:val="24"/>
                <w:lang w:val="en-US" w:eastAsia="zh-CN" w:bidi="ar-SA"/>
              </w:rPr>
              <w:t>3</w:t>
            </w:r>
            <w:r>
              <w:rPr>
                <w:rFonts w:hint="eastAsia" w:ascii="宋体" w:hAnsi="宋体" w:eastAsia="宋体" w:cs="宋体"/>
                <w:color w:val="000000"/>
                <w:kern w:val="2"/>
                <w:sz w:val="24"/>
                <w:szCs w:val="24"/>
                <w:lang w:val="en-US" w:eastAsia="zh-CN" w:bidi="ar-SA"/>
              </w:rPr>
              <w:t>月至</w:t>
            </w:r>
            <w:r>
              <w:rPr>
                <w:rFonts w:hint="eastAsia" w:ascii="宋体" w:hAnsi="宋体" w:cs="宋体"/>
                <w:color w:val="000000"/>
                <w:kern w:val="2"/>
                <w:sz w:val="24"/>
                <w:szCs w:val="24"/>
                <w:lang w:val="en-US" w:eastAsia="zh-CN" w:bidi="ar-SA"/>
              </w:rPr>
              <w:t>5</w:t>
            </w:r>
            <w:r>
              <w:rPr>
                <w:rFonts w:hint="eastAsia" w:ascii="宋体" w:hAnsi="宋体" w:eastAsia="宋体" w:cs="宋体"/>
                <w:color w:val="000000"/>
                <w:kern w:val="2"/>
                <w:sz w:val="24"/>
                <w:szCs w:val="24"/>
                <w:lang w:val="en-US" w:eastAsia="zh-CN" w:bidi="ar-SA"/>
              </w:rPr>
              <w:t>月任意一月社保在职证明并加盖公章</w:t>
            </w:r>
            <w:r>
              <w:rPr>
                <w:rFonts w:hint="default" w:ascii="宋体" w:hAnsi="宋体" w:eastAsia="宋体" w:cs="宋体"/>
                <w:color w:val="000000"/>
                <w:kern w:val="2"/>
                <w:sz w:val="24"/>
                <w:szCs w:val="24"/>
                <w:lang w:val="en-US" w:eastAsia="zh-Hans" w:bidi="ar-SA"/>
              </w:rPr>
              <w:t>，未提供不得分。）</w:t>
            </w:r>
          </w:p>
        </w:tc>
        <w:tc>
          <w:tcPr>
            <w:tcW w:w="1250" w:type="dxa"/>
            <w:noWrap w:val="0"/>
            <w:vAlign w:val="center"/>
          </w:tcPr>
          <w:p w14:paraId="5721C000">
            <w:pPr>
              <w:pageBreakBefore w:val="0"/>
              <w:kinsoku/>
              <w:wordWrap/>
              <w:overflowPunct/>
              <w:topLinePunct w:val="0"/>
              <w:bidi w:val="0"/>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3分（客观）</w:t>
            </w:r>
          </w:p>
        </w:tc>
      </w:tr>
      <w:tr w14:paraId="5CE0B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noWrap w:val="0"/>
            <w:vAlign w:val="center"/>
          </w:tcPr>
          <w:p w14:paraId="06629289">
            <w:pPr>
              <w:pageBreakBefore w:val="0"/>
              <w:kinsoku/>
              <w:wordWrap/>
              <w:overflowPunct/>
              <w:topLinePunct w:val="0"/>
              <w:bidi w:val="0"/>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7</w:t>
            </w:r>
          </w:p>
        </w:tc>
        <w:tc>
          <w:tcPr>
            <w:tcW w:w="1027" w:type="dxa"/>
            <w:noWrap w:val="0"/>
            <w:vAlign w:val="center"/>
          </w:tcPr>
          <w:p w14:paraId="2BE8D825">
            <w:pPr>
              <w:pageBreakBefore w:val="0"/>
              <w:kinsoku/>
              <w:wordWrap/>
              <w:overflowPunct/>
              <w:topLinePunct w:val="0"/>
              <w:bidi w:val="0"/>
              <w:spacing w:line="400" w:lineRule="exac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现场突发事件预案</w:t>
            </w:r>
          </w:p>
        </w:tc>
        <w:tc>
          <w:tcPr>
            <w:tcW w:w="5762" w:type="dxa"/>
            <w:noWrap w:val="0"/>
            <w:vAlign w:val="center"/>
          </w:tcPr>
          <w:p w14:paraId="1C835116">
            <w:pPr>
              <w:pageBreakBefore w:val="0"/>
              <w:kinsoku/>
              <w:wordWrap/>
              <w:overflowPunct/>
              <w:topLinePunct w:val="0"/>
              <w:bidi w:val="0"/>
              <w:spacing w:line="400" w:lineRule="exact"/>
              <w:rPr>
                <w:rFonts w:hint="eastAsia" w:ascii="宋体" w:hAnsi="宋体" w:eastAsia="宋体" w:cs="宋体"/>
                <w:color w:val="000000"/>
                <w:kern w:val="2"/>
                <w:sz w:val="24"/>
                <w:szCs w:val="24"/>
                <w:lang w:val="en-US" w:eastAsia="zh-Hans" w:bidi="ar-SA"/>
              </w:rPr>
            </w:pPr>
            <w:r>
              <w:rPr>
                <w:rFonts w:hint="eastAsia" w:ascii="宋体" w:hAnsi="宋体" w:cs="宋体"/>
                <w:color w:val="000000"/>
                <w:kern w:val="2"/>
                <w:sz w:val="24"/>
                <w:szCs w:val="24"/>
                <w:lang w:val="en-US" w:eastAsia="zh-CN" w:bidi="ar-SA"/>
              </w:rPr>
              <w:t>7、</w:t>
            </w:r>
            <w:r>
              <w:rPr>
                <w:rFonts w:hint="eastAsia" w:ascii="宋体" w:hAnsi="宋体" w:eastAsia="宋体" w:cs="宋体"/>
                <w:color w:val="000000"/>
                <w:kern w:val="2"/>
                <w:sz w:val="24"/>
                <w:szCs w:val="24"/>
                <w:lang w:val="en-US" w:eastAsia="zh-CN" w:bidi="ar-SA"/>
              </w:rPr>
              <w:t>突发事件的应急保障工作方案体现可靠性和周密程度。内容科学性、合理性、规范性，描述全面详细的得6分；内容科学性、合理性、规范性，描述较为全面详细的得4分；内容科学性、合理性、规范性，描述不全面或不详细的得2分；内容描述欠缺科学性、合理性、规范性的得1分；未提供或完全不符的0分。</w:t>
            </w:r>
            <w:r>
              <w:rPr>
                <w:rFonts w:hint="eastAsia" w:ascii="宋体" w:hAnsi="宋体" w:eastAsia="宋体" w:cs="宋体"/>
                <w:color w:val="000000"/>
                <w:kern w:val="2"/>
                <w:sz w:val="24"/>
                <w:szCs w:val="24"/>
                <w:lang w:val="en-US" w:eastAsia="zh-Hans" w:bidi="ar-SA"/>
              </w:rPr>
              <w:t>（</w:t>
            </w:r>
            <w:r>
              <w:rPr>
                <w:rFonts w:hint="default" w:ascii="宋体" w:hAnsi="宋体" w:eastAsia="宋体" w:cs="宋体"/>
                <w:color w:val="000000"/>
                <w:kern w:val="2"/>
                <w:sz w:val="24"/>
                <w:szCs w:val="24"/>
                <w:lang w:val="en-US" w:eastAsia="zh-Hans" w:bidi="ar-SA"/>
              </w:rPr>
              <w:t>0-6</w:t>
            </w:r>
            <w:r>
              <w:rPr>
                <w:rFonts w:hint="eastAsia" w:ascii="宋体" w:hAnsi="宋体" w:eastAsia="宋体" w:cs="宋体"/>
                <w:color w:val="000000"/>
                <w:kern w:val="2"/>
                <w:sz w:val="24"/>
                <w:szCs w:val="24"/>
                <w:lang w:val="en-US" w:eastAsia="zh-Hans" w:bidi="ar-SA"/>
              </w:rPr>
              <w:t>分）</w:t>
            </w:r>
          </w:p>
        </w:tc>
        <w:tc>
          <w:tcPr>
            <w:tcW w:w="1250" w:type="dxa"/>
            <w:noWrap w:val="0"/>
            <w:vAlign w:val="center"/>
          </w:tcPr>
          <w:p w14:paraId="0695867C">
            <w:pPr>
              <w:pageBreakBefore w:val="0"/>
              <w:kinsoku/>
              <w:wordWrap/>
              <w:overflowPunct/>
              <w:topLinePunct w:val="0"/>
              <w:bidi w:val="0"/>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6分</w:t>
            </w:r>
          </w:p>
        </w:tc>
      </w:tr>
      <w:tr w14:paraId="6261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456" w:type="dxa"/>
            <w:noWrap w:val="0"/>
            <w:vAlign w:val="center"/>
          </w:tcPr>
          <w:p w14:paraId="49573C6A">
            <w:pPr>
              <w:pageBreakBefore w:val="0"/>
              <w:kinsoku/>
              <w:wordWrap/>
              <w:overflowPunct/>
              <w:topLinePunct w:val="0"/>
              <w:bidi w:val="0"/>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8</w:t>
            </w:r>
          </w:p>
        </w:tc>
        <w:tc>
          <w:tcPr>
            <w:tcW w:w="1027" w:type="dxa"/>
            <w:vMerge w:val="restart"/>
            <w:noWrap w:val="0"/>
            <w:vAlign w:val="top"/>
          </w:tcPr>
          <w:p w14:paraId="6E3E7E5B">
            <w:pPr>
              <w:pageBreakBefore w:val="0"/>
              <w:kinsoku/>
              <w:wordWrap/>
              <w:overflowPunct/>
              <w:topLinePunct w:val="0"/>
              <w:bidi w:val="0"/>
              <w:spacing w:line="400" w:lineRule="exac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场地器材</w:t>
            </w:r>
            <w:r>
              <w:rPr>
                <w:rFonts w:hint="eastAsia" w:ascii="宋体" w:hAnsi="宋体" w:eastAsia="宋体" w:cs="宋体"/>
                <w:color w:val="000000"/>
                <w:kern w:val="2"/>
                <w:sz w:val="24"/>
                <w:szCs w:val="24"/>
                <w:lang w:val="en-US" w:eastAsia="zh-Hans" w:bidi="ar-SA"/>
              </w:rPr>
              <w:t>保障</w:t>
            </w:r>
          </w:p>
          <w:p w14:paraId="060C268B">
            <w:pPr>
              <w:pageBreakBefore w:val="0"/>
              <w:kinsoku/>
              <w:wordWrap/>
              <w:overflowPunct/>
              <w:topLinePunct w:val="0"/>
              <w:bidi w:val="0"/>
              <w:spacing w:line="400" w:lineRule="exact"/>
              <w:rPr>
                <w:rFonts w:hint="eastAsia" w:ascii="宋体" w:hAnsi="宋体" w:eastAsia="宋体" w:cs="宋体"/>
                <w:color w:val="000000"/>
                <w:kern w:val="2"/>
                <w:sz w:val="24"/>
                <w:szCs w:val="24"/>
                <w:lang w:val="en-US" w:eastAsia="zh-CN" w:bidi="ar-SA"/>
              </w:rPr>
            </w:pPr>
          </w:p>
          <w:p w14:paraId="227088D7">
            <w:pPr>
              <w:pageBreakBefore w:val="0"/>
              <w:kinsoku/>
              <w:wordWrap/>
              <w:overflowPunct/>
              <w:topLinePunct w:val="0"/>
              <w:bidi w:val="0"/>
              <w:spacing w:line="400" w:lineRule="exact"/>
              <w:rPr>
                <w:rFonts w:hint="eastAsia" w:ascii="宋体" w:hAnsi="宋体" w:eastAsia="宋体" w:cs="宋体"/>
                <w:color w:val="000000"/>
                <w:kern w:val="2"/>
                <w:sz w:val="24"/>
                <w:szCs w:val="24"/>
                <w:lang w:val="en-US" w:eastAsia="zh-CN" w:bidi="ar-SA"/>
              </w:rPr>
            </w:pPr>
          </w:p>
        </w:tc>
        <w:tc>
          <w:tcPr>
            <w:tcW w:w="5762" w:type="dxa"/>
            <w:noWrap w:val="0"/>
            <w:vAlign w:val="top"/>
          </w:tcPr>
          <w:p w14:paraId="43095960">
            <w:pPr>
              <w:pageBreakBefore w:val="0"/>
              <w:kinsoku/>
              <w:wordWrap/>
              <w:overflowPunct/>
              <w:topLinePunct w:val="0"/>
              <w:bidi w:val="0"/>
              <w:spacing w:line="400" w:lineRule="exact"/>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8</w:t>
            </w:r>
            <w:r>
              <w:rPr>
                <w:rFonts w:hint="eastAsia" w:ascii="宋体" w:hAnsi="宋体" w:eastAsia="宋体" w:cs="宋体"/>
                <w:color w:val="000000"/>
                <w:kern w:val="2"/>
                <w:sz w:val="24"/>
                <w:szCs w:val="24"/>
                <w:lang w:val="en-US" w:eastAsia="zh-Hans" w:bidi="ar-SA"/>
              </w:rPr>
              <w:t>、</w:t>
            </w:r>
            <w:r>
              <w:rPr>
                <w:rFonts w:hint="eastAsia" w:ascii="宋体" w:hAnsi="宋体" w:eastAsia="宋体" w:cs="宋体"/>
                <w:color w:val="000000"/>
                <w:kern w:val="2"/>
                <w:sz w:val="24"/>
                <w:szCs w:val="24"/>
                <w:lang w:val="en-US" w:eastAsia="zh-CN" w:bidi="ar-SA"/>
              </w:rPr>
              <w:t>场地、器材保障及实施计划满足采购项目需求程度和合理性、可操作性等。内容科学性、合理性、规范性，描述全面详细的得6分；内容科学性、合理性、规范性，描述较为全面详细的得4分；内容科学性、合理性、规范性，描述不全面或不详细的得2分；内容描述欠缺科学性、合理性、规范性的得1分；未提供或完全不符的0分。（0-</w:t>
            </w:r>
            <w:r>
              <w:rPr>
                <w:rFonts w:hint="default" w:ascii="宋体" w:hAnsi="宋体" w:eastAsia="宋体" w:cs="宋体"/>
                <w:color w:val="000000"/>
                <w:kern w:val="2"/>
                <w:sz w:val="24"/>
                <w:szCs w:val="24"/>
                <w:lang w:val="en-US" w:eastAsia="zh-CN" w:bidi="ar-SA"/>
              </w:rPr>
              <w:t>6</w:t>
            </w:r>
            <w:r>
              <w:rPr>
                <w:rFonts w:hint="eastAsia" w:ascii="宋体" w:hAnsi="宋体" w:eastAsia="宋体" w:cs="宋体"/>
                <w:color w:val="000000"/>
                <w:kern w:val="2"/>
                <w:sz w:val="24"/>
                <w:szCs w:val="24"/>
                <w:lang w:val="en-US" w:eastAsia="zh-CN" w:bidi="ar-SA"/>
              </w:rPr>
              <w:t>分）</w:t>
            </w:r>
          </w:p>
        </w:tc>
        <w:tc>
          <w:tcPr>
            <w:tcW w:w="1250" w:type="dxa"/>
            <w:noWrap w:val="0"/>
            <w:vAlign w:val="center"/>
          </w:tcPr>
          <w:p w14:paraId="683A8D9D">
            <w:pPr>
              <w:pageBreakBefore w:val="0"/>
              <w:kinsoku/>
              <w:wordWrap/>
              <w:overflowPunct/>
              <w:topLinePunct w:val="0"/>
              <w:bidi w:val="0"/>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6分</w:t>
            </w:r>
          </w:p>
        </w:tc>
      </w:tr>
      <w:tr w14:paraId="4B88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456" w:type="dxa"/>
            <w:noWrap w:val="0"/>
            <w:vAlign w:val="center"/>
          </w:tcPr>
          <w:p w14:paraId="2F219798">
            <w:pPr>
              <w:pageBreakBefore w:val="0"/>
              <w:kinsoku/>
              <w:wordWrap/>
              <w:overflowPunct/>
              <w:topLinePunct w:val="0"/>
              <w:bidi w:val="0"/>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9</w:t>
            </w:r>
          </w:p>
        </w:tc>
        <w:tc>
          <w:tcPr>
            <w:tcW w:w="1027" w:type="dxa"/>
            <w:vMerge w:val="continue"/>
            <w:noWrap w:val="0"/>
            <w:vAlign w:val="top"/>
          </w:tcPr>
          <w:p w14:paraId="5E54D2F5">
            <w:pPr>
              <w:pageBreakBefore w:val="0"/>
              <w:kinsoku/>
              <w:wordWrap/>
              <w:overflowPunct/>
              <w:topLinePunct w:val="0"/>
              <w:bidi w:val="0"/>
              <w:spacing w:line="400" w:lineRule="exact"/>
              <w:rPr>
                <w:rFonts w:hint="eastAsia" w:ascii="宋体" w:hAnsi="宋体" w:eastAsia="宋体" w:cs="宋体"/>
                <w:color w:val="000000"/>
                <w:kern w:val="2"/>
                <w:sz w:val="24"/>
                <w:szCs w:val="24"/>
                <w:lang w:val="en-US" w:eastAsia="zh-CN" w:bidi="ar-SA"/>
              </w:rPr>
            </w:pPr>
          </w:p>
        </w:tc>
        <w:tc>
          <w:tcPr>
            <w:tcW w:w="5762" w:type="dxa"/>
            <w:noWrap w:val="0"/>
            <w:vAlign w:val="top"/>
          </w:tcPr>
          <w:p w14:paraId="1EAB411C">
            <w:pPr>
              <w:pageBreakBefore w:val="0"/>
              <w:kinsoku/>
              <w:wordWrap/>
              <w:overflowPunct/>
              <w:topLinePunct w:val="0"/>
              <w:bidi w:val="0"/>
              <w:spacing w:line="400" w:lineRule="exact"/>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9</w:t>
            </w:r>
            <w:r>
              <w:rPr>
                <w:rFonts w:hint="eastAsia" w:ascii="宋体" w:hAnsi="宋体" w:eastAsia="宋体" w:cs="宋体"/>
                <w:color w:val="000000"/>
                <w:kern w:val="2"/>
                <w:sz w:val="24"/>
                <w:szCs w:val="24"/>
                <w:lang w:val="en-US" w:eastAsia="zh-Hans" w:bidi="ar-SA"/>
              </w:rPr>
              <w:t>、</w:t>
            </w:r>
            <w:r>
              <w:rPr>
                <w:rFonts w:hint="eastAsia" w:ascii="宋体" w:hAnsi="宋体" w:eastAsia="宋体" w:cs="宋体"/>
                <w:color w:val="000000"/>
                <w:kern w:val="2"/>
                <w:sz w:val="24"/>
                <w:szCs w:val="24"/>
                <w:lang w:val="en-US" w:eastAsia="zh-CN" w:bidi="ar-SA"/>
              </w:rPr>
              <w:t>训练场地器材情况：根据训练场地的地理位置、软硬件的情况、器材的新旧程度，设施配备齐全，地理位置</w:t>
            </w:r>
            <w:r>
              <w:rPr>
                <w:rFonts w:hint="eastAsia" w:ascii="宋体" w:hAnsi="宋体" w:eastAsia="宋体" w:cs="宋体"/>
                <w:color w:val="000000"/>
                <w:kern w:val="2"/>
                <w:sz w:val="24"/>
                <w:szCs w:val="24"/>
                <w:lang w:val="en-US" w:eastAsia="zh-Hans" w:bidi="ar-SA"/>
              </w:rPr>
              <w:t>等情况综合评定</w:t>
            </w:r>
            <w:r>
              <w:rPr>
                <w:rFonts w:hint="eastAsia" w:ascii="宋体" w:hAnsi="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内容科学性、合理性、规范性，描述全面详细的得6分；内容科学性、合理性、规范性，描述较为全面详细的得4分；内容科学性、合理性、规范性，描述不全面或不详细的得2分；内容描述欠缺科学性、合理性、规范性的得1分；未提供或完全不符的0分。</w:t>
            </w:r>
            <w:r>
              <w:rPr>
                <w:rFonts w:hint="eastAsia" w:ascii="宋体" w:hAnsi="宋体" w:eastAsia="宋体" w:cs="宋体"/>
                <w:color w:val="000000"/>
                <w:kern w:val="2"/>
                <w:sz w:val="24"/>
                <w:szCs w:val="24"/>
                <w:lang w:val="en-US" w:eastAsia="zh-Hans" w:bidi="ar-SA"/>
              </w:rPr>
              <w:t>（</w:t>
            </w:r>
            <w:r>
              <w:rPr>
                <w:rFonts w:hint="default" w:ascii="宋体" w:hAnsi="宋体" w:eastAsia="宋体" w:cs="宋体"/>
                <w:color w:val="000000"/>
                <w:kern w:val="2"/>
                <w:sz w:val="24"/>
                <w:szCs w:val="24"/>
                <w:lang w:val="en-US" w:eastAsia="zh-Hans" w:bidi="ar-SA"/>
              </w:rPr>
              <w:t>0-</w:t>
            </w:r>
            <w:r>
              <w:rPr>
                <w:rFonts w:hint="eastAsia" w:ascii="宋体" w:hAnsi="宋体" w:eastAsia="宋体" w:cs="宋体"/>
                <w:color w:val="000000"/>
                <w:kern w:val="2"/>
                <w:sz w:val="24"/>
                <w:szCs w:val="24"/>
                <w:lang w:val="en-US" w:eastAsia="zh-CN" w:bidi="ar-SA"/>
              </w:rPr>
              <w:t>6</w:t>
            </w:r>
            <w:r>
              <w:rPr>
                <w:rFonts w:hint="eastAsia" w:ascii="宋体" w:hAnsi="宋体" w:eastAsia="宋体" w:cs="宋体"/>
                <w:color w:val="000000"/>
                <w:kern w:val="2"/>
                <w:sz w:val="24"/>
                <w:szCs w:val="24"/>
                <w:lang w:val="en-US" w:eastAsia="zh-Hans" w:bidi="ar-SA"/>
              </w:rPr>
              <w:t>分）</w:t>
            </w:r>
          </w:p>
        </w:tc>
        <w:tc>
          <w:tcPr>
            <w:tcW w:w="1250" w:type="dxa"/>
            <w:noWrap w:val="0"/>
            <w:vAlign w:val="center"/>
          </w:tcPr>
          <w:p w14:paraId="11850540">
            <w:pPr>
              <w:pageBreakBefore w:val="0"/>
              <w:kinsoku/>
              <w:wordWrap/>
              <w:overflowPunct/>
              <w:topLinePunct w:val="0"/>
              <w:bidi w:val="0"/>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6分</w:t>
            </w:r>
          </w:p>
        </w:tc>
      </w:tr>
      <w:tr w14:paraId="6EBD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noWrap w:val="0"/>
            <w:vAlign w:val="center"/>
          </w:tcPr>
          <w:p w14:paraId="683AA791">
            <w:pPr>
              <w:pageBreakBefore w:val="0"/>
              <w:kinsoku/>
              <w:wordWrap/>
              <w:overflowPunct/>
              <w:topLinePunct w:val="0"/>
              <w:bidi w:val="0"/>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10</w:t>
            </w:r>
          </w:p>
        </w:tc>
        <w:tc>
          <w:tcPr>
            <w:tcW w:w="1027" w:type="dxa"/>
            <w:noWrap w:val="0"/>
            <w:vAlign w:val="top"/>
          </w:tcPr>
          <w:p w14:paraId="2EAEB0FC">
            <w:pPr>
              <w:pageBreakBefore w:val="0"/>
              <w:kinsoku/>
              <w:wordWrap/>
              <w:overflowPunct/>
              <w:topLinePunct w:val="0"/>
              <w:bidi w:val="0"/>
              <w:spacing w:line="400" w:lineRule="exact"/>
              <w:rPr>
                <w:rFonts w:hint="default" w:ascii="宋体" w:hAnsi="宋体" w:eastAsia="宋体" w:cs="宋体"/>
                <w:color w:val="000000"/>
                <w:kern w:val="2"/>
                <w:sz w:val="24"/>
                <w:szCs w:val="24"/>
                <w:lang w:val="en-US" w:eastAsia="zh-Hans" w:bidi="ar-SA"/>
              </w:rPr>
            </w:pPr>
            <w:r>
              <w:rPr>
                <w:rFonts w:hint="eastAsia" w:ascii="宋体" w:hAnsi="宋体" w:eastAsia="宋体" w:cs="宋体"/>
                <w:color w:val="000000"/>
                <w:kern w:val="2"/>
                <w:sz w:val="24"/>
                <w:szCs w:val="24"/>
                <w:lang w:val="en-US" w:eastAsia="zh-Hans" w:bidi="ar-SA"/>
              </w:rPr>
              <w:t>后勤保障</w:t>
            </w:r>
          </w:p>
        </w:tc>
        <w:tc>
          <w:tcPr>
            <w:tcW w:w="5762" w:type="dxa"/>
            <w:noWrap w:val="0"/>
            <w:vAlign w:val="top"/>
          </w:tcPr>
          <w:p w14:paraId="196A5D49">
            <w:pPr>
              <w:pageBreakBefore w:val="0"/>
              <w:kinsoku/>
              <w:wordWrap/>
              <w:overflowPunct/>
              <w:topLinePunct w:val="0"/>
              <w:bidi w:val="0"/>
              <w:spacing w:line="400" w:lineRule="exact"/>
              <w:rPr>
                <w:rFonts w:hint="eastAsia" w:ascii="宋体" w:hAnsi="宋体" w:eastAsia="宋体" w:cs="宋体"/>
                <w:color w:val="000000"/>
                <w:kern w:val="2"/>
                <w:sz w:val="24"/>
                <w:szCs w:val="24"/>
                <w:lang w:val="en-US" w:eastAsia="zh-Hans" w:bidi="ar-SA"/>
              </w:rPr>
            </w:pPr>
            <w:r>
              <w:rPr>
                <w:rFonts w:hint="eastAsia" w:ascii="宋体" w:hAnsi="宋体" w:cs="宋体"/>
                <w:color w:val="000000"/>
                <w:kern w:val="2"/>
                <w:sz w:val="24"/>
                <w:szCs w:val="24"/>
                <w:lang w:val="en-US" w:eastAsia="zh-CN" w:bidi="ar-SA"/>
              </w:rPr>
              <w:t>10、</w:t>
            </w:r>
            <w:r>
              <w:rPr>
                <w:rFonts w:hint="eastAsia" w:ascii="宋体" w:hAnsi="宋体" w:eastAsia="宋体" w:cs="宋体"/>
                <w:color w:val="000000"/>
                <w:kern w:val="2"/>
                <w:sz w:val="24"/>
                <w:szCs w:val="24"/>
                <w:lang w:val="en-US" w:eastAsia="zh-Hans" w:bidi="ar-SA"/>
              </w:rPr>
              <w:t>后勤保障方案及实施计划满足采购项目需求程度和合理性、可操作性等。</w:t>
            </w:r>
            <w:r>
              <w:rPr>
                <w:rFonts w:hint="eastAsia" w:ascii="宋体" w:hAnsi="宋体" w:eastAsia="宋体" w:cs="宋体"/>
                <w:color w:val="000000"/>
                <w:kern w:val="2"/>
                <w:sz w:val="24"/>
                <w:szCs w:val="24"/>
                <w:lang w:val="en-US" w:eastAsia="zh-CN" w:bidi="ar-SA"/>
              </w:rPr>
              <w:t>内容科学性、合理性、规范性，描述全面详细的得6分；内容科学性、合理性、规范性，描述较为全面详细的得4分；内容科学性、合理性、规范性，描述不全面或不详细的得2分；内容描述欠缺科学性、合理性、规范性的得1分；未提供或完全不符的0分。</w:t>
            </w:r>
            <w:r>
              <w:rPr>
                <w:rFonts w:hint="eastAsia" w:ascii="宋体" w:hAnsi="宋体" w:eastAsia="宋体" w:cs="宋体"/>
                <w:color w:val="000000"/>
                <w:kern w:val="2"/>
                <w:sz w:val="24"/>
                <w:szCs w:val="24"/>
                <w:lang w:val="en-US" w:eastAsia="zh-Hans" w:bidi="ar-SA"/>
              </w:rPr>
              <w:t>（0-</w:t>
            </w:r>
            <w:r>
              <w:rPr>
                <w:rFonts w:hint="default" w:ascii="宋体" w:hAnsi="宋体" w:eastAsia="宋体" w:cs="宋体"/>
                <w:color w:val="000000"/>
                <w:kern w:val="2"/>
                <w:sz w:val="24"/>
                <w:szCs w:val="24"/>
                <w:lang w:val="en-US" w:eastAsia="zh-Hans" w:bidi="ar-SA"/>
              </w:rPr>
              <w:t>6</w:t>
            </w:r>
            <w:r>
              <w:rPr>
                <w:rFonts w:hint="eastAsia" w:ascii="宋体" w:hAnsi="宋体" w:eastAsia="宋体" w:cs="宋体"/>
                <w:color w:val="000000"/>
                <w:kern w:val="2"/>
                <w:sz w:val="24"/>
                <w:szCs w:val="24"/>
                <w:lang w:val="en-US" w:eastAsia="zh-Hans" w:bidi="ar-SA"/>
              </w:rPr>
              <w:t>分）</w:t>
            </w:r>
          </w:p>
        </w:tc>
        <w:tc>
          <w:tcPr>
            <w:tcW w:w="1250" w:type="dxa"/>
            <w:noWrap w:val="0"/>
            <w:vAlign w:val="center"/>
          </w:tcPr>
          <w:p w14:paraId="1578F0FF">
            <w:pPr>
              <w:pageBreakBefore w:val="0"/>
              <w:kinsoku/>
              <w:wordWrap/>
              <w:overflowPunct/>
              <w:topLinePunct w:val="0"/>
              <w:bidi w:val="0"/>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6分</w:t>
            </w:r>
          </w:p>
        </w:tc>
      </w:tr>
      <w:tr w14:paraId="1AEA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456" w:type="dxa"/>
            <w:noWrap w:val="0"/>
            <w:vAlign w:val="center"/>
          </w:tcPr>
          <w:p w14:paraId="5129E5F2">
            <w:pPr>
              <w:pageBreakBefore w:val="0"/>
              <w:kinsoku/>
              <w:wordWrap/>
              <w:overflowPunct/>
              <w:topLinePunct w:val="0"/>
              <w:bidi w:val="0"/>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11</w:t>
            </w:r>
          </w:p>
        </w:tc>
        <w:tc>
          <w:tcPr>
            <w:tcW w:w="1027" w:type="dxa"/>
            <w:vMerge w:val="restart"/>
            <w:noWrap w:val="0"/>
            <w:vAlign w:val="center"/>
          </w:tcPr>
          <w:p w14:paraId="03A58AF1">
            <w:pPr>
              <w:pageBreakBefore w:val="0"/>
              <w:kinsoku/>
              <w:wordWrap/>
              <w:overflowPunct/>
              <w:topLinePunct w:val="0"/>
              <w:bidi w:val="0"/>
              <w:spacing w:line="400" w:lineRule="exact"/>
              <w:rPr>
                <w:rFonts w:hint="eastAsia" w:ascii="宋体" w:hAnsi="宋体" w:eastAsia="宋体" w:cs="宋体"/>
                <w:color w:val="000000"/>
                <w:kern w:val="2"/>
                <w:sz w:val="24"/>
                <w:szCs w:val="24"/>
                <w:lang w:val="en-US" w:eastAsia="zh-Hans" w:bidi="ar-SA"/>
              </w:rPr>
            </w:pPr>
            <w:r>
              <w:rPr>
                <w:rFonts w:hint="eastAsia" w:ascii="宋体" w:hAnsi="宋体" w:eastAsia="宋体" w:cs="宋体"/>
                <w:color w:val="000000"/>
                <w:kern w:val="2"/>
                <w:sz w:val="24"/>
                <w:szCs w:val="24"/>
                <w:lang w:val="zh-TW" w:eastAsia="zh-CN" w:bidi="ar-SA"/>
              </w:rPr>
              <w:t>制度管理</w:t>
            </w:r>
          </w:p>
        </w:tc>
        <w:tc>
          <w:tcPr>
            <w:tcW w:w="5762" w:type="dxa"/>
            <w:noWrap w:val="0"/>
            <w:vAlign w:val="center"/>
          </w:tcPr>
          <w:p w14:paraId="6B0EF1A6">
            <w:pPr>
              <w:pageBreakBefore w:val="0"/>
              <w:kinsoku/>
              <w:wordWrap/>
              <w:overflowPunct/>
              <w:topLinePunct w:val="0"/>
              <w:bidi w:val="0"/>
              <w:spacing w:line="400" w:lineRule="exac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w:t>
            </w:r>
            <w:r>
              <w:rPr>
                <w:rFonts w:hint="eastAsia" w:ascii="宋体" w:hAnsi="宋体" w:cs="宋体"/>
                <w:color w:val="000000"/>
                <w:kern w:val="2"/>
                <w:sz w:val="24"/>
                <w:szCs w:val="24"/>
                <w:lang w:val="en-US" w:eastAsia="zh-CN" w:bidi="ar-SA"/>
              </w:rPr>
              <w:t>1、</w:t>
            </w:r>
            <w:r>
              <w:rPr>
                <w:rFonts w:hint="eastAsia" w:ascii="宋体" w:hAnsi="宋体" w:eastAsia="宋体" w:cs="宋体"/>
                <w:color w:val="000000"/>
                <w:kern w:val="2"/>
                <w:sz w:val="24"/>
                <w:szCs w:val="24"/>
                <w:lang w:val="en-US" w:eastAsia="zh-CN" w:bidi="ar-SA"/>
              </w:rPr>
              <w:t>经费管理制度的严谨性、科学性、合理性</w:t>
            </w:r>
            <w:r>
              <w:rPr>
                <w:rFonts w:hint="eastAsia" w:ascii="宋体" w:hAnsi="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整体全部满足需求表述全面得5，表述较全面得3分，表述不全面得1分。未提供或完全不符的0分。</w:t>
            </w:r>
            <w:r>
              <w:rPr>
                <w:rFonts w:hint="eastAsia" w:ascii="宋体" w:hAnsi="宋体" w:eastAsia="宋体" w:cs="宋体"/>
                <w:color w:val="000000"/>
                <w:kern w:val="2"/>
                <w:sz w:val="24"/>
                <w:szCs w:val="24"/>
                <w:lang w:val="en-US" w:eastAsia="zh-Hans" w:bidi="ar-SA"/>
              </w:rPr>
              <w:t>（0-</w:t>
            </w:r>
            <w:r>
              <w:rPr>
                <w:rFonts w:hint="eastAsia" w:ascii="宋体" w:hAnsi="宋体" w:eastAsia="宋体" w:cs="宋体"/>
                <w:color w:val="000000"/>
                <w:kern w:val="2"/>
                <w:sz w:val="24"/>
                <w:szCs w:val="24"/>
                <w:lang w:val="en-US" w:eastAsia="zh-CN" w:bidi="ar-SA"/>
              </w:rPr>
              <w:t>5</w:t>
            </w:r>
            <w:r>
              <w:rPr>
                <w:rFonts w:hint="eastAsia" w:ascii="宋体" w:hAnsi="宋体" w:eastAsia="宋体" w:cs="宋体"/>
                <w:color w:val="000000"/>
                <w:kern w:val="2"/>
                <w:sz w:val="24"/>
                <w:szCs w:val="24"/>
                <w:lang w:val="en-US" w:eastAsia="zh-Hans" w:bidi="ar-SA"/>
              </w:rPr>
              <w:t>分</w:t>
            </w:r>
            <w:r>
              <w:rPr>
                <w:rFonts w:hint="eastAsia" w:ascii="宋体" w:hAnsi="宋体" w:eastAsia="宋体" w:cs="宋体"/>
                <w:color w:val="000000"/>
                <w:kern w:val="2"/>
                <w:sz w:val="24"/>
                <w:szCs w:val="24"/>
                <w:lang w:val="en-US" w:eastAsia="zh-CN" w:bidi="ar-SA"/>
              </w:rPr>
              <w:t>）</w:t>
            </w:r>
          </w:p>
        </w:tc>
        <w:tc>
          <w:tcPr>
            <w:tcW w:w="1250" w:type="dxa"/>
            <w:noWrap w:val="0"/>
            <w:vAlign w:val="center"/>
          </w:tcPr>
          <w:p w14:paraId="6D57E9EF">
            <w:pPr>
              <w:pageBreakBefore w:val="0"/>
              <w:kinsoku/>
              <w:wordWrap/>
              <w:overflowPunct/>
              <w:topLinePunct w:val="0"/>
              <w:bidi w:val="0"/>
              <w:spacing w:line="400" w:lineRule="exact"/>
              <w:jc w:val="center"/>
              <w:rPr>
                <w:rFonts w:hint="default" w:ascii="宋体" w:hAnsi="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5分</w:t>
            </w:r>
          </w:p>
        </w:tc>
      </w:tr>
      <w:tr w14:paraId="336D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456" w:type="dxa"/>
            <w:noWrap w:val="0"/>
            <w:vAlign w:val="center"/>
          </w:tcPr>
          <w:p w14:paraId="64E53159">
            <w:pPr>
              <w:pageBreakBefore w:val="0"/>
              <w:kinsoku/>
              <w:wordWrap/>
              <w:overflowPunct/>
              <w:topLinePunct w:val="0"/>
              <w:bidi w:val="0"/>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12</w:t>
            </w:r>
          </w:p>
        </w:tc>
        <w:tc>
          <w:tcPr>
            <w:tcW w:w="1027" w:type="dxa"/>
            <w:vMerge w:val="continue"/>
            <w:noWrap w:val="0"/>
            <w:vAlign w:val="center"/>
          </w:tcPr>
          <w:p w14:paraId="3B30EB17">
            <w:pPr>
              <w:pageBreakBefore w:val="0"/>
              <w:kinsoku/>
              <w:wordWrap/>
              <w:overflowPunct/>
              <w:topLinePunct w:val="0"/>
              <w:bidi w:val="0"/>
              <w:spacing w:line="400" w:lineRule="exact"/>
              <w:rPr>
                <w:rFonts w:hint="eastAsia" w:ascii="宋体" w:hAnsi="宋体" w:eastAsia="宋体" w:cs="宋体"/>
                <w:color w:val="000000"/>
                <w:kern w:val="2"/>
                <w:sz w:val="24"/>
                <w:szCs w:val="24"/>
                <w:lang w:val="en-US" w:eastAsia="zh-Hans" w:bidi="ar-SA"/>
              </w:rPr>
            </w:pPr>
          </w:p>
        </w:tc>
        <w:tc>
          <w:tcPr>
            <w:tcW w:w="5762" w:type="dxa"/>
            <w:noWrap w:val="0"/>
            <w:vAlign w:val="center"/>
          </w:tcPr>
          <w:p w14:paraId="7AC2F357">
            <w:pPr>
              <w:pageBreakBefore w:val="0"/>
              <w:kinsoku/>
              <w:wordWrap/>
              <w:overflowPunct/>
              <w:topLinePunct w:val="0"/>
              <w:bidi w:val="0"/>
              <w:spacing w:line="400" w:lineRule="exact"/>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w:t>
            </w:r>
            <w:r>
              <w:rPr>
                <w:rFonts w:hint="eastAsia" w:ascii="宋体" w:hAnsi="宋体" w:eastAsia="宋体" w:cs="宋体"/>
                <w:color w:val="000000"/>
                <w:kern w:val="2"/>
                <w:sz w:val="24"/>
                <w:szCs w:val="24"/>
                <w:lang w:val="en-US" w:eastAsia="zh-CN" w:bidi="ar-SA"/>
              </w:rPr>
              <w:t>2</w:t>
            </w:r>
            <w:r>
              <w:rPr>
                <w:rFonts w:hint="eastAsia" w:ascii="宋体" w:hAnsi="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资料总结及审计验收：根据资料收集、总结、审计验收工作安排的合理性、全面性，是否专人对接，资料是否完整。整体全部满足需求表述全面得</w:t>
            </w:r>
            <w:r>
              <w:rPr>
                <w:rFonts w:hint="eastAsia" w:ascii="宋体" w:hAnsi="宋体" w:cs="宋体"/>
                <w:color w:val="000000"/>
                <w:kern w:val="2"/>
                <w:sz w:val="24"/>
                <w:szCs w:val="24"/>
                <w:lang w:val="en-US" w:eastAsia="zh-CN" w:bidi="ar-SA"/>
              </w:rPr>
              <w:t>5</w:t>
            </w:r>
            <w:r>
              <w:rPr>
                <w:rFonts w:hint="eastAsia" w:ascii="宋体" w:hAnsi="宋体" w:eastAsia="宋体" w:cs="宋体"/>
                <w:color w:val="000000"/>
                <w:kern w:val="2"/>
                <w:sz w:val="24"/>
                <w:szCs w:val="24"/>
                <w:lang w:val="en-US" w:eastAsia="zh-CN" w:bidi="ar-SA"/>
              </w:rPr>
              <w:t>分，表述较全面得3分，表述不全面得1分。未提供或完全不符的0分。</w:t>
            </w:r>
            <w:r>
              <w:rPr>
                <w:rFonts w:hint="eastAsia" w:ascii="宋体" w:hAnsi="宋体" w:eastAsia="宋体" w:cs="宋体"/>
                <w:color w:val="000000"/>
                <w:kern w:val="2"/>
                <w:sz w:val="24"/>
                <w:szCs w:val="24"/>
                <w:lang w:val="en-US" w:eastAsia="zh-Hans" w:bidi="ar-SA"/>
              </w:rPr>
              <w:t>（0-</w:t>
            </w:r>
            <w:r>
              <w:rPr>
                <w:rFonts w:hint="eastAsia" w:ascii="宋体" w:hAnsi="宋体" w:eastAsia="宋体" w:cs="宋体"/>
                <w:color w:val="000000"/>
                <w:kern w:val="2"/>
                <w:sz w:val="24"/>
                <w:szCs w:val="24"/>
                <w:lang w:val="en-US" w:eastAsia="zh-CN" w:bidi="ar-SA"/>
              </w:rPr>
              <w:t>5</w:t>
            </w:r>
            <w:r>
              <w:rPr>
                <w:rFonts w:hint="eastAsia" w:ascii="宋体" w:hAnsi="宋体" w:eastAsia="宋体" w:cs="宋体"/>
                <w:color w:val="000000"/>
                <w:kern w:val="2"/>
                <w:sz w:val="24"/>
                <w:szCs w:val="24"/>
                <w:lang w:val="en-US" w:eastAsia="zh-Hans" w:bidi="ar-SA"/>
              </w:rPr>
              <w:t>分）</w:t>
            </w:r>
          </w:p>
        </w:tc>
        <w:tc>
          <w:tcPr>
            <w:tcW w:w="1250" w:type="dxa"/>
            <w:noWrap w:val="0"/>
            <w:vAlign w:val="center"/>
          </w:tcPr>
          <w:p w14:paraId="4768BBE3">
            <w:pPr>
              <w:pageBreakBefore w:val="0"/>
              <w:kinsoku/>
              <w:wordWrap/>
              <w:overflowPunct/>
              <w:topLinePunct w:val="0"/>
              <w:bidi w:val="0"/>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5分</w:t>
            </w:r>
          </w:p>
        </w:tc>
      </w:tr>
      <w:tr w14:paraId="5384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trPr>
        <w:tc>
          <w:tcPr>
            <w:tcW w:w="456" w:type="dxa"/>
            <w:noWrap w:val="0"/>
            <w:vAlign w:val="center"/>
          </w:tcPr>
          <w:p w14:paraId="02CE76EA">
            <w:pPr>
              <w:pageBreakBefore w:val="0"/>
              <w:kinsoku/>
              <w:wordWrap/>
              <w:overflowPunct/>
              <w:topLinePunct w:val="0"/>
              <w:bidi w:val="0"/>
              <w:spacing w:line="400" w:lineRule="exact"/>
              <w:jc w:val="center"/>
              <w:rPr>
                <w:rFonts w:hint="eastAsia" w:ascii="宋体" w:hAnsi="宋体" w:eastAsia="宋体" w:cs="宋体"/>
                <w:color w:val="000000"/>
                <w:kern w:val="2"/>
                <w:sz w:val="24"/>
                <w:szCs w:val="24"/>
                <w:lang w:val="en-US" w:eastAsia="zh-CN" w:bidi="ar-SA"/>
              </w:rPr>
            </w:pPr>
          </w:p>
          <w:p w14:paraId="673E6DD1">
            <w:pPr>
              <w:pageBreakBefore w:val="0"/>
              <w:kinsoku/>
              <w:wordWrap/>
              <w:overflowPunct/>
              <w:topLinePunct w:val="0"/>
              <w:bidi w:val="0"/>
              <w:spacing w:line="400" w:lineRule="exact"/>
              <w:jc w:val="center"/>
              <w:rPr>
                <w:rFonts w:hint="eastAsia" w:ascii="宋体" w:hAnsi="宋体" w:eastAsia="宋体" w:cs="宋体"/>
                <w:color w:val="000000"/>
                <w:kern w:val="2"/>
                <w:sz w:val="24"/>
                <w:szCs w:val="24"/>
                <w:lang w:val="en-US" w:eastAsia="zh-CN" w:bidi="ar-SA"/>
              </w:rPr>
            </w:pPr>
          </w:p>
          <w:p w14:paraId="09CC5948">
            <w:pPr>
              <w:pageBreakBefore w:val="0"/>
              <w:kinsoku/>
              <w:wordWrap/>
              <w:overflowPunct/>
              <w:topLinePunct w:val="0"/>
              <w:bidi w:val="0"/>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13</w:t>
            </w:r>
          </w:p>
          <w:p w14:paraId="42895B3F">
            <w:pPr>
              <w:pageBreakBefore w:val="0"/>
              <w:kinsoku/>
              <w:wordWrap/>
              <w:overflowPunct/>
              <w:topLinePunct w:val="0"/>
              <w:bidi w:val="0"/>
              <w:spacing w:line="400" w:lineRule="exact"/>
              <w:jc w:val="center"/>
              <w:rPr>
                <w:rFonts w:hint="default" w:ascii="宋体" w:hAnsi="宋体" w:eastAsia="宋体" w:cs="宋体"/>
                <w:color w:val="000000"/>
                <w:kern w:val="2"/>
                <w:sz w:val="24"/>
                <w:szCs w:val="24"/>
                <w:lang w:val="en-US" w:eastAsia="zh-CN" w:bidi="ar-SA"/>
              </w:rPr>
            </w:pPr>
          </w:p>
        </w:tc>
        <w:tc>
          <w:tcPr>
            <w:tcW w:w="1027" w:type="dxa"/>
            <w:noWrap w:val="0"/>
            <w:vAlign w:val="top"/>
          </w:tcPr>
          <w:p w14:paraId="015125BA">
            <w:pPr>
              <w:pageBreakBefore w:val="0"/>
              <w:kinsoku/>
              <w:wordWrap/>
              <w:overflowPunct/>
              <w:topLinePunct w:val="0"/>
              <w:bidi w:val="0"/>
              <w:spacing w:line="400" w:lineRule="exact"/>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服务保障承诺</w:t>
            </w:r>
          </w:p>
        </w:tc>
        <w:tc>
          <w:tcPr>
            <w:tcW w:w="5762" w:type="dxa"/>
            <w:noWrap w:val="0"/>
            <w:vAlign w:val="top"/>
          </w:tcPr>
          <w:p w14:paraId="12DB3EAC">
            <w:pPr>
              <w:pageBreakBefore w:val="0"/>
              <w:kinsoku/>
              <w:wordWrap/>
              <w:overflowPunct/>
              <w:topLinePunct w:val="0"/>
              <w:bidi w:val="0"/>
              <w:spacing w:line="400" w:lineRule="exact"/>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13、</w:t>
            </w:r>
            <w:r>
              <w:rPr>
                <w:rFonts w:hint="eastAsia" w:ascii="宋体" w:hAnsi="宋体" w:eastAsia="宋体" w:cs="宋体"/>
                <w:color w:val="000000"/>
                <w:kern w:val="2"/>
                <w:sz w:val="24"/>
                <w:szCs w:val="24"/>
                <w:lang w:val="en-US" w:eastAsia="zh-CN" w:bidi="ar-SA"/>
              </w:rPr>
              <w:t>根据供应商针对本项目提供各项服务承诺（服务机制、服务承诺、建设性承诺、合理化建议等）的进行综合评定。内容科学性、合理性、规范性，描述全面详细的得6分；内容科学性、合理性、规范性，描述较为全面详细的得4分；内容科学性、合理性、规范性，描述不全面或不详细的得2分；内容描述欠缺科学性、合理性、规范性的得1分；未提供或完全不符的0分。（0-</w:t>
            </w:r>
            <w:r>
              <w:rPr>
                <w:rFonts w:hint="default" w:ascii="宋体" w:hAnsi="宋体" w:eastAsia="宋体" w:cs="宋体"/>
                <w:color w:val="000000"/>
                <w:kern w:val="2"/>
                <w:sz w:val="24"/>
                <w:szCs w:val="24"/>
                <w:lang w:val="en-US" w:eastAsia="zh-CN" w:bidi="ar-SA"/>
              </w:rPr>
              <w:t>6</w:t>
            </w:r>
            <w:r>
              <w:rPr>
                <w:rFonts w:hint="eastAsia" w:ascii="宋体" w:hAnsi="宋体" w:eastAsia="宋体" w:cs="宋体"/>
                <w:color w:val="000000"/>
                <w:kern w:val="2"/>
                <w:sz w:val="24"/>
                <w:szCs w:val="24"/>
                <w:lang w:val="en-US" w:eastAsia="zh-CN" w:bidi="ar-SA"/>
              </w:rPr>
              <w:t>分）。</w:t>
            </w:r>
          </w:p>
        </w:tc>
        <w:tc>
          <w:tcPr>
            <w:tcW w:w="1250" w:type="dxa"/>
            <w:noWrap w:val="0"/>
            <w:vAlign w:val="center"/>
          </w:tcPr>
          <w:p w14:paraId="47D7CA81">
            <w:pPr>
              <w:pageBreakBefore w:val="0"/>
              <w:kinsoku/>
              <w:wordWrap/>
              <w:overflowPunct/>
              <w:topLinePunct w:val="0"/>
              <w:bidi w:val="0"/>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6分</w:t>
            </w:r>
          </w:p>
        </w:tc>
      </w:tr>
      <w:tr w14:paraId="0DC8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56" w:type="dxa"/>
            <w:vMerge w:val="restart"/>
            <w:noWrap w:val="0"/>
            <w:vAlign w:val="center"/>
          </w:tcPr>
          <w:p w14:paraId="28B10075">
            <w:pPr>
              <w:pageBreakBefore w:val="0"/>
              <w:kinsoku/>
              <w:wordWrap/>
              <w:overflowPunct/>
              <w:topLinePunct w:val="0"/>
              <w:bidi w:val="0"/>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14</w:t>
            </w:r>
          </w:p>
        </w:tc>
        <w:tc>
          <w:tcPr>
            <w:tcW w:w="1027" w:type="dxa"/>
            <w:vMerge w:val="restart"/>
            <w:noWrap w:val="0"/>
            <w:vAlign w:val="top"/>
          </w:tcPr>
          <w:p w14:paraId="71248F7F">
            <w:pPr>
              <w:pageBreakBefore w:val="0"/>
              <w:kinsoku/>
              <w:wordWrap/>
              <w:overflowPunct/>
              <w:topLinePunct w:val="0"/>
              <w:bidi w:val="0"/>
              <w:spacing w:line="400" w:lineRule="exact"/>
              <w:rPr>
                <w:rFonts w:hint="eastAsia" w:ascii="宋体" w:hAnsi="宋体" w:eastAsia="宋体" w:cs="宋体"/>
                <w:color w:val="000000"/>
                <w:kern w:val="2"/>
                <w:sz w:val="24"/>
                <w:szCs w:val="24"/>
                <w:lang w:val="en-US" w:eastAsia="zh-CN" w:bidi="ar-SA"/>
              </w:rPr>
            </w:pPr>
          </w:p>
          <w:p w14:paraId="79CEA82F">
            <w:pPr>
              <w:pageBreakBefore w:val="0"/>
              <w:kinsoku/>
              <w:wordWrap/>
              <w:overflowPunct/>
              <w:topLinePunct w:val="0"/>
              <w:bidi w:val="0"/>
              <w:spacing w:line="400" w:lineRule="exact"/>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服务团队</w:t>
            </w:r>
            <w:r>
              <w:rPr>
                <w:rFonts w:hint="eastAsia" w:ascii="宋体" w:hAnsi="宋体" w:cs="宋体"/>
                <w:color w:val="000000"/>
                <w:kern w:val="2"/>
                <w:sz w:val="24"/>
                <w:szCs w:val="24"/>
                <w:lang w:val="en-US" w:eastAsia="zh-CN" w:bidi="ar-SA"/>
              </w:rPr>
              <w:t>能力</w:t>
            </w:r>
          </w:p>
        </w:tc>
        <w:tc>
          <w:tcPr>
            <w:tcW w:w="5762" w:type="dxa"/>
            <w:noWrap w:val="0"/>
            <w:vAlign w:val="top"/>
          </w:tcPr>
          <w:p w14:paraId="0B4A8FA3">
            <w:pPr>
              <w:pageBreakBefore w:val="0"/>
              <w:kinsoku/>
              <w:wordWrap/>
              <w:overflowPunct/>
              <w:topLinePunct w:val="0"/>
              <w:bidi w:val="0"/>
              <w:spacing w:line="400" w:lineRule="exact"/>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14、</w:t>
            </w:r>
            <w:r>
              <w:rPr>
                <w:rFonts w:hint="eastAsia" w:ascii="宋体" w:hAnsi="宋体" w:eastAsia="宋体" w:cs="宋体"/>
                <w:color w:val="000000"/>
                <w:kern w:val="2"/>
                <w:sz w:val="24"/>
                <w:szCs w:val="24"/>
                <w:lang w:val="en-US" w:eastAsia="zh-CN" w:bidi="ar-SA"/>
              </w:rPr>
              <w:t>针对本项目特征对拟派师资、管理、服务等各类人员配比的合理性、科学性进行综合评定：</w:t>
            </w:r>
          </w:p>
          <w:p w14:paraId="7406275C">
            <w:pPr>
              <w:pageBreakBefore w:val="0"/>
              <w:kinsoku/>
              <w:wordWrap/>
              <w:overflowPunct/>
              <w:topLinePunct w:val="0"/>
              <w:bidi w:val="0"/>
              <w:spacing w:line="400" w:lineRule="exac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拟派师资：</w:t>
            </w:r>
          </w:p>
          <w:p w14:paraId="2C6A7CB4">
            <w:pPr>
              <w:pageBreakBefore w:val="0"/>
              <w:kinsoku/>
              <w:wordWrap/>
              <w:overflowPunct/>
              <w:topLinePunct w:val="0"/>
              <w:bidi w:val="0"/>
              <w:spacing w:line="40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每提供1个一级社会体育指导员证书或一级教练员证或教师资格证（中级）得1分，</w:t>
            </w:r>
          </w:p>
          <w:p w14:paraId="7F51FB72">
            <w:pPr>
              <w:pageBreakBefore w:val="0"/>
              <w:kinsoku/>
              <w:wordWrap/>
              <w:overflowPunct/>
              <w:topLinePunct w:val="0"/>
              <w:bidi w:val="0"/>
              <w:spacing w:line="40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每提供1个国家级社会体育指导员或国家级教练员证或教师资格证（高级）得</w:t>
            </w:r>
            <w:r>
              <w:rPr>
                <w:rFonts w:hint="eastAsia" w:ascii="宋体" w:hAnsi="宋体" w:cs="宋体"/>
                <w:color w:val="000000"/>
                <w:kern w:val="2"/>
                <w:sz w:val="24"/>
                <w:szCs w:val="24"/>
                <w:highlight w:val="none"/>
                <w:lang w:val="en-US" w:eastAsia="zh-CN" w:bidi="ar-SA"/>
              </w:rPr>
              <w:t>2</w:t>
            </w:r>
            <w:r>
              <w:rPr>
                <w:rFonts w:hint="eastAsia" w:ascii="宋体" w:hAnsi="宋体" w:eastAsia="宋体" w:cs="宋体"/>
                <w:color w:val="000000"/>
                <w:kern w:val="2"/>
                <w:sz w:val="24"/>
                <w:szCs w:val="24"/>
                <w:highlight w:val="none"/>
                <w:lang w:val="en-US" w:eastAsia="zh-CN" w:bidi="ar-SA"/>
              </w:rPr>
              <w:t>分；</w:t>
            </w:r>
          </w:p>
          <w:p w14:paraId="6444BCAA">
            <w:pPr>
              <w:pageBreakBefore w:val="0"/>
              <w:kinsoku/>
              <w:wordWrap/>
              <w:overflowPunct/>
              <w:topLinePunct w:val="0"/>
              <w:bidi w:val="0"/>
              <w:spacing w:line="40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本项最高得</w:t>
            </w:r>
            <w:r>
              <w:rPr>
                <w:rFonts w:hint="eastAsia" w:ascii="宋体" w:hAnsi="宋体" w:cs="宋体"/>
                <w:color w:val="000000"/>
                <w:kern w:val="2"/>
                <w:sz w:val="24"/>
                <w:szCs w:val="24"/>
                <w:highlight w:val="none"/>
                <w:lang w:val="en-US" w:eastAsia="zh-CN" w:bidi="ar-SA"/>
              </w:rPr>
              <w:t>3</w:t>
            </w:r>
            <w:r>
              <w:rPr>
                <w:rFonts w:hint="eastAsia" w:ascii="宋体" w:hAnsi="宋体" w:eastAsia="宋体" w:cs="宋体"/>
                <w:color w:val="000000"/>
                <w:kern w:val="2"/>
                <w:sz w:val="24"/>
                <w:szCs w:val="24"/>
                <w:highlight w:val="none"/>
                <w:lang w:val="en-US" w:eastAsia="zh-CN" w:bidi="ar-SA"/>
              </w:rPr>
              <w:t>分。（</w:t>
            </w:r>
            <w:r>
              <w:rPr>
                <w:rFonts w:hint="eastAsia" w:ascii="宋体" w:hAnsi="宋体" w:cs="宋体"/>
                <w:color w:val="000000"/>
                <w:kern w:val="2"/>
                <w:sz w:val="24"/>
                <w:szCs w:val="24"/>
                <w:highlight w:val="none"/>
                <w:lang w:val="en-US" w:eastAsia="zh-CN" w:bidi="ar-SA"/>
              </w:rPr>
              <w:t>0-3</w:t>
            </w:r>
            <w:r>
              <w:rPr>
                <w:rFonts w:hint="eastAsia" w:ascii="宋体" w:hAnsi="宋体" w:eastAsia="宋体" w:cs="宋体"/>
                <w:color w:val="000000"/>
                <w:kern w:val="2"/>
                <w:sz w:val="24"/>
                <w:szCs w:val="24"/>
                <w:highlight w:val="none"/>
                <w:lang w:val="en-US" w:eastAsia="zh-CN" w:bidi="ar-SA"/>
              </w:rPr>
              <w:t>分）</w:t>
            </w:r>
          </w:p>
          <w:p w14:paraId="6A502EE2">
            <w:pPr>
              <w:pageBreakBefore w:val="0"/>
              <w:kinsoku/>
              <w:wordWrap/>
              <w:overflowPunct/>
              <w:topLinePunct w:val="0"/>
              <w:bidi w:val="0"/>
              <w:spacing w:line="400" w:lineRule="exac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Hans" w:bidi="ar-SA"/>
              </w:rPr>
              <w:t>（</w:t>
            </w:r>
            <w:r>
              <w:rPr>
                <w:rFonts w:hint="eastAsia" w:ascii="宋体" w:hAnsi="宋体" w:eastAsia="宋体" w:cs="宋体"/>
                <w:color w:val="000000"/>
                <w:kern w:val="2"/>
                <w:sz w:val="24"/>
                <w:szCs w:val="24"/>
                <w:lang w:val="en-US" w:eastAsia="zh-CN" w:bidi="ar-SA"/>
              </w:rPr>
              <w:t>需提供相应的证书扫描件或复印件加盖公章，否则不得分。选派师资需提供人员在投标单位2025年</w:t>
            </w:r>
            <w:r>
              <w:rPr>
                <w:rFonts w:hint="eastAsia" w:ascii="宋体" w:hAnsi="宋体" w:cs="宋体"/>
                <w:color w:val="000000"/>
                <w:kern w:val="2"/>
                <w:sz w:val="24"/>
                <w:szCs w:val="24"/>
                <w:lang w:val="en-US" w:eastAsia="zh-CN" w:bidi="ar-SA"/>
              </w:rPr>
              <w:t>3</w:t>
            </w:r>
            <w:r>
              <w:rPr>
                <w:rFonts w:hint="eastAsia" w:ascii="宋体" w:hAnsi="宋体" w:eastAsia="宋体" w:cs="宋体"/>
                <w:color w:val="000000"/>
                <w:kern w:val="2"/>
                <w:sz w:val="24"/>
                <w:szCs w:val="24"/>
                <w:lang w:val="en-US" w:eastAsia="zh-CN" w:bidi="ar-SA"/>
              </w:rPr>
              <w:t>月至</w:t>
            </w:r>
            <w:r>
              <w:rPr>
                <w:rFonts w:hint="eastAsia" w:ascii="宋体" w:hAnsi="宋体" w:cs="宋体"/>
                <w:color w:val="000000"/>
                <w:kern w:val="2"/>
                <w:sz w:val="24"/>
                <w:szCs w:val="24"/>
                <w:lang w:val="en-US" w:eastAsia="zh-CN" w:bidi="ar-SA"/>
              </w:rPr>
              <w:t>5</w:t>
            </w:r>
            <w:r>
              <w:rPr>
                <w:rFonts w:hint="eastAsia" w:ascii="宋体" w:hAnsi="宋体" w:eastAsia="宋体" w:cs="宋体"/>
                <w:color w:val="000000"/>
                <w:kern w:val="2"/>
                <w:sz w:val="24"/>
                <w:szCs w:val="24"/>
                <w:lang w:val="en-US" w:eastAsia="zh-CN" w:bidi="ar-SA"/>
              </w:rPr>
              <w:t>月任意一月社保在职证明并加盖公章，不提供者不得分</w:t>
            </w:r>
            <w:r>
              <w:rPr>
                <w:rFonts w:hint="eastAsia" w:ascii="宋体" w:hAnsi="宋体" w:eastAsia="宋体" w:cs="宋体"/>
                <w:color w:val="000000"/>
                <w:kern w:val="2"/>
                <w:sz w:val="24"/>
                <w:szCs w:val="24"/>
                <w:lang w:val="en-US" w:eastAsia="zh-Hans" w:bidi="ar-SA"/>
              </w:rPr>
              <w:t>）</w:t>
            </w:r>
          </w:p>
        </w:tc>
        <w:tc>
          <w:tcPr>
            <w:tcW w:w="1250" w:type="dxa"/>
            <w:noWrap w:val="0"/>
            <w:vAlign w:val="center"/>
          </w:tcPr>
          <w:p w14:paraId="070A1825">
            <w:pPr>
              <w:pageBreakBefore w:val="0"/>
              <w:kinsoku/>
              <w:wordWrap/>
              <w:overflowPunct/>
              <w:topLinePunct w:val="0"/>
              <w:bidi w:val="0"/>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3分（客观）</w:t>
            </w:r>
          </w:p>
        </w:tc>
      </w:tr>
      <w:tr w14:paraId="53A0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456" w:type="dxa"/>
            <w:vMerge w:val="continue"/>
            <w:noWrap w:val="0"/>
            <w:vAlign w:val="center"/>
          </w:tcPr>
          <w:p w14:paraId="12DCE79E">
            <w:pPr>
              <w:pageBreakBefore w:val="0"/>
              <w:kinsoku/>
              <w:wordWrap/>
              <w:overflowPunct/>
              <w:topLinePunct w:val="0"/>
              <w:bidi w:val="0"/>
              <w:spacing w:line="400" w:lineRule="exact"/>
              <w:jc w:val="center"/>
              <w:rPr>
                <w:rFonts w:hint="default" w:ascii="宋体" w:hAnsi="宋体" w:eastAsia="宋体" w:cs="宋体"/>
                <w:color w:val="000000"/>
                <w:kern w:val="2"/>
                <w:sz w:val="24"/>
                <w:szCs w:val="24"/>
                <w:lang w:val="en-US" w:eastAsia="zh-CN" w:bidi="ar-SA"/>
              </w:rPr>
            </w:pPr>
          </w:p>
        </w:tc>
        <w:tc>
          <w:tcPr>
            <w:tcW w:w="1027" w:type="dxa"/>
            <w:vMerge w:val="continue"/>
            <w:noWrap w:val="0"/>
            <w:vAlign w:val="center"/>
          </w:tcPr>
          <w:p w14:paraId="375938DF">
            <w:pPr>
              <w:pageBreakBefore w:val="0"/>
              <w:kinsoku/>
              <w:wordWrap/>
              <w:overflowPunct/>
              <w:topLinePunct w:val="0"/>
              <w:bidi w:val="0"/>
              <w:spacing w:line="400" w:lineRule="exact"/>
              <w:rPr>
                <w:rFonts w:hint="eastAsia" w:ascii="宋体" w:hAnsi="宋体" w:cs="宋体"/>
                <w:color w:val="000000"/>
                <w:kern w:val="2"/>
                <w:sz w:val="24"/>
                <w:szCs w:val="24"/>
                <w:lang w:val="en-US" w:eastAsia="zh-CN" w:bidi="ar-SA"/>
              </w:rPr>
            </w:pPr>
          </w:p>
        </w:tc>
        <w:tc>
          <w:tcPr>
            <w:tcW w:w="5762" w:type="dxa"/>
            <w:noWrap w:val="0"/>
            <w:vAlign w:val="center"/>
          </w:tcPr>
          <w:p w14:paraId="7745F329">
            <w:pPr>
              <w:pageBreakBefore w:val="0"/>
              <w:kinsoku/>
              <w:wordWrap/>
              <w:overflowPunct/>
              <w:topLinePunct w:val="0"/>
              <w:bidi w:val="0"/>
              <w:spacing w:line="400" w:lineRule="exact"/>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15</w:t>
            </w:r>
            <w:r>
              <w:rPr>
                <w:rFonts w:hint="eastAsia" w:ascii="宋体" w:hAnsi="宋体" w:eastAsia="宋体" w:cs="宋体"/>
                <w:color w:val="000000"/>
                <w:kern w:val="2"/>
                <w:sz w:val="24"/>
                <w:szCs w:val="24"/>
                <w:lang w:val="en-US" w:eastAsia="zh-CN" w:bidi="ar-SA"/>
              </w:rPr>
              <w:t>、师资团队获奖情况：</w:t>
            </w:r>
            <w:r>
              <w:rPr>
                <w:rFonts w:hint="eastAsia" w:ascii="宋体" w:hAnsi="宋体" w:cs="宋体"/>
                <w:color w:val="000000"/>
                <w:kern w:val="2"/>
                <w:sz w:val="24"/>
                <w:szCs w:val="24"/>
                <w:lang w:val="en-US" w:eastAsia="zh-CN" w:bidi="ar-SA"/>
              </w:rPr>
              <w:t>拟派师资</w:t>
            </w:r>
            <w:r>
              <w:rPr>
                <w:rFonts w:hint="eastAsia" w:ascii="宋体" w:hAnsi="宋体" w:eastAsia="宋体" w:cs="宋体"/>
                <w:color w:val="000000"/>
                <w:kern w:val="2"/>
                <w:sz w:val="24"/>
                <w:szCs w:val="24"/>
                <w:lang w:val="en-US" w:eastAsia="zh-CN" w:bidi="ar-SA"/>
              </w:rPr>
              <w:t>获得过</w:t>
            </w:r>
            <w:r>
              <w:rPr>
                <w:rFonts w:hint="eastAsia" w:ascii="宋体" w:hAnsi="宋体" w:cs="宋体"/>
                <w:color w:val="000000"/>
                <w:kern w:val="2"/>
                <w:sz w:val="24"/>
                <w:szCs w:val="24"/>
                <w:lang w:val="en-US" w:eastAsia="zh-CN" w:bidi="ar-SA"/>
              </w:rPr>
              <w:t>省级及以上</w:t>
            </w:r>
            <w:r>
              <w:rPr>
                <w:rFonts w:hint="eastAsia" w:ascii="宋体" w:hAnsi="宋体" w:eastAsia="宋体" w:cs="宋体"/>
                <w:color w:val="000000"/>
                <w:kern w:val="2"/>
                <w:sz w:val="24"/>
                <w:szCs w:val="24"/>
                <w:lang w:val="en-US" w:eastAsia="zh-CN" w:bidi="ar-SA"/>
              </w:rPr>
              <w:t>政府职能部门或</w:t>
            </w:r>
            <w:r>
              <w:rPr>
                <w:rFonts w:hint="eastAsia" w:ascii="宋体" w:hAnsi="宋体" w:cs="宋体"/>
                <w:color w:val="000000"/>
                <w:kern w:val="2"/>
                <w:sz w:val="24"/>
                <w:szCs w:val="24"/>
                <w:lang w:val="en-US" w:eastAsia="zh-CN" w:bidi="ar-SA"/>
              </w:rPr>
              <w:t>省级及以上</w:t>
            </w:r>
            <w:r>
              <w:rPr>
                <w:rFonts w:hint="eastAsia" w:ascii="宋体" w:hAnsi="宋体" w:eastAsia="宋体" w:cs="宋体"/>
                <w:color w:val="000000"/>
                <w:kern w:val="2"/>
                <w:sz w:val="24"/>
                <w:szCs w:val="24"/>
                <w:lang w:val="en-US" w:eastAsia="zh-CN" w:bidi="ar-SA"/>
              </w:rPr>
              <w:t>行业协会颁发的荣誉称号的每个得2分；需提供</w:t>
            </w:r>
            <w:r>
              <w:rPr>
                <w:rFonts w:hint="eastAsia" w:ascii="宋体" w:hAnsi="宋体" w:eastAsia="宋体" w:cs="宋体"/>
                <w:color w:val="000000"/>
                <w:kern w:val="2"/>
                <w:sz w:val="24"/>
                <w:szCs w:val="24"/>
                <w:lang w:val="en-US" w:eastAsia="zh-Hans" w:bidi="ar-SA"/>
              </w:rPr>
              <w:t>相关证明材料</w:t>
            </w:r>
            <w:r>
              <w:rPr>
                <w:rFonts w:hint="eastAsia" w:ascii="宋体" w:hAnsi="宋体" w:cs="宋体"/>
                <w:color w:val="000000"/>
                <w:kern w:val="2"/>
                <w:sz w:val="24"/>
                <w:szCs w:val="24"/>
                <w:lang w:val="en-US" w:eastAsia="zh-CN" w:bidi="ar-SA"/>
              </w:rPr>
              <w:t>并</w:t>
            </w:r>
            <w:r>
              <w:rPr>
                <w:rFonts w:hint="eastAsia" w:ascii="宋体" w:hAnsi="宋体" w:eastAsia="宋体" w:cs="宋体"/>
                <w:color w:val="000000"/>
                <w:kern w:val="2"/>
                <w:sz w:val="24"/>
                <w:szCs w:val="24"/>
                <w:lang w:val="en-US" w:eastAsia="zh-CN" w:bidi="ar-SA"/>
              </w:rPr>
              <w:t>加盖公章。最高</w:t>
            </w:r>
            <w:r>
              <w:rPr>
                <w:rFonts w:hint="eastAsia" w:ascii="宋体" w:hAnsi="宋体" w:cs="宋体"/>
                <w:color w:val="000000"/>
                <w:kern w:val="2"/>
                <w:sz w:val="24"/>
                <w:szCs w:val="24"/>
                <w:lang w:val="en-US" w:eastAsia="zh-CN" w:bidi="ar-SA"/>
              </w:rPr>
              <w:t>2</w:t>
            </w:r>
            <w:r>
              <w:rPr>
                <w:rFonts w:hint="eastAsia" w:ascii="宋体" w:hAnsi="宋体" w:eastAsia="宋体" w:cs="宋体"/>
                <w:color w:val="000000"/>
                <w:kern w:val="2"/>
                <w:sz w:val="24"/>
                <w:szCs w:val="24"/>
                <w:lang w:val="en-US" w:eastAsia="zh-CN" w:bidi="ar-SA"/>
              </w:rPr>
              <w:t>分（需提供人员在投标单位2025年</w:t>
            </w:r>
            <w:r>
              <w:rPr>
                <w:rFonts w:hint="eastAsia" w:ascii="宋体" w:hAnsi="宋体" w:cs="宋体"/>
                <w:color w:val="000000"/>
                <w:kern w:val="2"/>
                <w:sz w:val="24"/>
                <w:szCs w:val="24"/>
                <w:lang w:val="en-US" w:eastAsia="zh-CN" w:bidi="ar-SA"/>
              </w:rPr>
              <w:t>3</w:t>
            </w:r>
            <w:r>
              <w:rPr>
                <w:rFonts w:hint="eastAsia" w:ascii="宋体" w:hAnsi="宋体" w:eastAsia="宋体" w:cs="宋体"/>
                <w:color w:val="000000"/>
                <w:kern w:val="2"/>
                <w:sz w:val="24"/>
                <w:szCs w:val="24"/>
                <w:lang w:val="en-US" w:eastAsia="zh-CN" w:bidi="ar-SA"/>
              </w:rPr>
              <w:t>月至</w:t>
            </w:r>
            <w:r>
              <w:rPr>
                <w:rFonts w:hint="eastAsia" w:ascii="宋体" w:hAnsi="宋体" w:cs="宋体"/>
                <w:color w:val="000000"/>
                <w:kern w:val="2"/>
                <w:sz w:val="24"/>
                <w:szCs w:val="24"/>
                <w:lang w:val="en-US" w:eastAsia="zh-CN" w:bidi="ar-SA"/>
              </w:rPr>
              <w:t>5</w:t>
            </w:r>
            <w:r>
              <w:rPr>
                <w:rFonts w:hint="eastAsia" w:ascii="宋体" w:hAnsi="宋体" w:eastAsia="宋体" w:cs="宋体"/>
                <w:color w:val="000000"/>
                <w:kern w:val="2"/>
                <w:sz w:val="24"/>
                <w:szCs w:val="24"/>
                <w:lang w:val="en-US" w:eastAsia="zh-CN" w:bidi="ar-SA"/>
              </w:rPr>
              <w:t>月任意一月社保在职证明并加盖公章，不提供者不得分）</w:t>
            </w:r>
          </w:p>
        </w:tc>
        <w:tc>
          <w:tcPr>
            <w:tcW w:w="1250" w:type="dxa"/>
            <w:noWrap w:val="0"/>
            <w:vAlign w:val="center"/>
          </w:tcPr>
          <w:p w14:paraId="533959FB">
            <w:pPr>
              <w:pageBreakBefore w:val="0"/>
              <w:kinsoku/>
              <w:wordWrap/>
              <w:overflowPunct/>
              <w:topLinePunct w:val="0"/>
              <w:bidi w:val="0"/>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2分（客观）</w:t>
            </w:r>
          </w:p>
        </w:tc>
      </w:tr>
      <w:tr w14:paraId="20F5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56" w:type="dxa"/>
            <w:noWrap w:val="0"/>
            <w:vAlign w:val="center"/>
          </w:tcPr>
          <w:p w14:paraId="1A38DB68">
            <w:pPr>
              <w:pageBreakBefore w:val="0"/>
              <w:kinsoku/>
              <w:wordWrap/>
              <w:overflowPunct/>
              <w:topLinePunct w:val="0"/>
              <w:bidi w:val="0"/>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15</w:t>
            </w:r>
          </w:p>
        </w:tc>
        <w:tc>
          <w:tcPr>
            <w:tcW w:w="1027" w:type="dxa"/>
            <w:noWrap w:val="0"/>
            <w:vAlign w:val="center"/>
          </w:tcPr>
          <w:p w14:paraId="5C2A3C0D">
            <w:pPr>
              <w:pageBreakBefore w:val="0"/>
              <w:kinsoku/>
              <w:wordWrap/>
              <w:overflowPunct/>
              <w:topLinePunct w:val="0"/>
              <w:bidi w:val="0"/>
              <w:spacing w:line="400" w:lineRule="exact"/>
              <w:rPr>
                <w:rFonts w:hint="eastAsia" w:ascii="宋体" w:hAnsi="宋体" w:eastAsia="宋体" w:cs="宋体"/>
                <w:color w:val="000000"/>
                <w:kern w:val="2"/>
                <w:sz w:val="24"/>
                <w:szCs w:val="24"/>
                <w:lang w:val="en-US" w:eastAsia="zh-Hans" w:bidi="ar-SA"/>
              </w:rPr>
            </w:pPr>
            <w:r>
              <w:rPr>
                <w:rFonts w:hint="eastAsia" w:ascii="宋体" w:hAnsi="宋体" w:eastAsia="宋体" w:cs="宋体"/>
                <w:color w:val="000000"/>
                <w:kern w:val="2"/>
                <w:sz w:val="24"/>
                <w:szCs w:val="24"/>
                <w:lang w:val="en-US" w:eastAsia="zh-Hans" w:bidi="ar-SA"/>
              </w:rPr>
              <w:t>企业业绩</w:t>
            </w:r>
          </w:p>
          <w:p w14:paraId="1864CABC">
            <w:pPr>
              <w:pageBreakBefore w:val="0"/>
              <w:kinsoku/>
              <w:wordWrap/>
              <w:overflowPunct/>
              <w:topLinePunct w:val="0"/>
              <w:bidi w:val="0"/>
              <w:spacing w:line="400" w:lineRule="exact"/>
              <w:rPr>
                <w:rFonts w:hint="default" w:ascii="宋体" w:hAnsi="宋体" w:eastAsia="宋体" w:cs="宋体"/>
                <w:color w:val="000000"/>
                <w:kern w:val="2"/>
                <w:sz w:val="24"/>
                <w:szCs w:val="24"/>
                <w:lang w:val="en-US" w:eastAsia="zh-CN" w:bidi="ar-SA"/>
              </w:rPr>
            </w:pPr>
          </w:p>
        </w:tc>
        <w:tc>
          <w:tcPr>
            <w:tcW w:w="5762" w:type="dxa"/>
            <w:noWrap w:val="0"/>
            <w:vAlign w:val="center"/>
          </w:tcPr>
          <w:p w14:paraId="28877B12">
            <w:pPr>
              <w:pageBreakBefore w:val="0"/>
              <w:kinsoku/>
              <w:wordWrap/>
              <w:overflowPunct/>
              <w:topLinePunct w:val="0"/>
              <w:bidi w:val="0"/>
              <w:spacing w:line="400" w:lineRule="exact"/>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16、</w:t>
            </w:r>
            <w:r>
              <w:rPr>
                <w:rFonts w:hint="eastAsia" w:ascii="宋体" w:hAnsi="宋体" w:eastAsia="宋体" w:cs="宋体"/>
                <w:color w:val="000000"/>
                <w:kern w:val="2"/>
                <w:sz w:val="24"/>
                <w:szCs w:val="24"/>
                <w:lang w:val="en-US" w:eastAsia="zh-CN" w:bidi="ar-SA"/>
              </w:rPr>
              <w:t>自20</w:t>
            </w:r>
            <w:r>
              <w:rPr>
                <w:rFonts w:hint="default" w:ascii="宋体" w:hAnsi="宋体" w:eastAsia="宋体" w:cs="宋体"/>
                <w:color w:val="000000"/>
                <w:kern w:val="2"/>
                <w:sz w:val="24"/>
                <w:szCs w:val="24"/>
                <w:lang w:val="en-US" w:eastAsia="zh-CN" w:bidi="ar-SA"/>
              </w:rPr>
              <w:t>21</w:t>
            </w:r>
            <w:r>
              <w:rPr>
                <w:rFonts w:hint="eastAsia" w:ascii="宋体" w:hAnsi="宋体" w:eastAsia="宋体" w:cs="宋体"/>
                <w:color w:val="000000"/>
                <w:kern w:val="2"/>
                <w:sz w:val="24"/>
                <w:szCs w:val="24"/>
                <w:lang w:val="en-US" w:eastAsia="zh-CN" w:bidi="ar-SA"/>
              </w:rPr>
              <w:t>年1月1日至今相关同类项目的业绩，每提供一个项目业绩得0.5分，最高得1分，无类似项目不得分。</w:t>
            </w:r>
            <w:r>
              <w:rPr>
                <w:rFonts w:hint="eastAsia" w:ascii="宋体" w:hAnsi="宋体" w:eastAsia="宋体" w:cs="宋体"/>
                <w:color w:val="000000"/>
                <w:kern w:val="2"/>
                <w:sz w:val="24"/>
                <w:szCs w:val="24"/>
                <w:lang w:val="en-US" w:eastAsia="zh-Hans" w:bidi="ar-SA"/>
              </w:rPr>
              <w:t>（0-</w:t>
            </w:r>
            <w:r>
              <w:rPr>
                <w:rFonts w:hint="eastAsia" w:ascii="宋体" w:hAnsi="宋体" w:eastAsia="宋体" w:cs="宋体"/>
                <w:color w:val="000000"/>
                <w:kern w:val="2"/>
                <w:sz w:val="24"/>
                <w:szCs w:val="24"/>
                <w:lang w:val="en-US" w:eastAsia="zh-CN" w:bidi="ar-SA"/>
              </w:rPr>
              <w:t>1</w:t>
            </w:r>
            <w:r>
              <w:rPr>
                <w:rFonts w:hint="eastAsia" w:ascii="宋体" w:hAnsi="宋体" w:eastAsia="宋体" w:cs="宋体"/>
                <w:color w:val="000000"/>
                <w:kern w:val="2"/>
                <w:sz w:val="24"/>
                <w:szCs w:val="24"/>
                <w:lang w:val="en-US" w:eastAsia="zh-Hans" w:bidi="ar-SA"/>
              </w:rPr>
              <w:t>分）</w:t>
            </w:r>
          </w:p>
          <w:p w14:paraId="1663D2A0">
            <w:pPr>
              <w:pageBreakBefore w:val="0"/>
              <w:kinsoku/>
              <w:wordWrap/>
              <w:overflowPunct/>
              <w:topLinePunct w:val="0"/>
              <w:bidi w:val="0"/>
              <w:spacing w:line="400" w:lineRule="exac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（需提供相关合同复印件并加盖公章</w:t>
            </w:r>
            <w:r>
              <w:rPr>
                <w:rFonts w:hint="eastAsia" w:ascii="宋体" w:hAnsi="宋体" w:eastAsia="宋体" w:cs="宋体"/>
                <w:color w:val="000000"/>
                <w:kern w:val="2"/>
                <w:sz w:val="24"/>
                <w:szCs w:val="24"/>
                <w:lang w:val="en-US" w:eastAsia="zh-Hans" w:bidi="ar-SA"/>
              </w:rPr>
              <w:t>，</w:t>
            </w:r>
            <w:r>
              <w:rPr>
                <w:rFonts w:hint="eastAsia" w:ascii="宋体" w:hAnsi="宋体" w:eastAsia="宋体" w:cs="宋体"/>
                <w:color w:val="000000"/>
                <w:kern w:val="2"/>
                <w:sz w:val="24"/>
                <w:szCs w:val="24"/>
                <w:lang w:val="en-US" w:eastAsia="zh-CN" w:bidi="ar-SA"/>
              </w:rPr>
              <w:t>否则不得分）。</w:t>
            </w:r>
          </w:p>
        </w:tc>
        <w:tc>
          <w:tcPr>
            <w:tcW w:w="1250" w:type="dxa"/>
            <w:noWrap w:val="0"/>
            <w:vAlign w:val="center"/>
          </w:tcPr>
          <w:p w14:paraId="00A9F2C0">
            <w:pPr>
              <w:pageBreakBefore w:val="0"/>
              <w:kinsoku/>
              <w:wordWrap/>
              <w:overflowPunct/>
              <w:topLinePunct w:val="0"/>
              <w:bidi w:val="0"/>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1分（客观）</w:t>
            </w:r>
          </w:p>
        </w:tc>
      </w:tr>
      <w:tr w14:paraId="63B9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7C747CB8">
            <w:pPr>
              <w:pageBreakBefore w:val="0"/>
              <w:kinsoku/>
              <w:wordWrap/>
              <w:overflowPunct/>
              <w:topLinePunct w:val="0"/>
              <w:bidi w:val="0"/>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16</w:t>
            </w:r>
          </w:p>
        </w:tc>
        <w:tc>
          <w:tcPr>
            <w:tcW w:w="1027" w:type="dxa"/>
            <w:noWrap w:val="0"/>
            <w:vAlign w:val="center"/>
          </w:tcPr>
          <w:p w14:paraId="35F2EA04">
            <w:pPr>
              <w:pageBreakBefore w:val="0"/>
              <w:kinsoku/>
              <w:wordWrap/>
              <w:overflowPunct/>
              <w:topLinePunct w:val="0"/>
              <w:bidi w:val="0"/>
              <w:spacing w:line="400" w:lineRule="exact"/>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企业荣誉</w:t>
            </w:r>
          </w:p>
        </w:tc>
        <w:tc>
          <w:tcPr>
            <w:tcW w:w="5762" w:type="dxa"/>
            <w:noWrap w:val="0"/>
            <w:vAlign w:val="center"/>
          </w:tcPr>
          <w:p w14:paraId="50BDA73D">
            <w:pPr>
              <w:pageBreakBefore w:val="0"/>
              <w:kinsoku/>
              <w:wordWrap/>
              <w:overflowPunct/>
              <w:topLinePunct w:val="0"/>
              <w:bidi w:val="0"/>
              <w:spacing w:line="400" w:lineRule="exact"/>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highlight w:val="none"/>
                <w:lang w:val="en-US" w:eastAsia="zh-CN" w:bidi="ar-SA"/>
              </w:rPr>
              <w:t>17、投标单位</w:t>
            </w:r>
            <w:r>
              <w:rPr>
                <w:rFonts w:hint="eastAsia" w:ascii="宋体" w:hAnsi="宋体" w:eastAsia="宋体" w:cs="宋体"/>
                <w:color w:val="000000"/>
                <w:kern w:val="2"/>
                <w:sz w:val="24"/>
                <w:szCs w:val="24"/>
                <w:highlight w:val="none"/>
                <w:lang w:val="en-US" w:eastAsia="zh-CN" w:bidi="ar-SA"/>
              </w:rPr>
              <w:t>2023年1月1日至今培训的人员，获得过省级及以上赛事</w:t>
            </w:r>
            <w:r>
              <w:rPr>
                <w:rFonts w:hint="eastAsia" w:ascii="宋体" w:hAnsi="宋体" w:cs="宋体"/>
                <w:color w:val="000000"/>
                <w:kern w:val="2"/>
                <w:sz w:val="24"/>
                <w:szCs w:val="24"/>
                <w:highlight w:val="none"/>
                <w:lang w:val="en-US" w:eastAsia="zh-CN" w:bidi="ar-SA"/>
              </w:rPr>
              <w:t>的每一个：</w:t>
            </w:r>
            <w:r>
              <w:rPr>
                <w:rFonts w:hint="eastAsia" w:ascii="宋体" w:hAnsi="宋体" w:eastAsia="宋体" w:cs="宋体"/>
                <w:color w:val="000000"/>
                <w:kern w:val="2"/>
                <w:sz w:val="24"/>
                <w:szCs w:val="24"/>
                <w:highlight w:val="none"/>
                <w:lang w:val="en-US" w:eastAsia="zh-CN" w:bidi="ar-SA"/>
              </w:rPr>
              <w:t>冠军得</w:t>
            </w:r>
            <w:r>
              <w:rPr>
                <w:rFonts w:hint="default" w:ascii="宋体" w:hAnsi="宋体" w:eastAsia="宋体" w:cs="宋体"/>
                <w:color w:val="000000"/>
                <w:kern w:val="2"/>
                <w:sz w:val="24"/>
                <w:szCs w:val="24"/>
                <w:highlight w:val="none"/>
                <w:lang w:val="en-US" w:eastAsia="zh-CN" w:bidi="ar-SA"/>
              </w:rPr>
              <w:t>2</w:t>
            </w:r>
            <w:r>
              <w:rPr>
                <w:rFonts w:hint="eastAsia" w:ascii="宋体" w:hAnsi="宋体" w:eastAsia="宋体" w:cs="宋体"/>
                <w:color w:val="000000"/>
                <w:kern w:val="2"/>
                <w:sz w:val="24"/>
                <w:szCs w:val="24"/>
                <w:highlight w:val="none"/>
                <w:lang w:val="en-US" w:eastAsia="zh-CN" w:bidi="ar-SA"/>
              </w:rPr>
              <w:t>分，亚军得</w:t>
            </w:r>
            <w:r>
              <w:rPr>
                <w:rFonts w:hint="default" w:ascii="宋体" w:hAnsi="宋体" w:eastAsia="宋体" w:cs="宋体"/>
                <w:color w:val="000000"/>
                <w:kern w:val="2"/>
                <w:sz w:val="24"/>
                <w:szCs w:val="24"/>
                <w:highlight w:val="none"/>
                <w:lang w:val="en-US" w:eastAsia="zh-CN" w:bidi="ar-SA"/>
              </w:rPr>
              <w:t>1</w:t>
            </w:r>
            <w:r>
              <w:rPr>
                <w:rFonts w:hint="eastAsia" w:ascii="宋体" w:hAnsi="宋体" w:eastAsia="宋体" w:cs="宋体"/>
                <w:color w:val="000000"/>
                <w:kern w:val="2"/>
                <w:sz w:val="24"/>
                <w:szCs w:val="24"/>
                <w:highlight w:val="none"/>
                <w:lang w:val="en-US" w:eastAsia="zh-CN" w:bidi="ar-SA"/>
              </w:rPr>
              <w:t>分，季军得</w:t>
            </w:r>
            <w:r>
              <w:rPr>
                <w:rFonts w:hint="default" w:ascii="宋体" w:hAnsi="宋体" w:eastAsia="宋体" w:cs="宋体"/>
                <w:color w:val="000000"/>
                <w:kern w:val="2"/>
                <w:sz w:val="24"/>
                <w:szCs w:val="24"/>
                <w:highlight w:val="none"/>
                <w:lang w:val="en-US" w:eastAsia="zh-CN" w:bidi="ar-SA"/>
              </w:rPr>
              <w:t>0.5</w:t>
            </w:r>
            <w:r>
              <w:rPr>
                <w:rFonts w:hint="eastAsia" w:ascii="宋体" w:hAnsi="宋体" w:eastAsia="宋体" w:cs="宋体"/>
                <w:color w:val="000000"/>
                <w:kern w:val="2"/>
                <w:sz w:val="24"/>
                <w:szCs w:val="24"/>
                <w:highlight w:val="none"/>
                <w:lang w:val="en-US" w:eastAsia="zh-CN" w:bidi="ar-SA"/>
              </w:rPr>
              <w:t>分；获得过市级赛事</w:t>
            </w:r>
            <w:r>
              <w:rPr>
                <w:rFonts w:hint="eastAsia" w:ascii="宋体" w:hAnsi="宋体" w:cs="宋体"/>
                <w:color w:val="000000"/>
                <w:kern w:val="2"/>
                <w:sz w:val="24"/>
                <w:szCs w:val="24"/>
                <w:highlight w:val="none"/>
                <w:lang w:val="en-US" w:eastAsia="zh-CN" w:bidi="ar-SA"/>
              </w:rPr>
              <w:t>的</w:t>
            </w:r>
            <w:r>
              <w:rPr>
                <w:rFonts w:hint="eastAsia" w:ascii="宋体" w:hAnsi="宋体" w:eastAsia="宋体" w:cs="宋体"/>
                <w:color w:val="000000"/>
                <w:kern w:val="2"/>
                <w:sz w:val="24"/>
                <w:szCs w:val="24"/>
                <w:highlight w:val="none"/>
                <w:lang w:val="en-US" w:eastAsia="zh-CN" w:bidi="ar-SA"/>
              </w:rPr>
              <w:t>冠军得</w:t>
            </w:r>
            <w:r>
              <w:rPr>
                <w:rFonts w:hint="eastAsia" w:ascii="宋体" w:hAnsi="宋体" w:cs="宋体"/>
                <w:color w:val="000000"/>
                <w:kern w:val="2"/>
                <w:sz w:val="24"/>
                <w:szCs w:val="24"/>
                <w:highlight w:val="none"/>
                <w:lang w:val="en-US" w:eastAsia="zh-CN" w:bidi="ar-SA"/>
              </w:rPr>
              <w:t>1</w:t>
            </w:r>
            <w:r>
              <w:rPr>
                <w:rFonts w:hint="eastAsia" w:ascii="宋体" w:hAnsi="宋体" w:eastAsia="宋体" w:cs="宋体"/>
                <w:color w:val="000000"/>
                <w:kern w:val="2"/>
                <w:sz w:val="24"/>
                <w:szCs w:val="24"/>
                <w:highlight w:val="none"/>
                <w:lang w:val="en-US" w:eastAsia="zh-CN" w:bidi="ar-SA"/>
              </w:rPr>
              <w:t>分</w:t>
            </w:r>
            <w:r>
              <w:rPr>
                <w:rFonts w:hint="eastAsia" w:ascii="宋体" w:hAnsi="宋体" w:cs="宋体"/>
                <w:color w:val="000000"/>
                <w:kern w:val="2"/>
                <w:sz w:val="24"/>
                <w:szCs w:val="24"/>
                <w:highlight w:val="none"/>
                <w:lang w:val="en-US" w:eastAsia="zh-CN" w:bidi="ar-SA"/>
              </w:rPr>
              <w:t>；</w:t>
            </w:r>
            <w:r>
              <w:rPr>
                <w:rFonts w:hint="eastAsia" w:ascii="宋体" w:hAnsi="宋体" w:eastAsia="宋体" w:cs="宋体"/>
                <w:color w:val="000000"/>
                <w:kern w:val="2"/>
                <w:sz w:val="24"/>
                <w:szCs w:val="24"/>
                <w:highlight w:val="none"/>
                <w:lang w:val="en-US" w:eastAsia="zh-CN" w:bidi="ar-SA"/>
              </w:rPr>
              <w:t>本项最高不超过</w:t>
            </w:r>
            <w:r>
              <w:rPr>
                <w:rFonts w:hint="eastAsia" w:ascii="宋体" w:hAnsi="宋体" w:cs="宋体"/>
                <w:color w:val="000000"/>
                <w:kern w:val="2"/>
                <w:sz w:val="24"/>
                <w:szCs w:val="24"/>
                <w:highlight w:val="none"/>
                <w:lang w:val="en-US" w:eastAsia="zh-CN" w:bidi="ar-SA"/>
              </w:rPr>
              <w:t>3</w:t>
            </w:r>
            <w:r>
              <w:rPr>
                <w:rFonts w:hint="eastAsia" w:ascii="宋体" w:hAnsi="宋体" w:eastAsia="宋体" w:cs="宋体"/>
                <w:color w:val="000000"/>
                <w:kern w:val="2"/>
                <w:sz w:val="24"/>
                <w:szCs w:val="24"/>
                <w:highlight w:val="none"/>
                <w:lang w:val="en-US" w:eastAsia="zh-CN" w:bidi="ar-SA"/>
              </w:rPr>
              <w:t>分。（需提供相关证明材料复印件并加盖公章，未提供或完全不符的0分）</w:t>
            </w:r>
            <w:r>
              <w:rPr>
                <w:rFonts w:hint="eastAsia" w:ascii="宋体" w:hAnsi="宋体" w:cs="宋体"/>
                <w:color w:val="000000"/>
                <w:kern w:val="2"/>
                <w:sz w:val="24"/>
                <w:szCs w:val="24"/>
                <w:highlight w:val="none"/>
                <w:lang w:val="en-US" w:eastAsia="zh-CN" w:bidi="ar-SA"/>
              </w:rPr>
              <w:t>（0-3分）</w:t>
            </w:r>
          </w:p>
        </w:tc>
        <w:tc>
          <w:tcPr>
            <w:tcW w:w="1250" w:type="dxa"/>
            <w:noWrap w:val="0"/>
            <w:vAlign w:val="center"/>
          </w:tcPr>
          <w:p w14:paraId="670F5BDF">
            <w:pPr>
              <w:pageBreakBefore w:val="0"/>
              <w:kinsoku/>
              <w:wordWrap/>
              <w:overflowPunct/>
              <w:topLinePunct w:val="0"/>
              <w:bidi w:val="0"/>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3分（客观）</w:t>
            </w:r>
          </w:p>
        </w:tc>
      </w:tr>
      <w:tr w14:paraId="70EF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3DAD1828">
            <w:pPr>
              <w:pageBreakBefore w:val="0"/>
              <w:kinsoku/>
              <w:wordWrap/>
              <w:overflowPunct/>
              <w:topLinePunct w:val="0"/>
              <w:bidi w:val="0"/>
              <w:spacing w:line="400" w:lineRule="exact"/>
              <w:jc w:val="center"/>
              <w:rPr>
                <w:rFonts w:hint="default" w:ascii="宋体" w:hAnsi="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17</w:t>
            </w:r>
          </w:p>
        </w:tc>
        <w:tc>
          <w:tcPr>
            <w:tcW w:w="1027" w:type="dxa"/>
            <w:noWrap w:val="0"/>
            <w:vAlign w:val="center"/>
          </w:tcPr>
          <w:p w14:paraId="63B12949">
            <w:pPr>
              <w:pageBreakBefore w:val="0"/>
              <w:kinsoku/>
              <w:wordWrap/>
              <w:overflowPunct/>
              <w:topLinePunct w:val="0"/>
              <w:bidi w:val="0"/>
              <w:spacing w:line="400" w:lineRule="exact"/>
              <w:rPr>
                <w:rFonts w:hint="eastAsia" w:ascii="宋体" w:hAnsi="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投标报价</w:t>
            </w:r>
          </w:p>
        </w:tc>
        <w:tc>
          <w:tcPr>
            <w:tcW w:w="5762" w:type="dxa"/>
            <w:noWrap w:val="0"/>
            <w:vAlign w:val="center"/>
          </w:tcPr>
          <w:p w14:paraId="0C7539EA">
            <w:pPr>
              <w:spacing w:line="360" w:lineRule="auto"/>
              <w:outlineLvl w:val="0"/>
              <w:rPr>
                <w:rFonts w:ascii="宋体" w:hAnsi="宋体" w:eastAsia="宋体" w:cs="仿宋_GB2312"/>
                <w:color w:val="auto"/>
                <w:sz w:val="24"/>
              </w:rPr>
            </w:pPr>
            <w:r>
              <w:rPr>
                <w:rFonts w:hint="eastAsia" w:ascii="宋体" w:hAnsi="宋体" w:eastAsia="宋体" w:cs="仿宋_GB2312"/>
                <w:color w:val="auto"/>
                <w:sz w:val="24"/>
              </w:rPr>
              <w:t>有效投标报价的最低价作为评标基准价，其最低报价为满分；按［投标报价得分</w:t>
            </w:r>
            <w:r>
              <w:rPr>
                <w:rFonts w:ascii="宋体" w:hAnsi="宋体" w:eastAsia="宋体" w:cs="仿宋_GB2312"/>
                <w:color w:val="auto"/>
                <w:sz w:val="24"/>
              </w:rPr>
              <w:t>=（评标基准价/投标报价*</w:t>
            </w:r>
            <w:r>
              <w:rPr>
                <w:rFonts w:hint="eastAsia" w:ascii="宋体" w:hAnsi="宋体" w:eastAsia="宋体" w:cs="仿宋_GB2312"/>
                <w:color w:val="auto"/>
                <w:sz w:val="24"/>
              </w:rPr>
              <w:t>权重</w:t>
            </w:r>
            <w:r>
              <w:rPr>
                <w:rFonts w:ascii="宋体" w:hAnsi="宋体" w:eastAsia="宋体" w:cs="仿宋_GB2312"/>
                <w:color w:val="auto"/>
                <w:sz w:val="24"/>
              </w:rPr>
              <w:t>］的计算公式计算。</w:t>
            </w:r>
          </w:p>
          <w:p w14:paraId="12D73CE6">
            <w:pPr>
              <w:widowControl/>
              <w:shd w:val="clear" w:color="auto" w:fill="FFFFFF"/>
              <w:adjustRightInd/>
              <w:spacing w:after="225" w:line="315" w:lineRule="atLeast"/>
              <w:ind w:firstLine="420"/>
              <w:jc w:val="left"/>
              <w:rPr>
                <w:rFonts w:ascii="宋体" w:hAnsi="宋体" w:eastAsia="宋体" w:cs="仿宋_GB2312"/>
                <w:color w:val="auto"/>
                <w:sz w:val="24"/>
              </w:rPr>
            </w:pPr>
            <w:r>
              <w:rPr>
                <w:rFonts w:ascii="宋体" w:hAnsi="宋体" w:eastAsia="宋体" w:cs="仿宋_GB2312"/>
                <w:color w:val="auto"/>
                <w:sz w:val="24"/>
              </w:rPr>
              <w:t>评标过程中，不得去掉报价中的最高报价和最低报价。</w:t>
            </w:r>
          </w:p>
          <w:p w14:paraId="1AEE716F">
            <w:pPr>
              <w:pageBreakBefore w:val="0"/>
              <w:kinsoku/>
              <w:wordWrap/>
              <w:overflowPunct/>
              <w:topLinePunct w:val="0"/>
              <w:bidi w:val="0"/>
              <w:spacing w:line="400" w:lineRule="exact"/>
              <w:rPr>
                <w:rFonts w:hint="eastAsia" w:ascii="宋体" w:hAnsi="宋体" w:eastAsia="宋体" w:cs="宋体"/>
                <w:color w:val="000000"/>
                <w:kern w:val="2"/>
                <w:sz w:val="24"/>
                <w:szCs w:val="24"/>
                <w:highlight w:val="green"/>
                <w:lang w:val="en-US" w:eastAsia="zh-CN" w:bidi="ar-SA"/>
              </w:rPr>
            </w:pPr>
            <w:r>
              <w:rPr>
                <w:rFonts w:hint="eastAsia" w:ascii="宋体" w:hAnsi="宋体" w:eastAsia="宋体" w:cs="仿宋_GB2312"/>
                <w:color w:val="auto"/>
                <w:sz w:val="24"/>
              </w:rPr>
              <w:t>对于未预留份额专门面向中小企业的政府采购货物项目，以及预留份额政府采购货物项目中的非预留部分标项，对小型和微型企业的投标报价给予</w:t>
            </w:r>
            <w:r>
              <w:rPr>
                <w:rFonts w:hint="eastAsia" w:ascii="宋体" w:hAnsi="宋体" w:eastAsia="宋体" w:cs="仿宋_GB2312"/>
                <w:color w:val="auto"/>
                <w:sz w:val="24"/>
                <w:lang w:val="en-US" w:eastAsia="zh-CN"/>
              </w:rPr>
              <w:t>20</w:t>
            </w:r>
            <w:r>
              <w:rPr>
                <w:rFonts w:hint="eastAsia" w:ascii="宋体" w:hAnsi="宋体" w:eastAsia="宋体" w:cs="仿宋_GB2312"/>
                <w:color w:val="auto"/>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仿宋_GB2312"/>
                <w:color w:val="auto"/>
                <w:sz w:val="24"/>
                <w:lang w:val="en-US" w:eastAsia="zh-CN"/>
              </w:rPr>
              <w:t>6</w:t>
            </w:r>
            <w:r>
              <w:rPr>
                <w:rFonts w:hint="eastAsia" w:ascii="宋体" w:hAnsi="宋体" w:eastAsia="宋体" w:cs="仿宋_GB2312"/>
                <w:color w:val="auto"/>
                <w:sz w:val="24"/>
              </w:rPr>
              <w:t>%的扣除，用扣除后的价格参加评审。</w:t>
            </w:r>
          </w:p>
        </w:tc>
        <w:tc>
          <w:tcPr>
            <w:tcW w:w="1250" w:type="dxa"/>
            <w:noWrap w:val="0"/>
            <w:vAlign w:val="center"/>
          </w:tcPr>
          <w:p w14:paraId="5271DDBE">
            <w:pPr>
              <w:pageBreakBefore w:val="0"/>
              <w:kinsoku/>
              <w:wordWrap/>
              <w:overflowPunct/>
              <w:topLinePunct w:val="0"/>
              <w:bidi w:val="0"/>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20分（</w:t>
            </w:r>
            <w:r>
              <w:rPr>
                <w:rFonts w:hint="eastAsia" w:ascii="宋体" w:hAnsi="宋体" w:eastAsia="宋体" w:cs="仿宋_GB2312"/>
                <w:color w:val="auto"/>
                <w:sz w:val="24"/>
              </w:rPr>
              <w:t>权重</w:t>
            </w:r>
            <w:r>
              <w:rPr>
                <w:rFonts w:hint="eastAsia" w:ascii="宋体" w:hAnsi="宋体" w:eastAsia="宋体" w:cs="仿宋_GB2312"/>
                <w:color w:val="auto"/>
                <w:sz w:val="24"/>
                <w:lang w:eastAsia="zh-CN"/>
              </w:rPr>
              <w:t>）</w:t>
            </w:r>
          </w:p>
        </w:tc>
      </w:tr>
    </w:tbl>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green"/>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壹名</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6"/>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D191506">
      <w:pPr>
        <w:pStyle w:val="26"/>
        <w:snapToGrid w:val="0"/>
        <w:spacing w:line="360" w:lineRule="auto"/>
        <w:rPr>
          <w:rFonts w:ascii="宋体" w:hAnsi="宋体"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7" w:name="第五部分"/>
      <w:bookmarkStart w:id="398" w:name="_Toc86217003"/>
    </w:p>
    <w:p w14:paraId="1100B8C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6"/>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599"/>
        <w:spacing w:before="120" w:line="22" w:lineRule="atLeast"/>
        <w:rPr>
          <w:rFonts w:ascii="宋体" w:hAnsi="宋体" w:eastAsia="宋体" w:cs="宋体"/>
          <w:color w:val="auto"/>
          <w:szCs w:val="24"/>
          <w:highlight w:val="none"/>
        </w:rPr>
      </w:pPr>
    </w:p>
    <w:p w14:paraId="5912128F">
      <w:pPr>
        <w:pStyle w:val="599"/>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9" w:name="_Toc15367"/>
      <w:bookmarkStart w:id="400" w:name="_Toc22967"/>
      <w:bookmarkStart w:id="401" w:name="_Toc19273"/>
      <w:bookmarkStart w:id="402" w:name="_Toc20421"/>
      <w:bookmarkStart w:id="403"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9"/>
      <w:bookmarkEnd w:id="400"/>
      <w:bookmarkEnd w:id="401"/>
      <w:bookmarkEnd w:id="402"/>
      <w:bookmarkEnd w:id="403"/>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4" w:name="_Toc6773"/>
      <w:bookmarkStart w:id="405" w:name="_Toc18585"/>
      <w:bookmarkStart w:id="406" w:name="_Toc22185"/>
      <w:bookmarkStart w:id="407" w:name="_Toc6311"/>
      <w:bookmarkStart w:id="408"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4"/>
      <w:bookmarkEnd w:id="405"/>
      <w:bookmarkEnd w:id="406"/>
      <w:bookmarkEnd w:id="407"/>
      <w:bookmarkEnd w:id="408"/>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9" w:name="_Toc5635"/>
      <w:bookmarkStart w:id="410" w:name="_Toc1386"/>
      <w:bookmarkStart w:id="411" w:name="_Toc13918"/>
      <w:bookmarkStart w:id="412" w:name="_Toc4929"/>
      <w:bookmarkStart w:id="413"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9"/>
      <w:bookmarkEnd w:id="410"/>
      <w:bookmarkEnd w:id="411"/>
      <w:bookmarkEnd w:id="412"/>
      <w:bookmarkEnd w:id="413"/>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Ansi="宋体"/>
                <w:color w:val="auto"/>
                <w:sz w:val="24"/>
                <w:szCs w:val="24"/>
                <w:highlight w:val="none"/>
              </w:rPr>
            </w:pPr>
          </w:p>
        </w:tc>
        <w:tc>
          <w:tcPr>
            <w:tcW w:w="3402" w:type="dxa"/>
            <w:vAlign w:val="center"/>
          </w:tcPr>
          <w:p w14:paraId="66BDB431">
            <w:pPr>
              <w:pStyle w:val="320"/>
              <w:spacing w:line="560" w:lineRule="exact"/>
              <w:ind w:firstLine="200"/>
              <w:jc w:val="center"/>
              <w:rPr>
                <w:rFonts w:hAnsi="宋体"/>
                <w:color w:val="auto"/>
                <w:sz w:val="24"/>
                <w:szCs w:val="24"/>
                <w:highlight w:val="none"/>
              </w:rPr>
            </w:pPr>
          </w:p>
        </w:tc>
        <w:tc>
          <w:tcPr>
            <w:tcW w:w="2552" w:type="dxa"/>
            <w:vAlign w:val="center"/>
          </w:tcPr>
          <w:p w14:paraId="0EC443E3">
            <w:pPr>
              <w:pStyle w:val="320"/>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Ansi="宋体"/>
                <w:color w:val="auto"/>
                <w:sz w:val="24"/>
                <w:szCs w:val="24"/>
                <w:highlight w:val="none"/>
              </w:rPr>
            </w:pPr>
          </w:p>
        </w:tc>
        <w:tc>
          <w:tcPr>
            <w:tcW w:w="3402" w:type="dxa"/>
            <w:vAlign w:val="center"/>
          </w:tcPr>
          <w:p w14:paraId="26CA5BD6">
            <w:pPr>
              <w:pStyle w:val="320"/>
              <w:spacing w:line="560" w:lineRule="exact"/>
              <w:ind w:firstLine="200"/>
              <w:jc w:val="center"/>
              <w:rPr>
                <w:rFonts w:hAnsi="宋体"/>
                <w:color w:val="auto"/>
                <w:sz w:val="24"/>
                <w:szCs w:val="24"/>
                <w:highlight w:val="none"/>
              </w:rPr>
            </w:pPr>
          </w:p>
        </w:tc>
        <w:tc>
          <w:tcPr>
            <w:tcW w:w="2552" w:type="dxa"/>
            <w:vAlign w:val="center"/>
          </w:tcPr>
          <w:p w14:paraId="0258EB1E">
            <w:pPr>
              <w:pStyle w:val="320"/>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Ansi="宋体"/>
                <w:color w:val="auto"/>
                <w:sz w:val="24"/>
                <w:szCs w:val="24"/>
                <w:highlight w:val="none"/>
              </w:rPr>
            </w:pPr>
          </w:p>
        </w:tc>
        <w:tc>
          <w:tcPr>
            <w:tcW w:w="3402" w:type="dxa"/>
            <w:vAlign w:val="center"/>
          </w:tcPr>
          <w:p w14:paraId="637D5711">
            <w:pPr>
              <w:pStyle w:val="320"/>
              <w:spacing w:line="560" w:lineRule="exact"/>
              <w:ind w:firstLine="200"/>
              <w:jc w:val="center"/>
              <w:rPr>
                <w:rFonts w:hAnsi="宋体"/>
                <w:color w:val="auto"/>
                <w:sz w:val="24"/>
                <w:szCs w:val="24"/>
                <w:highlight w:val="none"/>
              </w:rPr>
            </w:pPr>
          </w:p>
        </w:tc>
        <w:tc>
          <w:tcPr>
            <w:tcW w:w="2552" w:type="dxa"/>
            <w:vAlign w:val="center"/>
          </w:tcPr>
          <w:p w14:paraId="42D0E712">
            <w:pPr>
              <w:pStyle w:val="320"/>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Ansi="宋体"/>
                <w:color w:val="auto"/>
                <w:sz w:val="24"/>
                <w:szCs w:val="24"/>
                <w:highlight w:val="none"/>
              </w:rPr>
            </w:pPr>
          </w:p>
        </w:tc>
        <w:tc>
          <w:tcPr>
            <w:tcW w:w="3402" w:type="dxa"/>
            <w:vAlign w:val="center"/>
          </w:tcPr>
          <w:p w14:paraId="14D192BB">
            <w:pPr>
              <w:pStyle w:val="320"/>
              <w:spacing w:line="560" w:lineRule="exact"/>
              <w:ind w:firstLine="200"/>
              <w:jc w:val="center"/>
              <w:rPr>
                <w:rFonts w:hAnsi="宋体"/>
                <w:color w:val="auto"/>
                <w:sz w:val="24"/>
                <w:szCs w:val="24"/>
                <w:highlight w:val="none"/>
              </w:rPr>
            </w:pPr>
          </w:p>
        </w:tc>
        <w:tc>
          <w:tcPr>
            <w:tcW w:w="2552" w:type="dxa"/>
            <w:vAlign w:val="center"/>
          </w:tcPr>
          <w:p w14:paraId="0E5769EB">
            <w:pPr>
              <w:pStyle w:val="320"/>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0"/>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4" w:name="_Toc26916"/>
      <w:bookmarkStart w:id="415" w:name="_Toc30158"/>
      <w:bookmarkStart w:id="416" w:name="_Toc14993"/>
      <w:bookmarkStart w:id="417" w:name="_Toc3654"/>
      <w:bookmarkStart w:id="418"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6"/>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4"/>
    <w:bookmarkEnd w:id="415"/>
    <w:bookmarkEnd w:id="416"/>
    <w:bookmarkEnd w:id="417"/>
    <w:bookmarkEnd w:id="418"/>
    <w:p w14:paraId="2F5CCC91">
      <w:pPr>
        <w:pStyle w:val="960"/>
        <w:spacing w:before="0" w:beforeAutospacing="0" w:after="0" w:afterAutospacing="0" w:line="360" w:lineRule="auto"/>
        <w:ind w:firstLine="480"/>
        <w:rPr>
          <w:b/>
          <w:color w:val="auto"/>
          <w:highlight w:val="none"/>
        </w:rPr>
      </w:pPr>
      <w:bookmarkStart w:id="419" w:name="_Toc10340"/>
      <w:bookmarkStart w:id="420" w:name="_Toc22618"/>
      <w:bookmarkStart w:id="421" w:name="_Toc1814"/>
      <w:bookmarkStart w:id="422" w:name="_Toc11108"/>
      <w:bookmarkStart w:id="423" w:name="_Toc8772"/>
      <w:bookmarkStart w:id="424" w:name="_Toc4760"/>
      <w:bookmarkStart w:id="425" w:name="_Toc31421"/>
      <w:bookmarkStart w:id="426" w:name="_Toc3625"/>
      <w:r>
        <w:rPr>
          <w:rFonts w:hint="eastAsia"/>
          <w:b/>
          <w:color w:val="auto"/>
          <w:highlight w:val="none"/>
        </w:rPr>
        <w:t>1.4履约保证金</w:t>
      </w:r>
    </w:p>
    <w:p w14:paraId="74D47AFB">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6"/>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9"/>
      <w:bookmarkEnd w:id="420"/>
      <w:bookmarkEnd w:id="421"/>
      <w:r>
        <w:rPr>
          <w:rFonts w:hint="eastAsia" w:ascii="宋体" w:hAnsi="宋体" w:cs="宋体"/>
          <w:b/>
          <w:color w:val="auto"/>
          <w:sz w:val="24"/>
          <w:highlight w:val="none"/>
        </w:rPr>
        <w:t>预付款</w:t>
      </w:r>
    </w:p>
    <w:p w14:paraId="7C829B0B">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2"/>
      <w:bookmarkEnd w:id="423"/>
      <w:bookmarkEnd w:id="424"/>
      <w:bookmarkEnd w:id="425"/>
      <w:bookmarkEnd w:id="426"/>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7" w:name="_Toc24662"/>
      <w:bookmarkStart w:id="428" w:name="_Toc3079"/>
      <w:bookmarkStart w:id="429" w:name="_Toc2375"/>
      <w:bookmarkStart w:id="430" w:name="_Toc5698"/>
      <w:bookmarkStart w:id="431"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7"/>
      <w:bookmarkEnd w:id="428"/>
      <w:bookmarkEnd w:id="429"/>
      <w:bookmarkEnd w:id="430"/>
      <w:bookmarkEnd w:id="431"/>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6"/>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32" w:name="_Toc30329"/>
      <w:bookmarkStart w:id="433" w:name="_Toc32454"/>
      <w:bookmarkStart w:id="434" w:name="_Toc18683"/>
      <w:bookmarkStart w:id="435" w:name="_Toc26807"/>
      <w:bookmarkStart w:id="436"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2"/>
    <w:bookmarkEnd w:id="433"/>
    <w:bookmarkEnd w:id="434"/>
    <w:bookmarkEnd w:id="435"/>
    <w:bookmarkEnd w:id="436"/>
    <w:p w14:paraId="1A3040A7">
      <w:pPr>
        <w:spacing w:line="560" w:lineRule="exact"/>
        <w:ind w:firstLine="482" w:firstLineChars="200"/>
        <w:outlineLvl w:val="0"/>
        <w:rPr>
          <w:rFonts w:ascii="宋体" w:hAnsi="宋体" w:cs="宋体"/>
          <w:b/>
          <w:color w:val="auto"/>
          <w:sz w:val="24"/>
          <w:highlight w:val="none"/>
        </w:rPr>
      </w:pPr>
      <w:bookmarkStart w:id="437" w:name="_Toc15583"/>
      <w:bookmarkStart w:id="438" w:name="_Toc28375"/>
      <w:bookmarkStart w:id="439" w:name="_Toc16021"/>
      <w:r>
        <w:rPr>
          <w:rFonts w:hint="eastAsia" w:ascii="宋体" w:hAnsi="宋体" w:cs="宋体"/>
          <w:b/>
          <w:color w:val="auto"/>
          <w:sz w:val="24"/>
          <w:highlight w:val="none"/>
        </w:rPr>
        <w:t>1.9合同争议的解决</w:t>
      </w:r>
      <w:bookmarkEnd w:id="437"/>
      <w:bookmarkEnd w:id="438"/>
      <w:bookmarkEnd w:id="439"/>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40" w:name="_Toc7245"/>
      <w:bookmarkStart w:id="441" w:name="_Toc11173"/>
      <w:bookmarkStart w:id="442" w:name="_Toc15322"/>
      <w:r>
        <w:rPr>
          <w:rFonts w:hint="eastAsia" w:ascii="宋体" w:hAnsi="宋体" w:cs="宋体"/>
          <w:b/>
          <w:color w:val="auto"/>
          <w:sz w:val="24"/>
          <w:highlight w:val="none"/>
        </w:rPr>
        <w:t>2.0 合同生效</w:t>
      </w:r>
      <w:bookmarkEnd w:id="440"/>
      <w:bookmarkEnd w:id="441"/>
      <w:bookmarkEnd w:id="442"/>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43" w:name="_Toc19680"/>
      <w:bookmarkStart w:id="444" w:name="_Toc25079"/>
      <w:bookmarkStart w:id="445" w:name="_Toc5228"/>
      <w:bookmarkStart w:id="446" w:name="_Toc31297"/>
      <w:bookmarkStart w:id="447" w:name="_Toc14021"/>
      <w:r>
        <w:rPr>
          <w:rFonts w:ascii="宋体" w:hAnsi="宋体"/>
          <w:b/>
          <w:color w:val="auto"/>
          <w:sz w:val="24"/>
          <w:highlight w:val="none"/>
        </w:rPr>
        <w:t>2.1 定义</w:t>
      </w:r>
      <w:bookmarkEnd w:id="443"/>
      <w:bookmarkEnd w:id="444"/>
      <w:bookmarkEnd w:id="445"/>
      <w:bookmarkEnd w:id="446"/>
      <w:bookmarkEnd w:id="447"/>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8" w:name="_Toc3769"/>
      <w:bookmarkStart w:id="449" w:name="_Toc23289"/>
      <w:bookmarkStart w:id="450" w:name="_Toc16752"/>
      <w:bookmarkStart w:id="451" w:name="_Toc31402"/>
      <w:bookmarkStart w:id="452" w:name="_Toc19539"/>
      <w:r>
        <w:rPr>
          <w:rFonts w:ascii="宋体" w:hAnsi="宋体"/>
          <w:b/>
          <w:color w:val="auto"/>
          <w:sz w:val="24"/>
          <w:highlight w:val="none"/>
        </w:rPr>
        <w:t>2.2 技术规范</w:t>
      </w:r>
      <w:bookmarkEnd w:id="448"/>
      <w:bookmarkEnd w:id="449"/>
      <w:bookmarkEnd w:id="450"/>
      <w:bookmarkEnd w:id="451"/>
      <w:bookmarkEnd w:id="452"/>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53" w:name="_Toc12412"/>
      <w:bookmarkStart w:id="454" w:name="_Toc27945"/>
      <w:bookmarkStart w:id="455" w:name="_Toc13673"/>
      <w:bookmarkStart w:id="456" w:name="_Toc4133"/>
      <w:bookmarkStart w:id="457" w:name="_Toc9161"/>
      <w:r>
        <w:rPr>
          <w:rFonts w:ascii="宋体" w:hAnsi="宋体"/>
          <w:b/>
          <w:color w:val="auto"/>
          <w:sz w:val="24"/>
          <w:highlight w:val="none"/>
        </w:rPr>
        <w:t>2.3 知识产权</w:t>
      </w:r>
      <w:bookmarkEnd w:id="453"/>
      <w:bookmarkEnd w:id="454"/>
      <w:bookmarkEnd w:id="455"/>
      <w:bookmarkEnd w:id="456"/>
      <w:bookmarkEnd w:id="457"/>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8" w:name="_Toc32670"/>
      <w:bookmarkStart w:id="459" w:name="_Toc15447"/>
      <w:bookmarkStart w:id="460" w:name="_Toc31233"/>
      <w:bookmarkStart w:id="461" w:name="_Toc26555"/>
      <w:bookmarkStart w:id="462" w:name="_Toc22011"/>
      <w:r>
        <w:rPr>
          <w:rFonts w:ascii="宋体" w:hAnsi="宋体"/>
          <w:b/>
          <w:color w:val="auto"/>
          <w:sz w:val="24"/>
          <w:highlight w:val="none"/>
        </w:rPr>
        <w:t>2.5 结算方式和付款条件</w:t>
      </w:r>
      <w:bookmarkEnd w:id="458"/>
      <w:bookmarkEnd w:id="459"/>
      <w:bookmarkEnd w:id="460"/>
      <w:bookmarkEnd w:id="461"/>
      <w:bookmarkEnd w:id="462"/>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63" w:name="_Toc30507"/>
      <w:bookmarkStart w:id="464" w:name="_Toc13467"/>
      <w:bookmarkStart w:id="465" w:name="_Toc18990"/>
      <w:bookmarkStart w:id="466" w:name="_Toc13154"/>
      <w:bookmarkStart w:id="467" w:name="_Toc16163"/>
      <w:r>
        <w:rPr>
          <w:rFonts w:ascii="宋体" w:hAnsi="宋体"/>
          <w:b/>
          <w:color w:val="auto"/>
          <w:sz w:val="24"/>
          <w:highlight w:val="none"/>
        </w:rPr>
        <w:t>2.6 技术资料和保密义务</w:t>
      </w:r>
      <w:bookmarkEnd w:id="463"/>
      <w:bookmarkEnd w:id="464"/>
      <w:bookmarkEnd w:id="465"/>
      <w:bookmarkEnd w:id="466"/>
      <w:bookmarkEnd w:id="467"/>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8"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8"/>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9"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9"/>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70"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0"/>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71" w:name="_Toc21830"/>
      <w:bookmarkStart w:id="472" w:name="_Toc23368"/>
      <w:bookmarkStart w:id="473" w:name="_Toc10663"/>
      <w:bookmarkStart w:id="474" w:name="_Toc42"/>
      <w:bookmarkStart w:id="475" w:name="_Toc26689"/>
      <w:r>
        <w:rPr>
          <w:rFonts w:ascii="宋体" w:hAnsi="宋体"/>
          <w:b/>
          <w:color w:val="auto"/>
          <w:sz w:val="24"/>
          <w:highlight w:val="none"/>
        </w:rPr>
        <w:t>2.10 合同转让和分包</w:t>
      </w:r>
      <w:bookmarkEnd w:id="471"/>
      <w:bookmarkEnd w:id="472"/>
      <w:bookmarkEnd w:id="473"/>
      <w:bookmarkEnd w:id="474"/>
      <w:bookmarkEnd w:id="475"/>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6" w:name="_Toc14371"/>
      <w:bookmarkStart w:id="477" w:name="_Toc26633"/>
      <w:bookmarkStart w:id="478" w:name="_Toc25571"/>
      <w:bookmarkStart w:id="479" w:name="_Toc32494"/>
      <w:bookmarkStart w:id="480" w:name="_Toc4720"/>
      <w:r>
        <w:rPr>
          <w:rFonts w:ascii="宋体" w:hAnsi="宋体"/>
          <w:b/>
          <w:color w:val="auto"/>
          <w:sz w:val="24"/>
          <w:highlight w:val="none"/>
        </w:rPr>
        <w:t>2.11 不可抗力</w:t>
      </w:r>
      <w:bookmarkEnd w:id="476"/>
      <w:bookmarkEnd w:id="477"/>
      <w:bookmarkEnd w:id="478"/>
      <w:bookmarkEnd w:id="479"/>
      <w:bookmarkEnd w:id="480"/>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81" w:name="_Toc14115"/>
      <w:bookmarkStart w:id="482" w:name="_Toc25783"/>
      <w:bookmarkStart w:id="483" w:name="_Toc24465"/>
      <w:bookmarkStart w:id="484" w:name="_Toc23854"/>
      <w:bookmarkStart w:id="485" w:name="_Toc3638"/>
      <w:r>
        <w:rPr>
          <w:rFonts w:ascii="宋体" w:hAnsi="宋体"/>
          <w:b/>
          <w:color w:val="auto"/>
          <w:sz w:val="24"/>
          <w:highlight w:val="none"/>
        </w:rPr>
        <w:t>2.12 税费</w:t>
      </w:r>
      <w:bookmarkEnd w:id="481"/>
      <w:bookmarkEnd w:id="482"/>
      <w:bookmarkEnd w:id="483"/>
      <w:bookmarkEnd w:id="484"/>
      <w:bookmarkEnd w:id="485"/>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6" w:name="_Toc30105"/>
      <w:bookmarkStart w:id="487" w:name="_Toc7315"/>
      <w:bookmarkStart w:id="488" w:name="_Toc26883"/>
      <w:bookmarkStart w:id="489" w:name="_Toc14814"/>
      <w:bookmarkStart w:id="490" w:name="_Toc25525"/>
      <w:r>
        <w:rPr>
          <w:rFonts w:ascii="宋体" w:hAnsi="宋体"/>
          <w:b/>
          <w:color w:val="auto"/>
          <w:sz w:val="24"/>
          <w:highlight w:val="none"/>
        </w:rPr>
        <w:t>2.13 乙方破产</w:t>
      </w:r>
      <w:bookmarkEnd w:id="486"/>
      <w:bookmarkEnd w:id="487"/>
      <w:bookmarkEnd w:id="488"/>
      <w:bookmarkEnd w:id="489"/>
      <w:bookmarkEnd w:id="490"/>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91" w:name="_Toc23323"/>
      <w:bookmarkStart w:id="492" w:name="_Toc1123"/>
      <w:bookmarkStart w:id="493" w:name="_Toc2016"/>
      <w:r>
        <w:rPr>
          <w:rFonts w:ascii="宋体" w:hAnsi="宋体"/>
          <w:b/>
          <w:color w:val="auto"/>
          <w:sz w:val="24"/>
          <w:highlight w:val="none"/>
        </w:rPr>
        <w:t>2.14 合同中止、终止</w:t>
      </w:r>
      <w:bookmarkEnd w:id="491"/>
      <w:bookmarkEnd w:id="492"/>
      <w:bookmarkEnd w:id="493"/>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4" w:name="_Toc1969"/>
      <w:bookmarkStart w:id="495" w:name="_Toc17363"/>
      <w:bookmarkStart w:id="496" w:name="_Toc14525"/>
      <w:r>
        <w:rPr>
          <w:rFonts w:ascii="宋体" w:hAnsi="宋体"/>
          <w:b/>
          <w:color w:val="auto"/>
          <w:sz w:val="24"/>
          <w:highlight w:val="none"/>
        </w:rPr>
        <w:t>2.15 检验和验收</w:t>
      </w:r>
      <w:bookmarkEnd w:id="494"/>
      <w:bookmarkEnd w:id="495"/>
      <w:bookmarkEnd w:id="496"/>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7" w:name="_Toc31892"/>
      <w:bookmarkStart w:id="498" w:name="_Toc2308"/>
      <w:bookmarkStart w:id="499" w:name="_Toc9808"/>
      <w:bookmarkStart w:id="500" w:name="_Toc25198"/>
      <w:bookmarkStart w:id="501" w:name="_Toc12666"/>
      <w:r>
        <w:rPr>
          <w:rFonts w:ascii="宋体" w:hAnsi="宋体"/>
          <w:b/>
          <w:color w:val="auto"/>
          <w:sz w:val="24"/>
          <w:highlight w:val="none"/>
        </w:rPr>
        <w:t>2.16 通知和送达</w:t>
      </w:r>
      <w:bookmarkEnd w:id="497"/>
      <w:bookmarkEnd w:id="498"/>
      <w:bookmarkEnd w:id="499"/>
      <w:bookmarkEnd w:id="500"/>
      <w:bookmarkEnd w:id="501"/>
    </w:p>
    <w:p w14:paraId="2D57AD58">
      <w:pPr>
        <w:spacing w:line="560" w:lineRule="exact"/>
        <w:ind w:firstLine="480" w:firstLineChars="200"/>
        <w:rPr>
          <w:rFonts w:ascii="宋体" w:hAnsi="宋体"/>
          <w:color w:val="auto"/>
          <w:sz w:val="24"/>
          <w:highlight w:val="none"/>
        </w:rPr>
      </w:pPr>
      <w:bookmarkStart w:id="502" w:name="_Toc18401"/>
      <w:bookmarkStart w:id="503"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2"/>
      <w:bookmarkEnd w:id="503"/>
    </w:p>
    <w:p w14:paraId="79494EF1">
      <w:pPr>
        <w:spacing w:line="560" w:lineRule="exact"/>
        <w:ind w:firstLine="482" w:firstLineChars="200"/>
        <w:outlineLvl w:val="0"/>
        <w:rPr>
          <w:rFonts w:ascii="宋体" w:hAnsi="宋体"/>
          <w:b/>
          <w:color w:val="auto"/>
          <w:sz w:val="24"/>
          <w:highlight w:val="none"/>
        </w:rPr>
      </w:pPr>
      <w:bookmarkStart w:id="504" w:name="_Toc28906"/>
      <w:bookmarkStart w:id="505" w:name="_Toc27644"/>
      <w:bookmarkStart w:id="506" w:name="_Toc12254"/>
      <w:bookmarkStart w:id="507" w:name="_Toc20808"/>
      <w:bookmarkStart w:id="508"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4"/>
      <w:bookmarkEnd w:id="505"/>
      <w:bookmarkEnd w:id="506"/>
      <w:bookmarkEnd w:id="507"/>
      <w:bookmarkEnd w:id="508"/>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9" w:name="_Toc30599"/>
      <w:bookmarkStart w:id="510" w:name="_Toc18540"/>
      <w:bookmarkStart w:id="511" w:name="_Toc4355"/>
      <w:r>
        <w:rPr>
          <w:rFonts w:hint="eastAsia" w:ascii="宋体" w:hAnsi="宋体" w:cs="宋体"/>
          <w:b/>
          <w:color w:val="auto"/>
          <w:sz w:val="24"/>
          <w:highlight w:val="none"/>
        </w:rPr>
        <w:t>2.18 计量单位</w:t>
      </w:r>
      <w:bookmarkEnd w:id="509"/>
      <w:bookmarkEnd w:id="510"/>
      <w:bookmarkEnd w:id="511"/>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2" w:name="_Toc331685784"/>
      <w:r>
        <w:rPr>
          <w:rFonts w:hint="eastAsia" w:ascii="宋体" w:hAnsi="宋体" w:cs="宋体"/>
          <w:b/>
          <w:color w:val="auto"/>
          <w:sz w:val="24"/>
          <w:highlight w:val="none"/>
        </w:rPr>
        <w:t xml:space="preserve"> </w:t>
      </w:r>
      <w:bookmarkEnd w:id="512"/>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265D86DB">
      <w:pPr>
        <w:spacing w:line="360" w:lineRule="auto"/>
        <w:ind w:left="-420" w:leftChars="-200" w:right="-420" w:rightChars="-200" w:firstLine="480" w:firstLineChars="200"/>
        <w:jc w:val="center"/>
        <w:outlineLvl w:val="0"/>
        <w:rPr>
          <w:rFonts w:ascii="宋体" w:hAnsi="宋体" w:cs="宋体"/>
          <w:color w:val="auto"/>
          <w:sz w:val="24"/>
          <w:highlight w:val="none"/>
        </w:rPr>
      </w:pPr>
    </w:p>
    <w:p w14:paraId="1C9D774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3" w:name="_Hlk101257010"/>
      <w:r>
        <w:rPr>
          <w:rFonts w:hint="eastAsia" w:ascii="宋体" w:hAnsi="宋体" w:cs="宋体"/>
          <w:color w:val="auto"/>
          <w:sz w:val="24"/>
          <w:highlight w:val="none"/>
        </w:rPr>
        <w:t>（如果有)</w:t>
      </w:r>
      <w:bookmarkEnd w:id="513"/>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D127BCF">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7C12202">
      <w:pPr>
        <w:spacing w:line="360" w:lineRule="auto"/>
        <w:ind w:firstLine="482" w:firstLineChars="200"/>
        <w:rPr>
          <w:rFonts w:ascii="宋体" w:hAnsi="宋体" w:cs="宋体"/>
          <w:b/>
          <w:kern w:val="0"/>
          <w:sz w:val="24"/>
          <w:highlight w:val="none"/>
        </w:rPr>
      </w:pP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lang w:val="zh-CN"/>
        </w:rPr>
        <w:t>特别说明：▲供应商报价低于项目预算50%的，应当在报价文件中详细阐述说明不影响产品质量或者诚信履约的具体原因。</w:t>
      </w:r>
    </w:p>
    <w:p w14:paraId="44FCB175">
      <w:pPr>
        <w:pStyle w:val="2"/>
      </w:pP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0"/>
        <w:rPr>
          <w:rFonts w:hint="eastAsia" w:ascii="宋体" w:hAnsi="宋体" w:cs="宋体"/>
          <w:b/>
          <w:color w:val="auto"/>
          <w:sz w:val="24"/>
          <w:highlight w:val="none"/>
        </w:rPr>
      </w:pPr>
    </w:p>
    <w:p w14:paraId="1AA2EA6C">
      <w:pPr>
        <w:pStyle w:val="80"/>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4" w:name="OLE_LINK13"/>
      <w:bookmarkStart w:id="515" w:name="OLE_LINK14"/>
      <w:r>
        <w:rPr>
          <w:rFonts w:hint="eastAsia" w:ascii="宋体" w:hAnsi="宋体" w:cs="宋体"/>
          <w:b/>
          <w:color w:val="auto"/>
          <w:spacing w:val="6"/>
          <w:sz w:val="32"/>
          <w:szCs w:val="32"/>
          <w:highlight w:val="none"/>
        </w:rPr>
        <w:t>残疾人福利性单位声明函</w:t>
      </w:r>
    </w:p>
    <w:bookmarkEnd w:id="514"/>
    <w:bookmarkEnd w:id="515"/>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7"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7"/>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8"/>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6"/>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72C2506D">
      <w:pPr>
        <w:pStyle w:val="2"/>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0C944150">
      <w:pPr>
        <w:pStyle w:val="2"/>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1D4CDFEB">
      <w:pPr>
        <w:pStyle w:val="965"/>
        <w:spacing w:line="360"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76604D5B">
      <w:pPr>
        <w:pStyle w:val="965"/>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)，制定本规定。</w:t>
      </w:r>
    </w:p>
    <w:p w14:paraId="5009B86A">
      <w:pPr>
        <w:pStyle w:val="965"/>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67D40B4B">
      <w:pPr>
        <w:pStyle w:val="965"/>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8DB2C76">
      <w:pPr>
        <w:pStyle w:val="965"/>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四、各行业划型标准为：</w:t>
      </w:r>
      <w:r>
        <w:rPr>
          <w:rFonts w:hint="eastAsia" w:ascii="仿宋" w:hAnsi="仿宋" w:eastAsia="仿宋" w:cs="仿宋"/>
          <w:color w:val="auto"/>
          <w:spacing w:val="6"/>
          <w:szCs w:val="21"/>
          <w:highlight w:val="none"/>
        </w:rPr>
        <w:br w:type="textWrapping"/>
      </w: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33859758">
      <w:pPr>
        <w:pStyle w:val="965"/>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D7FF51A">
      <w:pPr>
        <w:pStyle w:val="965"/>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79E71C6">
      <w:pPr>
        <w:pStyle w:val="965"/>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3DDBF13">
      <w:pPr>
        <w:pStyle w:val="965"/>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9B257CA">
      <w:pPr>
        <w:pStyle w:val="965"/>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5052174">
      <w:pPr>
        <w:pStyle w:val="965"/>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DC40C6B">
      <w:pPr>
        <w:pStyle w:val="965"/>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E451592">
      <w:pPr>
        <w:pStyle w:val="965"/>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CF9E924">
      <w:pPr>
        <w:pStyle w:val="965"/>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C4AF7D4">
      <w:pPr>
        <w:pStyle w:val="965"/>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A1DCCB9">
      <w:pPr>
        <w:pStyle w:val="2"/>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E20E861">
      <w:pPr>
        <w:pStyle w:val="965"/>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807F156">
      <w:pPr>
        <w:pStyle w:val="965"/>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713CEC2">
      <w:pPr>
        <w:pStyle w:val="965"/>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9C9EC9B">
      <w:pPr>
        <w:pStyle w:val="965"/>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1CEB44B2">
      <w:pPr>
        <w:pStyle w:val="965"/>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60D6183C">
      <w:pPr>
        <w:pStyle w:val="965"/>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0494D951">
      <w:pPr>
        <w:pStyle w:val="965"/>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7685414C">
      <w:pPr>
        <w:pStyle w:val="965"/>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30DDC5D1">
      <w:pPr>
        <w:pStyle w:val="965"/>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0511D455">
      <w:pPr>
        <w:pStyle w:val="965"/>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同时废止。</w:t>
      </w:r>
    </w:p>
    <w:p w14:paraId="5ECF7BF8">
      <w:pPr>
        <w:pStyle w:val="713"/>
        <w:ind w:firstLine="480"/>
        <w:rPr>
          <w:rFonts w:hint="eastAsia" w:ascii="仿宋" w:hAnsi="仿宋" w:eastAsia="仿宋" w:cs="仿宋"/>
          <w:color w:val="auto"/>
          <w:highlight w:val="none"/>
        </w:rPr>
      </w:pPr>
    </w:p>
    <w:p w14:paraId="722C5697">
      <w:pPr>
        <w:pStyle w:val="713"/>
        <w:ind w:firstLine="480"/>
        <w:rPr>
          <w:rFonts w:hint="eastAsia" w:ascii="仿宋" w:hAnsi="仿宋" w:eastAsia="仿宋" w:cs="仿宋"/>
          <w:color w:val="auto"/>
          <w:highlight w:val="none"/>
        </w:rPr>
      </w:pPr>
    </w:p>
    <w:p w14:paraId="58B6D203">
      <w:pPr>
        <w:pStyle w:val="2"/>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br w:type="page"/>
      </w:r>
      <w:r>
        <w:rPr>
          <w:rFonts w:hint="eastAsia" w:ascii="仿宋" w:hAnsi="仿宋" w:eastAsia="仿宋" w:cs="仿宋"/>
          <w:b/>
          <w:color w:val="auto"/>
          <w:sz w:val="36"/>
          <w:highlight w:val="none"/>
          <w:lang w:val="en-US"/>
        </w:rPr>
        <w:t>附件9：</w:t>
      </w:r>
    </w:p>
    <w:p w14:paraId="59060C77">
      <w:pPr>
        <w:pStyle w:val="6"/>
        <w:jc w:val="center"/>
        <w:rPr>
          <w:rFonts w:hint="eastAsia" w:ascii="仿宋" w:hAnsi="仿宋" w:eastAsia="仿宋" w:cs="仿宋"/>
          <w:color w:val="auto"/>
          <w:highlight w:val="none"/>
          <w:lang w:val="en-US"/>
        </w:rPr>
      </w:pPr>
      <w:r>
        <w:rPr>
          <w:rFonts w:hint="eastAsia" w:ascii="仿宋" w:hAnsi="仿宋" w:eastAsia="仿宋" w:cs="仿宋"/>
          <w:color w:val="auto"/>
          <w:highlight w:val="none"/>
        </w:rPr>
        <w:t>政府采购活动现场确认声明书</w:t>
      </w:r>
    </w:p>
    <w:p w14:paraId="1BAB2500">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采购人、采购代理机构</w:t>
      </w:r>
      <w:r>
        <w:rPr>
          <w:rFonts w:hint="eastAsia" w:ascii="仿宋" w:hAnsi="仿宋" w:eastAsia="仿宋" w:cs="仿宋"/>
          <w:color w:val="auto"/>
          <w:szCs w:val="21"/>
          <w:highlight w:val="none"/>
        </w:rPr>
        <w:t>：</w:t>
      </w:r>
    </w:p>
    <w:p w14:paraId="4FD8079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本人 ____________（授权代表姓名），经由_____________（单位） ______ （法定代表人姓名）合法授权参加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）政府采购活动．经与本单位法人代表（负责人）联系确认，现就有关公平竞争事项郑重声明如下:    一、本单位与采购人之间口不存在利害关系口存在下列利害关系: </w:t>
      </w:r>
    </w:p>
    <w:p w14:paraId="03A0587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A．投资关系 B．行政隶属关系 C．业务指导关系 D．其他可能影响采购公正的利害关系（如有，请如实说明）。 </w:t>
      </w:r>
    </w:p>
    <w:p w14:paraId="0166B5F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二、现己清楚知道参加本项目采购活动的其他所有供应商名称，本单位  口与其他所有供应商之间均不存在利害关系   口与______________（供应商名称）之间存在下列利害关系: </w:t>
      </w:r>
    </w:p>
    <w:p w14:paraId="51B3657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A．法定代表人或负责人或实际控制人是同一人 </w:t>
      </w:r>
    </w:p>
    <w:p w14:paraId="0211131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B．法定代表人或负责人或实际控制人是夫妻关系 </w:t>
      </w:r>
    </w:p>
    <w:p w14:paraId="33A682D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C．法定代表人或负责人或实际控制人是直系血亲关系 </w:t>
      </w:r>
    </w:p>
    <w:p w14:paraId="7C80EF8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D．法定代表人或负责人或实际控制人存在三代以内旁系血亲关系 </w:t>
      </w:r>
    </w:p>
    <w:p w14:paraId="6A624D2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E．法定代表人或负责人或实际控制人存在近姻亲关系 </w:t>
      </w:r>
    </w:p>
    <w:p w14:paraId="2E51449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F．法定代表人或负责人或实际控制人存在股份控制或实际控制关系 </w:t>
      </w:r>
    </w:p>
    <w:p w14:paraId="4632B60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G．存在共同直接或间接投资设立子公司、联营企业和合营企业情况 </w:t>
      </w:r>
    </w:p>
    <w:p w14:paraId="01A6C5C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H．存在分级代理或代销关系、同一生产制造商关系、管理关系、重要业务（占主营业务收入 50 ％以上）或重要财务 往来关系（如融资）等其他实质性控制关系 </w:t>
      </w:r>
    </w:p>
    <w:p w14:paraId="2F9CD52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I．其他利害关系情况 ________________________________________。 </w:t>
      </w:r>
    </w:p>
    <w:p w14:paraId="08DEC0A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三、现己清楚知道并严格遵守政府采购法律法规和现场纪律。 </w:t>
      </w:r>
    </w:p>
    <w:p w14:paraId="656A39C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四、我发现 ____________________供应商之间存在或可能存在上述第二条第 ____________项利害关系。 </w:t>
      </w:r>
    </w:p>
    <w:p w14:paraId="652BC85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五、经检查确认所有投标人投标文件 口 不存在密封包装问题 口 存在密封包装问题（具体指 出）__________________________________。 </w:t>
      </w:r>
    </w:p>
    <w:p w14:paraId="035A252F">
      <w:pPr>
        <w:spacing w:line="360" w:lineRule="auto"/>
        <w:ind w:firstLine="420" w:firstLineChars="200"/>
        <w:rPr>
          <w:rFonts w:hint="eastAsia" w:ascii="仿宋" w:hAnsi="仿宋" w:eastAsia="仿宋" w:cs="仿宋"/>
          <w:color w:val="auto"/>
          <w:szCs w:val="21"/>
          <w:highlight w:val="none"/>
        </w:rPr>
      </w:pPr>
    </w:p>
    <w:p w14:paraId="0BBF8B52">
      <w:pP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（供应商代表签名）: </w:t>
      </w:r>
    </w:p>
    <w:p w14:paraId="13D578F7">
      <w:pP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202  年  月   日</w:t>
      </w:r>
    </w:p>
    <w:p w14:paraId="6E989239">
      <w:pPr>
        <w:kinsoku/>
        <w:overflowPunct/>
        <w:topLinePunct w:val="0"/>
        <w:bidi w:val="0"/>
        <w:spacing w:line="360" w:lineRule="auto"/>
        <w:textAlignment w:val="auto"/>
        <w:rPr>
          <w:rFonts w:hint="eastAsia" w:ascii="仿宋" w:hAnsi="仿宋" w:eastAsia="仿宋" w:cs="仿宋"/>
          <w:bCs/>
          <w:color w:val="auto"/>
          <w:sz w:val="24"/>
          <w:szCs w:val="24"/>
          <w:highlight w:val="none"/>
        </w:rPr>
      </w:pPr>
    </w:p>
    <w:p w14:paraId="0EFFC071">
      <w:pPr>
        <w:spacing w:line="360" w:lineRule="auto"/>
        <w:ind w:right="420" w:firstLine="480" w:firstLineChars="200"/>
        <w:rPr>
          <w:rFonts w:hint="eastAsia" w:ascii="宋体" w:hAnsi="宋体" w:eastAsia="宋体" w:cs="宋体"/>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方正公文小标宋"/>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1"/>
      <w:framePr w:wrap="around" w:vAnchor="text" w:hAnchor="margin" w:xAlign="right" w:y="1"/>
      <w:rPr>
        <w:rStyle w:val="72"/>
      </w:rPr>
    </w:pPr>
    <w:r>
      <w:fldChar w:fldCharType="begin"/>
    </w:r>
    <w:r>
      <w:rPr>
        <w:rStyle w:val="72"/>
      </w:rPr>
      <w:instrText xml:space="preserve">PAGE  </w:instrText>
    </w:r>
    <w:r>
      <w:fldChar w:fldCharType="end"/>
    </w:r>
  </w:p>
  <w:p w14:paraId="65FC6C0A">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9" w:name="_Toc36110187"/>
    <w:bookmarkStart w:id="520" w:name="_Toc164085800"/>
    <w:bookmarkStart w:id="521" w:name="_Toc91899912"/>
    <w:bookmarkStart w:id="522" w:name="_Toc131845147"/>
    <w:r>
      <w:rPr>
        <w:rFonts w:hint="eastAsia" w:ascii="仿宋_GB2312" w:eastAsia="仿宋_GB2312"/>
        <w:kern w:val="0"/>
        <w:szCs w:val="21"/>
      </w:rPr>
      <w:t xml:space="preserve"> 页</w:t>
    </w:r>
    <w:bookmarkEnd w:id="519"/>
    <w:bookmarkEnd w:id="520"/>
    <w:bookmarkEnd w:id="521"/>
    <w:bookmarkEnd w:id="5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1"/>
      <w:framePr w:wrap="around" w:vAnchor="text" w:hAnchor="margin" w:xAlign="right" w:y="1"/>
      <w:rPr>
        <w:rStyle w:val="72"/>
      </w:rPr>
    </w:pPr>
    <w:r>
      <w:fldChar w:fldCharType="begin"/>
    </w:r>
    <w:r>
      <w:rPr>
        <w:rStyle w:val="72"/>
      </w:rPr>
      <w:instrText xml:space="preserve">PAGE  </w:instrText>
    </w:r>
    <w:r>
      <w:fldChar w:fldCharType="end"/>
    </w:r>
  </w:p>
  <w:p w14:paraId="5E0900A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2"/>
      <w:pBdr>
        <w:bottom w:val="single" w:color="auto" w:sz="6" w:space="4"/>
      </w:pBdr>
      <w:jc w:val="right"/>
    </w:pPr>
    <w:r>
      <w:t></w:t>
    </w:r>
    <w:r>
      <w:rPr>
        <w:rFonts w:hint="eastAsia"/>
      </w:rPr>
      <w:t xml:space="preserve">             </w:t>
    </w:r>
    <w:r>
      <w:t>杭州市政府采购公开招标文件</w:t>
    </w:r>
  </w:p>
  <w:p w14:paraId="5E9780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2"/>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2"/>
    </w:pPr>
    <w:r>
      <w:t></w:t>
    </w:r>
    <w:r>
      <w:rPr>
        <w:rFonts w:hint="eastAsia"/>
      </w:rPr>
      <w:t xml:space="preserve">         </w:t>
    </w:r>
  </w:p>
  <w:p w14:paraId="6F97612A">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2"/>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2"/>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4C26"/>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649"/>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D1E9F"/>
    <w:rsid w:val="01DF6BF8"/>
    <w:rsid w:val="01EC2C57"/>
    <w:rsid w:val="024C6D3E"/>
    <w:rsid w:val="025D4D8E"/>
    <w:rsid w:val="025F0711"/>
    <w:rsid w:val="026B2E25"/>
    <w:rsid w:val="02824D4D"/>
    <w:rsid w:val="02A227A1"/>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7B3A34"/>
    <w:rsid w:val="06930BB8"/>
    <w:rsid w:val="07245D42"/>
    <w:rsid w:val="07264C62"/>
    <w:rsid w:val="07373DFF"/>
    <w:rsid w:val="0779354C"/>
    <w:rsid w:val="078D7EC3"/>
    <w:rsid w:val="08061376"/>
    <w:rsid w:val="08452D77"/>
    <w:rsid w:val="086401F8"/>
    <w:rsid w:val="08751CAA"/>
    <w:rsid w:val="087E4C40"/>
    <w:rsid w:val="08A60987"/>
    <w:rsid w:val="08A871D0"/>
    <w:rsid w:val="08D66AD6"/>
    <w:rsid w:val="08DA33A3"/>
    <w:rsid w:val="08E43B13"/>
    <w:rsid w:val="08E80F13"/>
    <w:rsid w:val="08FA3336"/>
    <w:rsid w:val="09335624"/>
    <w:rsid w:val="0944690F"/>
    <w:rsid w:val="09535675"/>
    <w:rsid w:val="095F057D"/>
    <w:rsid w:val="09642282"/>
    <w:rsid w:val="09733572"/>
    <w:rsid w:val="09772C16"/>
    <w:rsid w:val="097E7AC3"/>
    <w:rsid w:val="098353B5"/>
    <w:rsid w:val="09A92330"/>
    <w:rsid w:val="09B06B87"/>
    <w:rsid w:val="09BE4364"/>
    <w:rsid w:val="09C13146"/>
    <w:rsid w:val="09E04166"/>
    <w:rsid w:val="0A1C0718"/>
    <w:rsid w:val="0A3E7710"/>
    <w:rsid w:val="0A4E70E3"/>
    <w:rsid w:val="0A5B7E63"/>
    <w:rsid w:val="0AA374A5"/>
    <w:rsid w:val="0AAB7649"/>
    <w:rsid w:val="0ABC5606"/>
    <w:rsid w:val="0ADE474B"/>
    <w:rsid w:val="0B297F03"/>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06645"/>
    <w:rsid w:val="0CC617AC"/>
    <w:rsid w:val="0CE618DF"/>
    <w:rsid w:val="0CFE707A"/>
    <w:rsid w:val="0D063BDA"/>
    <w:rsid w:val="0D08375F"/>
    <w:rsid w:val="0D184CFB"/>
    <w:rsid w:val="0D3F756A"/>
    <w:rsid w:val="0D4A7419"/>
    <w:rsid w:val="0D827401"/>
    <w:rsid w:val="0D84094E"/>
    <w:rsid w:val="0D8A00E9"/>
    <w:rsid w:val="0D8D589E"/>
    <w:rsid w:val="0DA01C73"/>
    <w:rsid w:val="0DB53CD0"/>
    <w:rsid w:val="0DC21F49"/>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C30F4"/>
    <w:rsid w:val="0FBF3FD2"/>
    <w:rsid w:val="0FBF7FF3"/>
    <w:rsid w:val="0FC401FA"/>
    <w:rsid w:val="10646583"/>
    <w:rsid w:val="107D4B15"/>
    <w:rsid w:val="108A3C80"/>
    <w:rsid w:val="10BB15FD"/>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81385"/>
    <w:rsid w:val="135F4BE2"/>
    <w:rsid w:val="137F2DB6"/>
    <w:rsid w:val="139B1A0A"/>
    <w:rsid w:val="139D25C7"/>
    <w:rsid w:val="13BF3CE4"/>
    <w:rsid w:val="13CE750E"/>
    <w:rsid w:val="141008D8"/>
    <w:rsid w:val="14125FE6"/>
    <w:rsid w:val="146D271E"/>
    <w:rsid w:val="14982588"/>
    <w:rsid w:val="149A5AD9"/>
    <w:rsid w:val="14A702C2"/>
    <w:rsid w:val="14A7619D"/>
    <w:rsid w:val="150536C3"/>
    <w:rsid w:val="150C1963"/>
    <w:rsid w:val="151447A0"/>
    <w:rsid w:val="15227E9D"/>
    <w:rsid w:val="154A6454"/>
    <w:rsid w:val="15762120"/>
    <w:rsid w:val="1686445B"/>
    <w:rsid w:val="168E369D"/>
    <w:rsid w:val="16A8729C"/>
    <w:rsid w:val="16B33777"/>
    <w:rsid w:val="16BC70A7"/>
    <w:rsid w:val="16C6339E"/>
    <w:rsid w:val="172F2D79"/>
    <w:rsid w:val="17557BEF"/>
    <w:rsid w:val="17935082"/>
    <w:rsid w:val="17D349C1"/>
    <w:rsid w:val="1830729E"/>
    <w:rsid w:val="1870062C"/>
    <w:rsid w:val="18817102"/>
    <w:rsid w:val="18830A15"/>
    <w:rsid w:val="18852B28"/>
    <w:rsid w:val="188B5321"/>
    <w:rsid w:val="18F34D83"/>
    <w:rsid w:val="19932372"/>
    <w:rsid w:val="19A20DD5"/>
    <w:rsid w:val="19AE03F1"/>
    <w:rsid w:val="19F45B80"/>
    <w:rsid w:val="1A071A03"/>
    <w:rsid w:val="1A1F16AE"/>
    <w:rsid w:val="1A3B5C77"/>
    <w:rsid w:val="1A78055F"/>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A6C0D"/>
    <w:rsid w:val="1D266CE1"/>
    <w:rsid w:val="1D3249F5"/>
    <w:rsid w:val="1D3963AF"/>
    <w:rsid w:val="1D6A673C"/>
    <w:rsid w:val="1D9247AE"/>
    <w:rsid w:val="1DB567EC"/>
    <w:rsid w:val="1DCF493A"/>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0C31E08"/>
    <w:rsid w:val="211116EB"/>
    <w:rsid w:val="216133FC"/>
    <w:rsid w:val="21D56769"/>
    <w:rsid w:val="21E52EF3"/>
    <w:rsid w:val="21FB5D7B"/>
    <w:rsid w:val="22015E94"/>
    <w:rsid w:val="220B1C3D"/>
    <w:rsid w:val="221D1D20"/>
    <w:rsid w:val="22334A87"/>
    <w:rsid w:val="226D06CE"/>
    <w:rsid w:val="22811D6C"/>
    <w:rsid w:val="22BE6801"/>
    <w:rsid w:val="23290648"/>
    <w:rsid w:val="233500BF"/>
    <w:rsid w:val="23377FF7"/>
    <w:rsid w:val="236B425F"/>
    <w:rsid w:val="23836192"/>
    <w:rsid w:val="23901F29"/>
    <w:rsid w:val="239C0061"/>
    <w:rsid w:val="23B908A4"/>
    <w:rsid w:val="23E95BEF"/>
    <w:rsid w:val="23FD0064"/>
    <w:rsid w:val="24174147"/>
    <w:rsid w:val="245375B0"/>
    <w:rsid w:val="24642C0A"/>
    <w:rsid w:val="24727DCD"/>
    <w:rsid w:val="24B22173"/>
    <w:rsid w:val="24B95AD9"/>
    <w:rsid w:val="24BE24DA"/>
    <w:rsid w:val="24C745BD"/>
    <w:rsid w:val="24CF5825"/>
    <w:rsid w:val="24D663E6"/>
    <w:rsid w:val="24D77F2B"/>
    <w:rsid w:val="24EC4023"/>
    <w:rsid w:val="258B00E2"/>
    <w:rsid w:val="25A917A6"/>
    <w:rsid w:val="25BE27CC"/>
    <w:rsid w:val="25F74A5C"/>
    <w:rsid w:val="2628662C"/>
    <w:rsid w:val="262D45DE"/>
    <w:rsid w:val="26871DC8"/>
    <w:rsid w:val="26A53EF9"/>
    <w:rsid w:val="26A94201"/>
    <w:rsid w:val="26AC274F"/>
    <w:rsid w:val="26DE799C"/>
    <w:rsid w:val="26E52AD8"/>
    <w:rsid w:val="27044A29"/>
    <w:rsid w:val="271D34C8"/>
    <w:rsid w:val="276142BF"/>
    <w:rsid w:val="27783712"/>
    <w:rsid w:val="27907362"/>
    <w:rsid w:val="27E64D5A"/>
    <w:rsid w:val="28333E1D"/>
    <w:rsid w:val="28454BD6"/>
    <w:rsid w:val="28455253"/>
    <w:rsid w:val="28551971"/>
    <w:rsid w:val="285B1C53"/>
    <w:rsid w:val="289123ED"/>
    <w:rsid w:val="289F7086"/>
    <w:rsid w:val="28C32028"/>
    <w:rsid w:val="28CC490F"/>
    <w:rsid w:val="28DE40AA"/>
    <w:rsid w:val="28E76FDC"/>
    <w:rsid w:val="28F9286B"/>
    <w:rsid w:val="29345E77"/>
    <w:rsid w:val="294C65AD"/>
    <w:rsid w:val="29806583"/>
    <w:rsid w:val="298B3C4C"/>
    <w:rsid w:val="299627B0"/>
    <w:rsid w:val="29F26D24"/>
    <w:rsid w:val="2A15033F"/>
    <w:rsid w:val="2A1662C1"/>
    <w:rsid w:val="2A1C7367"/>
    <w:rsid w:val="2A2815FA"/>
    <w:rsid w:val="2A6D6092"/>
    <w:rsid w:val="2A7D76B4"/>
    <w:rsid w:val="2ACB0237"/>
    <w:rsid w:val="2B0B4D2E"/>
    <w:rsid w:val="2B437463"/>
    <w:rsid w:val="2B7807EE"/>
    <w:rsid w:val="2BA50BF7"/>
    <w:rsid w:val="2BBF00EC"/>
    <w:rsid w:val="2BC37CFD"/>
    <w:rsid w:val="2BD5237F"/>
    <w:rsid w:val="2BD650E5"/>
    <w:rsid w:val="2BE536CE"/>
    <w:rsid w:val="2BE758D9"/>
    <w:rsid w:val="2C09049E"/>
    <w:rsid w:val="2C0A653C"/>
    <w:rsid w:val="2C191F85"/>
    <w:rsid w:val="2C74487D"/>
    <w:rsid w:val="2CE82D6F"/>
    <w:rsid w:val="2D343236"/>
    <w:rsid w:val="2D804839"/>
    <w:rsid w:val="2D986AF6"/>
    <w:rsid w:val="2DAE631A"/>
    <w:rsid w:val="2DD15014"/>
    <w:rsid w:val="2DEF06E0"/>
    <w:rsid w:val="2DF72DE4"/>
    <w:rsid w:val="2E0220AF"/>
    <w:rsid w:val="2E4B082A"/>
    <w:rsid w:val="2E552C39"/>
    <w:rsid w:val="2E5D4E86"/>
    <w:rsid w:val="2E5D790B"/>
    <w:rsid w:val="2E944D04"/>
    <w:rsid w:val="2E9A3C18"/>
    <w:rsid w:val="2E9F6140"/>
    <w:rsid w:val="2EBB0FEE"/>
    <w:rsid w:val="2EC63002"/>
    <w:rsid w:val="2F0A6B38"/>
    <w:rsid w:val="2F946CCB"/>
    <w:rsid w:val="2FD25781"/>
    <w:rsid w:val="2FDC745C"/>
    <w:rsid w:val="2FEB7777"/>
    <w:rsid w:val="2FF62819"/>
    <w:rsid w:val="2FFD7934"/>
    <w:rsid w:val="30093CDB"/>
    <w:rsid w:val="30733ACD"/>
    <w:rsid w:val="308C3862"/>
    <w:rsid w:val="309379D8"/>
    <w:rsid w:val="30A270F7"/>
    <w:rsid w:val="30DF1478"/>
    <w:rsid w:val="30E958BB"/>
    <w:rsid w:val="30EC586F"/>
    <w:rsid w:val="310402C4"/>
    <w:rsid w:val="31271F3F"/>
    <w:rsid w:val="314550B7"/>
    <w:rsid w:val="31733BEC"/>
    <w:rsid w:val="319C6071"/>
    <w:rsid w:val="31AC537E"/>
    <w:rsid w:val="31E3679B"/>
    <w:rsid w:val="31E732FD"/>
    <w:rsid w:val="32517576"/>
    <w:rsid w:val="32596C49"/>
    <w:rsid w:val="32674CE9"/>
    <w:rsid w:val="32BE5C2C"/>
    <w:rsid w:val="32FB6478"/>
    <w:rsid w:val="33263B3F"/>
    <w:rsid w:val="335039CF"/>
    <w:rsid w:val="336963EB"/>
    <w:rsid w:val="33816EEB"/>
    <w:rsid w:val="33EB55CD"/>
    <w:rsid w:val="33EC4C02"/>
    <w:rsid w:val="340D2360"/>
    <w:rsid w:val="3410665D"/>
    <w:rsid w:val="34211214"/>
    <w:rsid w:val="342866FA"/>
    <w:rsid w:val="342E63AB"/>
    <w:rsid w:val="343155AF"/>
    <w:rsid w:val="34950E68"/>
    <w:rsid w:val="34963664"/>
    <w:rsid w:val="34986E94"/>
    <w:rsid w:val="34AF62C9"/>
    <w:rsid w:val="34CB4388"/>
    <w:rsid w:val="34FA6E12"/>
    <w:rsid w:val="354D7158"/>
    <w:rsid w:val="358D5588"/>
    <w:rsid w:val="35EC556F"/>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102064"/>
    <w:rsid w:val="39636459"/>
    <w:rsid w:val="396B7F6C"/>
    <w:rsid w:val="39B417A9"/>
    <w:rsid w:val="39FC5695"/>
    <w:rsid w:val="3A006D8E"/>
    <w:rsid w:val="3A322081"/>
    <w:rsid w:val="3A3651E5"/>
    <w:rsid w:val="3A744481"/>
    <w:rsid w:val="3A7B57D6"/>
    <w:rsid w:val="3A8C7BEF"/>
    <w:rsid w:val="3A906246"/>
    <w:rsid w:val="3AAD1707"/>
    <w:rsid w:val="3B2349B7"/>
    <w:rsid w:val="3B616CFF"/>
    <w:rsid w:val="3B6259F6"/>
    <w:rsid w:val="3B976654"/>
    <w:rsid w:val="3BC01EFC"/>
    <w:rsid w:val="3BCA786A"/>
    <w:rsid w:val="3BD31E2F"/>
    <w:rsid w:val="3BF15831"/>
    <w:rsid w:val="3C105946"/>
    <w:rsid w:val="3C471448"/>
    <w:rsid w:val="3C5F759A"/>
    <w:rsid w:val="3C6C525A"/>
    <w:rsid w:val="3C917532"/>
    <w:rsid w:val="3CCE23CB"/>
    <w:rsid w:val="3CD17D17"/>
    <w:rsid w:val="3CFE26EE"/>
    <w:rsid w:val="3D3C7F39"/>
    <w:rsid w:val="3D440F09"/>
    <w:rsid w:val="3D4504A0"/>
    <w:rsid w:val="3D8734BB"/>
    <w:rsid w:val="3D9A11D4"/>
    <w:rsid w:val="3DA16D89"/>
    <w:rsid w:val="3DA364BE"/>
    <w:rsid w:val="3DDF607B"/>
    <w:rsid w:val="3DE041CB"/>
    <w:rsid w:val="3E0D48F6"/>
    <w:rsid w:val="3E1868B4"/>
    <w:rsid w:val="3E377251"/>
    <w:rsid w:val="3E42664B"/>
    <w:rsid w:val="3E5A7334"/>
    <w:rsid w:val="3E7B5D6B"/>
    <w:rsid w:val="3E843E66"/>
    <w:rsid w:val="3E8630F4"/>
    <w:rsid w:val="3E8F51FE"/>
    <w:rsid w:val="3E926F87"/>
    <w:rsid w:val="3E9A59DE"/>
    <w:rsid w:val="3EA5765F"/>
    <w:rsid w:val="3EAF4836"/>
    <w:rsid w:val="3EC33DFA"/>
    <w:rsid w:val="3F060E16"/>
    <w:rsid w:val="3F1D1096"/>
    <w:rsid w:val="3F2F0234"/>
    <w:rsid w:val="3F6363FE"/>
    <w:rsid w:val="3F756B8F"/>
    <w:rsid w:val="3F95482B"/>
    <w:rsid w:val="4019356B"/>
    <w:rsid w:val="4047615A"/>
    <w:rsid w:val="40592157"/>
    <w:rsid w:val="406E1CAE"/>
    <w:rsid w:val="407C22A8"/>
    <w:rsid w:val="40A0133A"/>
    <w:rsid w:val="40C31A53"/>
    <w:rsid w:val="40FF545D"/>
    <w:rsid w:val="410067C8"/>
    <w:rsid w:val="418C02C8"/>
    <w:rsid w:val="418F0D2A"/>
    <w:rsid w:val="41D01505"/>
    <w:rsid w:val="42380450"/>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3BDB"/>
    <w:rsid w:val="43C77C27"/>
    <w:rsid w:val="43DE09EE"/>
    <w:rsid w:val="44002FAD"/>
    <w:rsid w:val="449101DD"/>
    <w:rsid w:val="44DE1391"/>
    <w:rsid w:val="451B225C"/>
    <w:rsid w:val="452410C9"/>
    <w:rsid w:val="45317DFB"/>
    <w:rsid w:val="456D3CE4"/>
    <w:rsid w:val="4579042C"/>
    <w:rsid w:val="457F0571"/>
    <w:rsid w:val="45851176"/>
    <w:rsid w:val="45C63B94"/>
    <w:rsid w:val="46072613"/>
    <w:rsid w:val="460E7DA5"/>
    <w:rsid w:val="46130FB8"/>
    <w:rsid w:val="46422483"/>
    <w:rsid w:val="4659254A"/>
    <w:rsid w:val="465B0637"/>
    <w:rsid w:val="465E3F0D"/>
    <w:rsid w:val="466A16E6"/>
    <w:rsid w:val="46893F2B"/>
    <w:rsid w:val="46C10A14"/>
    <w:rsid w:val="46C4686E"/>
    <w:rsid w:val="474D04FA"/>
    <w:rsid w:val="477B778F"/>
    <w:rsid w:val="478203EC"/>
    <w:rsid w:val="47B025FA"/>
    <w:rsid w:val="4809698F"/>
    <w:rsid w:val="4811697D"/>
    <w:rsid w:val="487A3E25"/>
    <w:rsid w:val="488B5503"/>
    <w:rsid w:val="48937E21"/>
    <w:rsid w:val="489A0361"/>
    <w:rsid w:val="48B94FF3"/>
    <w:rsid w:val="48E37AAB"/>
    <w:rsid w:val="48F6071D"/>
    <w:rsid w:val="48FD4B4C"/>
    <w:rsid w:val="490A68E0"/>
    <w:rsid w:val="491055FE"/>
    <w:rsid w:val="491D5CAA"/>
    <w:rsid w:val="49382AE4"/>
    <w:rsid w:val="495F5B3E"/>
    <w:rsid w:val="496F77D7"/>
    <w:rsid w:val="497654FD"/>
    <w:rsid w:val="49B64211"/>
    <w:rsid w:val="49BD2C8E"/>
    <w:rsid w:val="49E56AF9"/>
    <w:rsid w:val="49F6167F"/>
    <w:rsid w:val="4A064FA0"/>
    <w:rsid w:val="4A16615C"/>
    <w:rsid w:val="4A4424D7"/>
    <w:rsid w:val="4AB82D0F"/>
    <w:rsid w:val="4ACE1952"/>
    <w:rsid w:val="4AEB7664"/>
    <w:rsid w:val="4AFD7C19"/>
    <w:rsid w:val="4B0567D1"/>
    <w:rsid w:val="4B236AAE"/>
    <w:rsid w:val="4B65492A"/>
    <w:rsid w:val="4B707271"/>
    <w:rsid w:val="4B8F2B43"/>
    <w:rsid w:val="4B9739F7"/>
    <w:rsid w:val="4BEE2503"/>
    <w:rsid w:val="4C245A30"/>
    <w:rsid w:val="4CB6685F"/>
    <w:rsid w:val="4CC367FE"/>
    <w:rsid w:val="4CE4720A"/>
    <w:rsid w:val="4D077F3C"/>
    <w:rsid w:val="4D123355"/>
    <w:rsid w:val="4D2A3B31"/>
    <w:rsid w:val="4D312C52"/>
    <w:rsid w:val="4D905305"/>
    <w:rsid w:val="4D964A72"/>
    <w:rsid w:val="4D9C1254"/>
    <w:rsid w:val="4E102281"/>
    <w:rsid w:val="4E52289A"/>
    <w:rsid w:val="4E793892"/>
    <w:rsid w:val="4E800872"/>
    <w:rsid w:val="4E802F63"/>
    <w:rsid w:val="4EC569ED"/>
    <w:rsid w:val="4ED50EA1"/>
    <w:rsid w:val="4EEC050C"/>
    <w:rsid w:val="4F104EC3"/>
    <w:rsid w:val="4F47354A"/>
    <w:rsid w:val="4F6D4A83"/>
    <w:rsid w:val="4F911C54"/>
    <w:rsid w:val="4FE625E0"/>
    <w:rsid w:val="5021480F"/>
    <w:rsid w:val="503C110B"/>
    <w:rsid w:val="50962ECB"/>
    <w:rsid w:val="50970A38"/>
    <w:rsid w:val="50A42E38"/>
    <w:rsid w:val="50A4577F"/>
    <w:rsid w:val="50B73D1F"/>
    <w:rsid w:val="50BD5BC9"/>
    <w:rsid w:val="50C11EEE"/>
    <w:rsid w:val="50E97CFC"/>
    <w:rsid w:val="50FA4028"/>
    <w:rsid w:val="510D65B7"/>
    <w:rsid w:val="511157AB"/>
    <w:rsid w:val="513D15DF"/>
    <w:rsid w:val="5142540C"/>
    <w:rsid w:val="5144296E"/>
    <w:rsid w:val="518832C8"/>
    <w:rsid w:val="519D3C50"/>
    <w:rsid w:val="51A0432A"/>
    <w:rsid w:val="51A86090"/>
    <w:rsid w:val="51B11685"/>
    <w:rsid w:val="51B7396D"/>
    <w:rsid w:val="5224454D"/>
    <w:rsid w:val="522E4CC3"/>
    <w:rsid w:val="5244713B"/>
    <w:rsid w:val="52615633"/>
    <w:rsid w:val="526F4DE4"/>
    <w:rsid w:val="52977FD4"/>
    <w:rsid w:val="52A25790"/>
    <w:rsid w:val="52A96B6F"/>
    <w:rsid w:val="52B45975"/>
    <w:rsid w:val="52D94AA4"/>
    <w:rsid w:val="52EA3A62"/>
    <w:rsid w:val="52F50BB8"/>
    <w:rsid w:val="52FB1B0B"/>
    <w:rsid w:val="53097272"/>
    <w:rsid w:val="53544462"/>
    <w:rsid w:val="53654E1D"/>
    <w:rsid w:val="5397158E"/>
    <w:rsid w:val="54013861"/>
    <w:rsid w:val="54487265"/>
    <w:rsid w:val="544D6070"/>
    <w:rsid w:val="54605E1E"/>
    <w:rsid w:val="5463310B"/>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444C2E"/>
    <w:rsid w:val="575D12B5"/>
    <w:rsid w:val="57610A87"/>
    <w:rsid w:val="577B1140"/>
    <w:rsid w:val="577B7F21"/>
    <w:rsid w:val="577F181B"/>
    <w:rsid w:val="57921984"/>
    <w:rsid w:val="579737F0"/>
    <w:rsid w:val="57AB7B30"/>
    <w:rsid w:val="57AF5251"/>
    <w:rsid w:val="57B26373"/>
    <w:rsid w:val="57B63F04"/>
    <w:rsid w:val="57CD20C2"/>
    <w:rsid w:val="57D60097"/>
    <w:rsid w:val="57D675AB"/>
    <w:rsid w:val="57D95FDD"/>
    <w:rsid w:val="580E15DF"/>
    <w:rsid w:val="58615BB3"/>
    <w:rsid w:val="58733B38"/>
    <w:rsid w:val="58917D2F"/>
    <w:rsid w:val="58922210"/>
    <w:rsid w:val="5894085C"/>
    <w:rsid w:val="58AE4F0C"/>
    <w:rsid w:val="58B85899"/>
    <w:rsid w:val="58C63C68"/>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6A5BAA"/>
    <w:rsid w:val="5B843A1C"/>
    <w:rsid w:val="5B873E3F"/>
    <w:rsid w:val="5C02690E"/>
    <w:rsid w:val="5C196DA7"/>
    <w:rsid w:val="5C2A048C"/>
    <w:rsid w:val="5C80234E"/>
    <w:rsid w:val="5C8A680C"/>
    <w:rsid w:val="5CF35D1E"/>
    <w:rsid w:val="5D0C4701"/>
    <w:rsid w:val="5D0F0395"/>
    <w:rsid w:val="5D11177F"/>
    <w:rsid w:val="5D221076"/>
    <w:rsid w:val="5D397964"/>
    <w:rsid w:val="5D4D2BAA"/>
    <w:rsid w:val="5D5A391C"/>
    <w:rsid w:val="5D5F10C0"/>
    <w:rsid w:val="5D891B7B"/>
    <w:rsid w:val="5DAD38EE"/>
    <w:rsid w:val="5DCC7F73"/>
    <w:rsid w:val="5E006862"/>
    <w:rsid w:val="5E0207B9"/>
    <w:rsid w:val="5E1834A1"/>
    <w:rsid w:val="5E261785"/>
    <w:rsid w:val="5E4A7017"/>
    <w:rsid w:val="5E552BBA"/>
    <w:rsid w:val="5E611C10"/>
    <w:rsid w:val="5E7A0F3F"/>
    <w:rsid w:val="5E7C0D5B"/>
    <w:rsid w:val="5EFC7377"/>
    <w:rsid w:val="5F06174D"/>
    <w:rsid w:val="5F3A3602"/>
    <w:rsid w:val="5F45733B"/>
    <w:rsid w:val="5F4B3119"/>
    <w:rsid w:val="5F6277C6"/>
    <w:rsid w:val="5F6D0B1D"/>
    <w:rsid w:val="5F8D0B82"/>
    <w:rsid w:val="5F93061C"/>
    <w:rsid w:val="5FCC5339"/>
    <w:rsid w:val="5FE34A5B"/>
    <w:rsid w:val="5FFE1E36"/>
    <w:rsid w:val="60232584"/>
    <w:rsid w:val="607330CE"/>
    <w:rsid w:val="60825176"/>
    <w:rsid w:val="609F2AC4"/>
    <w:rsid w:val="60B3541A"/>
    <w:rsid w:val="60FA2EE8"/>
    <w:rsid w:val="60FC0DF8"/>
    <w:rsid w:val="61054A27"/>
    <w:rsid w:val="610572F8"/>
    <w:rsid w:val="610A52BC"/>
    <w:rsid w:val="611D2366"/>
    <w:rsid w:val="61286D3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C2941"/>
    <w:rsid w:val="643E143A"/>
    <w:rsid w:val="64491666"/>
    <w:rsid w:val="648B6EEF"/>
    <w:rsid w:val="649B41FB"/>
    <w:rsid w:val="64C158BF"/>
    <w:rsid w:val="64CE2EAA"/>
    <w:rsid w:val="653C3090"/>
    <w:rsid w:val="65854376"/>
    <w:rsid w:val="658767BE"/>
    <w:rsid w:val="65892531"/>
    <w:rsid w:val="65D26D1A"/>
    <w:rsid w:val="66195831"/>
    <w:rsid w:val="662E75B1"/>
    <w:rsid w:val="66342C2E"/>
    <w:rsid w:val="663E784C"/>
    <w:rsid w:val="664B39FF"/>
    <w:rsid w:val="668B6A45"/>
    <w:rsid w:val="66BB0B84"/>
    <w:rsid w:val="67011F07"/>
    <w:rsid w:val="672F3F24"/>
    <w:rsid w:val="673E055F"/>
    <w:rsid w:val="67551CE3"/>
    <w:rsid w:val="67A22552"/>
    <w:rsid w:val="67B22DCC"/>
    <w:rsid w:val="67BE71AA"/>
    <w:rsid w:val="67D90273"/>
    <w:rsid w:val="67DE5875"/>
    <w:rsid w:val="67E55852"/>
    <w:rsid w:val="67EB1AB4"/>
    <w:rsid w:val="67FA1285"/>
    <w:rsid w:val="68437083"/>
    <w:rsid w:val="68551F4F"/>
    <w:rsid w:val="687C10C9"/>
    <w:rsid w:val="68840C16"/>
    <w:rsid w:val="68872541"/>
    <w:rsid w:val="68876EFB"/>
    <w:rsid w:val="68884654"/>
    <w:rsid w:val="689F444F"/>
    <w:rsid w:val="68B96DBB"/>
    <w:rsid w:val="68CA2805"/>
    <w:rsid w:val="68E937A3"/>
    <w:rsid w:val="691664E5"/>
    <w:rsid w:val="693E15D3"/>
    <w:rsid w:val="69594684"/>
    <w:rsid w:val="69627681"/>
    <w:rsid w:val="6977531D"/>
    <w:rsid w:val="69CC2BFF"/>
    <w:rsid w:val="69FD55B8"/>
    <w:rsid w:val="6A0B1C62"/>
    <w:rsid w:val="6A2406C8"/>
    <w:rsid w:val="6ADE0BD1"/>
    <w:rsid w:val="6AE96859"/>
    <w:rsid w:val="6B147746"/>
    <w:rsid w:val="6B24787C"/>
    <w:rsid w:val="6B573233"/>
    <w:rsid w:val="6B581098"/>
    <w:rsid w:val="6B5B6274"/>
    <w:rsid w:val="6B935D53"/>
    <w:rsid w:val="6BD6020E"/>
    <w:rsid w:val="6C196F71"/>
    <w:rsid w:val="6C2006E7"/>
    <w:rsid w:val="6C226FCB"/>
    <w:rsid w:val="6C31226F"/>
    <w:rsid w:val="6C3311BD"/>
    <w:rsid w:val="6C552F0B"/>
    <w:rsid w:val="6C8C67B7"/>
    <w:rsid w:val="6C9D744C"/>
    <w:rsid w:val="6D167928"/>
    <w:rsid w:val="6D26299B"/>
    <w:rsid w:val="6D4772EC"/>
    <w:rsid w:val="6D9078AF"/>
    <w:rsid w:val="6DAA3FEF"/>
    <w:rsid w:val="6DC0172B"/>
    <w:rsid w:val="6DCB690C"/>
    <w:rsid w:val="6DD41A5B"/>
    <w:rsid w:val="6DF350A8"/>
    <w:rsid w:val="6DF43C2E"/>
    <w:rsid w:val="6DF51CA3"/>
    <w:rsid w:val="6E8335BD"/>
    <w:rsid w:val="6E8E12EF"/>
    <w:rsid w:val="6E972936"/>
    <w:rsid w:val="6ED446C5"/>
    <w:rsid w:val="6F2A7D94"/>
    <w:rsid w:val="6F8331F1"/>
    <w:rsid w:val="6FAE1A09"/>
    <w:rsid w:val="6FD75BF8"/>
    <w:rsid w:val="704B4683"/>
    <w:rsid w:val="707723D0"/>
    <w:rsid w:val="70F5661B"/>
    <w:rsid w:val="71341C5F"/>
    <w:rsid w:val="71360107"/>
    <w:rsid w:val="713B688E"/>
    <w:rsid w:val="71D43752"/>
    <w:rsid w:val="71F1796A"/>
    <w:rsid w:val="72154626"/>
    <w:rsid w:val="72262B5D"/>
    <w:rsid w:val="72283FF7"/>
    <w:rsid w:val="722E7212"/>
    <w:rsid w:val="723A0474"/>
    <w:rsid w:val="725923E4"/>
    <w:rsid w:val="72864BF7"/>
    <w:rsid w:val="729023FC"/>
    <w:rsid w:val="72D37256"/>
    <w:rsid w:val="73C0646E"/>
    <w:rsid w:val="73E7CF11"/>
    <w:rsid w:val="742222F5"/>
    <w:rsid w:val="74476126"/>
    <w:rsid w:val="74706664"/>
    <w:rsid w:val="747F3682"/>
    <w:rsid w:val="749C4185"/>
    <w:rsid w:val="75067759"/>
    <w:rsid w:val="752E6DCD"/>
    <w:rsid w:val="75422471"/>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C07823"/>
    <w:rsid w:val="77D1700D"/>
    <w:rsid w:val="77EC04CC"/>
    <w:rsid w:val="78775729"/>
    <w:rsid w:val="78A42DB0"/>
    <w:rsid w:val="78A656AB"/>
    <w:rsid w:val="78B2245C"/>
    <w:rsid w:val="78E172CC"/>
    <w:rsid w:val="78EA1D1F"/>
    <w:rsid w:val="7904172F"/>
    <w:rsid w:val="790F7E27"/>
    <w:rsid w:val="791925C3"/>
    <w:rsid w:val="792A231A"/>
    <w:rsid w:val="79316829"/>
    <w:rsid w:val="797E66A9"/>
    <w:rsid w:val="798518A4"/>
    <w:rsid w:val="79A97383"/>
    <w:rsid w:val="79B7342D"/>
    <w:rsid w:val="79E27E8B"/>
    <w:rsid w:val="79F850CE"/>
    <w:rsid w:val="79FD443C"/>
    <w:rsid w:val="7A1D1975"/>
    <w:rsid w:val="7A3E5150"/>
    <w:rsid w:val="7A4670D6"/>
    <w:rsid w:val="7A534B63"/>
    <w:rsid w:val="7A615382"/>
    <w:rsid w:val="7A67303B"/>
    <w:rsid w:val="7AA00365"/>
    <w:rsid w:val="7AAB1D04"/>
    <w:rsid w:val="7ABA4368"/>
    <w:rsid w:val="7AD05746"/>
    <w:rsid w:val="7AFB4D96"/>
    <w:rsid w:val="7B257FFD"/>
    <w:rsid w:val="7B273D20"/>
    <w:rsid w:val="7B343476"/>
    <w:rsid w:val="7B5A2978"/>
    <w:rsid w:val="7B5A7E4C"/>
    <w:rsid w:val="7B667AF9"/>
    <w:rsid w:val="7B7468F8"/>
    <w:rsid w:val="7BA9702E"/>
    <w:rsid w:val="7BBB41B0"/>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B859C6"/>
    <w:rsid w:val="7DE60973"/>
    <w:rsid w:val="7DEF0916"/>
    <w:rsid w:val="7E1E5218"/>
    <w:rsid w:val="7E9A4E1F"/>
    <w:rsid w:val="7EA7723A"/>
    <w:rsid w:val="7EF56FBB"/>
    <w:rsid w:val="7F0768EB"/>
    <w:rsid w:val="7F143BEC"/>
    <w:rsid w:val="7F29325D"/>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1"/>
    <w:qFormat/>
    <w:uiPriority w:val="0"/>
    <w:pPr>
      <w:ind w:firstLine="420"/>
    </w:pPr>
    <w:rPr>
      <w:rFonts w:hAnsi="Calibri" w:cs="Times New Roman"/>
      <w:snapToGrid/>
      <w:szCs w:val="20"/>
    </w:rPr>
  </w:style>
  <w:style w:type="paragraph" w:styleId="3">
    <w:name w:val="Body Text"/>
    <w:basedOn w:val="1"/>
    <w:next w:val="2"/>
    <w:link w:val="430"/>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8">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2"/>
    <w:qFormat/>
    <w:uiPriority w:val="0"/>
    <w:pPr>
      <w:shd w:val="clear" w:color="auto" w:fill="000080"/>
    </w:p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仿宋_GB2312" w:eastAsia="仿宋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1"/>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4"/>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8"/>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1"/>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9"/>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9"/>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10"/>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3"/>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9"/>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2"/>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9"/>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4"/>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2"/>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3"/>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9"/>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0"/>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9"/>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9"/>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1"/>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0"/>
    <w:next w:val="1"/>
    <w:qFormat/>
    <w:uiPriority w:val="0"/>
    <w:pPr>
      <w:tabs>
        <w:tab w:val="left" w:pos="1080"/>
      </w:tabs>
      <w:ind w:left="1080" w:hanging="1080"/>
    </w:pPr>
  </w:style>
  <w:style w:type="paragraph" w:customStyle="1" w:styleId="897">
    <w:name w:val="数字标题1"/>
    <w:basedOn w:val="5"/>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纯文本3"/>
    <w:basedOn w:val="1"/>
    <w:qFormat/>
    <w:uiPriority w:val="99"/>
    <w:pPr>
      <w:adjustRightInd/>
      <w:snapToGrid w:val="0"/>
      <w:jc w:val="left"/>
    </w:pPr>
    <w:rPr>
      <w:rFonts w:ascii="Century Gothic" w:hAnsi="楷体_GB2312" w:eastAsia="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12680</Words>
  <Characters>13806</Characters>
  <Lines>281</Lines>
  <Paragraphs>79</Paragraphs>
  <TotalTime>59</TotalTime>
  <ScaleCrop>false</ScaleCrop>
  <LinksUpToDate>false</LinksUpToDate>
  <CharactersWithSpaces>14259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吴思慧</cp:lastModifiedBy>
  <cp:lastPrinted>2025-06-19T02:06:04Z</cp:lastPrinted>
  <dcterms:modified xsi:type="dcterms:W3CDTF">2025-06-19T02:51:53Z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eyJoZGlkIjoiYjY0NDc3YWJjOGM1OGRhMDMxYTlhZDA0MzFkMDJhODIiLCJ1c2VySWQiOiI1NzYxNjgwMjEifQ==</vt:lpwstr>
  </property>
</Properties>
</file>