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FA6EC">
      <w:pPr>
        <w:shd w:val="clear" w:color="auto" w:fill="FFFFFF"/>
        <w:tabs>
          <w:tab w:val="left" w:pos="4500"/>
        </w:tabs>
        <w:snapToGrid w:val="0"/>
        <w:spacing w:line="360" w:lineRule="auto"/>
        <w:textAlignment w:val="bottom"/>
        <w:rPr>
          <w:rFonts w:ascii="宋体" w:hAnsi="宋体" w:cs="宋体"/>
          <w:b/>
          <w:bCs/>
          <w:color w:val="auto"/>
          <w:spacing w:val="6"/>
          <w:sz w:val="52"/>
          <w:szCs w:val="52"/>
          <w:highlight w:val="none"/>
        </w:rPr>
      </w:pPr>
      <w:r>
        <w:rPr>
          <w:rFonts w:hint="eastAsia" w:eastAsia="宋体"/>
          <w:b/>
          <w:bCs/>
          <w:color w:val="auto"/>
          <w:sz w:val="48"/>
          <w:szCs w:val="48"/>
          <w:highlight w:val="none"/>
          <w:lang w:eastAsia="zh-CN"/>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7"/>
                    <a:stretch>
                      <a:fillRect/>
                    </a:stretch>
                  </pic:blipFill>
                  <pic:spPr>
                    <a:xfrm>
                      <a:off x="0" y="0"/>
                      <a:ext cx="1609725" cy="1418590"/>
                    </a:xfrm>
                    <a:prstGeom prst="rect">
                      <a:avLst/>
                    </a:prstGeom>
                  </pic:spPr>
                </pic:pic>
              </a:graphicData>
            </a:graphic>
          </wp:inline>
        </w:drawing>
      </w:r>
    </w:p>
    <w:p w14:paraId="573EA83E">
      <w:pPr>
        <w:shd w:val="clear" w:color="auto" w:fill="FFFFFF"/>
        <w:tabs>
          <w:tab w:val="left" w:pos="4500"/>
        </w:tabs>
        <w:snapToGrid w:val="0"/>
        <w:spacing w:line="360" w:lineRule="auto"/>
        <w:jc w:val="center"/>
        <w:textAlignment w:val="bottom"/>
        <w:rPr>
          <w:rFonts w:hint="eastAsia" w:ascii="宋体" w:hAnsi="宋体" w:cs="宋体"/>
          <w:b/>
          <w:bCs/>
          <w:color w:val="auto"/>
          <w:sz w:val="60"/>
          <w:szCs w:val="60"/>
          <w:highlight w:val="none"/>
          <w:lang w:eastAsia="zh-CN"/>
        </w:rPr>
      </w:pPr>
      <w:r>
        <w:rPr>
          <w:rFonts w:hint="eastAsia" w:ascii="宋体" w:hAnsi="宋体" w:cs="宋体"/>
          <w:b/>
          <w:bCs/>
          <w:color w:val="auto"/>
          <w:sz w:val="60"/>
          <w:szCs w:val="60"/>
          <w:highlight w:val="none"/>
          <w:lang w:eastAsia="zh-CN"/>
        </w:rPr>
        <w:t>台州学院药学院酶催化实验室仪器设备采购项目</w:t>
      </w:r>
    </w:p>
    <w:p w14:paraId="09635E6D">
      <w:pPr>
        <w:shd w:val="clear" w:color="auto" w:fill="FFFFFF"/>
        <w:tabs>
          <w:tab w:val="left" w:pos="4500"/>
        </w:tabs>
        <w:snapToGrid w:val="0"/>
        <w:spacing w:line="360" w:lineRule="auto"/>
        <w:jc w:val="both"/>
        <w:textAlignment w:val="bottom"/>
        <w:rPr>
          <w:rFonts w:ascii="宋体" w:hAnsi="宋体" w:cs="宋体"/>
          <w:b/>
          <w:bCs/>
          <w:color w:val="auto"/>
          <w:sz w:val="72"/>
          <w:szCs w:val="72"/>
          <w:highlight w:val="none"/>
        </w:rPr>
      </w:pPr>
    </w:p>
    <w:p w14:paraId="6C83BFC4">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6BDF1558">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（线上电子招投标）</w:t>
      </w:r>
    </w:p>
    <w:p w14:paraId="3B691AF5">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s="宋体"/>
          <w:color w:val="auto"/>
          <w:sz w:val="48"/>
          <w:szCs w:val="48"/>
          <w:highlight w:val="none"/>
        </w:rPr>
        <mc:AlternateContent>
          <mc:Choice Requires="wps">
            <w:drawing>
              <wp:anchor distT="0" distB="0" distL="114300" distR="114300" simplePos="0" relativeHeight="251660288"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0288;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O1gfiXtAQAA4gMAAA4AAAAAAAAAAQAgAAAAIwEAAGRycy9lMm9Eb2MueG1sUEsFBgAAAAAGAAYA&#10;WQEAAIIFAAAAAA==&#10;">
                <v:fill on="f" focussize="0,0"/>
                <v:stroke color="#000000" joinstyle="round"/>
                <v:imagedata o:title=""/>
                <o:lock v:ext="edit" aspectratio="f"/>
                <w10:wrap type="square"/>
              </v:line>
            </w:pict>
          </mc:Fallback>
        </mc:AlternateContent>
      </w:r>
    </w:p>
    <w:p w14:paraId="031A6928">
      <w:pPr>
        <w:spacing w:line="360" w:lineRule="auto"/>
        <w:ind w:left="-210" w:leftChars="-100" w:right="-57" w:firstLine="1200" w:firstLineChars="400"/>
        <w:rPr>
          <w:rFonts w:hint="eastAsia"/>
          <w:color w:val="auto"/>
          <w:sz w:val="30"/>
          <w:szCs w:val="30"/>
          <w:highlight w:val="none"/>
        </w:rPr>
      </w:pPr>
    </w:p>
    <w:p w14:paraId="66A83D89">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lang w:eastAsia="zh-CN"/>
        </w:rPr>
        <w:t>ZGTZZB2025-0607</w:t>
      </w:r>
    </w:p>
    <w:p w14:paraId="1413556F">
      <w:pPr>
        <w:spacing w:line="360" w:lineRule="auto"/>
        <w:ind w:left="-210" w:leftChars="-100" w:right="-57" w:firstLine="1200" w:firstLineChars="400"/>
        <w:rPr>
          <w:rFonts w:hint="eastAsia" w:eastAsia="宋体"/>
          <w:color w:val="auto"/>
          <w:sz w:val="30"/>
          <w:szCs w:val="30"/>
          <w:highlight w:val="none"/>
          <w:lang w:eastAsia="zh-CN"/>
        </w:rPr>
      </w:pPr>
      <w:r>
        <w:rPr>
          <w:color w:val="auto"/>
          <w:sz w:val="30"/>
          <w:szCs w:val="30"/>
          <w:highlight w:val="none"/>
        </w:rPr>
        <w:t>采购人：</w:t>
      </w:r>
      <w:r>
        <w:rPr>
          <w:rFonts w:hint="eastAsia" w:asciiTheme="minorEastAsia" w:hAnsiTheme="minorEastAsia" w:eastAsiaTheme="minorEastAsia"/>
          <w:color w:val="auto"/>
          <w:sz w:val="30"/>
          <w:szCs w:val="30"/>
          <w:highlight w:val="none"/>
          <w:lang w:eastAsia="zh-CN"/>
        </w:rPr>
        <w:t>台州学院</w:t>
      </w:r>
    </w:p>
    <w:p w14:paraId="0B5B52B6">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w:t>
      </w:r>
      <w:bookmarkStart w:id="0" w:name="OLE_LINK15"/>
      <w:r>
        <w:rPr>
          <w:color w:val="auto"/>
          <w:sz w:val="30"/>
          <w:szCs w:val="30"/>
          <w:highlight w:val="none"/>
        </w:rPr>
        <w:t>中冠工程管理咨询有限公司</w:t>
      </w:r>
      <w:bookmarkEnd w:id="0"/>
    </w:p>
    <w:p w14:paraId="04854B0B">
      <w:pPr>
        <w:spacing w:line="360" w:lineRule="auto"/>
        <w:ind w:left="-210" w:leftChars="-100" w:right="-57" w:firstLine="1200" w:firstLineChars="400"/>
        <w:rPr>
          <w:color w:val="auto"/>
          <w:sz w:val="30"/>
          <w:szCs w:val="30"/>
          <w:highlight w:val="none"/>
        </w:rPr>
      </w:pPr>
      <w:r>
        <w:rPr>
          <w:color w:val="auto"/>
          <w:sz w:val="30"/>
          <w:szCs w:val="30"/>
          <w:highlight w:val="none"/>
        </w:rPr>
        <w:t>二〇</w:t>
      </w:r>
      <w:r>
        <w:rPr>
          <w:rFonts w:hint="eastAsia"/>
          <w:color w:val="auto"/>
          <w:sz w:val="30"/>
          <w:szCs w:val="30"/>
          <w:highlight w:val="none"/>
        </w:rPr>
        <w:t>二</w:t>
      </w:r>
      <w:r>
        <w:rPr>
          <w:rFonts w:hint="eastAsia"/>
          <w:color w:val="auto"/>
          <w:sz w:val="30"/>
          <w:szCs w:val="30"/>
          <w:highlight w:val="none"/>
          <w:lang w:eastAsia="zh-CN"/>
        </w:rPr>
        <w:t>五</w:t>
      </w:r>
      <w:r>
        <w:rPr>
          <w:color w:val="auto"/>
          <w:sz w:val="30"/>
          <w:szCs w:val="30"/>
          <w:highlight w:val="none"/>
        </w:rPr>
        <w:t>年</w:t>
      </w:r>
      <w:r>
        <w:rPr>
          <w:rFonts w:hint="eastAsia"/>
          <w:color w:val="auto"/>
          <w:sz w:val="30"/>
          <w:szCs w:val="30"/>
          <w:highlight w:val="none"/>
          <w:u w:val="single"/>
          <w:lang w:val="en-US" w:eastAsia="zh-CN"/>
        </w:rPr>
        <w:t xml:space="preserve">  六  </w:t>
      </w:r>
      <w:r>
        <w:rPr>
          <w:color w:val="auto"/>
          <w:sz w:val="30"/>
          <w:szCs w:val="30"/>
          <w:highlight w:val="none"/>
        </w:rPr>
        <w:t>月</w:t>
      </w:r>
    </w:p>
    <w:p w14:paraId="62683EB2">
      <w:pPr>
        <w:shd w:val="clear" w:color="auto" w:fill="FFFFFF"/>
        <w:snapToGrid w:val="0"/>
        <w:spacing w:line="480" w:lineRule="auto"/>
        <w:ind w:firstLine="425"/>
        <w:textAlignment w:val="bottom"/>
        <w:rPr>
          <w:rFonts w:ascii="宋体" w:hAnsi="宋体" w:cs="宋体"/>
          <w:b/>
          <w:bCs/>
          <w:color w:val="auto"/>
          <w:sz w:val="30"/>
          <w:szCs w:val="30"/>
          <w:highlight w:val="none"/>
        </w:rPr>
      </w:pPr>
    </w:p>
    <w:p w14:paraId="7E1B43CB">
      <w:pPr>
        <w:pageBreakBefore/>
        <w:shd w:val="clear" w:color="auto" w:fill="FFFFFF"/>
        <w:snapToGrid w:val="0"/>
        <w:spacing w:line="360" w:lineRule="auto"/>
        <w:jc w:val="center"/>
        <w:rPr>
          <w:rFonts w:ascii="宋体" w:hAnsi="宋体" w:cs="宋体"/>
          <w:b/>
          <w:bCs/>
          <w:color w:val="auto"/>
          <w:sz w:val="24"/>
          <w:highlight w:val="none"/>
        </w:rPr>
        <w:sectPr>
          <w:footerReference r:id="rId3" w:type="first"/>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14:paraId="433FCFA8">
      <w:pPr>
        <w:spacing w:line="600" w:lineRule="auto"/>
        <w:jc w:val="center"/>
        <w:rPr>
          <w:rFonts w:ascii="宋体" w:hAnsi="宋体"/>
          <w:b/>
          <w:bCs/>
          <w:color w:val="auto"/>
          <w:sz w:val="44"/>
          <w:szCs w:val="44"/>
          <w:highlight w:val="none"/>
        </w:rPr>
      </w:pPr>
      <w:r>
        <w:rPr>
          <w:rFonts w:ascii="宋体" w:hAnsi="宋体"/>
          <w:b/>
          <w:bCs/>
          <w:color w:val="auto"/>
          <w:sz w:val="44"/>
          <w:szCs w:val="44"/>
          <w:highlight w:val="none"/>
        </w:rPr>
        <w:t>目录</w:t>
      </w:r>
    </w:p>
    <w:p w14:paraId="1B6266AC">
      <w:pPr>
        <w:pStyle w:val="21"/>
        <w:spacing w:line="600" w:lineRule="auto"/>
        <w:rPr>
          <w:b/>
          <w:bCs/>
          <w:color w:val="auto"/>
          <w:highlight w:val="none"/>
        </w:rPr>
      </w:pPr>
    </w:p>
    <w:p w14:paraId="4C097B1D">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TOC \o "1-1" \h \u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_Toc28085 </w:instrText>
      </w:r>
      <w:r>
        <w:rPr>
          <w:rFonts w:hint="eastAsia" w:ascii="宋体" w:hAnsi="宋体" w:eastAsia="宋体" w:cs="宋体"/>
          <w:bCs w:val="0"/>
          <w:color w:val="auto"/>
          <w:sz w:val="28"/>
          <w:szCs w:val="28"/>
          <w:highlight w:val="none"/>
        </w:rPr>
        <w:fldChar w:fldCharType="separate"/>
      </w:r>
      <w:r>
        <w:rPr>
          <w:rFonts w:hint="eastAsia" w:ascii="宋体" w:hAnsi="宋体" w:cs="宋体"/>
          <w:bCs/>
          <w:color w:val="auto"/>
          <w:sz w:val="28"/>
          <w:szCs w:val="28"/>
          <w:highlight w:val="none"/>
        </w:rPr>
        <w:t>第一部分  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_Toc28085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6BD59139">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_Toc20966 </w:instrText>
      </w:r>
      <w:r>
        <w:rPr>
          <w:rFonts w:hint="eastAsia" w:ascii="宋体" w:hAnsi="宋体" w:eastAsia="宋体" w:cs="宋体"/>
          <w:bCs w:val="0"/>
          <w:color w:val="auto"/>
          <w:sz w:val="28"/>
          <w:szCs w:val="28"/>
          <w:highlight w:val="none"/>
        </w:rPr>
        <w:fldChar w:fldCharType="separate"/>
      </w:r>
      <w:r>
        <w:rPr>
          <w:rFonts w:hint="eastAsia" w:cs="宋体" w:asciiTheme="minorEastAsia" w:hAnsiTheme="minorEastAsia" w:eastAsiaTheme="minorEastAsia"/>
          <w:bCs/>
          <w:color w:val="auto"/>
          <w:sz w:val="28"/>
          <w:szCs w:val="28"/>
          <w:highlight w:val="none"/>
        </w:rPr>
        <w:t>第二部分  投标资料表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_Toc20966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FC8BAFB">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_Toc11910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bCs/>
          <w:color w:val="auto"/>
          <w:sz w:val="28"/>
          <w:szCs w:val="28"/>
          <w:highlight w:val="none"/>
        </w:rPr>
        <w:t>第三部分  投标</w:t>
      </w:r>
      <w:r>
        <w:rPr>
          <w:rFonts w:hint="eastAsia" w:asciiTheme="minorEastAsia" w:hAnsiTheme="minorEastAsia" w:eastAsiaTheme="minorEastAsia"/>
          <w:bCs/>
          <w:color w:val="auto"/>
          <w:sz w:val="28"/>
          <w:szCs w:val="28"/>
          <w:highlight w:val="none"/>
          <w:lang w:eastAsia="zh-CN"/>
        </w:rPr>
        <w:t>人</w:t>
      </w:r>
      <w:r>
        <w:rPr>
          <w:rFonts w:hint="eastAsia" w:asciiTheme="minorEastAsia" w:hAnsiTheme="minorEastAsia" w:eastAsiaTheme="minorEastAsia"/>
          <w:bCs/>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_Toc11910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5E27E98D">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_Toc3645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第四部分 </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_Toc3645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6213DD93">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_Toc6847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第五部分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_Toc6847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021466EA">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_Toc1509 </w:instrText>
      </w:r>
      <w:r>
        <w:rPr>
          <w:rFonts w:hint="eastAsia" w:ascii="宋体" w:hAnsi="宋体" w:eastAsia="宋体" w:cs="宋体"/>
          <w:bCs w:val="0"/>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第六部分 </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_Toc1509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1740F203">
      <w:pPr>
        <w:pStyle w:val="33"/>
        <w:tabs>
          <w:tab w:val="right" w:leader="dot" w:pos="8306"/>
          <w:tab w:val="clear" w:pos="8789"/>
        </w:tabs>
        <w:spacing w:line="600" w:lineRule="auto"/>
        <w:rPr>
          <w:color w:val="auto"/>
          <w:sz w:val="28"/>
          <w:szCs w:val="28"/>
          <w:highlight w:val="none"/>
        </w:rPr>
      </w:pPr>
      <w:r>
        <w:rPr>
          <w:rFonts w:hint="eastAsia" w:ascii="宋体" w:hAnsi="宋体" w:eastAsia="宋体" w:cs="宋体"/>
          <w:bCs w:val="0"/>
          <w:color w:val="auto"/>
          <w:sz w:val="28"/>
          <w:szCs w:val="28"/>
          <w:highlight w:val="none"/>
        </w:rPr>
        <w:fldChar w:fldCharType="begin"/>
      </w:r>
      <w:r>
        <w:rPr>
          <w:rFonts w:hint="eastAsia" w:ascii="宋体" w:hAnsi="宋体" w:eastAsia="宋体" w:cs="宋体"/>
          <w:bCs w:val="0"/>
          <w:color w:val="auto"/>
          <w:sz w:val="28"/>
          <w:szCs w:val="28"/>
          <w:highlight w:val="none"/>
        </w:rPr>
        <w:instrText xml:space="preserve"> HYPERLINK \l _Toc13438 </w:instrText>
      </w:r>
      <w:r>
        <w:rPr>
          <w:rFonts w:hint="eastAsia" w:ascii="宋体" w:hAnsi="宋体" w:eastAsia="宋体" w:cs="宋体"/>
          <w:bCs w:val="0"/>
          <w:color w:val="auto"/>
          <w:sz w:val="28"/>
          <w:szCs w:val="28"/>
          <w:highlight w:val="none"/>
        </w:rPr>
        <w:fldChar w:fldCharType="separate"/>
      </w:r>
      <w:r>
        <w:rPr>
          <w:rFonts w:hint="eastAsia" w:ascii="宋体" w:hAnsi="宋体" w:eastAsia="宋体" w:cs="宋体"/>
          <w:color w:val="auto"/>
          <w:sz w:val="28"/>
          <w:szCs w:val="28"/>
          <w:highlight w:val="none"/>
        </w:rPr>
        <w:t xml:space="preserve">第七部分  </w:t>
      </w:r>
      <w:r>
        <w:rPr>
          <w:rFonts w:hint="eastAsia" w:ascii="宋体" w:hAnsi="宋体" w:eastAsia="宋体" w:cs="宋体"/>
          <w:bCs/>
          <w:color w:val="auto"/>
          <w:sz w:val="28"/>
          <w:szCs w:val="28"/>
          <w:highlight w:val="none"/>
        </w:rPr>
        <w:t>格式与表格</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_Toc13438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rFonts w:hint="eastAsia" w:ascii="宋体" w:hAnsi="宋体" w:eastAsia="宋体" w:cs="宋体"/>
          <w:bCs w:val="0"/>
          <w:color w:val="auto"/>
          <w:sz w:val="28"/>
          <w:szCs w:val="28"/>
          <w:highlight w:val="none"/>
        </w:rPr>
        <w:fldChar w:fldCharType="end"/>
      </w:r>
    </w:p>
    <w:p w14:paraId="2C83CAA6">
      <w:pPr>
        <w:pStyle w:val="33"/>
        <w:tabs>
          <w:tab w:val="right" w:leader="dot" w:pos="8306"/>
          <w:tab w:val="clear" w:pos="8789"/>
        </w:tabs>
        <w:rPr>
          <w:color w:val="auto"/>
          <w:highlight w:val="none"/>
        </w:rPr>
      </w:pPr>
    </w:p>
    <w:p w14:paraId="10D3D182">
      <w:pPr>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Cs w:val="0"/>
          <w:color w:val="auto"/>
          <w:szCs w:val="28"/>
          <w:highlight w:val="none"/>
        </w:rPr>
        <w:fldChar w:fldCharType="end"/>
      </w:r>
    </w:p>
    <w:p w14:paraId="20F1330D">
      <w:pPr>
        <w:pStyle w:val="21"/>
        <w:rPr>
          <w:color w:val="auto"/>
          <w:highlight w:val="none"/>
        </w:rPr>
      </w:pPr>
    </w:p>
    <w:p w14:paraId="76099DE2">
      <w:pPr>
        <w:rPr>
          <w:color w:val="auto"/>
          <w:highlight w:val="none"/>
        </w:rPr>
      </w:pPr>
    </w:p>
    <w:p w14:paraId="3578E5C7">
      <w:pPr>
        <w:pStyle w:val="21"/>
        <w:rPr>
          <w:color w:val="auto"/>
          <w:highlight w:val="none"/>
        </w:rPr>
      </w:pPr>
    </w:p>
    <w:p w14:paraId="5CB1C77E">
      <w:pPr>
        <w:rPr>
          <w:color w:val="auto"/>
          <w:highlight w:val="none"/>
        </w:rPr>
      </w:pPr>
    </w:p>
    <w:p w14:paraId="19DE2956">
      <w:pPr>
        <w:pStyle w:val="21"/>
        <w:rPr>
          <w:color w:val="auto"/>
          <w:highlight w:val="none"/>
        </w:rPr>
      </w:pPr>
    </w:p>
    <w:p w14:paraId="053EABE8">
      <w:pPr>
        <w:rPr>
          <w:color w:val="auto"/>
          <w:highlight w:val="none"/>
        </w:rPr>
      </w:pPr>
    </w:p>
    <w:p w14:paraId="7B71A8A8">
      <w:pPr>
        <w:pStyle w:val="21"/>
        <w:rPr>
          <w:color w:val="auto"/>
          <w:highlight w:val="none"/>
        </w:rPr>
      </w:pPr>
    </w:p>
    <w:p w14:paraId="51C26CCB">
      <w:pPr>
        <w:rPr>
          <w:color w:val="auto"/>
          <w:highlight w:val="none"/>
        </w:rPr>
      </w:pPr>
    </w:p>
    <w:p w14:paraId="3F90FEED">
      <w:pPr>
        <w:pStyle w:val="21"/>
        <w:rPr>
          <w:color w:val="auto"/>
          <w:highlight w:val="none"/>
        </w:rPr>
      </w:pPr>
    </w:p>
    <w:p w14:paraId="14D0DDFD">
      <w:pPr>
        <w:rPr>
          <w:color w:val="auto"/>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3FA5502">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bookmarkStart w:id="1" w:name="_Toc28085"/>
      <w:bookmarkStart w:id="2" w:name="_Toc1038"/>
      <w:bookmarkStart w:id="3" w:name="_Toc12459"/>
      <w:bookmarkStart w:id="4" w:name="_Toc25290"/>
      <w:bookmarkStart w:id="5" w:name="_Toc11758"/>
      <w:bookmarkStart w:id="6" w:name="_Toc18128"/>
      <w:bookmarkStart w:id="7" w:name="_Toc8375"/>
      <w:r>
        <w:rPr>
          <w:rFonts w:hint="eastAsia" w:ascii="宋体" w:hAnsi="宋体" w:cs="宋体"/>
          <w:b/>
          <w:bCs/>
          <w:color w:val="auto"/>
          <w:sz w:val="32"/>
          <w:szCs w:val="32"/>
          <w:highlight w:val="none"/>
        </w:rPr>
        <w:t>第一部分  采购公告</w:t>
      </w:r>
      <w:bookmarkEnd w:id="1"/>
      <w:bookmarkEnd w:id="2"/>
      <w:bookmarkEnd w:id="3"/>
      <w:bookmarkEnd w:id="4"/>
      <w:bookmarkEnd w:id="5"/>
      <w:bookmarkEnd w:id="6"/>
      <w:bookmarkEnd w:id="7"/>
    </w:p>
    <w:p w14:paraId="2490CA1A">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eastAsiaTheme="minorEastAsia"/>
          <w:color w:val="auto"/>
          <w:sz w:val="24"/>
          <w:highlight w:val="none"/>
        </w:rPr>
      </w:pPr>
      <w:bookmarkStart w:id="8" w:name="_Hlk51884093"/>
      <w:bookmarkStart w:id="9" w:name="_Toc262312595"/>
      <w:bookmarkStart w:id="10" w:name="_Toc263083249"/>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54071FCD">
      <w:pPr>
        <w:pBdr>
          <w:top w:val="single" w:color="auto" w:sz="4" w:space="1"/>
          <w:left w:val="single" w:color="auto" w:sz="4" w:space="4"/>
          <w:bottom w:val="single" w:color="auto" w:sz="4" w:space="1"/>
          <w:right w:val="single" w:color="auto" w:sz="4" w:space="4"/>
        </w:pBdr>
        <w:spacing w:line="380" w:lineRule="exact"/>
        <w:ind w:firstLine="480" w:firstLineChars="200"/>
        <w:rPr>
          <w:rFonts w:asciiTheme="minorEastAsia" w:hAnsiTheme="minorEastAsia" w:eastAsiaTheme="minorEastAsia"/>
          <w:color w:val="auto"/>
          <w:sz w:val="24"/>
          <w:highlight w:val="none"/>
          <w:u w:val="single"/>
        </w:rPr>
      </w:pPr>
      <w:bookmarkStart w:id="11" w:name="OLE_LINK10"/>
      <w:r>
        <w:rPr>
          <w:rFonts w:hint="eastAsia" w:asciiTheme="minorEastAsia" w:hAnsiTheme="minorEastAsia" w:eastAsiaTheme="minorEastAsia"/>
          <w:color w:val="auto"/>
          <w:sz w:val="24"/>
          <w:highlight w:val="none"/>
          <w:u w:val="single"/>
          <w:lang w:eastAsia="zh-CN"/>
        </w:rPr>
        <w:t>台州学院药学院酶催化实验室仪器设备采购项目</w:t>
      </w:r>
      <w:bookmarkEnd w:id="11"/>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获取采购文件，并于2025年07月22日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00BB7DC8">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2F08717F">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项目编号：</w:t>
      </w:r>
      <w:bookmarkStart w:id="12" w:name="OLE_LINK17"/>
      <w:r>
        <w:rPr>
          <w:rFonts w:hint="eastAsia" w:cs="宋体" w:asciiTheme="minorEastAsia" w:hAnsiTheme="minorEastAsia" w:eastAsiaTheme="minorEastAsia"/>
          <w:color w:val="auto"/>
          <w:sz w:val="24"/>
          <w:highlight w:val="none"/>
          <w:lang w:eastAsia="zh-CN"/>
        </w:rPr>
        <w:t>ZGTZZB2025-0607</w:t>
      </w:r>
      <w:bookmarkEnd w:id="12"/>
    </w:p>
    <w:p w14:paraId="1E957528">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项目名称：</w:t>
      </w:r>
      <w:bookmarkStart w:id="13" w:name="OLE_LINK18"/>
      <w:r>
        <w:rPr>
          <w:rFonts w:hint="eastAsia" w:cs="宋体" w:asciiTheme="minorEastAsia" w:hAnsiTheme="minorEastAsia" w:eastAsiaTheme="minorEastAsia"/>
          <w:color w:val="auto"/>
          <w:sz w:val="24"/>
          <w:highlight w:val="none"/>
          <w:lang w:eastAsia="zh-CN"/>
        </w:rPr>
        <w:t>台州学院药学院酶催化实验室仪器设备采购项目</w:t>
      </w:r>
      <w:bookmarkEnd w:id="13"/>
    </w:p>
    <w:p w14:paraId="2B1CFB73">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528000</w:t>
      </w:r>
    </w:p>
    <w:p w14:paraId="05DB716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528000</w:t>
      </w:r>
    </w:p>
    <w:p w14:paraId="0ABC182E">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6B273A3C">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p>
    <w:p w14:paraId="35C92C8D">
      <w:pPr>
        <w:pStyle w:val="43"/>
        <w:spacing w:before="0" w:beforeAutospacing="0" w:after="0" w:afterAutospacing="0" w:line="380" w:lineRule="exact"/>
        <w:ind w:firstLine="482" w:firstLineChars="200"/>
        <w:contextualSpacing/>
        <w:rPr>
          <w:rFonts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36C6149D">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标项名称：</w:t>
      </w:r>
      <w:r>
        <w:rPr>
          <w:rFonts w:hint="eastAsia" w:cs="宋体" w:asciiTheme="minorEastAsia" w:hAnsiTheme="minorEastAsia" w:eastAsiaTheme="minorEastAsia"/>
          <w:color w:val="auto"/>
          <w:sz w:val="24"/>
          <w:highlight w:val="none"/>
          <w:lang w:eastAsia="zh-CN"/>
        </w:rPr>
        <w:t>台州学院药学院酶催化实验室仪器设备采购项目</w:t>
      </w:r>
    </w:p>
    <w:p w14:paraId="744645B6">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w:t>
      </w:r>
      <w:r>
        <w:rPr>
          <w:rFonts w:hint="eastAsia" w:asciiTheme="minorEastAsia" w:hAnsiTheme="minorEastAsia" w:eastAsiaTheme="minorEastAsia"/>
          <w:color w:val="auto"/>
          <w:kern w:val="2"/>
          <w:highlight w:val="none"/>
          <w:lang w:val="en-US" w:eastAsia="zh-CN"/>
        </w:rPr>
        <w:t>批</w:t>
      </w:r>
    </w:p>
    <w:p w14:paraId="2229D68C">
      <w:pPr>
        <w:pStyle w:val="43"/>
        <w:spacing w:before="0" w:beforeAutospacing="0" w:after="0" w:afterAutospacing="0" w:line="380" w:lineRule="exact"/>
        <w:ind w:firstLine="480" w:firstLineChars="200"/>
        <w:contextualSpacing/>
        <w:rPr>
          <w:rFonts w:hint="eastAsia" w:cs="宋体"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kern w:val="2"/>
          <w:highlight w:val="none"/>
        </w:rPr>
        <w:t>预算金额（元）：</w:t>
      </w:r>
      <w:r>
        <w:rPr>
          <w:rFonts w:hint="eastAsia" w:asciiTheme="minorEastAsia" w:hAnsiTheme="minorEastAsia" w:eastAsiaTheme="minorEastAsia"/>
          <w:color w:val="auto"/>
          <w:kern w:val="2"/>
          <w:highlight w:val="none"/>
          <w:lang w:eastAsia="zh-CN"/>
        </w:rPr>
        <w:t>528000</w:t>
      </w:r>
    </w:p>
    <w:p w14:paraId="68D9E9B1">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hint="eastAsia" w:asciiTheme="minorEastAsia" w:hAnsiTheme="minorEastAsia" w:eastAsiaTheme="minorEastAsia"/>
          <w:color w:val="auto"/>
          <w:kern w:val="2"/>
          <w:highlight w:val="none"/>
        </w:rPr>
        <w:t>）：</w:t>
      </w:r>
      <w:r>
        <w:rPr>
          <w:rFonts w:hint="eastAsia" w:asciiTheme="minorEastAsia" w:hAnsiTheme="minorEastAsia" w:eastAsiaTheme="minorEastAsia"/>
          <w:color w:val="auto"/>
          <w:kern w:val="2"/>
          <w:highlight w:val="none"/>
          <w:lang w:eastAsia="zh-CN"/>
        </w:rPr>
        <w:t>528000</w:t>
      </w:r>
    </w:p>
    <w:p w14:paraId="73C6372E">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4B6E886C">
      <w:pPr>
        <w:pStyle w:val="43"/>
        <w:spacing w:before="0" w:beforeAutospacing="0" w:after="0" w:afterAutospacing="0" w:line="380" w:lineRule="exact"/>
        <w:ind w:firstLine="48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olor w:val="auto"/>
          <w:kern w:val="2"/>
          <w:highlight w:val="none"/>
          <w:lang w:eastAsia="zh-CN"/>
        </w:rPr>
        <w:t>交</w:t>
      </w:r>
      <w:r>
        <w:rPr>
          <w:rFonts w:hint="eastAsia" w:cs="宋体" w:asciiTheme="minorEastAsia" w:hAnsiTheme="minorEastAsia" w:eastAsiaTheme="minorEastAsia"/>
          <w:color w:val="auto"/>
          <w:kern w:val="2"/>
          <w:highlight w:val="none"/>
          <w:lang w:eastAsia="zh-CN"/>
        </w:rPr>
        <w:t>货期</w:t>
      </w:r>
      <w:r>
        <w:rPr>
          <w:rFonts w:hint="eastAsia" w:cs="宋体" w:asciiTheme="minorEastAsia" w:hAnsiTheme="minorEastAsia" w:eastAsiaTheme="minorEastAsia"/>
          <w:color w:val="auto"/>
          <w:kern w:val="2"/>
          <w:highlight w:val="none"/>
        </w:rPr>
        <w:t>：</w:t>
      </w:r>
      <w:r>
        <w:rPr>
          <w:rFonts w:hint="eastAsia" w:asciiTheme="minorEastAsia" w:hAnsiTheme="minorEastAsia" w:cstheme="minorEastAsia"/>
          <w:color w:val="auto"/>
          <w:spacing w:val="10"/>
          <w:kern w:val="2"/>
          <w:sz w:val="24"/>
          <w:szCs w:val="24"/>
          <w:highlight w:val="none"/>
          <w:lang w:val="en-US" w:eastAsia="zh-CN" w:bidi="ar-SA"/>
        </w:rPr>
        <w:t>自合同签订之日起90日历天内完成交货。</w:t>
      </w:r>
    </w:p>
    <w:p w14:paraId="7A9A3297">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648326A0">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15B03111">
      <w:pPr>
        <w:pStyle w:val="43"/>
        <w:spacing w:before="0" w:beforeAutospacing="0" w:after="0" w:afterAutospacing="0" w:line="380" w:lineRule="exact"/>
        <w:contextualSpacing/>
        <w:rPr>
          <w:color w:val="auto"/>
          <w:highlight w:val="none"/>
        </w:rPr>
      </w:pPr>
    </w:p>
    <w:p w14:paraId="5E04BBDC">
      <w:pPr>
        <w:widowControl/>
        <w:spacing w:line="380" w:lineRule="exact"/>
        <w:contextualSpacing/>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39667C8A">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5F33430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2、落实政府采购政策需满足的资格要求：</w:t>
      </w:r>
      <w:r>
        <w:rPr>
          <w:rFonts w:hint="eastAsia" w:cs="宋体" w:asciiTheme="minorEastAsia" w:hAnsiTheme="minorEastAsia" w:eastAsiaTheme="minorEastAsia"/>
          <w:color w:val="auto"/>
          <w:sz w:val="24"/>
          <w:highlight w:val="none"/>
          <w:lang w:eastAsia="zh-CN"/>
        </w:rPr>
        <w:t>无</w:t>
      </w:r>
      <w:r>
        <w:rPr>
          <w:rFonts w:hint="eastAsia" w:cs="宋体" w:asciiTheme="minorEastAsia" w:hAnsiTheme="minorEastAsia" w:eastAsiaTheme="minorEastAsia"/>
          <w:b/>
          <w:bCs/>
          <w:color w:val="auto"/>
          <w:sz w:val="24"/>
          <w:highlight w:val="none"/>
        </w:rPr>
        <w:t>。</w:t>
      </w:r>
    </w:p>
    <w:p w14:paraId="758D15B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rPr>
        <w:t>无。</w:t>
      </w:r>
    </w:p>
    <w:p w14:paraId="39E7F329">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69BF95E8">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07月22日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0078BA1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04289A79">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5588EC7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7B793636">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7B33086">
      <w:pPr>
        <w:widowControl/>
        <w:spacing w:line="380" w:lineRule="exact"/>
        <w:ind w:firstLine="590" w:firstLineChars="245"/>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7B152A07">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2D0F2F44">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1796F98D">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2025年07月22日09</w:t>
      </w:r>
      <w:r>
        <w:rPr>
          <w:rFonts w:cs="宋体" w:asciiTheme="minorEastAsia" w:hAnsiTheme="minorEastAsia" w:eastAsiaTheme="minorEastAsia"/>
          <w:color w:val="auto"/>
          <w:sz w:val="24"/>
          <w:highlight w:val="none"/>
        </w:rPr>
        <w:t>:00:00（北京时间）</w:t>
      </w:r>
    </w:p>
    <w:p w14:paraId="4B9F91B5">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12E125F4">
      <w:pPr>
        <w:widowControl/>
        <w:spacing w:line="380" w:lineRule="exact"/>
        <w:ind w:firstLine="472" w:firstLineChars="196"/>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07月22日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w:t>
      </w:r>
    </w:p>
    <w:p w14:paraId="645E2FB7">
      <w:pPr>
        <w:widowControl/>
        <w:spacing w:line="380" w:lineRule="exact"/>
        <w:ind w:firstLine="479" w:firstLineChars="199"/>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bCs/>
          <w:color w:val="auto"/>
          <w:sz w:val="24"/>
          <w:highlight w:val="none"/>
        </w:rPr>
        <w:t>台州市市府大道777号台州市公共资源交易中心3楼一号开标室。</w:t>
      </w:r>
    </w:p>
    <w:p w14:paraId="205FF8BA">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34ACF2F2">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02AC7593">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75B100E0">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12B47FD">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E99A276">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FE0461">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cstheme="minorEastAsia"/>
          <w:color w:val="auto"/>
          <w:spacing w:val="10"/>
          <w:kern w:val="2"/>
          <w:sz w:val="24"/>
          <w:szCs w:val="24"/>
          <w:highlight w:val="none"/>
          <w:lang w:val="en-US" w:eastAsia="zh-CN" w:bidi="ar-SA"/>
        </w:rPr>
        <w:t>4.其他事项：无。</w:t>
      </w:r>
    </w:p>
    <w:p w14:paraId="7149A801">
      <w:pPr>
        <w:snapToGrid w:val="0"/>
        <w:spacing w:line="380" w:lineRule="exact"/>
        <w:outlineLvl w:val="1"/>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4D46A6B7">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0C90F8B4">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台州学院</w:t>
      </w:r>
    </w:p>
    <w:p w14:paraId="78897B2B">
      <w:pPr>
        <w:widowControl/>
        <w:spacing w:line="380" w:lineRule="exact"/>
        <w:ind w:firstLine="480" w:firstLineChars="200"/>
        <w:contextualSpacing/>
        <w:jc w:val="left"/>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地</w:t>
      </w:r>
      <w:r>
        <w:rPr>
          <w:rFonts w:hint="eastAsia" w:asciiTheme="minorEastAsia" w:hAnsiTheme="minorEastAsia" w:eastAsiaTheme="minorEastAsia"/>
          <w:color w:val="auto"/>
          <w:sz w:val="24"/>
          <w:highlight w:val="none"/>
        </w:rPr>
        <w:t>址：</w:t>
      </w:r>
      <w:r>
        <w:rPr>
          <w:rFonts w:hint="eastAsia" w:asciiTheme="minorEastAsia" w:hAnsiTheme="minorEastAsia" w:eastAsiaTheme="minorEastAsia"/>
          <w:color w:val="auto"/>
          <w:sz w:val="24"/>
          <w:highlight w:val="none"/>
          <w:lang w:eastAsia="zh-CN"/>
        </w:rPr>
        <w:t>浙江省台州市椒江区市府大道1139号</w:t>
      </w:r>
    </w:p>
    <w:p w14:paraId="0405F968">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58862C8F">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rPr>
        <w:t>梁老师</w:t>
      </w:r>
    </w:p>
    <w:p w14:paraId="3E3C803C">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rPr>
        <w:t>0576-88660897</w:t>
      </w:r>
    </w:p>
    <w:p w14:paraId="7935054C">
      <w:pPr>
        <w:widowControl/>
        <w:spacing w:line="380" w:lineRule="exact"/>
        <w:ind w:firstLine="480" w:firstLineChars="200"/>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rPr>
        <w:t>吴老师</w:t>
      </w:r>
    </w:p>
    <w:p w14:paraId="17CBDA0B">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质疑联系方式：</w:t>
      </w:r>
      <w:r>
        <w:rPr>
          <w:rFonts w:hint="eastAsia" w:cs="Arial" w:asciiTheme="minorEastAsia" w:hAnsiTheme="minorEastAsia" w:eastAsiaTheme="minorEastAsia"/>
          <w:color w:val="auto"/>
          <w:sz w:val="24"/>
          <w:highlight w:val="none"/>
        </w:rPr>
        <w:t>0576-88660896</w:t>
      </w:r>
      <w:r>
        <w:rPr>
          <w:rFonts w:hint="eastAsia" w:cs="Arial" w:asciiTheme="minorEastAsia" w:hAnsiTheme="minorEastAsia" w:eastAsiaTheme="minorEastAsia"/>
          <w:color w:val="auto"/>
          <w:sz w:val="24"/>
          <w:highlight w:val="none"/>
          <w:lang w:val="en-US" w:eastAsia="zh-CN"/>
        </w:rPr>
        <w:t xml:space="preserve"> </w:t>
      </w:r>
    </w:p>
    <w:p w14:paraId="4DA7A183">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7C532CA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65F2D8C1">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65B02346">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项目联系人（询问）：陈金泉、戴艳燕、</w:t>
      </w:r>
      <w:r>
        <w:rPr>
          <w:rFonts w:hint="eastAsia" w:cs="Arial" w:asciiTheme="minorEastAsia" w:hAnsiTheme="minorEastAsia" w:eastAsiaTheme="minorEastAsia"/>
          <w:color w:val="auto"/>
          <w:sz w:val="24"/>
          <w:highlight w:val="none"/>
          <w:lang w:eastAsia="zh-CN"/>
        </w:rPr>
        <w:t>徐茜</w:t>
      </w:r>
    </w:p>
    <w:p w14:paraId="2586E57B">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6083033A">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lang w:eastAsia="zh-CN"/>
        </w:rPr>
        <w:t>刘霞</w:t>
      </w:r>
    </w:p>
    <w:p w14:paraId="3DE10A2A">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29D87BED">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1C6634B4">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29CCA6E3">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5DD9C580">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p>
    <w:p w14:paraId="55638116">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39CD208A">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4C9E019A">
      <w:pPr>
        <w:pStyle w:val="16"/>
        <w:ind w:firstLine="0" w:firstLineChars="0"/>
        <w:jc w:val="center"/>
        <w:rPr>
          <w:rFonts w:asciiTheme="minorEastAsia" w:hAnsiTheme="minorEastAsia" w:eastAsiaTheme="minorEastAsia"/>
          <w:b/>
          <w:color w:val="auto"/>
          <w:sz w:val="24"/>
          <w:highlight w:val="none"/>
        </w:rPr>
      </w:pPr>
    </w:p>
    <w:p w14:paraId="080819A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w:t>
      </w:r>
      <w:r>
        <w:rPr>
          <w:rFonts w:hint="eastAsia" w:cs="宋体" w:asciiTheme="minorEastAsia" w:hAnsiTheme="minorEastAsia" w:eastAsiaTheme="minorEastAsia"/>
          <w:b/>
          <w:color w:val="auto"/>
          <w:sz w:val="24"/>
          <w:highlight w:val="none"/>
        </w:rPr>
        <w:t>中标人如有融资需求，可使用以下服务</w:t>
      </w:r>
    </w:p>
    <w:p w14:paraId="50BC7A53">
      <w:pPr>
        <w:pStyle w:val="16"/>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479"/>
        <w:gridCol w:w="1600"/>
        <w:gridCol w:w="3748"/>
      </w:tblGrid>
      <w:tr w14:paraId="1EB1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shd w:val="clear" w:color="auto" w:fill="EEECE1" w:themeFill="background2"/>
            <w:vAlign w:val="center"/>
          </w:tcPr>
          <w:p w14:paraId="41E743F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1479" w:type="dxa"/>
            <w:shd w:val="clear" w:color="auto" w:fill="EEECE1" w:themeFill="background2"/>
            <w:vAlign w:val="center"/>
          </w:tcPr>
          <w:p w14:paraId="74AD6EAE">
            <w:pPr>
              <w:keepNext w:val="0"/>
              <w:keepLines w:val="0"/>
              <w:suppressLineNumbers w:val="0"/>
              <w:spacing w:before="0" w:beforeAutospacing="0" w:after="0" w:afterAutospacing="0"/>
              <w:ind w:left="0" w:right="0"/>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1600" w:type="dxa"/>
            <w:shd w:val="clear" w:color="auto" w:fill="EEECE1" w:themeFill="background2"/>
            <w:vAlign w:val="center"/>
          </w:tcPr>
          <w:p w14:paraId="756EC53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3748" w:type="dxa"/>
            <w:shd w:val="clear" w:color="auto" w:fill="EEECE1" w:themeFill="background2"/>
            <w:vAlign w:val="center"/>
          </w:tcPr>
          <w:p w14:paraId="23265B5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735A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5942C3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1479" w:type="dxa"/>
            <w:vAlign w:val="center"/>
          </w:tcPr>
          <w:p w14:paraId="54B57F5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07FEA83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3748" w:type="dxa"/>
            <w:vAlign w:val="center"/>
          </w:tcPr>
          <w:p w14:paraId="4AEB852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11E1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A5289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1479" w:type="dxa"/>
            <w:vAlign w:val="center"/>
          </w:tcPr>
          <w:p w14:paraId="4DEA659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590E9BA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3748" w:type="dxa"/>
            <w:vAlign w:val="center"/>
          </w:tcPr>
          <w:p w14:paraId="79C3962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2B61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563E11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1479" w:type="dxa"/>
            <w:vAlign w:val="center"/>
          </w:tcPr>
          <w:p w14:paraId="6483D15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314C9B2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3748" w:type="dxa"/>
            <w:vAlign w:val="center"/>
          </w:tcPr>
          <w:p w14:paraId="18BBA1D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65A2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A1C296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1479" w:type="dxa"/>
            <w:vAlign w:val="center"/>
          </w:tcPr>
          <w:p w14:paraId="4B1C5DD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7BF7185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w:t>
            </w:r>
          </w:p>
        </w:tc>
        <w:tc>
          <w:tcPr>
            <w:tcW w:w="3748" w:type="dxa"/>
            <w:vAlign w:val="center"/>
          </w:tcPr>
          <w:p w14:paraId="726FD3E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default" w:asciiTheme="minorEastAsia" w:hAnsiTheme="minorEastAsia" w:eastAsiaTheme="minorEastAsia"/>
                <w:color w:val="auto"/>
                <w:kern w:val="0"/>
                <w:sz w:val="24"/>
                <w:highlight w:val="none"/>
              </w:rPr>
              <w:t>13857677798</w:t>
            </w:r>
          </w:p>
        </w:tc>
      </w:tr>
      <w:tr w14:paraId="03A5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09214C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1479" w:type="dxa"/>
            <w:vAlign w:val="center"/>
          </w:tcPr>
          <w:p w14:paraId="7E2A40D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5FB86D3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3748" w:type="dxa"/>
            <w:vAlign w:val="center"/>
          </w:tcPr>
          <w:p w14:paraId="0FFB7EC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59B5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62EB42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1479" w:type="dxa"/>
            <w:vAlign w:val="center"/>
          </w:tcPr>
          <w:p w14:paraId="286B2E5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77F83E4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3748" w:type="dxa"/>
            <w:vAlign w:val="center"/>
          </w:tcPr>
          <w:p w14:paraId="2135606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58AA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E6E73F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1479" w:type="dxa"/>
            <w:vAlign w:val="center"/>
          </w:tcPr>
          <w:p w14:paraId="2BDFC6F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5E2F9BE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3748" w:type="dxa"/>
            <w:vAlign w:val="center"/>
          </w:tcPr>
          <w:p w14:paraId="7250B27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2D96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B9A1E6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1479" w:type="dxa"/>
            <w:vAlign w:val="center"/>
          </w:tcPr>
          <w:p w14:paraId="4C8482C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1600" w:type="dxa"/>
            <w:vAlign w:val="center"/>
          </w:tcPr>
          <w:p w14:paraId="73F48E1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3748" w:type="dxa"/>
            <w:vAlign w:val="center"/>
          </w:tcPr>
          <w:p w14:paraId="744FDC7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6ECC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932EF6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1479" w:type="dxa"/>
            <w:vAlign w:val="center"/>
          </w:tcPr>
          <w:p w14:paraId="397B1CA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1600" w:type="dxa"/>
            <w:vAlign w:val="center"/>
          </w:tcPr>
          <w:p w14:paraId="219AF7B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3748" w:type="dxa"/>
            <w:vAlign w:val="center"/>
          </w:tcPr>
          <w:p w14:paraId="2F97A8E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4863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D18E3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1479" w:type="dxa"/>
            <w:vAlign w:val="center"/>
          </w:tcPr>
          <w:p w14:paraId="3EBD3AF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1600" w:type="dxa"/>
            <w:vAlign w:val="center"/>
          </w:tcPr>
          <w:p w14:paraId="75C08BD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3748" w:type="dxa"/>
            <w:vAlign w:val="center"/>
          </w:tcPr>
          <w:p w14:paraId="6A10E75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288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3BFF3F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1479" w:type="dxa"/>
            <w:vAlign w:val="center"/>
          </w:tcPr>
          <w:p w14:paraId="540224A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1600" w:type="dxa"/>
            <w:vAlign w:val="center"/>
          </w:tcPr>
          <w:p w14:paraId="1E5B014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3748" w:type="dxa"/>
            <w:vAlign w:val="center"/>
          </w:tcPr>
          <w:p w14:paraId="0852CA8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4EE9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4F14B6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1479" w:type="dxa"/>
            <w:vAlign w:val="center"/>
          </w:tcPr>
          <w:p w14:paraId="0A825FD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58F78F5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3748" w:type="dxa"/>
            <w:vAlign w:val="center"/>
          </w:tcPr>
          <w:p w14:paraId="281AE14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24D3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0141CD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1479" w:type="dxa"/>
            <w:vAlign w:val="center"/>
          </w:tcPr>
          <w:p w14:paraId="66ACD35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1600" w:type="dxa"/>
            <w:vAlign w:val="center"/>
          </w:tcPr>
          <w:p w14:paraId="463C741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3748" w:type="dxa"/>
            <w:vAlign w:val="center"/>
          </w:tcPr>
          <w:p w14:paraId="3B97B71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4A11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574EC4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1479" w:type="dxa"/>
            <w:vAlign w:val="center"/>
          </w:tcPr>
          <w:p w14:paraId="4F3E95C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1600" w:type="dxa"/>
            <w:vAlign w:val="center"/>
          </w:tcPr>
          <w:p w14:paraId="6A1E4B4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3748" w:type="dxa"/>
            <w:vAlign w:val="center"/>
          </w:tcPr>
          <w:p w14:paraId="6D0F532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53DC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E3B8A0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1479" w:type="dxa"/>
            <w:vAlign w:val="center"/>
          </w:tcPr>
          <w:p w14:paraId="45B396F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1600" w:type="dxa"/>
            <w:vAlign w:val="center"/>
          </w:tcPr>
          <w:p w14:paraId="4D9429D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3748" w:type="dxa"/>
            <w:vAlign w:val="center"/>
          </w:tcPr>
          <w:p w14:paraId="163F3D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6DF3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C24071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1479" w:type="dxa"/>
            <w:vAlign w:val="center"/>
          </w:tcPr>
          <w:p w14:paraId="5D2EBE3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1600" w:type="dxa"/>
            <w:vAlign w:val="center"/>
          </w:tcPr>
          <w:p w14:paraId="114DD70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3748" w:type="dxa"/>
            <w:vAlign w:val="center"/>
          </w:tcPr>
          <w:p w14:paraId="78D8221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68EE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ED6FD5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1479" w:type="dxa"/>
            <w:vAlign w:val="center"/>
          </w:tcPr>
          <w:p w14:paraId="73E700C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1600" w:type="dxa"/>
            <w:vAlign w:val="center"/>
          </w:tcPr>
          <w:p w14:paraId="4CA715A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3748" w:type="dxa"/>
            <w:vAlign w:val="center"/>
          </w:tcPr>
          <w:p w14:paraId="29BF652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13C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C65AAD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1479" w:type="dxa"/>
            <w:vAlign w:val="center"/>
          </w:tcPr>
          <w:p w14:paraId="3B39229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06502DC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3748" w:type="dxa"/>
            <w:vAlign w:val="center"/>
          </w:tcPr>
          <w:p w14:paraId="6482ECE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5904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8FD3AC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1479" w:type="dxa"/>
            <w:vAlign w:val="center"/>
          </w:tcPr>
          <w:p w14:paraId="4EDAE4E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51220DA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3748" w:type="dxa"/>
            <w:vAlign w:val="center"/>
          </w:tcPr>
          <w:p w14:paraId="09A4F94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097D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C94F77F">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1479" w:type="dxa"/>
            <w:vAlign w:val="center"/>
          </w:tcPr>
          <w:p w14:paraId="6EAB79D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1600" w:type="dxa"/>
            <w:vAlign w:val="center"/>
          </w:tcPr>
          <w:p w14:paraId="65C5D479">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3748" w:type="dxa"/>
            <w:vAlign w:val="center"/>
          </w:tcPr>
          <w:p w14:paraId="43ACC8F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2AC8F1A2">
      <w:pPr>
        <w:pStyle w:val="26"/>
        <w:spacing w:beforeLines="50" w:afterLines="50" w:line="360" w:lineRule="auto"/>
        <w:outlineLvl w:val="0"/>
        <w:rPr>
          <w:rFonts w:asciiTheme="minorEastAsia" w:hAnsiTheme="minorEastAsia" w:eastAsiaTheme="minorEastAsia"/>
          <w:color w:val="auto"/>
          <w:sz w:val="24"/>
          <w:szCs w:val="24"/>
          <w:highlight w:val="none"/>
        </w:rPr>
      </w:pPr>
    </w:p>
    <w:p w14:paraId="7DFB4E0A">
      <w:pPr>
        <w:pStyle w:val="16"/>
        <w:ind w:firstLine="482"/>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72C6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shd w:val="clear" w:color="auto" w:fill="DDD9C4" w:themeFill="background2" w:themeFillShade="E6"/>
            <w:vAlign w:val="center"/>
          </w:tcPr>
          <w:p w14:paraId="2FFE69A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shd w:val="clear" w:color="auto" w:fill="DDD9C4" w:themeFill="background2" w:themeFillShade="E6"/>
            <w:vAlign w:val="center"/>
          </w:tcPr>
          <w:p w14:paraId="599CEB1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shd w:val="clear" w:color="auto" w:fill="DDD9C4" w:themeFill="background2" w:themeFillShade="E6"/>
            <w:vAlign w:val="center"/>
          </w:tcPr>
          <w:p w14:paraId="1E237C4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shd w:val="clear" w:color="auto" w:fill="DDD9C4" w:themeFill="background2" w:themeFillShade="E6"/>
            <w:vAlign w:val="center"/>
          </w:tcPr>
          <w:p w14:paraId="153A31F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7EE6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67E590D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vAlign w:val="center"/>
          </w:tcPr>
          <w:p w14:paraId="6D85AF1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6CE74E7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vAlign w:val="center"/>
          </w:tcPr>
          <w:p w14:paraId="3B6F94A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623F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4BC6BF5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vAlign w:val="center"/>
          </w:tcPr>
          <w:p w14:paraId="72615C3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vAlign w:val="center"/>
          </w:tcPr>
          <w:p w14:paraId="714BFBF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vAlign w:val="center"/>
          </w:tcPr>
          <w:p w14:paraId="702FE61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34DB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F967F6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vAlign w:val="center"/>
          </w:tcPr>
          <w:p w14:paraId="4F7BA96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vAlign w:val="center"/>
          </w:tcPr>
          <w:p w14:paraId="187EE2C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vAlign w:val="center"/>
          </w:tcPr>
          <w:p w14:paraId="4074507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2419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5B3F467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vAlign w:val="center"/>
          </w:tcPr>
          <w:p w14:paraId="2D4E2FC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vAlign w:val="center"/>
          </w:tcPr>
          <w:p w14:paraId="053255A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vAlign w:val="center"/>
          </w:tcPr>
          <w:p w14:paraId="21E5E35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2BC7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015D638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vAlign w:val="center"/>
          </w:tcPr>
          <w:p w14:paraId="7EE1EBD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4824526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vAlign w:val="center"/>
          </w:tcPr>
          <w:p w14:paraId="50EFDBE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607D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063" w:type="dxa"/>
            <w:vAlign w:val="center"/>
          </w:tcPr>
          <w:p w14:paraId="74B41D5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vAlign w:val="center"/>
          </w:tcPr>
          <w:p w14:paraId="11AC5EE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vAlign w:val="center"/>
          </w:tcPr>
          <w:p w14:paraId="0EBEBED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vAlign w:val="center"/>
          </w:tcPr>
          <w:p w14:paraId="799B696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7FED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5C08C1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vAlign w:val="center"/>
          </w:tcPr>
          <w:p w14:paraId="5765A03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vAlign w:val="center"/>
          </w:tcPr>
          <w:p w14:paraId="2F0CB5F7">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vAlign w:val="center"/>
          </w:tcPr>
          <w:p w14:paraId="2C59D9E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780C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DB3EA8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vAlign w:val="center"/>
          </w:tcPr>
          <w:p w14:paraId="132954B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vAlign w:val="center"/>
          </w:tcPr>
          <w:p w14:paraId="0019FB1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vAlign w:val="center"/>
          </w:tcPr>
          <w:p w14:paraId="690312E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53F34374">
      <w:pPr>
        <w:spacing w:line="276" w:lineRule="auto"/>
        <w:ind w:firstLine="843" w:firstLineChars="350"/>
        <w:jc w:val="center"/>
        <w:rPr>
          <w:rFonts w:cs="宋体" w:asciiTheme="minorEastAsia" w:hAnsiTheme="minorEastAsia" w:eastAsiaTheme="minorEastAsia"/>
          <w:b/>
          <w:color w:val="auto"/>
          <w:sz w:val="24"/>
          <w:highlight w:val="none"/>
        </w:rPr>
      </w:pPr>
    </w:p>
    <w:p w14:paraId="3548BDB7">
      <w:pPr>
        <w:spacing w:line="276" w:lineRule="auto"/>
        <w:ind w:firstLine="843" w:firstLineChars="3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971"/>
        <w:gridCol w:w="1147"/>
        <w:gridCol w:w="1768"/>
      </w:tblGrid>
      <w:tr w14:paraId="64BF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1" w:type="dxa"/>
            <w:vAlign w:val="center"/>
          </w:tcPr>
          <w:p w14:paraId="5CD388D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保险公司名称</w:t>
            </w:r>
          </w:p>
        </w:tc>
        <w:tc>
          <w:tcPr>
            <w:tcW w:w="2971" w:type="dxa"/>
            <w:vAlign w:val="center"/>
          </w:tcPr>
          <w:p w14:paraId="59FEC3C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保费率</w:t>
            </w:r>
          </w:p>
        </w:tc>
        <w:tc>
          <w:tcPr>
            <w:tcW w:w="1147" w:type="dxa"/>
            <w:vAlign w:val="center"/>
          </w:tcPr>
          <w:p w14:paraId="376E1DE7">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联系人</w:t>
            </w:r>
          </w:p>
        </w:tc>
        <w:tc>
          <w:tcPr>
            <w:tcW w:w="1768" w:type="dxa"/>
            <w:vAlign w:val="center"/>
          </w:tcPr>
          <w:p w14:paraId="7D56CA4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p>
        </w:tc>
      </w:tr>
      <w:tr w14:paraId="40C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171" w:type="dxa"/>
            <w:vAlign w:val="center"/>
          </w:tcPr>
          <w:p w14:paraId="532C6A6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971" w:type="dxa"/>
            <w:vAlign w:val="center"/>
          </w:tcPr>
          <w:p w14:paraId="5AF1725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年费率3%，最低保费500元</w:t>
            </w:r>
          </w:p>
        </w:tc>
        <w:tc>
          <w:tcPr>
            <w:tcW w:w="1147" w:type="dxa"/>
            <w:vAlign w:val="center"/>
          </w:tcPr>
          <w:p w14:paraId="4E45FA10">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68" w:type="dxa"/>
            <w:vAlign w:val="center"/>
          </w:tcPr>
          <w:p w14:paraId="2C5AD35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23C6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4C17EFE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971" w:type="dxa"/>
            <w:vAlign w:val="center"/>
          </w:tcPr>
          <w:p w14:paraId="57D51D42">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147" w:type="dxa"/>
            <w:vAlign w:val="center"/>
          </w:tcPr>
          <w:p w14:paraId="694235C6">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68" w:type="dxa"/>
            <w:vAlign w:val="center"/>
          </w:tcPr>
          <w:p w14:paraId="50552B2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6CEB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71" w:type="dxa"/>
            <w:vAlign w:val="center"/>
          </w:tcPr>
          <w:p w14:paraId="5F9827D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天安财产保险股份有限公司台州中心支公司</w:t>
            </w:r>
          </w:p>
        </w:tc>
        <w:tc>
          <w:tcPr>
            <w:tcW w:w="2971" w:type="dxa"/>
            <w:vAlign w:val="center"/>
          </w:tcPr>
          <w:p w14:paraId="674116F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年费率1%-2%，最低保费500元</w:t>
            </w:r>
          </w:p>
        </w:tc>
        <w:tc>
          <w:tcPr>
            <w:tcW w:w="1147" w:type="dxa"/>
            <w:vAlign w:val="center"/>
          </w:tcPr>
          <w:p w14:paraId="4AC521D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罗赛</w:t>
            </w:r>
          </w:p>
        </w:tc>
        <w:tc>
          <w:tcPr>
            <w:tcW w:w="1768" w:type="dxa"/>
            <w:vAlign w:val="center"/>
          </w:tcPr>
          <w:p w14:paraId="37BA71C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13736605643</w:t>
            </w:r>
          </w:p>
        </w:tc>
      </w:tr>
    </w:tbl>
    <w:p w14:paraId="6F7BF419">
      <w:pPr>
        <w:spacing w:line="400" w:lineRule="exact"/>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020D9AA6">
      <w:pPr>
        <w:spacing w:line="400" w:lineRule="exact"/>
        <w:ind w:firstLine="482" w:firstLineChars="200"/>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8"/>
    </w:p>
    <w:bookmarkEnd w:id="9"/>
    <w:bookmarkEnd w:id="10"/>
    <w:p w14:paraId="4CF72D31">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4" w:name="_Toc22671"/>
      <w:bookmarkStart w:id="15" w:name="_Toc32413"/>
      <w:bookmarkStart w:id="16" w:name="_Toc11440"/>
      <w:bookmarkStart w:id="17" w:name="_Toc3692"/>
      <w:bookmarkStart w:id="18" w:name="_Toc18266"/>
      <w:bookmarkStart w:id="19" w:name="_Toc20966"/>
      <w:r>
        <w:rPr>
          <w:rFonts w:hint="eastAsia" w:cs="宋体" w:asciiTheme="minorEastAsia" w:hAnsiTheme="minorEastAsia" w:eastAsiaTheme="minorEastAsia"/>
          <w:b/>
          <w:bCs/>
          <w:color w:val="auto"/>
          <w:sz w:val="32"/>
          <w:szCs w:val="32"/>
          <w:highlight w:val="none"/>
        </w:rPr>
        <w:t xml:space="preserve">第二部分  </w:t>
      </w:r>
      <w:bookmarkEnd w:id="14"/>
      <w:bookmarkEnd w:id="15"/>
      <w:bookmarkEnd w:id="16"/>
      <w:bookmarkEnd w:id="17"/>
      <w:bookmarkEnd w:id="18"/>
      <w:bookmarkStart w:id="20" w:name="_Toc53870597"/>
      <w:bookmarkStart w:id="21" w:name="_Toc14033"/>
      <w:bookmarkStart w:id="22" w:name="_Toc233618971"/>
      <w:bookmarkStart w:id="23" w:name="_Toc8189"/>
      <w:bookmarkStart w:id="24" w:name="_Toc354996695"/>
      <w:bookmarkStart w:id="25" w:name="_Toc5551"/>
      <w:bookmarkStart w:id="26" w:name="_Toc32345"/>
      <w:r>
        <w:rPr>
          <w:rFonts w:hint="eastAsia" w:cs="宋体" w:asciiTheme="minorEastAsia" w:hAnsiTheme="minorEastAsia" w:eastAsiaTheme="minorEastAsia"/>
          <w:b/>
          <w:bCs/>
          <w:color w:val="auto"/>
          <w:sz w:val="32"/>
          <w:szCs w:val="32"/>
          <w:highlight w:val="none"/>
        </w:rPr>
        <w:t>投标资料表</w:t>
      </w:r>
      <w:bookmarkEnd w:id="19"/>
      <w:bookmarkEnd w:id="20"/>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19"/>
        <w:gridCol w:w="7455"/>
      </w:tblGrid>
      <w:tr w14:paraId="383FD0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19" w:hRule="atLeast"/>
          <w:tblHeader/>
          <w:jc w:val="center"/>
        </w:trPr>
        <w:tc>
          <w:tcPr>
            <w:tcW w:w="823" w:type="dxa"/>
            <w:tcBorders>
              <w:bottom w:val="single" w:color="auto" w:sz="4" w:space="0"/>
            </w:tcBorders>
            <w:shd w:val="clear" w:color="auto" w:fill="DDD9C4" w:themeFill="background2" w:themeFillShade="E6"/>
            <w:vAlign w:val="center"/>
          </w:tcPr>
          <w:p w14:paraId="30F4DB0B">
            <w:pPr>
              <w:keepNext w:val="0"/>
              <w:keepLines w:val="0"/>
              <w:suppressLineNumbers w:val="0"/>
              <w:spacing w:before="0" w:beforeAutospacing="0" w:after="0" w:afterAutospacing="0" w:line="360" w:lineRule="auto"/>
              <w:ind w:left="-108" w:right="-113"/>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7809242C">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305C4A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92" w:hRule="atLeast"/>
          <w:jc w:val="center"/>
        </w:trPr>
        <w:tc>
          <w:tcPr>
            <w:tcW w:w="823" w:type="dxa"/>
            <w:vMerge w:val="restart"/>
            <w:vAlign w:val="center"/>
          </w:tcPr>
          <w:p w14:paraId="3C3BE654">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5019C8BA">
            <w:pPr>
              <w:keepNext w:val="0"/>
              <w:keepLines w:val="0"/>
              <w:suppressLineNumbers w:val="0"/>
              <w:tabs>
                <w:tab w:val="left" w:pos="1580"/>
                <w:tab w:val="left" w:pos="3436"/>
                <w:tab w:val="left" w:pos="5512"/>
              </w:tabs>
              <w:spacing w:before="0" w:beforeAutospacing="0" w:after="0" w:afterAutospacing="0" w:line="360" w:lineRule="auto"/>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szCs w:val="24"/>
                <w:highlight w:val="none"/>
              </w:rPr>
              <w:t>台州学院</w:t>
            </w:r>
          </w:p>
          <w:p w14:paraId="6A36C687">
            <w:pPr>
              <w:keepNext w:val="0"/>
              <w:keepLines w:val="0"/>
              <w:suppressLineNumbers w:val="0"/>
              <w:tabs>
                <w:tab w:val="left" w:pos="1580"/>
                <w:tab w:val="left" w:pos="3436"/>
                <w:tab w:val="left" w:pos="5512"/>
              </w:tabs>
              <w:spacing w:before="0" w:beforeAutospacing="0" w:after="0" w:afterAutospacing="0" w:line="360" w:lineRule="auto"/>
              <w:ind w:left="21"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w:t>
            </w:r>
            <w:r>
              <w:rPr>
                <w:rFonts w:hint="eastAsia"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rPr>
              <w:t>0576-88660897</w:t>
            </w:r>
          </w:p>
          <w:p w14:paraId="39CB66CC">
            <w:pPr>
              <w:keepNext w:val="0"/>
              <w:keepLines w:val="0"/>
              <w:suppressLineNumbers w:val="0"/>
              <w:tabs>
                <w:tab w:val="left" w:pos="1580"/>
                <w:tab w:val="left" w:pos="3436"/>
                <w:tab w:val="left" w:pos="5512"/>
              </w:tabs>
              <w:spacing w:before="0" w:beforeAutospacing="0" w:after="0" w:afterAutospacing="0" w:line="360" w:lineRule="auto"/>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lang w:eastAsia="zh-CN"/>
              </w:rPr>
              <w:t>浙江省台州市椒江区市府大道1139号</w:t>
            </w:r>
          </w:p>
        </w:tc>
      </w:tr>
      <w:tr w14:paraId="063284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67" w:hRule="atLeast"/>
          <w:jc w:val="center"/>
        </w:trPr>
        <w:tc>
          <w:tcPr>
            <w:tcW w:w="823" w:type="dxa"/>
            <w:vMerge w:val="continue"/>
            <w:vAlign w:val="center"/>
          </w:tcPr>
          <w:p w14:paraId="2D026CAF">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p>
        </w:tc>
        <w:tc>
          <w:tcPr>
            <w:tcW w:w="8874" w:type="dxa"/>
            <w:gridSpan w:val="2"/>
            <w:vAlign w:val="center"/>
          </w:tcPr>
          <w:p w14:paraId="691071BF">
            <w:pPr>
              <w:keepNext w:val="0"/>
              <w:keepLines w:val="0"/>
              <w:suppressLineNumbers w:val="0"/>
              <w:tabs>
                <w:tab w:val="left" w:pos="1580"/>
                <w:tab w:val="left" w:pos="3436"/>
                <w:tab w:val="left" w:pos="5512"/>
              </w:tabs>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default" w:asciiTheme="minorEastAsia" w:hAnsiTheme="minorEastAsia" w:eastAsiaTheme="minorEastAsia"/>
                <w:color w:val="auto"/>
                <w:sz w:val="24"/>
                <w:highlight w:val="none"/>
              </w:rPr>
              <w:t>代理机构：中冠工程管理咨询有限公司</w:t>
            </w:r>
          </w:p>
          <w:p w14:paraId="7BA9B0B7">
            <w:pPr>
              <w:keepNext w:val="0"/>
              <w:keepLines w:val="0"/>
              <w:suppressLineNumbers w:val="0"/>
              <w:tabs>
                <w:tab w:val="left" w:pos="1300"/>
              </w:tabs>
              <w:spacing w:before="0" w:beforeAutospacing="0" w:after="0" w:afterAutospacing="0" w:line="360" w:lineRule="auto"/>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陈金泉、戴艳燕、</w:t>
            </w:r>
            <w:r>
              <w:rPr>
                <w:rFonts w:hint="eastAsia" w:cs="Arial" w:asciiTheme="minorEastAsia" w:hAnsiTheme="minorEastAsia" w:eastAsiaTheme="minorEastAsia"/>
                <w:color w:val="auto"/>
                <w:sz w:val="24"/>
                <w:highlight w:val="none"/>
                <w:lang w:eastAsia="zh-CN"/>
              </w:rPr>
              <w:t>徐茜</w:t>
            </w:r>
          </w:p>
          <w:p w14:paraId="486A89CC">
            <w:pPr>
              <w:keepNext w:val="0"/>
              <w:keepLines w:val="0"/>
              <w:suppressLineNumbers w:val="0"/>
              <w:spacing w:before="0" w:beforeAutospacing="0" w:after="0" w:afterAutospacing="0" w:line="360" w:lineRule="auto"/>
              <w:ind w:left="0" w:right="0"/>
              <w:contextualSpacing/>
              <w:rPr>
                <w:rFonts w:hint="default"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default"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01BE7AEC">
            <w:pPr>
              <w:keepNext w:val="0"/>
              <w:keepLines w:val="0"/>
              <w:suppressLineNumbers w:val="0"/>
              <w:spacing w:before="0" w:beforeAutospacing="0" w:after="0" w:afterAutospacing="0" w:line="360" w:lineRule="auto"/>
              <w:ind w:left="0" w:right="0"/>
              <w:contextualSpacing/>
              <w:rPr>
                <w:rFonts w:hint="default"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hint="default" w:cs="Arial" w:asciiTheme="minorEastAsia" w:hAnsiTheme="minorEastAsia" w:eastAsiaTheme="minorEastAsia"/>
                <w:color w:val="auto"/>
                <w:sz w:val="24"/>
                <w:highlight w:val="none"/>
              </w:rPr>
              <w:t>378号4楼</w:t>
            </w:r>
          </w:p>
        </w:tc>
      </w:tr>
      <w:tr w14:paraId="1CAB50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7E51D995">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3B912893">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w:t>
            </w:r>
            <w:r>
              <w:rPr>
                <w:rFonts w:hint="eastAsia" w:asciiTheme="minorEastAsia" w:hAnsiTheme="minorEastAsia" w:eastAsiaTheme="minorEastAsia"/>
                <w:color w:val="auto"/>
                <w:sz w:val="24"/>
                <w:highlight w:val="none"/>
                <w:lang w:val="en-US" w:eastAsia="zh-CN"/>
              </w:rPr>
              <w:t>方</w:t>
            </w:r>
            <w:r>
              <w:rPr>
                <w:rFonts w:hint="eastAsia" w:asciiTheme="minorEastAsia" w:hAnsiTheme="minorEastAsia" w:eastAsiaTheme="minorEastAsia"/>
                <w:color w:val="auto"/>
                <w:sz w:val="24"/>
                <w:highlight w:val="none"/>
              </w:rPr>
              <w:t>式：公开招标</w:t>
            </w:r>
          </w:p>
        </w:tc>
      </w:tr>
      <w:tr w14:paraId="67D3E9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FF10147">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4B09B57C">
            <w:pPr>
              <w:keepNext w:val="0"/>
              <w:keepLines w:val="0"/>
              <w:suppressLineNumbers w:val="0"/>
              <w:spacing w:before="0" w:beforeAutospacing="0" w:after="0" w:afterAutospacing="0" w:line="360" w:lineRule="auto"/>
              <w:ind w:left="0" w:right="0"/>
              <w:contextualSpacing/>
              <w:rPr>
                <w:rFonts w:hint="default"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hint="default"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hint="default"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4F89F3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266617D3">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44D1FC27">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0FFE8F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8F5B47D">
            <w:pPr>
              <w:keepNext w:val="0"/>
              <w:keepLines w:val="0"/>
              <w:suppressLineNumbers w:val="0"/>
              <w:tabs>
                <w:tab w:val="left" w:pos="1580"/>
                <w:tab w:val="left" w:pos="3436"/>
                <w:tab w:val="left" w:pos="5512"/>
              </w:tabs>
              <w:spacing w:before="0" w:beforeAutospacing="0" w:after="0" w:afterAutospacing="0" w:line="360" w:lineRule="auto"/>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621A7936">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40D4F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25" w:hRule="atLeast"/>
          <w:jc w:val="center"/>
        </w:trPr>
        <w:tc>
          <w:tcPr>
            <w:tcW w:w="823" w:type="dxa"/>
            <w:vAlign w:val="center"/>
          </w:tcPr>
          <w:p w14:paraId="020F53DA">
            <w:pPr>
              <w:keepNext w:val="0"/>
              <w:keepLines w:val="0"/>
              <w:suppressLineNumbers w:val="0"/>
              <w:tabs>
                <w:tab w:val="left" w:pos="1580"/>
                <w:tab w:val="left" w:pos="3436"/>
                <w:tab w:val="left" w:pos="5512"/>
              </w:tabs>
              <w:spacing w:before="0" w:beforeAutospacing="0" w:after="0" w:afterAutospacing="0" w:line="360" w:lineRule="auto"/>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0829D824">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2517A458">
            <w:pPr>
              <w:keepNext w:val="0"/>
              <w:keepLines w:val="0"/>
              <w:suppressLineNumbers w:val="0"/>
              <w:spacing w:before="0" w:beforeAutospacing="0" w:after="0" w:afterAutospacing="0" w:line="360" w:lineRule="auto"/>
              <w:ind w:left="0" w:right="0"/>
              <w:contextualSpacing/>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w:t>
            </w:r>
            <w:r>
              <w:rPr>
                <w:rFonts w:hint="eastAsia" w:asciiTheme="minorEastAsia" w:hAnsiTheme="minorEastAsia" w:eastAsiaTheme="minorEastAsia"/>
                <w:b/>
                <w:bCs w:val="0"/>
                <w:color w:val="auto"/>
                <w:sz w:val="24"/>
                <w:highlight w:val="none"/>
              </w:rPr>
              <w:t>限价：</w:t>
            </w:r>
            <w:r>
              <w:rPr>
                <w:rFonts w:hint="eastAsia" w:ascii="宋体" w:hAnsi="宋体"/>
                <w:b/>
                <w:bCs w:val="0"/>
                <w:color w:val="auto"/>
                <w:sz w:val="24"/>
                <w:highlight w:val="none"/>
                <w:lang w:val="en-US" w:eastAsia="zh-CN"/>
              </w:rPr>
              <w:t>52.8</w:t>
            </w:r>
            <w:r>
              <w:rPr>
                <w:rFonts w:hint="eastAsia" w:asciiTheme="minorEastAsia" w:hAnsiTheme="minorEastAsia" w:eastAsiaTheme="minorEastAsia"/>
                <w:b/>
                <w:bCs w:val="0"/>
                <w:color w:val="auto"/>
                <w:sz w:val="24"/>
                <w:highlight w:val="none"/>
                <w:lang w:val="en-US" w:eastAsia="zh-CN"/>
              </w:rPr>
              <w:t>万元。</w:t>
            </w:r>
            <w:r>
              <w:rPr>
                <w:rFonts w:hint="eastAsia" w:asciiTheme="minorEastAsia" w:hAnsiTheme="minorEastAsia" w:eastAsiaTheme="minorEastAsia"/>
                <w:b/>
                <w:bCs w:val="0"/>
                <w:color w:val="auto"/>
                <w:sz w:val="24"/>
                <w:highlight w:val="none"/>
              </w:rPr>
              <w:t>报价超过最高限价的，其投标将作无效投标处理。</w:t>
            </w:r>
          </w:p>
          <w:p w14:paraId="04E5FAF5">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w:t>
            </w:r>
            <w:r>
              <w:rPr>
                <w:rFonts w:hint="eastAsia" w:ascii="宋体" w:hAnsi="宋体" w:eastAsia="宋体" w:cs="宋体"/>
                <w:b w:val="0"/>
                <w:bCs/>
                <w:color w:val="auto"/>
                <w:sz w:val="24"/>
                <w:szCs w:val="24"/>
                <w:highlight w:val="none"/>
              </w:rPr>
              <w:t>所有设备（含进口和非进口）均采用人民币报价。本项目的成交报价应包含货款、标准附件、备品备件、专用工具、包装、运输、装卸、保险、税金、货到就位以及安装、调试、培训、保修、</w:t>
            </w:r>
            <w:r>
              <w:rPr>
                <w:rFonts w:hint="eastAsia" w:ascii="宋体" w:hAnsi="宋体" w:eastAsia="宋体" w:cs="宋体"/>
                <w:b/>
                <w:bCs w:val="0"/>
                <w:color w:val="auto"/>
                <w:sz w:val="24"/>
                <w:szCs w:val="24"/>
                <w:highlight w:val="none"/>
              </w:rPr>
              <w:t>进口设备的外贸代理费</w:t>
            </w:r>
            <w:r>
              <w:rPr>
                <w:rFonts w:hint="eastAsia" w:ascii="宋体" w:hAnsi="宋体" w:eastAsia="宋体" w:cs="宋体"/>
                <w:b w:val="0"/>
                <w:bCs/>
                <w:color w:val="auto"/>
                <w:sz w:val="24"/>
                <w:szCs w:val="24"/>
                <w:highlight w:val="none"/>
              </w:rPr>
              <w:t>等一切税金和费用</w:t>
            </w:r>
            <w:r>
              <w:rPr>
                <w:rFonts w:hint="eastAsia" w:cs="Times New Roman" w:asciiTheme="minorEastAsia" w:hAnsiTheme="minorEastAsia" w:eastAsiaTheme="minorEastAsia"/>
                <w:color w:val="auto"/>
                <w:sz w:val="24"/>
                <w:szCs w:val="24"/>
                <w:highlight w:val="none"/>
              </w:rPr>
              <w:t>。</w:t>
            </w:r>
          </w:p>
          <w:p w14:paraId="3390CD42">
            <w:pPr>
              <w:pStyle w:val="21"/>
              <w:keepNext w:val="0"/>
              <w:keepLines w:val="0"/>
              <w:suppressLineNumbers w:val="0"/>
              <w:spacing w:before="0" w:beforeAutospacing="0" w:after="0" w:afterAutospacing="0" w:line="360" w:lineRule="auto"/>
              <w:ind w:left="0" w:right="0" w:firstLine="0"/>
              <w:jc w:val="left"/>
              <w:rPr>
                <w:rFonts w:hint="default"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416DA6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440ACA07">
            <w:pPr>
              <w:keepNext w:val="0"/>
              <w:keepLines w:val="0"/>
              <w:suppressLineNumbers w:val="0"/>
              <w:tabs>
                <w:tab w:val="left" w:pos="1580"/>
                <w:tab w:val="left" w:pos="3436"/>
                <w:tab w:val="left" w:pos="5512"/>
              </w:tabs>
              <w:spacing w:before="0" w:beforeAutospacing="0" w:after="0" w:afterAutospacing="0" w:line="360" w:lineRule="auto"/>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5559A741">
            <w:pPr>
              <w:keepNext w:val="0"/>
              <w:keepLines w:val="0"/>
              <w:suppressLineNumbers w:val="0"/>
              <w:autoSpaceDE w:val="0"/>
              <w:autoSpaceDN w:val="0"/>
              <w:snapToGrid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150B26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768099AE">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0E55DDA5">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6ABEDE22">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52F23452">
            <w:pPr>
              <w:pStyle w:val="21"/>
              <w:keepNext w:val="0"/>
              <w:keepLines w:val="0"/>
              <w:suppressLineNumbers w:val="0"/>
              <w:spacing w:before="0" w:beforeAutospacing="0" w:after="0" w:afterAutospacing="0" w:line="360" w:lineRule="auto"/>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hint="default"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195F60F4">
            <w:pPr>
              <w:pStyle w:val="21"/>
              <w:keepNext w:val="0"/>
              <w:keepLines w:val="0"/>
              <w:suppressLineNumbers w:val="0"/>
              <w:spacing w:before="0" w:beforeAutospacing="0" w:after="0" w:afterAutospacing="0" w:line="360" w:lineRule="auto"/>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5C67A6B1">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投标文件解密：投标供应商应在开标后30分钟内完成解密。</w:t>
            </w:r>
          </w:p>
          <w:p w14:paraId="4A1A16BD">
            <w:pPr>
              <w:pStyle w:val="21"/>
              <w:keepNext w:val="0"/>
              <w:keepLines w:val="0"/>
              <w:suppressLineNumbers w:val="0"/>
              <w:spacing w:before="0" w:beforeAutospacing="0" w:after="0" w:afterAutospacing="0" w:line="360" w:lineRule="auto"/>
              <w:ind w:left="0" w:right="0" w:firstLine="0"/>
              <w:jc w:val="left"/>
              <w:rPr>
                <w:rFonts w:hint="default"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4、中标供应商中标后需提供纸质投标文件给采购人作为备案存档，纸质投标文件系电子投标文件纸质版，两者内容应一致；数量为：资格证明文件2份；商务技术文件2份；报价文件2份。</w:t>
            </w:r>
          </w:p>
        </w:tc>
      </w:tr>
      <w:tr w14:paraId="7C908A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1C6B93E0">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486B6D4A">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2F11FC2D">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w:t>
            </w:r>
          </w:p>
          <w:p w14:paraId="17B4684D">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w:t>
            </w:r>
            <w:r>
              <w:rPr>
                <w:rFonts w:hint="eastAsia" w:cs="Times New Roman" w:asciiTheme="minorEastAsia" w:hAnsiTheme="minorEastAsia" w:eastAsiaTheme="minorEastAsia"/>
                <w:color w:val="auto"/>
                <w:sz w:val="24"/>
                <w:szCs w:val="24"/>
                <w:highlight w:val="none"/>
                <w:lang w:eastAsia="zh-CN"/>
              </w:rPr>
              <w:t>商务技术文件</w:t>
            </w:r>
            <w:r>
              <w:rPr>
                <w:rFonts w:hint="eastAsia" w:cs="Times New Roman" w:asciiTheme="minorEastAsia" w:hAnsiTheme="minorEastAsia" w:eastAsiaTheme="minorEastAsia"/>
                <w:color w:val="auto"/>
                <w:sz w:val="24"/>
                <w:szCs w:val="24"/>
                <w:highlight w:val="none"/>
              </w:rPr>
              <w:t>、报价文件）1份。备份投标文件是通过政采云电子交易客户端制作投标文件产生的备份文件，请投标供应商自行妥善保管。</w:t>
            </w:r>
          </w:p>
          <w:p w14:paraId="44F2E999">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5C3DABCB">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4D9AECC9">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default"/>
                <w:color w:val="auto"/>
                <w:highlight w:val="none"/>
              </w:rPr>
              <w:fldChar w:fldCharType="begin"/>
            </w:r>
            <w:r>
              <w:rPr>
                <w:rFonts w:hint="default"/>
                <w:color w:val="auto"/>
                <w:highlight w:val="none"/>
              </w:rPr>
              <w:instrText xml:space="preserve"> HYPERLINK "mailto:zgtzfgs@163.com" </w:instrText>
            </w:r>
            <w:r>
              <w:rPr>
                <w:rFonts w:hint="default"/>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3A8233CF">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11C23D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6EA15EAD">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364E876E">
            <w:pPr>
              <w:keepNext w:val="0"/>
              <w:keepLines w:val="0"/>
              <w:suppressLineNumbers w:val="0"/>
              <w:autoSpaceDE w:val="0"/>
              <w:autoSpaceDN w:val="0"/>
              <w:snapToGrid w:val="0"/>
              <w:spacing w:before="0" w:beforeAutospacing="0" w:after="0" w:afterAutospacing="0" w:line="360" w:lineRule="auto"/>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szCs w:val="24"/>
                <w:highlight w:val="none"/>
              </w:rPr>
              <w:t>台州学院招投标中心（https://ztbzx.tzc.edu.cn/）</w:t>
            </w:r>
            <w:r>
              <w:rPr>
                <w:rFonts w:hint="eastAsia" w:cs="Arial" w:asciiTheme="minorEastAsia" w:hAnsiTheme="minorEastAsia" w:eastAsiaTheme="minorEastAsia"/>
                <w:color w:val="auto"/>
                <w:sz w:val="24"/>
                <w:highlight w:val="none"/>
              </w:rPr>
              <w:t>。</w:t>
            </w:r>
          </w:p>
        </w:tc>
      </w:tr>
      <w:tr w14:paraId="66EC2F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77098ACC">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51EF55AA">
            <w:pPr>
              <w:keepNext w:val="0"/>
              <w:keepLines w:val="0"/>
              <w:suppressLineNumbers w:val="0"/>
              <w:autoSpaceDE w:val="0"/>
              <w:autoSpaceDN w:val="0"/>
              <w:snapToGrid w:val="0"/>
              <w:spacing w:before="0" w:beforeAutospacing="0" w:after="0" w:afterAutospacing="0" w:line="360" w:lineRule="auto"/>
              <w:ind w:left="0" w:right="0"/>
              <w:contextualSpacing/>
              <w:jc w:val="left"/>
              <w:rPr>
                <w:rFonts w:hint="default"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hint="default"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083D39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B55ED0D">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5D61365D">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7F58105B">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2、节能产品、环保产品：无要求；</w:t>
            </w:r>
          </w:p>
          <w:p w14:paraId="767807E1">
            <w:pPr>
              <w:pStyle w:val="21"/>
              <w:keepNext w:val="0"/>
              <w:keepLines w:val="0"/>
              <w:suppressLineNumbers w:val="0"/>
              <w:spacing w:before="0" w:beforeAutospacing="0" w:after="0" w:afterAutospacing="0" w:line="360" w:lineRule="auto"/>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default" w:cs="Times New Roman" w:asciiTheme="minorEastAsia" w:hAnsiTheme="minorEastAsia" w:eastAsiaTheme="minorEastAsia"/>
                <w:color w:val="auto"/>
                <w:sz w:val="24"/>
                <w:szCs w:val="24"/>
                <w:highlight w:val="none"/>
              </w:rPr>
              <w:t>3、样品：</w:t>
            </w:r>
            <w:r>
              <w:rPr>
                <w:rFonts w:hint="eastAsia" w:cs="Times New Roman" w:asciiTheme="minorEastAsia" w:hAnsiTheme="minorEastAsia" w:eastAsiaTheme="minorEastAsia"/>
                <w:color w:val="auto"/>
                <w:sz w:val="24"/>
                <w:szCs w:val="24"/>
                <w:highlight w:val="none"/>
                <w:lang w:val="en-US" w:eastAsia="zh-CN"/>
              </w:rPr>
              <w:t>无；</w:t>
            </w:r>
          </w:p>
          <w:p w14:paraId="6DADED89">
            <w:pPr>
              <w:pStyle w:val="21"/>
              <w:keepNext w:val="0"/>
              <w:keepLines w:val="0"/>
              <w:suppressLineNumbers w:val="0"/>
              <w:spacing w:before="0" w:beforeAutospacing="0" w:after="0" w:afterAutospacing="0" w:line="360" w:lineRule="auto"/>
              <w:ind w:left="0" w:right="0" w:firstLine="0"/>
              <w:jc w:val="left"/>
              <w:rPr>
                <w:rFonts w:hint="default"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4、现场演示：</w:t>
            </w:r>
            <w:r>
              <w:rPr>
                <w:rFonts w:hint="eastAsia" w:cs="Times New Roman" w:asciiTheme="minorEastAsia" w:hAnsiTheme="minorEastAsia" w:eastAsiaTheme="minorEastAsia"/>
                <w:color w:val="auto"/>
                <w:sz w:val="24"/>
                <w:szCs w:val="24"/>
                <w:highlight w:val="none"/>
                <w:lang w:eastAsia="zh-CN"/>
              </w:rPr>
              <w:t>无</w:t>
            </w:r>
            <w:r>
              <w:rPr>
                <w:rFonts w:hint="eastAsia" w:cs="Times New Roman" w:asciiTheme="minorEastAsia" w:hAnsiTheme="minorEastAsia" w:eastAsiaTheme="minorEastAsia"/>
                <w:color w:val="auto"/>
                <w:sz w:val="24"/>
                <w:szCs w:val="24"/>
                <w:highlight w:val="none"/>
              </w:rPr>
              <w:t>。</w:t>
            </w:r>
          </w:p>
        </w:tc>
      </w:tr>
      <w:tr w14:paraId="526C77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6D71BB32">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19" w:type="dxa"/>
            <w:vAlign w:val="center"/>
          </w:tcPr>
          <w:p w14:paraId="0FA57B7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455" w:type="dxa"/>
            <w:vAlign w:val="center"/>
          </w:tcPr>
          <w:p w14:paraId="5EDC8F6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本项目不允许采购进口产品。</w:t>
            </w:r>
          </w:p>
          <w:p w14:paraId="643F6C2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b w:val="0"/>
                <w:bCs w:val="0"/>
                <w:color w:val="auto"/>
                <w:sz w:val="24"/>
                <w:highlight w:val="none"/>
              </w:rPr>
              <w:t>可以</w:t>
            </w:r>
            <w:r>
              <w:rPr>
                <w:rFonts w:hint="eastAsia" w:ascii="宋体" w:hAnsi="宋体" w:eastAsia="宋体" w:cs="宋体"/>
                <w:b w:val="0"/>
                <w:bCs w:val="0"/>
                <w:color w:val="auto"/>
                <w:sz w:val="24"/>
                <w:highlight w:val="none"/>
              </w:rPr>
              <w:t>采购进口产品</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CEB38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524F0045">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19" w:type="dxa"/>
            <w:vAlign w:val="center"/>
          </w:tcPr>
          <w:p w14:paraId="065560CC">
            <w:pPr>
              <w:keepNext w:val="0"/>
              <w:keepLines w:val="0"/>
              <w:suppressLineNumbers w:val="0"/>
              <w:spacing w:before="0" w:beforeAutospacing="0" w:after="0" w:afterAutospacing="0" w:line="360" w:lineRule="auto"/>
              <w:ind w:left="17" w:right="0" w:hanging="16" w:hangingChars="7"/>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455" w:type="dxa"/>
            <w:vAlign w:val="center"/>
          </w:tcPr>
          <w:p w14:paraId="112816A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A货物类，核心产品为：</w:t>
            </w:r>
            <w:r>
              <w:rPr>
                <w:rFonts w:hint="eastAsia" w:asciiTheme="minorEastAsia" w:hAnsiTheme="minorEastAsia" w:eastAsiaTheme="minorEastAsia"/>
                <w:color w:val="auto"/>
                <w:sz w:val="24"/>
                <w:highlight w:val="none"/>
                <w:u w:val="single"/>
                <w:lang w:val="en-US" w:eastAsia="zh-CN"/>
              </w:rPr>
              <w:t xml:space="preserve"> </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高效液相色谱</w:t>
            </w:r>
            <w:r>
              <w:rPr>
                <w:rFonts w:hint="eastAsia" w:asciiTheme="minorEastAsia" w:hAnsiTheme="minorEastAsia" w:eastAsiaTheme="minorEastAsia"/>
                <w:color w:val="auto"/>
                <w:sz w:val="24"/>
                <w:highlight w:val="none"/>
                <w:u w:val="single"/>
                <w:lang w:val="en-US" w:eastAsia="zh-CN"/>
              </w:rPr>
              <w:t>仪</w:t>
            </w:r>
            <w:r>
              <w:rPr>
                <w:rFonts w:hint="eastAsia" w:asciiTheme="minorEastAsia" w:hAnsiTheme="minorEastAsia" w:eastAsiaTheme="minorEastAsia"/>
                <w:color w:val="auto"/>
                <w:sz w:val="24"/>
                <w:highlight w:val="none"/>
                <w:u w:val="single"/>
              </w:rPr>
              <w:t>、多功能酶标仪</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1BC7096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6A76EA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30" w:hRule="atLeast"/>
          <w:jc w:val="center"/>
        </w:trPr>
        <w:tc>
          <w:tcPr>
            <w:tcW w:w="823" w:type="dxa"/>
            <w:vAlign w:val="center"/>
          </w:tcPr>
          <w:p w14:paraId="6155D0E8">
            <w:pPr>
              <w:keepNext w:val="0"/>
              <w:keepLines w:val="0"/>
              <w:suppressLineNumbers w:val="0"/>
              <w:autoSpaceDE w:val="0"/>
              <w:autoSpaceDN w:val="0"/>
              <w:snapToGrid w:val="0"/>
              <w:spacing w:before="0" w:beforeAutospacing="0" w:after="0" w:afterAutospacing="0" w:line="360" w:lineRule="auto"/>
              <w:ind w:left="-95" w:leftChars="0" w:right="-129" w:rightChars="0"/>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19" w:type="dxa"/>
            <w:vAlign w:val="center"/>
          </w:tcPr>
          <w:p w14:paraId="125BA86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rPr>
            </w:pPr>
            <w:r>
              <w:rPr>
                <w:rFonts w:hint="eastAsia" w:ascii="宋体" w:hAnsi="宋体" w:eastAsia="宋体" w:cs="宋体"/>
                <w:color w:val="auto"/>
                <w:sz w:val="24"/>
                <w:highlight w:val="none"/>
              </w:rPr>
              <w:t>采购标的对应的中小企业划分标准所属行业</w:t>
            </w:r>
          </w:p>
        </w:tc>
        <w:tc>
          <w:tcPr>
            <w:tcW w:w="7455" w:type="dxa"/>
            <w:vAlign w:val="center"/>
          </w:tcPr>
          <w:p w14:paraId="699F2F17">
            <w:pPr>
              <w:keepNext w:val="0"/>
              <w:keepLines w:val="0"/>
              <w:numPr>
                <w:ilvl w:val="0"/>
                <w:numId w:val="0"/>
              </w:numPr>
              <w:suppressLineNumbers w:val="0"/>
              <w:spacing w:before="0" w:beforeAutospacing="0" w:after="0" w:afterAutospacing="0" w:line="360" w:lineRule="auto"/>
              <w:ind w:left="0" w:leftChars="0" w:right="0" w:rightChars="0"/>
              <w:rPr>
                <w:rFonts w:hint="eastAsia" w:cs="Times New Roman" w:asciiTheme="minorEastAsia" w:hAnsiTheme="minorEastAsia" w:eastAsiaTheme="minorEastAsia"/>
                <w:color w:val="auto"/>
                <w:sz w:val="24"/>
                <w:highlight w:val="none"/>
              </w:rPr>
            </w:pPr>
            <w:r>
              <w:rPr>
                <w:rFonts w:hint="default" w:ascii="宋体" w:hAnsi="宋体" w:eastAsia="宋体" w:cs="宋体"/>
                <w:color w:val="auto"/>
                <w:kern w:val="2"/>
                <w:sz w:val="24"/>
                <w:szCs w:val="24"/>
                <w:highlight w:val="none"/>
                <w:lang w:val="en-US" w:eastAsia="zh-CN" w:bidi="ar-SA"/>
              </w:rPr>
              <w:t>(1)</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高效液相色谱仪</w:t>
            </w:r>
            <w:r>
              <w:rPr>
                <w:rFonts w:hint="eastAsia" w:cs="Times New Roman" w:asciiTheme="minorEastAsia" w:hAnsiTheme="minorEastAsia" w:eastAsiaTheme="minorEastAsia"/>
                <w:color w:val="auto"/>
                <w:sz w:val="24"/>
                <w:highlight w:val="none"/>
              </w:rPr>
              <w:t>，属于</w:t>
            </w:r>
            <w:bookmarkStart w:id="27" w:name="OLE_LINK4"/>
            <w:r>
              <w:rPr>
                <w:rFonts w:hint="eastAsia" w:cs="Times New Roman" w:asciiTheme="minorEastAsia" w:hAnsiTheme="minorEastAsia" w:eastAsiaTheme="minorEastAsia"/>
                <w:color w:val="auto"/>
                <w:sz w:val="24"/>
                <w:highlight w:val="none"/>
                <w:u w:val="single"/>
                <w:lang w:val="en-US" w:eastAsia="zh-CN"/>
              </w:rPr>
              <w:t>工业</w:t>
            </w:r>
            <w:bookmarkEnd w:id="27"/>
            <w:r>
              <w:rPr>
                <w:rFonts w:hint="eastAsia" w:cs="Times New Roman" w:asciiTheme="minorEastAsia" w:hAnsiTheme="minorEastAsia" w:eastAsiaTheme="minorEastAsia"/>
                <w:color w:val="auto"/>
                <w:sz w:val="24"/>
                <w:highlight w:val="none"/>
              </w:rPr>
              <w:t>行业；</w:t>
            </w:r>
          </w:p>
          <w:p w14:paraId="4DD0D876">
            <w:pPr>
              <w:keepNext w:val="0"/>
              <w:keepLines w:val="0"/>
              <w:numPr>
                <w:ilvl w:val="0"/>
                <w:numId w:val="0"/>
              </w:numPr>
              <w:suppressLineNumbers w:val="0"/>
              <w:spacing w:before="0" w:beforeAutospacing="0" w:after="0" w:afterAutospacing="0" w:line="360" w:lineRule="auto"/>
              <w:ind w:left="0" w:leftChars="0" w:right="0" w:rightChars="0"/>
              <w:rPr>
                <w:rFonts w:hint="eastAsia" w:cs="Times New Roman" w:asciiTheme="minorEastAsia" w:hAnsiTheme="minorEastAsia" w:eastAsiaTheme="minorEastAsia"/>
                <w:color w:val="auto"/>
                <w:sz w:val="24"/>
                <w:highlight w:val="none"/>
                <w:lang w:eastAsia="zh-CN"/>
              </w:rPr>
            </w:pPr>
            <w:r>
              <w:rPr>
                <w:rFonts w:hint="default" w:ascii="宋体" w:hAnsi="宋体" w:eastAsia="宋体" w:cs="宋体"/>
                <w:color w:val="auto"/>
                <w:kern w:val="2"/>
                <w:sz w:val="24"/>
                <w:szCs w:val="24"/>
                <w:highlight w:val="none"/>
                <w:lang w:val="en-US" w:eastAsia="zh-CN" w:bidi="ar-SA"/>
              </w:rPr>
              <w:t>(2)</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多功能酶标仪</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lang w:val="en-US" w:eastAsia="zh-CN"/>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p w14:paraId="7E8F5EFD">
            <w:pPr>
              <w:keepNext w:val="0"/>
              <w:keepLines w:val="0"/>
              <w:numPr>
                <w:ilvl w:val="0"/>
                <w:numId w:val="0"/>
              </w:numPr>
              <w:suppressLineNumbers w:val="0"/>
              <w:spacing w:before="0" w:beforeAutospacing="0" w:after="0" w:afterAutospacing="0" w:line="360" w:lineRule="auto"/>
              <w:ind w:left="0" w:leftChars="0" w:right="0" w:rightChars="0"/>
              <w:rPr>
                <w:rFonts w:hint="eastAsia" w:cs="Times New Roman" w:asciiTheme="minorEastAsia" w:hAnsiTheme="minorEastAsia" w:eastAsiaTheme="minorEastAsia"/>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highlight w:val="none"/>
              </w:rPr>
              <w:t>标的</w:t>
            </w:r>
            <w:r>
              <w:rPr>
                <w:rFonts w:hint="eastAsia" w:cs="Times New Roman" w:asciiTheme="minorEastAsia" w:hAnsiTheme="minorEastAsia" w:eastAsiaTheme="minorEastAsia"/>
                <w:color w:val="auto"/>
                <w:sz w:val="24"/>
                <w:highlight w:val="none"/>
                <w:u w:val="none"/>
              </w:rPr>
              <w:t>：</w:t>
            </w:r>
            <w:r>
              <w:rPr>
                <w:rFonts w:hint="eastAsia" w:cs="Times New Roman" w:asciiTheme="minorEastAsia" w:hAnsiTheme="minorEastAsia" w:eastAsiaTheme="minorEastAsia"/>
                <w:color w:val="auto"/>
                <w:sz w:val="24"/>
                <w:highlight w:val="none"/>
                <w:u w:val="single"/>
                <w:lang w:val="en-US" w:eastAsia="zh-CN"/>
              </w:rPr>
              <w:t xml:space="preserve">超微量紫外分光光度计 </w:t>
            </w:r>
            <w:r>
              <w:rPr>
                <w:rFonts w:hint="eastAsia" w:cs="Times New Roman" w:asciiTheme="minorEastAsia" w:hAnsiTheme="minorEastAsia" w:eastAsiaTheme="minorEastAsia"/>
                <w:color w:val="auto"/>
                <w:sz w:val="24"/>
                <w:highlight w:val="none"/>
              </w:rPr>
              <w:t>，属于</w:t>
            </w:r>
            <w:r>
              <w:rPr>
                <w:rFonts w:hint="eastAsia" w:cs="Times New Roman" w:asciiTheme="minorEastAsia" w:hAnsiTheme="minorEastAsia" w:eastAsiaTheme="minorEastAsia"/>
                <w:color w:val="auto"/>
                <w:sz w:val="24"/>
                <w:highlight w:val="none"/>
                <w:u w:val="single"/>
                <w:lang w:val="en-US" w:eastAsia="zh-CN"/>
              </w:rPr>
              <w:t>工业</w:t>
            </w:r>
            <w:r>
              <w:rPr>
                <w:rFonts w:hint="eastAsia" w:cs="Times New Roman" w:asciiTheme="minorEastAsia" w:hAnsiTheme="minorEastAsia" w:eastAsiaTheme="minorEastAsia"/>
                <w:color w:val="auto"/>
                <w:sz w:val="24"/>
                <w:highlight w:val="none"/>
              </w:rPr>
              <w:t>行业</w:t>
            </w:r>
            <w:r>
              <w:rPr>
                <w:rFonts w:hint="eastAsia" w:cs="Times New Roman" w:asciiTheme="minorEastAsia" w:hAnsiTheme="minorEastAsia" w:eastAsiaTheme="minorEastAsia"/>
                <w:color w:val="auto"/>
                <w:sz w:val="24"/>
                <w:highlight w:val="none"/>
                <w:lang w:eastAsia="zh-CN"/>
              </w:rPr>
              <w:t>。</w:t>
            </w:r>
          </w:p>
        </w:tc>
      </w:tr>
      <w:tr w14:paraId="2BE27F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23" w:type="dxa"/>
            <w:vAlign w:val="center"/>
          </w:tcPr>
          <w:p w14:paraId="184D78F9">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2"/>
            <w:vAlign w:val="center"/>
          </w:tcPr>
          <w:p w14:paraId="57ED8D81">
            <w:pPr>
              <w:pStyle w:val="28"/>
              <w:keepNext w:val="0"/>
              <w:keepLines w:val="0"/>
              <w:suppressLineNumbers w:val="0"/>
              <w:spacing w:before="0" w:beforeAutospacing="0" w:after="0" w:afterAutospacing="0" w:line="360" w:lineRule="auto"/>
              <w:ind w:left="0" w:leftChars="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w:t>
            </w:r>
            <w:r>
              <w:rPr>
                <w:rFonts w:hint="eastAsia" w:asciiTheme="minorEastAsia" w:hAnsiTheme="minorEastAsia" w:eastAsiaTheme="minorEastAsia"/>
                <w:color w:val="auto"/>
                <w:sz w:val="24"/>
                <w:szCs w:val="24"/>
                <w:highlight w:val="none"/>
              </w:rPr>
              <w:t>本项目不收履约保证金</w:t>
            </w:r>
            <w:r>
              <w:rPr>
                <w:rFonts w:hint="eastAsia" w:asciiTheme="minorEastAsia" w:hAnsiTheme="minorEastAsia" w:eastAsiaTheme="minorEastAsia"/>
                <w:color w:val="auto"/>
                <w:sz w:val="24"/>
                <w:highlight w:val="none"/>
              </w:rPr>
              <w:t>。</w:t>
            </w:r>
          </w:p>
        </w:tc>
      </w:tr>
      <w:tr w14:paraId="7DF66D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2210293">
            <w:pPr>
              <w:keepNext w:val="0"/>
              <w:keepLines w:val="0"/>
              <w:suppressLineNumbers w:val="0"/>
              <w:autoSpaceDE w:val="0"/>
              <w:autoSpaceDN w:val="0"/>
              <w:snapToGrid w:val="0"/>
              <w:spacing w:before="0" w:beforeAutospacing="0" w:after="0" w:afterAutospacing="0" w:line="360" w:lineRule="auto"/>
              <w:ind w:left="-95" w:leftChars="0" w:right="-129" w:rightChars="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2"/>
            <w:vAlign w:val="center"/>
          </w:tcPr>
          <w:p w14:paraId="0B9D1F2D">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代理服务费：</w:t>
            </w:r>
          </w:p>
          <w:p w14:paraId="6BDB5D3F">
            <w:pPr>
              <w:keepNext w:val="0"/>
              <w:keepLines w:val="0"/>
              <w:suppressLineNumbers w:val="0"/>
              <w:spacing w:before="0" w:beforeAutospacing="0" w:after="0" w:afterAutospacing="0" w:line="360" w:lineRule="auto"/>
              <w:ind w:left="0" w:right="420" w:rightChars="200"/>
              <w:rPr>
                <w:rFonts w:hint="default" w:ascii="宋体" w:hAnsi="宋体" w:cs="宋体"/>
                <w:b/>
                <w:color w:val="auto"/>
                <w:sz w:val="24"/>
                <w:szCs w:val="24"/>
                <w:highlight w:val="none"/>
              </w:rPr>
            </w:pPr>
            <w:r>
              <w:rPr>
                <w:rFonts w:hint="eastAsia" w:ascii="宋体" w:hAnsi="宋体" w:cs="宋体"/>
                <w:color w:val="auto"/>
                <w:sz w:val="24"/>
                <w:szCs w:val="24"/>
                <w:highlight w:val="none"/>
              </w:rPr>
              <w:t>1、代理费金额：本项目招标代理费用参照下表中货物类计算标准乘以</w:t>
            </w:r>
            <w:r>
              <w:rPr>
                <w:rFonts w:hint="eastAsia" w:ascii="宋体" w:hAnsi="宋体" w:cs="宋体"/>
                <w:color w:val="auto"/>
                <w:sz w:val="24"/>
                <w:szCs w:val="24"/>
                <w:highlight w:val="none"/>
                <w:lang w:val="en-US" w:eastAsia="zh-CN"/>
              </w:rPr>
              <w:t>39.8</w:t>
            </w:r>
            <w:r>
              <w:rPr>
                <w:rFonts w:hint="eastAsia" w:ascii="宋体" w:hAnsi="宋体" w:cs="宋体"/>
                <w:color w:val="auto"/>
                <w:sz w:val="24"/>
                <w:szCs w:val="24"/>
                <w:highlight w:val="none"/>
              </w:rPr>
              <w:t>%计算（差额定率累进法），按照中标通知书确定的中标金额，向</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收取招标代理服务费</w:t>
            </w:r>
            <w:r>
              <w:rPr>
                <w:rFonts w:hint="eastAsia" w:ascii="宋体" w:hAnsi="宋体" w:cs="宋体"/>
                <w:bCs/>
                <w:color w:val="auto"/>
                <w:sz w:val="24"/>
                <w:szCs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4B40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68C06EB9">
                  <w:pPr>
                    <w:keepNext w:val="0"/>
                    <w:keepLines w:val="0"/>
                    <w:suppressLineNumbers w:val="0"/>
                    <w:spacing w:before="0" w:beforeAutospacing="0" w:after="0" w:afterAutospacing="0" w:line="360" w:lineRule="auto"/>
                    <w:ind w:left="0" w:right="0" w:firstLine="1320" w:firstLineChars="5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7" name="直接连接符 7"/>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8.5pt;margin-top:0.1pt;height:65.9pt;width:108.95pt;z-index:251664384;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s5kvTAAAABwEAAA8AAAAAAAAAAQAgAAAAIgAAAGRy&#10;cy9kb3ducmV2LnhtbFBLAQIUABQAAAAIAIdO4kACYP9ACgIAAAsEAAAOAAAAAAAAAAEAIAAAACIB&#10;AABkcnMvZTJvRG9jLnhtbFBLBQYAAAAABgAGAFkBAACe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服务类型</w:t>
                  </w:r>
                </w:p>
                <w:p w14:paraId="36812B8D">
                  <w:pPr>
                    <w:keepNext w:val="0"/>
                    <w:keepLines w:val="0"/>
                    <w:suppressLineNumbers w:val="0"/>
                    <w:spacing w:before="0" w:beforeAutospacing="0" w:after="0" w:afterAutospacing="0" w:line="360" w:lineRule="auto"/>
                    <w:ind w:left="0" w:right="0" w:firstLine="1080" w:firstLineChars="4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9" name="直接连接符 9"/>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2pt;margin-top:1.8pt;height:42.2pt;width:132.65pt;z-index:251665408;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3FrVAAAACAEAAA8AAAAAAAAAAQAgAAAAIgAA&#10;AGRycy9kb3ducmV2LnhtbFBLAQIUABQAAAAIAIdO4kB3wXHLCwIAAAsEAAAOAAAAAAAAAAEAIAAA&#10;ACQBAABkcnMvZTJvRG9jLnhtbFBLBQYAAAAABgAGAFkBAACh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费率</w:t>
                  </w:r>
                </w:p>
                <w:p w14:paraId="0040B870">
                  <w:pPr>
                    <w:keepNext w:val="0"/>
                    <w:keepLines w:val="0"/>
                    <w:suppressLineNumbers w:val="0"/>
                    <w:spacing w:before="0" w:beforeAutospacing="0" w:after="0" w:afterAutospacing="0" w:line="360" w:lineRule="auto"/>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中标金额（万元）</w:t>
                  </w:r>
                </w:p>
              </w:tc>
              <w:tc>
                <w:tcPr>
                  <w:tcW w:w="1449" w:type="dxa"/>
                  <w:vAlign w:val="center"/>
                </w:tcPr>
                <w:p w14:paraId="3F7C187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货物招标</w:t>
                  </w:r>
                </w:p>
              </w:tc>
              <w:tc>
                <w:tcPr>
                  <w:tcW w:w="2039" w:type="dxa"/>
                  <w:vAlign w:val="center"/>
                </w:tcPr>
                <w:p w14:paraId="2CFD1C3B">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服务招标</w:t>
                  </w:r>
                </w:p>
              </w:tc>
              <w:tc>
                <w:tcPr>
                  <w:tcW w:w="2040" w:type="dxa"/>
                  <w:vAlign w:val="center"/>
                </w:tcPr>
                <w:p w14:paraId="0472222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工程招标</w:t>
                  </w:r>
                </w:p>
              </w:tc>
            </w:tr>
            <w:tr w14:paraId="4E75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76F2BA42">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100以下</w:t>
                  </w:r>
                </w:p>
              </w:tc>
              <w:tc>
                <w:tcPr>
                  <w:tcW w:w="1449" w:type="dxa"/>
                </w:tcPr>
                <w:p w14:paraId="3A8CF5E8">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39" w:type="dxa"/>
                </w:tcPr>
                <w:p w14:paraId="1CDBC134">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40" w:type="dxa"/>
                </w:tcPr>
                <w:p w14:paraId="684C6D4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r>
            <w:tr w14:paraId="34467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7655C72C">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100-500</w:t>
                  </w:r>
                </w:p>
              </w:tc>
              <w:tc>
                <w:tcPr>
                  <w:tcW w:w="1449" w:type="dxa"/>
                </w:tcPr>
                <w:p w14:paraId="00A78DEA">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2039" w:type="dxa"/>
                </w:tcPr>
                <w:p w14:paraId="08253651">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40" w:type="dxa"/>
                </w:tcPr>
                <w:p w14:paraId="593BFEC7">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0.7%</w:t>
                  </w:r>
                </w:p>
              </w:tc>
            </w:tr>
            <w:tr w14:paraId="4058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22A69051">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500-1000</w:t>
                  </w:r>
                </w:p>
              </w:tc>
              <w:tc>
                <w:tcPr>
                  <w:tcW w:w="1449" w:type="dxa"/>
                </w:tcPr>
                <w:p w14:paraId="0870A3DA">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39" w:type="dxa"/>
                </w:tcPr>
                <w:p w14:paraId="0B1F1133">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0.45%</w:t>
                  </w:r>
                </w:p>
              </w:tc>
              <w:tc>
                <w:tcPr>
                  <w:tcW w:w="2040" w:type="dxa"/>
                </w:tcPr>
                <w:p w14:paraId="036575C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0.55%</w:t>
                  </w:r>
                </w:p>
              </w:tc>
            </w:tr>
          </w:tbl>
          <w:p w14:paraId="0154C9AC">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2、中标人应在接到代理机构通知之日起5个工作日之内向采购代理机构支付代理服务费。</w:t>
            </w:r>
          </w:p>
          <w:p w14:paraId="4A4246C6">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3、收费账号：</w:t>
            </w:r>
          </w:p>
          <w:p w14:paraId="40E3CF02">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开户银行：中国农业银行股份有限公司台州经济开发区支行</w:t>
            </w:r>
          </w:p>
          <w:p w14:paraId="17107DC6">
            <w:pPr>
              <w:pStyle w:val="21"/>
              <w:keepNext w:val="0"/>
              <w:keepLines w:val="0"/>
              <w:suppressLineNumbers w:val="0"/>
              <w:spacing w:before="0" w:beforeAutospacing="0" w:after="0" w:afterAutospacing="0" w:line="360" w:lineRule="auto"/>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户名：中冠工程管理咨询有限公司台州分公司</w:t>
            </w:r>
          </w:p>
          <w:p w14:paraId="17396353">
            <w:pPr>
              <w:pStyle w:val="21"/>
              <w:keepNext w:val="0"/>
              <w:keepLines w:val="0"/>
              <w:suppressLineNumbers w:val="0"/>
              <w:spacing w:before="0" w:beforeAutospacing="0" w:after="0" w:afterAutospacing="0" w:line="360" w:lineRule="auto"/>
              <w:ind w:left="0" w:right="0" w:firstLine="0" w:firstLineChars="0"/>
              <w:jc w:val="left"/>
              <w:rPr>
                <w:rFonts w:hint="default"/>
                <w:color w:val="auto"/>
                <w:sz w:val="24"/>
                <w:szCs w:val="24"/>
                <w:highlight w:val="none"/>
              </w:rPr>
            </w:pPr>
            <w:r>
              <w:rPr>
                <w:rFonts w:hint="eastAsia" w:ascii="宋体" w:hAnsi="宋体" w:cs="宋体"/>
                <w:color w:val="auto"/>
                <w:sz w:val="24"/>
                <w:szCs w:val="24"/>
                <w:highlight w:val="none"/>
              </w:rPr>
              <w:t>账号：19900101040031566</w:t>
            </w:r>
          </w:p>
        </w:tc>
      </w:tr>
      <w:tr w14:paraId="1411EE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402624A">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2"/>
            <w:vAlign w:val="center"/>
          </w:tcPr>
          <w:p w14:paraId="6E64D7EB">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0CD56B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346A9ABA">
            <w:pPr>
              <w:keepNext w:val="0"/>
              <w:keepLines w:val="0"/>
              <w:suppressLineNumbers w:val="0"/>
              <w:autoSpaceDE w:val="0"/>
              <w:autoSpaceDN w:val="0"/>
              <w:snapToGrid w:val="0"/>
              <w:spacing w:before="0" w:beforeAutospacing="0" w:after="0" w:afterAutospacing="0" w:line="360" w:lineRule="auto"/>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2"/>
            <w:vAlign w:val="center"/>
          </w:tcPr>
          <w:p w14:paraId="0B3DA04A">
            <w:pPr>
              <w:pStyle w:val="21"/>
              <w:keepNext w:val="0"/>
              <w:keepLines w:val="0"/>
              <w:suppressLineNumbers w:val="0"/>
              <w:spacing w:before="0" w:beforeAutospacing="0" w:after="0" w:afterAutospacing="0" w:line="360" w:lineRule="auto"/>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239681E9">
      <w:pPr>
        <w:shd w:val="clear" w:color="auto" w:fill="FFFFFF"/>
        <w:tabs>
          <w:tab w:val="left" w:pos="706"/>
        </w:tabs>
        <w:snapToGrid w:val="0"/>
        <w:spacing w:line="360" w:lineRule="auto"/>
        <w:ind w:left="561" w:firstLine="454"/>
        <w:jc w:val="center"/>
        <w:outlineLvl w:val="1"/>
        <w:rPr>
          <w:rFonts w:cs="宋体" w:asciiTheme="minorEastAsia" w:hAnsiTheme="minorEastAsia" w:eastAsiaTheme="minorEastAsia"/>
          <w:b/>
          <w:bCs/>
          <w:color w:val="auto"/>
          <w:sz w:val="24"/>
          <w:highlight w:val="none"/>
        </w:rPr>
      </w:pPr>
    </w:p>
    <w:bookmarkEnd w:id="21"/>
    <w:bookmarkEnd w:id="22"/>
    <w:bookmarkEnd w:id="23"/>
    <w:bookmarkEnd w:id="24"/>
    <w:bookmarkEnd w:id="25"/>
    <w:bookmarkEnd w:id="26"/>
    <w:p w14:paraId="7BE39765">
      <w:pPr>
        <w:pStyle w:val="26"/>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8" w:name="_Toc1293"/>
      <w:bookmarkStart w:id="29" w:name="_Toc28191"/>
      <w:bookmarkStart w:id="30" w:name="_Toc19894"/>
      <w:bookmarkStart w:id="31" w:name="_Toc10621"/>
      <w:bookmarkStart w:id="32" w:name="_Toc11910"/>
      <w:bookmarkStart w:id="33" w:name="_Toc5157"/>
      <w:r>
        <w:rPr>
          <w:rFonts w:hint="eastAsia" w:asciiTheme="minorEastAsia" w:hAnsiTheme="minorEastAsia" w:eastAsiaTheme="minorEastAsia"/>
          <w:b/>
          <w:bCs/>
          <w:color w:val="auto"/>
          <w:sz w:val="32"/>
          <w:szCs w:val="32"/>
          <w:highlight w:val="none"/>
        </w:rPr>
        <w:t>第三部分  投标</w:t>
      </w:r>
      <w:r>
        <w:rPr>
          <w:rFonts w:hint="eastAsia" w:asciiTheme="minorEastAsia" w:hAnsiTheme="minorEastAsia" w:eastAsiaTheme="minorEastAsia"/>
          <w:b/>
          <w:bCs/>
          <w:color w:val="auto"/>
          <w:sz w:val="32"/>
          <w:szCs w:val="32"/>
          <w:highlight w:val="none"/>
          <w:lang w:eastAsia="zh-CN"/>
        </w:rPr>
        <w:t>人</w:t>
      </w:r>
      <w:r>
        <w:rPr>
          <w:rFonts w:hint="eastAsia" w:asciiTheme="minorEastAsia" w:hAnsiTheme="minorEastAsia" w:eastAsiaTheme="minorEastAsia"/>
          <w:b/>
          <w:bCs/>
          <w:color w:val="auto"/>
          <w:sz w:val="32"/>
          <w:szCs w:val="32"/>
          <w:highlight w:val="none"/>
        </w:rPr>
        <w:t>须知</w:t>
      </w:r>
      <w:bookmarkEnd w:id="28"/>
      <w:bookmarkEnd w:id="29"/>
      <w:bookmarkEnd w:id="30"/>
      <w:bookmarkEnd w:id="31"/>
      <w:bookmarkEnd w:id="32"/>
      <w:bookmarkEnd w:id="33"/>
    </w:p>
    <w:p w14:paraId="69B26400">
      <w:pPr>
        <w:pStyle w:val="94"/>
        <w:ind w:firstLine="440"/>
        <w:jc w:val="center"/>
        <w:rPr>
          <w:rFonts w:hint="eastAsia" w:eastAsia="宋体"/>
          <w:b/>
          <w:bCs/>
          <w:color w:val="auto"/>
          <w:sz w:val="24"/>
          <w:szCs w:val="24"/>
          <w:highlight w:val="none"/>
        </w:rPr>
      </w:pPr>
      <w:bookmarkStart w:id="34" w:name="_Toc19405"/>
      <w:bookmarkStart w:id="35" w:name="_Toc15940"/>
      <w:bookmarkStart w:id="36" w:name="_Toc9564"/>
      <w:bookmarkStart w:id="37" w:name="_Toc4213"/>
      <w:bookmarkStart w:id="38" w:name="_Toc4644"/>
      <w:bookmarkStart w:id="39" w:name="_Toc29648"/>
      <w:bookmarkStart w:id="40" w:name="_Toc10854"/>
      <w:r>
        <w:rPr>
          <w:rFonts w:hint="eastAsia"/>
          <w:b/>
          <w:bCs/>
          <w:color w:val="auto"/>
          <w:sz w:val="24"/>
          <w:szCs w:val="24"/>
          <w:highlight w:val="none"/>
        </w:rPr>
        <w:t>一 、说 明</w:t>
      </w:r>
    </w:p>
    <w:p w14:paraId="7BB335B4">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1、项目概况</w:t>
      </w:r>
    </w:p>
    <w:p w14:paraId="25203533">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rPr>
        <w:t>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14:paraId="5FA5B446">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w:t>
      </w:r>
      <w:r>
        <w:rPr>
          <w:rFonts w:hint="eastAsia" w:ascii="Times New Roman" w:hAnsi="Times New Roman"/>
          <w:color w:val="auto"/>
          <w:sz w:val="24"/>
          <w:szCs w:val="24"/>
          <w:highlight w:val="none"/>
        </w:rPr>
        <w:t>经批准的本次采购方式载明在《投标资料表》中。</w:t>
      </w:r>
    </w:p>
    <w:p w14:paraId="7301DDF5">
      <w:pPr>
        <w:pStyle w:val="94"/>
        <w:ind w:firstLine="440"/>
        <w:jc w:val="center"/>
        <w:rPr>
          <w:rFonts w:hint="eastAsia"/>
          <w:b/>
          <w:bCs/>
          <w:color w:val="auto"/>
          <w:sz w:val="24"/>
          <w:szCs w:val="24"/>
          <w:highlight w:val="none"/>
        </w:rPr>
      </w:pPr>
      <w:r>
        <w:rPr>
          <w:rFonts w:hint="eastAsia"/>
          <w:b/>
          <w:bCs/>
          <w:color w:val="auto"/>
          <w:sz w:val="24"/>
          <w:szCs w:val="24"/>
          <w:highlight w:val="none"/>
        </w:rPr>
        <w:t>二、投标人</w:t>
      </w:r>
    </w:p>
    <w:p w14:paraId="29ACFBDD">
      <w:pPr>
        <w:pStyle w:val="6"/>
        <w:tabs>
          <w:tab w:val="left" w:pos="350"/>
        </w:tabs>
        <w:spacing w:before="0" w:after="0"/>
        <w:contextualSpacing/>
        <w:jc w:val="left"/>
        <w:rPr>
          <w:rFonts w:hint="eastAsia" w:ascii="宋体" w:hAnsi="宋体" w:eastAsia="宋体"/>
          <w:color w:val="auto"/>
          <w:kern w:val="2"/>
          <w:sz w:val="24"/>
          <w:szCs w:val="24"/>
          <w:highlight w:val="none"/>
        </w:rPr>
      </w:pPr>
      <w:bookmarkStart w:id="41" w:name="_Toc12594"/>
      <w:r>
        <w:rPr>
          <w:rFonts w:hint="eastAsia" w:ascii="宋体" w:hAnsi="宋体" w:eastAsia="宋体"/>
          <w:color w:val="auto"/>
          <w:kern w:val="2"/>
          <w:sz w:val="24"/>
          <w:szCs w:val="24"/>
          <w:highlight w:val="none"/>
        </w:rPr>
        <w:t>2、合格的投标人</w:t>
      </w:r>
      <w:bookmarkEnd w:id="41"/>
    </w:p>
    <w:p w14:paraId="6C470A80">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2.1</w:t>
      </w:r>
      <w:r>
        <w:rPr>
          <w:rFonts w:hint="eastAsia" w:ascii="Times New Roman" w:hAnsi="Times New Roman"/>
          <w:color w:val="auto"/>
          <w:sz w:val="24"/>
          <w:szCs w:val="24"/>
          <w:highlight w:val="none"/>
        </w:rPr>
        <w:t>投标人应符合《投标资料表》的报名条件。</w:t>
      </w:r>
    </w:p>
    <w:p w14:paraId="7C6AB9B2">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参加本次投标活动的投标人应具备以下条件，并遵守国家有关的法律、法令和条例的规定：</w:t>
      </w:r>
    </w:p>
    <w:p w14:paraId="2562E2C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）具有良好的商业信誉和健全的财务会计制度；</w:t>
      </w:r>
    </w:p>
    <w:p w14:paraId="5DA251D8">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）具有履行合同要求提供服务所必须的设备、人员和专业技术能力；</w:t>
      </w:r>
    </w:p>
    <w:p w14:paraId="372AA0B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）有依法缴纳税收和社会保障资金的良好</w:t>
      </w:r>
      <w:r>
        <w:rPr>
          <w:rFonts w:hint="eastAsia" w:ascii="Times New Roman" w:hAnsi="Times New Roman"/>
          <w:color w:val="auto"/>
          <w:sz w:val="24"/>
          <w:szCs w:val="24"/>
          <w:highlight w:val="none"/>
          <w:lang w:val="en-US" w:eastAsia="zh-CN"/>
        </w:rPr>
        <w:t>记录</w:t>
      </w:r>
      <w:r>
        <w:rPr>
          <w:rFonts w:hint="eastAsia" w:ascii="Times New Roman" w:hAnsi="Times New Roman"/>
          <w:color w:val="auto"/>
          <w:sz w:val="24"/>
          <w:szCs w:val="24"/>
          <w:highlight w:val="none"/>
        </w:rPr>
        <w:t>；</w:t>
      </w:r>
    </w:p>
    <w:p w14:paraId="79654142">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4</w:t>
      </w:r>
      <w:r>
        <w:rPr>
          <w:rFonts w:hint="eastAsia" w:ascii="Times New Roman" w:hAnsi="Times New Roman"/>
          <w:color w:val="auto"/>
          <w:sz w:val="24"/>
          <w:szCs w:val="24"/>
          <w:highlight w:val="none"/>
        </w:rPr>
        <w:t>）参加本次投标活动之前三年内经营活动无重大违法</w:t>
      </w:r>
      <w:r>
        <w:rPr>
          <w:rFonts w:hint="eastAsia" w:ascii="Times New Roman" w:hAnsi="Times New Roman"/>
          <w:color w:val="auto"/>
          <w:sz w:val="24"/>
          <w:szCs w:val="24"/>
          <w:highlight w:val="none"/>
          <w:lang w:val="en-US" w:eastAsia="zh-CN"/>
        </w:rPr>
        <w:t>记录</w:t>
      </w:r>
      <w:r>
        <w:rPr>
          <w:rFonts w:hint="eastAsia" w:ascii="Times New Roman" w:hAnsi="Times New Roman"/>
          <w:color w:val="auto"/>
          <w:sz w:val="24"/>
          <w:szCs w:val="24"/>
          <w:highlight w:val="none"/>
        </w:rPr>
        <w:t>；</w:t>
      </w:r>
    </w:p>
    <w:p w14:paraId="3C856F92">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）满足采购人为获得满意服务供应而提出的其他要求。（见采购文件中资格要求）</w:t>
      </w:r>
    </w:p>
    <w:p w14:paraId="661611C6">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6</w:t>
      </w:r>
      <w:r>
        <w:rPr>
          <w:rFonts w:hint="eastAsia" w:ascii="Times New Roman" w:hAnsi="Times New Roman"/>
          <w:color w:val="auto"/>
          <w:sz w:val="24"/>
          <w:szCs w:val="24"/>
          <w:highlight w:val="none"/>
        </w:rPr>
        <w:t>）单位负责人为同一人或者存在直接控股、管理关系的不同供应商，不得参加同一合同项下的政府采购活动；</w:t>
      </w:r>
    </w:p>
    <w:p w14:paraId="77B4BBAF">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7</w:t>
      </w:r>
      <w:r>
        <w:rPr>
          <w:rFonts w:hint="eastAsia" w:ascii="Times New Roman" w:hAnsi="Times New Roman"/>
          <w:color w:val="auto"/>
          <w:sz w:val="24"/>
          <w:szCs w:val="24"/>
          <w:highlight w:val="none"/>
        </w:rPr>
        <w:t>）除单一来源采购项目外，为采购项目提供整体设计、规范编制或者项目管理、监理、检测等服务的供应商，不得再参加该采购项目的其他采购活动。</w:t>
      </w:r>
    </w:p>
    <w:p w14:paraId="6B9111D9">
      <w:pPr>
        <w:pStyle w:val="6"/>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、投标人代表</w:t>
      </w:r>
    </w:p>
    <w:p w14:paraId="3766939D">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若投标人为中国境内企业或组织必须为该企业或组织的人员，若投标人为自然人必须为中国合法公民。</w:t>
      </w:r>
    </w:p>
    <w:p w14:paraId="7539C985">
      <w:pPr>
        <w:pStyle w:val="6"/>
        <w:tabs>
          <w:tab w:val="left" w:pos="350"/>
        </w:tabs>
        <w:spacing w:before="0" w:after="0"/>
        <w:contextualSpacing/>
        <w:jc w:val="left"/>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、投标费用</w:t>
      </w:r>
    </w:p>
    <w:p w14:paraId="44F4EB34">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不论招标的结果如何，投标人自行承担其参加本次投标有关的全部费用。</w:t>
      </w:r>
    </w:p>
    <w:p w14:paraId="5A540121">
      <w:pPr>
        <w:pStyle w:val="6"/>
        <w:tabs>
          <w:tab w:val="left" w:pos="350"/>
          <w:tab w:val="clear" w:pos="720"/>
        </w:tabs>
        <w:spacing w:before="0" w:after="0" w:line="360" w:lineRule="auto"/>
        <w:contextualSpacing/>
        <w:jc w:val="both"/>
        <w:rPr>
          <w:rFonts w:hint="eastAsia"/>
          <w:b w:val="0"/>
          <w:color w:val="auto"/>
          <w:sz w:val="24"/>
          <w:szCs w:val="24"/>
          <w:highlight w:val="none"/>
        </w:rPr>
      </w:pPr>
      <w:bookmarkStart w:id="42" w:name="_Toc20238"/>
      <w:bookmarkStart w:id="43" w:name="_Toc9092"/>
      <w:r>
        <w:rPr>
          <w:rFonts w:hint="eastAsia"/>
          <w:b w:val="0"/>
          <w:color w:val="auto"/>
          <w:sz w:val="24"/>
          <w:szCs w:val="24"/>
          <w:highlight w:val="none"/>
        </w:rPr>
        <w:t>5、特别</w:t>
      </w:r>
      <w:r>
        <w:rPr>
          <w:b w:val="0"/>
          <w:color w:val="auto"/>
          <w:sz w:val="24"/>
          <w:szCs w:val="24"/>
          <w:highlight w:val="none"/>
        </w:rPr>
        <w:t>说明</w:t>
      </w:r>
      <w:r>
        <w:rPr>
          <w:rFonts w:hint="eastAsia"/>
          <w:b w:val="0"/>
          <w:color w:val="auto"/>
          <w:sz w:val="24"/>
          <w:szCs w:val="24"/>
          <w:highlight w:val="none"/>
        </w:rPr>
        <w:t>（针对</w:t>
      </w:r>
      <w:r>
        <w:rPr>
          <w:b w:val="0"/>
          <w:color w:val="auto"/>
          <w:sz w:val="24"/>
          <w:szCs w:val="24"/>
          <w:highlight w:val="none"/>
        </w:rPr>
        <w:t>货物采购</w:t>
      </w:r>
      <w:r>
        <w:rPr>
          <w:rFonts w:hint="eastAsia"/>
          <w:b w:val="0"/>
          <w:color w:val="auto"/>
          <w:sz w:val="24"/>
          <w:szCs w:val="24"/>
          <w:highlight w:val="none"/>
        </w:rPr>
        <w:t>）：</w:t>
      </w:r>
      <w:bookmarkEnd w:id="42"/>
      <w:bookmarkEnd w:id="43"/>
    </w:p>
    <w:p w14:paraId="12348B98">
      <w:pPr>
        <w:widowControl/>
        <w:spacing w:line="360" w:lineRule="auto"/>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cs="宋体"/>
          <w:b/>
          <w:bCs/>
          <w:color w:val="auto"/>
          <w:sz w:val="24"/>
          <w:szCs w:val="24"/>
          <w:highlight w:val="none"/>
          <w:lang w:eastAsia="zh-CN"/>
        </w:rPr>
        <w:t>采购文件</w:t>
      </w:r>
      <w:r>
        <w:rPr>
          <w:rFonts w:hint="eastAsia" w:cs="宋体"/>
          <w:b/>
          <w:bCs/>
          <w:color w:val="auto"/>
          <w:sz w:val="24"/>
          <w:szCs w:val="24"/>
          <w:highlight w:val="none"/>
        </w:rPr>
        <w:t>规定的方式确定一个投标人获得中标人推荐资格，</w:t>
      </w:r>
      <w:r>
        <w:rPr>
          <w:rFonts w:hint="eastAsia" w:cs="宋体"/>
          <w:b/>
          <w:bCs/>
          <w:color w:val="auto"/>
          <w:sz w:val="24"/>
          <w:szCs w:val="24"/>
          <w:highlight w:val="none"/>
          <w:lang w:eastAsia="zh-CN"/>
        </w:rPr>
        <w:t>采购</w:t>
      </w:r>
      <w:r>
        <w:rPr>
          <w:rFonts w:hint="eastAsia" w:cs="宋体"/>
          <w:b/>
          <w:bCs/>
          <w:color w:val="auto"/>
          <w:sz w:val="24"/>
          <w:szCs w:val="24"/>
          <w:highlight w:val="none"/>
        </w:rPr>
        <w:t>文件未规定的采取随机抽取方式确定，其他同品牌投标人不作为中标候选人。</w:t>
      </w:r>
    </w:p>
    <w:p w14:paraId="6166D80E">
      <w:pPr>
        <w:widowControl/>
        <w:spacing w:line="360" w:lineRule="auto"/>
        <w:ind w:firstLine="482" w:firstLineChars="200"/>
        <w:jc w:val="left"/>
        <w:rPr>
          <w:rFonts w:hint="eastAsia" w:cs="宋体"/>
          <w:b/>
          <w:bCs/>
          <w:color w:val="auto"/>
          <w:sz w:val="24"/>
          <w:szCs w:val="24"/>
          <w:highlight w:val="none"/>
        </w:rPr>
      </w:pPr>
      <w:r>
        <w:rPr>
          <w:rFonts w:hint="eastAsia"/>
          <w:b/>
          <w:bCs/>
          <w:color w:val="auto"/>
          <w:sz w:val="24"/>
          <w:szCs w:val="24"/>
          <w:highlight w:val="none"/>
        </w:rPr>
        <w:t>本项目核心产品为：</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高效液相色谱</w:t>
      </w:r>
      <w:r>
        <w:rPr>
          <w:rFonts w:hint="eastAsia" w:asciiTheme="minorEastAsia" w:hAnsiTheme="minorEastAsia" w:eastAsiaTheme="minorEastAsia"/>
          <w:color w:val="auto"/>
          <w:sz w:val="24"/>
          <w:highlight w:val="none"/>
          <w:u w:val="single"/>
          <w:lang w:val="en-US" w:eastAsia="zh-CN"/>
        </w:rPr>
        <w:t>仪</w:t>
      </w:r>
      <w:r>
        <w:rPr>
          <w:rFonts w:hint="eastAsia" w:asciiTheme="minorEastAsia" w:hAnsiTheme="minorEastAsia" w:eastAsiaTheme="minorEastAsia"/>
          <w:color w:val="auto"/>
          <w:sz w:val="24"/>
          <w:highlight w:val="none"/>
          <w:u w:val="single"/>
        </w:rPr>
        <w:t>、多功能酶标仪</w:t>
      </w:r>
      <w:r>
        <w:rPr>
          <w:rFonts w:hint="eastAsia" w:cs="Times New Roman" w:asciiTheme="minorEastAsia" w:hAnsiTheme="minorEastAsia" w:eastAsiaTheme="minorEastAsia"/>
          <w:color w:val="auto"/>
          <w:sz w:val="24"/>
          <w:highlight w:val="none"/>
          <w:u w:val="single"/>
          <w:lang w:val="en-US" w:eastAsia="zh-CN"/>
        </w:rPr>
        <w:t xml:space="preserve"> </w:t>
      </w:r>
      <w:r>
        <w:rPr>
          <w:rFonts w:hint="eastAsia"/>
          <w:b/>
          <w:bCs/>
          <w:color w:val="auto"/>
          <w:sz w:val="24"/>
          <w:szCs w:val="24"/>
          <w:highlight w:val="none"/>
        </w:rPr>
        <w:t>，多家投标人提供的核心产品品牌相同的，按前款规定处理。</w:t>
      </w:r>
    </w:p>
    <w:p w14:paraId="02EFF559">
      <w:pPr>
        <w:pStyle w:val="94"/>
        <w:ind w:firstLine="440"/>
        <w:jc w:val="center"/>
        <w:rPr>
          <w:rFonts w:hint="eastAsia"/>
          <w:b/>
          <w:bCs/>
          <w:color w:val="auto"/>
          <w:sz w:val="24"/>
          <w:szCs w:val="24"/>
          <w:highlight w:val="none"/>
        </w:rPr>
      </w:pPr>
      <w:r>
        <w:rPr>
          <w:rFonts w:hint="eastAsia"/>
          <w:b/>
          <w:bCs/>
          <w:color w:val="auto"/>
          <w:sz w:val="24"/>
          <w:szCs w:val="24"/>
          <w:highlight w:val="none"/>
        </w:rPr>
        <w:t>三、采购文件</w:t>
      </w:r>
    </w:p>
    <w:p w14:paraId="4AA40770">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6、采购文件构成</w:t>
      </w:r>
    </w:p>
    <w:p w14:paraId="11BE1EB2">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采购文件含有以下部分，文本条款胶装成册。内容如下：</w:t>
      </w:r>
    </w:p>
    <w:p w14:paraId="45AC5653">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第一部分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采购公告</w:t>
      </w:r>
    </w:p>
    <w:p w14:paraId="7F7888D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第二部分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投标资料表</w:t>
      </w:r>
    </w:p>
    <w:p w14:paraId="4E258B86">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第三部分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投标人须知</w:t>
      </w:r>
    </w:p>
    <w:p w14:paraId="1166662E">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第四部分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评标办法及标准</w:t>
      </w:r>
    </w:p>
    <w:p w14:paraId="206AA5AA">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第五部分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采购内容及要求</w:t>
      </w:r>
    </w:p>
    <w:p w14:paraId="3662320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第六部分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拟签订的合同文本</w:t>
      </w:r>
    </w:p>
    <w:p w14:paraId="70259353">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第七部分</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格式与表格</w:t>
      </w:r>
    </w:p>
    <w:p w14:paraId="6C91C91E">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投标人应详细阅读采购文件的全部内容和要求，不按采购文件的要求递交投标文件和资料导致的风险由投标人承担。</w:t>
      </w:r>
    </w:p>
    <w:p w14:paraId="2FDD686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7</w:t>
      </w:r>
      <w:r>
        <w:rPr>
          <w:rFonts w:hint="eastAsia" w:ascii="Times New Roman" w:hAnsi="Times New Roman"/>
          <w:color w:val="auto"/>
          <w:sz w:val="24"/>
          <w:szCs w:val="24"/>
          <w:highlight w:val="none"/>
        </w:rPr>
        <w:t>、质疑与投诉</w:t>
      </w:r>
    </w:p>
    <w:p w14:paraId="5BFA1B0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7.1</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 w:val="24"/>
          <w:szCs w:val="24"/>
          <w:highlight w:val="none"/>
        </w:rPr>
        <w:t>（注：投标人须在法定质疑期内一次性提出针对同一采购程序环节的质疑）</w:t>
      </w:r>
      <w:r>
        <w:rPr>
          <w:rFonts w:hint="eastAsia" w:ascii="Times New Roman" w:hAnsi="Times New Roman"/>
          <w:color w:val="auto"/>
          <w:sz w:val="24"/>
          <w:szCs w:val="24"/>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24EC4B9D">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7.2</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181D9EFA">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7.3</w:t>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采购代理机构发送的答疑文件是采购文件的组成部分，对投标人具有约束力。</w:t>
      </w:r>
    </w:p>
    <w:p w14:paraId="4368A799">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7.4</w:t>
      </w:r>
      <w:r>
        <w:rPr>
          <w:rFonts w:hint="eastAsia" w:ascii="Times New Roman" w:hAnsi="Times New Roman"/>
          <w:color w:val="auto"/>
          <w:sz w:val="24"/>
          <w:szCs w:val="24"/>
          <w:highlight w:val="none"/>
        </w:rPr>
        <w:t>未尽事宜，见《政府采购质疑和投诉办法》（中华人民共和国财政部令第</w:t>
      </w:r>
      <w:r>
        <w:rPr>
          <w:rFonts w:ascii="Times New Roman" w:hAnsi="Times New Roman"/>
          <w:color w:val="auto"/>
          <w:sz w:val="24"/>
          <w:szCs w:val="24"/>
          <w:highlight w:val="none"/>
        </w:rPr>
        <w:t>94</w:t>
      </w:r>
      <w:r>
        <w:rPr>
          <w:rFonts w:hint="eastAsia" w:ascii="Times New Roman" w:hAnsi="Times New Roman"/>
          <w:color w:val="auto"/>
          <w:sz w:val="24"/>
          <w:szCs w:val="24"/>
          <w:highlight w:val="none"/>
        </w:rPr>
        <w:t>号）。</w:t>
      </w:r>
    </w:p>
    <w:p w14:paraId="20F27D1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8</w:t>
      </w:r>
      <w:r>
        <w:rPr>
          <w:rFonts w:hint="eastAsia" w:ascii="Times New Roman" w:hAnsi="Times New Roman"/>
          <w:color w:val="auto"/>
          <w:sz w:val="24"/>
          <w:szCs w:val="24"/>
          <w:highlight w:val="none"/>
        </w:rPr>
        <w:t>、采购文件的澄清与修改</w:t>
      </w:r>
    </w:p>
    <w:p w14:paraId="11B4988C">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8.1</w:t>
      </w:r>
      <w:r>
        <w:rPr>
          <w:rFonts w:hint="eastAsia" w:ascii="Times New Roman" w:hAnsi="Times New Roman"/>
          <w:color w:val="auto"/>
          <w:sz w:val="24"/>
          <w:szCs w:val="24"/>
          <w:highlight w:val="none"/>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584CDC25">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澄清或者修改的内容可能影响投标文件编制的，采购人或者采购代理机构应当在投标截止时间至少</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日前，以书面形式通知所有获取采购文件的潜在投标人；不足</w:t>
      </w:r>
      <w:r>
        <w:rPr>
          <w:rFonts w:ascii="Times New Roman" w:hAnsi="Times New Roman"/>
          <w:color w:val="auto"/>
          <w:sz w:val="24"/>
          <w:szCs w:val="24"/>
          <w:highlight w:val="none"/>
        </w:rPr>
        <w:t>15</w:t>
      </w:r>
      <w:r>
        <w:rPr>
          <w:rFonts w:hint="eastAsia" w:ascii="Times New Roman" w:hAnsi="Times New Roman"/>
          <w:color w:val="auto"/>
          <w:sz w:val="24"/>
          <w:szCs w:val="24"/>
          <w:highlight w:val="none"/>
        </w:rPr>
        <w:t>日的，采购人或者采购代理机构应当顺延提交投标文件的截止时间。</w:t>
      </w:r>
    </w:p>
    <w:p w14:paraId="17A6548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8.2</w:t>
      </w:r>
      <w:r>
        <w:rPr>
          <w:rFonts w:hint="eastAsia" w:ascii="Times New Roman" w:hAnsi="Times New Roman"/>
          <w:color w:val="auto"/>
          <w:sz w:val="24"/>
          <w:szCs w:val="24"/>
          <w:highlight w:val="none"/>
        </w:rPr>
        <w:t>采购代理机构必须以书面形式答复投标人要求澄清的问题，并将不包含问题来源的答复书面通知所有获取采购文件的投标人；除书面答复以外的其他澄清方式及澄清内容均无效。</w:t>
      </w:r>
    </w:p>
    <w:p w14:paraId="6304A344">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8.3</w:t>
      </w:r>
      <w:r>
        <w:rPr>
          <w:rFonts w:hint="eastAsia" w:ascii="Times New Roman" w:hAnsi="Times New Roman"/>
          <w:color w:val="auto"/>
          <w:sz w:val="24"/>
          <w:szCs w:val="24"/>
          <w:highlight w:val="none"/>
        </w:rPr>
        <w:t>采购文件澄清、答复、修改、补充的内容为采购文件的组成部分。当采购文件与采购文件的答复、澄清、修改、补充通知就同一内容的表述不一致时，以最后发出的书面文件为准。</w:t>
      </w:r>
    </w:p>
    <w:p w14:paraId="43F84FB4">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8.4</w:t>
      </w:r>
      <w:r>
        <w:rPr>
          <w:rFonts w:hint="eastAsia" w:ascii="Times New Roman" w:hAnsi="Times New Roman"/>
          <w:color w:val="auto"/>
          <w:sz w:val="24"/>
          <w:szCs w:val="24"/>
          <w:highlight w:val="none"/>
        </w:rPr>
        <w:t>采购文件的澄清、答复、修改或补充都应该通过本代理机构以法定形式发布，采购人非通过本机构，不得擅自澄清、答复、修改或补充采购文件。</w:t>
      </w:r>
    </w:p>
    <w:p w14:paraId="28168ABA">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9</w:t>
      </w:r>
      <w:r>
        <w:rPr>
          <w:rFonts w:hint="eastAsia" w:ascii="Times New Roman" w:hAnsi="Times New Roman"/>
          <w:color w:val="auto"/>
          <w:sz w:val="24"/>
          <w:szCs w:val="24"/>
          <w:highlight w:val="none"/>
        </w:rPr>
        <w:t>、关于分公司投标</w:t>
      </w:r>
    </w:p>
    <w:p w14:paraId="03D4CF5A">
      <w:pPr>
        <w:tabs>
          <w:tab w:val="left" w:pos="709"/>
        </w:tabs>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除金融、保险、通讯等特定行业外，法人的分支机构由于不能独立承担民事责任，不能以分支机构的身份参加政府采购，只能法人身份参加。</w:t>
      </w:r>
    </w:p>
    <w:p w14:paraId="162351A4">
      <w:pPr>
        <w:tabs>
          <w:tab w:val="left" w:pos="709"/>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rPr>
        <w:t>、关于知识产权</w:t>
      </w:r>
    </w:p>
    <w:p w14:paraId="63FFBEE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10.1</w:t>
      </w:r>
      <w:r>
        <w:rPr>
          <w:rFonts w:hint="eastAsia" w:ascii="Times New Roman" w:hAnsi="Times New Roman"/>
          <w:color w:val="auto"/>
          <w:sz w:val="24"/>
          <w:szCs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654C1C01">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10.2</w:t>
      </w:r>
      <w:r>
        <w:rPr>
          <w:rFonts w:hint="eastAsia" w:ascii="Times New Roman" w:hAnsi="Times New Roman"/>
          <w:color w:val="auto"/>
          <w:sz w:val="24"/>
          <w:szCs w:val="24"/>
          <w:highlight w:val="none"/>
        </w:rPr>
        <w:t>投标报价应包含所有应向所有权人支付的专利权、商标权或其它知识产权的一切相关费用。</w:t>
      </w:r>
    </w:p>
    <w:p w14:paraId="33DB3C03">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10.3</w:t>
      </w:r>
      <w:r>
        <w:rPr>
          <w:rFonts w:hint="eastAsia" w:ascii="Times New Roman" w:hAnsi="Times New Roman"/>
          <w:color w:val="auto"/>
          <w:sz w:val="24"/>
          <w:szCs w:val="24"/>
          <w:highlight w:val="none"/>
        </w:rPr>
        <w:t>系统软件、通用软件必须是具有在中国境内的合法使用权或版权的正版软件，涉及到第三方提出侵权或知识产权的起诉及支付版税等费用由供应商承担所有责任及费用。</w:t>
      </w:r>
    </w:p>
    <w:p w14:paraId="7C9A1D45">
      <w:pPr>
        <w:pStyle w:val="94"/>
        <w:ind w:firstLine="440"/>
        <w:jc w:val="center"/>
        <w:rPr>
          <w:rFonts w:hint="eastAsia"/>
          <w:b/>
          <w:bCs/>
          <w:color w:val="auto"/>
          <w:sz w:val="24"/>
          <w:szCs w:val="24"/>
          <w:highlight w:val="none"/>
        </w:rPr>
      </w:pPr>
      <w:r>
        <w:rPr>
          <w:rFonts w:hint="eastAsia"/>
          <w:b/>
          <w:bCs/>
          <w:color w:val="auto"/>
          <w:sz w:val="24"/>
          <w:szCs w:val="24"/>
          <w:highlight w:val="none"/>
        </w:rPr>
        <w:t>四、投标文件</w:t>
      </w:r>
    </w:p>
    <w:p w14:paraId="3F61ECA2">
      <w:pPr>
        <w:pStyle w:val="94"/>
        <w:ind w:firstLine="440"/>
        <w:rPr>
          <w:rFonts w:hint="eastAsia"/>
          <w:color w:val="auto"/>
          <w:sz w:val="24"/>
          <w:szCs w:val="24"/>
          <w:highlight w:val="none"/>
        </w:rPr>
      </w:pPr>
      <w:r>
        <w:rPr>
          <w:rFonts w:hint="eastAsia"/>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2ABFD367">
      <w:pPr>
        <w:pStyle w:val="94"/>
        <w:ind w:left="0" w:leftChars="0" w:firstLine="0" w:firstLineChars="0"/>
        <w:rPr>
          <w:rFonts w:hint="eastAsia"/>
          <w:color w:val="auto"/>
          <w:sz w:val="24"/>
          <w:szCs w:val="24"/>
          <w:highlight w:val="none"/>
        </w:rPr>
      </w:pPr>
      <w:r>
        <w:rPr>
          <w:rFonts w:hint="eastAsia"/>
          <w:color w:val="auto"/>
          <w:sz w:val="24"/>
          <w:szCs w:val="24"/>
          <w:highlight w:val="none"/>
        </w:rPr>
        <w:t>11、投标文件的组成</w:t>
      </w:r>
    </w:p>
    <w:p w14:paraId="1C1DD403">
      <w:pPr>
        <w:tabs>
          <w:tab w:val="left" w:pos="709"/>
        </w:tabs>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11.1</w:t>
      </w:r>
      <w:r>
        <w:rPr>
          <w:rFonts w:hint="eastAsia" w:ascii="Times New Roman" w:hAnsi="Times New Roman"/>
          <w:color w:val="auto"/>
          <w:sz w:val="24"/>
          <w:szCs w:val="24"/>
          <w:highlight w:val="none"/>
        </w:rPr>
        <w:t>投标文件分为资格证明文件、报价文件、</w:t>
      </w:r>
      <w:r>
        <w:rPr>
          <w:rFonts w:hint="eastAsia" w:ascii="Times New Roman" w:hAnsi="Times New Roman"/>
          <w:color w:val="auto"/>
          <w:sz w:val="24"/>
          <w:szCs w:val="24"/>
          <w:highlight w:val="none"/>
          <w:lang w:eastAsia="zh-CN"/>
        </w:rPr>
        <w:t>商务技术文件</w:t>
      </w:r>
      <w:r>
        <w:rPr>
          <w:rFonts w:hint="eastAsia" w:ascii="Times New Roman" w:hAnsi="Times New Roman"/>
          <w:color w:val="auto"/>
          <w:sz w:val="24"/>
          <w:szCs w:val="24"/>
          <w:highlight w:val="none"/>
        </w:rPr>
        <w:t>三部分；</w:t>
      </w:r>
    </w:p>
    <w:p w14:paraId="3F5B3668">
      <w:pPr>
        <w:pStyle w:val="94"/>
        <w:ind w:firstLine="440"/>
        <w:rPr>
          <w:rFonts w:cs="仿宋_GB2312"/>
          <w:color w:val="auto"/>
          <w:sz w:val="24"/>
          <w:szCs w:val="24"/>
          <w:highlight w:val="none"/>
          <w:lang w:val="zh-CN"/>
        </w:rPr>
      </w:pPr>
      <w:r>
        <w:rPr>
          <w:rFonts w:hint="eastAsia"/>
          <w:color w:val="auto"/>
          <w:sz w:val="24"/>
          <w:szCs w:val="24"/>
          <w:highlight w:val="none"/>
          <w:lang w:val="zh-CN"/>
        </w:rPr>
        <w:t>【特别提示：如有要求提供各项证书、合同、报告等证明的，请将原件清晰扫描做入投标文件。】</w:t>
      </w:r>
    </w:p>
    <w:p w14:paraId="2942F9EA">
      <w:pPr>
        <w:pStyle w:val="94"/>
        <w:ind w:firstLine="440"/>
        <w:rPr>
          <w:rFonts w:hint="eastAsia"/>
          <w:color w:val="auto"/>
          <w:sz w:val="24"/>
          <w:szCs w:val="24"/>
          <w:highlight w:val="none"/>
        </w:rPr>
      </w:pPr>
      <w:r>
        <w:rPr>
          <w:rFonts w:hint="eastAsia"/>
          <w:b/>
          <w:bCs/>
          <w:color w:val="auto"/>
          <w:sz w:val="24"/>
          <w:szCs w:val="24"/>
          <w:highlight w:val="none"/>
        </w:rPr>
        <w:t>资格证明文件包含但不限于以下文件：</w:t>
      </w:r>
    </w:p>
    <w:p w14:paraId="097A6073">
      <w:pPr>
        <w:tabs>
          <w:tab w:val="left" w:pos="709"/>
        </w:tabs>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）资格条件自查表（格式见附件）；</w:t>
      </w:r>
    </w:p>
    <w:p w14:paraId="36D2D878">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）有效的企业法人营业执照（或事业法人登记证）、其他组织（个体工商户）的营业执照或者民办非企业单位登记证书扫描件；</w:t>
      </w:r>
      <w:r>
        <w:rPr>
          <w:rFonts w:ascii="Times New Roman" w:hAnsi="Times New Roman"/>
          <w:color w:val="auto"/>
          <w:sz w:val="24"/>
          <w:szCs w:val="24"/>
          <w:highlight w:val="none"/>
        </w:rPr>
        <w:t xml:space="preserve"> </w:t>
      </w:r>
    </w:p>
    <w:p w14:paraId="51C75261">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）关于资格的承诺函（格式见附件）；</w:t>
      </w:r>
    </w:p>
    <w:p w14:paraId="0E7398D0">
      <w:pPr>
        <w:tabs>
          <w:tab w:val="left" w:pos="709"/>
        </w:tabs>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）投标人认为需要提交的其他资格证明文件资料。</w:t>
      </w:r>
    </w:p>
    <w:p w14:paraId="03BA2428">
      <w:pPr>
        <w:pStyle w:val="94"/>
        <w:ind w:firstLine="440"/>
        <w:rPr>
          <w:color w:val="auto"/>
          <w:sz w:val="24"/>
          <w:szCs w:val="24"/>
          <w:highlight w:val="none"/>
        </w:rPr>
      </w:pPr>
      <w:r>
        <w:rPr>
          <w:rFonts w:hint="eastAsia"/>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1194119C">
      <w:pPr>
        <w:pStyle w:val="94"/>
        <w:ind w:firstLine="440"/>
        <w:rPr>
          <w:rFonts w:hint="eastAsia"/>
          <w:b/>
          <w:bCs/>
          <w:color w:val="auto"/>
          <w:sz w:val="24"/>
          <w:szCs w:val="24"/>
          <w:highlight w:val="none"/>
        </w:rPr>
      </w:pPr>
      <w:r>
        <w:rPr>
          <w:rFonts w:hint="eastAsia"/>
          <w:b/>
          <w:bCs/>
          <w:color w:val="auto"/>
          <w:sz w:val="24"/>
          <w:szCs w:val="24"/>
          <w:highlight w:val="none"/>
          <w:lang w:eastAsia="zh-CN"/>
        </w:rPr>
        <w:t>商务技术文件</w:t>
      </w:r>
      <w:r>
        <w:rPr>
          <w:rFonts w:hint="eastAsia"/>
          <w:b/>
          <w:bCs/>
          <w:color w:val="auto"/>
          <w:sz w:val="24"/>
          <w:szCs w:val="24"/>
          <w:highlight w:val="none"/>
        </w:rPr>
        <w:t>包含但不限于以下文件：</w:t>
      </w:r>
    </w:p>
    <w:p w14:paraId="78743AC7">
      <w:pPr>
        <w:pStyle w:val="94"/>
        <w:ind w:firstLine="440"/>
        <w:rPr>
          <w:rFonts w:hint="eastAsia"/>
          <w:color w:val="auto"/>
          <w:sz w:val="24"/>
          <w:szCs w:val="24"/>
          <w:highlight w:val="none"/>
        </w:rPr>
      </w:pPr>
      <w:r>
        <w:rPr>
          <w:rFonts w:hint="eastAsia"/>
          <w:color w:val="auto"/>
          <w:sz w:val="24"/>
          <w:szCs w:val="24"/>
          <w:highlight w:val="none"/>
        </w:rPr>
        <w:t>（1）商务技术自评表(格式见附件)；</w:t>
      </w:r>
    </w:p>
    <w:p w14:paraId="1DFFCB79">
      <w:pPr>
        <w:pStyle w:val="94"/>
        <w:ind w:firstLine="440"/>
        <w:rPr>
          <w:rFonts w:hint="eastAsia"/>
          <w:color w:val="auto"/>
          <w:sz w:val="24"/>
          <w:szCs w:val="24"/>
          <w:highlight w:val="none"/>
        </w:rPr>
      </w:pPr>
      <w:r>
        <w:rPr>
          <w:rFonts w:hint="eastAsia"/>
          <w:color w:val="auto"/>
          <w:sz w:val="24"/>
          <w:szCs w:val="24"/>
          <w:highlight w:val="none"/>
        </w:rPr>
        <w:t xml:space="preserve">（2）供应商基本情况表（格式见附件）； </w:t>
      </w:r>
    </w:p>
    <w:p w14:paraId="792D9913">
      <w:pPr>
        <w:pStyle w:val="94"/>
        <w:ind w:firstLine="440"/>
        <w:rPr>
          <w:rFonts w:hint="eastAsia"/>
          <w:color w:val="auto"/>
          <w:sz w:val="24"/>
          <w:szCs w:val="24"/>
          <w:highlight w:val="none"/>
        </w:rPr>
      </w:pPr>
      <w:r>
        <w:rPr>
          <w:rFonts w:hint="eastAsia"/>
          <w:color w:val="auto"/>
          <w:sz w:val="24"/>
          <w:szCs w:val="24"/>
          <w:highlight w:val="none"/>
        </w:rPr>
        <w:t>（3）授权委托书或法定代表人身份证明（若投标人代表系</w:t>
      </w:r>
      <w:r>
        <w:rPr>
          <w:rFonts w:hint="eastAsia"/>
          <w:color w:val="auto"/>
          <w:sz w:val="24"/>
          <w:szCs w:val="24"/>
          <w:highlight w:val="none"/>
          <w:lang w:eastAsia="zh-CN"/>
        </w:rPr>
        <w:t>法定代表人</w:t>
      </w:r>
      <w:r>
        <w:rPr>
          <w:rFonts w:hint="eastAsia"/>
          <w:color w:val="auto"/>
          <w:sz w:val="24"/>
          <w:szCs w:val="24"/>
          <w:highlight w:val="none"/>
        </w:rPr>
        <w:t>，无需提供授权书，必须提供</w:t>
      </w:r>
      <w:r>
        <w:rPr>
          <w:rFonts w:hint="eastAsia"/>
          <w:color w:val="auto"/>
          <w:sz w:val="24"/>
          <w:szCs w:val="24"/>
          <w:highlight w:val="none"/>
          <w:lang w:eastAsia="zh-CN"/>
        </w:rPr>
        <w:t>法定代表人</w:t>
      </w:r>
      <w:r>
        <w:rPr>
          <w:rFonts w:hint="eastAsia"/>
          <w:color w:val="auto"/>
          <w:sz w:val="24"/>
          <w:szCs w:val="24"/>
          <w:highlight w:val="none"/>
        </w:rPr>
        <w:t>身份证扫描件及</w:t>
      </w:r>
      <w:r>
        <w:rPr>
          <w:rFonts w:hint="eastAsia"/>
          <w:color w:val="auto"/>
          <w:sz w:val="24"/>
          <w:szCs w:val="24"/>
          <w:highlight w:val="none"/>
          <w:lang w:eastAsia="zh-CN"/>
        </w:rPr>
        <w:t>法定代表人</w:t>
      </w:r>
      <w:r>
        <w:rPr>
          <w:rFonts w:hint="eastAsia"/>
          <w:color w:val="auto"/>
          <w:sz w:val="24"/>
          <w:szCs w:val="24"/>
          <w:highlight w:val="none"/>
        </w:rPr>
        <w:t>身份证明书（格式见附件）；</w:t>
      </w:r>
    </w:p>
    <w:p w14:paraId="65566FFA">
      <w:pPr>
        <w:pStyle w:val="94"/>
        <w:ind w:firstLine="440"/>
        <w:rPr>
          <w:rFonts w:hint="eastAsia"/>
          <w:color w:val="auto"/>
          <w:sz w:val="24"/>
          <w:szCs w:val="24"/>
          <w:highlight w:val="none"/>
        </w:rPr>
      </w:pPr>
      <w:r>
        <w:rPr>
          <w:rFonts w:hint="eastAsia"/>
          <w:color w:val="auto"/>
          <w:sz w:val="24"/>
          <w:szCs w:val="24"/>
          <w:highlight w:val="none"/>
        </w:rPr>
        <w:t>（4）证书一览表（格式见附件）；</w:t>
      </w:r>
    </w:p>
    <w:p w14:paraId="4012B03F">
      <w:pPr>
        <w:pStyle w:val="94"/>
        <w:ind w:firstLine="440"/>
        <w:rPr>
          <w:rFonts w:hint="eastAsia"/>
          <w:color w:val="auto"/>
          <w:sz w:val="24"/>
          <w:szCs w:val="24"/>
          <w:highlight w:val="none"/>
        </w:rPr>
      </w:pPr>
      <w:r>
        <w:rPr>
          <w:rFonts w:hint="eastAsia"/>
          <w:color w:val="auto"/>
          <w:sz w:val="24"/>
          <w:szCs w:val="24"/>
          <w:highlight w:val="none"/>
        </w:rPr>
        <w:t>（5）技术</w:t>
      </w:r>
      <w:r>
        <w:rPr>
          <w:rFonts w:hint="eastAsia"/>
          <w:color w:val="auto"/>
          <w:sz w:val="24"/>
          <w:szCs w:val="24"/>
          <w:highlight w:val="none"/>
          <w:lang w:eastAsia="zh-CN"/>
        </w:rPr>
        <w:t>条款</w:t>
      </w:r>
      <w:r>
        <w:rPr>
          <w:rFonts w:hint="eastAsia"/>
          <w:color w:val="auto"/>
          <w:sz w:val="24"/>
          <w:szCs w:val="24"/>
          <w:highlight w:val="none"/>
        </w:rPr>
        <w:t>偏离表（格式见附件）；</w:t>
      </w:r>
    </w:p>
    <w:p w14:paraId="20C617F8">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）商务条款偏离表（格式见附件）；</w:t>
      </w:r>
    </w:p>
    <w:p w14:paraId="7C326C6C">
      <w:pPr>
        <w:pStyle w:val="94"/>
        <w:ind w:firstLine="440"/>
        <w:rPr>
          <w:rFonts w:hint="eastAsia" w:eastAsiaTheme="minor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ascii="宋体" w:hAnsi="宋体" w:eastAsia="宋体" w:cs="宋体"/>
          <w:color w:val="auto"/>
          <w:sz w:val="24"/>
          <w:highlight w:val="none"/>
        </w:rPr>
        <w:t>相关项目实施业绩一览表</w:t>
      </w:r>
      <w:r>
        <w:rPr>
          <w:rFonts w:hint="eastAsia"/>
          <w:color w:val="auto"/>
          <w:sz w:val="24"/>
          <w:szCs w:val="24"/>
          <w:highlight w:val="none"/>
        </w:rPr>
        <w:t>（格式见附件）；</w:t>
      </w:r>
    </w:p>
    <w:p w14:paraId="6A9240A9">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w:t>
      </w:r>
      <w:r>
        <w:rPr>
          <w:rFonts w:hint="eastAsia" w:ascii="宋体" w:hAnsi="宋体" w:eastAsia="宋体" w:cs="宋体"/>
          <w:color w:val="auto"/>
          <w:sz w:val="24"/>
          <w:highlight w:val="none"/>
        </w:rPr>
        <w:t>评分标准或采购文件需要提供的其他技术商务材料</w:t>
      </w:r>
      <w:r>
        <w:rPr>
          <w:rFonts w:hint="eastAsia"/>
          <w:color w:val="auto"/>
          <w:sz w:val="24"/>
          <w:szCs w:val="24"/>
          <w:highlight w:val="none"/>
        </w:rPr>
        <w:t>；</w:t>
      </w:r>
    </w:p>
    <w:p w14:paraId="4DB65D52">
      <w:pPr>
        <w:pStyle w:val="94"/>
        <w:ind w:firstLine="44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9</w:t>
      </w:r>
      <w:r>
        <w:rPr>
          <w:rFonts w:hint="eastAsia"/>
          <w:color w:val="auto"/>
          <w:sz w:val="24"/>
          <w:szCs w:val="24"/>
          <w:highlight w:val="none"/>
        </w:rPr>
        <w:t>）</w:t>
      </w:r>
      <w:r>
        <w:rPr>
          <w:rFonts w:hint="eastAsia"/>
          <w:color w:val="auto"/>
          <w:sz w:val="24"/>
          <w:szCs w:val="24"/>
          <w:highlight w:val="none"/>
          <w:lang w:eastAsia="zh-CN"/>
        </w:rPr>
        <w:t>投标人</w:t>
      </w:r>
      <w:r>
        <w:rPr>
          <w:rFonts w:hint="eastAsia"/>
          <w:color w:val="auto"/>
          <w:sz w:val="24"/>
          <w:szCs w:val="24"/>
          <w:highlight w:val="none"/>
        </w:rPr>
        <w:t>认为有必要提供的其他</w:t>
      </w:r>
      <w:r>
        <w:rPr>
          <w:rFonts w:hint="eastAsia"/>
          <w:color w:val="auto"/>
          <w:sz w:val="24"/>
          <w:szCs w:val="24"/>
          <w:highlight w:val="none"/>
          <w:lang w:eastAsia="zh-CN"/>
        </w:rPr>
        <w:t>商务技术文件</w:t>
      </w:r>
      <w:r>
        <w:rPr>
          <w:rFonts w:hint="eastAsia"/>
          <w:color w:val="auto"/>
          <w:sz w:val="24"/>
          <w:szCs w:val="24"/>
          <w:highlight w:val="none"/>
        </w:rPr>
        <w:t>资料。</w:t>
      </w:r>
    </w:p>
    <w:p w14:paraId="6C8A216C">
      <w:pPr>
        <w:pStyle w:val="94"/>
        <w:ind w:firstLine="440"/>
        <w:rPr>
          <w:rFonts w:hint="eastAsia"/>
          <w:b/>
          <w:bCs/>
          <w:color w:val="auto"/>
          <w:sz w:val="24"/>
          <w:szCs w:val="24"/>
          <w:highlight w:val="none"/>
        </w:rPr>
      </w:pPr>
      <w:r>
        <w:rPr>
          <w:rFonts w:hint="eastAsia"/>
          <w:b/>
          <w:bCs/>
          <w:color w:val="auto"/>
          <w:sz w:val="24"/>
          <w:szCs w:val="24"/>
          <w:highlight w:val="none"/>
        </w:rPr>
        <w:t>报价文件包含但不限于以下文件</w:t>
      </w:r>
    </w:p>
    <w:p w14:paraId="7D738259">
      <w:pPr>
        <w:pStyle w:val="94"/>
        <w:ind w:firstLine="440"/>
        <w:rPr>
          <w:rFonts w:hint="eastAsia"/>
          <w:color w:val="auto"/>
          <w:sz w:val="24"/>
          <w:szCs w:val="24"/>
          <w:highlight w:val="none"/>
        </w:rPr>
      </w:pPr>
      <w:r>
        <w:rPr>
          <w:rFonts w:hint="eastAsia"/>
          <w:color w:val="auto"/>
          <w:sz w:val="24"/>
          <w:szCs w:val="24"/>
          <w:highlight w:val="none"/>
        </w:rPr>
        <w:t>（1）投标函（格式见附件）；</w:t>
      </w:r>
    </w:p>
    <w:p w14:paraId="64A81661">
      <w:pPr>
        <w:pStyle w:val="94"/>
        <w:ind w:firstLine="440"/>
        <w:rPr>
          <w:rFonts w:hint="eastAsia"/>
          <w:color w:val="auto"/>
          <w:sz w:val="24"/>
          <w:szCs w:val="24"/>
          <w:highlight w:val="none"/>
        </w:rPr>
      </w:pPr>
      <w:r>
        <w:rPr>
          <w:rFonts w:hint="eastAsia"/>
          <w:color w:val="auto"/>
          <w:sz w:val="24"/>
          <w:szCs w:val="24"/>
          <w:highlight w:val="none"/>
        </w:rPr>
        <w:t>（2）开标一览表（格式见附件）；</w:t>
      </w:r>
    </w:p>
    <w:p w14:paraId="1B2B6AD6">
      <w:pPr>
        <w:pStyle w:val="94"/>
        <w:ind w:firstLine="440"/>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报价</w:t>
      </w:r>
      <w:r>
        <w:rPr>
          <w:rFonts w:hint="eastAsia"/>
          <w:color w:val="auto"/>
          <w:sz w:val="24"/>
          <w:szCs w:val="24"/>
          <w:highlight w:val="none"/>
        </w:rPr>
        <w:t>明细表（格式见附件）；</w:t>
      </w:r>
    </w:p>
    <w:p w14:paraId="05C0A227">
      <w:pPr>
        <w:pStyle w:val="94"/>
        <w:ind w:firstLine="440"/>
        <w:rPr>
          <w:rFonts w:hint="eastAsia"/>
          <w:color w:val="auto"/>
          <w:sz w:val="24"/>
          <w:szCs w:val="24"/>
          <w:highlight w:val="none"/>
        </w:rPr>
      </w:pPr>
      <w:r>
        <w:rPr>
          <w:rFonts w:hint="eastAsia"/>
          <w:color w:val="auto"/>
          <w:sz w:val="24"/>
          <w:szCs w:val="24"/>
          <w:highlight w:val="none"/>
        </w:rPr>
        <w:t>（4）中小企业声明函（</w:t>
      </w:r>
      <w:r>
        <w:rPr>
          <w:rFonts w:hint="eastAsia"/>
          <w:color w:val="auto"/>
          <w:sz w:val="24"/>
          <w:szCs w:val="24"/>
          <w:highlight w:val="none"/>
          <w:lang w:eastAsia="zh-CN"/>
        </w:rPr>
        <w:t>如有，</w:t>
      </w:r>
      <w:r>
        <w:rPr>
          <w:rFonts w:hint="eastAsia"/>
          <w:color w:val="auto"/>
          <w:sz w:val="24"/>
          <w:szCs w:val="24"/>
          <w:highlight w:val="none"/>
        </w:rPr>
        <w:t>格式见附件）；</w:t>
      </w:r>
    </w:p>
    <w:p w14:paraId="277548E5">
      <w:pPr>
        <w:pStyle w:val="94"/>
        <w:ind w:firstLine="440"/>
        <w:rPr>
          <w:rFonts w:hint="eastAsia"/>
          <w:color w:val="auto"/>
          <w:sz w:val="24"/>
          <w:szCs w:val="24"/>
          <w:highlight w:val="none"/>
        </w:rPr>
      </w:pPr>
      <w:r>
        <w:rPr>
          <w:rFonts w:hint="eastAsia"/>
          <w:color w:val="auto"/>
          <w:sz w:val="24"/>
          <w:szCs w:val="24"/>
          <w:highlight w:val="none"/>
        </w:rPr>
        <w:t>（5）残疾人福利单位声明函（非残疾人福利性单位，无需提供本函）；（如有，格式见附件；注：残疾人福利性单位视同小型、微型企业）；</w:t>
      </w:r>
    </w:p>
    <w:p w14:paraId="00D51D09">
      <w:pPr>
        <w:pStyle w:val="94"/>
        <w:ind w:firstLine="440"/>
        <w:rPr>
          <w:rFonts w:hint="eastAsia"/>
          <w:color w:val="auto"/>
          <w:sz w:val="24"/>
          <w:szCs w:val="24"/>
          <w:highlight w:val="none"/>
        </w:rPr>
      </w:pPr>
      <w:r>
        <w:rPr>
          <w:rFonts w:hint="eastAsia"/>
          <w:color w:val="auto"/>
          <w:sz w:val="24"/>
          <w:szCs w:val="24"/>
          <w:highlight w:val="none"/>
        </w:rPr>
        <w:t>（6）投标人认为需提交的其他报价文件资料。</w:t>
      </w:r>
    </w:p>
    <w:p w14:paraId="0B096DB4">
      <w:pPr>
        <w:spacing w:line="360" w:lineRule="auto"/>
        <w:rPr>
          <w:rFonts w:hint="eastAsia" w:ascii="Times New Roman" w:hAnsi="Times New Roman"/>
          <w:b/>
          <w:bCs/>
          <w:color w:val="auto"/>
          <w:sz w:val="24"/>
          <w:szCs w:val="24"/>
          <w:highlight w:val="none"/>
        </w:rPr>
      </w:pPr>
      <w:r>
        <w:rPr>
          <w:rFonts w:ascii="Times New Roman" w:hAnsi="Times New Roman"/>
          <w:b/>
          <w:bCs/>
          <w:color w:val="auto"/>
          <w:sz w:val="24"/>
          <w:szCs w:val="24"/>
          <w:highlight w:val="none"/>
        </w:rPr>
        <w:t>12</w:t>
      </w:r>
      <w:r>
        <w:rPr>
          <w:rFonts w:hint="eastAsia" w:ascii="Times New Roman" w:hAnsi="Times New Roman"/>
          <w:b/>
          <w:bCs/>
          <w:color w:val="auto"/>
          <w:sz w:val="24"/>
          <w:szCs w:val="24"/>
          <w:highlight w:val="none"/>
        </w:rPr>
        <w:t>、投标报价</w:t>
      </w:r>
    </w:p>
    <w:p w14:paraId="03C23C5B">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12.1</w:t>
      </w:r>
      <w:r>
        <w:rPr>
          <w:rFonts w:hint="eastAsia" w:ascii="Times New Roman" w:hAnsi="Times New Roman"/>
          <w:color w:val="auto"/>
          <w:sz w:val="24"/>
          <w:szCs w:val="24"/>
          <w:highlight w:val="none"/>
        </w:rPr>
        <w:t>投标人应全面充分了解本招标项目的全部内容及要求以及服务现场的基本条件，按照《投标资料表》规定与要求报价，并包含服务过程中可能涉及的所有费用。</w:t>
      </w:r>
    </w:p>
    <w:p w14:paraId="4D9217BF">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12.2</w:t>
      </w:r>
      <w:r>
        <w:rPr>
          <w:rFonts w:hint="eastAsia" w:ascii="Times New Roman" w:hAnsi="Times New Roman"/>
          <w:color w:val="auto"/>
          <w:sz w:val="24"/>
          <w:szCs w:val="24"/>
          <w:highlight w:val="none"/>
        </w:rPr>
        <w:t>所有投标报价必须以人民币报价，不接受外币报价。</w:t>
      </w:r>
    </w:p>
    <w:p w14:paraId="78A5C610">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12.3</w:t>
      </w:r>
      <w:r>
        <w:rPr>
          <w:rFonts w:hint="eastAsia" w:ascii="Times New Roman" w:hAnsi="Times New Roman"/>
          <w:color w:val="auto"/>
          <w:sz w:val="24"/>
          <w:szCs w:val="24"/>
          <w:highlight w:val="none"/>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0AAC3F30">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12.4</w:t>
      </w:r>
      <w:r>
        <w:rPr>
          <w:rFonts w:hint="eastAsia" w:ascii="Times New Roman" w:hAnsi="Times New Roman"/>
          <w:color w:val="auto"/>
          <w:sz w:val="24"/>
          <w:szCs w:val="24"/>
          <w:highlight w:val="none"/>
        </w:rPr>
        <w:t>投标报价中有关单价在中标后及合同执行过程中是固定不变的，投标人不得以任何理由予以变更。任何包含价格调整要求的投标，将被作无效投标处理。</w:t>
      </w:r>
    </w:p>
    <w:p w14:paraId="0D00D328">
      <w:pPr>
        <w:spacing w:line="360" w:lineRule="auto"/>
        <w:rPr>
          <w:rFonts w:ascii="Times New Roman" w:hAnsi="Times New Roman"/>
          <w:b/>
          <w:bCs/>
          <w:color w:val="auto"/>
          <w:sz w:val="24"/>
          <w:szCs w:val="24"/>
          <w:highlight w:val="none"/>
        </w:rPr>
      </w:pPr>
      <w:r>
        <w:rPr>
          <w:rFonts w:ascii="Times New Roman" w:hAnsi="Times New Roman"/>
          <w:b/>
          <w:bCs/>
          <w:color w:val="auto"/>
          <w:sz w:val="24"/>
          <w:szCs w:val="24"/>
          <w:highlight w:val="none"/>
        </w:rPr>
        <w:t>13</w:t>
      </w:r>
      <w:r>
        <w:rPr>
          <w:rFonts w:hint="eastAsia" w:ascii="Times New Roman" w:hAnsi="Times New Roman"/>
          <w:b/>
          <w:bCs/>
          <w:color w:val="auto"/>
          <w:sz w:val="24"/>
          <w:szCs w:val="24"/>
          <w:highlight w:val="none"/>
        </w:rPr>
        <w:t>、投标文件编写</w:t>
      </w:r>
    </w:p>
    <w:p w14:paraId="73B15A47">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w:t>
      </w:r>
      <w:r>
        <w:rPr>
          <w:rFonts w:hint="eastAsia" w:ascii="Times New Roman" w:hAnsi="Times New Roman"/>
          <w:color w:val="auto"/>
          <w:sz w:val="24"/>
          <w:szCs w:val="24"/>
          <w:highlight w:val="none"/>
        </w:rPr>
        <w:t>投标文件应表述准确、完整、详细，并按统一格式填写。开标一览表系开标仪式上唱标的内容，应按格式完整填写。投标文件因表达不清楚所引起的后果由投标人负责。</w:t>
      </w:r>
    </w:p>
    <w:p w14:paraId="75E15132">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13.2</w:t>
      </w:r>
      <w:r>
        <w:rPr>
          <w:rFonts w:hint="eastAsia" w:ascii="Times New Roman" w:hAnsi="Times New Roman"/>
          <w:color w:val="auto"/>
          <w:sz w:val="24"/>
          <w:szCs w:val="24"/>
          <w:highlight w:val="none"/>
        </w:rPr>
        <w:t>投标语言：中文。除签名、盖章、专用名称等特殊情形外，以中文汉语以外的文字表述的投标文件视同未提供。</w:t>
      </w:r>
    </w:p>
    <w:p w14:paraId="5FF4F1A9">
      <w:pPr>
        <w:tabs>
          <w:tab w:val="left" w:pos="709"/>
        </w:tabs>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13.3</w:t>
      </w:r>
      <w:r>
        <w:rPr>
          <w:rFonts w:hint="eastAsia" w:ascii="Times New Roman" w:hAnsi="Times New Roman"/>
          <w:color w:val="auto"/>
          <w:sz w:val="24"/>
          <w:szCs w:val="24"/>
          <w:highlight w:val="none"/>
        </w:rPr>
        <w:t>投标文件中所使用的计量单位，除非本采购文件“招标内容及要求”有特殊要求，应采用国家法定计量单位。</w:t>
      </w:r>
    </w:p>
    <w:p w14:paraId="52E7BC08">
      <w:pPr>
        <w:pStyle w:val="94"/>
        <w:ind w:left="0" w:leftChars="0" w:firstLine="0" w:firstLineChars="0"/>
        <w:rPr>
          <w:rFonts w:cs="宋体"/>
          <w:color w:val="auto"/>
          <w:sz w:val="24"/>
          <w:szCs w:val="24"/>
          <w:highlight w:val="none"/>
        </w:rPr>
      </w:pPr>
      <w:r>
        <w:rPr>
          <w:rFonts w:hint="eastAsia"/>
          <w:color w:val="auto"/>
          <w:sz w:val="24"/>
          <w:szCs w:val="24"/>
          <w:highlight w:val="none"/>
        </w:rPr>
        <w:t>14、投标文件的制作、封装及递交要求</w:t>
      </w:r>
    </w:p>
    <w:p w14:paraId="1F255E5E">
      <w:pPr>
        <w:pStyle w:val="94"/>
        <w:ind w:firstLine="440"/>
        <w:rPr>
          <w:rFonts w:hint="eastAsia" w:cs="Times New Roman"/>
          <w:color w:val="auto"/>
          <w:sz w:val="24"/>
          <w:szCs w:val="24"/>
          <w:highlight w:val="none"/>
        </w:rPr>
      </w:pPr>
      <w:r>
        <w:rPr>
          <w:rFonts w:hint="eastAsia"/>
          <w:color w:val="auto"/>
          <w:sz w:val="24"/>
          <w:szCs w:val="24"/>
          <w:highlight w:val="none"/>
        </w:rPr>
        <w:t>14.1、投标文件的制作要求</w:t>
      </w:r>
    </w:p>
    <w:p w14:paraId="77A1FF5B">
      <w:pPr>
        <w:pStyle w:val="94"/>
        <w:ind w:firstLine="440"/>
        <w:rPr>
          <w:rFonts w:hint="eastAsia"/>
          <w:color w:val="auto"/>
          <w:sz w:val="24"/>
          <w:szCs w:val="24"/>
          <w:highlight w:val="none"/>
        </w:rPr>
      </w:pPr>
      <w:r>
        <w:rPr>
          <w:rFonts w:hint="eastAsia"/>
          <w:color w:val="auto"/>
          <w:sz w:val="24"/>
          <w:szCs w:val="24"/>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1CCE43A4">
      <w:pPr>
        <w:pStyle w:val="94"/>
        <w:ind w:firstLine="440"/>
        <w:rPr>
          <w:rFonts w:hint="eastAsia"/>
          <w:color w:val="auto"/>
          <w:sz w:val="24"/>
          <w:szCs w:val="24"/>
          <w:highlight w:val="none"/>
        </w:rPr>
      </w:pPr>
      <w:r>
        <w:rPr>
          <w:rFonts w:hint="eastAsia"/>
          <w:color w:val="auto"/>
          <w:sz w:val="24"/>
          <w:szCs w:val="24"/>
          <w:highlight w:val="none"/>
        </w:rPr>
        <w:t>电子投标文件部分：投标人应根据“政采云供应商项目采购-电子招投标操作指南”及本规定的格式和顺序编制电子投标文件并进行关联定位。</w:t>
      </w:r>
    </w:p>
    <w:p w14:paraId="3005AE8A">
      <w:pPr>
        <w:pStyle w:val="94"/>
        <w:ind w:firstLine="440"/>
        <w:rPr>
          <w:rFonts w:hint="eastAsia" w:cs="Times New Roman"/>
          <w:color w:val="auto"/>
          <w:sz w:val="24"/>
          <w:szCs w:val="24"/>
          <w:highlight w:val="none"/>
        </w:rPr>
      </w:pPr>
      <w:r>
        <w:rPr>
          <w:rFonts w:hint="eastAsia"/>
          <w:color w:val="auto"/>
          <w:sz w:val="24"/>
          <w:szCs w:val="24"/>
          <w:highlight w:val="none"/>
        </w:rPr>
        <w:t>备份电子投标文件：通过“政采云”平台电子投标工具制作投标文件所产生的备份文件</w:t>
      </w:r>
    </w:p>
    <w:p w14:paraId="6505B44E">
      <w:pPr>
        <w:pStyle w:val="94"/>
        <w:ind w:firstLine="440"/>
        <w:rPr>
          <w:rFonts w:hint="eastAsia"/>
          <w:color w:val="auto"/>
          <w:sz w:val="24"/>
          <w:szCs w:val="24"/>
          <w:highlight w:val="none"/>
        </w:rPr>
      </w:pPr>
      <w:r>
        <w:rPr>
          <w:rFonts w:hint="eastAsia"/>
          <w:color w:val="auto"/>
          <w:sz w:val="24"/>
          <w:szCs w:val="24"/>
          <w:highlight w:val="none"/>
        </w:rPr>
        <w:t>（2）投标人应对所提供的全部资料的真实性、有效性承担法律责任，电子投标文件中所须加盖公章部分均采用CA签章。</w:t>
      </w:r>
    </w:p>
    <w:p w14:paraId="26E2FBD0">
      <w:pPr>
        <w:pStyle w:val="94"/>
        <w:ind w:firstLine="440"/>
        <w:rPr>
          <w:rFonts w:hint="eastAsia" w:cs="Lucida Sans"/>
          <w:color w:val="auto"/>
          <w:sz w:val="24"/>
          <w:szCs w:val="24"/>
          <w:highlight w:val="none"/>
        </w:rPr>
      </w:pPr>
      <w:r>
        <w:rPr>
          <w:rFonts w:hint="eastAsia"/>
          <w:color w:val="auto"/>
          <w:sz w:val="24"/>
          <w:szCs w:val="24"/>
          <w:highlight w:val="none"/>
        </w:rPr>
        <w:t>（3）投标文件以及投标人与采购代理机构就有关投标事宜的所有来往函电，均应以中文汉语书写。除签字、盖章、专用名称等特殊情形外，以中文汉语以外的文字表述的投标文件视同未提供。</w:t>
      </w:r>
    </w:p>
    <w:p w14:paraId="6CE32E7B">
      <w:pPr>
        <w:pStyle w:val="94"/>
        <w:ind w:firstLine="440"/>
        <w:rPr>
          <w:rFonts w:hint="eastAsia" w:cs="Times New Roman"/>
          <w:color w:val="auto"/>
          <w:sz w:val="24"/>
          <w:szCs w:val="24"/>
          <w:highlight w:val="none"/>
        </w:rPr>
      </w:pPr>
      <w:r>
        <w:rPr>
          <w:rFonts w:hint="eastAsia"/>
          <w:color w:val="auto"/>
          <w:sz w:val="24"/>
          <w:szCs w:val="24"/>
          <w:highlight w:val="none"/>
        </w:rPr>
        <w:t>（4）投标计量单位，已有明确规定的，使用规定的计量单位；没有规定的，应采用中华人民共和国法定计量单位（货币单位：人民币元）。</w:t>
      </w:r>
    </w:p>
    <w:p w14:paraId="627B0F4E">
      <w:pPr>
        <w:pStyle w:val="94"/>
        <w:ind w:firstLine="440"/>
        <w:rPr>
          <w:rFonts w:hint="eastAsia"/>
          <w:color w:val="auto"/>
          <w:sz w:val="24"/>
          <w:szCs w:val="24"/>
          <w:highlight w:val="none"/>
        </w:rPr>
      </w:pPr>
      <w:r>
        <w:rPr>
          <w:rFonts w:hint="eastAsia"/>
          <w:color w:val="auto"/>
          <w:sz w:val="24"/>
          <w:szCs w:val="24"/>
          <w:highlight w:val="none"/>
        </w:rPr>
        <w:t>（5）若投标人不按的要求提供资格审查材料，其风险由投标人自行承担。</w:t>
      </w:r>
    </w:p>
    <w:p w14:paraId="26070F76">
      <w:pPr>
        <w:pStyle w:val="94"/>
        <w:ind w:firstLine="440"/>
        <w:rPr>
          <w:rFonts w:hint="eastAsia"/>
          <w:color w:val="auto"/>
          <w:sz w:val="24"/>
          <w:szCs w:val="24"/>
          <w:highlight w:val="none"/>
        </w:rPr>
      </w:pPr>
      <w:r>
        <w:rPr>
          <w:rFonts w:hint="eastAsia"/>
          <w:color w:val="auto"/>
          <w:sz w:val="24"/>
          <w:szCs w:val="24"/>
          <w:highlight w:val="none"/>
        </w:rPr>
        <w:t>（6）与本次投标无关的内容请不要制作在内，确保投标文件有针对性、简洁明了。</w:t>
      </w:r>
    </w:p>
    <w:p w14:paraId="77E8D976">
      <w:pPr>
        <w:pStyle w:val="94"/>
        <w:ind w:firstLine="440"/>
        <w:rPr>
          <w:rFonts w:hint="eastAsia"/>
          <w:color w:val="auto"/>
          <w:sz w:val="24"/>
          <w:szCs w:val="24"/>
          <w:highlight w:val="none"/>
        </w:rPr>
      </w:pPr>
      <w:r>
        <w:rPr>
          <w:rFonts w:hint="eastAsia"/>
          <w:color w:val="auto"/>
          <w:sz w:val="24"/>
          <w:szCs w:val="24"/>
          <w:highlight w:val="none"/>
        </w:rPr>
        <w:t>14.2、投标文件的编制、递交要求</w:t>
      </w:r>
    </w:p>
    <w:p w14:paraId="3AEB7B87">
      <w:pPr>
        <w:pStyle w:val="94"/>
        <w:ind w:firstLine="440"/>
        <w:rPr>
          <w:rFonts w:hint="eastAsia"/>
          <w:color w:val="auto"/>
          <w:sz w:val="24"/>
          <w:szCs w:val="24"/>
          <w:highlight w:val="none"/>
        </w:rPr>
      </w:pPr>
      <w:r>
        <w:rPr>
          <w:rFonts w:hint="eastAsia"/>
          <w:color w:val="auto"/>
          <w:sz w:val="24"/>
          <w:szCs w:val="24"/>
          <w:highlight w:val="none"/>
        </w:rPr>
        <w:t>投标文件的递交要求</w:t>
      </w:r>
    </w:p>
    <w:p w14:paraId="76EEC707">
      <w:pPr>
        <w:pStyle w:val="94"/>
        <w:ind w:firstLine="440"/>
        <w:rPr>
          <w:rFonts w:hint="eastAsia"/>
          <w:color w:val="auto"/>
          <w:sz w:val="24"/>
          <w:szCs w:val="24"/>
          <w:highlight w:val="none"/>
        </w:rPr>
      </w:pPr>
      <w:r>
        <w:rPr>
          <w:rFonts w:hint="eastAsia"/>
          <w:color w:val="auto"/>
          <w:sz w:val="24"/>
          <w:szCs w:val="24"/>
          <w:highlight w:val="none"/>
        </w:rPr>
        <w:t>（1）投标人须按照采购文件和政采云平台的要求编制并加密投标文件。在投标文件递交截止时间以前完成投标文件的传输递交。</w:t>
      </w:r>
    </w:p>
    <w:p w14:paraId="41564158">
      <w:pPr>
        <w:pStyle w:val="94"/>
        <w:ind w:firstLine="440"/>
        <w:rPr>
          <w:rFonts w:hint="eastAsia"/>
          <w:color w:val="auto"/>
          <w:sz w:val="24"/>
          <w:szCs w:val="24"/>
          <w:highlight w:val="none"/>
        </w:rPr>
      </w:pPr>
      <w:r>
        <w:rPr>
          <w:rFonts w:hint="eastAsia"/>
          <w:color w:val="auto"/>
          <w:sz w:val="24"/>
          <w:szCs w:val="24"/>
          <w:highlight w:val="none"/>
        </w:rPr>
        <w:t>（2）备份电子投标文件必须在规定时间前发送至指定邮箱</w:t>
      </w:r>
      <w:r>
        <w:rPr>
          <w:rFonts w:hint="eastAsia" w:cs="宋体"/>
          <w:color w:val="auto"/>
          <w:sz w:val="24"/>
          <w:szCs w:val="24"/>
          <w:highlight w:val="none"/>
        </w:rPr>
        <w:t>。</w:t>
      </w:r>
      <w:r>
        <w:rPr>
          <w:rFonts w:hint="eastAsia"/>
          <w:color w:val="auto"/>
          <w:sz w:val="24"/>
          <w:szCs w:val="24"/>
          <w:highlight w:val="none"/>
        </w:rPr>
        <w:t>备份电子投标文件在截止时间后提交，采购代理机构将拒绝接收。</w:t>
      </w:r>
    </w:p>
    <w:p w14:paraId="251592BB">
      <w:pPr>
        <w:pStyle w:val="94"/>
        <w:ind w:firstLine="440"/>
        <w:rPr>
          <w:rFonts w:hint="eastAsia"/>
          <w:color w:val="auto"/>
          <w:sz w:val="24"/>
          <w:szCs w:val="24"/>
          <w:highlight w:val="none"/>
        </w:rPr>
      </w:pPr>
      <w:r>
        <w:rPr>
          <w:rFonts w:hint="eastAsia"/>
          <w:color w:val="auto"/>
          <w:sz w:val="24"/>
          <w:szCs w:val="24"/>
          <w:highlight w:val="none"/>
        </w:rPr>
        <w:t>（3）如有特殊情况，采购代理机构延长截止时间和开标时间，采购代理机构和投标人的权利和义务将受到新的截止时间和开标时间的约束。</w:t>
      </w:r>
    </w:p>
    <w:p w14:paraId="47AAC788">
      <w:pPr>
        <w:pStyle w:val="94"/>
        <w:ind w:firstLine="440"/>
        <w:rPr>
          <w:rFonts w:hint="eastAsia"/>
          <w:color w:val="auto"/>
          <w:sz w:val="24"/>
          <w:szCs w:val="24"/>
          <w:highlight w:val="none"/>
        </w:rPr>
      </w:pPr>
      <w:r>
        <w:rPr>
          <w:rFonts w:hint="eastAsia"/>
          <w:color w:val="auto"/>
          <w:sz w:val="24"/>
          <w:szCs w:val="24"/>
          <w:highlight w:val="none"/>
        </w:rPr>
        <w:t>14.3、投标文件的补充、修改和撤回</w:t>
      </w:r>
    </w:p>
    <w:p w14:paraId="7DB57DB3">
      <w:pPr>
        <w:pStyle w:val="94"/>
        <w:ind w:firstLine="440"/>
        <w:rPr>
          <w:rFonts w:hint="eastAsia"/>
          <w:color w:val="auto"/>
          <w:sz w:val="24"/>
          <w:szCs w:val="24"/>
          <w:highlight w:val="none"/>
        </w:rPr>
      </w:pPr>
      <w:r>
        <w:rPr>
          <w:rFonts w:hint="eastAsia" w:cs="宋体"/>
          <w:color w:val="auto"/>
          <w:sz w:val="24"/>
          <w:szCs w:val="24"/>
          <w:highlight w:val="none"/>
        </w:rPr>
        <w:t>（1）</w:t>
      </w:r>
      <w:r>
        <w:rPr>
          <w:rFonts w:hint="eastAsia"/>
          <w:color w:val="auto"/>
          <w:sz w:val="24"/>
          <w:szCs w:val="24"/>
          <w:highlight w:val="none"/>
        </w:rPr>
        <w:t>补充或者修改投标文件的，应当先行撤回原文件，补充、修改后重新传输递交。投标截止时间前未完成传输的，视为撤回投标文件。</w:t>
      </w:r>
    </w:p>
    <w:p w14:paraId="36A43F4D">
      <w:pPr>
        <w:pStyle w:val="94"/>
        <w:ind w:left="0" w:leftChars="0" w:firstLine="0" w:firstLineChars="0"/>
        <w:rPr>
          <w:rFonts w:hint="eastAsia"/>
          <w:color w:val="auto"/>
          <w:sz w:val="24"/>
          <w:szCs w:val="24"/>
          <w:highlight w:val="none"/>
        </w:rPr>
      </w:pPr>
      <w:r>
        <w:rPr>
          <w:rFonts w:hint="eastAsia"/>
          <w:color w:val="auto"/>
          <w:sz w:val="24"/>
          <w:szCs w:val="24"/>
          <w:highlight w:val="none"/>
        </w:rPr>
        <w:t>15、投标文件的有效期</w:t>
      </w:r>
    </w:p>
    <w:p w14:paraId="561D4FCD">
      <w:pPr>
        <w:pStyle w:val="94"/>
        <w:ind w:firstLine="440"/>
        <w:rPr>
          <w:rFonts w:hint="eastAsia"/>
          <w:color w:val="auto"/>
          <w:sz w:val="24"/>
          <w:szCs w:val="24"/>
          <w:highlight w:val="none"/>
        </w:rPr>
      </w:pPr>
      <w:r>
        <w:rPr>
          <w:rFonts w:hint="eastAsia"/>
          <w:color w:val="auto"/>
          <w:sz w:val="24"/>
          <w:szCs w:val="24"/>
          <w:highlight w:val="none"/>
        </w:rPr>
        <w:t>15.1投标文件应在《投标资料表》规定的投标有效期内保持有效。有效期短于规定期限的，将导致投标无效而被拒绝。</w:t>
      </w:r>
    </w:p>
    <w:p w14:paraId="3D8B5BB7">
      <w:pPr>
        <w:pStyle w:val="94"/>
        <w:ind w:firstLine="440"/>
        <w:rPr>
          <w:rFonts w:hint="eastAsia"/>
          <w:color w:val="auto"/>
          <w:sz w:val="24"/>
          <w:szCs w:val="24"/>
          <w:highlight w:val="none"/>
        </w:rPr>
      </w:pPr>
      <w:r>
        <w:rPr>
          <w:rFonts w:hint="eastAsia"/>
          <w:color w:val="auto"/>
          <w:sz w:val="24"/>
          <w:szCs w:val="24"/>
          <w:highlight w:val="none"/>
        </w:rPr>
        <w:t>15.2在特殊情况下，在原投标有效期截止之前，应采购人的要求，采购代理机构可要求投标人延长投标文件的有效期，这种要求的提出和投标人的答复都应以书面（含传真）的形式进行。</w:t>
      </w:r>
    </w:p>
    <w:p w14:paraId="264A5911">
      <w:pPr>
        <w:pStyle w:val="94"/>
        <w:ind w:firstLine="440"/>
        <w:rPr>
          <w:rFonts w:hint="eastAsia"/>
          <w:color w:val="auto"/>
          <w:sz w:val="24"/>
          <w:szCs w:val="24"/>
          <w:highlight w:val="none"/>
        </w:rPr>
      </w:pPr>
      <w:r>
        <w:rPr>
          <w:rFonts w:hint="eastAsia"/>
          <w:color w:val="auto"/>
          <w:sz w:val="24"/>
          <w:szCs w:val="24"/>
          <w:highlight w:val="none"/>
        </w:rPr>
        <w:t>15.3中标人的投标文件自开标之日起至合同履行完毕止均应保持有效。</w:t>
      </w:r>
    </w:p>
    <w:p w14:paraId="0D47B5FF">
      <w:pPr>
        <w:pStyle w:val="94"/>
        <w:ind w:firstLine="440"/>
        <w:jc w:val="center"/>
        <w:rPr>
          <w:rFonts w:hint="eastAsia"/>
          <w:b/>
          <w:bCs/>
          <w:color w:val="auto"/>
          <w:sz w:val="24"/>
          <w:szCs w:val="24"/>
          <w:highlight w:val="none"/>
        </w:rPr>
      </w:pPr>
      <w:r>
        <w:rPr>
          <w:rFonts w:hint="eastAsia"/>
          <w:b/>
          <w:bCs/>
          <w:color w:val="auto"/>
          <w:sz w:val="24"/>
          <w:szCs w:val="24"/>
          <w:highlight w:val="none"/>
          <w:lang w:eastAsia="zh-CN"/>
        </w:rPr>
        <w:t>五</w:t>
      </w:r>
      <w:r>
        <w:rPr>
          <w:rFonts w:hint="eastAsia"/>
          <w:b/>
          <w:bCs/>
          <w:color w:val="auto"/>
          <w:sz w:val="24"/>
          <w:szCs w:val="24"/>
          <w:highlight w:val="none"/>
        </w:rPr>
        <w:t>、开标</w:t>
      </w:r>
    </w:p>
    <w:p w14:paraId="131DC2CB">
      <w:pPr>
        <w:pStyle w:val="94"/>
        <w:ind w:left="0" w:leftChars="0" w:firstLine="0" w:firstLineChars="0"/>
        <w:rPr>
          <w:rFonts w:hint="eastAsia"/>
          <w:color w:val="auto"/>
          <w:sz w:val="24"/>
          <w:szCs w:val="24"/>
          <w:highlight w:val="none"/>
        </w:rPr>
      </w:pPr>
      <w:r>
        <w:rPr>
          <w:rFonts w:hint="eastAsia"/>
          <w:color w:val="auto"/>
          <w:sz w:val="24"/>
          <w:szCs w:val="24"/>
          <w:highlight w:val="none"/>
        </w:rPr>
        <w:t>16、开标准备</w:t>
      </w:r>
    </w:p>
    <w:p w14:paraId="77C6A056">
      <w:pPr>
        <w:pStyle w:val="94"/>
        <w:ind w:firstLine="440"/>
        <w:rPr>
          <w:rFonts w:hint="eastAsia"/>
          <w:color w:val="auto"/>
          <w:sz w:val="24"/>
          <w:szCs w:val="24"/>
          <w:highlight w:val="none"/>
        </w:rPr>
      </w:pPr>
      <w:r>
        <w:rPr>
          <w:rFonts w:hint="eastAsia"/>
          <w:color w:val="auto"/>
          <w:sz w:val="24"/>
          <w:szCs w:val="24"/>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1A020518">
      <w:pPr>
        <w:pStyle w:val="94"/>
        <w:ind w:left="0" w:leftChars="0" w:firstLine="0" w:firstLineChars="0"/>
        <w:rPr>
          <w:rFonts w:hint="eastAsia"/>
          <w:color w:val="auto"/>
          <w:sz w:val="24"/>
          <w:szCs w:val="24"/>
          <w:highlight w:val="none"/>
        </w:rPr>
      </w:pPr>
      <w:r>
        <w:rPr>
          <w:rFonts w:hint="eastAsia"/>
          <w:color w:val="auto"/>
          <w:sz w:val="24"/>
          <w:szCs w:val="24"/>
          <w:highlight w:val="none"/>
        </w:rPr>
        <w:t>17、 开标程序：</w:t>
      </w:r>
    </w:p>
    <w:p w14:paraId="5A8A3B50">
      <w:pPr>
        <w:spacing w:line="360" w:lineRule="auto"/>
        <w:ind w:firstLine="480" w:firstLineChars="200"/>
        <w:rPr>
          <w:rFonts w:hint="eastAsia" w:ascii="Times New Roman" w:hAnsi="Times New Roman" w:cs="宋体"/>
          <w:color w:val="auto"/>
          <w:sz w:val="24"/>
          <w:szCs w:val="24"/>
          <w:highlight w:val="none"/>
        </w:rPr>
      </w:pPr>
      <w:r>
        <w:rPr>
          <w:rFonts w:ascii="Times New Roman" w:hAnsi="Times New Roman" w:cs="宋体"/>
          <w:color w:val="auto"/>
          <w:sz w:val="24"/>
          <w:szCs w:val="24"/>
          <w:highlight w:val="none"/>
        </w:rPr>
        <w:t>17.1</w:t>
      </w:r>
      <w:r>
        <w:rPr>
          <w:rFonts w:hint="eastAsia" w:ascii="Times New Roman" w:hAnsi="Times New Roman" w:cs="宋体"/>
          <w:color w:val="auto"/>
          <w:sz w:val="24"/>
          <w:szCs w:val="24"/>
          <w:highlight w:val="none"/>
        </w:rPr>
        <w:t>电子招投标开标程序：</w:t>
      </w:r>
    </w:p>
    <w:p w14:paraId="041264D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第一阶段：</w:t>
      </w:r>
    </w:p>
    <w:p w14:paraId="50B3AB2D">
      <w:pPr>
        <w:spacing w:line="360" w:lineRule="auto"/>
        <w:ind w:firstLine="480" w:firstLineChars="200"/>
        <w:rPr>
          <w:rFonts w:asciiTheme="minorEastAsia" w:hAnsiTheme="minorEastAsia"/>
          <w:b/>
          <w:color w:val="auto"/>
          <w:sz w:val="24"/>
          <w:szCs w:val="24"/>
          <w:highlight w:val="none"/>
        </w:rPr>
      </w:pPr>
      <w:r>
        <w:rPr>
          <w:rFonts w:hint="eastAsia" w:ascii="Times New Roman" w:hAnsi="Times New Roman" w:eastAsia="宋体" w:cs="宋体"/>
          <w:color w:val="auto"/>
          <w:sz w:val="24"/>
          <w:szCs w:val="24"/>
          <w:highlight w:val="none"/>
        </w:rPr>
        <w:t>投标截止时间后，供应商登录政府采购云平台，用“项目采购</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开标评标”功能对电子投标文件进行在线解密，在线解密电子投标文件时间为开标时间后</w:t>
      </w:r>
      <w:r>
        <w:rPr>
          <w:rFonts w:ascii="Times New Roman" w:hAnsi="Times New Roman" w:eastAsia="宋体" w:cs="宋体"/>
          <w:color w:val="auto"/>
          <w:sz w:val="24"/>
          <w:szCs w:val="24"/>
          <w:highlight w:val="none"/>
        </w:rPr>
        <w:t>30</w:t>
      </w:r>
      <w:r>
        <w:rPr>
          <w:rFonts w:hint="eastAsia" w:ascii="Times New Roman" w:hAnsi="Times New Roman" w:eastAsia="宋体" w:cs="宋体"/>
          <w:color w:val="auto"/>
          <w:sz w:val="24"/>
          <w:szCs w:val="24"/>
          <w:highlight w:val="none"/>
        </w:rPr>
        <w:t>分钟内。</w:t>
      </w:r>
      <w:r>
        <w:rPr>
          <w:rFonts w:hint="eastAsia" w:asciiTheme="minorEastAsia" w:hAnsiTheme="minorEastAsia"/>
          <w:b/>
          <w:color w:val="auto"/>
          <w:sz w:val="24"/>
          <w:szCs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17BACF17">
      <w:pPr>
        <w:spacing w:line="360" w:lineRule="auto"/>
        <w:ind w:firstLine="480" w:firstLineChars="2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在政府采购云平台开启已解密供应商的“资格文件、商务技术文件”，并做开标记录；</w:t>
      </w:r>
    </w:p>
    <w:p w14:paraId="74A774D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第二阶段：</w:t>
      </w:r>
    </w:p>
    <w:p w14:paraId="573AC4AF">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）公布经第一阶段评审符合采购文件要求的供应商的商务技术得分情况；</w:t>
      </w:r>
    </w:p>
    <w:p w14:paraId="04984039">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）在政府采购云平台开启除第一阶段无效标外的供应商的“报价文件”，并做开标记录；</w:t>
      </w:r>
    </w:p>
    <w:p w14:paraId="5FE48B9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3</w:t>
      </w:r>
      <w:r>
        <w:rPr>
          <w:rFonts w:hint="eastAsia" w:ascii="Times New Roman" w:hAnsi="Times New Roman" w:cs="宋体"/>
          <w:color w:val="auto"/>
          <w:sz w:val="24"/>
          <w:szCs w:val="24"/>
          <w:highlight w:val="none"/>
        </w:rPr>
        <w:t>）在政府采购云平台公布评审结果。</w:t>
      </w:r>
    </w:p>
    <w:p w14:paraId="5DCC2B98">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）开标会议结束。</w:t>
      </w:r>
    </w:p>
    <w:p w14:paraId="7CB15D34">
      <w:pPr>
        <w:spacing w:line="360" w:lineRule="auto"/>
        <w:ind w:firstLine="480" w:firstLineChars="200"/>
        <w:rPr>
          <w:rFonts w:ascii="Times New Roman" w:hAnsi="Times New Roman" w:cs="宋体"/>
          <w:color w:val="auto"/>
          <w:sz w:val="24"/>
          <w:szCs w:val="24"/>
          <w:highlight w:val="none"/>
        </w:rPr>
      </w:pPr>
      <w:r>
        <w:rPr>
          <w:rFonts w:ascii="Times New Roman" w:hAnsi="Times New Roman" w:cs="宋体"/>
          <w:color w:val="auto"/>
          <w:sz w:val="24"/>
          <w:szCs w:val="24"/>
          <w:highlight w:val="none"/>
        </w:rPr>
        <w:t>17.2</w:t>
      </w:r>
      <w:r>
        <w:rPr>
          <w:rFonts w:hint="eastAsia" w:ascii="Times New Roman" w:hAnsi="Times New Roman" w:cs="宋体"/>
          <w:color w:val="auto"/>
          <w:sz w:val="24"/>
          <w:szCs w:val="24"/>
          <w:highlight w:val="none"/>
        </w:rPr>
        <w:t>特别说明：政府采购云平台如对电子化开标及评审程序有调整的，按调整后的程序操作。</w:t>
      </w:r>
    </w:p>
    <w:p w14:paraId="3B517ED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本项目原则上采用政采云电子招投标开标程序，但有以下情形之一的，按以下处理：</w:t>
      </w:r>
    </w:p>
    <w:p w14:paraId="407AD33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1</w:t>
      </w:r>
      <w:r>
        <w:rPr>
          <w:rFonts w:hint="eastAsia" w:ascii="Times New Roman" w:hAnsi="Times New Roman" w:cs="宋体"/>
          <w:color w:val="auto"/>
          <w:sz w:val="24"/>
          <w:szCs w:val="24"/>
          <w:highlight w:val="none"/>
        </w:rPr>
        <w:t>）若有供应商在规定时间内无法解密或解密失败，代理机构将开启该供应商递交的电子备份投标文件，上传至政采云平台项目采购模块，以完成开标，电子投标文件自动失效。</w:t>
      </w:r>
    </w:p>
    <w:p w14:paraId="4304F2A4">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2</w:t>
      </w:r>
      <w:r>
        <w:rPr>
          <w:rFonts w:hint="eastAsia" w:ascii="Times New Roman" w:hAnsi="Times New Roman" w:cs="宋体"/>
          <w:color w:val="auto"/>
          <w:sz w:val="24"/>
          <w:szCs w:val="24"/>
          <w:highlight w:val="none"/>
        </w:rPr>
        <w:t>）采购过程中出现以下情形，导致电子交易平台无法正常运行，或者无法保证电子交易的公平、公正和安全时，采购人（或代理机构）可中止电子交易活动：</w:t>
      </w:r>
    </w:p>
    <w:p w14:paraId="2FDD5060">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①电子交易平台发生故障而无法登录访问的；</w:t>
      </w:r>
    </w:p>
    <w:p w14:paraId="586141B3">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②电子交易平台应用或数据库出现错误，不能进行正常操作的；</w:t>
      </w:r>
    </w:p>
    <w:p w14:paraId="26224D2A">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③电子交易平台发现严重安全漏洞，有潜在泄密危险的；</w:t>
      </w:r>
    </w:p>
    <w:p w14:paraId="0CF715A2">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④病毒发作导致不能进行正常操作的；</w:t>
      </w:r>
    </w:p>
    <w:p w14:paraId="7E05A55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⑤其他无法保证电子交易的公平、公正和安全的情况。</w:t>
      </w:r>
    </w:p>
    <w:p w14:paraId="39A5E5DC">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出现前款规定情形，不影响采购公平、公正性的，采购人（或代理机构）可以待上述情形消除后继续组织电子交易活动。</w:t>
      </w:r>
    </w:p>
    <w:p w14:paraId="2C6FF32D">
      <w:pPr>
        <w:spacing w:line="36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4</w:t>
      </w:r>
      <w:r>
        <w:rPr>
          <w:rFonts w:hint="eastAsia" w:ascii="Times New Roman" w:hAnsi="Times New Roman" w:cs="宋体"/>
          <w:color w:val="auto"/>
          <w:sz w:val="24"/>
          <w:szCs w:val="24"/>
          <w:highlight w:val="none"/>
        </w:rPr>
        <w:t>）未开启的备份投标文件现场不予以退还。</w:t>
      </w:r>
    </w:p>
    <w:p w14:paraId="5DD0DF69">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六、评标和定标</w:t>
      </w:r>
    </w:p>
    <w:p w14:paraId="3117A5B9">
      <w:pPr>
        <w:pStyle w:val="94"/>
        <w:ind w:left="0" w:leftChars="0" w:firstLine="0" w:firstLineChars="0"/>
        <w:rPr>
          <w:rFonts w:hint="eastAsia"/>
          <w:color w:val="auto"/>
          <w:sz w:val="24"/>
          <w:szCs w:val="24"/>
          <w:highlight w:val="none"/>
        </w:rPr>
      </w:pPr>
      <w:bookmarkStart w:id="44" w:name="_Toc425151748"/>
      <w:bookmarkStart w:id="45" w:name="_Toc430790229"/>
      <w:bookmarkStart w:id="46" w:name="_Toc425780292"/>
      <w:bookmarkStart w:id="47" w:name="_Toc429407708"/>
      <w:r>
        <w:rPr>
          <w:rFonts w:hint="eastAsia"/>
          <w:color w:val="auto"/>
          <w:sz w:val="24"/>
          <w:szCs w:val="24"/>
          <w:highlight w:val="none"/>
        </w:rPr>
        <w:t>18、评标委员会</w:t>
      </w:r>
      <w:bookmarkEnd w:id="44"/>
      <w:bookmarkEnd w:id="45"/>
      <w:bookmarkEnd w:id="46"/>
      <w:bookmarkEnd w:id="47"/>
    </w:p>
    <w:p w14:paraId="733D773B">
      <w:pPr>
        <w:pStyle w:val="94"/>
        <w:ind w:firstLine="440"/>
        <w:rPr>
          <w:rFonts w:hint="eastAsia"/>
          <w:color w:val="auto"/>
          <w:sz w:val="24"/>
          <w:szCs w:val="24"/>
          <w:highlight w:val="none"/>
        </w:rPr>
      </w:pPr>
      <w:r>
        <w:rPr>
          <w:rFonts w:hint="eastAsia" w:asciiTheme="minorEastAsia" w:hAnsiTheme="minorEastAsia"/>
          <w:color w:val="auto"/>
          <w:sz w:val="24"/>
          <w:szCs w:val="24"/>
          <w:highlight w:val="none"/>
        </w:rPr>
        <w:t>18.1</w:t>
      </w:r>
      <w:r>
        <w:rPr>
          <w:rFonts w:hint="eastAsia"/>
          <w:color w:val="auto"/>
          <w:sz w:val="24"/>
          <w:szCs w:val="24"/>
          <w:highlight w:val="none"/>
        </w:rPr>
        <w:t>受采购人的委托，采购代理机构根据《中华人民共和国政府采购法》、《政府采购货物和服务招标投标管理办法》的规定和有关的法律法规组建评标委员会，评标委员会负责评标工作。评标委员会由采购人代表（≤</w:t>
      </w:r>
      <w:r>
        <w:rPr>
          <w:color w:val="auto"/>
          <w:sz w:val="24"/>
          <w:szCs w:val="24"/>
          <w:highlight w:val="none"/>
        </w:rPr>
        <w:t>1</w:t>
      </w:r>
      <w:r>
        <w:rPr>
          <w:rFonts w:hint="eastAsia"/>
          <w:color w:val="auto"/>
          <w:sz w:val="24"/>
          <w:szCs w:val="24"/>
          <w:highlight w:val="none"/>
        </w:rPr>
        <w:t>人）和评审专家（≥</w:t>
      </w:r>
      <w:r>
        <w:rPr>
          <w:color w:val="auto"/>
          <w:sz w:val="24"/>
          <w:szCs w:val="24"/>
          <w:highlight w:val="none"/>
        </w:rPr>
        <w:t>4</w:t>
      </w:r>
      <w:r>
        <w:rPr>
          <w:rFonts w:hint="eastAsia"/>
          <w:color w:val="auto"/>
          <w:sz w:val="24"/>
          <w:szCs w:val="24"/>
          <w:highlight w:val="none"/>
        </w:rPr>
        <w:t>人）组成。评标委员会成员名单在评标结果公告前应当保密。</w:t>
      </w:r>
    </w:p>
    <w:p w14:paraId="18140826">
      <w:pPr>
        <w:pStyle w:val="94"/>
        <w:ind w:firstLine="440"/>
        <w:rPr>
          <w:color w:val="auto"/>
          <w:sz w:val="24"/>
          <w:szCs w:val="24"/>
          <w:highlight w:val="none"/>
        </w:rPr>
      </w:pPr>
      <w:r>
        <w:rPr>
          <w:rFonts w:hint="eastAsia"/>
          <w:color w:val="auto"/>
          <w:sz w:val="24"/>
          <w:szCs w:val="24"/>
          <w:highlight w:val="none"/>
        </w:rPr>
        <w:t>18.2评标委员会将遵循公平、公正、科学、廉洁的原则和规定的程序进行评标，并且只依据投标文件本身对采购文件的响应情况进行评审，不考虑投标人在开标后提交的任何的补充声明、修正方案。</w:t>
      </w:r>
    </w:p>
    <w:p w14:paraId="53895B11">
      <w:pPr>
        <w:pStyle w:val="94"/>
        <w:ind w:firstLine="440"/>
        <w:rPr>
          <w:rFonts w:hint="eastAsia"/>
          <w:color w:val="auto"/>
          <w:sz w:val="24"/>
          <w:szCs w:val="24"/>
          <w:highlight w:val="none"/>
        </w:rPr>
      </w:pPr>
      <w:r>
        <w:rPr>
          <w:rFonts w:hint="eastAsia"/>
          <w:color w:val="auto"/>
          <w:sz w:val="24"/>
          <w:szCs w:val="24"/>
          <w:highlight w:val="none"/>
        </w:rPr>
        <w:t>18.3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57777D08">
      <w:pPr>
        <w:pStyle w:val="94"/>
        <w:ind w:firstLine="440"/>
        <w:rPr>
          <w:rFonts w:hint="eastAsia"/>
          <w:color w:val="auto"/>
          <w:sz w:val="24"/>
          <w:szCs w:val="24"/>
          <w:highlight w:val="none"/>
        </w:rPr>
      </w:pPr>
      <w:r>
        <w:rPr>
          <w:rFonts w:hint="eastAsia"/>
          <w:color w:val="auto"/>
          <w:sz w:val="24"/>
          <w:szCs w:val="24"/>
          <w:highlight w:val="none"/>
        </w:rPr>
        <w:t>18.4评标委员会将核对投标价格和服务内容，对发现的价格计算错误按下述原则处理：</w:t>
      </w:r>
    </w:p>
    <w:p w14:paraId="1E047E4A">
      <w:pPr>
        <w:pStyle w:val="94"/>
        <w:ind w:firstLine="440"/>
        <w:rPr>
          <w:rFonts w:hint="eastAsia"/>
          <w:color w:val="auto"/>
          <w:sz w:val="24"/>
          <w:szCs w:val="24"/>
          <w:highlight w:val="none"/>
        </w:rPr>
      </w:pPr>
      <w:r>
        <w:rPr>
          <w:rFonts w:hint="eastAsia"/>
          <w:color w:val="auto"/>
          <w:sz w:val="24"/>
          <w:szCs w:val="24"/>
          <w:highlight w:val="none"/>
        </w:rPr>
        <w:t>（1）投标文件中开标一览表内容与投标文件中相应内容不一致的，以开标一览表为准。</w:t>
      </w:r>
    </w:p>
    <w:p w14:paraId="2D6DA351">
      <w:pPr>
        <w:pStyle w:val="94"/>
        <w:ind w:firstLine="440"/>
        <w:rPr>
          <w:rFonts w:hint="eastAsia"/>
          <w:color w:val="auto"/>
          <w:sz w:val="24"/>
          <w:szCs w:val="24"/>
          <w:highlight w:val="none"/>
        </w:rPr>
      </w:pPr>
      <w:r>
        <w:rPr>
          <w:rFonts w:hint="eastAsia"/>
          <w:color w:val="auto"/>
          <w:sz w:val="24"/>
          <w:szCs w:val="24"/>
          <w:highlight w:val="none"/>
        </w:rPr>
        <w:t>（2）投标文件的大写金额和小写金额不一致的，以大写金额为准。</w:t>
      </w:r>
    </w:p>
    <w:p w14:paraId="621F2A5F">
      <w:pPr>
        <w:pStyle w:val="94"/>
        <w:ind w:firstLine="440"/>
        <w:rPr>
          <w:rFonts w:hint="eastAsia"/>
          <w:color w:val="auto"/>
          <w:sz w:val="24"/>
          <w:szCs w:val="24"/>
          <w:highlight w:val="none"/>
        </w:rPr>
      </w:pPr>
      <w:r>
        <w:rPr>
          <w:rFonts w:hint="eastAsia"/>
          <w:color w:val="auto"/>
          <w:sz w:val="24"/>
          <w:szCs w:val="24"/>
          <w:highlight w:val="none"/>
        </w:rPr>
        <w:t>（3）单价金额小数点或者百分比有明显错位的，以开标一览表的总价为准，并修改单价；</w:t>
      </w:r>
    </w:p>
    <w:p w14:paraId="60A97772">
      <w:pPr>
        <w:pStyle w:val="94"/>
        <w:ind w:firstLine="440"/>
        <w:rPr>
          <w:rFonts w:hint="eastAsia"/>
          <w:color w:val="auto"/>
          <w:sz w:val="24"/>
          <w:szCs w:val="24"/>
          <w:highlight w:val="none"/>
        </w:rPr>
      </w:pPr>
      <w:r>
        <w:rPr>
          <w:rFonts w:hint="eastAsia"/>
          <w:color w:val="auto"/>
          <w:sz w:val="24"/>
          <w:szCs w:val="24"/>
          <w:highlight w:val="none"/>
        </w:rPr>
        <w:t>（4）总价金额与按单价汇总金额不一致，以单价金额计算结果为准。</w:t>
      </w:r>
    </w:p>
    <w:p w14:paraId="605830B2">
      <w:pPr>
        <w:pStyle w:val="94"/>
        <w:ind w:firstLine="440"/>
        <w:rPr>
          <w:rFonts w:hint="eastAsia"/>
          <w:color w:val="auto"/>
          <w:sz w:val="24"/>
          <w:szCs w:val="24"/>
          <w:highlight w:val="none"/>
        </w:rPr>
      </w:pPr>
      <w:r>
        <w:rPr>
          <w:rFonts w:hint="eastAsia"/>
          <w:color w:val="auto"/>
          <w:sz w:val="24"/>
          <w:szCs w:val="24"/>
          <w:highlight w:val="none"/>
        </w:rPr>
        <w:t>（5）客户端填写的报价与以pdf格式上传文件中的报价不一致的，应以pdf格式上传文件中的报价为准。</w:t>
      </w:r>
    </w:p>
    <w:p w14:paraId="3251062A">
      <w:pPr>
        <w:spacing w:line="360" w:lineRule="auto"/>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同时出现两种以上不一致的，按照前款规定的顺序修正。修正后的报价经投标人确认后产生约束力，投标人不确认的，其投标无效。</w:t>
      </w:r>
    </w:p>
    <w:p w14:paraId="69664981">
      <w:pPr>
        <w:pStyle w:val="94"/>
        <w:ind w:firstLine="440"/>
        <w:rPr>
          <w:rFonts w:hint="eastAsia"/>
          <w:color w:val="auto"/>
          <w:sz w:val="24"/>
          <w:szCs w:val="24"/>
          <w:highlight w:val="none"/>
        </w:rPr>
      </w:pPr>
      <w:r>
        <w:rPr>
          <w:rFonts w:hint="eastAsia"/>
          <w:color w:val="auto"/>
          <w:sz w:val="24"/>
          <w:szCs w:val="24"/>
          <w:highlight w:val="none"/>
        </w:rPr>
        <w:t>18.5评标委员会根据采购文件的《评标办法》及在《投标资料表》和《采购内容及要求》中所列的具体标准，对投标文件进行评审和比较。</w:t>
      </w:r>
    </w:p>
    <w:p w14:paraId="141EC850">
      <w:pPr>
        <w:pStyle w:val="94"/>
        <w:ind w:left="0" w:leftChars="0" w:firstLine="0" w:firstLineChars="0"/>
        <w:rPr>
          <w:rFonts w:hint="eastAsia"/>
          <w:color w:val="auto"/>
          <w:sz w:val="24"/>
          <w:szCs w:val="24"/>
          <w:highlight w:val="none"/>
        </w:rPr>
      </w:pPr>
      <w:bookmarkStart w:id="48" w:name="_Toc429407709"/>
      <w:bookmarkStart w:id="49" w:name="_Toc430790230"/>
      <w:bookmarkStart w:id="50" w:name="_Toc425151749"/>
      <w:bookmarkStart w:id="51" w:name="_Toc425780293"/>
      <w:r>
        <w:rPr>
          <w:rFonts w:hint="eastAsia"/>
          <w:color w:val="auto"/>
          <w:sz w:val="24"/>
          <w:szCs w:val="24"/>
          <w:highlight w:val="none"/>
        </w:rPr>
        <w:t>19、</w:t>
      </w:r>
      <w:bookmarkEnd w:id="48"/>
      <w:bookmarkEnd w:id="49"/>
      <w:bookmarkEnd w:id="50"/>
      <w:bookmarkEnd w:id="51"/>
      <w:bookmarkStart w:id="52" w:name="_Toc425780294"/>
      <w:bookmarkStart w:id="53" w:name="_Toc425151750"/>
      <w:bookmarkStart w:id="54" w:name="_Toc430790231"/>
      <w:bookmarkStart w:id="55" w:name="_Toc429407710"/>
      <w:r>
        <w:rPr>
          <w:rFonts w:hint="eastAsia"/>
          <w:color w:val="auto"/>
          <w:sz w:val="24"/>
          <w:szCs w:val="24"/>
          <w:highlight w:val="none"/>
        </w:rPr>
        <w:t>澄清问题的形式</w:t>
      </w:r>
    </w:p>
    <w:p w14:paraId="7BF74E7F">
      <w:pPr>
        <w:pStyle w:val="94"/>
        <w:ind w:firstLine="440"/>
        <w:rPr>
          <w:rFonts w:hint="eastAsia"/>
          <w:color w:val="auto"/>
          <w:sz w:val="24"/>
          <w:szCs w:val="24"/>
          <w:highlight w:val="none"/>
        </w:rPr>
      </w:pPr>
      <w:r>
        <w:rPr>
          <w:rFonts w:hint="eastAsia"/>
          <w:color w:val="auto"/>
          <w:sz w:val="24"/>
          <w:szCs w:val="24"/>
          <w:highlight w:val="none"/>
        </w:rPr>
        <w:t>19.1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598B4922">
      <w:pPr>
        <w:pStyle w:val="94"/>
        <w:ind w:firstLine="440"/>
        <w:rPr>
          <w:rFonts w:hint="eastAsia"/>
          <w:color w:val="auto"/>
          <w:sz w:val="24"/>
          <w:szCs w:val="24"/>
          <w:highlight w:val="none"/>
        </w:rPr>
      </w:pPr>
      <w:r>
        <w:rPr>
          <w:rFonts w:hint="eastAsia"/>
          <w:color w:val="auto"/>
          <w:sz w:val="24"/>
          <w:szCs w:val="24"/>
          <w:highlight w:val="none"/>
        </w:rPr>
        <w:t>19.2政采云具体操作如下：</w:t>
      </w:r>
    </w:p>
    <w:p w14:paraId="4F8185E0">
      <w:pPr>
        <w:pStyle w:val="94"/>
        <w:ind w:firstLine="440"/>
        <w:rPr>
          <w:rFonts w:hint="eastAsia"/>
          <w:color w:val="auto"/>
          <w:sz w:val="24"/>
          <w:szCs w:val="24"/>
          <w:highlight w:val="none"/>
        </w:rPr>
      </w:pPr>
      <w:r>
        <w:rPr>
          <w:rFonts w:hint="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36F9CB20">
      <w:pPr>
        <w:pStyle w:val="94"/>
        <w:ind w:firstLine="440"/>
        <w:rPr>
          <w:rFonts w:hint="eastAsia"/>
          <w:color w:val="auto"/>
          <w:sz w:val="24"/>
          <w:szCs w:val="24"/>
          <w:highlight w:val="none"/>
        </w:rPr>
      </w:pPr>
      <w:r>
        <w:rPr>
          <w:rFonts w:hint="eastAsia"/>
          <w:color w:val="auto"/>
          <w:sz w:val="24"/>
          <w:szCs w:val="24"/>
          <w:highlight w:val="none"/>
        </w:rPr>
        <w:t>路径：用户中心—项目采购—询标澄清</w:t>
      </w:r>
    </w:p>
    <w:p w14:paraId="27F261EB">
      <w:pPr>
        <w:pStyle w:val="94"/>
        <w:ind w:firstLine="440"/>
        <w:rPr>
          <w:rFonts w:hint="eastAsia"/>
          <w:color w:val="auto"/>
          <w:sz w:val="24"/>
          <w:szCs w:val="24"/>
          <w:highlight w:val="none"/>
        </w:rPr>
      </w:pPr>
      <w:r>
        <w:rPr>
          <w:rFonts w:hint="eastAsia"/>
          <w:color w:val="auto"/>
          <w:sz w:val="24"/>
          <w:szCs w:val="24"/>
          <w:highlight w:val="none"/>
        </w:rPr>
        <w:t>（1）政采云平台通过待办事项和短信提醒供应商在截止时间前完成澄清。</w:t>
      </w:r>
    </w:p>
    <w:p w14:paraId="18A33F4D">
      <w:pPr>
        <w:pStyle w:val="94"/>
        <w:ind w:firstLine="440"/>
        <w:rPr>
          <w:rFonts w:hint="eastAsia"/>
          <w:color w:val="auto"/>
          <w:sz w:val="24"/>
          <w:szCs w:val="24"/>
          <w:highlight w:val="none"/>
        </w:rPr>
      </w:pPr>
      <w:r>
        <w:rPr>
          <w:rFonts w:hint="eastAsia"/>
          <w:color w:val="auto"/>
          <w:sz w:val="24"/>
          <w:szCs w:val="24"/>
          <w:highlight w:val="none"/>
        </w:rPr>
        <w:t>（2）投标供应商在“询标澄清-待办理”标签页下选择状态为“待澄清”的项目，点击操作栏【澄清】。</w:t>
      </w:r>
    </w:p>
    <w:p w14:paraId="49C03906">
      <w:pPr>
        <w:pStyle w:val="94"/>
        <w:ind w:firstLine="440"/>
        <w:rPr>
          <w:rFonts w:hint="eastAsia"/>
          <w:color w:val="auto"/>
          <w:sz w:val="24"/>
          <w:szCs w:val="24"/>
          <w:highlight w:val="none"/>
        </w:rPr>
      </w:pPr>
      <w:r>
        <w:rPr>
          <w:rFonts w:hint="eastAsia"/>
          <w:color w:val="auto"/>
          <w:sz w:val="24"/>
          <w:szCs w:val="24"/>
          <w:highlight w:val="none"/>
        </w:rPr>
        <w:t>（3）查看函内容，在澄清截止时间前上传澄清文件并对澄清文件进行签章。（注：澄清文件必须以PDF格式上传，文件大小：50M）</w:t>
      </w:r>
    </w:p>
    <w:p w14:paraId="6E588307">
      <w:pPr>
        <w:pStyle w:val="94"/>
        <w:ind w:firstLine="440"/>
        <w:rPr>
          <w:rFonts w:hint="eastAsia"/>
          <w:color w:val="auto"/>
          <w:sz w:val="24"/>
          <w:szCs w:val="24"/>
          <w:highlight w:val="none"/>
        </w:rPr>
      </w:pPr>
      <w:r>
        <w:rPr>
          <w:rFonts w:hint="eastAsia"/>
          <w:color w:val="auto"/>
          <w:sz w:val="24"/>
          <w:szCs w:val="24"/>
          <w:highlight w:val="none"/>
        </w:rPr>
        <w:t>（4）签章完成，文件名称处显示“已签章”，供应商可“撤回签章”修改澄清函和“查看文件”。</w:t>
      </w:r>
    </w:p>
    <w:p w14:paraId="54A79A4E">
      <w:pPr>
        <w:pStyle w:val="94"/>
        <w:ind w:firstLine="440"/>
        <w:rPr>
          <w:rFonts w:hint="eastAsia"/>
          <w:color w:val="auto"/>
          <w:sz w:val="24"/>
          <w:szCs w:val="24"/>
          <w:highlight w:val="none"/>
        </w:rPr>
      </w:pPr>
      <w:r>
        <w:rPr>
          <w:rFonts w:hint="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3CD7786E">
      <w:pPr>
        <w:pStyle w:val="94"/>
        <w:ind w:firstLine="440"/>
        <w:rPr>
          <w:rFonts w:hint="eastAsia"/>
          <w:color w:val="auto"/>
          <w:sz w:val="24"/>
          <w:szCs w:val="24"/>
          <w:highlight w:val="none"/>
        </w:rPr>
      </w:pPr>
      <w:r>
        <w:rPr>
          <w:rFonts w:hint="eastAsia"/>
          <w:color w:val="auto"/>
          <w:sz w:val="24"/>
          <w:szCs w:val="24"/>
          <w:highlight w:val="none"/>
        </w:rPr>
        <w:t>（6）完成状态：供应商澄清文件提交成功后，在“询标澄清-全部”标签页下显示状态为“已澄清”。</w:t>
      </w:r>
    </w:p>
    <w:p w14:paraId="3133E27D">
      <w:pPr>
        <w:pStyle w:val="94"/>
        <w:ind w:firstLine="440"/>
        <w:rPr>
          <w:rFonts w:hint="eastAsia"/>
          <w:color w:val="auto"/>
          <w:sz w:val="24"/>
          <w:szCs w:val="24"/>
          <w:highlight w:val="none"/>
        </w:rPr>
      </w:pPr>
      <w:r>
        <w:rPr>
          <w:rFonts w:hint="eastAsia"/>
          <w:color w:val="auto"/>
          <w:sz w:val="24"/>
          <w:szCs w:val="24"/>
          <w:highlight w:val="none"/>
        </w:rPr>
        <w:t>19.3投标供应商未在截止时间前完成澄清，将被视作自动放弃。</w:t>
      </w:r>
    </w:p>
    <w:p w14:paraId="2E8496AD">
      <w:pPr>
        <w:pStyle w:val="94"/>
        <w:ind w:left="0" w:leftChars="0" w:firstLine="0" w:firstLineChars="0"/>
        <w:rPr>
          <w:rFonts w:hint="eastAsia"/>
          <w:color w:val="auto"/>
          <w:sz w:val="24"/>
          <w:szCs w:val="24"/>
          <w:highlight w:val="none"/>
        </w:rPr>
      </w:pPr>
      <w:r>
        <w:rPr>
          <w:rFonts w:hint="eastAsia"/>
          <w:color w:val="auto"/>
          <w:sz w:val="24"/>
          <w:szCs w:val="24"/>
          <w:highlight w:val="none"/>
        </w:rPr>
        <w:t>20、评标办法</w:t>
      </w:r>
      <w:bookmarkEnd w:id="52"/>
      <w:bookmarkEnd w:id="53"/>
      <w:bookmarkEnd w:id="54"/>
      <w:bookmarkEnd w:id="55"/>
    </w:p>
    <w:p w14:paraId="2F952658">
      <w:pPr>
        <w:pStyle w:val="94"/>
        <w:ind w:firstLine="440"/>
        <w:rPr>
          <w:rFonts w:hint="eastAsia"/>
          <w:color w:val="auto"/>
          <w:sz w:val="24"/>
          <w:szCs w:val="24"/>
          <w:highlight w:val="none"/>
        </w:rPr>
      </w:pPr>
      <w:r>
        <w:rPr>
          <w:rFonts w:hint="eastAsia"/>
          <w:color w:val="auto"/>
          <w:sz w:val="24"/>
          <w:szCs w:val="24"/>
          <w:highlight w:val="none"/>
        </w:rPr>
        <w:t>20.1本项目采用综合评分法。本次招标采购采用的评标方法具体说明载明在采购文件“评标办法”部分中。</w:t>
      </w:r>
    </w:p>
    <w:p w14:paraId="07ECB9FD">
      <w:pPr>
        <w:pStyle w:val="94"/>
        <w:ind w:firstLine="440"/>
        <w:rPr>
          <w:rFonts w:hint="eastAsia"/>
          <w:color w:val="auto"/>
          <w:sz w:val="24"/>
          <w:szCs w:val="24"/>
          <w:highlight w:val="none"/>
        </w:rPr>
      </w:pPr>
      <w:r>
        <w:rPr>
          <w:rFonts w:hint="eastAsia"/>
          <w:color w:val="auto"/>
          <w:sz w:val="24"/>
          <w:szCs w:val="24"/>
          <w:highlight w:val="none"/>
        </w:rPr>
        <w:t>20.2综合评分法：</w:t>
      </w:r>
    </w:p>
    <w:p w14:paraId="1FA7E558">
      <w:pPr>
        <w:pStyle w:val="94"/>
        <w:ind w:firstLine="440"/>
        <w:rPr>
          <w:rFonts w:hint="eastAsia"/>
          <w:color w:val="auto"/>
          <w:sz w:val="24"/>
          <w:szCs w:val="24"/>
          <w:highlight w:val="none"/>
        </w:rPr>
      </w:pPr>
      <w:r>
        <w:rPr>
          <w:rFonts w:hint="eastAsia"/>
          <w:color w:val="auto"/>
          <w:sz w:val="24"/>
          <w:szCs w:val="24"/>
          <w:highlight w:val="none"/>
        </w:rPr>
        <w:t>投标文件满足采购文件全部实质性要求，且按照评审因素的量化指标评审得分最高的投标人为中标候选人的评标方法。</w:t>
      </w:r>
    </w:p>
    <w:p w14:paraId="071630EC">
      <w:pPr>
        <w:pStyle w:val="94"/>
        <w:ind w:left="0" w:leftChars="0" w:firstLine="0" w:firstLineChars="0"/>
        <w:rPr>
          <w:rFonts w:hint="eastAsia"/>
          <w:color w:val="auto"/>
          <w:sz w:val="24"/>
          <w:szCs w:val="24"/>
          <w:highlight w:val="none"/>
        </w:rPr>
      </w:pPr>
      <w:bookmarkStart w:id="56" w:name="_Toc422996749"/>
      <w:bookmarkEnd w:id="56"/>
      <w:bookmarkStart w:id="57" w:name="_Toc422996750"/>
      <w:bookmarkEnd w:id="57"/>
      <w:bookmarkStart w:id="58" w:name="_Toc422996818"/>
      <w:bookmarkEnd w:id="58"/>
      <w:bookmarkStart w:id="59" w:name="_Toc422996819"/>
      <w:bookmarkEnd w:id="59"/>
      <w:bookmarkStart w:id="60" w:name="_Toc430790232"/>
      <w:bookmarkStart w:id="61" w:name="_Toc425780295"/>
      <w:bookmarkStart w:id="62" w:name="_Toc425151751"/>
      <w:bookmarkStart w:id="63" w:name="_Toc429407711"/>
      <w:r>
        <w:rPr>
          <w:rFonts w:hint="eastAsia"/>
          <w:color w:val="auto"/>
          <w:sz w:val="24"/>
          <w:szCs w:val="24"/>
          <w:highlight w:val="none"/>
        </w:rPr>
        <w:t>21、评标程序和原则</w:t>
      </w:r>
      <w:bookmarkEnd w:id="60"/>
      <w:bookmarkEnd w:id="61"/>
      <w:bookmarkEnd w:id="62"/>
      <w:bookmarkEnd w:id="63"/>
    </w:p>
    <w:p w14:paraId="795F79F0">
      <w:pPr>
        <w:pStyle w:val="94"/>
        <w:ind w:firstLine="440"/>
        <w:rPr>
          <w:rFonts w:hint="eastAsia"/>
          <w:b/>
          <w:color w:val="auto"/>
          <w:sz w:val="24"/>
          <w:szCs w:val="24"/>
          <w:highlight w:val="none"/>
        </w:rPr>
      </w:pPr>
      <w:r>
        <w:rPr>
          <w:rFonts w:hint="eastAsia"/>
          <w:color w:val="auto"/>
          <w:sz w:val="24"/>
          <w:szCs w:val="24"/>
          <w:highlight w:val="none"/>
        </w:rPr>
        <w:t>21.1评标程序：遵循初步审查、澄清有关问题、比较与评价、推荐中标候选人的程序依次进行。</w:t>
      </w:r>
    </w:p>
    <w:p w14:paraId="5ED5F2D5">
      <w:pPr>
        <w:pStyle w:val="94"/>
        <w:ind w:firstLine="440"/>
        <w:rPr>
          <w:rFonts w:hint="eastAsia"/>
          <w:color w:val="auto"/>
          <w:sz w:val="24"/>
          <w:szCs w:val="24"/>
          <w:highlight w:val="none"/>
        </w:rPr>
      </w:pPr>
      <w:r>
        <w:rPr>
          <w:rFonts w:hint="eastAsia"/>
          <w:color w:val="auto"/>
          <w:sz w:val="24"/>
          <w:szCs w:val="24"/>
          <w:highlight w:val="none"/>
        </w:rPr>
        <w:t>21.2初步审查：包含资格性审查和符合性审查。初步审查不合格者不进入澄清有关问题及后续的评标程序。</w:t>
      </w:r>
    </w:p>
    <w:p w14:paraId="50D1BEF4">
      <w:pPr>
        <w:pStyle w:val="94"/>
        <w:ind w:firstLine="440"/>
        <w:rPr>
          <w:rFonts w:hint="eastAsia"/>
          <w:color w:val="auto"/>
          <w:sz w:val="24"/>
          <w:szCs w:val="24"/>
          <w:highlight w:val="none"/>
        </w:rPr>
      </w:pPr>
      <w:r>
        <w:rPr>
          <w:rFonts w:hint="eastAsia"/>
          <w:color w:val="auto"/>
          <w:sz w:val="24"/>
          <w:szCs w:val="24"/>
          <w:highlight w:val="none"/>
        </w:rPr>
        <w:t>（1）资格性审查：</w:t>
      </w:r>
    </w:p>
    <w:p w14:paraId="19976DDC">
      <w:pPr>
        <w:pStyle w:val="94"/>
        <w:ind w:firstLine="440"/>
        <w:rPr>
          <w:rFonts w:hint="eastAsia"/>
          <w:color w:val="auto"/>
          <w:sz w:val="24"/>
          <w:szCs w:val="24"/>
          <w:highlight w:val="none"/>
        </w:rPr>
      </w:pPr>
      <w:r>
        <w:rPr>
          <w:rFonts w:hint="eastAsia"/>
          <w:color w:val="auto"/>
          <w:sz w:val="24"/>
          <w:szCs w:val="24"/>
          <w:highlight w:val="none"/>
        </w:rPr>
        <w:t>依据法律法规和采购文件的规定，采购人或采购代理机构对其资格证明文件齐全性和有效性等方面进行审查，以确定投标人是否具备投标资格。</w:t>
      </w:r>
    </w:p>
    <w:p w14:paraId="615E54E1">
      <w:pPr>
        <w:pStyle w:val="94"/>
        <w:ind w:firstLine="440"/>
        <w:rPr>
          <w:rFonts w:hint="eastAsia"/>
          <w:color w:val="auto"/>
          <w:sz w:val="24"/>
          <w:szCs w:val="24"/>
          <w:highlight w:val="none"/>
        </w:rPr>
      </w:pPr>
      <w:r>
        <w:rPr>
          <w:rFonts w:hint="eastAsia"/>
          <w:color w:val="auto"/>
          <w:sz w:val="24"/>
          <w:szCs w:val="24"/>
          <w:highlight w:val="none"/>
        </w:rPr>
        <w:t>（2）符合性检查：</w:t>
      </w:r>
    </w:p>
    <w:p w14:paraId="7AEB3246">
      <w:pPr>
        <w:pStyle w:val="94"/>
        <w:ind w:firstLine="440"/>
        <w:rPr>
          <w:rFonts w:hint="eastAsia"/>
          <w:color w:val="auto"/>
          <w:sz w:val="24"/>
          <w:szCs w:val="24"/>
          <w:highlight w:val="none"/>
        </w:rPr>
      </w:pPr>
      <w:r>
        <w:rPr>
          <w:rFonts w:hint="eastAsia"/>
          <w:color w:val="auto"/>
          <w:sz w:val="24"/>
          <w:szCs w:val="24"/>
          <w:highlight w:val="none"/>
        </w:rPr>
        <w:t>依据采购文件的规定，评标委员会从投标文件的有效性、完整性和对采购文件的响应程度进行审查，以确定是否对采购文件的要求作出实质性响应。</w:t>
      </w:r>
    </w:p>
    <w:p w14:paraId="2BF48EE8">
      <w:pPr>
        <w:pStyle w:val="94"/>
        <w:ind w:firstLine="440"/>
        <w:rPr>
          <w:rFonts w:hint="eastAsia"/>
          <w:color w:val="auto"/>
          <w:sz w:val="24"/>
          <w:szCs w:val="24"/>
          <w:highlight w:val="none"/>
        </w:rPr>
      </w:pPr>
      <w:r>
        <w:rPr>
          <w:rFonts w:hint="eastAsia"/>
          <w:color w:val="auto"/>
          <w:sz w:val="24"/>
          <w:szCs w:val="24"/>
          <w:highlight w:val="none"/>
        </w:rPr>
        <w:t>21.3澄清有关问题：按第16条规定进行。</w:t>
      </w:r>
    </w:p>
    <w:p w14:paraId="601B2E46">
      <w:pPr>
        <w:pStyle w:val="94"/>
        <w:ind w:firstLine="440"/>
        <w:rPr>
          <w:rFonts w:hint="eastAsia"/>
          <w:color w:val="auto"/>
          <w:sz w:val="24"/>
          <w:szCs w:val="24"/>
          <w:highlight w:val="none"/>
        </w:rPr>
      </w:pPr>
      <w:r>
        <w:rPr>
          <w:rFonts w:hint="eastAsia"/>
          <w:color w:val="auto"/>
          <w:sz w:val="24"/>
          <w:szCs w:val="24"/>
          <w:highlight w:val="none"/>
        </w:rPr>
        <w:t>21.4比较与评价：</w:t>
      </w:r>
    </w:p>
    <w:p w14:paraId="0DCB2506">
      <w:pPr>
        <w:pStyle w:val="94"/>
        <w:ind w:firstLine="440"/>
        <w:rPr>
          <w:rFonts w:hint="eastAsia"/>
          <w:color w:val="auto"/>
          <w:sz w:val="24"/>
          <w:szCs w:val="24"/>
          <w:highlight w:val="none"/>
        </w:rPr>
      </w:pPr>
      <w:r>
        <w:rPr>
          <w:rFonts w:hint="eastAsia"/>
          <w:color w:val="auto"/>
          <w:sz w:val="24"/>
          <w:szCs w:val="24"/>
          <w:highlight w:val="none"/>
        </w:rPr>
        <w:t>（1）技术商务评价：按照采购文件的要求和《评标标准》对照投标文件的响应进行技术商务评价，评定其偏差程度，并计算其相应的技术商务评分分值。</w:t>
      </w:r>
    </w:p>
    <w:p w14:paraId="455818BE">
      <w:pPr>
        <w:pStyle w:val="94"/>
        <w:ind w:firstLine="440"/>
        <w:rPr>
          <w:rFonts w:hint="eastAsia"/>
          <w:color w:val="auto"/>
          <w:sz w:val="24"/>
          <w:szCs w:val="24"/>
          <w:highlight w:val="none"/>
        </w:rPr>
      </w:pPr>
      <w:r>
        <w:rPr>
          <w:rFonts w:hint="eastAsia"/>
          <w:color w:val="auto"/>
          <w:sz w:val="24"/>
          <w:szCs w:val="24"/>
          <w:highlight w:val="none"/>
        </w:rPr>
        <w:t>（2）综合评价：对经过技术商务评价的投标，按《评标标准》规定的评价办法进行综合评价，并按以下原则进行评审计算：</w:t>
      </w:r>
    </w:p>
    <w:p w14:paraId="5FBA0863">
      <w:pPr>
        <w:pStyle w:val="94"/>
        <w:ind w:firstLine="440"/>
        <w:rPr>
          <w:rFonts w:hint="eastAsia"/>
          <w:color w:val="auto"/>
          <w:sz w:val="24"/>
          <w:szCs w:val="24"/>
          <w:highlight w:val="none"/>
        </w:rPr>
      </w:pPr>
      <w:r>
        <w:rPr>
          <w:rFonts w:hint="eastAsia"/>
          <w:color w:val="auto"/>
          <w:sz w:val="24"/>
          <w:szCs w:val="24"/>
          <w:highlight w:val="none"/>
        </w:rPr>
        <w:t>综合评分法的最终得分计算：综合得分=报价得分+技术商务评审得分</w:t>
      </w:r>
    </w:p>
    <w:p w14:paraId="7EE0B639">
      <w:pPr>
        <w:pStyle w:val="94"/>
        <w:ind w:firstLine="440"/>
        <w:rPr>
          <w:rFonts w:hint="eastAsia"/>
          <w:color w:val="auto"/>
          <w:sz w:val="24"/>
          <w:szCs w:val="24"/>
          <w:highlight w:val="none"/>
        </w:rPr>
      </w:pPr>
      <w:r>
        <w:rPr>
          <w:rFonts w:hint="eastAsia"/>
          <w:color w:val="auto"/>
          <w:sz w:val="24"/>
          <w:szCs w:val="24"/>
          <w:highlight w:val="none"/>
        </w:rPr>
        <w:t>综合评价结束，按照上述第17条规定，列出进入最终评审各投标人排序次序。</w:t>
      </w:r>
    </w:p>
    <w:p w14:paraId="0DBB9701">
      <w:pPr>
        <w:pStyle w:val="94"/>
        <w:ind w:firstLine="440"/>
        <w:rPr>
          <w:rFonts w:hint="eastAsia"/>
          <w:color w:val="auto"/>
          <w:sz w:val="24"/>
          <w:szCs w:val="24"/>
          <w:highlight w:val="none"/>
        </w:rPr>
      </w:pPr>
      <w:r>
        <w:rPr>
          <w:rFonts w:hint="eastAsia"/>
          <w:color w:val="auto"/>
          <w:sz w:val="24"/>
          <w:szCs w:val="24"/>
          <w:highlight w:val="none"/>
        </w:rPr>
        <w:t>21.5推荐中标候选人：按22条规定推荐中标候选人。</w:t>
      </w:r>
    </w:p>
    <w:p w14:paraId="709CC339">
      <w:pPr>
        <w:pStyle w:val="94"/>
        <w:ind w:left="0" w:leftChars="0" w:firstLine="0" w:firstLineChars="0"/>
        <w:rPr>
          <w:rFonts w:hint="eastAsia"/>
          <w:color w:val="auto"/>
          <w:sz w:val="24"/>
          <w:szCs w:val="24"/>
          <w:highlight w:val="none"/>
        </w:rPr>
      </w:pPr>
      <w:bookmarkStart w:id="64" w:name="_Toc425780296"/>
      <w:bookmarkStart w:id="65" w:name="_Toc425151752"/>
      <w:bookmarkStart w:id="66" w:name="_Toc429407712"/>
      <w:bookmarkStart w:id="67" w:name="_Toc430790233"/>
      <w:r>
        <w:rPr>
          <w:rFonts w:hint="eastAsia"/>
          <w:color w:val="auto"/>
          <w:sz w:val="24"/>
          <w:szCs w:val="24"/>
          <w:highlight w:val="none"/>
        </w:rPr>
        <w:t>22、推荐中标候选人</w:t>
      </w:r>
      <w:bookmarkEnd w:id="64"/>
      <w:bookmarkEnd w:id="65"/>
      <w:bookmarkEnd w:id="66"/>
      <w:bookmarkEnd w:id="67"/>
    </w:p>
    <w:p w14:paraId="48FA54F2">
      <w:pPr>
        <w:pStyle w:val="94"/>
        <w:ind w:firstLine="440"/>
        <w:rPr>
          <w:rFonts w:hint="eastAsia"/>
          <w:color w:val="auto"/>
          <w:sz w:val="24"/>
          <w:szCs w:val="24"/>
          <w:highlight w:val="none"/>
        </w:rPr>
      </w:pPr>
      <w:bookmarkStart w:id="68" w:name="_Toc425151753"/>
      <w:bookmarkStart w:id="69" w:name="_Toc430790234"/>
      <w:bookmarkStart w:id="70" w:name="_Toc429407713"/>
      <w:bookmarkStart w:id="71" w:name="_Toc425780297"/>
      <w:r>
        <w:rPr>
          <w:rFonts w:hint="eastAsia"/>
          <w:color w:val="auto"/>
          <w:sz w:val="24"/>
          <w:szCs w:val="24"/>
          <w:highlight w:val="none"/>
        </w:rPr>
        <w:t>评标委员会根据各投标人的综合得分由高到低排定顺序，推荐本项目的中标候选人，</w:t>
      </w:r>
      <w:r>
        <w:rPr>
          <w:rFonts w:hint="eastAsia"/>
          <w:b/>
          <w:bCs/>
          <w:color w:val="auto"/>
          <w:sz w:val="24"/>
          <w:szCs w:val="24"/>
          <w:highlight w:val="none"/>
        </w:rPr>
        <w:t>推荐两名中标候选人。</w:t>
      </w:r>
    </w:p>
    <w:p w14:paraId="4699AFD7">
      <w:pPr>
        <w:pStyle w:val="94"/>
        <w:ind w:left="0" w:leftChars="0" w:firstLine="0" w:firstLineChars="0"/>
        <w:rPr>
          <w:rFonts w:hint="eastAsia"/>
          <w:color w:val="auto"/>
          <w:sz w:val="24"/>
          <w:szCs w:val="24"/>
          <w:highlight w:val="none"/>
        </w:rPr>
      </w:pPr>
      <w:r>
        <w:rPr>
          <w:rFonts w:hint="eastAsia"/>
          <w:color w:val="auto"/>
          <w:sz w:val="24"/>
          <w:szCs w:val="24"/>
          <w:highlight w:val="none"/>
        </w:rPr>
        <w:t>23、</w:t>
      </w:r>
      <w:bookmarkEnd w:id="68"/>
      <w:bookmarkEnd w:id="69"/>
      <w:bookmarkEnd w:id="70"/>
      <w:bookmarkEnd w:id="71"/>
      <w:r>
        <w:rPr>
          <w:rFonts w:hint="eastAsia"/>
          <w:color w:val="auto"/>
          <w:sz w:val="24"/>
          <w:szCs w:val="24"/>
          <w:highlight w:val="none"/>
        </w:rPr>
        <w:t>采购方式转换</w:t>
      </w:r>
    </w:p>
    <w:p w14:paraId="10FBA27A">
      <w:pPr>
        <w:pStyle w:val="94"/>
        <w:ind w:firstLine="440"/>
        <w:rPr>
          <w:rFonts w:hint="eastAsia"/>
          <w:color w:val="auto"/>
          <w:sz w:val="24"/>
          <w:szCs w:val="24"/>
          <w:highlight w:val="none"/>
        </w:rPr>
      </w:pPr>
      <w:r>
        <w:rPr>
          <w:rFonts w:hint="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2094CDDB">
      <w:pPr>
        <w:pStyle w:val="94"/>
        <w:ind w:firstLine="440"/>
        <w:rPr>
          <w:rFonts w:hint="eastAsia"/>
          <w:color w:val="auto"/>
          <w:sz w:val="24"/>
          <w:szCs w:val="24"/>
          <w:highlight w:val="none"/>
        </w:rPr>
      </w:pPr>
      <w:r>
        <w:rPr>
          <w:rFonts w:hint="eastAsia"/>
          <w:color w:val="auto"/>
          <w:sz w:val="24"/>
          <w:szCs w:val="24"/>
          <w:highlight w:val="none"/>
        </w:rPr>
        <w:t>23.1采购文件存在不合理条款或者招标程序不符合规定的，采购人、采购代理机构改正后依法重新招标； </w:t>
      </w:r>
    </w:p>
    <w:p w14:paraId="07AA127E">
      <w:pPr>
        <w:pStyle w:val="94"/>
        <w:ind w:firstLine="440"/>
        <w:rPr>
          <w:rFonts w:hint="eastAsia"/>
          <w:color w:val="auto"/>
          <w:sz w:val="24"/>
          <w:szCs w:val="24"/>
          <w:highlight w:val="none"/>
        </w:rPr>
      </w:pPr>
      <w:r>
        <w:rPr>
          <w:rFonts w:hint="eastAsia"/>
          <w:color w:val="auto"/>
          <w:sz w:val="24"/>
          <w:szCs w:val="24"/>
          <w:highlight w:val="none"/>
        </w:rPr>
        <w:t>23.2采购文件没有不合理条款、招标程序符合规定，需要采用其他采购方式采购的，采购人依法报财政部门批准。 </w:t>
      </w:r>
    </w:p>
    <w:p w14:paraId="22942DA3">
      <w:pPr>
        <w:pStyle w:val="94"/>
        <w:ind w:left="0" w:leftChars="0" w:firstLine="0" w:firstLineChars="0"/>
        <w:rPr>
          <w:rFonts w:hint="eastAsia"/>
          <w:color w:val="auto"/>
          <w:sz w:val="24"/>
          <w:szCs w:val="24"/>
          <w:highlight w:val="none"/>
        </w:rPr>
      </w:pPr>
      <w:bookmarkStart w:id="72" w:name="_Toc425780298"/>
      <w:bookmarkStart w:id="73" w:name="_Toc425151754"/>
      <w:bookmarkStart w:id="74" w:name="_Toc429407714"/>
      <w:bookmarkStart w:id="75" w:name="_Toc430790235"/>
      <w:r>
        <w:rPr>
          <w:rFonts w:hint="eastAsia"/>
          <w:color w:val="auto"/>
          <w:sz w:val="24"/>
          <w:szCs w:val="24"/>
          <w:highlight w:val="none"/>
        </w:rPr>
        <w:t>24、</w:t>
      </w:r>
      <w:bookmarkEnd w:id="72"/>
      <w:bookmarkEnd w:id="73"/>
      <w:bookmarkEnd w:id="74"/>
      <w:bookmarkEnd w:id="75"/>
      <w:r>
        <w:rPr>
          <w:rFonts w:hint="eastAsia"/>
          <w:color w:val="auto"/>
          <w:sz w:val="24"/>
          <w:szCs w:val="24"/>
          <w:highlight w:val="none"/>
        </w:rPr>
        <w:t>评标过程的监控与保密</w:t>
      </w:r>
    </w:p>
    <w:p w14:paraId="29A79318">
      <w:pPr>
        <w:pStyle w:val="94"/>
        <w:ind w:firstLine="440"/>
        <w:rPr>
          <w:rFonts w:hint="eastAsia"/>
          <w:color w:val="auto"/>
          <w:sz w:val="24"/>
          <w:szCs w:val="24"/>
          <w:highlight w:val="none"/>
        </w:rPr>
      </w:pPr>
      <w:r>
        <w:rPr>
          <w:rFonts w:hint="eastAsia"/>
          <w:color w:val="auto"/>
          <w:sz w:val="24"/>
          <w:szCs w:val="24"/>
          <w:highlight w:val="none"/>
        </w:rPr>
        <w:t>24.1本项目评标过程实行全程录音、录像监控，投标人在评标过程中所进行的试图影响评标结果的不公正活动，可能导致其投标被拒绝。</w:t>
      </w:r>
    </w:p>
    <w:p w14:paraId="1CC2C122">
      <w:pPr>
        <w:pStyle w:val="94"/>
        <w:ind w:firstLine="440"/>
        <w:rPr>
          <w:rFonts w:hint="eastAsia"/>
          <w:color w:val="auto"/>
          <w:sz w:val="24"/>
          <w:szCs w:val="24"/>
          <w:highlight w:val="none"/>
        </w:rPr>
      </w:pPr>
      <w:r>
        <w:rPr>
          <w:rFonts w:hint="eastAsia"/>
          <w:color w:val="auto"/>
          <w:sz w:val="24"/>
          <w:szCs w:val="24"/>
          <w:highlight w:val="none"/>
        </w:rPr>
        <w:t>24.2开标后到中标通知书发出之前，所有涉及评标委员会名单以及对投标文件的澄清、评价、比较等情况，评标委员会成员、采购人和采购代理机构的有关人员均不得向投标人或其他无关人员透露。</w:t>
      </w:r>
    </w:p>
    <w:p w14:paraId="7677FEC7">
      <w:pPr>
        <w:pStyle w:val="94"/>
        <w:ind w:left="0" w:leftChars="0" w:firstLine="0" w:firstLineChars="0"/>
        <w:rPr>
          <w:rFonts w:hint="eastAsia"/>
          <w:color w:val="auto"/>
          <w:sz w:val="24"/>
          <w:szCs w:val="24"/>
          <w:highlight w:val="none"/>
        </w:rPr>
      </w:pPr>
      <w:r>
        <w:rPr>
          <w:rFonts w:hint="eastAsia"/>
          <w:color w:val="auto"/>
          <w:sz w:val="24"/>
          <w:szCs w:val="24"/>
          <w:highlight w:val="none"/>
        </w:rPr>
        <w:t>25、确定中标人、评标结果公示与质疑</w:t>
      </w:r>
    </w:p>
    <w:p w14:paraId="747618CB">
      <w:pPr>
        <w:pStyle w:val="94"/>
        <w:ind w:firstLine="440"/>
        <w:rPr>
          <w:rFonts w:hint="eastAsia"/>
          <w:color w:val="auto"/>
          <w:sz w:val="24"/>
          <w:szCs w:val="24"/>
          <w:highlight w:val="none"/>
        </w:rPr>
      </w:pPr>
      <w:r>
        <w:rPr>
          <w:rFonts w:hint="eastAsia"/>
          <w:color w:val="auto"/>
          <w:sz w:val="24"/>
          <w:szCs w:val="24"/>
          <w:highlight w:val="none"/>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71A2115D">
      <w:pPr>
        <w:pStyle w:val="94"/>
        <w:ind w:firstLine="440"/>
        <w:rPr>
          <w:rFonts w:hint="eastAsia"/>
          <w:color w:val="auto"/>
          <w:sz w:val="24"/>
          <w:szCs w:val="24"/>
          <w:highlight w:val="none"/>
        </w:rPr>
      </w:pPr>
      <w:r>
        <w:rPr>
          <w:rFonts w:hint="eastAsia"/>
          <w:color w:val="auto"/>
          <w:sz w:val="24"/>
          <w:szCs w:val="24"/>
          <w:highlight w:val="none"/>
        </w:rPr>
        <w:t>25.2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71811318">
      <w:pPr>
        <w:pStyle w:val="94"/>
        <w:ind w:firstLine="440"/>
        <w:rPr>
          <w:rFonts w:hint="eastAsia"/>
          <w:color w:val="auto"/>
          <w:sz w:val="24"/>
          <w:szCs w:val="24"/>
          <w:highlight w:val="none"/>
        </w:rPr>
      </w:pPr>
      <w:r>
        <w:rPr>
          <w:rFonts w:hint="eastAsia"/>
          <w:color w:val="auto"/>
          <w:sz w:val="24"/>
          <w:szCs w:val="24"/>
          <w:highlight w:val="none"/>
        </w:rPr>
        <w:t>25.3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7FC678B9">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七、无效投标认定</w:t>
      </w:r>
    </w:p>
    <w:p w14:paraId="7C125EE5">
      <w:pPr>
        <w:pStyle w:val="94"/>
        <w:ind w:left="0" w:leftChars="0" w:firstLine="0" w:firstLineChars="0"/>
        <w:rPr>
          <w:rFonts w:hint="eastAsia"/>
          <w:color w:val="auto"/>
          <w:sz w:val="24"/>
          <w:szCs w:val="24"/>
          <w:highlight w:val="none"/>
        </w:rPr>
      </w:pPr>
      <w:r>
        <w:rPr>
          <w:rFonts w:hint="eastAsia"/>
          <w:color w:val="auto"/>
          <w:sz w:val="24"/>
          <w:szCs w:val="24"/>
          <w:highlight w:val="none"/>
        </w:rPr>
        <w:t>26、实质上没有响应采购文件要求的投标将被视为无效投标。</w:t>
      </w:r>
    </w:p>
    <w:p w14:paraId="67CF639C">
      <w:pPr>
        <w:pStyle w:val="94"/>
        <w:ind w:firstLine="440"/>
        <w:rPr>
          <w:rFonts w:hint="eastAsia"/>
          <w:color w:val="auto"/>
          <w:sz w:val="24"/>
          <w:szCs w:val="24"/>
          <w:highlight w:val="none"/>
        </w:rPr>
      </w:pPr>
      <w:r>
        <w:rPr>
          <w:rFonts w:hint="eastAsia"/>
          <w:color w:val="auto"/>
          <w:sz w:val="24"/>
          <w:szCs w:val="24"/>
          <w:highlight w:val="none"/>
        </w:rPr>
        <w:t>26.1在资格审查时，不具备采购文件中规定的资格要求的，或者资格证明文件不全的，投标文件将被视为无效。</w:t>
      </w:r>
    </w:p>
    <w:p w14:paraId="1A2D5195">
      <w:pPr>
        <w:pStyle w:val="94"/>
        <w:ind w:firstLine="440"/>
        <w:rPr>
          <w:rFonts w:hint="eastAsia"/>
          <w:color w:val="auto"/>
          <w:sz w:val="24"/>
          <w:szCs w:val="24"/>
          <w:highlight w:val="none"/>
        </w:rPr>
      </w:pPr>
      <w:r>
        <w:rPr>
          <w:rFonts w:hint="eastAsia"/>
          <w:color w:val="auto"/>
          <w:sz w:val="24"/>
          <w:szCs w:val="24"/>
          <w:highlight w:val="none"/>
        </w:rPr>
        <w:t>26.2在符合性审查（</w:t>
      </w:r>
      <w:r>
        <w:rPr>
          <w:rFonts w:hint="eastAsia"/>
          <w:color w:val="auto"/>
          <w:sz w:val="24"/>
          <w:szCs w:val="24"/>
          <w:highlight w:val="none"/>
          <w:lang w:eastAsia="zh-CN"/>
        </w:rPr>
        <w:t>商务技术文件</w:t>
      </w:r>
      <w:r>
        <w:rPr>
          <w:rFonts w:hint="eastAsia"/>
          <w:color w:val="auto"/>
          <w:sz w:val="24"/>
          <w:szCs w:val="24"/>
          <w:highlight w:val="none"/>
        </w:rPr>
        <w:t>）时，如发现下列情形之一的，投标文件将被视为无效：</w:t>
      </w:r>
    </w:p>
    <w:p w14:paraId="579F88E9">
      <w:pPr>
        <w:pStyle w:val="94"/>
        <w:ind w:firstLine="440"/>
        <w:rPr>
          <w:rFonts w:hint="eastAsia"/>
          <w:color w:val="auto"/>
          <w:sz w:val="24"/>
          <w:szCs w:val="24"/>
          <w:highlight w:val="none"/>
        </w:rPr>
      </w:pPr>
      <w:r>
        <w:rPr>
          <w:rFonts w:hint="eastAsia"/>
          <w:color w:val="auto"/>
          <w:sz w:val="24"/>
          <w:szCs w:val="24"/>
          <w:highlight w:val="none"/>
        </w:rPr>
        <w:t>（1）投标文件未按采购文件要求签署、签章的（不影响投标文件法律效力的除外）；</w:t>
      </w:r>
    </w:p>
    <w:p w14:paraId="1E542CEF">
      <w:pPr>
        <w:pStyle w:val="94"/>
        <w:ind w:firstLine="440"/>
        <w:rPr>
          <w:rFonts w:hint="eastAsia"/>
          <w:color w:val="auto"/>
          <w:sz w:val="24"/>
          <w:szCs w:val="24"/>
          <w:highlight w:val="none"/>
        </w:rPr>
      </w:pPr>
      <w:r>
        <w:rPr>
          <w:rFonts w:hint="eastAsia"/>
          <w:color w:val="auto"/>
          <w:sz w:val="24"/>
          <w:szCs w:val="24"/>
          <w:highlight w:val="none"/>
        </w:rPr>
        <w:t>（2）投标有效期不满足采购文件要求的；</w:t>
      </w:r>
    </w:p>
    <w:p w14:paraId="1E4CA1F2">
      <w:pPr>
        <w:pStyle w:val="94"/>
        <w:ind w:firstLine="440"/>
        <w:rPr>
          <w:rFonts w:hint="eastAsia"/>
          <w:color w:val="auto"/>
          <w:sz w:val="24"/>
          <w:szCs w:val="24"/>
          <w:highlight w:val="none"/>
        </w:rPr>
      </w:pPr>
      <w:r>
        <w:rPr>
          <w:rFonts w:hint="eastAsia"/>
          <w:color w:val="auto"/>
          <w:sz w:val="24"/>
          <w:szCs w:val="24"/>
          <w:highlight w:val="none"/>
        </w:rPr>
        <w:t>（3）明显不符合采购文件要求的，或者与采购文件中标注“▲”的条款发生实质性偏离的；</w:t>
      </w:r>
    </w:p>
    <w:p w14:paraId="7CED8193">
      <w:pPr>
        <w:pStyle w:val="94"/>
        <w:ind w:firstLine="440"/>
        <w:rPr>
          <w:rFonts w:hint="eastAsia"/>
          <w:color w:val="auto"/>
          <w:sz w:val="24"/>
          <w:szCs w:val="24"/>
          <w:highlight w:val="none"/>
        </w:rPr>
      </w:pPr>
      <w:r>
        <w:rPr>
          <w:rFonts w:hint="eastAsia"/>
          <w:color w:val="auto"/>
          <w:sz w:val="24"/>
          <w:szCs w:val="24"/>
          <w:highlight w:val="none"/>
        </w:rPr>
        <w:t>（4）投标文件中含有采购人不能接受的附加条件的；</w:t>
      </w:r>
    </w:p>
    <w:p w14:paraId="3E90DB3D">
      <w:pPr>
        <w:pStyle w:val="94"/>
        <w:ind w:firstLine="440"/>
        <w:rPr>
          <w:rFonts w:hint="eastAsia"/>
          <w:color w:val="auto"/>
          <w:sz w:val="24"/>
          <w:szCs w:val="24"/>
          <w:highlight w:val="none"/>
        </w:rPr>
      </w:pPr>
      <w:r>
        <w:rPr>
          <w:rFonts w:hint="eastAsia"/>
          <w:color w:val="auto"/>
          <w:sz w:val="24"/>
          <w:szCs w:val="24"/>
          <w:highlight w:val="none"/>
        </w:rPr>
        <w:t>（5）投标声明书无法定代表人签名，或委托人未提供法定代表人授权委托书、填写项目不齐全的；</w:t>
      </w:r>
    </w:p>
    <w:p w14:paraId="5637904C">
      <w:pPr>
        <w:pStyle w:val="94"/>
        <w:ind w:firstLine="440"/>
        <w:rPr>
          <w:rFonts w:hint="eastAsia"/>
          <w:color w:val="auto"/>
          <w:sz w:val="24"/>
          <w:szCs w:val="24"/>
          <w:highlight w:val="none"/>
        </w:rPr>
      </w:pPr>
      <w:r>
        <w:rPr>
          <w:rFonts w:hint="eastAsia"/>
          <w:color w:val="auto"/>
          <w:sz w:val="24"/>
          <w:szCs w:val="24"/>
          <w:highlight w:val="none"/>
        </w:rPr>
        <w:t>（6）投标文件格式不规范、提供资料不齐全或者内容虚假的；</w:t>
      </w:r>
    </w:p>
    <w:p w14:paraId="2CA784FC">
      <w:pPr>
        <w:pStyle w:val="94"/>
        <w:ind w:firstLine="440"/>
        <w:rPr>
          <w:rFonts w:hint="eastAsia" w:cs="Times New Roman"/>
          <w:color w:val="auto"/>
          <w:sz w:val="24"/>
          <w:szCs w:val="24"/>
          <w:highlight w:val="none"/>
        </w:rPr>
      </w:pPr>
      <w:r>
        <w:rPr>
          <w:rFonts w:hint="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201356F8">
      <w:pPr>
        <w:pStyle w:val="94"/>
        <w:ind w:firstLine="440"/>
        <w:rPr>
          <w:rFonts w:hint="eastAsia"/>
          <w:color w:val="auto"/>
          <w:sz w:val="24"/>
          <w:szCs w:val="24"/>
          <w:highlight w:val="none"/>
        </w:rPr>
      </w:pPr>
      <w:r>
        <w:rPr>
          <w:rFonts w:hint="eastAsia"/>
          <w:color w:val="auto"/>
          <w:sz w:val="24"/>
          <w:szCs w:val="24"/>
          <w:highlight w:val="none"/>
        </w:rPr>
        <w:t xml:space="preserve">（8）投标文件的关键内容字迹模糊、无法辨认的，或者投标文件中经修正的内容字迹模糊难以辨认或者修改处未按规定签署、盖章的； </w:t>
      </w:r>
    </w:p>
    <w:p w14:paraId="2C43BF15">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w:t>
      </w:r>
      <w:r>
        <w:rPr>
          <w:rFonts w:hint="eastAsia" w:asciiTheme="minorEastAsia" w:hAnsiTheme="minorEastAsia"/>
          <w:b/>
          <w:bCs/>
          <w:color w:val="auto"/>
          <w:sz w:val="24"/>
          <w:szCs w:val="24"/>
          <w:highlight w:val="none"/>
          <w:lang w:val="en-US" w:eastAsia="zh-CN"/>
        </w:rPr>
        <w:t>9</w:t>
      </w:r>
      <w:r>
        <w:rPr>
          <w:rFonts w:hint="eastAsia" w:asciiTheme="minorEastAsia" w:hAnsiTheme="minorEastAsia"/>
          <w:b/>
          <w:bCs/>
          <w:color w:val="auto"/>
          <w:sz w:val="24"/>
          <w:szCs w:val="24"/>
          <w:highlight w:val="none"/>
          <w:lang w:eastAsia="zh-CN"/>
        </w:rPr>
        <w:t>）参与同一个采购包（标段）的供应商存在下列情形之一且无法合理解释的，其投标（响应）文件无效：</w:t>
      </w:r>
    </w:p>
    <w:p w14:paraId="00B52ACD">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①不同供应商的电子投标（响应）文件上传计算机的网卡MAC地址或硬盘序列号等硬件信息相同的；</w:t>
      </w:r>
    </w:p>
    <w:p w14:paraId="1A5A99A2">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②上传的电子投标（响应）文件若出现使用本项目其他投标（响应）供应商的数字证书加密的，或者加盖本项目其他投标（响应）供应商的电子印章的；</w:t>
      </w:r>
    </w:p>
    <w:p w14:paraId="6032BC25">
      <w:pPr>
        <w:pStyle w:val="94"/>
        <w:spacing w:line="460" w:lineRule="exact"/>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③不同供应商的投标（响应）文件的内容存在3处（含）以上错误一致的；</w:t>
      </w:r>
    </w:p>
    <w:p w14:paraId="3821920C">
      <w:pPr>
        <w:pStyle w:val="94"/>
        <w:ind w:firstLine="440"/>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④不同供应商联系人为同一人或不同联系人的联系电话一致的。</w:t>
      </w:r>
    </w:p>
    <w:p w14:paraId="7ABBA611">
      <w:pPr>
        <w:pStyle w:val="94"/>
        <w:ind w:firstLine="44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color w:val="auto"/>
          <w:sz w:val="24"/>
          <w:szCs w:val="24"/>
          <w:highlight w:val="none"/>
          <w:lang w:val="en-US" w:eastAsia="zh-CN"/>
        </w:rPr>
        <w:t>0</w:t>
      </w:r>
      <w:r>
        <w:rPr>
          <w:rFonts w:hint="eastAsia" w:ascii="宋体" w:hAnsi="宋体"/>
          <w:color w:val="auto"/>
          <w:sz w:val="24"/>
          <w:szCs w:val="24"/>
          <w:highlight w:val="none"/>
          <w:lang w:eastAsia="zh-CN"/>
        </w:rPr>
        <w:t>）</w:t>
      </w:r>
      <w:r>
        <w:rPr>
          <w:rFonts w:hint="eastAsia" w:cs="宋体"/>
          <w:color w:val="auto"/>
          <w:kern w:val="0"/>
          <w:sz w:val="24"/>
          <w:highlight w:val="none"/>
          <w:lang w:val="zh-CN"/>
        </w:rPr>
        <w:t>技术性能得分</w:t>
      </w:r>
      <w:r>
        <w:rPr>
          <w:rFonts w:hint="eastAsia" w:ascii="宋体" w:hAnsi="宋体" w:eastAsia="宋体" w:cs="宋体"/>
          <w:color w:val="auto"/>
          <w:sz w:val="24"/>
          <w:szCs w:val="24"/>
          <w:highlight w:val="none"/>
          <w:lang w:eastAsia="zh-CN"/>
        </w:rPr>
        <w:t>扣至零分及以下的投标将被视为无效投标</w:t>
      </w:r>
      <w:r>
        <w:rPr>
          <w:rFonts w:hint="eastAsia" w:cs="宋体"/>
          <w:color w:val="auto"/>
          <w:kern w:val="0"/>
          <w:sz w:val="24"/>
          <w:highlight w:val="none"/>
          <w:lang w:val="zh-CN"/>
        </w:rPr>
        <w:t>；</w:t>
      </w:r>
    </w:p>
    <w:p w14:paraId="210E6FF0">
      <w:pPr>
        <w:pStyle w:val="94"/>
        <w:ind w:firstLine="44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法律、法规和采购文件规定的其他无效情形。</w:t>
      </w:r>
    </w:p>
    <w:p w14:paraId="41E8FDE3">
      <w:pPr>
        <w:spacing w:line="360" w:lineRule="auto"/>
        <w:ind w:firstLine="480" w:firstLineChars="200"/>
        <w:rPr>
          <w:rFonts w:hint="eastAsia" w:ascii="Times New Roman" w:hAnsi="Times New Roman"/>
          <w:color w:val="auto"/>
          <w:sz w:val="24"/>
          <w:szCs w:val="24"/>
          <w:highlight w:val="none"/>
        </w:rPr>
      </w:pPr>
      <w:r>
        <w:rPr>
          <w:rFonts w:ascii="Times New Roman" w:hAnsi="Times New Roman"/>
          <w:color w:val="auto"/>
          <w:sz w:val="24"/>
          <w:szCs w:val="24"/>
          <w:highlight w:val="none"/>
        </w:rPr>
        <w:t>26.3</w:t>
      </w:r>
      <w:r>
        <w:rPr>
          <w:rFonts w:hint="eastAsia" w:ascii="Times New Roman" w:hAnsi="Times New Roman"/>
          <w:color w:val="auto"/>
          <w:sz w:val="24"/>
          <w:szCs w:val="24"/>
          <w:highlight w:val="none"/>
        </w:rPr>
        <w:t>在符合性审查（报价文件）时，如发现下列情形之一的，投标文件将被视为无效：</w:t>
      </w:r>
    </w:p>
    <w:p w14:paraId="2260D40B">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）未提交投标函或投标函内容不符合采购文件要求的；</w:t>
      </w:r>
    </w:p>
    <w:p w14:paraId="77B37705">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rPr>
        <w:t>）投标文件未按采购文件要求签署、签章的（不影响投标文件法律效力的除外）；</w:t>
      </w:r>
    </w:p>
    <w:p w14:paraId="3AE9F088">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报价超过采购文件中规定的预算金额或者最高限价的</w:t>
      </w:r>
      <w:r>
        <w:rPr>
          <w:rFonts w:hint="eastAsia" w:ascii="Times New Roman" w:hAnsi="Times New Roman" w:eastAsia="宋体"/>
          <w:color w:val="auto"/>
          <w:sz w:val="24"/>
          <w:szCs w:val="24"/>
          <w:highlight w:val="none"/>
        </w:rPr>
        <w:t>；</w:t>
      </w:r>
    </w:p>
    <w:p w14:paraId="3BBD52AB">
      <w:pPr>
        <w:pStyle w:val="21"/>
        <w:spacing w:line="36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未采用采购文件要求的报价形式报价的</w:t>
      </w:r>
      <w:r>
        <w:rPr>
          <w:rFonts w:hint="eastAsia" w:ascii="Times New Roman" w:hAnsi="Times New Roman" w:eastAsia="宋体"/>
          <w:color w:val="auto"/>
          <w:sz w:val="24"/>
          <w:szCs w:val="24"/>
          <w:highlight w:val="none"/>
        </w:rPr>
        <w:t>；</w:t>
      </w:r>
    </w:p>
    <w:p w14:paraId="69194BFA">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5</w:t>
      </w:r>
      <w:r>
        <w:rPr>
          <w:rFonts w:hint="eastAsia" w:ascii="Times New Roman" w:hAnsi="Times New Roman" w:eastAsia="宋体"/>
          <w:color w:val="auto"/>
          <w:sz w:val="24"/>
          <w:szCs w:val="24"/>
          <w:highlight w:val="none"/>
        </w:rPr>
        <w:t>）投标报价具有选择性的；</w:t>
      </w:r>
    </w:p>
    <w:p w14:paraId="0A849834">
      <w:pPr>
        <w:pStyle w:val="21"/>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1BCFC953">
      <w:pPr>
        <w:pStyle w:val="21"/>
        <w:spacing w:line="360" w:lineRule="auto"/>
        <w:ind w:firstLine="650" w:firstLineChars="271"/>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采购文件规定的其他无效情形。</w:t>
      </w:r>
    </w:p>
    <w:p w14:paraId="0D6B451B">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26.4</w:t>
      </w:r>
      <w:r>
        <w:rPr>
          <w:rFonts w:hint="eastAsia" w:ascii="Times New Roman" w:hAnsi="Times New Roman"/>
          <w:color w:val="auto"/>
          <w:sz w:val="24"/>
          <w:szCs w:val="24"/>
          <w:highlight w:val="none"/>
        </w:rPr>
        <w:t>被拒绝的投标文件为无效。</w:t>
      </w:r>
    </w:p>
    <w:p w14:paraId="6746C904">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八、授予合同</w:t>
      </w:r>
    </w:p>
    <w:p w14:paraId="219A7EBD">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7</w:t>
      </w:r>
      <w:r>
        <w:rPr>
          <w:rFonts w:hint="eastAsia" w:ascii="宋体" w:hAnsi="宋体"/>
          <w:b/>
          <w:color w:val="auto"/>
          <w:sz w:val="24"/>
          <w:szCs w:val="24"/>
          <w:highlight w:val="none"/>
        </w:rPr>
        <w:t>、授予合同</w:t>
      </w:r>
    </w:p>
    <w:p w14:paraId="3EFCDBC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采购人在授予合同时不能对中标单价或其他实质性条款和条件作任何改变。</w:t>
      </w:r>
    </w:p>
    <w:p w14:paraId="0588F15D">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Theme="minorEastAsia" w:hAnsiTheme="minorEastAsia"/>
          <w:b/>
          <w:color w:val="auto"/>
          <w:sz w:val="24"/>
          <w:szCs w:val="24"/>
          <w:highlight w:val="none"/>
        </w:rPr>
        <w:t>8</w:t>
      </w:r>
      <w:r>
        <w:rPr>
          <w:rFonts w:hint="eastAsia" w:ascii="宋体" w:hAnsi="宋体"/>
          <w:b/>
          <w:color w:val="auto"/>
          <w:sz w:val="24"/>
          <w:szCs w:val="24"/>
          <w:highlight w:val="none"/>
        </w:rPr>
        <w:t>、中标通知</w:t>
      </w:r>
    </w:p>
    <w:p w14:paraId="71A01E8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.1采购代理机构自中标人确定之日起2个工作日内，在指定的媒体上公告中标结果，采购文件随中标结果同时公告。中标公告期限为1个工作日。</w:t>
      </w:r>
    </w:p>
    <w:p w14:paraId="26BF0AA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.2在发布中标公告的同时本采购代理机构向中标人发出中标通知书，向其他投标人发出招标结果通知书，中标通知书对采购人和中标人具有同等法律效力。</w:t>
      </w:r>
    </w:p>
    <w:p w14:paraId="0A08E07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color w:val="auto"/>
          <w:sz w:val="24"/>
          <w:szCs w:val="24"/>
          <w:highlight w:val="none"/>
        </w:rPr>
        <w:t>8</w:t>
      </w:r>
      <w:r>
        <w:rPr>
          <w:rFonts w:hint="eastAsia" w:ascii="宋体" w:hAnsi="宋体"/>
          <w:color w:val="auto"/>
          <w:sz w:val="24"/>
          <w:szCs w:val="24"/>
          <w:highlight w:val="none"/>
        </w:rPr>
        <w:t>.3中标人按下述第30条规定与采购人签订合同，中标通知书是合同的组成部分。</w:t>
      </w:r>
    </w:p>
    <w:p w14:paraId="119824BA">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29</w:t>
      </w:r>
      <w:r>
        <w:rPr>
          <w:rFonts w:hint="eastAsia" w:ascii="宋体" w:hAnsi="宋体"/>
          <w:b/>
          <w:color w:val="auto"/>
          <w:sz w:val="24"/>
          <w:szCs w:val="24"/>
          <w:highlight w:val="none"/>
        </w:rPr>
        <w:t>、签订合同</w:t>
      </w:r>
    </w:p>
    <w:p w14:paraId="14C5B1D7">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.1中标人在本采购代理机构发出中标通知书的30日内，应与采购人按照采购文件和中标人的投标文件的约定内容签订书面合同。否则，采购人可撤销其中标资格并按本须知规定另选中标人或重新招标。</w:t>
      </w:r>
    </w:p>
    <w:p w14:paraId="7F443668">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29</w:t>
      </w:r>
      <w:r>
        <w:rPr>
          <w:rFonts w:hint="eastAsia" w:ascii="宋体" w:hAnsi="宋体"/>
          <w:color w:val="auto"/>
          <w:sz w:val="24"/>
          <w:szCs w:val="24"/>
          <w:highlight w:val="none"/>
        </w:rPr>
        <w:t>.2采购文件、中标人的投标文件及在评标过程中提交的澄清文件均应作为合同附件。</w:t>
      </w:r>
    </w:p>
    <w:p w14:paraId="76E8218C">
      <w:pPr>
        <w:spacing w:line="360" w:lineRule="auto"/>
        <w:rPr>
          <w:rFonts w:hint="eastAsia" w:ascii="宋体" w:hAnsi="宋体"/>
          <w:b/>
          <w:color w:val="auto"/>
          <w:sz w:val="24"/>
          <w:szCs w:val="24"/>
          <w:highlight w:val="none"/>
        </w:rPr>
      </w:pPr>
      <w:r>
        <w:rPr>
          <w:rFonts w:hint="eastAsia" w:asciiTheme="minorEastAsia" w:hAnsiTheme="minorEastAsia"/>
          <w:b/>
          <w:color w:val="auto"/>
          <w:sz w:val="24"/>
          <w:szCs w:val="24"/>
          <w:highlight w:val="none"/>
        </w:rPr>
        <w:t>30</w:t>
      </w:r>
      <w:r>
        <w:rPr>
          <w:rFonts w:hint="eastAsia" w:ascii="宋体" w:hAnsi="宋体"/>
          <w:b/>
          <w:color w:val="auto"/>
          <w:sz w:val="24"/>
          <w:szCs w:val="24"/>
          <w:highlight w:val="none"/>
        </w:rPr>
        <w:t>、履约保证金（如有）</w:t>
      </w:r>
    </w:p>
    <w:p w14:paraId="425BFC1C">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.1签订合同后，中标人应根据采购文件确定的履约保证金的金额交纳履约保证金。</w:t>
      </w:r>
    </w:p>
    <w:p w14:paraId="5DE38893">
      <w:pPr>
        <w:spacing w:line="360" w:lineRule="auto"/>
        <w:ind w:firstLine="480" w:firstLineChars="200"/>
        <w:rPr>
          <w:rFonts w:hint="eastAsia" w:ascii="宋体" w:hAnsi="宋体"/>
          <w:color w:val="auto"/>
          <w:sz w:val="24"/>
          <w:szCs w:val="24"/>
          <w:highlight w:val="none"/>
        </w:rPr>
      </w:pPr>
      <w:r>
        <w:rPr>
          <w:rFonts w:hint="eastAsia" w:asciiTheme="minorEastAsia" w:hAnsiTheme="minorEastAsia"/>
          <w:color w:val="auto"/>
          <w:sz w:val="24"/>
          <w:szCs w:val="24"/>
          <w:highlight w:val="none"/>
        </w:rPr>
        <w:t>30</w:t>
      </w:r>
      <w:r>
        <w:rPr>
          <w:rFonts w:hint="eastAsia" w:ascii="宋体" w:hAnsi="宋体"/>
          <w:color w:val="auto"/>
          <w:sz w:val="24"/>
          <w:szCs w:val="24"/>
          <w:highlight w:val="none"/>
        </w:rPr>
        <w:t>.2签订合同后，如中标人不按双方合同约定履约，则没收其全部履约保证金，履约保证金不足以赔偿损失的，按实际损失赔偿。</w:t>
      </w:r>
    </w:p>
    <w:p w14:paraId="7CFB5766">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九、履约验收</w:t>
      </w:r>
    </w:p>
    <w:p w14:paraId="5154E8C1">
      <w:pPr>
        <w:pStyle w:val="94"/>
        <w:ind w:firstLine="440"/>
        <w:rPr>
          <w:rFonts w:hint="eastAsia"/>
          <w:color w:val="auto"/>
          <w:sz w:val="24"/>
          <w:szCs w:val="24"/>
          <w:highlight w:val="none"/>
        </w:rPr>
      </w:pPr>
      <w:r>
        <w:rPr>
          <w:rFonts w:hint="eastAsia"/>
          <w:color w:val="auto"/>
          <w:sz w:val="24"/>
          <w:szCs w:val="24"/>
          <w:highlight w:val="none"/>
        </w:rPr>
        <w:t>31、采购人负责对中标人的履约行为进行验收。验收标准为本项目的采购文件以及中标人的投标文件，要求验收必须符合相关政策法规和地方标准。政府向社会公众提供的公共服务项目，验收时应当邀请服务对象参与并出具意见，验收结果应当向社会公告。</w:t>
      </w:r>
    </w:p>
    <w:p w14:paraId="417201F7">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十、代理服务费</w:t>
      </w:r>
    </w:p>
    <w:p w14:paraId="4DC23001">
      <w:pPr>
        <w:spacing w:line="360" w:lineRule="auto"/>
        <w:rPr>
          <w:rFonts w:hint="eastAsia"/>
          <w:b/>
          <w:color w:val="auto"/>
          <w:sz w:val="24"/>
          <w:szCs w:val="24"/>
          <w:highlight w:val="none"/>
        </w:rPr>
      </w:pPr>
      <w:r>
        <w:rPr>
          <w:rFonts w:hint="eastAsia" w:asciiTheme="minorEastAsia" w:hAnsiTheme="minorEastAsia"/>
          <w:b/>
          <w:color w:val="auto"/>
          <w:sz w:val="24"/>
          <w:szCs w:val="24"/>
          <w:highlight w:val="none"/>
        </w:rPr>
        <w:t>32、</w:t>
      </w:r>
      <w:r>
        <w:rPr>
          <w:rFonts w:hint="eastAsia"/>
          <w:b/>
          <w:color w:val="auto"/>
          <w:sz w:val="24"/>
          <w:szCs w:val="24"/>
          <w:highlight w:val="none"/>
        </w:rPr>
        <w:t>代理服务费</w:t>
      </w:r>
    </w:p>
    <w:p w14:paraId="2DB876F3">
      <w:pPr>
        <w:spacing w:line="360" w:lineRule="auto"/>
        <w:ind w:firstLine="480" w:firstLineChars="200"/>
        <w:jc w:val="left"/>
        <w:rPr>
          <w:color w:val="auto"/>
          <w:sz w:val="24"/>
          <w:szCs w:val="24"/>
          <w:highlight w:val="none"/>
        </w:rPr>
      </w:pPr>
      <w:r>
        <w:rPr>
          <w:rFonts w:hint="eastAsia"/>
          <w:color w:val="auto"/>
          <w:sz w:val="24"/>
          <w:szCs w:val="24"/>
          <w:highlight w:val="none"/>
        </w:rPr>
        <w:t>中标人应向本采购代理机构支付代理服务费。代理服务费的收费依据及相关规定载明在采购文件《投标资料表》中。</w:t>
      </w:r>
    </w:p>
    <w:p w14:paraId="18B800ED">
      <w:pPr>
        <w:pStyle w:val="94"/>
        <w:ind w:firstLine="440"/>
        <w:jc w:val="center"/>
        <w:rPr>
          <w:rFonts w:hint="eastAsia"/>
          <w:b/>
          <w:bCs/>
          <w:color w:val="auto"/>
          <w:sz w:val="24"/>
          <w:szCs w:val="24"/>
          <w:highlight w:val="none"/>
          <w:lang w:eastAsia="zh-CN"/>
        </w:rPr>
      </w:pPr>
      <w:r>
        <w:rPr>
          <w:rFonts w:hint="eastAsia"/>
          <w:b/>
          <w:bCs/>
          <w:color w:val="auto"/>
          <w:sz w:val="24"/>
          <w:szCs w:val="24"/>
          <w:highlight w:val="none"/>
          <w:lang w:eastAsia="zh-CN"/>
        </w:rPr>
        <w:t>十一、政府采购活动中有关中小企业的相关规定</w:t>
      </w:r>
    </w:p>
    <w:p w14:paraId="660843DC">
      <w:pPr>
        <w:pStyle w:val="94"/>
        <w:ind w:firstLine="440"/>
        <w:rPr>
          <w:rFonts w:hint="eastAsia"/>
          <w:color w:val="auto"/>
          <w:sz w:val="24"/>
          <w:szCs w:val="24"/>
          <w:highlight w:val="none"/>
        </w:rPr>
      </w:pPr>
      <w:r>
        <w:rPr>
          <w:rFonts w:hint="eastAsia"/>
          <w:color w:val="auto"/>
          <w:sz w:val="24"/>
          <w:szCs w:val="24"/>
          <w:highlight w:val="none"/>
        </w:rPr>
        <w:t>（采购进口产品的项目不适用）</w:t>
      </w:r>
    </w:p>
    <w:p w14:paraId="66203EDD">
      <w:pPr>
        <w:pStyle w:val="94"/>
        <w:ind w:left="0" w:leftChars="0" w:firstLine="0" w:firstLineChars="0"/>
        <w:rPr>
          <w:rFonts w:hint="eastAsia"/>
          <w:b/>
          <w:bCs/>
          <w:color w:val="auto"/>
          <w:sz w:val="24"/>
          <w:szCs w:val="24"/>
          <w:highlight w:val="none"/>
        </w:rPr>
      </w:pPr>
      <w:r>
        <w:rPr>
          <w:rFonts w:hint="eastAsia"/>
          <w:b/>
          <w:bCs/>
          <w:color w:val="auto"/>
          <w:sz w:val="24"/>
          <w:szCs w:val="24"/>
          <w:highlight w:val="none"/>
        </w:rPr>
        <w:t>33、本项目</w:t>
      </w:r>
      <w:r>
        <w:rPr>
          <w:rFonts w:hint="eastAsia"/>
          <w:b/>
          <w:bCs/>
          <w:color w:val="auto"/>
          <w:sz w:val="24"/>
          <w:szCs w:val="24"/>
          <w:highlight w:val="none"/>
          <w:u w:val="single"/>
        </w:rPr>
        <w:t>非</w:t>
      </w:r>
      <w:r>
        <w:rPr>
          <w:rFonts w:hint="eastAsia"/>
          <w:b/>
          <w:bCs/>
          <w:color w:val="auto"/>
          <w:sz w:val="24"/>
          <w:szCs w:val="24"/>
          <w:highlight w:val="none"/>
        </w:rPr>
        <w:t>专门面向中小企业采购。</w:t>
      </w:r>
    </w:p>
    <w:p w14:paraId="7E188C5B">
      <w:pPr>
        <w:pStyle w:val="94"/>
        <w:ind w:left="0" w:leftChars="0" w:firstLine="0" w:firstLineChars="0"/>
        <w:rPr>
          <w:rFonts w:hint="eastAsia"/>
          <w:b/>
          <w:bCs/>
          <w:color w:val="auto"/>
          <w:sz w:val="24"/>
          <w:szCs w:val="24"/>
          <w:highlight w:val="none"/>
          <w:u w:val="single"/>
        </w:rPr>
      </w:pPr>
      <w:r>
        <w:rPr>
          <w:rFonts w:hint="eastAsia"/>
          <w:b/>
          <w:bCs/>
          <w:color w:val="auto"/>
          <w:sz w:val="24"/>
          <w:szCs w:val="24"/>
          <w:highlight w:val="none"/>
        </w:rPr>
        <w:t>34、本项目对应的中小企业划型标准所属行业：</w:t>
      </w:r>
      <w:r>
        <w:rPr>
          <w:rFonts w:hint="eastAsia"/>
          <w:b/>
          <w:bCs/>
          <w:color w:val="auto"/>
          <w:sz w:val="24"/>
          <w:szCs w:val="24"/>
          <w:highlight w:val="none"/>
          <w:u w:val="single"/>
          <w:lang w:eastAsia="zh-CN"/>
        </w:rPr>
        <w:t>工业，详见前附页</w:t>
      </w:r>
      <w:r>
        <w:rPr>
          <w:rFonts w:hint="eastAsia"/>
          <w:b/>
          <w:bCs/>
          <w:color w:val="auto"/>
          <w:sz w:val="24"/>
          <w:szCs w:val="24"/>
          <w:highlight w:val="none"/>
          <w:u w:val="single"/>
        </w:rPr>
        <w:t>。</w:t>
      </w:r>
    </w:p>
    <w:p w14:paraId="7E4FCB39">
      <w:pPr>
        <w:spacing w:line="360" w:lineRule="auto"/>
        <w:rPr>
          <w:rFonts w:hint="eastAsia" w:ascii="Times New Roman" w:hAnsi="Times New Roman"/>
          <w:color w:val="auto"/>
          <w:sz w:val="24"/>
          <w:szCs w:val="24"/>
          <w:highlight w:val="none"/>
        </w:rPr>
      </w:pPr>
      <w:r>
        <w:rPr>
          <w:rFonts w:hint="eastAsia" w:asciiTheme="minorEastAsia" w:hAnsiTheme="minorEastAsia"/>
          <w:color w:val="auto"/>
          <w:sz w:val="24"/>
          <w:szCs w:val="24"/>
          <w:highlight w:val="none"/>
        </w:rPr>
        <w:t>35、</w:t>
      </w:r>
      <w:r>
        <w:rPr>
          <w:rFonts w:hint="eastAsia" w:ascii="Times New Roman" w:hAnsi="Times New Roman"/>
          <w:color w:val="auto"/>
          <w:sz w:val="24"/>
          <w:szCs w:val="24"/>
          <w:highlight w:val="none"/>
        </w:rPr>
        <w:t>小微企业是指中华人民共和国境内依法设立，依据国务院批准的中小企业划分标准确定的小型企业和微型企业，但与大企业的负责人为同一人，或者与大企业存在直接控股、管理关系的除外。</w:t>
      </w:r>
    </w:p>
    <w:p w14:paraId="563438C0">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符合中小企业划分标准的个体工商户，在政府采购活动中视同中小企业。</w:t>
      </w:r>
    </w:p>
    <w:p w14:paraId="2C53A099">
      <w:pPr>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国务院批准的中小企业划分标准：具体见工信部联企业</w:t>
      </w:r>
      <w:r>
        <w:rPr>
          <w:rFonts w:ascii="Times New Roman" w:hAnsi="Times New Roman"/>
          <w:color w:val="auto"/>
          <w:sz w:val="24"/>
          <w:szCs w:val="24"/>
          <w:highlight w:val="none"/>
        </w:rPr>
        <w:t>[2011]300</w:t>
      </w:r>
      <w:r>
        <w:rPr>
          <w:rFonts w:hint="eastAsia" w:ascii="Times New Roman" w:hAnsi="Times New Roman"/>
          <w:color w:val="auto"/>
          <w:sz w:val="24"/>
          <w:szCs w:val="24"/>
          <w:highlight w:val="none"/>
        </w:rPr>
        <w:t>号。</w:t>
      </w:r>
    </w:p>
    <w:p w14:paraId="1F44CA80">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36</w:t>
      </w:r>
      <w:r>
        <w:rPr>
          <w:rFonts w:hint="eastAsia" w:ascii="Times New Roman" w:hAnsi="Times New Roman"/>
          <w:color w:val="auto"/>
          <w:sz w:val="24"/>
          <w:szCs w:val="24"/>
          <w:highlight w:val="none"/>
        </w:rPr>
        <w:t>、在政府采购活动中，供应商提供的货物、工程或者服务符合下列情形的，可享受小型、微型企业（以下简称小微企业）的价格扣除：</w:t>
      </w:r>
    </w:p>
    <w:p w14:paraId="2D195DD4">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）在货物采购项目中，货物由小微企业制造，即货物由小微企业生产且使用该小微企业商号或者注册商标；</w:t>
      </w:r>
    </w:p>
    <w:p w14:paraId="413152E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）在工程采购项目中，工程由小微企业承建，即工程施工单位为小微企业；</w:t>
      </w:r>
    </w:p>
    <w:p w14:paraId="1C453272">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）在服务采购项目中，服务由小微企业承接，即提供服务的人员为小微企业依照《中华人民共和国劳动合同法》订立劳动合同的从业人员。</w:t>
      </w:r>
    </w:p>
    <w:p w14:paraId="25ACF570">
      <w:pPr>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以联合体形式参加政府采购活动，联合体各方均为中小企业的，联合体视同中小企业。</w:t>
      </w:r>
    </w:p>
    <w:p w14:paraId="7750A21A">
      <w:pPr>
        <w:spacing w:line="360" w:lineRule="auto"/>
        <w:rPr>
          <w:rFonts w:ascii="Times New Roman" w:hAnsi="Times New Roman"/>
          <w:bCs/>
          <w:color w:val="auto"/>
          <w:sz w:val="24"/>
          <w:szCs w:val="24"/>
          <w:highlight w:val="none"/>
        </w:rPr>
      </w:pPr>
      <w:r>
        <w:rPr>
          <w:rFonts w:ascii="Times New Roman" w:hAnsi="Times New Roman"/>
          <w:color w:val="auto"/>
          <w:sz w:val="24"/>
          <w:szCs w:val="24"/>
          <w:highlight w:val="none"/>
        </w:rPr>
        <w:t>37</w:t>
      </w:r>
      <w:r>
        <w:rPr>
          <w:rFonts w:hint="eastAsia" w:ascii="Times New Roman" w:hAnsi="Times New Roman"/>
          <w:color w:val="auto"/>
          <w:sz w:val="24"/>
          <w:szCs w:val="24"/>
          <w:highlight w:val="none"/>
        </w:rPr>
        <w:t>、</w:t>
      </w:r>
      <w:r>
        <w:rPr>
          <w:rFonts w:hint="eastAsia" w:ascii="Times New Roman" w:hAnsi="Times New Roman"/>
          <w:bCs/>
          <w:color w:val="auto"/>
          <w:sz w:val="24"/>
          <w:szCs w:val="24"/>
          <w:highlight w:val="none"/>
        </w:rPr>
        <w:t>在货物采购项目中，供应商提供的货物既有中小企业制造货物，也有大型企业制造货物的，不享受小微企业价格扣除。</w:t>
      </w:r>
    </w:p>
    <w:p w14:paraId="6B67A62B">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38</w:t>
      </w:r>
      <w:r>
        <w:rPr>
          <w:rFonts w:hint="eastAsia" w:ascii="Times New Roman" w:hAnsi="Times New Roman"/>
          <w:color w:val="auto"/>
          <w:sz w:val="24"/>
          <w:szCs w:val="24"/>
          <w:highlight w:val="none"/>
        </w:rPr>
        <w:t>、小微企业应按照</w:t>
      </w:r>
      <w:r>
        <w:rPr>
          <w:rFonts w:hint="eastAsia" w:ascii="Times New Roman" w:hAnsi="Times New Roman"/>
          <w:color w:val="auto"/>
          <w:sz w:val="24"/>
          <w:szCs w:val="24"/>
          <w:highlight w:val="none"/>
          <w:lang w:eastAsia="zh-CN"/>
        </w:rPr>
        <w:t>采购文件</w:t>
      </w:r>
      <w:r>
        <w:rPr>
          <w:rFonts w:hint="eastAsia" w:ascii="Times New Roman" w:hAnsi="Times New Roman"/>
          <w:color w:val="auto"/>
          <w:sz w:val="24"/>
          <w:szCs w:val="24"/>
          <w:highlight w:val="none"/>
        </w:rPr>
        <w:t>格式要求提供《中小企业声明函》。本项目对符合《政府采购促进中小企业发展管理办法》（财库﹝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号）规定的小微企业报价给予</w:t>
      </w:r>
      <w:r>
        <w:rPr>
          <w:rFonts w:ascii="Times New Roman" w:hAnsi="Times New Roman"/>
          <w:color w:val="auto"/>
          <w:sz w:val="24"/>
          <w:szCs w:val="24"/>
          <w:highlight w:val="none"/>
        </w:rPr>
        <w:t>10%</w:t>
      </w:r>
      <w:r>
        <w:rPr>
          <w:rFonts w:hint="eastAsia" w:ascii="Times New Roman" w:hAnsi="Times New Roman"/>
          <w:color w:val="auto"/>
          <w:sz w:val="24"/>
          <w:szCs w:val="24"/>
          <w:highlight w:val="none"/>
        </w:rPr>
        <w:t>（工程项目为</w:t>
      </w:r>
      <w:r>
        <w:rPr>
          <w:rFonts w:ascii="Times New Roman" w:hAnsi="Times New Roman"/>
          <w:color w:val="auto"/>
          <w:sz w:val="24"/>
          <w:szCs w:val="24"/>
          <w:highlight w:val="none"/>
        </w:rPr>
        <w:t xml:space="preserve"> 5%</w:t>
      </w:r>
      <w:r>
        <w:rPr>
          <w:rFonts w:hint="eastAsia" w:ascii="Times New Roman" w:hAnsi="Times New Roman"/>
          <w:color w:val="auto"/>
          <w:sz w:val="24"/>
          <w:szCs w:val="24"/>
          <w:highlight w:val="none"/>
        </w:rPr>
        <w:t>）的扣除，用扣除后的价格参加评审。</w:t>
      </w:r>
    </w:p>
    <w:p w14:paraId="025EC107">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39</w:t>
      </w:r>
      <w:r>
        <w:rPr>
          <w:rFonts w:hint="eastAsia" w:ascii="Times New Roman" w:hAnsi="Times New Roman"/>
          <w:color w:val="auto"/>
          <w:sz w:val="24"/>
          <w:szCs w:val="24"/>
          <w:highlight w:val="none"/>
        </w:rPr>
        <w:t>、根据《财政部司法部关于政府采购支持监狱企业发展有关问题的通知》（财库〔</w:t>
      </w:r>
      <w:r>
        <w:rPr>
          <w:rFonts w:ascii="Times New Roman" w:hAnsi="Times New Roman"/>
          <w:color w:val="auto"/>
          <w:sz w:val="24"/>
          <w:szCs w:val="24"/>
          <w:highlight w:val="none"/>
        </w:rPr>
        <w:t>2014</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68</w:t>
      </w:r>
      <w:r>
        <w:rPr>
          <w:rFonts w:hint="eastAsia" w:ascii="Times New Roman" w:hAnsi="Times New Roman"/>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14:paraId="081FD155">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40</w:t>
      </w:r>
      <w:r>
        <w:rPr>
          <w:rFonts w:hint="eastAsia" w:ascii="Times New Roman" w:hAnsi="Times New Roman"/>
          <w:color w:val="auto"/>
          <w:sz w:val="24"/>
          <w:szCs w:val="24"/>
          <w:highlight w:val="none"/>
        </w:rPr>
        <w:t>、根据《关于促进残疾人就业政府采购政策的通知》（财库</w:t>
      </w:r>
      <w:r>
        <w:rPr>
          <w:rFonts w:ascii="Times New Roman" w:hAnsi="Times New Roman"/>
          <w:color w:val="auto"/>
          <w:sz w:val="24"/>
          <w:szCs w:val="24"/>
          <w:highlight w:val="none"/>
        </w:rPr>
        <w:t>[2017]141</w:t>
      </w:r>
      <w:r>
        <w:rPr>
          <w:rFonts w:hint="eastAsia" w:ascii="Times New Roman" w:hAnsi="Times New Roman"/>
          <w:color w:val="auto"/>
          <w:sz w:val="24"/>
          <w:szCs w:val="24"/>
          <w:highlight w:val="none"/>
        </w:rPr>
        <w:t>号）规定，在政府采购活动中，残疾人福利性单位视同小型、微型企业。残疾人福利性单位参加政府采购活动时，提供《残疾人福利性单位声明函》。</w:t>
      </w:r>
    </w:p>
    <w:p w14:paraId="47AE6EA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41</w:t>
      </w:r>
      <w:r>
        <w:rPr>
          <w:rFonts w:hint="eastAsia" w:ascii="Times New Roman" w:hAnsi="Times New Roman"/>
          <w:color w:val="auto"/>
          <w:sz w:val="24"/>
          <w:szCs w:val="24"/>
          <w:highlight w:val="none"/>
        </w:rPr>
        <w:t>、按规定享受扶持政策获得政府采购合同的，小微企业不得将合同分包给大中型企业，中型企业不得将合同分包给大型企业。</w:t>
      </w:r>
    </w:p>
    <w:p w14:paraId="09D856DA">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42</w:t>
      </w:r>
      <w:r>
        <w:rPr>
          <w:rFonts w:hint="eastAsia" w:ascii="Times New Roman" w:hAnsi="Times New Roman"/>
          <w:color w:val="auto"/>
          <w:sz w:val="24"/>
          <w:szCs w:val="24"/>
          <w:highlight w:val="none"/>
        </w:rPr>
        <w:t>、供应商按照《政府采购促进中小企业发展管理办法》（财库﹝</w:t>
      </w:r>
      <w:r>
        <w:rPr>
          <w:rFonts w:ascii="Times New Roman" w:hAnsi="Times New Roman"/>
          <w:color w:val="auto"/>
          <w:sz w:val="24"/>
          <w:szCs w:val="24"/>
          <w:highlight w:val="none"/>
        </w:rPr>
        <w:t>2020</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46</w:t>
      </w:r>
      <w:r>
        <w:rPr>
          <w:rFonts w:hint="eastAsia" w:ascii="Times New Roman" w:hAnsi="Times New Roman"/>
          <w:color w:val="auto"/>
          <w:sz w:val="24"/>
          <w:szCs w:val="24"/>
          <w:highlight w:val="none"/>
        </w:rPr>
        <w:t>号）规定提供声明函内容不实的，属于提供虚假材料谋取中标、成交，依照《中华人民共和国政府采购法》等国家有关规定追究相应责任。</w:t>
      </w:r>
    </w:p>
    <w:p w14:paraId="1590A4FE">
      <w:pPr>
        <w:pageBreakBefore/>
        <w:spacing w:line="360" w:lineRule="auto"/>
        <w:jc w:val="center"/>
        <w:outlineLvl w:val="0"/>
        <w:rPr>
          <w:rFonts w:asciiTheme="minorEastAsia" w:hAnsiTheme="minorEastAsia" w:eastAsiaTheme="minorEastAsia"/>
          <w:b/>
          <w:color w:val="auto"/>
          <w:sz w:val="36"/>
          <w:szCs w:val="36"/>
          <w:highlight w:val="none"/>
        </w:rPr>
      </w:pPr>
      <w:bookmarkStart w:id="76" w:name="_Toc3645"/>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34"/>
      <w:r>
        <w:rPr>
          <w:rFonts w:asciiTheme="minorEastAsia" w:hAnsiTheme="minorEastAsia" w:eastAsiaTheme="minorEastAsia"/>
          <w:color w:val="auto"/>
          <w:highlight w:val="none"/>
        </w:rPr>
        <w:fldChar w:fldCharType="end"/>
      </w:r>
      <w:bookmarkEnd w:id="35"/>
      <w:bookmarkEnd w:id="36"/>
      <w:bookmarkEnd w:id="37"/>
      <w:bookmarkEnd w:id="38"/>
      <w:bookmarkEnd w:id="39"/>
      <w:bookmarkEnd w:id="40"/>
      <w:bookmarkEnd w:id="76"/>
    </w:p>
    <w:p w14:paraId="59FAE9F9">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一、</w:t>
      </w:r>
      <w:r>
        <w:rPr>
          <w:rFonts w:eastAsia="宋体" w:cs="Times New Roman" w:asciiTheme="minorEastAsia" w:hAnsiTheme="minorEastAsia"/>
          <w:color w:val="auto"/>
          <w:kern w:val="0"/>
          <w:sz w:val="24"/>
          <w:szCs w:val="24"/>
          <w:highlight w:val="none"/>
        </w:rPr>
        <w:t>本评标标准是对</w:t>
      </w:r>
      <w:r>
        <w:rPr>
          <w:rFonts w:hint="eastAsia" w:eastAsia="宋体" w:cs="Times New Roman" w:asciiTheme="minorEastAsia" w:hAnsiTheme="minorEastAsia"/>
          <w:color w:val="auto"/>
          <w:kern w:val="0"/>
          <w:sz w:val="24"/>
          <w:szCs w:val="24"/>
          <w:highlight w:val="none"/>
        </w:rPr>
        <w:t>《投标人须知》中</w:t>
      </w:r>
      <w:r>
        <w:rPr>
          <w:rFonts w:eastAsia="宋体" w:cs="Times New Roman" w:asciiTheme="minorEastAsia" w:hAnsiTheme="minorEastAsia"/>
          <w:color w:val="auto"/>
          <w:kern w:val="0"/>
          <w:sz w:val="24"/>
          <w:szCs w:val="24"/>
          <w:highlight w:val="none"/>
        </w:rPr>
        <w:t>的</w:t>
      </w:r>
      <w:r>
        <w:rPr>
          <w:rFonts w:hint="eastAsia" w:eastAsia="宋体" w:cs="Times New Roman" w:asciiTheme="minorEastAsia" w:hAnsiTheme="minorEastAsia"/>
          <w:color w:val="auto"/>
          <w:kern w:val="0"/>
          <w:sz w:val="24"/>
          <w:szCs w:val="24"/>
          <w:highlight w:val="none"/>
        </w:rPr>
        <w:t>“六、</w:t>
      </w:r>
      <w:r>
        <w:rPr>
          <w:rFonts w:eastAsia="宋体" w:cs="Times New Roman" w:asciiTheme="minorEastAsia" w:hAnsiTheme="minorEastAsia"/>
          <w:color w:val="auto"/>
          <w:kern w:val="0"/>
          <w:sz w:val="24"/>
          <w:szCs w:val="24"/>
          <w:highlight w:val="none"/>
        </w:rPr>
        <w:t>评标和定标</w:t>
      </w:r>
      <w:r>
        <w:rPr>
          <w:rFonts w:hint="eastAsia" w:eastAsia="宋体" w:cs="Times New Roman" w:asciiTheme="minorEastAsia" w:hAnsiTheme="minorEastAsia"/>
          <w:color w:val="auto"/>
          <w:kern w:val="0"/>
          <w:sz w:val="24"/>
          <w:szCs w:val="24"/>
          <w:highlight w:val="none"/>
        </w:rPr>
        <w:t>”</w:t>
      </w:r>
      <w:r>
        <w:rPr>
          <w:rFonts w:eastAsia="宋体" w:cs="Times New Roman" w:asciiTheme="minorEastAsia" w:hAnsiTheme="minorEastAsia"/>
          <w:color w:val="auto"/>
          <w:kern w:val="0"/>
          <w:sz w:val="24"/>
          <w:szCs w:val="24"/>
          <w:highlight w:val="none"/>
        </w:rPr>
        <w:t>的具体补充，如有不一致，以本办法为准。</w:t>
      </w:r>
    </w:p>
    <w:p w14:paraId="09EED9A4">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二、</w:t>
      </w:r>
      <w:r>
        <w:rPr>
          <w:rFonts w:eastAsia="宋体" w:cs="Times New Roman" w:asciiTheme="minorEastAsia" w:hAnsiTheme="minorEastAsia"/>
          <w:color w:val="auto"/>
          <w:kern w:val="0"/>
          <w:sz w:val="24"/>
          <w:szCs w:val="24"/>
          <w:highlight w:val="none"/>
        </w:rPr>
        <w:t>评标委员会按照</w:t>
      </w:r>
      <w:r>
        <w:rPr>
          <w:rFonts w:hint="eastAsia" w:eastAsia="宋体" w:cs="Times New Roman" w:asciiTheme="minorEastAsia" w:hAnsiTheme="minorEastAsia"/>
          <w:color w:val="auto"/>
          <w:kern w:val="0"/>
          <w:sz w:val="24"/>
          <w:szCs w:val="24"/>
          <w:highlight w:val="none"/>
        </w:rPr>
        <w:t>投“标文件须知</w:t>
      </w:r>
      <w:r>
        <w:rPr>
          <w:rFonts w:eastAsia="宋体" w:cs="Times New Roman" w:asciiTheme="minorEastAsia" w:hAnsiTheme="minorEastAsia"/>
          <w:color w:val="auto"/>
          <w:kern w:val="0"/>
          <w:sz w:val="24"/>
          <w:szCs w:val="24"/>
          <w:highlight w:val="none"/>
        </w:rPr>
        <w:t>中”中关于评标委员会、评标办法、评标程序和原则、推荐中标人、定标等规定和本标准开展评标工作。</w:t>
      </w:r>
    </w:p>
    <w:p w14:paraId="2B201670">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9098076">
      <w:pPr>
        <w:spacing w:line="360" w:lineRule="auto"/>
        <w:rPr>
          <w:rFonts w:hint="eastAsia" w:eastAsia="宋体" w:cs="Times New Roman" w:asciiTheme="minorEastAsia" w:hAnsiTheme="minorEastAsia"/>
          <w:color w:val="auto"/>
          <w:kern w:val="0"/>
          <w:sz w:val="24"/>
          <w:szCs w:val="24"/>
          <w:highlight w:val="none"/>
        </w:rPr>
      </w:pPr>
      <w:bookmarkStart w:id="77" w:name="_Toc30471"/>
      <w:bookmarkStart w:id="78" w:name="_Toc263083252"/>
      <w:bookmarkStart w:id="79" w:name="_Toc250837975"/>
      <w:r>
        <w:rPr>
          <w:rFonts w:hint="eastAsia" w:eastAsia="宋体" w:cs="Times New Roman" w:asciiTheme="minorEastAsia" w:hAnsiTheme="minorEastAsia"/>
          <w:color w:val="auto"/>
          <w:kern w:val="0"/>
          <w:sz w:val="24"/>
          <w:szCs w:val="24"/>
          <w:highlight w:val="none"/>
        </w:rPr>
        <w:t>三、</w:t>
      </w:r>
      <w:r>
        <w:rPr>
          <w:rFonts w:eastAsia="宋体" w:cs="Times New Roman" w:asciiTheme="minorEastAsia" w:hAnsiTheme="minorEastAsia"/>
          <w:color w:val="auto"/>
          <w:kern w:val="0"/>
          <w:sz w:val="24"/>
          <w:szCs w:val="24"/>
          <w:highlight w:val="none"/>
        </w:rPr>
        <w:t>评标办法</w:t>
      </w:r>
      <w:bookmarkEnd w:id="77"/>
      <w:bookmarkEnd w:id="78"/>
    </w:p>
    <w:p w14:paraId="4C91E411">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本次采购招标项目选用：综合评分法</w:t>
      </w:r>
      <w:bookmarkEnd w:id="79"/>
      <w:bookmarkStart w:id="80" w:name="_Toc263083253"/>
      <w:bookmarkStart w:id="81" w:name="_Toc250837976"/>
      <w:bookmarkStart w:id="82" w:name="_Toc5897"/>
      <w:r>
        <w:rPr>
          <w:rFonts w:hint="eastAsia" w:eastAsia="宋体" w:cs="Times New Roman" w:asciiTheme="minorEastAsia" w:hAnsiTheme="minorEastAsia"/>
          <w:color w:val="auto"/>
          <w:kern w:val="0"/>
          <w:sz w:val="24"/>
          <w:szCs w:val="24"/>
          <w:highlight w:val="none"/>
        </w:rPr>
        <w:t>。</w:t>
      </w:r>
    </w:p>
    <w:p w14:paraId="13E738AB">
      <w:pPr>
        <w:spacing w:line="360" w:lineRule="auto"/>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四、</w:t>
      </w:r>
      <w:r>
        <w:rPr>
          <w:rFonts w:eastAsia="宋体" w:cs="Times New Roman" w:asciiTheme="minorEastAsia" w:hAnsiTheme="minorEastAsia"/>
          <w:color w:val="auto"/>
          <w:kern w:val="0"/>
          <w:sz w:val="24"/>
          <w:szCs w:val="24"/>
          <w:highlight w:val="none"/>
        </w:rPr>
        <w:t>评标细则</w:t>
      </w:r>
      <w:bookmarkEnd w:id="80"/>
      <w:bookmarkEnd w:id="81"/>
      <w:bookmarkEnd w:id="82"/>
    </w:p>
    <w:p w14:paraId="2875BF74">
      <w:pPr>
        <w:spacing w:line="360" w:lineRule="auto"/>
        <w:ind w:firstLine="480" w:firstLineChars="200"/>
        <w:rPr>
          <w:rFonts w:hint="eastAsia" w:eastAsia="宋体" w:cs="Times New Roman" w:asciiTheme="minorEastAsia" w:hAnsiTheme="minorEastAsia"/>
          <w:color w:val="auto"/>
          <w:kern w:val="0"/>
          <w:sz w:val="24"/>
          <w:szCs w:val="24"/>
          <w:highlight w:val="none"/>
        </w:rPr>
      </w:pPr>
      <w:bookmarkStart w:id="83" w:name="_Toc246663002"/>
      <w:bookmarkStart w:id="84" w:name="_Toc15854"/>
      <w:bookmarkStart w:id="85" w:name="_Toc263083254"/>
      <w:bookmarkStart w:id="86" w:name="_Toc202897570"/>
      <w:bookmarkStart w:id="87" w:name="_Toc471938831"/>
      <w:bookmarkStart w:id="88" w:name="_Toc243312838"/>
      <w:bookmarkStart w:id="89" w:name="_Toc208222299"/>
      <w:bookmarkStart w:id="90" w:name="_Toc203406683"/>
      <w:bookmarkStart w:id="91" w:name="_Toc250837977"/>
      <w:r>
        <w:rPr>
          <w:rFonts w:eastAsia="宋体" w:cs="Times New Roman" w:asciiTheme="minorEastAsia" w:hAnsiTheme="minorEastAsia"/>
          <w:color w:val="auto"/>
          <w:kern w:val="0"/>
          <w:sz w:val="24"/>
          <w:szCs w:val="24"/>
          <w:highlight w:val="none"/>
        </w:rPr>
        <w:t>1、对初步审查（含资格审查、符合性审查）合格者进行评分。</w:t>
      </w:r>
    </w:p>
    <w:p w14:paraId="483E9BFB">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2、每位评委根据《评分标准》独立逐栏打分，每栏分值不得超出规定的分值范围。</w:t>
      </w:r>
    </w:p>
    <w:p w14:paraId="24F2DA08">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3、价格评审基准价格与价格评审：按照“评分标准”中评审得分公式计算，以四舍五入方法整合到小数点后二位。</w:t>
      </w:r>
    </w:p>
    <w:p w14:paraId="13A32353">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4、最终得分：各评委技术商务分的算术平均值+投标价格分=最终得分，以四舍五入法整合到小数点后二位。</w:t>
      </w:r>
    </w:p>
    <w:p w14:paraId="0DB6F839">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eastAsia="宋体" w:cs="Times New Roman" w:asciiTheme="minorEastAsia" w:hAnsiTheme="minorEastAsia"/>
          <w:color w:val="auto"/>
          <w:kern w:val="0"/>
          <w:sz w:val="24"/>
          <w:szCs w:val="24"/>
          <w:highlight w:val="none"/>
        </w:rPr>
        <w:t>5、评价排序：按评审后</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得分由高到低顺序排列。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得分相同的，按投标报价由低到高顺序排列。</w:t>
      </w:r>
      <w:r>
        <w:rPr>
          <w:rFonts w:hint="eastAsia" w:cs="Times New Roman" w:asciiTheme="minorEastAsia" w:hAnsiTheme="minorEastAsia"/>
          <w:color w:val="auto"/>
          <w:kern w:val="0"/>
          <w:sz w:val="24"/>
          <w:szCs w:val="24"/>
          <w:highlight w:val="none"/>
          <w:lang w:val="en-US" w:eastAsia="zh-CN"/>
        </w:rPr>
        <w:t>最终</w:t>
      </w:r>
      <w:r>
        <w:rPr>
          <w:rFonts w:eastAsia="宋体" w:cs="Times New Roman" w:asciiTheme="minorEastAsia" w:hAnsiTheme="minorEastAsia"/>
          <w:color w:val="auto"/>
          <w:kern w:val="0"/>
          <w:sz w:val="24"/>
          <w:szCs w:val="24"/>
          <w:highlight w:val="none"/>
        </w:rPr>
        <w:t>得分且投标报价相同的并列</w:t>
      </w:r>
      <w:bookmarkEnd w:id="83"/>
      <w:bookmarkEnd w:id="84"/>
      <w:bookmarkEnd w:id="85"/>
      <w:bookmarkEnd w:id="86"/>
      <w:bookmarkEnd w:id="87"/>
      <w:bookmarkEnd w:id="88"/>
      <w:bookmarkEnd w:id="89"/>
      <w:bookmarkEnd w:id="90"/>
      <w:bookmarkEnd w:id="91"/>
      <w:r>
        <w:rPr>
          <w:rFonts w:hint="eastAsia" w:eastAsia="宋体" w:cs="Times New Roman" w:asciiTheme="minorEastAsia" w:hAnsiTheme="minorEastAsia"/>
          <w:color w:val="auto"/>
          <w:kern w:val="0"/>
          <w:sz w:val="24"/>
          <w:szCs w:val="24"/>
          <w:highlight w:val="none"/>
        </w:rPr>
        <w:t>，抽签决定中标候选人。</w:t>
      </w:r>
    </w:p>
    <w:p w14:paraId="29296FDC">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6、其他说明</w:t>
      </w:r>
    </w:p>
    <w:p w14:paraId="35B50332">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（1）</w:t>
      </w:r>
      <w:r>
        <w:rPr>
          <w:rFonts w:eastAsia="宋体" w:cs="Times New Roman" w:asciiTheme="minorEastAsia" w:hAnsiTheme="minorEastAsia"/>
          <w:color w:val="auto"/>
          <w:kern w:val="0"/>
          <w:sz w:val="24"/>
          <w:szCs w:val="24"/>
          <w:highlight w:val="none"/>
        </w:rPr>
        <w:t>有效投标：通过初步审查且投标报价符合评审范围。</w:t>
      </w:r>
    </w:p>
    <w:p w14:paraId="7C485872">
      <w:pPr>
        <w:spacing w:line="360" w:lineRule="auto"/>
        <w:ind w:firstLine="482" w:firstLineChars="200"/>
        <w:rPr>
          <w:rFonts w:hint="eastAsia" w:eastAsia="宋体" w:cs="Times New Roman" w:asciiTheme="minorEastAsia" w:hAnsiTheme="minorEastAsia"/>
          <w:b/>
          <w:color w:val="auto"/>
          <w:kern w:val="0"/>
          <w:sz w:val="24"/>
          <w:szCs w:val="24"/>
          <w:highlight w:val="none"/>
        </w:rPr>
      </w:pPr>
      <w:r>
        <w:rPr>
          <w:rFonts w:hint="eastAsia" w:eastAsia="宋体" w:cs="Times New Roman" w:asciiTheme="minorEastAsia" w:hAnsiTheme="minorEastAsia"/>
          <w:b/>
          <w:color w:val="auto"/>
          <w:kern w:val="0"/>
          <w:sz w:val="24"/>
          <w:szCs w:val="24"/>
          <w:highlight w:val="none"/>
        </w:rPr>
        <w:t>（2）本次采购为非专门面向中小企业，本次评标将对中小企业声明函满足采购文件要求的小型和微型企业产品的价格（包括监狱企业）给予10%的扣除，用扣除后的价格参与评审。</w:t>
      </w:r>
    </w:p>
    <w:p w14:paraId="7E7611F5">
      <w:pPr>
        <w:spacing w:line="360" w:lineRule="auto"/>
        <w:ind w:firstLine="480" w:firstLineChars="200"/>
        <w:rPr>
          <w:rFonts w:hint="eastAsia" w:eastAsia="宋体" w:cs="Times New Roman" w:asciiTheme="minorEastAsia" w:hAnsiTheme="minorEastAsia"/>
          <w:color w:val="auto"/>
          <w:kern w:val="0"/>
          <w:sz w:val="24"/>
          <w:szCs w:val="24"/>
          <w:highlight w:val="none"/>
        </w:rPr>
      </w:pPr>
      <w:r>
        <w:rPr>
          <w:rFonts w:hint="eastAsia" w:eastAsia="宋体" w:cs="Times New Roman" w:asciiTheme="minorEastAsia" w:hAnsiTheme="minorEastAsia"/>
          <w:color w:val="auto"/>
          <w:kern w:val="0"/>
          <w:sz w:val="24"/>
          <w:szCs w:val="24"/>
          <w:highlight w:val="none"/>
        </w:rPr>
        <w:t>（3）</w:t>
      </w:r>
      <w:r>
        <w:rPr>
          <w:rFonts w:eastAsia="宋体" w:cs="Times New Roman" w:asciiTheme="minorEastAsia" w:hAnsiTheme="minorEastAsia"/>
          <w:color w:val="auto"/>
          <w:kern w:val="0"/>
          <w:sz w:val="24"/>
          <w:szCs w:val="24"/>
          <w:highlight w:val="none"/>
        </w:rPr>
        <w:t>如果中标人自动放弃中标资格或因质疑或是投诉被取消中标资格的，可视情况报经财政部门同意后根据评审结果按顺序由排在后面的候选供应商递补，以此类推。</w:t>
      </w:r>
    </w:p>
    <w:p w14:paraId="235A915D">
      <w:pPr>
        <w:snapToGrid w:val="0"/>
        <w:spacing w:afterLines="50"/>
        <w:ind w:firstLine="562"/>
        <w:jc w:val="center"/>
        <w:rPr>
          <w:b/>
          <w:color w:val="auto"/>
          <w:sz w:val="28"/>
          <w:szCs w:val="28"/>
          <w:highlight w:val="none"/>
        </w:rPr>
      </w:pPr>
      <w:r>
        <w:rPr>
          <w:b/>
          <w:color w:val="auto"/>
          <w:sz w:val="28"/>
          <w:szCs w:val="28"/>
          <w:highlight w:val="none"/>
        </w:rPr>
        <w:t>评分标准</w:t>
      </w:r>
    </w:p>
    <w:tbl>
      <w:tblPr>
        <w:tblStyle w:val="4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58"/>
        <w:gridCol w:w="5921"/>
        <w:gridCol w:w="699"/>
      </w:tblGrid>
      <w:tr w14:paraId="18D5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1" w:type="dxa"/>
            <w:shd w:val="clear" w:color="auto" w:fill="DCD8C2" w:themeFill="background2" w:themeFillShade="E5"/>
            <w:vAlign w:val="center"/>
          </w:tcPr>
          <w:p w14:paraId="57C72749">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58" w:type="dxa"/>
            <w:shd w:val="clear" w:color="auto" w:fill="DCD8C2" w:themeFill="background2" w:themeFillShade="E5"/>
            <w:vAlign w:val="center"/>
          </w:tcPr>
          <w:p w14:paraId="1FFFA790">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5921" w:type="dxa"/>
            <w:shd w:val="clear" w:color="auto" w:fill="DCD8C2" w:themeFill="background2" w:themeFillShade="E5"/>
            <w:vAlign w:val="center"/>
          </w:tcPr>
          <w:p w14:paraId="40E36E41">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699" w:type="dxa"/>
            <w:shd w:val="clear" w:color="auto" w:fill="DCD8C2" w:themeFill="background2" w:themeFillShade="E5"/>
            <w:vAlign w:val="center"/>
          </w:tcPr>
          <w:p w14:paraId="0904EECF">
            <w:pPr>
              <w:keepNext w:val="0"/>
              <w:keepLines w:val="0"/>
              <w:suppressLineNumbers w:val="0"/>
              <w:adjustRightInd w:val="0"/>
              <w:spacing w:before="0" w:beforeAutospacing="0" w:after="100" w:afterAutospacing="1" w:line="44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A00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641" w:type="dxa"/>
            <w:vAlign w:val="center"/>
          </w:tcPr>
          <w:p w14:paraId="2F3DFF6E">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1</w:t>
            </w:r>
          </w:p>
        </w:tc>
        <w:tc>
          <w:tcPr>
            <w:tcW w:w="1258" w:type="dxa"/>
            <w:vAlign w:val="center"/>
          </w:tcPr>
          <w:p w14:paraId="5160707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技术性能（4</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tc>
        <w:tc>
          <w:tcPr>
            <w:tcW w:w="5921" w:type="dxa"/>
            <w:vAlign w:val="center"/>
          </w:tcPr>
          <w:p w14:paraId="29361A8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专家结合投标产品各项技术参数与采购文件要求的偏离情况综合打分，每</w:t>
            </w:r>
            <w:r>
              <w:rPr>
                <w:rFonts w:hint="eastAsia" w:ascii="宋体" w:hAnsi="宋体" w:eastAsia="宋体" w:cs="宋体"/>
                <w:color w:val="auto"/>
                <w:kern w:val="0"/>
                <w:sz w:val="24"/>
                <w:szCs w:val="24"/>
                <w:highlight w:val="none"/>
                <w:lang w:val="en-US" w:eastAsia="zh-CN"/>
              </w:rPr>
              <w:t>1条带★号的技术参数不满足招标需求的扣2分，每1条一般参数不满足招标需求的扣1分，</w:t>
            </w:r>
            <w:r>
              <w:rPr>
                <w:rFonts w:hint="eastAsia" w:ascii="宋体" w:hAnsi="宋体" w:cs="宋体"/>
                <w:color w:val="auto"/>
                <w:kern w:val="0"/>
                <w:sz w:val="24"/>
                <w:highlight w:val="none"/>
                <w:lang w:val="en-US" w:eastAsia="zh-CN"/>
              </w:rPr>
              <w:t>,</w:t>
            </w:r>
            <w:r>
              <w:rPr>
                <w:rFonts w:hint="eastAsia" w:ascii="宋体" w:hAnsi="宋体" w:eastAsia="宋体" w:cs="宋体"/>
                <w:color w:val="auto"/>
                <w:sz w:val="24"/>
                <w:szCs w:val="24"/>
                <w:highlight w:val="none"/>
                <w:lang w:eastAsia="zh-CN"/>
              </w:rPr>
              <w:t>扣至零分及以下的做无效标认定</w:t>
            </w:r>
            <w:r>
              <w:rPr>
                <w:rFonts w:hint="eastAsia" w:ascii="宋体" w:hAnsi="宋体" w:eastAsia="宋体" w:cs="宋体"/>
                <w:color w:val="auto"/>
                <w:kern w:val="0"/>
                <w:sz w:val="24"/>
                <w:szCs w:val="24"/>
                <w:highlight w:val="none"/>
                <w:lang w:val="en-US" w:eastAsia="zh-CN"/>
              </w:rPr>
              <w:t>。</w:t>
            </w:r>
          </w:p>
          <w:p w14:paraId="55AC489D">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zh-CN"/>
              </w:rPr>
              <w:t>注：标“★”的参数需要在投标文件中提供检测报告或产品彩页或官网截图或软件截图</w:t>
            </w:r>
            <w:r>
              <w:rPr>
                <w:rFonts w:hint="eastAsia" w:ascii="宋体" w:hAnsi="宋体" w:cs="宋体"/>
                <w:b/>
                <w:bCs/>
                <w:color w:val="auto"/>
                <w:kern w:val="0"/>
                <w:sz w:val="24"/>
                <w:szCs w:val="24"/>
                <w:highlight w:val="none"/>
                <w:lang w:val="en-US" w:eastAsia="zh-CN"/>
              </w:rPr>
              <w:t>等</w:t>
            </w:r>
            <w:r>
              <w:rPr>
                <w:rFonts w:hint="eastAsia" w:ascii="宋体" w:hAnsi="宋体" w:eastAsia="宋体" w:cs="宋体"/>
                <w:b/>
                <w:bCs/>
                <w:color w:val="auto"/>
                <w:kern w:val="0"/>
                <w:sz w:val="24"/>
                <w:szCs w:val="24"/>
                <w:highlight w:val="none"/>
                <w:lang w:val="zh-CN"/>
              </w:rPr>
              <w:t>证明</w:t>
            </w:r>
            <w:r>
              <w:rPr>
                <w:rFonts w:hint="eastAsia" w:ascii="宋体" w:hAnsi="宋体" w:cs="宋体"/>
                <w:b/>
                <w:bCs/>
                <w:color w:val="auto"/>
                <w:kern w:val="0"/>
                <w:sz w:val="24"/>
                <w:szCs w:val="24"/>
                <w:highlight w:val="none"/>
                <w:lang w:val="en-US" w:eastAsia="zh-CN"/>
              </w:rPr>
              <w:t>材料</w:t>
            </w:r>
            <w:r>
              <w:rPr>
                <w:rFonts w:hint="eastAsia" w:ascii="宋体" w:hAnsi="宋体" w:eastAsia="宋体" w:cs="宋体"/>
                <w:b/>
                <w:bCs/>
                <w:color w:val="auto"/>
                <w:kern w:val="0"/>
                <w:sz w:val="24"/>
                <w:szCs w:val="24"/>
                <w:highlight w:val="none"/>
                <w:lang w:val="zh-CN"/>
              </w:rPr>
              <w:t>，未提供将视为负偏离</w:t>
            </w:r>
            <w:r>
              <w:rPr>
                <w:rFonts w:hint="eastAsia"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en-US" w:eastAsia="zh-CN"/>
              </w:rPr>
              <w:t>技术需求</w:t>
            </w:r>
            <w:r>
              <w:rPr>
                <w:rFonts w:hint="eastAsia" w:ascii="宋体" w:hAnsi="宋体" w:eastAsia="宋体" w:cs="宋体"/>
                <w:b/>
                <w:bCs/>
                <w:color w:val="auto"/>
                <w:kern w:val="0"/>
                <w:sz w:val="24"/>
                <w:szCs w:val="24"/>
                <w:highlight w:val="none"/>
                <w:lang w:val="zh-CN"/>
              </w:rPr>
              <w:t>参数中明确需提供</w:t>
            </w:r>
            <w:r>
              <w:rPr>
                <w:rFonts w:hint="eastAsia" w:ascii="宋体" w:hAnsi="宋体" w:eastAsia="宋体" w:cs="宋体"/>
                <w:b/>
                <w:bCs/>
                <w:color w:val="auto"/>
                <w:kern w:val="0"/>
                <w:sz w:val="24"/>
                <w:szCs w:val="24"/>
                <w:highlight w:val="none"/>
              </w:rPr>
              <w:t>检测报告或产品彩页或官网截图或软件截图</w:t>
            </w:r>
            <w:r>
              <w:rPr>
                <w:rFonts w:hint="eastAsia" w:ascii="宋体" w:hAnsi="宋体" w:eastAsia="宋体" w:cs="宋体"/>
                <w:b/>
                <w:bCs/>
                <w:color w:val="auto"/>
                <w:kern w:val="0"/>
                <w:sz w:val="24"/>
                <w:szCs w:val="24"/>
                <w:highlight w:val="none"/>
                <w:lang w:val="zh-CN"/>
              </w:rPr>
              <w:t>作为证明材料的，未提供将视为负偏离。</w:t>
            </w:r>
          </w:p>
        </w:tc>
        <w:tc>
          <w:tcPr>
            <w:tcW w:w="699" w:type="dxa"/>
            <w:vAlign w:val="center"/>
          </w:tcPr>
          <w:p w14:paraId="0E058CB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分</w:t>
            </w:r>
          </w:p>
        </w:tc>
      </w:tr>
      <w:tr w14:paraId="0DA3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641" w:type="dxa"/>
            <w:vAlign w:val="center"/>
          </w:tcPr>
          <w:p w14:paraId="5323117F">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2</w:t>
            </w:r>
          </w:p>
        </w:tc>
        <w:tc>
          <w:tcPr>
            <w:tcW w:w="1258" w:type="dxa"/>
            <w:vAlign w:val="center"/>
          </w:tcPr>
          <w:p w14:paraId="3B179555">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供货及验收方案</w:t>
            </w:r>
          </w:p>
          <w:p w14:paraId="7ACA91E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5921" w:type="dxa"/>
            <w:vAlign w:val="center"/>
          </w:tcPr>
          <w:p w14:paraId="381DF3D4">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根据投标人针对本次采购货物供货、验收方案进行评分：</w:t>
            </w:r>
          </w:p>
          <w:p w14:paraId="73147BD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（1）供货方案内容齐全，包含了招标需求中的全部内容，对具体的验收方案作出了详细、明确的阐述，且项目方案贴合本项目实际情况的得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3509A6AC">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（2）供货方案内容较齐全，包含了招标需求中的大部分内容，对具体的验收方案作出了详细、明确的阐述，但方案没有针对本项目实际情况的得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3AD91F8E">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（3）供货方案内容不够齐全，缺少内容，验收方案阐述不明确的得1分；</w:t>
            </w:r>
          </w:p>
          <w:p w14:paraId="0CA40D16">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（4）未提及此项的不得分。</w:t>
            </w:r>
          </w:p>
        </w:tc>
        <w:tc>
          <w:tcPr>
            <w:tcW w:w="699" w:type="dxa"/>
            <w:vAlign w:val="center"/>
          </w:tcPr>
          <w:p w14:paraId="2607FC5E">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0000FF"/>
                <w:sz w:val="24"/>
                <w:szCs w:val="24"/>
                <w:highlight w:val="none"/>
                <w:lang w:val="en-US" w:eastAsia="zh-CN"/>
              </w:rPr>
              <w:t>5</w:t>
            </w:r>
            <w:r>
              <w:rPr>
                <w:rFonts w:hint="eastAsia" w:ascii="宋体" w:hAnsi="宋体" w:eastAsia="宋体" w:cs="宋体"/>
                <w:color w:val="0000FF"/>
                <w:sz w:val="24"/>
                <w:szCs w:val="24"/>
                <w:highlight w:val="none"/>
              </w:rPr>
              <w:t>分</w:t>
            </w:r>
          </w:p>
        </w:tc>
      </w:tr>
      <w:tr w14:paraId="5DA0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41" w:type="dxa"/>
            <w:vAlign w:val="center"/>
          </w:tcPr>
          <w:p w14:paraId="24617437">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3</w:t>
            </w:r>
          </w:p>
        </w:tc>
        <w:tc>
          <w:tcPr>
            <w:tcW w:w="1258" w:type="dxa"/>
            <w:vAlign w:val="center"/>
          </w:tcPr>
          <w:p w14:paraId="0185D57A">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安装调试方案</w:t>
            </w:r>
          </w:p>
          <w:p w14:paraId="224E1A96">
            <w:pPr>
              <w:keepNext w:val="0"/>
              <w:keepLines w:val="0"/>
              <w:suppressLineNumbers w:val="0"/>
              <w:spacing w:before="0" w:beforeAutospacing="0" w:after="0" w:afterAutospacing="0" w:line="360" w:lineRule="exact"/>
              <w:ind w:left="0" w:right="0"/>
              <w:jc w:val="center"/>
              <w:rPr>
                <w:rFonts w:hint="eastAsia" w:ascii="宋体" w:hAnsi="宋体" w:cs="宋体" w:eastAsiaTheme="minorEastAsia"/>
                <w:b/>
                <w:color w:val="auto"/>
                <w:kern w:val="0"/>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3分</w:t>
            </w:r>
            <w:r>
              <w:rPr>
                <w:rFonts w:hint="eastAsia" w:asciiTheme="minorEastAsia" w:hAnsiTheme="minorEastAsia" w:eastAsiaTheme="minorEastAsia" w:cstheme="minorEastAsia"/>
                <w:b/>
                <w:bCs/>
                <w:color w:val="auto"/>
                <w:sz w:val="24"/>
                <w:szCs w:val="24"/>
                <w:highlight w:val="none"/>
                <w:lang w:eastAsia="zh-CN"/>
              </w:rPr>
              <w:t>）</w:t>
            </w:r>
          </w:p>
        </w:tc>
        <w:tc>
          <w:tcPr>
            <w:tcW w:w="5921" w:type="dxa"/>
            <w:vAlign w:val="center"/>
          </w:tcPr>
          <w:p w14:paraId="35EED3DC">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根据投标人提供的</w:t>
            </w:r>
            <w:r>
              <w:rPr>
                <w:rFonts w:hint="eastAsia" w:asciiTheme="minorEastAsia" w:hAnsiTheme="minorEastAsia" w:eastAsiaTheme="minorEastAsia" w:cstheme="minorEastAsia"/>
                <w:bCs/>
                <w:color w:val="auto"/>
                <w:kern w:val="0"/>
                <w:sz w:val="24"/>
                <w:szCs w:val="24"/>
                <w:highlight w:val="none"/>
              </w:rPr>
              <w:t>安装调试方案，内容包含但不限于以下要点：安装方法、安装人员配置、调试方法、开箱调试方式。评委根据内容进行评议：</w:t>
            </w:r>
          </w:p>
          <w:p w14:paraId="2E19BE3E">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安装调试方案</w:t>
            </w:r>
            <w:r>
              <w:rPr>
                <w:rFonts w:hint="eastAsia" w:asciiTheme="minorEastAsia" w:hAnsiTheme="minorEastAsia" w:eastAsiaTheme="minorEastAsia" w:cstheme="minorEastAsia"/>
                <w:bCs/>
                <w:color w:val="auto"/>
                <w:sz w:val="24"/>
                <w:szCs w:val="24"/>
                <w:highlight w:val="none"/>
                <w:lang w:val="en-US" w:eastAsia="zh-CN"/>
              </w:rPr>
              <w:t>完整，</w:t>
            </w:r>
            <w:r>
              <w:rPr>
                <w:rFonts w:hint="eastAsia" w:asciiTheme="minorEastAsia" w:hAnsiTheme="minorEastAsia" w:eastAsiaTheme="minorEastAsia" w:cstheme="minorEastAsia"/>
                <w:bCs/>
                <w:color w:val="auto"/>
                <w:sz w:val="24"/>
                <w:szCs w:val="24"/>
                <w:highlight w:val="none"/>
              </w:rPr>
              <w:t>安装方法得当、安装人员配置贴合实际需求、调试方法科学明确、开箱调试方式科学，能确保产品正常安装并通过验收的得</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w:t>
            </w:r>
          </w:p>
          <w:p w14:paraId="36AFF0BA">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安装调试方案中涉及安装方法、安装人员配置、调试方法、开箱调试方式，但内容笼统细节不完善的得</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分；</w:t>
            </w:r>
          </w:p>
          <w:p w14:paraId="1B4AC478">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安装调试方案不完整，实际操作有无法保证产品正常安装风险的得</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分；</w:t>
            </w:r>
          </w:p>
          <w:p w14:paraId="3B29995D">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4</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rPr>
              <w:t>未提供相应内容</w:t>
            </w:r>
            <w:r>
              <w:rPr>
                <w:rFonts w:hint="eastAsia" w:asciiTheme="minorEastAsia" w:hAnsiTheme="minorEastAsia" w:eastAsiaTheme="minorEastAsia" w:cstheme="minorEastAsia"/>
                <w:bCs/>
                <w:color w:val="auto"/>
                <w:sz w:val="24"/>
                <w:szCs w:val="24"/>
                <w:highlight w:val="none"/>
                <w:lang w:eastAsia="zh-CN"/>
              </w:rPr>
              <w:t>或提供的内容完全不符合本项目实际需求</w:t>
            </w:r>
            <w:r>
              <w:rPr>
                <w:rFonts w:hint="eastAsia" w:asciiTheme="minorEastAsia" w:hAnsiTheme="minorEastAsia" w:eastAsiaTheme="minorEastAsia" w:cstheme="minorEastAsia"/>
                <w:bCs/>
                <w:color w:val="auto"/>
                <w:sz w:val="24"/>
                <w:szCs w:val="24"/>
                <w:highlight w:val="none"/>
              </w:rPr>
              <w:t>的不得分。</w:t>
            </w:r>
          </w:p>
        </w:tc>
        <w:tc>
          <w:tcPr>
            <w:tcW w:w="699" w:type="dxa"/>
            <w:vAlign w:val="center"/>
          </w:tcPr>
          <w:p w14:paraId="4BD8751B">
            <w:pPr>
              <w:keepNext w:val="0"/>
              <w:keepLines w:val="0"/>
              <w:pageBreakBefore w:val="0"/>
              <w:suppressLineNumbers w:val="0"/>
              <w:kinsoku/>
              <w:wordWrap/>
              <w:overflowPunct/>
              <w:topLinePunct w:val="0"/>
              <w:autoSpaceDE/>
              <w:autoSpaceDN/>
              <w:bidi w:val="0"/>
              <w:snapToGrid/>
              <w:spacing w:before="0" w:beforeAutospacing="0" w:after="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FF"/>
                <w:sz w:val="24"/>
                <w:szCs w:val="24"/>
                <w:highlight w:val="none"/>
              </w:rPr>
              <w:t>3分</w:t>
            </w:r>
          </w:p>
        </w:tc>
      </w:tr>
      <w:tr w14:paraId="7362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41" w:type="dxa"/>
            <w:vAlign w:val="center"/>
          </w:tcPr>
          <w:p w14:paraId="6DC4AA34">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4</w:t>
            </w:r>
          </w:p>
        </w:tc>
        <w:tc>
          <w:tcPr>
            <w:tcW w:w="1258" w:type="dxa"/>
            <w:vAlign w:val="center"/>
          </w:tcPr>
          <w:p w14:paraId="634F012B">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同类产品           销售业绩</w:t>
            </w:r>
          </w:p>
          <w:p w14:paraId="67CD7445">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c>
          <w:tcPr>
            <w:tcW w:w="5921" w:type="dxa"/>
            <w:vAlign w:val="center"/>
          </w:tcPr>
          <w:p w14:paraId="756C0E9A">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月1日以来同类项目的“合同+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评价（至少良好）”或“合同+验收报告”，每提供一份有效证明材料得1分，最高得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6289F21">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需提供相关证明材料原件扫描件并加盖电子公章，不提供不得分。</w:t>
            </w:r>
          </w:p>
        </w:tc>
        <w:tc>
          <w:tcPr>
            <w:tcW w:w="699" w:type="dxa"/>
            <w:vAlign w:val="center"/>
          </w:tcPr>
          <w:p w14:paraId="33AADB77">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2F8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restart"/>
            <w:vAlign w:val="center"/>
          </w:tcPr>
          <w:p w14:paraId="2E6FD993">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5</w:t>
            </w:r>
          </w:p>
        </w:tc>
        <w:tc>
          <w:tcPr>
            <w:tcW w:w="1258" w:type="dxa"/>
            <w:vMerge w:val="restart"/>
            <w:vAlign w:val="center"/>
          </w:tcPr>
          <w:p w14:paraId="3F57615C">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售后服务方案</w:t>
            </w:r>
          </w:p>
          <w:p w14:paraId="492C2051">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宋体" w:hAnsi="宋体" w:eastAsia="宋体" w:cs="宋体"/>
                <w:b/>
                <w:bCs/>
                <w:color w:val="auto"/>
                <w:sz w:val="24"/>
                <w:szCs w:val="24"/>
                <w:highlight w:val="none"/>
              </w:rPr>
              <w:t>分）</w:t>
            </w:r>
          </w:p>
        </w:tc>
        <w:tc>
          <w:tcPr>
            <w:tcW w:w="5921" w:type="dxa"/>
            <w:vAlign w:val="center"/>
          </w:tcPr>
          <w:p w14:paraId="1DD6154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质保期</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规定的质保期每增加一年得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99" w:type="dxa"/>
            <w:vAlign w:val="center"/>
          </w:tcPr>
          <w:p w14:paraId="45B216A0">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CA8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3A31B86D">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szCs w:val="24"/>
                <w:highlight w:val="none"/>
                <w:lang w:val="en-US" w:eastAsia="zh-CN"/>
              </w:rPr>
            </w:pPr>
          </w:p>
        </w:tc>
        <w:tc>
          <w:tcPr>
            <w:tcW w:w="1258" w:type="dxa"/>
            <w:vMerge w:val="continue"/>
            <w:vAlign w:val="center"/>
          </w:tcPr>
          <w:p w14:paraId="7BDBBF64">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4"/>
                <w:szCs w:val="24"/>
                <w:highlight w:val="none"/>
              </w:rPr>
            </w:pPr>
          </w:p>
        </w:tc>
        <w:tc>
          <w:tcPr>
            <w:tcW w:w="5921" w:type="dxa"/>
            <w:vAlign w:val="center"/>
          </w:tcPr>
          <w:p w14:paraId="3BB770C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根据投标人提供的售后服务方案、应急方案进行评分：</w:t>
            </w:r>
          </w:p>
          <w:p w14:paraId="155A67D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 承诺提供7×24 小时售后服务，包括邮件、电话、远程维护等方式；</w:t>
            </w:r>
          </w:p>
          <w:p w14:paraId="12EC6F8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 承诺设备在使用过程中遇到的问题/故障等问题，在解决问题过程中双方无条件配合支持，直到问题解决；</w:t>
            </w:r>
          </w:p>
          <w:p w14:paraId="28E5C9E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③包含针对本项目提供的应急方案；</w:t>
            </w:r>
          </w:p>
          <w:p w14:paraId="004CE47C">
            <w:pPr>
              <w:keepNext w:val="0"/>
              <w:keepLines w:val="0"/>
              <w:suppressLineNumbers w:val="0"/>
              <w:spacing w:before="0" w:beforeAutospacing="0" w:after="0" w:afterAutospacing="0" w:line="360" w:lineRule="auto"/>
              <w:ind w:left="0" w:right="0"/>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w:t>
            </w:r>
            <w:r>
              <w:rPr>
                <w:rFonts w:hint="eastAsia" w:ascii="宋体" w:hAnsi="宋体" w:eastAsia="宋体" w:cs="宋体"/>
                <w:color w:val="auto"/>
                <w:sz w:val="24"/>
                <w:szCs w:val="24"/>
                <w:highlight w:val="none"/>
              </w:rPr>
              <w:t>针对本项目有售后服务网点的</w:t>
            </w:r>
            <w:r>
              <w:rPr>
                <w:rFonts w:hint="eastAsia" w:ascii="宋体" w:hAnsi="宋体" w:cs="宋体"/>
                <w:color w:val="auto"/>
                <w:sz w:val="24"/>
                <w:szCs w:val="24"/>
                <w:highlight w:val="none"/>
                <w:lang w:eastAsia="zh-CN"/>
              </w:rPr>
              <w:t>（售后服务网点须提供营业执照及该网点图片，未提供或缺项不得分）；</w:t>
            </w:r>
          </w:p>
          <w:p w14:paraId="39712DFC">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注：每项满足基本要求的得0.5分，结合项目实际能够提出更合理科学方案的得1分，未提供或不满足不得分，最高得4分。</w:t>
            </w:r>
          </w:p>
        </w:tc>
        <w:tc>
          <w:tcPr>
            <w:tcW w:w="699" w:type="dxa"/>
            <w:vAlign w:val="center"/>
          </w:tcPr>
          <w:p w14:paraId="71F995E7">
            <w:pPr>
              <w:keepNext w:val="0"/>
              <w:keepLines w:val="0"/>
              <w:suppressLineNumbers w:val="0"/>
              <w:adjustRightInd w:val="0"/>
              <w:spacing w:before="0" w:beforeAutospacing="0" w:after="100" w:afterAutospacing="1"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0000FF"/>
                <w:sz w:val="24"/>
                <w:szCs w:val="24"/>
                <w:highlight w:val="none"/>
              </w:rPr>
              <w:t>4分</w:t>
            </w:r>
          </w:p>
        </w:tc>
      </w:tr>
      <w:tr w14:paraId="18F3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26BB3084">
            <w:pPr>
              <w:keepNext w:val="0"/>
              <w:keepLines w:val="0"/>
              <w:suppressLineNumbers w:val="0"/>
              <w:spacing w:before="0" w:beforeAutospacing="0" w:after="0" w:afterAutospacing="0" w:line="440" w:lineRule="exact"/>
              <w:ind w:left="0" w:right="0"/>
              <w:jc w:val="center"/>
              <w:rPr>
                <w:rFonts w:hint="eastAsia" w:ascii="宋体" w:hAnsi="宋体" w:cs="宋体"/>
                <w:b/>
                <w:color w:val="auto"/>
                <w:kern w:val="0"/>
                <w:sz w:val="24"/>
                <w:szCs w:val="24"/>
                <w:highlight w:val="none"/>
                <w:lang w:val="en-US" w:eastAsia="zh-CN"/>
              </w:rPr>
            </w:pPr>
          </w:p>
        </w:tc>
        <w:tc>
          <w:tcPr>
            <w:tcW w:w="1258" w:type="dxa"/>
            <w:vMerge w:val="continue"/>
            <w:vAlign w:val="center"/>
          </w:tcPr>
          <w:p w14:paraId="2A16F336">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4"/>
                <w:szCs w:val="24"/>
                <w:highlight w:val="none"/>
              </w:rPr>
            </w:pPr>
          </w:p>
        </w:tc>
        <w:tc>
          <w:tcPr>
            <w:tcW w:w="5921" w:type="dxa"/>
            <w:vAlign w:val="center"/>
          </w:tcPr>
          <w:p w14:paraId="491CF6A8">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bidi="ar"/>
              </w:rPr>
              <w:t>服务响应时间</w:t>
            </w:r>
            <w:r>
              <w:rPr>
                <w:rFonts w:hint="eastAsia" w:asciiTheme="minorEastAsia" w:hAnsiTheme="minorEastAsia" w:eastAsiaTheme="minorEastAsia" w:cstheme="minorEastAsia"/>
                <w:bCs/>
                <w:color w:val="auto"/>
                <w:sz w:val="24"/>
                <w:szCs w:val="24"/>
                <w:highlight w:val="none"/>
                <w:lang w:val="en-US" w:eastAsia="zh-CN" w:bidi="ar"/>
              </w:rPr>
              <w:t>承诺</w:t>
            </w:r>
            <w:r>
              <w:rPr>
                <w:rFonts w:hint="eastAsia" w:asciiTheme="minorEastAsia" w:hAnsiTheme="minorEastAsia" w:eastAsiaTheme="minorEastAsia" w:cstheme="minorEastAsia"/>
                <w:bCs/>
                <w:color w:val="auto"/>
                <w:sz w:val="24"/>
                <w:szCs w:val="24"/>
                <w:highlight w:val="none"/>
                <w:lang w:val="en-US" w:eastAsia="zh-CN"/>
              </w:rPr>
              <w:t>：</w:t>
            </w:r>
          </w:p>
          <w:p w14:paraId="4FA186A1">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出现一般性故障，接到维修通知后，在半小时内电话响应，在</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小时内到达现场，在</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小时内修复</w:t>
            </w:r>
            <w:r>
              <w:rPr>
                <w:rFonts w:hint="eastAsia" w:ascii="宋体" w:hAnsi="宋体" w:cs="宋体"/>
                <w:color w:val="auto"/>
                <w:sz w:val="24"/>
                <w:szCs w:val="24"/>
                <w:highlight w:val="none"/>
                <w:lang w:eastAsia="zh-CN"/>
              </w:rPr>
              <w:t>的得</w:t>
            </w:r>
            <w:r>
              <w:rPr>
                <w:rFonts w:hint="eastAsia" w:ascii="宋体" w:hAnsi="宋体" w:cs="宋体"/>
                <w:color w:val="auto"/>
                <w:sz w:val="24"/>
                <w:szCs w:val="24"/>
                <w:highlight w:val="none"/>
                <w:lang w:val="en-US" w:eastAsia="zh-CN"/>
              </w:rPr>
              <w:t>2分</w:t>
            </w:r>
            <w:r>
              <w:rPr>
                <w:rFonts w:hint="eastAsia" w:asciiTheme="minorEastAsia" w:hAnsiTheme="minorEastAsia" w:eastAsiaTheme="minorEastAsia" w:cstheme="minorEastAsia"/>
                <w:bCs/>
                <w:color w:val="auto"/>
                <w:sz w:val="24"/>
                <w:szCs w:val="24"/>
                <w:highlight w:val="none"/>
                <w:lang w:eastAsia="zh-CN" w:bidi="ar"/>
              </w:rPr>
              <w:t>；</w:t>
            </w:r>
          </w:p>
          <w:p w14:paraId="0E7CCBB3">
            <w:pPr>
              <w:keepNext w:val="0"/>
              <w:keepLines w:val="0"/>
              <w:pageBreakBefore w:val="0"/>
              <w:suppressLineNumbers w:val="0"/>
              <w:tabs>
                <w:tab w:val="left" w:pos="4469"/>
              </w:tabs>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eastAsia="宋体" w:cs="宋体"/>
                <w:color w:val="auto"/>
                <w:sz w:val="24"/>
                <w:szCs w:val="24"/>
                <w:highlight w:val="none"/>
              </w:rPr>
              <w:t>出现一般性故障，接到维修通知后，在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小时内电话响应，在12小时内到达现场，在6小时内修复</w:t>
            </w:r>
            <w:r>
              <w:rPr>
                <w:rFonts w:hint="eastAsia" w:ascii="宋体" w:hAnsi="宋体" w:cs="宋体"/>
                <w:color w:val="auto"/>
                <w:sz w:val="24"/>
                <w:szCs w:val="24"/>
                <w:highlight w:val="none"/>
                <w:lang w:eastAsia="zh-CN"/>
              </w:rPr>
              <w:t>的得</w:t>
            </w:r>
            <w:r>
              <w:rPr>
                <w:rFonts w:hint="eastAsia" w:ascii="宋体" w:hAnsi="宋体" w:cs="宋体"/>
                <w:color w:val="auto"/>
                <w:sz w:val="24"/>
                <w:szCs w:val="24"/>
                <w:highlight w:val="none"/>
                <w:lang w:val="en-US" w:eastAsia="zh-CN"/>
              </w:rPr>
              <w:t>1分</w:t>
            </w:r>
            <w:r>
              <w:rPr>
                <w:rFonts w:hint="eastAsia" w:asciiTheme="minorEastAsia" w:hAnsiTheme="minorEastAsia" w:eastAsiaTheme="minorEastAsia" w:cstheme="minorEastAsia"/>
                <w:bCs/>
                <w:color w:val="auto"/>
                <w:sz w:val="24"/>
                <w:szCs w:val="24"/>
                <w:highlight w:val="none"/>
                <w:lang w:eastAsia="zh-CN" w:bidi="ar"/>
              </w:rPr>
              <w:t>；</w:t>
            </w:r>
          </w:p>
          <w:p w14:paraId="2E36A99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注：需提供承诺函（格式见附件），否则不得分。</w:t>
            </w:r>
          </w:p>
        </w:tc>
        <w:tc>
          <w:tcPr>
            <w:tcW w:w="699" w:type="dxa"/>
            <w:vAlign w:val="center"/>
          </w:tcPr>
          <w:p w14:paraId="7893B306">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BF4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1D63DE72">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p>
        </w:tc>
        <w:tc>
          <w:tcPr>
            <w:tcW w:w="1258" w:type="dxa"/>
            <w:vMerge w:val="continue"/>
            <w:vAlign w:val="center"/>
          </w:tcPr>
          <w:p w14:paraId="5A1A7B8E">
            <w:pPr>
              <w:keepNext w:val="0"/>
              <w:keepLines w:val="0"/>
              <w:suppressLineNumbers w:val="0"/>
              <w:spacing w:before="0" w:beforeAutospacing="0" w:after="0" w:afterAutospacing="0" w:line="360" w:lineRule="exact"/>
              <w:ind w:left="0" w:right="0"/>
              <w:jc w:val="left"/>
              <w:rPr>
                <w:rFonts w:hint="eastAsia" w:ascii="宋体" w:hAnsi="宋体" w:eastAsia="宋体" w:cs="宋体"/>
                <w:b/>
                <w:color w:val="auto"/>
                <w:kern w:val="0"/>
                <w:sz w:val="24"/>
                <w:szCs w:val="24"/>
                <w:highlight w:val="none"/>
              </w:rPr>
            </w:pPr>
          </w:p>
        </w:tc>
        <w:tc>
          <w:tcPr>
            <w:tcW w:w="5921" w:type="dxa"/>
            <w:vAlign w:val="center"/>
          </w:tcPr>
          <w:p w14:paraId="2B1D66FF">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p>
          <w:p w14:paraId="1E1F20B3">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提供合理明确的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7F0855D2">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w:t>
            </w:r>
            <w:r>
              <w:rPr>
                <w:rFonts w:hint="eastAsia" w:asciiTheme="minorEastAsia" w:hAnsiTheme="minorEastAsia" w:eastAsiaTheme="minorEastAsia" w:cstheme="minorEastAsia"/>
                <w:bCs/>
                <w:color w:val="auto"/>
                <w:sz w:val="24"/>
                <w:szCs w:val="24"/>
                <w:highlight w:val="none"/>
                <w:lang w:val="en-US" w:eastAsia="zh-CN" w:bidi="ar"/>
              </w:rPr>
              <w:t>基本</w:t>
            </w:r>
            <w:r>
              <w:rPr>
                <w:rFonts w:hint="eastAsia" w:asciiTheme="minorEastAsia" w:hAnsiTheme="minorEastAsia" w:eastAsiaTheme="minorEastAsia" w:cstheme="minorEastAsia"/>
                <w:bCs/>
                <w:color w:val="auto"/>
                <w:sz w:val="24"/>
                <w:szCs w:val="24"/>
                <w:highlight w:val="none"/>
                <w:lang w:bidi="ar"/>
              </w:rPr>
              <w:t>合理明确的得</w:t>
            </w:r>
            <w:r>
              <w:rPr>
                <w:rFonts w:hint="eastAsia" w:asciiTheme="minorEastAsia" w:hAnsiTheme="minorEastAsia" w:eastAsiaTheme="minorEastAsia" w:cstheme="minorEastAsia"/>
                <w:bCs/>
                <w:color w:val="auto"/>
                <w:sz w:val="24"/>
                <w:szCs w:val="24"/>
                <w:highlight w:val="none"/>
                <w:lang w:val="en-US" w:eastAsia="zh-CN" w:bidi="ar"/>
              </w:rPr>
              <w:t>2</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7A64DEC1">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40" w:lineRule="exact"/>
              <w:ind w:left="0" w:right="0"/>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bidi="ar"/>
              </w:rPr>
              <w:t>投标人</w:t>
            </w:r>
            <w:r>
              <w:rPr>
                <w:rFonts w:hint="eastAsia" w:asciiTheme="minorEastAsia" w:hAnsiTheme="minorEastAsia" w:eastAsiaTheme="minorEastAsia" w:cstheme="minorEastAsia"/>
                <w:bCs/>
                <w:color w:val="auto"/>
                <w:sz w:val="24"/>
                <w:szCs w:val="24"/>
                <w:highlight w:val="none"/>
                <w:lang w:bidi="ar"/>
              </w:rPr>
              <w:t>提供的</w:t>
            </w:r>
            <w:r>
              <w:rPr>
                <w:rFonts w:hint="eastAsia" w:asciiTheme="minorEastAsia" w:hAnsiTheme="minorEastAsia" w:eastAsiaTheme="minorEastAsia" w:cstheme="minorEastAsia"/>
                <w:bCs/>
                <w:color w:val="auto"/>
                <w:sz w:val="24"/>
                <w:szCs w:val="24"/>
                <w:highlight w:val="none"/>
                <w:lang w:val="en-US" w:eastAsia="zh-CN" w:bidi="ar"/>
              </w:rPr>
              <w:t>备件更换</w:t>
            </w:r>
            <w:r>
              <w:rPr>
                <w:rFonts w:hint="eastAsia" w:asciiTheme="minorEastAsia" w:hAnsiTheme="minorEastAsia" w:eastAsiaTheme="minorEastAsia" w:cstheme="minorEastAsia"/>
                <w:bCs/>
                <w:color w:val="auto"/>
                <w:sz w:val="24"/>
                <w:szCs w:val="24"/>
                <w:highlight w:val="none"/>
                <w:lang w:bidi="ar"/>
              </w:rPr>
              <w:t>处理方案不够合理明确的得</w:t>
            </w:r>
            <w:r>
              <w:rPr>
                <w:rFonts w:hint="eastAsia" w:asciiTheme="minorEastAsia" w:hAnsiTheme="minorEastAsia" w:eastAsiaTheme="minorEastAsia" w:cstheme="minorEastAsia"/>
                <w:bCs/>
                <w:color w:val="auto"/>
                <w:sz w:val="24"/>
                <w:szCs w:val="24"/>
                <w:highlight w:val="none"/>
                <w:lang w:val="en-US" w:eastAsia="zh-CN" w:bidi="ar"/>
              </w:rPr>
              <w:t>1</w:t>
            </w:r>
            <w:r>
              <w:rPr>
                <w:rFonts w:hint="eastAsia" w:asciiTheme="minorEastAsia" w:hAnsiTheme="minorEastAsia" w:eastAsiaTheme="minorEastAsia" w:cstheme="minorEastAsia"/>
                <w:bCs/>
                <w:color w:val="auto"/>
                <w:sz w:val="24"/>
                <w:szCs w:val="24"/>
                <w:highlight w:val="none"/>
                <w:lang w:bidi="ar"/>
              </w:rPr>
              <w:t>分</w:t>
            </w:r>
            <w:r>
              <w:rPr>
                <w:rFonts w:hint="eastAsia" w:asciiTheme="minorEastAsia" w:hAnsiTheme="minorEastAsia" w:eastAsiaTheme="minorEastAsia" w:cstheme="minorEastAsia"/>
                <w:bCs/>
                <w:color w:val="auto"/>
                <w:sz w:val="24"/>
                <w:szCs w:val="24"/>
                <w:highlight w:val="none"/>
                <w:lang w:eastAsia="zh-CN" w:bidi="ar"/>
              </w:rPr>
              <w:t>；</w:t>
            </w:r>
          </w:p>
          <w:p w14:paraId="62231B9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4</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rPr>
              <w:t>未提供</w:t>
            </w:r>
            <w:r>
              <w:rPr>
                <w:rFonts w:hint="eastAsia" w:asciiTheme="minorEastAsia" w:hAnsiTheme="minorEastAsia" w:eastAsiaTheme="minorEastAsia" w:cstheme="minorEastAsia"/>
                <w:bCs/>
                <w:color w:val="auto"/>
                <w:sz w:val="24"/>
                <w:szCs w:val="24"/>
                <w:highlight w:val="none"/>
                <w:lang w:eastAsia="zh-CN"/>
              </w:rPr>
              <w:t>或提供的内容完全不符合本项目实际需求</w:t>
            </w:r>
            <w:r>
              <w:rPr>
                <w:rFonts w:hint="eastAsia" w:asciiTheme="minorEastAsia" w:hAnsiTheme="minorEastAsia" w:eastAsiaTheme="minorEastAsia" w:cstheme="minorEastAsia"/>
                <w:bCs/>
                <w:color w:val="auto"/>
                <w:sz w:val="24"/>
                <w:szCs w:val="24"/>
                <w:highlight w:val="none"/>
              </w:rPr>
              <w:t>的不得分。</w:t>
            </w:r>
          </w:p>
        </w:tc>
        <w:tc>
          <w:tcPr>
            <w:tcW w:w="699" w:type="dxa"/>
            <w:vAlign w:val="center"/>
          </w:tcPr>
          <w:p w14:paraId="6A77C493">
            <w:pPr>
              <w:keepNext w:val="0"/>
              <w:keepLines w:val="0"/>
              <w:suppressLineNumbers w:val="0"/>
              <w:adjustRightInd w:val="0"/>
              <w:spacing w:before="0" w:beforeAutospacing="0" w:after="100" w:afterAutospacing="1" w:line="360" w:lineRule="exact"/>
              <w:ind w:left="0" w:right="0"/>
              <w:jc w:val="center"/>
              <w:rPr>
                <w:rFonts w:hint="default" w:ascii="宋体" w:hAnsi="宋体" w:eastAsia="宋体" w:cs="宋体"/>
                <w:color w:val="auto"/>
                <w:sz w:val="24"/>
                <w:szCs w:val="24"/>
                <w:highlight w:val="none"/>
                <w:lang w:val="en-US"/>
              </w:rPr>
            </w:pPr>
            <w:r>
              <w:rPr>
                <w:rFonts w:hint="eastAsia" w:asciiTheme="minorEastAsia" w:hAnsiTheme="minorEastAsia" w:eastAsiaTheme="minorEastAsia" w:cstheme="minorEastAsia"/>
                <w:b/>
                <w:bCs/>
                <w:color w:val="0000FF"/>
                <w:sz w:val="24"/>
                <w:szCs w:val="24"/>
                <w:highlight w:val="none"/>
                <w:lang w:val="en-US" w:eastAsia="zh-CN"/>
              </w:rPr>
              <w:t>3分</w:t>
            </w:r>
          </w:p>
        </w:tc>
      </w:tr>
      <w:tr w14:paraId="6F6D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1" w:type="dxa"/>
            <w:vMerge w:val="continue"/>
            <w:vAlign w:val="center"/>
          </w:tcPr>
          <w:p w14:paraId="32A61A61">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p>
        </w:tc>
        <w:tc>
          <w:tcPr>
            <w:tcW w:w="1258" w:type="dxa"/>
            <w:vMerge w:val="continue"/>
            <w:vAlign w:val="center"/>
          </w:tcPr>
          <w:p w14:paraId="7C720969">
            <w:pPr>
              <w:keepNext w:val="0"/>
              <w:keepLines w:val="0"/>
              <w:suppressLineNumbers w:val="0"/>
              <w:spacing w:before="0" w:beforeAutospacing="0" w:after="0" w:afterAutospacing="0" w:line="360" w:lineRule="exact"/>
              <w:ind w:left="0" w:right="0"/>
              <w:jc w:val="left"/>
              <w:rPr>
                <w:rFonts w:hint="eastAsia" w:ascii="宋体" w:hAnsi="宋体" w:eastAsia="宋体" w:cs="宋体"/>
                <w:b/>
                <w:color w:val="auto"/>
                <w:kern w:val="0"/>
                <w:sz w:val="24"/>
                <w:szCs w:val="24"/>
                <w:highlight w:val="none"/>
              </w:rPr>
            </w:pPr>
          </w:p>
        </w:tc>
        <w:tc>
          <w:tcPr>
            <w:tcW w:w="5921" w:type="dxa"/>
            <w:vAlign w:val="center"/>
          </w:tcPr>
          <w:p w14:paraId="0988EA87">
            <w:pPr>
              <w:keepNext w:val="0"/>
              <w:keepLines w:val="0"/>
              <w:widowControl/>
              <w:suppressLineNumbers w:val="0"/>
              <w:spacing w:before="0" w:beforeAutospacing="0" w:after="0" w:afterAutospacing="0" w:line="360" w:lineRule="exact"/>
              <w:ind w:left="0" w:right="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rPr>
              <w:t>投标人提供的可行合理的培训方案及培训计划：含培训方式、培训参加人员、培训内容、日程、课程安排等</w:t>
            </w:r>
            <w:r>
              <w:rPr>
                <w:rFonts w:hint="eastAsia" w:ascii="宋体" w:hAnsi="宋体" w:eastAsia="宋体" w:cs="宋体"/>
                <w:b w:val="0"/>
                <w:bCs w:val="0"/>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评委根据内容进行评议：</w:t>
            </w:r>
          </w:p>
          <w:p w14:paraId="21EF54AE">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（1）培训方案措施明确、培训人员安排非常周到、培训内容非常丰富、课程安排非常合理的得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480A95D8">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（2）培训方案措施</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明确、培训人员安排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周到、培训内容</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丰富、课程安排</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DCB2477">
            <w:pPr>
              <w:keepNext w:val="0"/>
              <w:keepLines w:val="0"/>
              <w:suppressLineNumbers w:val="0"/>
              <w:spacing w:before="0" w:beforeAutospacing="0" w:after="0" w:afterAutospacing="0"/>
              <w:ind w:left="0" w:right="0"/>
              <w:rPr>
                <w:rFonts w:hint="default" w:asciiTheme="minorEastAsia" w:hAnsiTheme="minorEastAsia" w:eastAsiaTheme="minorEastAsia" w:cstheme="minorEastAsia"/>
                <w:bCs/>
                <w:color w:val="auto"/>
                <w:sz w:val="24"/>
                <w:szCs w:val="24"/>
                <w:highlight w:val="none"/>
                <w:lang w:val="en-US" w:eastAsia="zh-CN" w:bidi="ar"/>
              </w:rPr>
            </w:pPr>
            <w:r>
              <w:rPr>
                <w:rFonts w:hint="eastAsia" w:ascii="宋体" w:hAnsi="宋体" w:eastAsia="宋体" w:cs="宋体"/>
                <w:color w:val="auto"/>
                <w:sz w:val="24"/>
                <w:szCs w:val="24"/>
                <w:highlight w:val="none"/>
              </w:rPr>
              <w:t>（3）未提及此项的不得分。</w:t>
            </w:r>
          </w:p>
        </w:tc>
        <w:tc>
          <w:tcPr>
            <w:tcW w:w="699" w:type="dxa"/>
            <w:vAlign w:val="center"/>
          </w:tcPr>
          <w:p w14:paraId="23FDF571">
            <w:pPr>
              <w:keepNext w:val="0"/>
              <w:keepLines w:val="0"/>
              <w:suppressLineNumbers w:val="0"/>
              <w:adjustRightInd w:val="0"/>
              <w:spacing w:before="0" w:beforeAutospacing="0" w:after="100" w:afterAutospacing="1" w:line="360" w:lineRule="exact"/>
              <w:ind w:left="0" w:right="0"/>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0000FF"/>
                <w:sz w:val="24"/>
                <w:szCs w:val="24"/>
                <w:highlight w:val="none"/>
                <w:lang w:val="en-US" w:eastAsia="zh-CN"/>
              </w:rPr>
              <w:t>2分</w:t>
            </w:r>
          </w:p>
        </w:tc>
      </w:tr>
      <w:tr w14:paraId="55EE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641" w:type="dxa"/>
            <w:vAlign w:val="center"/>
          </w:tcPr>
          <w:p w14:paraId="6092AA19">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6</w:t>
            </w:r>
          </w:p>
        </w:tc>
        <w:tc>
          <w:tcPr>
            <w:tcW w:w="1258" w:type="dxa"/>
            <w:vAlign w:val="center"/>
          </w:tcPr>
          <w:p w14:paraId="4EA77BE0">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p w14:paraId="0AE9ACBB">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p w14:paraId="1041F25D">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维保方案</w:t>
            </w:r>
          </w:p>
          <w:p w14:paraId="7D568EB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（3分）</w:t>
            </w:r>
          </w:p>
          <w:p w14:paraId="1F5CAB83">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p>
          <w:p w14:paraId="57E94A4B">
            <w:pPr>
              <w:keepNext w:val="0"/>
              <w:keepLines w:val="0"/>
              <w:suppressLineNumbers w:val="0"/>
              <w:spacing w:before="0" w:beforeAutospacing="0" w:after="0" w:afterAutospacing="0" w:line="360" w:lineRule="exact"/>
              <w:ind w:left="0" w:right="0"/>
              <w:rPr>
                <w:rFonts w:hint="eastAsia" w:ascii="宋体" w:hAnsi="宋体" w:eastAsia="宋体" w:cs="宋体"/>
                <w:b/>
                <w:color w:val="auto"/>
                <w:kern w:val="0"/>
                <w:sz w:val="24"/>
                <w:szCs w:val="24"/>
                <w:highlight w:val="none"/>
              </w:rPr>
            </w:pPr>
          </w:p>
        </w:tc>
        <w:tc>
          <w:tcPr>
            <w:tcW w:w="5921" w:type="dxa"/>
            <w:vAlign w:val="center"/>
          </w:tcPr>
          <w:p w14:paraId="34F61787">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根据投标人针对本次采购货物的</w:t>
            </w:r>
            <w:r>
              <w:rPr>
                <w:rFonts w:hint="eastAsia" w:ascii="宋体" w:hAnsi="宋体" w:eastAsia="宋体" w:cs="宋体"/>
                <w:color w:val="auto"/>
                <w:sz w:val="24"/>
                <w:szCs w:val="24"/>
                <w:highlight w:val="none"/>
              </w:rPr>
              <w:t>维保方案</w:t>
            </w:r>
            <w:r>
              <w:rPr>
                <w:rFonts w:hint="eastAsia" w:ascii="宋体" w:hAnsi="宋体" w:eastAsia="宋体" w:cs="宋体"/>
                <w:color w:val="auto"/>
                <w:kern w:val="0"/>
                <w:sz w:val="24"/>
                <w:szCs w:val="24"/>
                <w:highlight w:val="none"/>
              </w:rPr>
              <w:t>进行评分：</w:t>
            </w:r>
          </w:p>
          <w:p w14:paraId="39FBC42F">
            <w:pPr>
              <w:pStyle w:val="16"/>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维保方案条款措施明确，满足招标需求的为一档得3分；</w:t>
            </w:r>
          </w:p>
          <w:p w14:paraId="33F7E53E">
            <w:pPr>
              <w:pStyle w:val="16"/>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维保方案条款措施比较明确，基本满足招标需求的为一档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6F4026A">
            <w:pPr>
              <w:pStyle w:val="16"/>
              <w:keepNext w:val="0"/>
              <w:keepLines w:val="0"/>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维保方案条款措施不够明确，少部分满足招标需求的为一档得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                                                  （4）维保方案条款措施满足不了招标需求的不得分。</w:t>
            </w:r>
          </w:p>
        </w:tc>
        <w:tc>
          <w:tcPr>
            <w:tcW w:w="699" w:type="dxa"/>
            <w:vAlign w:val="center"/>
          </w:tcPr>
          <w:p w14:paraId="78EEDCEE">
            <w:pPr>
              <w:keepNext w:val="0"/>
              <w:keepLines w:val="0"/>
              <w:suppressLineNumbers w:val="0"/>
              <w:adjustRightInd w:val="0"/>
              <w:spacing w:before="0" w:beforeAutospacing="0" w:after="100" w:afterAutospacing="1"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0000FF"/>
                <w:sz w:val="24"/>
                <w:szCs w:val="24"/>
                <w:highlight w:val="none"/>
              </w:rPr>
              <w:t>3分</w:t>
            </w:r>
          </w:p>
        </w:tc>
      </w:tr>
      <w:tr w14:paraId="3745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641" w:type="dxa"/>
            <w:vAlign w:val="center"/>
          </w:tcPr>
          <w:p w14:paraId="5C7A5BC0">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highlight w:val="none"/>
                <w:lang w:val="en-US" w:eastAsia="zh-CN"/>
              </w:rPr>
              <w:t>7</w:t>
            </w:r>
          </w:p>
        </w:tc>
        <w:tc>
          <w:tcPr>
            <w:tcW w:w="1258" w:type="dxa"/>
            <w:vAlign w:val="center"/>
          </w:tcPr>
          <w:p w14:paraId="64923EE5">
            <w:pPr>
              <w:keepNext w:val="0"/>
              <w:keepLines w:val="0"/>
              <w:suppressLineNumbers w:val="0"/>
              <w:spacing w:before="0" w:beforeAutospacing="0" w:after="0" w:afterAutospacing="0" w:line="360" w:lineRule="exac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相关培训</w:t>
            </w:r>
          </w:p>
          <w:p w14:paraId="565E3B9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分）</w:t>
            </w:r>
          </w:p>
        </w:tc>
        <w:tc>
          <w:tcPr>
            <w:tcW w:w="5921" w:type="dxa"/>
            <w:vAlign w:val="center"/>
          </w:tcPr>
          <w:p w14:paraId="091F9CFD">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投标人提供的可行合理的培训方案及培训计划：含培训方式、培训参加人员、培训内容、日程、课程安排等：</w:t>
            </w:r>
          </w:p>
          <w:p w14:paraId="7D93D319">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cs="宋体"/>
                <w:color w:val="auto"/>
                <w:sz w:val="24"/>
                <w:highlight w:val="none"/>
              </w:rPr>
            </w:pPr>
            <w:r>
              <w:rPr>
                <w:rFonts w:hint="eastAsia" w:ascii="宋体" w:hAnsi="宋体" w:cs="宋体"/>
                <w:color w:val="auto"/>
                <w:sz w:val="24"/>
                <w:highlight w:val="none"/>
              </w:rPr>
              <w:t>（1）培训方案措施明确、培训人员安排非常周到、培训内容非常丰富、课程安排非常合理的得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406505C1">
            <w:pPr>
              <w:keepNext w:val="0"/>
              <w:keepLines w:val="0"/>
              <w:suppressLineNumbers w:val="0"/>
              <w:adjustRightInd w:val="0"/>
              <w:spacing w:before="0" w:beforeAutospacing="0" w:after="100" w:afterAutospacing="1" w:line="360" w:lineRule="exact"/>
              <w:ind w:left="0" w:right="0"/>
              <w:contextualSpacing/>
              <w:jc w:val="left"/>
              <w:rPr>
                <w:rFonts w:hint="eastAsia" w:ascii="宋体" w:hAnsi="宋体" w:cs="宋体"/>
                <w:color w:val="auto"/>
                <w:sz w:val="24"/>
                <w:highlight w:val="none"/>
              </w:rPr>
            </w:pPr>
            <w:r>
              <w:rPr>
                <w:rFonts w:hint="eastAsia" w:ascii="宋体" w:hAnsi="宋体" w:cs="宋体"/>
                <w:color w:val="auto"/>
                <w:sz w:val="24"/>
                <w:highlight w:val="none"/>
              </w:rPr>
              <w:t>（2）培训方案措施比较明确、培训人员安排比较周到、培训内容比较丰富、课程安排比较合理的得</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分；</w:t>
            </w:r>
          </w:p>
          <w:p w14:paraId="74B130C5">
            <w:pPr>
              <w:keepNext w:val="0"/>
              <w:keepLines w:val="0"/>
              <w:suppressLineNumbers w:val="0"/>
              <w:adjustRightInd w:val="0"/>
              <w:spacing w:before="0" w:beforeAutospacing="0" w:after="100" w:afterAutospacing="1" w:line="360" w:lineRule="exact"/>
              <w:ind w:left="0" w:leftChars="0" w:right="0" w:rightChars="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（3）培训方案措施不够明确、培训人员安排不够周到、培训内容不够丰富、课程安排不够合理的得</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                             （4）未提及此项的不得分。</w:t>
            </w:r>
          </w:p>
        </w:tc>
        <w:tc>
          <w:tcPr>
            <w:tcW w:w="699" w:type="dxa"/>
            <w:vAlign w:val="center"/>
          </w:tcPr>
          <w:p w14:paraId="69F212A6">
            <w:pPr>
              <w:keepNext w:val="0"/>
              <w:keepLines w:val="0"/>
              <w:suppressLineNumbers w:val="0"/>
              <w:adjustRightInd w:val="0"/>
              <w:spacing w:before="0" w:beforeAutospacing="0" w:after="100" w:afterAutospacing="1"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0000FF"/>
                <w:sz w:val="24"/>
                <w:highlight w:val="none"/>
                <w:lang w:val="en-US" w:eastAsia="zh-CN"/>
              </w:rPr>
              <w:t>2</w:t>
            </w:r>
            <w:r>
              <w:rPr>
                <w:rFonts w:hint="eastAsia" w:ascii="宋体" w:hAnsi="宋体" w:cs="宋体"/>
                <w:color w:val="0000FF"/>
                <w:sz w:val="24"/>
                <w:highlight w:val="none"/>
              </w:rPr>
              <w:t>分</w:t>
            </w:r>
          </w:p>
        </w:tc>
      </w:tr>
      <w:tr w14:paraId="5B55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9" w:type="dxa"/>
            <w:gridSpan w:val="2"/>
            <w:vAlign w:val="center"/>
          </w:tcPr>
          <w:p w14:paraId="1A85C987">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价格</w:t>
            </w:r>
          </w:p>
          <w:p w14:paraId="2E9CF7BD">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30分</w:t>
            </w:r>
          </w:p>
        </w:tc>
        <w:tc>
          <w:tcPr>
            <w:tcW w:w="5921" w:type="dxa"/>
            <w:vAlign w:val="center"/>
          </w:tcPr>
          <w:p w14:paraId="0E6C90A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以有效报价的最低价为基准价，其价格分为30分。其它投标人的价格分按照下列公式计算：</w:t>
            </w:r>
          </w:p>
          <w:p w14:paraId="3742C8F8">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投标报价得分=（评标基准价/投标报价）×30（小数点后保留2位小数）</w:t>
            </w:r>
            <w:r>
              <w:rPr>
                <w:rFonts w:hint="eastAsia" w:ascii="宋体" w:hAnsi="宋体" w:cs="宋体"/>
                <w:b/>
                <w:bCs/>
                <w:color w:val="auto"/>
                <w:kern w:val="0"/>
                <w:sz w:val="24"/>
                <w:szCs w:val="24"/>
                <w:highlight w:val="none"/>
                <w:lang w:val="zh-CN"/>
              </w:rPr>
              <w:t>（注（如有）：对于符合小型和微型企业政策价格优惠的投标价格给予10%的扣除，用扣除后的价格参与评审）</w:t>
            </w:r>
          </w:p>
        </w:tc>
        <w:tc>
          <w:tcPr>
            <w:tcW w:w="699" w:type="dxa"/>
            <w:vAlign w:val="center"/>
          </w:tcPr>
          <w:p w14:paraId="3AB45BE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r>
    </w:tbl>
    <w:p w14:paraId="27444A30">
      <w:pPr>
        <w:autoSpaceDE w:val="0"/>
        <w:autoSpaceDN w:val="0"/>
        <w:adjustRightInd w:val="0"/>
        <w:spacing w:line="400" w:lineRule="exact"/>
        <w:rPr>
          <w:rFonts w:hint="eastAsia"/>
          <w:b/>
          <w:color w:val="auto"/>
          <w:sz w:val="24"/>
          <w:szCs w:val="24"/>
          <w:highlight w:val="none"/>
        </w:rPr>
      </w:pPr>
    </w:p>
    <w:p w14:paraId="2296AD52">
      <w:pPr>
        <w:autoSpaceDE w:val="0"/>
        <w:autoSpaceDN w:val="0"/>
        <w:adjustRightInd w:val="0"/>
        <w:spacing w:line="400" w:lineRule="exact"/>
        <w:rPr>
          <w:b/>
          <w:color w:val="auto"/>
          <w:sz w:val="24"/>
          <w:szCs w:val="24"/>
          <w:highlight w:val="none"/>
        </w:rPr>
      </w:pPr>
      <w:r>
        <w:rPr>
          <w:rFonts w:hint="eastAsia"/>
          <w:b/>
          <w:color w:val="auto"/>
          <w:sz w:val="24"/>
          <w:szCs w:val="24"/>
          <w:highlight w:val="none"/>
        </w:rPr>
        <w:t>(注：以上需提供的合同、证书、报告等各项证明需将原件扫描上传至投标文件，并加盖电子印章。)</w:t>
      </w:r>
    </w:p>
    <w:p w14:paraId="79900049">
      <w:pPr>
        <w:rPr>
          <w:b/>
          <w:color w:val="auto"/>
          <w:sz w:val="24"/>
          <w:szCs w:val="24"/>
          <w:highlight w:val="none"/>
        </w:rPr>
      </w:pPr>
      <w:r>
        <w:rPr>
          <w:b/>
          <w:color w:val="auto"/>
          <w:sz w:val="24"/>
          <w:szCs w:val="24"/>
          <w:highlight w:val="none"/>
        </w:rPr>
        <w:br w:type="page"/>
      </w:r>
    </w:p>
    <w:p w14:paraId="05905DDD">
      <w:pPr>
        <w:pageBreakBefore/>
        <w:spacing w:line="480" w:lineRule="auto"/>
        <w:jc w:val="center"/>
        <w:outlineLvl w:val="0"/>
        <w:rPr>
          <w:rFonts w:asciiTheme="minorEastAsia" w:hAnsiTheme="minorEastAsia" w:eastAsiaTheme="minorEastAsia"/>
          <w:b/>
          <w:color w:val="auto"/>
          <w:sz w:val="32"/>
          <w:szCs w:val="32"/>
          <w:highlight w:val="none"/>
        </w:rPr>
      </w:pPr>
      <w:bookmarkStart w:id="92" w:name="_Toc10462"/>
      <w:bookmarkStart w:id="93" w:name="_Toc6847"/>
      <w:bookmarkStart w:id="94" w:name="_Toc6241"/>
      <w:bookmarkStart w:id="95" w:name="_Toc15735"/>
      <w:bookmarkStart w:id="96" w:name="_Toc15145"/>
      <w:bookmarkStart w:id="97" w:name="_Toc16946"/>
      <w:bookmarkStart w:id="98" w:name="OLE_LINK7"/>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92"/>
      <w:bookmarkEnd w:id="93"/>
      <w:bookmarkEnd w:id="94"/>
      <w:bookmarkEnd w:id="95"/>
      <w:bookmarkEnd w:id="96"/>
      <w:bookmarkEnd w:id="97"/>
    </w:p>
    <w:bookmarkEnd w:id="98"/>
    <w:p w14:paraId="0CCAE66E">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highlight w:val="none"/>
        </w:rPr>
      </w:pPr>
      <w:bookmarkStart w:id="99" w:name="_Toc18152"/>
      <w:r>
        <w:rPr>
          <w:rFonts w:hint="eastAsia" w:asciiTheme="minorEastAsia" w:hAnsiTheme="minorEastAsia" w:eastAsiaTheme="minorEastAsia"/>
          <w:b/>
          <w:color w:val="auto"/>
          <w:sz w:val="24"/>
          <w:highlight w:val="none"/>
        </w:rPr>
        <w:t>一、招标项目一览表</w:t>
      </w:r>
    </w:p>
    <w:p w14:paraId="5EF6C228">
      <w:pPr>
        <w:tabs>
          <w:tab w:val="left" w:pos="8280"/>
        </w:tabs>
        <w:autoSpaceDE w:val="0"/>
        <w:autoSpaceDN w:val="0"/>
        <w:adjustRightInd w:val="0"/>
        <w:spacing w:line="440" w:lineRule="exact"/>
        <w:ind w:right="25" w:firstLine="2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1.本次招标共</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个标段，具体内容如下表：</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723"/>
        <w:gridCol w:w="1316"/>
        <w:gridCol w:w="803"/>
        <w:gridCol w:w="786"/>
        <w:gridCol w:w="1218"/>
        <w:gridCol w:w="1484"/>
      </w:tblGrid>
      <w:tr w14:paraId="798D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00" w:type="pct"/>
            <w:shd w:val="clear" w:color="auto" w:fill="EEECE1" w:themeFill="background2"/>
            <w:vAlign w:val="center"/>
          </w:tcPr>
          <w:p w14:paraId="3B835B36">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标项</w:t>
            </w:r>
          </w:p>
        </w:tc>
        <w:tc>
          <w:tcPr>
            <w:tcW w:w="1503" w:type="pct"/>
            <w:shd w:val="clear" w:color="auto" w:fill="EEECE1" w:themeFill="background2"/>
            <w:vAlign w:val="center"/>
          </w:tcPr>
          <w:p w14:paraId="394F08ED">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项目名称</w:t>
            </w:r>
          </w:p>
        </w:tc>
        <w:tc>
          <w:tcPr>
            <w:tcW w:w="726" w:type="pct"/>
            <w:shd w:val="clear" w:color="auto" w:fill="EEECE1" w:themeFill="background2"/>
            <w:vAlign w:val="center"/>
          </w:tcPr>
          <w:p w14:paraId="28162B90">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规格型号</w:t>
            </w:r>
          </w:p>
        </w:tc>
        <w:tc>
          <w:tcPr>
            <w:tcW w:w="443" w:type="pct"/>
            <w:shd w:val="clear" w:color="auto" w:fill="EEECE1" w:themeFill="background2"/>
            <w:vAlign w:val="center"/>
          </w:tcPr>
          <w:p w14:paraId="75920761">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434" w:type="pct"/>
            <w:shd w:val="clear" w:color="auto" w:fill="EEECE1" w:themeFill="background2"/>
            <w:vAlign w:val="center"/>
          </w:tcPr>
          <w:p w14:paraId="7E320CC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672" w:type="pct"/>
            <w:shd w:val="clear" w:color="auto" w:fill="EEECE1" w:themeFill="background2"/>
            <w:vAlign w:val="center"/>
          </w:tcPr>
          <w:p w14:paraId="6121D1F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预算</w:t>
            </w:r>
          </w:p>
          <w:p w14:paraId="6981B5B1">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（万元）</w:t>
            </w:r>
          </w:p>
        </w:tc>
        <w:tc>
          <w:tcPr>
            <w:tcW w:w="819" w:type="pct"/>
            <w:shd w:val="clear" w:color="auto" w:fill="EEECE1" w:themeFill="background2"/>
            <w:vAlign w:val="center"/>
          </w:tcPr>
          <w:p w14:paraId="30243EE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交货地点</w:t>
            </w:r>
          </w:p>
        </w:tc>
      </w:tr>
      <w:tr w14:paraId="0101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00" w:type="pct"/>
            <w:vAlign w:val="center"/>
          </w:tcPr>
          <w:p w14:paraId="3FB85CB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503" w:type="pct"/>
            <w:vAlign w:val="center"/>
          </w:tcPr>
          <w:p w14:paraId="1ECA61F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台州学院药学院酶催化实验室仪器设备采购项目</w:t>
            </w:r>
          </w:p>
        </w:tc>
        <w:tc>
          <w:tcPr>
            <w:tcW w:w="726" w:type="pct"/>
            <w:vAlign w:val="center"/>
          </w:tcPr>
          <w:p w14:paraId="551C965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443" w:type="pct"/>
            <w:vAlign w:val="center"/>
          </w:tcPr>
          <w:p w14:paraId="44BFA8F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434" w:type="pct"/>
            <w:vAlign w:val="center"/>
          </w:tcPr>
          <w:p w14:paraId="07C2227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宋体" w:hAnsi="宋体" w:eastAsia="宋体" w:cs="宋体"/>
                <w:color w:val="auto"/>
                <w:sz w:val="24"/>
                <w:szCs w:val="24"/>
                <w:highlight w:val="none"/>
              </w:rPr>
              <w:t>批</w:t>
            </w:r>
          </w:p>
        </w:tc>
        <w:tc>
          <w:tcPr>
            <w:tcW w:w="672" w:type="pct"/>
            <w:vAlign w:val="center"/>
          </w:tcPr>
          <w:p w14:paraId="3DB1DA92">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52.8</w:t>
            </w:r>
          </w:p>
        </w:tc>
        <w:tc>
          <w:tcPr>
            <w:tcW w:w="819" w:type="pct"/>
            <w:vAlign w:val="center"/>
          </w:tcPr>
          <w:p w14:paraId="6B1ADF9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台州学院椒江校区</w:t>
            </w:r>
          </w:p>
        </w:tc>
      </w:tr>
    </w:tbl>
    <w:p w14:paraId="7FACBC63">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p>
    <w:p w14:paraId="310A6FF6">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2.采购清单</w:t>
      </w:r>
    </w:p>
    <w:p w14:paraId="4EE273C2">
      <w:pPr>
        <w:widowControl/>
        <w:jc w:val="left"/>
        <w:rPr>
          <w:rFonts w:hint="eastAsia" w:ascii="宋体" w:hAnsi="宋体" w:cs="宋体"/>
          <w:b/>
          <w:bCs/>
          <w:color w:val="auto"/>
          <w:sz w:val="24"/>
          <w:szCs w:val="24"/>
          <w:highlight w:val="none"/>
          <w:lang w:eastAsia="zh-CN"/>
        </w:rPr>
      </w:pPr>
    </w:p>
    <w:tbl>
      <w:tblPr>
        <w:tblStyle w:val="47"/>
        <w:tblpPr w:leftFromText="180" w:rightFromText="180" w:vertAnchor="text" w:horzAnchor="page" w:tblpX="1571" w:tblpY="70"/>
        <w:tblOverlap w:val="never"/>
        <w:tblW w:w="4997" w:type="pct"/>
        <w:jc w:val="center"/>
        <w:tblLayout w:type="autofit"/>
        <w:tblCellMar>
          <w:top w:w="0" w:type="dxa"/>
          <w:left w:w="108" w:type="dxa"/>
          <w:bottom w:w="0" w:type="dxa"/>
          <w:right w:w="108" w:type="dxa"/>
        </w:tblCellMar>
      </w:tblPr>
      <w:tblGrid>
        <w:gridCol w:w="1017"/>
        <w:gridCol w:w="2745"/>
        <w:gridCol w:w="2220"/>
        <w:gridCol w:w="944"/>
        <w:gridCol w:w="973"/>
        <w:gridCol w:w="1156"/>
      </w:tblGrid>
      <w:tr w14:paraId="3162549B">
        <w:tblPrEx>
          <w:tblCellMar>
            <w:top w:w="0" w:type="dxa"/>
            <w:left w:w="108" w:type="dxa"/>
            <w:bottom w:w="0" w:type="dxa"/>
            <w:right w:w="108" w:type="dxa"/>
          </w:tblCellMar>
        </w:tblPrEx>
        <w:trPr>
          <w:trHeight w:val="428" w:hRule="atLeast"/>
          <w:jc w:val="center"/>
        </w:trPr>
        <w:tc>
          <w:tcPr>
            <w:tcW w:w="561"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40078F60">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1515"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7F0451CA">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设备名称</w:t>
            </w:r>
          </w:p>
        </w:tc>
        <w:tc>
          <w:tcPr>
            <w:tcW w:w="1225" w:type="pct"/>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0F9F614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规格型号</w:t>
            </w:r>
          </w:p>
        </w:tc>
        <w:tc>
          <w:tcPr>
            <w:tcW w:w="521" w:type="pct"/>
            <w:tcBorders>
              <w:top w:val="single" w:color="000000" w:sz="4" w:space="0"/>
              <w:left w:val="nil"/>
              <w:right w:val="single" w:color="000000" w:sz="4" w:space="0"/>
            </w:tcBorders>
            <w:shd w:val="clear" w:color="auto" w:fill="EEECE1" w:themeFill="background2"/>
            <w:vAlign w:val="center"/>
          </w:tcPr>
          <w:p w14:paraId="7DF77315">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537" w:type="pct"/>
            <w:tcBorders>
              <w:top w:val="single" w:color="000000" w:sz="4" w:space="0"/>
              <w:left w:val="nil"/>
              <w:right w:val="single" w:color="000000" w:sz="4" w:space="0"/>
            </w:tcBorders>
            <w:shd w:val="clear" w:color="auto" w:fill="EEECE1" w:themeFill="background2"/>
            <w:vAlign w:val="center"/>
          </w:tcPr>
          <w:p w14:paraId="21D70B05">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638" w:type="pct"/>
            <w:tcBorders>
              <w:top w:val="single" w:color="000000" w:sz="4" w:space="0"/>
              <w:left w:val="nil"/>
              <w:right w:val="single" w:color="000000" w:sz="4" w:space="0"/>
            </w:tcBorders>
            <w:shd w:val="clear" w:color="auto" w:fill="EEECE1" w:themeFill="background2"/>
            <w:vAlign w:val="center"/>
          </w:tcPr>
          <w:p w14:paraId="52528B1F">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备注</w:t>
            </w:r>
          </w:p>
        </w:tc>
      </w:tr>
      <w:tr w14:paraId="70A42CB9">
        <w:tblPrEx>
          <w:tblCellMar>
            <w:top w:w="0" w:type="dxa"/>
            <w:left w:w="108" w:type="dxa"/>
            <w:bottom w:w="0" w:type="dxa"/>
            <w:right w:w="108" w:type="dxa"/>
          </w:tblCellMar>
        </w:tblPrEx>
        <w:trPr>
          <w:trHeight w:val="422" w:hRule="atLeast"/>
          <w:jc w:val="center"/>
        </w:trPr>
        <w:tc>
          <w:tcPr>
            <w:tcW w:w="561" w:type="pct"/>
            <w:tcBorders>
              <w:top w:val="single" w:color="000000" w:sz="4" w:space="0"/>
              <w:left w:val="single" w:color="000000" w:sz="4" w:space="0"/>
              <w:bottom w:val="single" w:color="000000" w:sz="4" w:space="0"/>
              <w:right w:val="single" w:color="000000" w:sz="4" w:space="0"/>
            </w:tcBorders>
            <w:vAlign w:val="center"/>
          </w:tcPr>
          <w:p w14:paraId="00C247E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515" w:type="pct"/>
            <w:tcBorders>
              <w:top w:val="single" w:color="000000" w:sz="4" w:space="0"/>
              <w:left w:val="single" w:color="000000" w:sz="4" w:space="0"/>
              <w:bottom w:val="single" w:color="000000" w:sz="4" w:space="0"/>
              <w:right w:val="single" w:color="000000" w:sz="4" w:space="0"/>
            </w:tcBorders>
            <w:vAlign w:val="center"/>
          </w:tcPr>
          <w:p w14:paraId="5E285FD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高效液相色谱仪</w:t>
            </w:r>
          </w:p>
        </w:tc>
        <w:tc>
          <w:tcPr>
            <w:tcW w:w="1225" w:type="pct"/>
            <w:tcBorders>
              <w:top w:val="single" w:color="000000" w:sz="4" w:space="0"/>
              <w:left w:val="single" w:color="000000" w:sz="4" w:space="0"/>
              <w:bottom w:val="single" w:color="000000" w:sz="4" w:space="0"/>
              <w:right w:val="single" w:color="000000" w:sz="4" w:space="0"/>
            </w:tcBorders>
            <w:vAlign w:val="center"/>
          </w:tcPr>
          <w:p w14:paraId="5A90F61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521" w:type="pct"/>
            <w:tcBorders>
              <w:top w:val="single" w:color="auto" w:sz="4" w:space="0"/>
              <w:left w:val="nil"/>
              <w:bottom w:val="single" w:color="auto" w:sz="4" w:space="0"/>
              <w:right w:val="single" w:color="000000" w:sz="4" w:space="0"/>
            </w:tcBorders>
            <w:vAlign w:val="center"/>
          </w:tcPr>
          <w:p w14:paraId="12E4F8A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c>
          <w:tcPr>
            <w:tcW w:w="537" w:type="pct"/>
            <w:tcBorders>
              <w:top w:val="single" w:color="auto" w:sz="4" w:space="0"/>
              <w:left w:val="nil"/>
              <w:bottom w:val="single" w:color="auto" w:sz="4" w:space="0"/>
              <w:right w:val="single" w:color="000000" w:sz="4" w:space="0"/>
            </w:tcBorders>
            <w:vAlign w:val="center"/>
          </w:tcPr>
          <w:p w14:paraId="1F81AF6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638" w:type="pct"/>
            <w:tcBorders>
              <w:top w:val="single" w:color="auto" w:sz="4" w:space="0"/>
              <w:left w:val="nil"/>
              <w:bottom w:val="single" w:color="auto" w:sz="4" w:space="0"/>
              <w:right w:val="single" w:color="000000" w:sz="4" w:space="0"/>
            </w:tcBorders>
            <w:vAlign w:val="center"/>
          </w:tcPr>
          <w:p w14:paraId="7ED7859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p>
        </w:tc>
      </w:tr>
      <w:tr w14:paraId="1AB3A585">
        <w:tblPrEx>
          <w:tblCellMar>
            <w:top w:w="0" w:type="dxa"/>
            <w:left w:w="108" w:type="dxa"/>
            <w:bottom w:w="0" w:type="dxa"/>
            <w:right w:w="108" w:type="dxa"/>
          </w:tblCellMar>
        </w:tblPrEx>
        <w:trPr>
          <w:trHeight w:val="394" w:hRule="atLeast"/>
          <w:jc w:val="center"/>
        </w:trPr>
        <w:tc>
          <w:tcPr>
            <w:tcW w:w="561" w:type="pct"/>
            <w:tcBorders>
              <w:top w:val="single" w:color="000000" w:sz="4" w:space="0"/>
              <w:left w:val="single" w:color="000000" w:sz="4" w:space="0"/>
              <w:bottom w:val="single" w:color="000000" w:sz="4" w:space="0"/>
              <w:right w:val="single" w:color="000000" w:sz="4" w:space="0"/>
            </w:tcBorders>
            <w:vAlign w:val="center"/>
          </w:tcPr>
          <w:p w14:paraId="0B08B81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1515" w:type="pct"/>
            <w:tcBorders>
              <w:top w:val="single" w:color="000000" w:sz="4" w:space="0"/>
              <w:left w:val="single" w:color="000000" w:sz="4" w:space="0"/>
              <w:bottom w:val="single" w:color="000000" w:sz="4" w:space="0"/>
              <w:right w:val="single" w:color="000000" w:sz="4" w:space="0"/>
            </w:tcBorders>
            <w:vAlign w:val="center"/>
          </w:tcPr>
          <w:p w14:paraId="7722591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多功能酶标仪</w:t>
            </w:r>
          </w:p>
        </w:tc>
        <w:tc>
          <w:tcPr>
            <w:tcW w:w="1225" w:type="pct"/>
            <w:tcBorders>
              <w:top w:val="single" w:color="000000" w:sz="4" w:space="0"/>
              <w:left w:val="single" w:color="000000" w:sz="4" w:space="0"/>
              <w:bottom w:val="single" w:color="000000" w:sz="4" w:space="0"/>
              <w:right w:val="single" w:color="auto" w:sz="4" w:space="0"/>
            </w:tcBorders>
            <w:vAlign w:val="center"/>
          </w:tcPr>
          <w:p w14:paraId="0DDB9AA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521" w:type="pct"/>
            <w:tcBorders>
              <w:top w:val="single" w:color="auto" w:sz="4" w:space="0"/>
              <w:left w:val="single" w:color="auto" w:sz="4" w:space="0"/>
              <w:bottom w:val="single" w:color="auto" w:sz="4" w:space="0"/>
              <w:right w:val="single" w:color="auto" w:sz="4" w:space="0"/>
            </w:tcBorders>
            <w:vAlign w:val="center"/>
          </w:tcPr>
          <w:p w14:paraId="1E46AA7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c>
          <w:tcPr>
            <w:tcW w:w="537" w:type="pct"/>
            <w:tcBorders>
              <w:top w:val="single" w:color="auto" w:sz="4" w:space="0"/>
              <w:left w:val="single" w:color="auto" w:sz="4" w:space="0"/>
              <w:bottom w:val="single" w:color="auto" w:sz="4" w:space="0"/>
              <w:right w:val="single" w:color="auto" w:sz="4" w:space="0"/>
            </w:tcBorders>
            <w:vAlign w:val="center"/>
          </w:tcPr>
          <w:p w14:paraId="0BBAF61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638" w:type="pct"/>
            <w:tcBorders>
              <w:top w:val="single" w:color="auto" w:sz="4" w:space="0"/>
              <w:left w:val="single" w:color="auto" w:sz="4" w:space="0"/>
              <w:bottom w:val="single" w:color="auto" w:sz="4" w:space="0"/>
              <w:right w:val="single" w:color="auto" w:sz="4" w:space="0"/>
            </w:tcBorders>
            <w:vAlign w:val="center"/>
          </w:tcPr>
          <w:p w14:paraId="75573F5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p>
        </w:tc>
      </w:tr>
      <w:tr w14:paraId="6672D67F">
        <w:tblPrEx>
          <w:tblCellMar>
            <w:top w:w="0" w:type="dxa"/>
            <w:left w:w="108" w:type="dxa"/>
            <w:bottom w:w="0" w:type="dxa"/>
            <w:right w:w="108" w:type="dxa"/>
          </w:tblCellMar>
        </w:tblPrEx>
        <w:trPr>
          <w:trHeight w:val="422" w:hRule="atLeast"/>
          <w:jc w:val="center"/>
        </w:trPr>
        <w:tc>
          <w:tcPr>
            <w:tcW w:w="561" w:type="pct"/>
            <w:tcBorders>
              <w:top w:val="single" w:color="000000" w:sz="4" w:space="0"/>
              <w:left w:val="single" w:color="000000" w:sz="4" w:space="0"/>
              <w:bottom w:val="single" w:color="000000" w:sz="4" w:space="0"/>
              <w:right w:val="single" w:color="000000" w:sz="4" w:space="0"/>
            </w:tcBorders>
            <w:vAlign w:val="center"/>
          </w:tcPr>
          <w:p w14:paraId="436579C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c>
          <w:tcPr>
            <w:tcW w:w="1515" w:type="pct"/>
            <w:tcBorders>
              <w:top w:val="single" w:color="000000" w:sz="4" w:space="0"/>
              <w:left w:val="single" w:color="000000" w:sz="4" w:space="0"/>
              <w:bottom w:val="single" w:color="000000" w:sz="4" w:space="0"/>
              <w:right w:val="single" w:color="000000" w:sz="4" w:space="0"/>
            </w:tcBorders>
            <w:vAlign w:val="center"/>
          </w:tcPr>
          <w:p w14:paraId="580117A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超微量紫外分光光度计</w:t>
            </w:r>
          </w:p>
        </w:tc>
        <w:tc>
          <w:tcPr>
            <w:tcW w:w="1225" w:type="pct"/>
            <w:tcBorders>
              <w:top w:val="single" w:color="000000" w:sz="4" w:space="0"/>
              <w:left w:val="single" w:color="000000" w:sz="4" w:space="0"/>
              <w:bottom w:val="single" w:color="000000" w:sz="4" w:space="0"/>
              <w:right w:val="single" w:color="auto" w:sz="4" w:space="0"/>
            </w:tcBorders>
            <w:vAlign w:val="center"/>
          </w:tcPr>
          <w:p w14:paraId="72C312A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详见技术需求</w:t>
            </w:r>
          </w:p>
        </w:tc>
        <w:tc>
          <w:tcPr>
            <w:tcW w:w="521" w:type="pct"/>
            <w:tcBorders>
              <w:top w:val="single" w:color="auto" w:sz="4" w:space="0"/>
              <w:left w:val="single" w:color="auto" w:sz="4" w:space="0"/>
              <w:bottom w:val="single" w:color="auto" w:sz="4" w:space="0"/>
              <w:right w:val="single" w:color="auto" w:sz="4" w:space="0"/>
            </w:tcBorders>
            <w:vAlign w:val="center"/>
          </w:tcPr>
          <w:p w14:paraId="6E7DF42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1</w:t>
            </w:r>
          </w:p>
        </w:tc>
        <w:tc>
          <w:tcPr>
            <w:tcW w:w="537" w:type="pct"/>
            <w:tcBorders>
              <w:top w:val="single" w:color="auto" w:sz="4" w:space="0"/>
              <w:left w:val="single" w:color="auto" w:sz="4" w:space="0"/>
              <w:bottom w:val="single" w:color="auto" w:sz="4" w:space="0"/>
              <w:right w:val="single" w:color="auto" w:sz="4" w:space="0"/>
            </w:tcBorders>
            <w:vAlign w:val="center"/>
          </w:tcPr>
          <w:p w14:paraId="31533BD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台</w:t>
            </w:r>
          </w:p>
        </w:tc>
        <w:tc>
          <w:tcPr>
            <w:tcW w:w="638" w:type="pct"/>
            <w:tcBorders>
              <w:top w:val="single" w:color="auto" w:sz="4" w:space="0"/>
              <w:left w:val="single" w:color="auto" w:sz="4" w:space="0"/>
              <w:bottom w:val="single" w:color="auto" w:sz="4" w:space="0"/>
              <w:right w:val="single" w:color="auto" w:sz="4" w:space="0"/>
            </w:tcBorders>
            <w:vAlign w:val="center"/>
          </w:tcPr>
          <w:p w14:paraId="321B692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olor w:val="auto"/>
                <w:sz w:val="24"/>
                <w:szCs w:val="24"/>
                <w:highlight w:val="none"/>
                <w:lang w:val="en-US" w:eastAsia="zh-CN"/>
              </w:rPr>
            </w:pPr>
          </w:p>
        </w:tc>
      </w:tr>
    </w:tbl>
    <w:p w14:paraId="2A51C526">
      <w:pPr>
        <w:widowControl/>
        <w:jc w:val="left"/>
        <w:rPr>
          <w:rFonts w:hint="eastAsia" w:ascii="宋体" w:hAnsi="宋体" w:cs="宋体"/>
          <w:b/>
          <w:bCs/>
          <w:color w:val="auto"/>
          <w:sz w:val="24"/>
          <w:szCs w:val="24"/>
          <w:highlight w:val="none"/>
          <w:lang w:eastAsia="zh-CN"/>
        </w:rPr>
      </w:pPr>
    </w:p>
    <w:p w14:paraId="6AA663F9">
      <w:pPr>
        <w:widowControl/>
        <w:jc w:val="left"/>
        <w:rPr>
          <w:rFonts w:hint="eastAsia" w:ascii="宋体" w:hAnsi="宋体" w:cs="宋体"/>
          <w:b/>
          <w:bCs/>
          <w:color w:val="auto"/>
          <w:sz w:val="24"/>
          <w:szCs w:val="24"/>
          <w:highlight w:val="none"/>
          <w:lang w:eastAsia="zh-CN"/>
        </w:rPr>
      </w:pPr>
    </w:p>
    <w:p w14:paraId="0187CBF5">
      <w:pPr>
        <w:widowControl/>
        <w:numPr>
          <w:ilvl w:val="0"/>
          <w:numId w:val="6"/>
        </w:num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技术需求参数</w:t>
      </w:r>
    </w:p>
    <w:p w14:paraId="54E41E3B">
      <w:pPr>
        <w:pStyle w:val="2"/>
        <w:numPr>
          <w:ilvl w:val="0"/>
          <w:numId w:val="0"/>
        </w:numPr>
        <w:rPr>
          <w:rFonts w:hint="eastAsia"/>
          <w:color w:val="auto"/>
          <w:highlight w:val="none"/>
        </w:rPr>
      </w:pP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758"/>
        <w:gridCol w:w="6287"/>
      </w:tblGrid>
      <w:tr w14:paraId="7421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shd w:val="clear" w:color="auto" w:fill="EEECE1" w:themeFill="background2"/>
            <w:vAlign w:val="center"/>
          </w:tcPr>
          <w:p w14:paraId="11C5446C">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758" w:type="dxa"/>
            <w:shd w:val="clear" w:color="auto" w:fill="EEECE1" w:themeFill="background2"/>
            <w:vAlign w:val="center"/>
          </w:tcPr>
          <w:p w14:paraId="31152718">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设备名称</w:t>
            </w:r>
          </w:p>
        </w:tc>
        <w:tc>
          <w:tcPr>
            <w:tcW w:w="6287" w:type="dxa"/>
            <w:shd w:val="clear" w:color="auto" w:fill="EEECE1" w:themeFill="background2"/>
            <w:vAlign w:val="center"/>
          </w:tcPr>
          <w:p w14:paraId="241BBEB8">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技术参数</w:t>
            </w:r>
          </w:p>
        </w:tc>
      </w:tr>
      <w:tr w14:paraId="313D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8" w:hRule="atLeast"/>
        </w:trPr>
        <w:tc>
          <w:tcPr>
            <w:tcW w:w="477" w:type="dxa"/>
            <w:vAlign w:val="center"/>
          </w:tcPr>
          <w:p w14:paraId="521B33CA">
            <w:pPr>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758" w:type="dxa"/>
            <w:tcBorders>
              <w:top w:val="single" w:color="000000" w:sz="4" w:space="0"/>
              <w:left w:val="single" w:color="000000" w:sz="4" w:space="0"/>
              <w:bottom w:val="single" w:color="000000" w:sz="4" w:space="0"/>
              <w:right w:val="single" w:color="000000" w:sz="4" w:space="0"/>
            </w:tcBorders>
            <w:vAlign w:val="center"/>
          </w:tcPr>
          <w:p w14:paraId="48613AA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高效液相色谱仪</w:t>
            </w:r>
          </w:p>
        </w:tc>
        <w:tc>
          <w:tcPr>
            <w:tcW w:w="6287" w:type="dxa"/>
          </w:tcPr>
          <w:p w14:paraId="5CED462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1.操作环境</w:t>
            </w:r>
          </w:p>
          <w:p w14:paraId="6931350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1.1工作电压：220V ±10%，单相；</w:t>
            </w:r>
          </w:p>
          <w:p w14:paraId="59DFEF6D">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1.2工作温度：4-35℃；</w:t>
            </w:r>
          </w:p>
          <w:p w14:paraId="35DA63C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1.3相对湿度：小于80%；</w:t>
            </w:r>
          </w:p>
          <w:p w14:paraId="24C8FF2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bookmarkStart w:id="100" w:name="OLE_LINK11"/>
            <w:r>
              <w:rPr>
                <w:rFonts w:hint="eastAsia" w:asciiTheme="minorEastAsia" w:hAnsiTheme="minorEastAsia" w:eastAsiaTheme="minorEastAsia" w:cstheme="minorEastAsia"/>
                <w:color w:val="auto"/>
                <w:sz w:val="24"/>
                <w:highlight w:val="none"/>
              </w:rPr>
              <w:t>液相色谱部分</w:t>
            </w:r>
            <w:bookmarkEnd w:id="100"/>
          </w:p>
          <w:p w14:paraId="338C6F0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2.1在线脱气机</w:t>
            </w:r>
          </w:p>
          <w:p w14:paraId="7176F2DE">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2.1.1真空脱气流路数：≥5路；</w:t>
            </w:r>
          </w:p>
          <w:p w14:paraId="55C6948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2.1.2最大操作流速：每个流路10 mL/min；</w:t>
            </w:r>
          </w:p>
          <w:p w14:paraId="471C09D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2.1.3内部容量：每个流路400ul；</w:t>
            </w:r>
          </w:p>
          <w:p w14:paraId="50A4661F">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2.2泵系统：</w:t>
            </w:r>
          </w:p>
          <w:p w14:paraId="20B33D7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泵型：微体积（柱塞体积</w:t>
            </w:r>
            <w:bookmarkStart w:id="101" w:name="OLE_LINK12"/>
            <w:r>
              <w:rPr>
                <w:rFonts w:hint="eastAsia" w:asciiTheme="minorEastAsia" w:hAnsiTheme="minorEastAsia" w:eastAsiaTheme="minorEastAsia" w:cstheme="minorEastAsia"/>
                <w:color w:val="auto"/>
                <w:sz w:val="24"/>
                <w:highlight w:val="none"/>
              </w:rPr>
              <w:t>≤10µL</w:t>
            </w:r>
            <w:bookmarkEnd w:id="101"/>
            <w:r>
              <w:rPr>
                <w:rFonts w:hint="eastAsia" w:asciiTheme="minorEastAsia" w:hAnsiTheme="minorEastAsia" w:eastAsiaTheme="minorEastAsia" w:cstheme="minorEastAsia"/>
                <w:color w:val="auto"/>
                <w:sz w:val="24"/>
                <w:highlight w:val="none"/>
              </w:rPr>
              <w:t>）双柱塞往复并联泵；</w:t>
            </w:r>
          </w:p>
          <w:p w14:paraId="4250FBD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 传动机制：皮带传动；</w:t>
            </w:r>
          </w:p>
          <w:p w14:paraId="602A2E7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2.2.3流速范围：0.0001-10.0000 ml/min；</w:t>
            </w:r>
          </w:p>
          <w:p w14:paraId="7ADC0DD1">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★2.2.3流速精确度：≤0.062％；</w:t>
            </w:r>
          </w:p>
          <w:p w14:paraId="78236A2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2.2.4流速准确度：≤1%；</w:t>
            </w:r>
          </w:p>
          <w:p w14:paraId="1564389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2.2.5工作压力：最大耐压66Mpa；</w:t>
            </w:r>
          </w:p>
          <w:p w14:paraId="388BFAC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2.2.6溶剂压缩性补偿：可自动, 连续进行；</w:t>
            </w:r>
          </w:p>
          <w:p w14:paraId="7A95A00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2.2.7梯度组成范围：0.0-100.0%, 0.1%步进；</w:t>
            </w:r>
          </w:p>
          <w:p w14:paraId="4F1E555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2.2.8梯度混合精度：0.1%RSD；</w:t>
            </w:r>
          </w:p>
          <w:p w14:paraId="007F9B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2.2.9安全机制：高压、低压报警、漏液报警等；</w:t>
            </w:r>
          </w:p>
          <w:p w14:paraId="53A6A72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2.2.10时间程序：流量、压力、事件、LOOP（程序反复）、</w:t>
            </w:r>
            <w:bookmarkStart w:id="102" w:name="OLE_LINK16"/>
            <w:r>
              <w:rPr>
                <w:rFonts w:hint="eastAsia" w:asciiTheme="minorEastAsia" w:hAnsiTheme="minorEastAsia" w:eastAsiaTheme="minorEastAsia" w:cstheme="minorEastAsia"/>
                <w:color w:val="auto"/>
                <w:sz w:val="24"/>
                <w:highlight w:val="none"/>
              </w:rPr>
              <w:t>文件、合计≥320段；</w:t>
            </w:r>
            <w:bookmarkEnd w:id="102"/>
          </w:p>
          <w:p w14:paraId="15571B9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物理双泵头：便于维护，自动清洁柱塞机构</w:t>
            </w:r>
          </w:p>
          <w:p w14:paraId="6BE0F16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12 输液模式：恒定流速输液、恒定压力输液（可通过工作站实现切换）；</w:t>
            </w:r>
          </w:p>
          <w:p w14:paraId="706ACF4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★2.2.13 独立控制面板：可脱离工作站独立操作；</w:t>
            </w:r>
          </w:p>
          <w:p w14:paraId="6751FE5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★2.2.14混合器控温：可实现流动相快速混合；</w:t>
            </w:r>
          </w:p>
          <w:p w14:paraId="77FD4FB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2.2.15混合器体积可调：500µL、900µL、1700µL和2600µL；</w:t>
            </w:r>
          </w:p>
          <w:p w14:paraId="5FB06BB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（以上两条需要在配置要求中明确注明“混合器”）</w:t>
            </w:r>
          </w:p>
          <w:p w14:paraId="19EE841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2.2.16 无阻尼器设计：无需阻尼器即可实现系统压力稳定，减小延迟体积；</w:t>
            </w:r>
          </w:p>
          <w:p w14:paraId="6602A8F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2.2.17 梯度模式：二元高压梯度系统，要求独立两台输液泵，而非二元一体泵，以降低故障率且便于维护。</w:t>
            </w:r>
          </w:p>
          <w:p w14:paraId="73664D77">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2.3自动进样器：</w:t>
            </w:r>
          </w:p>
          <w:p w14:paraId="1747611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2.3.1进样方式：全量进样, 环路进样；</w:t>
            </w:r>
          </w:p>
          <w:p w14:paraId="37A1078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2.3.2进样量设定范围: 0.1µL ~ 100µL(标准值)，可以增加至2000uL；</w:t>
            </w:r>
          </w:p>
          <w:p w14:paraId="01D7EBB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2.3.3样品瓶数目：≥120个 (1.5mL样品瓶)；</w:t>
            </w:r>
          </w:p>
          <w:p w14:paraId="3219FBA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2.3.4进样精度: &lt;0.2%RSD；</w:t>
            </w:r>
          </w:p>
          <w:p w14:paraId="75EF877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2.3.5进样量准确度: 1%以下；</w:t>
            </w:r>
          </w:p>
          <w:p w14:paraId="6DF0A34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★2.3.6交叉污染: ≦ 0.0025%；  </w:t>
            </w:r>
          </w:p>
          <w:p w14:paraId="797E3C8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2.3.7进样速度：完成10mL进样时间≤5秒；</w:t>
            </w:r>
          </w:p>
          <w:p w14:paraId="60ECC5E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2.3.8进样针清洗：在进样前后可以任意设定；具备内壁/外壁清洗功能；清洗液有在线自动脱气；</w:t>
            </w:r>
          </w:p>
          <w:p w14:paraId="4C31F8E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2.3.9进样线性： &gt;0.9999；</w:t>
            </w:r>
          </w:p>
          <w:p w14:paraId="2E27D8B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2.3.10使用pH范围： pH1 ~ pH14；</w:t>
            </w:r>
          </w:p>
          <w:p w14:paraId="0D0F2F4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2.3.11 独立控制面板：可脱离工作站独立操作；</w:t>
            </w:r>
          </w:p>
          <w:p w14:paraId="4146A9A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★2.3.12 自动purging：无需打开purge阀，可自动冲洗系统；</w:t>
            </w:r>
          </w:p>
          <w:p w14:paraId="604AA209">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2.4柱温箱</w:t>
            </w:r>
          </w:p>
          <w:p w14:paraId="33780A2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2.4.1容量：可放置≥5根4.6x 300mm的色谱和两个手动进样器、梯度混合器、柱切换阀等；</w:t>
            </w:r>
          </w:p>
          <w:p w14:paraId="0C69DDE2">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2.4.2温度控制范围: (室温+10~80℃）；</w:t>
            </w:r>
          </w:p>
          <w:p w14:paraId="7EC986F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2.4.3控温方式：强制空气循环式；</w:t>
            </w:r>
          </w:p>
          <w:p w14:paraId="477EE20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2.4.4温度稳定性：±0.1℃ （典型值0.04℃）；</w:t>
            </w:r>
          </w:p>
          <w:p w14:paraId="729AA2D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2.4.5安全措施：a.为防止过热，可设定使用最高温度保护；b.内装温度保险丝；c.内装可燃溶剂漏夜传感器 </w:t>
            </w:r>
          </w:p>
          <w:p w14:paraId="3C054A2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2.4.6控制方式：软件控制、面板控制；</w:t>
            </w:r>
          </w:p>
          <w:p w14:paraId="4782B48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★2.4.7 色谱柱切换阀：FCV-14AH，用于自动切换多根色谱柱，安装于柱温箱内部；</w:t>
            </w:r>
          </w:p>
          <w:p w14:paraId="351F2CD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2.4.8 独立控制面板 ：可脱离工作站独立操作；</w:t>
            </w:r>
          </w:p>
          <w:p w14:paraId="50BF356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2.5高灵敏度紫外检测器</w:t>
            </w:r>
          </w:p>
          <w:p w14:paraId="34FC74D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 光源：氘灯加汞灯；</w:t>
            </w:r>
          </w:p>
          <w:p w14:paraId="02F5E9C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2.5.2波长范围：190－800nm；</w:t>
            </w:r>
          </w:p>
          <w:p w14:paraId="522B223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2.5.3波长准确度：≤1nm；</w:t>
            </w:r>
          </w:p>
          <w:p w14:paraId="0A836ED3">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2.5.4波长精密度：≤0.1nm；</w:t>
            </w:r>
          </w:p>
          <w:p w14:paraId="4D08C36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2.5.5噪音：±0.25×10－5；</w:t>
            </w:r>
          </w:p>
          <w:p w14:paraId="5F80A0E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★2.5.6飘移：≤1×10－4AU/h；</w:t>
            </w:r>
          </w:p>
          <w:p w14:paraId="1701C7B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★2.5.7线性: ＞2.4AU；</w:t>
            </w:r>
          </w:p>
          <w:p w14:paraId="0EE9BA41">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2.5.7检测池体积：10uL （可更换）；</w:t>
            </w:r>
          </w:p>
          <w:p w14:paraId="2013D768">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2.5.8 UV截止功能：内置UV截止滤光片(开/关可选)；</w:t>
            </w:r>
          </w:p>
          <w:p w14:paraId="1F50155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2.5.9 web控制：可进行参数设置，日志管理，消耗品管理；</w:t>
            </w:r>
          </w:p>
          <w:p w14:paraId="463E3C4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2.5.10 实现共流出化合物的基线分离：可通过i-PDeA 智能峰解卷积功能实现；</w:t>
            </w:r>
          </w:p>
          <w:p w14:paraId="388276C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2.5.11 该设备需具备通过i-DReC实现智能动态范围扩展的功能；</w:t>
            </w:r>
          </w:p>
          <w:p w14:paraId="6103A6F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★2.5.12 The maxplot功能：实现共流出化合物最大吸收波长的确认；</w:t>
            </w:r>
          </w:p>
          <w:p w14:paraId="3DE33B9A">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★2.5.13流通池温控：9~50℃、1℃步进；</w:t>
            </w:r>
          </w:p>
          <w:p w14:paraId="417B6E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2.5.14流通池ID/光源ID功能：识别流通池与光源的ID，录入数据文件与系统检查报告；</w:t>
            </w:r>
          </w:p>
          <w:p w14:paraId="5F3AC18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2.5.15停泵扫描：可停泵作UV光谱图扫描；</w:t>
            </w:r>
          </w:p>
          <w:p w14:paraId="62757F0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2.5.16波长时间程序：产品应可设定波长（包括双波长）、自动调零、范围、标志指示、响应波长扫描、事件、极性、打开/关闭灯，循环、池温度以及停止；</w:t>
            </w:r>
          </w:p>
          <w:p w14:paraId="4FD2F72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2.6系统控制器</w:t>
            </w:r>
          </w:p>
          <w:p w14:paraId="16C97FC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2.6.1控制单元数：≥4个单元；</w:t>
            </w:r>
          </w:p>
          <w:p w14:paraId="6FBFB20C">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2.6.2数据缓存：约24小时/每次分析（≤500ms采样速率）；</w:t>
            </w:r>
          </w:p>
          <w:p w14:paraId="24B52E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2.6.3Web控制功能：可实现以太网远程控制功能；</w:t>
            </w:r>
          </w:p>
          <w:p w14:paraId="71458BD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3.配置需求：</w:t>
            </w:r>
          </w:p>
          <w:p w14:paraId="0C90C816">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液相泵2台，UV检测器1台，柱温箱一台，自动进样器一台，色谱柱C18一根；</w:t>
            </w:r>
          </w:p>
        </w:tc>
      </w:tr>
      <w:tr w14:paraId="5DD9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070B15F">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758" w:type="dxa"/>
            <w:tcBorders>
              <w:top w:val="single" w:color="000000" w:sz="4" w:space="0"/>
              <w:left w:val="single" w:color="000000" w:sz="4" w:space="0"/>
              <w:bottom w:val="single" w:color="000000" w:sz="4" w:space="0"/>
              <w:right w:val="single" w:color="000000" w:sz="4" w:space="0"/>
            </w:tcBorders>
            <w:vAlign w:val="center"/>
          </w:tcPr>
          <w:p w14:paraId="04A12FB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多功能酶标仪</w:t>
            </w:r>
          </w:p>
        </w:tc>
        <w:tc>
          <w:tcPr>
            <w:tcW w:w="6287" w:type="dxa"/>
          </w:tcPr>
          <w:p w14:paraId="3DF20DD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1.检测类型：6-384孔微孔板，24孔或64孔超微量检测板（2μl或4μl）；</w:t>
            </w:r>
          </w:p>
          <w:p w14:paraId="5688057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2.应用范围：基于四光栅技术：吸收光、荧光强度、化学发光和荧光共振能量转移；</w:t>
            </w:r>
          </w:p>
          <w:p w14:paraId="018E1B0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3.光源：高能氙闪灯光；</w:t>
            </w:r>
          </w:p>
          <w:p w14:paraId="7908A7F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★4.温度控制：室温+5℃-66℃；</w:t>
            </w:r>
          </w:p>
          <w:p w14:paraId="14898BC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5.温度均一性：±0.75℃；</w:t>
            </w:r>
          </w:p>
          <w:p w14:paraId="2819547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6.温度准确度：±1℃@37℃；</w:t>
            </w:r>
          </w:p>
          <w:p w14:paraId="4E16FCB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7.震荡方式：线性、圆周、双圆周（强度和速度可调）；</w:t>
            </w:r>
          </w:p>
          <w:p w14:paraId="72292FC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★8.检测器：-5℃制冷PMT；</w:t>
            </w:r>
          </w:p>
          <w:p w14:paraId="7B7A6B3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9.检测模式：终点法（所有模式），动力学（所有模式），全波长扫描（所有模式），区域扫描（可达20*20密度/孔）；</w:t>
            </w:r>
          </w:p>
          <w:p w14:paraId="1E58746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★10.电脑连接方式：网线（可直接接入局域网）</w:t>
            </w:r>
          </w:p>
          <w:p w14:paraId="436B1C4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允许一台工作站控制多台仪器，同时数据可以存入网络中的任何终端电脑，进行数据共享和分析；</w:t>
            </w:r>
          </w:p>
          <w:p w14:paraId="5755616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11.吸收光：</w:t>
            </w:r>
          </w:p>
          <w:p w14:paraId="71CF20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波长范围：230nm-1000nm，1nm可调；</w:t>
            </w:r>
          </w:p>
          <w:p w14:paraId="36A7EEF1">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波长带宽：4.0nm；</w:t>
            </w:r>
          </w:p>
          <w:p w14:paraId="6538DA5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波长准确度： ±2.0nm；</w:t>
            </w:r>
          </w:p>
          <w:p w14:paraId="4B66E5E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波长重复性：±1nm；</w:t>
            </w:r>
          </w:p>
          <w:p w14:paraId="40958A8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光度量范围：0-4.0(OD)；</w:t>
            </w:r>
          </w:p>
          <w:p w14:paraId="3F9C060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11.6 分光检测分辨率：≤0.001OD；</w:t>
            </w:r>
          </w:p>
          <w:p w14:paraId="22756EE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★11.7 测定准确度：＜±0.010OD±1.0%，0-3.0OD；</w:t>
            </w:r>
          </w:p>
          <w:p w14:paraId="0D244E6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★11.8 测定精确度：＜±0.003OD±1.0%，0-3.0OD；</w:t>
            </w:r>
          </w:p>
          <w:p w14:paraId="25FED55E">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11.9 杂散光： ＜0.05%@230nm；</w:t>
            </w:r>
          </w:p>
          <w:p w14:paraId="334928E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★11.10 光程校正技术：产品需配备PathCheck光径传感器技术，可以将实测的光密度值校正为1cm光径下的吸光度值，使对微孔板的测读达到分光光度计的精度，校正结果不随温度变化而变化；</w:t>
            </w:r>
          </w:p>
          <w:p w14:paraId="40CE4E3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12.荧光强度：</w:t>
            </w:r>
          </w:p>
          <w:p w14:paraId="240BB7F8">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 荧光检测支持：微孔板顶部及底部检测；</w:t>
            </w:r>
          </w:p>
          <w:p w14:paraId="406A3A7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 波长范围：250nm-850nm，1nm可调；</w:t>
            </w:r>
          </w:p>
          <w:p w14:paraId="7FD8810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带宽：(EX)15nm；( EM)25nm；</w:t>
            </w:r>
          </w:p>
          <w:p w14:paraId="75DDE0F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动态学范围：＞6个数量级；</w:t>
            </w:r>
          </w:p>
          <w:p w14:paraId="05EAEF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 灵敏度(优化)：＜1pM荧光素，96孔板顶读；&lt; 2pM荧光素，96孔板底读；＜ 1pM荧光素， 384孔板顶读；＜ 2.5pM荧光素，384孔板底读；</w:t>
            </w:r>
          </w:p>
          <w:p w14:paraId="7FD3B29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13.化学发光：</w:t>
            </w:r>
          </w:p>
          <w:p w14:paraId="506E8FB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 化学发光检测支持：微孔板顶部检测；</w:t>
            </w:r>
          </w:p>
          <w:p w14:paraId="56E0E15F">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 波长范围：300nm—850nm，1nm可调；</w:t>
            </w:r>
          </w:p>
          <w:p w14:paraId="622792B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★13.3 动态学范围：＞7个数量级；</w:t>
            </w:r>
          </w:p>
          <w:p w14:paraId="303AA53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★13.4 灵敏度（辉光）：＜ 2pM ATP 96孔板，＜ 4pM ATP 384孔板；  </w:t>
            </w:r>
          </w:p>
          <w:p w14:paraId="54F0C42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 灵敏度（闪光）： ＜20amol ATP（Promega ENLITEN ATP Assay System）；</w:t>
            </w:r>
          </w:p>
          <w:p w14:paraId="709CD6BD">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13.6 孔间干扰：＜0.1%，白色96孔板；＜0.2%，白色384孔板；</w:t>
            </w:r>
          </w:p>
          <w:p w14:paraId="5AB1C05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14.检测时间：</w:t>
            </w:r>
          </w:p>
          <w:p w14:paraId="3ED730C8">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96孔板：吸收光：28秒（优化）；荧光强度：21秒（优化）；化学发光：21秒（优化）；                 </w:t>
            </w:r>
          </w:p>
          <w:p w14:paraId="0E4E458A">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384孔板：吸收光：1分25秒；荧光强度：53秒；化学发光：1分01秒；</w:t>
            </w:r>
          </w:p>
          <w:p w14:paraId="18113A0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15.机器臂兼容性：兼容；</w:t>
            </w:r>
          </w:p>
          <w:p w14:paraId="79173B0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★16.需配备近场芯片感应通讯和身份识别功能（NFC），配备用户身份识别卡；</w:t>
            </w:r>
          </w:p>
          <w:p w14:paraId="5775DA2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17.仪器主机USB插口应支持数据输出；</w:t>
            </w:r>
          </w:p>
          <w:p w14:paraId="153EF92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★18.仪器主机面板应具有嵌入式大屏幕触摸屏：无需连接电脑，直接使用在线触屏进行程序、参数设置、读板、存储数据（至USB或网络路径）、数据展示和浏览；同时机器内置培训视频可在线可调用观看；</w:t>
            </w:r>
          </w:p>
          <w:p w14:paraId="5A7DDAC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19.注射器模块：</w:t>
            </w:r>
          </w:p>
          <w:p w14:paraId="7AC53117">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注射器通道：内置双通道，1 µL增量；</w:t>
            </w:r>
          </w:p>
          <w:p w14:paraId="2C17B5AA">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支持的模式：ABS, FI和Lumi；</w:t>
            </w:r>
          </w:p>
          <w:p w14:paraId="589EBDCD">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19.3 分液准确性：±5%@100 µL；</w:t>
            </w:r>
          </w:p>
          <w:p w14:paraId="0B67C687">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19.4 分液精确性：＜2% cv@100 µL；</w:t>
            </w:r>
          </w:p>
          <w:p w14:paraId="5AD746AB">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19.5 死体积：管路体积： 250 µL；回流死体积：&lt; 10 µL； </w:t>
            </w:r>
          </w:p>
          <w:p w14:paraId="2114852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20.软件：产品需配备SoftMax Pro数据分析软件可自动进行数据的运算及存储；可完成图表曲线制作，并可完成坐标轴的自由定义和转换，≥21种曲线拟合方式；完成自编公式和程序的存储及运行；仪器的各种功能均可通过计算机控制完成；软件符合GLP/GMP规范要求，数据不得修改（SoftMax Pro验证包、IQ/OQ/PQ验证手册可选），兼容Windows 10专业版或企业版系统。数据导入支持：Excel或XML格式的外部数据导入功能（可选），支持模板分组导入功能、支持多种模式（ABS\FI）检测导入到同一程序；支持多种数据导出格式：Excel、TXT、XML和PDF。</w:t>
            </w:r>
          </w:p>
        </w:tc>
      </w:tr>
      <w:tr w14:paraId="1E75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2B99EB1A">
            <w:pPr>
              <w:keepNext w:val="0"/>
              <w:keepLines w:val="0"/>
              <w:suppressLineNumbers w:val="0"/>
              <w:snapToGrid w:val="0"/>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758" w:type="dxa"/>
            <w:tcBorders>
              <w:top w:val="single" w:color="000000" w:sz="4" w:space="0"/>
              <w:left w:val="single" w:color="000000" w:sz="4" w:space="0"/>
              <w:bottom w:val="single" w:color="000000" w:sz="4" w:space="0"/>
              <w:right w:val="single" w:color="000000" w:sz="4" w:space="0"/>
            </w:tcBorders>
            <w:vAlign w:val="center"/>
          </w:tcPr>
          <w:p w14:paraId="6CC50BC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超微量紫外分光光度计</w:t>
            </w:r>
          </w:p>
        </w:tc>
        <w:tc>
          <w:tcPr>
            <w:tcW w:w="6287" w:type="dxa"/>
          </w:tcPr>
          <w:p w14:paraId="332F351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设备用途：</w:t>
            </w:r>
          </w:p>
          <w:p w14:paraId="5A3534BB">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1.1蛋白质、核酸样品浓度测量；</w:t>
            </w:r>
          </w:p>
          <w:p w14:paraId="644799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1.2细菌细胞密度测量；</w:t>
            </w:r>
          </w:p>
          <w:p w14:paraId="1A2B924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1.3化合物的定量和定性分析；</w:t>
            </w:r>
          </w:p>
          <w:p w14:paraId="4B35DA35">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 动力学分析；</w:t>
            </w:r>
          </w:p>
          <w:p w14:paraId="6CA5C61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 全波长和固定波长扫描；</w:t>
            </w:r>
          </w:p>
          <w:p w14:paraId="71CF307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工作条件：</w:t>
            </w:r>
          </w:p>
          <w:p w14:paraId="36FFA34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2.1电源：90-250 V, 50/60 Hz,90W；</w:t>
            </w:r>
          </w:p>
          <w:p w14:paraId="5F95B3AC">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环境温度：15-35℃；</w:t>
            </w:r>
          </w:p>
          <w:p w14:paraId="505641C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环境湿度：＜85%；</w:t>
            </w:r>
          </w:p>
          <w:p w14:paraId="2065722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技术指标：</w:t>
            </w:r>
          </w:p>
          <w:p w14:paraId="794AF693">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3.1可进行微量样品吸光度、浓度、纯度测量，配有微量样品台；</w:t>
            </w:r>
          </w:p>
          <w:p w14:paraId="5F6A1C26">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微量样品台：</w:t>
            </w:r>
          </w:p>
          <w:p w14:paraId="780547B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★3.2.1 最小样品量： 0.3μL；</w:t>
            </w:r>
          </w:p>
          <w:p w14:paraId="2C9292B4">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光度范围：0.1-150 A ；</w:t>
            </w:r>
          </w:p>
          <w:p w14:paraId="3A88A3F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 检测范围：dsDNA：5-7500ng/μL，BSA：0.15-217mg/ml。</w:t>
            </w:r>
          </w:p>
          <w:p w14:paraId="4B151B64">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光学规格：</w:t>
            </w:r>
          </w:p>
          <w:p w14:paraId="233A4B10">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 波长扫描范围:200-650nm；</w:t>
            </w:r>
          </w:p>
          <w:p w14:paraId="7EBF9407">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 光程数量≤2个，0.67mm和0.07mm双固定光程电磁弹射切换，终身无需校正，光程切换器所有部分均不暴露在空气中；</w:t>
            </w:r>
          </w:p>
          <w:p w14:paraId="6C5ADB8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★3.3.3开机无需预热，测量时间：完成200nm-650nm全波长测量时间≤4秒；</w:t>
            </w:r>
          </w:p>
          <w:p w14:paraId="36197FF8">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 吸光度准确性：＜2 %读数（0.7A，280nm）；</w:t>
            </w:r>
          </w:p>
          <w:p w14:paraId="70C76F9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★3.3.5光学检测系统：不低于4000像素CMOS阵列检测器；</w:t>
            </w:r>
          </w:p>
          <w:p w14:paraId="66A0957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bookmarkStart w:id="103" w:name="OLE_LINK9"/>
            <w:r>
              <w:rPr>
                <w:rFonts w:hint="eastAsia" w:asciiTheme="minorEastAsia" w:hAnsiTheme="minorEastAsia" w:eastAsiaTheme="minorEastAsia" w:cstheme="minorEastAsia"/>
                <w:color w:val="auto"/>
                <w:sz w:val="24"/>
                <w:highlight w:val="none"/>
              </w:rPr>
              <w:t>光源</w:t>
            </w:r>
            <w:bookmarkEnd w:id="103"/>
            <w:r>
              <w:rPr>
                <w:rFonts w:hint="eastAsia" w:asciiTheme="minorEastAsia" w:hAnsiTheme="minorEastAsia" w:eastAsiaTheme="minorEastAsia" w:cstheme="minorEastAsia"/>
                <w:color w:val="auto"/>
                <w:sz w:val="24"/>
                <w:highlight w:val="none"/>
              </w:rPr>
              <w:t>：脉冲氙灯，闪烁不低于109次，提供10年</w:t>
            </w:r>
            <w:r>
              <w:rPr>
                <w:rFonts w:hint="eastAsia" w:asciiTheme="minorEastAsia" w:hAnsiTheme="minorEastAsia" w:eastAsiaTheme="minorEastAsia" w:cstheme="minorEastAsia"/>
                <w:color w:val="auto"/>
                <w:sz w:val="24"/>
                <w:highlight w:val="none"/>
                <w:lang w:val="en-US" w:eastAsia="zh-CN"/>
              </w:rPr>
              <w:t>原厂</w:t>
            </w:r>
            <w:r>
              <w:rPr>
                <w:rFonts w:hint="eastAsia" w:asciiTheme="minorEastAsia" w:hAnsiTheme="minorEastAsia" w:eastAsiaTheme="minorEastAsia" w:cstheme="minorEastAsia"/>
                <w:color w:val="auto"/>
                <w:sz w:val="24"/>
                <w:highlight w:val="none"/>
              </w:rPr>
              <w:t>质保（中标后合同签订前需提供制造商的售后服务承诺）；</w:t>
            </w:r>
          </w:p>
          <w:p w14:paraId="755888C0">
            <w:pPr>
              <w:keepNext w:val="0"/>
              <w:keepLines w:val="0"/>
              <w:suppressLineNumbers w:val="0"/>
              <w:spacing w:before="0" w:beforeAutospacing="0" w:after="0" w:afterAutospacing="0" w:line="360" w:lineRule="auto"/>
              <w:ind w:left="210" w:leftChars="1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 系统性能</w:t>
            </w:r>
          </w:p>
          <w:p w14:paraId="2049BA5F">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3.4.1开机时自动检测系统状态； </w:t>
            </w:r>
          </w:p>
          <w:p w14:paraId="72B5771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 测光方式：Abs、T%、浓度，全波长扫描，比率，多波长扫描，动力学、△ABS x因子/分钟；</w:t>
            </w:r>
          </w:p>
          <w:p w14:paraId="6C3F13AB">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3.4.3 内置式方法：核酸、荧光染料，基因芯片 蛋白质（可自建标准曲线）和细胞OD600；</w:t>
            </w:r>
          </w:p>
          <w:p w14:paraId="2E3A47C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3.4.4操作系统：基于Linux的NPOS系统（非安卓系统），7寸彩色平板电脑，不低于2.4 GHz处理器；</w:t>
            </w:r>
          </w:p>
          <w:p w14:paraId="1FE5077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3.4.5 仪器可与智能手机、平板电脑、笔记本电脑、台式电脑进行无线和有线连接，控制仪器并进行测量样品操作，兼容安卓、Windows或苹果系统；</w:t>
            </w:r>
          </w:p>
          <w:p w14:paraId="053BC919">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3.4.6 数据和方法存储：自带平板电脑，内置32GB存储空间，可直接存储测量结果数据与自定义方法；</w:t>
            </w:r>
          </w:p>
          <w:p w14:paraId="705286C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3.4.7数据输出端口：具有WLAN、HDMI、Ethernet和3个USB接口，可实现与鼠标、键盘、台式电脑、网线等多种设备连接使用。数据输出格式IDS、EXCEL或PDF，可选择单独或同时输出多种格式；</w:t>
            </w:r>
          </w:p>
          <w:p w14:paraId="3788A535">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3.4.8 显示器规格：1024×600 像素，兼容橡胶手套的触摸屏；</w:t>
            </w:r>
          </w:p>
          <w:p w14:paraId="451E9B66">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★3.4.9采用样品压缩法原理，检测过程中无需形成样品液柱，封闭式检测环境，样品不暴露在空气中，无样品挥发影响；</w:t>
            </w:r>
          </w:p>
          <w:p w14:paraId="418DB711">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3.4.10可识别的污染物数量：10种，包括但不限于：Tris、苯酚、EDTA、Trizol、硫氰酸胍、RIPA、NDSB、细屑颗粒等。可进行气泡和样品台污染的识别；</w:t>
            </w:r>
          </w:p>
          <w:p w14:paraId="5C3016AD">
            <w:pPr>
              <w:keepNext w:val="0"/>
              <w:keepLines w:val="0"/>
              <w:suppressLineNumbers w:val="0"/>
              <w:spacing w:before="0" w:beforeAutospacing="0" w:after="0" w:afterAutospacing="0" w:line="360" w:lineRule="auto"/>
              <w:ind w:left="420" w:leftChars="20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3.4.11 带有自动检测功能，放下样品盖可自动检测样品，无需点击测量按钮；</w:t>
            </w:r>
          </w:p>
          <w:p w14:paraId="6246CB8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配置清单</w:t>
            </w:r>
          </w:p>
          <w:p w14:paraId="15C5353F">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超微量分光光度计主机；</w:t>
            </w:r>
          </w:p>
          <w:p w14:paraId="5AE48B8A">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 数据线；</w:t>
            </w:r>
          </w:p>
          <w:p w14:paraId="486D5316">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 电源适配器；</w:t>
            </w:r>
          </w:p>
          <w:p w14:paraId="57995352">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 数据U盘（内含说明书）；</w:t>
            </w:r>
          </w:p>
          <w:p w14:paraId="49B76F5B">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电脑端操作软件；</w:t>
            </w:r>
          </w:p>
          <w:p w14:paraId="01369782">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防尘罩；</w:t>
            </w:r>
          </w:p>
          <w:p w14:paraId="0BCE56A4">
            <w:pPr>
              <w:keepNext w:val="0"/>
              <w:keepLines w:val="0"/>
              <w:suppressLineNumbers w:val="0"/>
              <w:spacing w:before="0" w:beforeAutospacing="0" w:after="0" w:afterAutospacing="0" w:line="360" w:lineRule="auto"/>
              <w:ind w:left="0" w:righ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 官方测试报告；</w:t>
            </w:r>
          </w:p>
        </w:tc>
      </w:tr>
    </w:tbl>
    <w:p w14:paraId="0210A0DA">
      <w:pPr>
        <w:spacing w:line="400" w:lineRule="exact"/>
        <w:outlineLvl w:val="1"/>
        <w:rPr>
          <w:rFonts w:hint="eastAsia" w:ascii="宋体" w:hAnsi="宋体" w:eastAsia="宋体" w:cs="宋体"/>
          <w:color w:val="auto"/>
          <w:kern w:val="0"/>
          <w:sz w:val="24"/>
          <w:szCs w:val="24"/>
          <w:highlight w:val="none"/>
        </w:rPr>
      </w:pPr>
    </w:p>
    <w:p w14:paraId="195A75B8">
      <w:pPr>
        <w:spacing w:line="400" w:lineRule="exact"/>
        <w:outlineLvl w:val="1"/>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rPr>
        <w:t>、商务需求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7616"/>
      </w:tblGrid>
      <w:tr w14:paraId="2665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3E62C599">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付款条件</w:t>
            </w:r>
          </w:p>
        </w:tc>
        <w:tc>
          <w:tcPr>
            <w:tcW w:w="4203" w:type="pct"/>
            <w:tcBorders>
              <w:top w:val="single" w:color="auto" w:sz="4" w:space="0"/>
              <w:left w:val="single" w:color="auto" w:sz="4" w:space="0"/>
              <w:bottom w:val="single" w:color="auto" w:sz="4" w:space="0"/>
              <w:right w:val="single" w:color="auto" w:sz="4" w:space="0"/>
            </w:tcBorders>
            <w:vAlign w:val="center"/>
          </w:tcPr>
          <w:p w14:paraId="6E43496F">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在收到发票后7个工作日内（如遇休息日或节假日，付款日期顺延）一次性付清剩余款项。</w:t>
            </w:r>
          </w:p>
        </w:tc>
      </w:tr>
      <w:tr w14:paraId="5047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0E8DFBB1">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r>
              <w:rPr>
                <w:rFonts w:hint="eastAsia" w:asciiTheme="minorEastAsia" w:hAnsiTheme="minorEastAsia" w:eastAsiaTheme="minorEastAsia" w:cstheme="minorEastAsia"/>
                <w:color w:val="auto"/>
                <w:sz w:val="24"/>
                <w:szCs w:val="24"/>
                <w:highlight w:val="none"/>
                <w:lang w:eastAsia="zh-CN"/>
              </w:rPr>
              <w:t>及履约</w:t>
            </w:r>
            <w:r>
              <w:rPr>
                <w:rFonts w:hint="eastAsia" w:asciiTheme="minorEastAsia" w:hAnsiTheme="minorEastAsia" w:eastAsiaTheme="minorEastAsia" w:cstheme="minorEastAsia"/>
                <w:color w:val="auto"/>
                <w:sz w:val="24"/>
                <w:szCs w:val="24"/>
                <w:highlight w:val="none"/>
              </w:rPr>
              <w:t>保金</w:t>
            </w:r>
          </w:p>
        </w:tc>
        <w:tc>
          <w:tcPr>
            <w:tcW w:w="7616" w:type="dxa"/>
            <w:tcBorders>
              <w:top w:val="single" w:color="auto" w:sz="4" w:space="0"/>
              <w:left w:val="single" w:color="auto" w:sz="4" w:space="0"/>
              <w:bottom w:val="single" w:color="auto" w:sz="4" w:space="0"/>
              <w:right w:val="single" w:color="auto" w:sz="4" w:space="0"/>
            </w:tcBorders>
            <w:vAlign w:val="center"/>
          </w:tcPr>
          <w:p w14:paraId="11745EEF">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（1）质保期：整机设备</w:t>
            </w:r>
            <w:r>
              <w:rPr>
                <w:rFonts w:hint="default" w:ascii="Times New Roman" w:hAnsi="Times New Roman"/>
                <w:color w:val="auto"/>
                <w:highlight w:val="none"/>
                <w:u w:val="single"/>
              </w:rPr>
              <w:t xml:space="preserve"> </w:t>
            </w:r>
            <w:r>
              <w:rPr>
                <w:rFonts w:hint="eastAsia" w:ascii="Times New Roman" w:hAnsi="Times New Roman"/>
                <w:color w:val="auto"/>
                <w:highlight w:val="none"/>
                <w:u w:val="single"/>
              </w:rPr>
              <w:t xml:space="preserve">1 </w:t>
            </w:r>
            <w:r>
              <w:rPr>
                <w:rFonts w:hint="default" w:ascii="Times New Roman" w:hAnsi="Times New Roman"/>
                <w:color w:val="auto"/>
                <w:highlight w:val="none"/>
              </w:rPr>
              <w:t xml:space="preserve"> 年</w:t>
            </w:r>
            <w:r>
              <w:rPr>
                <w:rFonts w:hint="eastAsia" w:ascii="Times New Roman" w:hAnsi="Times New Roman"/>
                <w:color w:val="auto"/>
                <w:highlight w:val="none"/>
              </w:rPr>
              <w:t>及以上</w:t>
            </w:r>
            <w:r>
              <w:rPr>
                <w:rFonts w:hint="eastAsia" w:ascii="Times New Roman" w:hAnsi="Times New Roman"/>
                <w:color w:val="auto"/>
                <w:highlight w:val="none"/>
                <w:lang w:eastAsia="zh-CN"/>
              </w:rPr>
              <w:t>；</w:t>
            </w:r>
            <w:r>
              <w:rPr>
                <w:rFonts w:hint="eastAsia" w:asciiTheme="minorEastAsia" w:hAnsiTheme="minorEastAsia" w:eastAsiaTheme="minorEastAsia" w:cstheme="minorEastAsia"/>
                <w:color w:val="auto"/>
                <w:sz w:val="24"/>
                <w:szCs w:val="24"/>
                <w:highlight w:val="none"/>
              </w:rPr>
              <w:t>超微量紫外</w:t>
            </w:r>
            <w:r>
              <w:rPr>
                <w:rFonts w:hint="eastAsia" w:asciiTheme="minorEastAsia" w:hAnsiTheme="minorEastAsia" w:eastAsiaTheme="minorEastAsia" w:cstheme="minorEastAsia"/>
                <w:color w:val="auto"/>
                <w:sz w:val="24"/>
                <w:szCs w:val="24"/>
                <w:highlight w:val="none"/>
                <w:lang w:val="en-US" w:eastAsia="zh-CN"/>
              </w:rPr>
              <w:t>分光光度计的光源原厂质保</w:t>
            </w:r>
            <w:r>
              <w:rPr>
                <w:rFonts w:hint="eastAsia" w:asciiTheme="minorEastAsia" w:hAnsiTheme="minorEastAsia" w:eastAsiaTheme="minorEastAsia" w:cstheme="minorEastAsia"/>
                <w:color w:val="auto"/>
                <w:sz w:val="24"/>
                <w:szCs w:val="24"/>
                <w:highlight w:val="none"/>
                <w:u w:val="single"/>
                <w:lang w:val="en-US" w:eastAsia="zh-CN"/>
              </w:rPr>
              <w:t xml:space="preserve">10 </w:t>
            </w:r>
            <w:r>
              <w:rPr>
                <w:rFonts w:hint="eastAsia" w:asciiTheme="minorEastAsia" w:hAnsiTheme="minorEastAsia" w:eastAsiaTheme="minorEastAsia" w:cstheme="minorEastAsia"/>
                <w:color w:val="auto"/>
                <w:sz w:val="24"/>
                <w:szCs w:val="24"/>
                <w:highlight w:val="none"/>
                <w:lang w:val="en-US" w:eastAsia="zh-CN"/>
              </w:rPr>
              <w:t>年</w:t>
            </w:r>
            <w:r>
              <w:rPr>
                <w:rFonts w:hint="default" w:ascii="Times New Roman" w:hAnsi="Times New Roman"/>
                <w:color w:val="auto"/>
                <w:highlight w:val="none"/>
              </w:rPr>
              <w:t>；</w:t>
            </w:r>
          </w:p>
          <w:p w14:paraId="7F11B058">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（2）履约保证金：本项目不收履约保证金</w:t>
            </w:r>
          </w:p>
        </w:tc>
      </w:tr>
      <w:tr w14:paraId="1995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62C07C2E">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售后技术服务要求</w:t>
            </w:r>
          </w:p>
        </w:tc>
        <w:tc>
          <w:tcPr>
            <w:tcW w:w="7616" w:type="dxa"/>
            <w:tcBorders>
              <w:top w:val="single" w:color="auto" w:sz="4" w:space="0"/>
              <w:left w:val="single" w:color="auto" w:sz="4" w:space="0"/>
              <w:bottom w:val="single" w:color="auto" w:sz="4" w:space="0"/>
              <w:right w:val="single" w:color="auto" w:sz="4" w:space="0"/>
            </w:tcBorders>
            <w:vAlign w:val="center"/>
          </w:tcPr>
          <w:p w14:paraId="734C0675">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）合同生效后，仪器制造商（或代理商）对安装仪器的实验室工作条件应提出具体要求，并在安装前予以确认。</w:t>
            </w:r>
          </w:p>
          <w:p w14:paraId="082958A5">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）提供的产品须为原装正品，相关的配套附件质量优良，数量齐全，并在标书中注明可选配件的价格。</w:t>
            </w:r>
          </w:p>
          <w:p w14:paraId="6CA7DEF8">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）仪器到达用户指定交货地点后，根据用户的时间安排，仪器制造商（或代理商）在接到用户通知后30天内进行安装调试，直至通过验收。</w:t>
            </w:r>
          </w:p>
          <w:p w14:paraId="5DB10EE4">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）仪器安装调试合格后，仪器制造商（或代理商）负责对用户技术人员（至少2人）进行免费现场培训，培训内容包括仪器的性能、原理、操作、保养和维护等，培训日程视实际情况另定。</w:t>
            </w:r>
          </w:p>
          <w:p w14:paraId="455C6C5D">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）质保期过后，仪器制造商（或代理商）对仪器提供终身维修服务，能提供广泛、即时、优惠的技术服务，并提供质量上乘、价格合理的各种配件。</w:t>
            </w:r>
          </w:p>
          <w:p w14:paraId="05BE9F39">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）保证供应仪器质保期后3年内所需的备品、备件；须给出详细清单（品名、货号、生产厂家、数量、价格等）。</w:t>
            </w:r>
          </w:p>
          <w:p w14:paraId="5524666A">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5A51A463">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）仪器制造商（或代理商）终身免费提供应用咨询及技术帮助，质保期内，易损件和外购件根据原厂家质保期和国家质保标准保修，属人为因素酌情收取材料费。质保期外实行有偿服务。</w:t>
            </w:r>
          </w:p>
        </w:tc>
      </w:tr>
      <w:tr w14:paraId="052F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0B2F11C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交货时间</w:t>
            </w:r>
          </w:p>
          <w:p w14:paraId="27C9E892">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及地点</w:t>
            </w:r>
          </w:p>
        </w:tc>
        <w:tc>
          <w:tcPr>
            <w:tcW w:w="4203" w:type="pct"/>
            <w:tcBorders>
              <w:top w:val="single" w:color="auto" w:sz="4" w:space="0"/>
              <w:left w:val="single" w:color="auto" w:sz="4" w:space="0"/>
              <w:bottom w:val="single" w:color="auto" w:sz="4" w:space="0"/>
              <w:right w:val="single" w:color="auto" w:sz="4" w:space="0"/>
            </w:tcBorders>
          </w:tcPr>
          <w:p w14:paraId="07EBE463">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交货期：自合同签订之日起90日历天内完成交货。</w:t>
            </w:r>
          </w:p>
          <w:p w14:paraId="7FA5580B">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地点：台州学院椒江校区      </w:t>
            </w:r>
          </w:p>
        </w:tc>
      </w:tr>
    </w:tbl>
    <w:p w14:paraId="0D288F9F">
      <w:p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四</w:t>
      </w:r>
      <w:r>
        <w:rPr>
          <w:rFonts w:hint="eastAsia" w:ascii="宋体" w:hAnsi="宋体" w:eastAsia="宋体" w:cs="宋体"/>
          <w:b/>
          <w:color w:val="auto"/>
          <w:sz w:val="24"/>
          <w:szCs w:val="24"/>
          <w:highlight w:val="none"/>
        </w:rPr>
        <w:t>、相关说明</w:t>
      </w:r>
    </w:p>
    <w:p w14:paraId="2CECC247">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bCs w:val="0"/>
          <w:color w:val="auto"/>
          <w:sz w:val="24"/>
          <w:szCs w:val="24"/>
          <w:highlight w:val="none"/>
        </w:rPr>
        <w:t>现场勘察</w:t>
      </w:r>
      <w:r>
        <w:rPr>
          <w:rFonts w:hint="eastAsia" w:ascii="宋体" w:hAnsi="宋体" w:eastAsia="宋体" w:cs="宋体"/>
          <w:b w:val="0"/>
          <w:bCs/>
          <w:color w:val="auto"/>
          <w:sz w:val="24"/>
          <w:szCs w:val="24"/>
          <w:highlight w:val="none"/>
        </w:rPr>
        <w:t>：无</w:t>
      </w:r>
    </w:p>
    <w:p w14:paraId="7916E67B">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2、▲所有设备（含进口和非进口）均采用人民币报价。本项目的成交报价应包含货款、标准附件、备品备件、专用工具、包装、运输、装卸、保险、税金、货到就位以及安装、调试、培训、保修、</w:t>
      </w:r>
      <w:r>
        <w:rPr>
          <w:rFonts w:hint="eastAsia" w:ascii="宋体" w:hAnsi="宋体" w:eastAsia="宋体" w:cs="宋体"/>
          <w:b/>
          <w:bCs w:val="0"/>
          <w:color w:val="auto"/>
          <w:sz w:val="24"/>
          <w:szCs w:val="24"/>
          <w:highlight w:val="none"/>
        </w:rPr>
        <w:t>进口设备的外贸代理费</w:t>
      </w:r>
      <w:r>
        <w:rPr>
          <w:rFonts w:hint="eastAsia" w:ascii="宋体" w:hAnsi="宋体" w:eastAsia="宋体" w:cs="宋体"/>
          <w:b w:val="0"/>
          <w:bCs/>
          <w:color w:val="auto"/>
          <w:sz w:val="24"/>
          <w:szCs w:val="24"/>
          <w:highlight w:val="none"/>
        </w:rPr>
        <w:t>等一切税金和费用。</w:t>
      </w:r>
    </w:p>
    <w:p w14:paraId="349B5AC3">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3、可免税进口设备的进口代理由中标人在具有台州学院202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进口代理商资格的公司中自行指定，采购方协助办理免税手续。在办理进口仪器设备过程中的所发生的外贸代理费由中标人负责，如代理费（含银行费）、报关、清关、海关监管费、仓储等费用。进口设备如遇无法办理免税手续则采购人有权终止合同。</w:t>
      </w:r>
    </w:p>
    <w:p w14:paraId="5EA22E1A">
      <w:pP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4、台州学院202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年进口代理商资格的公司为：</w:t>
      </w:r>
    </w:p>
    <w:p w14:paraId="1AAA29BA">
      <w:pPr>
        <w:autoSpaceDE w:val="0"/>
        <w:autoSpaceDN w:val="0"/>
        <w:adjustRightInd w:val="0"/>
        <w:snapToGrid w:val="0"/>
        <w:spacing w:line="360" w:lineRule="auto"/>
        <w:ind w:firstLine="480" w:firstLineChars="200"/>
        <w:rPr>
          <w:rFonts w:hint="eastAsia" w:cs="Arial" w:asciiTheme="minorEastAsia" w:hAnsiTheme="minorEastAsia" w:eastAsiaTheme="minorEastAsia"/>
          <w:b w:val="0"/>
          <w:bCs/>
          <w:color w:val="auto"/>
          <w:sz w:val="24"/>
          <w:highlight w:val="none"/>
          <w:lang w:eastAsia="zh-CN"/>
        </w:rPr>
      </w:pPr>
      <w:r>
        <w:rPr>
          <w:rFonts w:hint="eastAsia" w:ascii="宋体" w:hAnsi="宋体" w:eastAsia="宋体" w:cs="宋体"/>
          <w:b w:val="0"/>
          <w:bCs/>
          <w:color w:val="auto"/>
          <w:sz w:val="24"/>
          <w:szCs w:val="24"/>
          <w:highlight w:val="none"/>
        </w:rPr>
        <w:t>（1）浙江省科学器材进出口有限责任公司（外贸代理费为0.12元/美元）</w:t>
      </w:r>
      <w:r>
        <w:rPr>
          <w:rFonts w:hint="eastAsia" w:asciiTheme="minorEastAsia" w:hAnsiTheme="minorEastAsia" w:eastAsiaTheme="minorEastAsia"/>
          <w:b w:val="0"/>
          <w:bCs/>
          <w:color w:val="auto"/>
          <w:sz w:val="24"/>
          <w:szCs w:val="24"/>
          <w:highlight w:val="none"/>
        </w:rPr>
        <w:t>。</w:t>
      </w:r>
    </w:p>
    <w:p w14:paraId="40529009">
      <w:pPr>
        <w:pageBreakBefore/>
        <w:snapToGrid w:val="0"/>
        <w:spacing w:line="360" w:lineRule="auto"/>
        <w:jc w:val="center"/>
        <w:outlineLvl w:val="0"/>
        <w:rPr>
          <w:rFonts w:hint="eastAsia" w:ascii="方正楷体_GBK" w:hAnsi="黑体" w:eastAsia="方正楷体_GBK" w:cs="宋体"/>
          <w:color w:val="auto"/>
          <w:kern w:val="0"/>
          <w:sz w:val="36"/>
          <w:szCs w:val="36"/>
          <w:highlight w:val="none"/>
          <w:lang w:bidi="ar"/>
        </w:rPr>
      </w:pPr>
      <w:bookmarkStart w:id="104" w:name="_Toc1509"/>
      <w:r>
        <w:rPr>
          <w:rFonts w:hint="eastAsia" w:asciiTheme="minorEastAsia" w:hAnsiTheme="minorEastAsia" w:eastAsiaTheme="minorEastAsia"/>
          <w:b/>
          <w:color w:val="auto"/>
          <w:sz w:val="32"/>
          <w:szCs w:val="32"/>
          <w:highlight w:val="none"/>
        </w:rPr>
        <w:t>第六部分 拟签订的合同文本</w:t>
      </w:r>
      <w:bookmarkEnd w:id="99"/>
      <w:bookmarkEnd w:id="104"/>
      <w:bookmarkStart w:id="105" w:name="_Toc31348"/>
    </w:p>
    <w:p w14:paraId="177C1839">
      <w:pPr>
        <w:widowControl/>
        <w:spacing w:before="312" w:beforeLines="100" w:line="800" w:lineRule="exact"/>
        <w:jc w:val="center"/>
        <w:rPr>
          <w:rFonts w:hint="eastAsia" w:ascii="方正小标宋简体" w:hAnsi="黑体" w:eastAsia="方正小标宋简体" w:cs="宋体"/>
          <w:color w:val="auto"/>
          <w:kern w:val="0"/>
          <w:sz w:val="44"/>
          <w:szCs w:val="44"/>
          <w:highlight w:val="none"/>
          <w:lang w:bidi="ar"/>
        </w:rPr>
      </w:pPr>
    </w:p>
    <w:p w14:paraId="1C537DC8">
      <w:pPr>
        <w:widowControl/>
        <w:spacing w:before="312" w:beforeLines="100" w:line="800" w:lineRule="exact"/>
        <w:jc w:val="center"/>
        <w:rPr>
          <w:rFonts w:hint="eastAsia" w:ascii="方正小标宋简体" w:hAnsi="黑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台州学院</w:t>
      </w:r>
    </w:p>
    <w:p w14:paraId="6D49B9B4">
      <w:pPr>
        <w:widowControl/>
        <w:spacing w:line="800" w:lineRule="exact"/>
        <w:jc w:val="center"/>
        <w:rPr>
          <w:rFonts w:hint="eastAsia" w:ascii="方正小标宋简体" w:hAnsi="宋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**********项目</w:t>
      </w:r>
    </w:p>
    <w:p w14:paraId="6928C0A2">
      <w:pPr>
        <w:spacing w:line="360" w:lineRule="auto"/>
        <w:rPr>
          <w:rFonts w:hint="eastAsia" w:ascii="仿宋" w:hAnsi="仿宋" w:eastAsia="仿宋"/>
          <w:b/>
          <w:color w:val="auto"/>
          <w:kern w:val="0"/>
          <w:sz w:val="30"/>
          <w:szCs w:val="30"/>
          <w:highlight w:val="none"/>
        </w:rPr>
      </w:pPr>
    </w:p>
    <w:p w14:paraId="1D2A864A">
      <w:pPr>
        <w:spacing w:line="360" w:lineRule="auto"/>
        <w:rPr>
          <w:rFonts w:hint="eastAsia" w:ascii="仿宋" w:hAnsi="仿宋" w:eastAsia="仿宋"/>
          <w:b/>
          <w:color w:val="auto"/>
          <w:kern w:val="0"/>
          <w:sz w:val="30"/>
          <w:szCs w:val="30"/>
          <w:highlight w:val="none"/>
        </w:rPr>
      </w:pPr>
    </w:p>
    <w:p w14:paraId="439F6EC7">
      <w:pPr>
        <w:spacing w:line="360" w:lineRule="auto"/>
        <w:rPr>
          <w:rFonts w:hint="eastAsia" w:ascii="仿宋" w:hAnsi="仿宋" w:eastAsia="仿宋"/>
          <w:b/>
          <w:color w:val="auto"/>
          <w:kern w:val="0"/>
          <w:sz w:val="30"/>
          <w:szCs w:val="30"/>
          <w:highlight w:val="none"/>
        </w:rPr>
      </w:pPr>
    </w:p>
    <w:p w14:paraId="44C783A4">
      <w:pPr>
        <w:widowControl/>
        <w:jc w:val="center"/>
        <w:rPr>
          <w:rFonts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strike w:val="0"/>
          <w:dstrike w:val="0"/>
          <w:color w:val="auto"/>
          <w:kern w:val="0"/>
          <w:sz w:val="72"/>
          <w:szCs w:val="72"/>
          <w:highlight w:val="none"/>
          <w:lang w:bidi="ar"/>
        </w:rPr>
        <w:t>进口货物</w:t>
      </w:r>
      <w:r>
        <w:rPr>
          <w:rFonts w:hint="eastAsia" w:ascii="方正小标宋简体" w:hAnsi="黑体" w:eastAsia="方正小标宋简体" w:cs="宋体"/>
          <w:strike w:val="0"/>
          <w:dstrike w:val="0"/>
          <w:color w:val="auto"/>
          <w:kern w:val="0"/>
          <w:sz w:val="72"/>
          <w:szCs w:val="72"/>
          <w:highlight w:val="none"/>
          <w:lang w:val="en-US" w:eastAsia="zh-CN" w:bidi="ar"/>
        </w:rPr>
        <w:t>买卖</w:t>
      </w:r>
      <w:r>
        <w:rPr>
          <w:rFonts w:hint="eastAsia" w:ascii="方正小标宋简体" w:hAnsi="黑体" w:eastAsia="方正小标宋简体" w:cs="宋体"/>
          <w:color w:val="auto"/>
          <w:kern w:val="0"/>
          <w:sz w:val="72"/>
          <w:szCs w:val="72"/>
          <w:highlight w:val="none"/>
          <w:lang w:bidi="ar"/>
        </w:rPr>
        <w:t>合同</w:t>
      </w:r>
    </w:p>
    <w:p w14:paraId="7139291E">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（A）</w:t>
      </w:r>
    </w:p>
    <w:p w14:paraId="254ED932">
      <w:pPr>
        <w:spacing w:line="360" w:lineRule="auto"/>
        <w:rPr>
          <w:rFonts w:hint="eastAsia" w:ascii="仿宋" w:hAnsi="仿宋" w:eastAsia="仿宋"/>
          <w:b/>
          <w:color w:val="auto"/>
          <w:kern w:val="0"/>
          <w:sz w:val="30"/>
          <w:szCs w:val="30"/>
          <w:highlight w:val="none"/>
        </w:rPr>
      </w:pPr>
    </w:p>
    <w:p w14:paraId="1078D26C">
      <w:pPr>
        <w:spacing w:line="360" w:lineRule="auto"/>
        <w:rPr>
          <w:rFonts w:hint="eastAsia" w:ascii="仿宋" w:hAnsi="仿宋" w:eastAsia="仿宋"/>
          <w:b/>
          <w:color w:val="auto"/>
          <w:kern w:val="0"/>
          <w:sz w:val="30"/>
          <w:szCs w:val="30"/>
          <w:highlight w:val="none"/>
        </w:rPr>
      </w:pPr>
    </w:p>
    <w:p w14:paraId="0583362B">
      <w:pPr>
        <w:spacing w:line="360" w:lineRule="auto"/>
        <w:rPr>
          <w:rFonts w:hint="eastAsia" w:ascii="仿宋" w:hAnsi="仿宋" w:eastAsia="仿宋"/>
          <w:b/>
          <w:color w:val="auto"/>
          <w:kern w:val="0"/>
          <w:sz w:val="30"/>
          <w:szCs w:val="30"/>
          <w:highlight w:val="none"/>
        </w:rPr>
      </w:pPr>
    </w:p>
    <w:p w14:paraId="2120E129">
      <w:pPr>
        <w:spacing w:line="360" w:lineRule="auto"/>
        <w:rPr>
          <w:rFonts w:hint="eastAsia" w:ascii="仿宋" w:hAnsi="仿宋" w:eastAsia="仿宋"/>
          <w:b/>
          <w:color w:val="auto"/>
          <w:kern w:val="0"/>
          <w:sz w:val="30"/>
          <w:szCs w:val="30"/>
          <w:highlight w:val="none"/>
        </w:rPr>
      </w:pPr>
    </w:p>
    <w:p w14:paraId="2B5B3CF8">
      <w:pPr>
        <w:widowControl/>
        <w:spacing w:line="700" w:lineRule="exact"/>
        <w:ind w:firstLine="720" w:firstLineChars="200"/>
        <w:jc w:val="left"/>
        <w:rPr>
          <w:rFonts w:hint="eastAsia" w:ascii="方正小标宋简体" w:hAnsi="仿宋" w:eastAsia="方正小标宋简体"/>
          <w:color w:val="auto"/>
          <w:sz w:val="36"/>
          <w:szCs w:val="36"/>
          <w:highlight w:val="none"/>
        </w:rPr>
      </w:pPr>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429A493C">
      <w:pPr>
        <w:widowControl/>
        <w:spacing w:line="700" w:lineRule="exact"/>
        <w:ind w:firstLine="720" w:firstLineChars="2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4428E14E">
      <w:pPr>
        <w:widowControl/>
        <w:spacing w:line="700" w:lineRule="exact"/>
        <w:ind w:firstLine="720" w:firstLineChars="200"/>
        <w:jc w:val="left"/>
        <w:rPr>
          <w:rFonts w:hint="eastAsia" w:ascii="方正小标宋简体" w:hAnsi="仿宋" w:eastAsia="方正小标宋简体" w:cs="宋体"/>
          <w:color w:val="auto"/>
          <w:kern w:val="0"/>
          <w:sz w:val="36"/>
          <w:szCs w:val="36"/>
          <w:highlight w:val="none"/>
          <w:u w:val="single"/>
          <w:lang w:bidi="ar"/>
        </w:rPr>
      </w:pPr>
    </w:p>
    <w:p w14:paraId="08710830">
      <w:pPr>
        <w:widowControl/>
        <w:spacing w:line="700" w:lineRule="exact"/>
        <w:jc w:val="center"/>
        <w:rPr>
          <w:rFonts w:ascii="方正小标宋简体" w:hAnsi="仿宋" w:eastAsia="方正小标宋简体"/>
          <w:color w:val="auto"/>
          <w:kern w:val="0"/>
          <w:sz w:val="36"/>
          <w:szCs w:val="36"/>
          <w:highlight w:val="none"/>
        </w:rPr>
        <w:sectPr>
          <w:footerReference r:id="rId6" w:type="first"/>
          <w:footerReference r:id="rId5" w:type="default"/>
          <w:pgSz w:w="11906" w:h="16838"/>
          <w:pgMar w:top="1701" w:right="1474" w:bottom="1474" w:left="1588" w:header="851" w:footer="992" w:gutter="0"/>
          <w:pgNumType w:fmt="decimal" w:start="3"/>
          <w:cols w:space="720" w:num="1"/>
          <w:docGrid w:type="lines" w:linePitch="312"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月</w:t>
      </w:r>
    </w:p>
    <w:p w14:paraId="19C0D1F4">
      <w:pPr>
        <w:keepNext w:val="0"/>
        <w:keepLines w:val="0"/>
        <w:pageBreakBefore w:val="0"/>
        <w:widowControl/>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项目名称：****</w:t>
      </w:r>
      <w:bookmarkStart w:id="203" w:name="_GoBack"/>
      <w:r>
        <w:rPr>
          <w:rFonts w:hint="eastAsia" w:asciiTheme="minorEastAsia" w:hAnsiTheme="minorEastAsia" w:eastAsiaTheme="minorEastAsia" w:cstheme="minorEastAsia"/>
          <w:bCs/>
          <w:color w:val="auto"/>
          <w:kern w:val="0"/>
          <w:sz w:val="24"/>
          <w:szCs w:val="24"/>
          <w:highlight w:val="none"/>
        </w:rPr>
        <w:t>**</w:t>
      </w:r>
      <w:bookmarkEnd w:id="203"/>
      <w:r>
        <w:rPr>
          <w:rFonts w:hint="eastAsia" w:asciiTheme="minorEastAsia" w:hAnsiTheme="minorEastAsia" w:eastAsiaTheme="minorEastAsia" w:cstheme="minorEastAsia"/>
          <w:bCs/>
          <w:color w:val="auto"/>
          <w:kern w:val="0"/>
          <w:sz w:val="24"/>
          <w:szCs w:val="24"/>
          <w:highlight w:val="none"/>
        </w:rPr>
        <w:t>******</w:t>
      </w:r>
    </w:p>
    <w:p w14:paraId="618D9D94">
      <w:pPr>
        <w:pStyle w:val="26"/>
        <w:keepNext w:val="0"/>
        <w:keepLines w:val="0"/>
        <w:pageBreakBefore w:val="0"/>
        <w:kinsoku/>
        <w:overflowPunct/>
        <w:topLinePunct w:val="0"/>
        <w:autoSpaceDE/>
        <w:autoSpaceDN/>
        <w:bidi w:val="0"/>
        <w:adjustRightInd/>
        <w:spacing w:line="336" w:lineRule="auto"/>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项目编号：************（A）</w:t>
      </w:r>
    </w:p>
    <w:p w14:paraId="4ED08246">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甲方：（采购单位）台州学院</w:t>
      </w:r>
    </w:p>
    <w:p w14:paraId="6084D57F">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所在地：浙江台州</w:t>
      </w:r>
    </w:p>
    <w:p w14:paraId="01102F74">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乙方：（中标供应商）************</w:t>
      </w:r>
    </w:p>
    <w:p w14:paraId="6CE02BEE">
      <w:pPr>
        <w:pStyle w:val="26"/>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所在地：************ </w:t>
      </w:r>
    </w:p>
    <w:p w14:paraId="3F80F3BF">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项目公开招标的结果，签署本合同。</w:t>
      </w:r>
    </w:p>
    <w:p w14:paraId="752FD564">
      <w:pPr>
        <w:pStyle w:val="44"/>
        <w:keepNext w:val="0"/>
        <w:keepLines w:val="0"/>
        <w:pageBreakBefore w:val="0"/>
        <w:numPr>
          <w:ilvl w:val="0"/>
          <w:numId w:val="0"/>
        </w:numPr>
        <w:kinsoku/>
        <w:overflowPunct/>
        <w:topLinePunct w:val="0"/>
        <w:autoSpaceDE/>
        <w:autoSpaceDN/>
        <w:bidi w:val="0"/>
        <w:adjustRightInd/>
        <w:spacing w:before="0" w:after="0" w:line="336" w:lineRule="auto"/>
        <w:ind w:leftChars="200"/>
        <w:jc w:val="left"/>
        <w:textAlignment w:val="auto"/>
        <w:rPr>
          <w:rFonts w:hint="eastAsia" w:asciiTheme="minorEastAsia" w:hAnsiTheme="minorEastAsia" w:eastAsiaTheme="minorEastAsia" w:cstheme="minorEastAsia"/>
          <w:strike/>
          <w:color w:val="auto"/>
          <w:kern w:val="0"/>
          <w:sz w:val="24"/>
          <w:szCs w:val="24"/>
          <w:highlight w:val="none"/>
        </w:rPr>
      </w:pPr>
      <w:r>
        <w:rPr>
          <w:rStyle w:val="321"/>
          <w:rFonts w:hint="eastAsia" w:asciiTheme="minorEastAsia" w:hAnsiTheme="minorEastAsia" w:eastAsiaTheme="minorEastAsia" w:cstheme="minorEastAsia"/>
          <w:b w:val="0"/>
          <w:bCs w:val="0"/>
          <w:color w:val="auto"/>
          <w:sz w:val="24"/>
          <w:szCs w:val="24"/>
          <w:highlight w:val="none"/>
        </w:rPr>
        <w:t>一、货物内容及合同价格</w:t>
      </w:r>
    </w:p>
    <w:tbl>
      <w:tblPr>
        <w:tblStyle w:val="47"/>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443"/>
        <w:gridCol w:w="1559"/>
        <w:gridCol w:w="1534"/>
        <w:gridCol w:w="876"/>
        <w:gridCol w:w="1250"/>
        <w:gridCol w:w="1196"/>
      </w:tblGrid>
      <w:tr w14:paraId="0353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01" w:type="dxa"/>
            <w:noWrap w:val="0"/>
            <w:vAlign w:val="center"/>
          </w:tcPr>
          <w:p w14:paraId="4BFEF22E">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443" w:type="dxa"/>
            <w:noWrap w:val="0"/>
            <w:vAlign w:val="center"/>
          </w:tcPr>
          <w:p w14:paraId="08009F2A">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559" w:type="dxa"/>
            <w:noWrap w:val="0"/>
            <w:vAlign w:val="center"/>
          </w:tcPr>
          <w:p w14:paraId="2866FCA0">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制造商名称（全称）</w:t>
            </w:r>
          </w:p>
        </w:tc>
        <w:tc>
          <w:tcPr>
            <w:tcW w:w="1534" w:type="dxa"/>
            <w:noWrap w:val="0"/>
            <w:vAlign w:val="center"/>
          </w:tcPr>
          <w:p w14:paraId="08667BBA">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品牌、型号</w:t>
            </w:r>
          </w:p>
        </w:tc>
        <w:tc>
          <w:tcPr>
            <w:tcW w:w="876" w:type="dxa"/>
            <w:noWrap w:val="0"/>
            <w:vAlign w:val="center"/>
          </w:tcPr>
          <w:p w14:paraId="27B2FFFB">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250" w:type="dxa"/>
            <w:noWrap w:val="0"/>
            <w:vAlign w:val="center"/>
          </w:tcPr>
          <w:p w14:paraId="427278BB">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单价（元）</w:t>
            </w:r>
          </w:p>
        </w:tc>
        <w:tc>
          <w:tcPr>
            <w:tcW w:w="1196" w:type="dxa"/>
            <w:noWrap w:val="0"/>
            <w:vAlign w:val="center"/>
          </w:tcPr>
          <w:p w14:paraId="0735F4FD">
            <w:pPr>
              <w:keepNext w:val="0"/>
              <w:keepLines w:val="0"/>
              <w:pageBreakBefore w:val="0"/>
              <w:suppressLineNumbers w:val="0"/>
              <w:tabs>
                <w:tab w:val="left" w:pos="180"/>
              </w:tabs>
              <w:kinsoku/>
              <w:overflowPunct/>
              <w:topLinePunct w:val="0"/>
              <w:autoSpaceDE/>
              <w:autoSpaceDN/>
              <w:bidi w:val="0"/>
              <w:adjustRightInd/>
              <w:snapToGrid w:val="0"/>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总价（元）</w:t>
            </w:r>
          </w:p>
        </w:tc>
      </w:tr>
      <w:tr w14:paraId="58AC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01" w:type="dxa"/>
            <w:noWrap w:val="0"/>
            <w:vAlign w:val="center"/>
          </w:tcPr>
          <w:p w14:paraId="2C67D902">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443" w:type="dxa"/>
            <w:noWrap w:val="0"/>
            <w:vAlign w:val="center"/>
          </w:tcPr>
          <w:p w14:paraId="27C2CD92">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59" w:type="dxa"/>
            <w:noWrap w:val="0"/>
            <w:vAlign w:val="center"/>
          </w:tcPr>
          <w:p w14:paraId="50F4369A">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34" w:type="dxa"/>
            <w:noWrap w:val="0"/>
            <w:vAlign w:val="center"/>
          </w:tcPr>
          <w:p w14:paraId="467ADC57">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876" w:type="dxa"/>
            <w:noWrap w:val="0"/>
            <w:vAlign w:val="center"/>
          </w:tcPr>
          <w:p w14:paraId="10E87924">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250" w:type="dxa"/>
            <w:noWrap w:val="0"/>
            <w:vAlign w:val="center"/>
          </w:tcPr>
          <w:p w14:paraId="594A89DD">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196" w:type="dxa"/>
            <w:tcBorders>
              <w:bottom w:val="single" w:color="auto" w:sz="4" w:space="0"/>
            </w:tcBorders>
            <w:noWrap w:val="0"/>
            <w:vAlign w:val="center"/>
          </w:tcPr>
          <w:p w14:paraId="14DDB1B3">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r>
      <w:tr w14:paraId="32C7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01" w:type="dxa"/>
            <w:noWrap w:val="0"/>
            <w:vAlign w:val="center"/>
          </w:tcPr>
          <w:p w14:paraId="1CA48E24">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443" w:type="dxa"/>
            <w:noWrap w:val="0"/>
            <w:vAlign w:val="center"/>
          </w:tcPr>
          <w:p w14:paraId="6761C2CC">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59" w:type="dxa"/>
            <w:noWrap w:val="0"/>
            <w:vAlign w:val="center"/>
          </w:tcPr>
          <w:p w14:paraId="3EA2D003">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534" w:type="dxa"/>
            <w:noWrap w:val="0"/>
            <w:vAlign w:val="center"/>
          </w:tcPr>
          <w:p w14:paraId="786C2E1C">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876" w:type="dxa"/>
            <w:noWrap w:val="0"/>
            <w:vAlign w:val="center"/>
          </w:tcPr>
          <w:p w14:paraId="763E7AE6">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250" w:type="dxa"/>
            <w:noWrap w:val="0"/>
            <w:vAlign w:val="center"/>
          </w:tcPr>
          <w:p w14:paraId="7E2001E6">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c>
          <w:tcPr>
            <w:tcW w:w="1196" w:type="dxa"/>
            <w:tcBorders>
              <w:bottom w:val="single" w:color="auto" w:sz="4" w:space="0"/>
            </w:tcBorders>
            <w:noWrap w:val="0"/>
            <w:vAlign w:val="center"/>
          </w:tcPr>
          <w:p w14:paraId="5F6D06CB">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r>
      <w:tr w14:paraId="2F9A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63" w:type="dxa"/>
            <w:gridSpan w:val="6"/>
            <w:noWrap w:val="0"/>
            <w:vAlign w:val="center"/>
          </w:tcPr>
          <w:p w14:paraId="797A9618">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firstLine="240" w:firstLineChars="1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合计：</w:t>
            </w:r>
          </w:p>
        </w:tc>
        <w:tc>
          <w:tcPr>
            <w:tcW w:w="1196" w:type="dxa"/>
            <w:noWrap w:val="0"/>
            <w:vAlign w:val="center"/>
          </w:tcPr>
          <w:p w14:paraId="1A321103">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jc w:val="center"/>
              <w:textAlignment w:val="auto"/>
              <w:rPr>
                <w:rFonts w:hint="eastAsia" w:asciiTheme="minorEastAsia" w:hAnsiTheme="minorEastAsia" w:eastAsiaTheme="minorEastAsia" w:cstheme="minorEastAsia"/>
                <w:bCs/>
                <w:color w:val="auto"/>
                <w:kern w:val="0"/>
                <w:sz w:val="24"/>
                <w:szCs w:val="24"/>
                <w:highlight w:val="none"/>
              </w:rPr>
            </w:pPr>
          </w:p>
        </w:tc>
      </w:tr>
      <w:tr w14:paraId="769C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859" w:type="dxa"/>
            <w:gridSpan w:val="7"/>
            <w:noWrap w:val="0"/>
            <w:vAlign w:val="center"/>
          </w:tcPr>
          <w:p w14:paraId="3A6C09DC">
            <w:pPr>
              <w:keepNext w:val="0"/>
              <w:keepLines w:val="0"/>
              <w:pageBreakBefore w:val="0"/>
              <w:suppressLineNumbers w:val="0"/>
              <w:tabs>
                <w:tab w:val="left" w:pos="180"/>
              </w:tabs>
              <w:kinsoku/>
              <w:overflowPunct/>
              <w:topLinePunct w:val="0"/>
              <w:autoSpaceDE/>
              <w:autoSpaceDN/>
              <w:bidi w:val="0"/>
              <w:adjustRightInd/>
              <w:spacing w:before="0" w:beforeAutospacing="0" w:after="0" w:afterAutospacing="0" w:line="336" w:lineRule="auto"/>
              <w:ind w:left="0" w:right="0" w:firstLine="240" w:firstLineChars="1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合同总价（人民币大写）：</w:t>
            </w:r>
          </w:p>
        </w:tc>
      </w:tr>
    </w:tbl>
    <w:p w14:paraId="507F8E2D">
      <w:pPr>
        <w:keepNext w:val="0"/>
        <w:keepLines w:val="0"/>
        <w:pageBreakBefore w:val="0"/>
        <w:kinsoku/>
        <w:overflowPunct/>
        <w:topLinePunct w:val="0"/>
        <w:autoSpaceDE/>
        <w:autoSpaceDN/>
        <w:bidi w:val="0"/>
        <w:adjustRightIn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4CF5E1C5">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24A40012">
      <w:pPr>
        <w:pStyle w:val="21"/>
        <w:keepNext w:val="0"/>
        <w:keepLines w:val="0"/>
        <w:pageBreakBefore w:val="0"/>
        <w:tabs>
          <w:tab w:val="left" w:pos="180"/>
        </w:tabs>
        <w:kinsoku/>
        <w:overflowPunct/>
        <w:topLinePunct w:val="0"/>
        <w:autoSpaceDE/>
        <w:autoSpaceDN/>
        <w:bidi w:val="0"/>
        <w:adjustRightInd/>
        <w:spacing w:after="0" w:line="33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3.开标当天中国银行美元现汇卖出价为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甲方招标确定的</w:t>
      </w:r>
      <w:r>
        <w:rPr>
          <w:rFonts w:hint="eastAsia" w:asciiTheme="minorEastAsia" w:hAnsiTheme="minorEastAsia" w:eastAsiaTheme="minorEastAsia" w:cstheme="minorEastAsia"/>
          <w:color w:val="auto"/>
          <w:sz w:val="24"/>
          <w:szCs w:val="24"/>
          <w:highlight w:val="none"/>
        </w:rPr>
        <w:t>进口代理商为</w:t>
      </w:r>
      <w:r>
        <w:rPr>
          <w:rFonts w:hint="eastAsia" w:asciiTheme="minorEastAsia" w:hAnsiTheme="minorEastAsia" w:eastAsiaTheme="minorEastAsia" w:cstheme="minorEastAsia"/>
          <w:color w:val="auto"/>
          <w:sz w:val="24"/>
          <w:szCs w:val="24"/>
          <w:highlight w:val="none"/>
          <w:u w:val="single"/>
        </w:rPr>
        <w:t>浙江省科学器材进出口有限责任公司</w:t>
      </w:r>
      <w:r>
        <w:rPr>
          <w:rFonts w:hint="eastAsia" w:asciiTheme="minorEastAsia" w:hAnsiTheme="minorEastAsia" w:eastAsiaTheme="minorEastAsia" w:cstheme="minorEastAsia"/>
          <w:color w:val="auto"/>
          <w:sz w:val="24"/>
          <w:szCs w:val="24"/>
          <w:highlight w:val="none"/>
        </w:rPr>
        <w:t>（外贸代理费为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元/美元）（详见进口代理合同）。</w:t>
      </w:r>
    </w:p>
    <w:p w14:paraId="503B93B0">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二、技术资料</w:t>
      </w:r>
    </w:p>
    <w:p w14:paraId="7B5F5C2F">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乙方应按招标文件规定的时间向甲方提供使用货物的有关技术资料。</w:t>
      </w:r>
    </w:p>
    <w:p w14:paraId="4EB0A5F6">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bookmarkStart w:id="106" w:name="OLE_LINK3"/>
      <w:r>
        <w:rPr>
          <w:rFonts w:hint="eastAsia" w:asciiTheme="minorEastAsia" w:hAnsiTheme="minorEastAsia" w:eastAsiaTheme="minorEastAsia" w:cstheme="minorEastAsia"/>
          <w:color w:val="auto"/>
          <w:sz w:val="24"/>
          <w:szCs w:val="24"/>
          <w:highlight w:val="none"/>
          <w:lang w:eastAsia="zh-CN"/>
        </w:rPr>
        <w:t>，</w:t>
      </w:r>
      <w:bookmarkStart w:id="107" w:name="OLE_LINK2"/>
      <w:r>
        <w:rPr>
          <w:rFonts w:hint="eastAsia" w:asciiTheme="minorEastAsia" w:hAnsiTheme="minorEastAsia" w:eastAsiaTheme="minorEastAsia" w:cstheme="minorEastAsia"/>
          <w:color w:val="auto"/>
          <w:sz w:val="24"/>
          <w:szCs w:val="24"/>
          <w:highlight w:val="none"/>
          <w:lang w:val="en-US" w:eastAsia="zh-CN"/>
        </w:rPr>
        <w:t>否则由乙方承担全部责任。</w:t>
      </w:r>
    </w:p>
    <w:bookmarkEnd w:id="106"/>
    <w:bookmarkEnd w:id="107"/>
    <w:p w14:paraId="456F1788">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三、知识产权</w:t>
      </w:r>
    </w:p>
    <w:p w14:paraId="664B6AF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5FF6CA68">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四、产权担保</w:t>
      </w:r>
    </w:p>
    <w:p w14:paraId="25C0D11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乙方保证所交付的货物的所有权完全属于乙方且无任何抵押、查封等权利瑕疵，否则由乙方承担全部责任。</w:t>
      </w:r>
    </w:p>
    <w:p w14:paraId="4992F64F">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五、转包或分包</w:t>
      </w:r>
    </w:p>
    <w:p w14:paraId="7C3B66D0">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6BDB895C">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789738B8">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343DE231">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六、质保期</w:t>
      </w:r>
    </w:p>
    <w:p w14:paraId="23C243AC">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sz w:val="24"/>
          <w:szCs w:val="24"/>
          <w:highlight w:val="none"/>
        </w:rPr>
        <w:t>（从甲方对产品的最终验收合格之日开始起算）。</w:t>
      </w:r>
    </w:p>
    <w:p w14:paraId="6F03481B">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七、交货时间、交货方式及交货地点</w:t>
      </w:r>
    </w:p>
    <w:p w14:paraId="1AB3AF11">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77B580F1">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466026C0">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619248B">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24474439">
      <w:pPr>
        <w:pStyle w:val="26"/>
        <w:keepNext w:val="0"/>
        <w:keepLines w:val="0"/>
        <w:pageBreakBefore w:val="0"/>
        <w:kinsoku/>
        <w:wordWrap w:val="0"/>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1.付款方式。本合同涉及的进口设备货款，由甲方按照</w:t>
      </w:r>
      <w:r>
        <w:rPr>
          <w:rFonts w:hint="eastAsia" w:asciiTheme="minorEastAsia" w:hAnsiTheme="minorEastAsia" w:eastAsiaTheme="minorEastAsia" w:cstheme="minorEastAsia"/>
          <w:color w:val="auto"/>
          <w:kern w:val="0"/>
          <w:sz w:val="24"/>
          <w:szCs w:val="24"/>
          <w:highlight w:val="none"/>
          <w:u w:val="single"/>
        </w:rPr>
        <w:t xml:space="preserve"> 项目编码的内容 </w:t>
      </w:r>
      <w:r>
        <w:rPr>
          <w:rFonts w:hint="eastAsia" w:asciiTheme="minorEastAsia" w:hAnsiTheme="minorEastAsia" w:eastAsiaTheme="minorEastAsia" w:cstheme="minorEastAsia"/>
          <w:color w:val="auto"/>
          <w:kern w:val="0"/>
          <w:sz w:val="24"/>
          <w:szCs w:val="24"/>
          <w:highlight w:val="none"/>
        </w:rPr>
        <w:t>（B）第八条第1款约定的付款方式、付款时间支付给甲乙双方共同约定的</w:t>
      </w:r>
      <w:r>
        <w:rPr>
          <w:rFonts w:hint="eastAsia" w:asciiTheme="minorEastAsia" w:hAnsiTheme="minorEastAsia" w:eastAsiaTheme="minorEastAsia" w:cstheme="minorEastAsia"/>
          <w:color w:val="auto"/>
          <w:sz w:val="24"/>
          <w:szCs w:val="24"/>
          <w:highlight w:val="none"/>
          <w:u w:val="single"/>
        </w:rPr>
        <w:t>浙江省科学器材进出口有限责任公司</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kern w:val="0"/>
          <w:sz w:val="24"/>
          <w:szCs w:val="24"/>
          <w:highlight w:val="none"/>
        </w:rPr>
        <w:t>即</w:t>
      </w:r>
      <w:r>
        <w:rPr>
          <w:rFonts w:hint="eastAsia" w:asciiTheme="minorEastAsia" w:hAnsiTheme="minorEastAsia" w:eastAsiaTheme="minorEastAsia" w:cstheme="minorEastAsia"/>
          <w:color w:val="auto"/>
          <w:kern w:val="0"/>
          <w:sz w:val="24"/>
          <w:szCs w:val="24"/>
          <w:highlight w:val="none"/>
          <w:u w:val="single"/>
        </w:rPr>
        <w:t xml:space="preserve"> </w:t>
      </w:r>
      <w:bookmarkStart w:id="108" w:name="_Hlk136272182"/>
      <w:r>
        <w:rPr>
          <w:rFonts w:hint="eastAsia" w:asciiTheme="minorEastAsia" w:hAnsiTheme="minorEastAsia" w:eastAsiaTheme="minorEastAsia" w:cstheme="minorEastAsia"/>
          <w:color w:val="auto"/>
          <w:kern w:val="0"/>
          <w:sz w:val="24"/>
          <w:szCs w:val="24"/>
          <w:highlight w:val="none"/>
          <w:u w:val="single"/>
        </w:rPr>
        <w:t xml:space="preserve">项目编码的内容 </w:t>
      </w:r>
      <w:bookmarkEnd w:id="108"/>
      <w:bookmarkStart w:id="109" w:name="OLE_LINK6"/>
      <w:r>
        <w:rPr>
          <w:rFonts w:hint="eastAsia" w:asciiTheme="minorEastAsia" w:hAnsiTheme="minorEastAsia" w:eastAsiaTheme="minorEastAsia" w:cstheme="minorEastAsia"/>
          <w:color w:val="auto"/>
          <w:kern w:val="0"/>
          <w:sz w:val="24"/>
          <w:szCs w:val="24"/>
          <w:highlight w:val="none"/>
        </w:rPr>
        <w:t>（B）</w:t>
      </w:r>
      <w:bookmarkEnd w:id="109"/>
      <w:r>
        <w:rPr>
          <w:rFonts w:hint="eastAsia" w:asciiTheme="minorEastAsia" w:hAnsiTheme="minorEastAsia" w:eastAsiaTheme="minorEastAsia" w:cstheme="minorEastAsia"/>
          <w:color w:val="auto"/>
          <w:kern w:val="0"/>
          <w:sz w:val="24"/>
          <w:szCs w:val="24"/>
          <w:highlight w:val="none"/>
        </w:rPr>
        <w:t>委托进口合同中的丙方。先开票后付款，否则甲方有权拒绝付款，不视为违约。</w:t>
      </w:r>
    </w:p>
    <w:p w14:paraId="69E6B7C5">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1B0AA1D9">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3.若因进口货物无法办理免税手续的，甲方可以解除</w:t>
      </w:r>
      <w:r>
        <w:rPr>
          <w:rFonts w:hint="eastAsia" w:asciiTheme="minorEastAsia" w:hAnsiTheme="minorEastAsia" w:eastAsiaTheme="minorEastAsia" w:cstheme="minorEastAsia"/>
          <w:color w:val="auto"/>
          <w:kern w:val="0"/>
          <w:sz w:val="24"/>
          <w:szCs w:val="24"/>
          <w:highlight w:val="none"/>
          <w:lang w:val="en-US" w:eastAsia="zh-CN"/>
        </w:rPr>
        <w:t>本合同及委托进口合同（B）</w:t>
      </w:r>
      <w:r>
        <w:rPr>
          <w:rFonts w:hint="eastAsia" w:asciiTheme="minorEastAsia" w:hAnsiTheme="minorEastAsia" w:eastAsiaTheme="minorEastAsia" w:cstheme="minorEastAsia"/>
          <w:color w:val="auto"/>
          <w:kern w:val="0"/>
          <w:sz w:val="24"/>
          <w:szCs w:val="24"/>
          <w:highlight w:val="none"/>
        </w:rPr>
        <w:t>，并应当及时通知乙方,因此造成的损失由乙方承担。</w:t>
      </w:r>
    </w:p>
    <w:p w14:paraId="7CACCA59">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九、税费</w:t>
      </w:r>
    </w:p>
    <w:p w14:paraId="6DF56F80">
      <w:pPr>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1E6B7763">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十、质量保证及售后服务</w:t>
      </w:r>
    </w:p>
    <w:p w14:paraId="47E70FB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1.乙方应按招标文件规定的货物性能、技术要求、质量标准向甲方提供未经使用的全新原装正品</w:t>
      </w:r>
      <w:bookmarkStart w:id="110" w:name="OLE_LINK8"/>
      <w:r>
        <w:rPr>
          <w:rFonts w:hint="eastAsia" w:asciiTheme="minorEastAsia" w:hAnsiTheme="minorEastAsia" w:eastAsiaTheme="minorEastAsia" w:cstheme="minorEastAsia"/>
          <w:color w:val="auto"/>
          <w:kern w:val="0"/>
          <w:sz w:val="24"/>
          <w:szCs w:val="24"/>
          <w:highlight w:val="none"/>
        </w:rPr>
        <w:t>，相关的配套附件质量优良，数量齐全。</w:t>
      </w:r>
      <w:bookmarkEnd w:id="110"/>
    </w:p>
    <w:p w14:paraId="78D0968C">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64F6DA08">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2EE042E6">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680564A3">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6E86F3E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6F25AD2D">
      <w:pPr>
        <w:pStyle w:val="26"/>
        <w:keepNext w:val="0"/>
        <w:keepLines w:val="0"/>
        <w:pageBreakBefore w:val="0"/>
        <w:kinsoku/>
        <w:wordWrap w:val="0"/>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小时内给与答复，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到达甲方现场处理。否则，应按每次2000元支付甲方违约金，同时甲方可以将该质量问题交第三方解决，所需费用由乙方承担。同一质量问题，如修理超过3次，乙方应予更换商品。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个工作日到达甲方现场维修，一般故障应在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5C398FEE">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质保期内，乙方应对货物出现的质量及安全问题负责处理解决并承担一切费用及责任。质保期过后，乙方对货物提供终身维修服务，能提供广泛、即时、优惠的技术服务，并提供质量上乘、价格合理的各种配件。乙方保证提供仪器质保期满之后3年内所需的备品、备件并给出详细清单（品名、货号、生产厂家、数量、价格等）。</w:t>
      </w:r>
    </w:p>
    <w:p w14:paraId="01BDB90B">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5.乙方终身免费提供应用咨询及技术帮助，质保期内，易损件和外购件根据原厂家质保期和国家质保标准保修，因人为因素出现的故障酌情收取材料费</w:t>
      </w:r>
      <w:bookmarkStart w:id="111" w:name="OLE_LINK1"/>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bookmarkEnd w:id="111"/>
      <w:r>
        <w:rPr>
          <w:rFonts w:hint="eastAsia" w:asciiTheme="minorEastAsia" w:hAnsiTheme="minorEastAsia" w:eastAsiaTheme="minorEastAsia" w:cstheme="minorEastAsia"/>
          <w:color w:val="auto"/>
          <w:kern w:val="0"/>
          <w:sz w:val="24"/>
          <w:szCs w:val="24"/>
          <w:highlight w:val="none"/>
        </w:rPr>
        <w:t xml:space="preserve">；质保期外实行有偿服务。 </w:t>
      </w:r>
    </w:p>
    <w:p w14:paraId="56E1C0FB">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十一、调试和验收</w:t>
      </w:r>
    </w:p>
    <w:p w14:paraId="21F12AF2">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1.甲方对乙方提交的货物依据招标文件上的技术规格要求和国家有关质量标准进行现场初步验收，外观、说明书符合招标文件技术要求的，给予签收，初步验收不</w:t>
      </w:r>
      <w:bookmarkStart w:id="112" w:name="OLE_LINK5"/>
      <w:r>
        <w:rPr>
          <w:rFonts w:hint="eastAsia" w:asciiTheme="minorEastAsia" w:hAnsiTheme="minorEastAsia" w:eastAsiaTheme="minorEastAsia" w:cstheme="minorEastAsia"/>
          <w:color w:val="auto"/>
          <w:kern w:val="0"/>
          <w:sz w:val="24"/>
          <w:szCs w:val="24"/>
          <w:highlight w:val="none"/>
          <w:lang w:val="en-US" w:eastAsia="zh-CN"/>
        </w:rPr>
        <w:t>符合约定</w:t>
      </w:r>
      <w:bookmarkEnd w:id="112"/>
      <w:r>
        <w:rPr>
          <w:rFonts w:hint="eastAsia" w:asciiTheme="minorEastAsia" w:hAnsiTheme="minorEastAsia" w:eastAsiaTheme="minorEastAsia" w:cstheme="minorEastAsia"/>
          <w:color w:val="auto"/>
          <w:kern w:val="0"/>
          <w:sz w:val="24"/>
          <w:szCs w:val="24"/>
          <w:highlight w:val="none"/>
        </w:rPr>
        <w:t>的不予签收。</w:t>
      </w:r>
    </w:p>
    <w:p w14:paraId="54E7902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7DC52834">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3.乙方对安装货物的实验室工作条件应提出具体要求，并在安装前予以确认。</w:t>
      </w:r>
    </w:p>
    <w:p w14:paraId="021DC143">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天内进行安装调试，直至通过验收。货物安装调试合格后，乙方负责对甲方技术人员（至少2人）进行免费现场培训，培训内容包括仪器的性能、原理、操作、保养和维护等，培训日程视实际情况另定。</w:t>
      </w:r>
    </w:p>
    <w:p w14:paraId="5AC0B319">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73451679">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546BE04D">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007A1E57">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十二、货物包装、发运及运输</w:t>
      </w:r>
    </w:p>
    <w:p w14:paraId="020BC693">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5FD0F71D">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6AF2AA3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3.乙方在货物发运手续办理完毕后24小时内或货到甲方48小时前通知甲方，以准备接货。</w:t>
      </w:r>
    </w:p>
    <w:p w14:paraId="76E74FD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7BDC2784">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5.货物在约定的交付期限内由乙方送达甲方指定的地点，乙方同时需通知甲方货物已送达，并与甲方工作人员办理交接手续，否则视为未交付。</w:t>
      </w:r>
    </w:p>
    <w:p w14:paraId="14BAB0E3">
      <w:pPr>
        <w:pStyle w:val="44"/>
        <w:keepNext w:val="0"/>
        <w:keepLines w:val="0"/>
        <w:pageBreakBefore w:val="0"/>
        <w:numPr>
          <w:ilvl w:val="0"/>
          <w:numId w:val="0"/>
        </w:numPr>
        <w:kinsoku/>
        <w:overflowPunct/>
        <w:topLinePunct w:val="0"/>
        <w:autoSpaceDE/>
        <w:autoSpaceDN/>
        <w:bidi w:val="0"/>
        <w:adjustRightIn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十三、违约责任</w:t>
      </w:r>
    </w:p>
    <w:p w14:paraId="5EAF6A71">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74EE212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2.甲方无故逾期验收和办理货款支付手续的,甲方应按逾期付款总额每日万分之五向乙方支付违约金。</w:t>
      </w:r>
    </w:p>
    <w:p w14:paraId="0EA62740">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6ADEEEB7">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350D3285">
      <w:pPr>
        <w:pStyle w:val="26"/>
        <w:keepNext w:val="0"/>
        <w:keepLines w:val="0"/>
        <w:pageBreakBefore w:val="0"/>
        <w:kinsoku/>
        <w:overflowPunct/>
        <w:topLinePunct w:val="0"/>
        <w:autoSpaceDE/>
        <w:autoSpaceDN/>
        <w:bidi w:val="0"/>
        <w:adjustRightInd/>
        <w:spacing w:line="336" w:lineRule="auto"/>
        <w:ind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5.若乙方违反本合同约定而导致甲方所支付的费用由乙方承担（包括但不限于律师费、差旅费、鉴定费等）。</w:t>
      </w:r>
    </w:p>
    <w:p w14:paraId="208FA2E3">
      <w:pPr>
        <w:pStyle w:val="44"/>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十四、不可抗力事件处理</w:t>
      </w:r>
    </w:p>
    <w:p w14:paraId="7297C687">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452A8EE6">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2657B19C">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73C02D8A">
      <w:pPr>
        <w:pStyle w:val="44"/>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十五、诉讼</w:t>
      </w:r>
    </w:p>
    <w:p w14:paraId="50B24F18">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680A3F93">
      <w:pPr>
        <w:pStyle w:val="44"/>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十六、合同生效及其它</w:t>
      </w:r>
    </w:p>
    <w:p w14:paraId="65677E00">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6E530168">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2.本合同未尽事宜，遵照《民法典》及有关规定执行。</w:t>
      </w:r>
    </w:p>
    <w:p w14:paraId="20E47F1D">
      <w:pPr>
        <w:pStyle w:val="26"/>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4976CB71">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p>
    <w:p w14:paraId="4BCFF699">
      <w:pPr>
        <w:keepNext w:val="0"/>
        <w:keepLines w:val="0"/>
        <w:pageBreakBefore w:val="0"/>
        <w:widowControl w:val="0"/>
        <w:kinsoku/>
        <w:wordWrap/>
        <w:overflowPunct/>
        <w:topLinePunct w:val="0"/>
        <w:autoSpaceDE/>
        <w:autoSpaceDN/>
        <w:bidi w:val="0"/>
        <w:adjustRightInd/>
        <w:snapToGrid/>
        <w:spacing w:line="336" w:lineRule="auto"/>
        <w:ind w:left="5880" w:hanging="5880" w:hangingChars="24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                  乙方（公章）</w:t>
      </w:r>
    </w:p>
    <w:p w14:paraId="6504AD5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33C20A9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14:paraId="10E4363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               联系电话：</w:t>
      </w:r>
    </w:p>
    <w:p w14:paraId="18B92F7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开户银行：建行台州市分行              开户银行： </w:t>
      </w:r>
    </w:p>
    <w:p w14:paraId="504BC3A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kern w:val="0"/>
          <w:sz w:val="24"/>
          <w:szCs w:val="24"/>
          <w:highlight w:val="none"/>
        </w:rPr>
        <w:t>33050166350000000852</w:t>
      </w:r>
      <w:r>
        <w:rPr>
          <w:rFonts w:hint="eastAsia" w:asciiTheme="minorEastAsia" w:hAnsiTheme="minorEastAsia" w:eastAsiaTheme="minorEastAsia" w:cstheme="minorEastAsia"/>
          <w:color w:val="auto"/>
          <w:sz w:val="24"/>
          <w:szCs w:val="24"/>
          <w:highlight w:val="none"/>
        </w:rPr>
        <w:t xml:space="preserve">            账号：</w:t>
      </w:r>
    </w:p>
    <w:p w14:paraId="41B7F84D">
      <w:pPr>
        <w:keepNext w:val="0"/>
        <w:keepLines w:val="0"/>
        <w:pageBreakBefore w:val="0"/>
        <w:widowControl w:val="0"/>
        <w:kinsoku/>
        <w:wordWrap/>
        <w:overflowPunct/>
        <w:topLinePunct w:val="0"/>
        <w:autoSpaceDE/>
        <w:autoSpaceDN/>
        <w:bidi w:val="0"/>
        <w:adjustRightInd/>
        <w:snapToGrid/>
        <w:spacing w:line="336" w:lineRule="auto"/>
        <w:ind w:left="4560" w:hanging="4560" w:hanging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地址：台州市椒江区市府大道1139号     地址：</w:t>
      </w:r>
    </w:p>
    <w:p w14:paraId="440774B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08602E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34368F34">
      <w:pPr>
        <w:keepNext w:val="0"/>
        <w:keepLines w:val="0"/>
        <w:pageBreakBefore w:val="0"/>
        <w:widowControl w:val="0"/>
        <w:kinsoku/>
        <w:wordWrap/>
        <w:overflowPunct/>
        <w:topLinePunct w:val="0"/>
        <w:autoSpaceDE/>
        <w:autoSpaceDN/>
        <w:bidi w:val="0"/>
        <w:adjustRightInd/>
        <w:snapToGrid/>
        <w:spacing w:line="336" w:lineRule="auto"/>
        <w:ind w:firstLine="3120" w:firstLineChars="1300"/>
        <w:textAlignment w:val="auto"/>
        <w:rPr>
          <w:b/>
          <w:bCs/>
          <w:color w:val="auto"/>
          <w:szCs w:val="21"/>
          <w:highlight w:val="none"/>
        </w:rPr>
      </w:pPr>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    月    日</w:t>
      </w:r>
    </w:p>
    <w:p w14:paraId="2FD6E58E">
      <w:pPr>
        <w:widowControl/>
        <w:spacing w:line="360" w:lineRule="auto"/>
        <w:ind w:firstLine="640" w:firstLineChars="200"/>
        <w:rPr>
          <w:rFonts w:hint="eastAsia" w:ascii="仿宋_GB2312" w:hAnsi="仿宋" w:eastAsia="仿宋_GB2312"/>
          <w:color w:val="auto"/>
          <w:sz w:val="32"/>
          <w:szCs w:val="32"/>
          <w:highlight w:val="none"/>
        </w:rPr>
      </w:pPr>
    </w:p>
    <w:p w14:paraId="609155A9">
      <w:pPr>
        <w:ind w:firstLine="480" w:firstLineChars="200"/>
        <w:jc w:val="right"/>
        <w:rPr>
          <w:rFonts w:hint="eastAsia" w:asciiTheme="minorEastAsia" w:hAnsiTheme="minorEastAsia" w:eastAsiaTheme="minorEastAsia" w:cstheme="minorEastAsia"/>
          <w:color w:val="auto"/>
          <w:kern w:val="0"/>
          <w:sz w:val="24"/>
          <w:szCs w:val="24"/>
          <w:highlight w:val="none"/>
        </w:rPr>
      </w:pPr>
    </w:p>
    <w:p w14:paraId="6A77FE96">
      <w:pPr>
        <w:widowControl/>
        <w:spacing w:before="312" w:beforeLines="100" w:line="800" w:lineRule="exact"/>
        <w:jc w:val="right"/>
        <w:rPr>
          <w:rFonts w:hint="eastAsia" w:ascii="方正楷体_GBK" w:hAnsi="黑体" w:eastAsia="方正楷体_GBK" w:cs="宋体"/>
          <w:color w:val="auto"/>
          <w:kern w:val="0"/>
          <w:sz w:val="36"/>
          <w:szCs w:val="36"/>
          <w:highlight w:val="none"/>
          <w:lang w:bidi="ar"/>
        </w:rPr>
      </w:pPr>
    </w:p>
    <w:p w14:paraId="2CFB024D">
      <w:pPr>
        <w:widowControl/>
        <w:spacing w:before="381" w:beforeLines="100" w:line="800" w:lineRule="exact"/>
        <w:jc w:val="right"/>
        <w:rPr>
          <w:rFonts w:hint="eastAsia" w:ascii="方正楷体_GBK" w:hAnsi="黑体" w:eastAsia="方正楷体_GBK" w:cs="宋体"/>
          <w:strike/>
          <w:dstrike w:val="0"/>
          <w:color w:val="auto"/>
          <w:kern w:val="0"/>
          <w:sz w:val="36"/>
          <w:szCs w:val="36"/>
          <w:highlight w:val="none"/>
          <w:lang w:bidi="ar"/>
        </w:rPr>
      </w:pPr>
    </w:p>
    <w:p w14:paraId="7BD00EBC">
      <w:pPr>
        <w:widowControl/>
        <w:spacing w:before="381" w:beforeLines="100" w:line="800" w:lineRule="exact"/>
        <w:jc w:val="center"/>
        <w:rPr>
          <w:rFonts w:hint="eastAsia" w:ascii="方正小标宋简体" w:hAnsi="方正小标宋简体" w:eastAsia="方正小标宋简体" w:cs="方正小标宋简体"/>
          <w:b w:val="0"/>
          <w:bCs w:val="0"/>
          <w:color w:val="auto"/>
          <w:kern w:val="0"/>
          <w:sz w:val="44"/>
          <w:szCs w:val="44"/>
          <w:highlight w:val="none"/>
          <w:lang w:bidi="ar"/>
        </w:rPr>
      </w:pPr>
      <w:r>
        <w:rPr>
          <w:rFonts w:hint="eastAsia" w:ascii="方正小标宋简体" w:hAnsi="方正小标宋简体" w:eastAsia="方正小标宋简体" w:cs="方正小标宋简体"/>
          <w:b w:val="0"/>
          <w:bCs w:val="0"/>
          <w:color w:val="auto"/>
          <w:kern w:val="0"/>
          <w:sz w:val="44"/>
          <w:szCs w:val="44"/>
          <w:highlight w:val="none"/>
          <w:lang w:bidi="ar"/>
        </w:rPr>
        <w:t>台州学院</w:t>
      </w:r>
    </w:p>
    <w:p w14:paraId="31C288FC">
      <w:pPr>
        <w:widowControl/>
        <w:spacing w:line="800" w:lineRule="exact"/>
        <w:jc w:val="center"/>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lang w:bidi="ar"/>
        </w:rPr>
        <w:t>**********项目</w:t>
      </w:r>
    </w:p>
    <w:p w14:paraId="4FCFC20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color w:val="auto"/>
          <w:kern w:val="0"/>
          <w:sz w:val="30"/>
          <w:szCs w:val="30"/>
          <w:highlight w:val="none"/>
        </w:rPr>
      </w:pPr>
    </w:p>
    <w:p w14:paraId="26BEA3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color w:val="auto"/>
          <w:kern w:val="0"/>
          <w:sz w:val="30"/>
          <w:szCs w:val="30"/>
          <w:highlight w:val="none"/>
        </w:rPr>
      </w:pPr>
    </w:p>
    <w:p w14:paraId="570460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b/>
          <w:color w:val="auto"/>
          <w:kern w:val="0"/>
          <w:sz w:val="30"/>
          <w:szCs w:val="30"/>
          <w:highlight w:val="none"/>
        </w:rPr>
      </w:pPr>
    </w:p>
    <w:p w14:paraId="236AF4ED">
      <w:pPr>
        <w:widowControl/>
        <w:jc w:val="center"/>
        <w:rPr>
          <w:rFonts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strike w:val="0"/>
          <w:dstrike w:val="0"/>
          <w:color w:val="auto"/>
          <w:kern w:val="0"/>
          <w:sz w:val="72"/>
          <w:szCs w:val="72"/>
          <w:highlight w:val="none"/>
          <w:lang w:bidi="ar"/>
        </w:rPr>
        <w:t>委托进口</w:t>
      </w:r>
      <w:r>
        <w:rPr>
          <w:rFonts w:hint="eastAsia" w:ascii="方正小标宋简体" w:hAnsi="黑体" w:eastAsia="方正小标宋简体" w:cs="宋体"/>
          <w:color w:val="auto"/>
          <w:kern w:val="0"/>
          <w:sz w:val="72"/>
          <w:szCs w:val="72"/>
          <w:highlight w:val="none"/>
          <w:lang w:bidi="ar"/>
        </w:rPr>
        <w:t>合同</w:t>
      </w:r>
    </w:p>
    <w:p w14:paraId="0E7150F6">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（B）</w:t>
      </w:r>
    </w:p>
    <w:p w14:paraId="630EA6CF">
      <w:pPr>
        <w:spacing w:line="360" w:lineRule="auto"/>
        <w:rPr>
          <w:rFonts w:hint="eastAsia" w:ascii="仿宋" w:hAnsi="仿宋" w:eastAsia="仿宋"/>
          <w:b/>
          <w:color w:val="auto"/>
          <w:kern w:val="0"/>
          <w:sz w:val="30"/>
          <w:szCs w:val="30"/>
          <w:highlight w:val="none"/>
        </w:rPr>
      </w:pPr>
    </w:p>
    <w:p w14:paraId="7ADAC904">
      <w:pPr>
        <w:spacing w:line="360" w:lineRule="auto"/>
        <w:rPr>
          <w:rFonts w:hint="eastAsia" w:ascii="仿宋" w:hAnsi="仿宋" w:eastAsia="仿宋"/>
          <w:b/>
          <w:color w:val="auto"/>
          <w:kern w:val="0"/>
          <w:sz w:val="30"/>
          <w:szCs w:val="30"/>
          <w:highlight w:val="none"/>
        </w:rPr>
      </w:pPr>
    </w:p>
    <w:p w14:paraId="6EB4575B">
      <w:pPr>
        <w:spacing w:line="360" w:lineRule="auto"/>
        <w:rPr>
          <w:rFonts w:hint="eastAsia" w:ascii="仿宋" w:hAnsi="仿宋" w:eastAsia="仿宋"/>
          <w:b/>
          <w:color w:val="auto"/>
          <w:kern w:val="0"/>
          <w:sz w:val="30"/>
          <w:szCs w:val="30"/>
          <w:highlight w:val="none"/>
        </w:rPr>
      </w:pPr>
    </w:p>
    <w:p w14:paraId="37029A17">
      <w:pPr>
        <w:widowControl/>
        <w:spacing w:line="700" w:lineRule="exact"/>
        <w:ind w:firstLine="360" w:firstLineChars="100"/>
        <w:jc w:val="left"/>
        <w:rPr>
          <w:rFonts w:hint="eastAsia" w:ascii="方正小标宋简体" w:hAnsi="仿宋" w:eastAsia="方正小标宋简体"/>
          <w:color w:val="auto"/>
          <w:sz w:val="36"/>
          <w:szCs w:val="36"/>
          <w:highlight w:val="none"/>
        </w:rPr>
      </w:pPr>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52B023EC">
      <w:pPr>
        <w:widowControl/>
        <w:spacing w:line="700" w:lineRule="exact"/>
        <w:ind w:firstLine="360" w:firstLineChars="1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195097D0">
      <w:pPr>
        <w:widowControl/>
        <w:spacing w:line="700" w:lineRule="exact"/>
        <w:ind w:firstLine="360" w:firstLineChars="100"/>
        <w:jc w:val="left"/>
        <w:rPr>
          <w:rFonts w:ascii="方正小标宋简体" w:hAnsi="仿宋" w:eastAsia="方正小标宋简体" w:cs="宋体"/>
          <w:color w:val="auto"/>
          <w:kern w:val="0"/>
          <w:sz w:val="30"/>
          <w:szCs w:val="30"/>
          <w:highlight w:val="none"/>
          <w:u w:val="single"/>
          <w:lang w:bidi="ar"/>
        </w:rPr>
      </w:pPr>
      <w:r>
        <w:rPr>
          <w:rFonts w:hint="eastAsia" w:ascii="方正小标宋简体" w:hAnsi="仿宋" w:eastAsia="方正小标宋简体" w:cs="宋体"/>
          <w:color w:val="auto"/>
          <w:kern w:val="0"/>
          <w:sz w:val="36"/>
          <w:szCs w:val="36"/>
          <w:highlight w:val="none"/>
          <w:lang w:bidi="ar"/>
        </w:rPr>
        <w:t>丙方（进口代理机构）：</w:t>
      </w:r>
      <w:r>
        <w:rPr>
          <w:rFonts w:hint="eastAsia" w:ascii="方正小标宋简体" w:hAnsi="仿宋" w:eastAsia="方正小标宋简体" w:cs="宋体"/>
          <w:color w:val="auto"/>
          <w:spacing w:val="-20"/>
          <w:kern w:val="0"/>
          <w:sz w:val="30"/>
          <w:szCs w:val="30"/>
          <w:highlight w:val="none"/>
          <w:u w:val="single"/>
          <w:lang w:bidi="ar"/>
        </w:rPr>
        <w:t>浙江省科学器材进出口有限责任公司</w:t>
      </w:r>
      <w:r>
        <w:rPr>
          <w:rFonts w:ascii="方正小标宋简体" w:hAnsi="仿宋" w:eastAsia="方正小标宋简体" w:cs="宋体"/>
          <w:color w:val="auto"/>
          <w:kern w:val="0"/>
          <w:sz w:val="30"/>
          <w:szCs w:val="30"/>
          <w:highlight w:val="none"/>
          <w:u w:val="single"/>
          <w:lang w:bidi="ar"/>
        </w:rPr>
        <w:t xml:space="preserve"> </w:t>
      </w:r>
    </w:p>
    <w:p w14:paraId="545C56E6">
      <w:pPr>
        <w:widowControl/>
        <w:spacing w:line="700" w:lineRule="exact"/>
        <w:ind w:firstLine="720" w:firstLineChars="200"/>
        <w:jc w:val="center"/>
        <w:rPr>
          <w:rFonts w:hint="eastAsia" w:ascii="方正小标宋简体" w:hAnsi="仿宋" w:eastAsia="方正小标宋简体"/>
          <w:color w:val="auto"/>
          <w:kern w:val="0"/>
          <w:sz w:val="36"/>
          <w:szCs w:val="36"/>
          <w:highlight w:val="none"/>
        </w:rPr>
      </w:pPr>
    </w:p>
    <w:p w14:paraId="1BEB3F8A">
      <w:pPr>
        <w:widowControl/>
        <w:spacing w:line="700" w:lineRule="exact"/>
        <w:jc w:val="center"/>
        <w:rPr>
          <w:rFonts w:ascii="方正小标宋简体" w:hAnsi="仿宋" w:eastAsia="方正小标宋简体"/>
          <w:color w:val="auto"/>
          <w:kern w:val="0"/>
          <w:sz w:val="36"/>
          <w:szCs w:val="36"/>
          <w:highlight w:val="none"/>
        </w:rPr>
        <w:sectPr>
          <w:footerReference r:id="rId10" w:type="first"/>
          <w:headerReference r:id="rId7" w:type="default"/>
          <w:footerReference r:id="rId9" w:type="default"/>
          <w:headerReference r:id="rId8" w:type="even"/>
          <w:pgSz w:w="11906" w:h="16838"/>
          <w:pgMar w:top="1701" w:right="1474" w:bottom="1474" w:left="1588" w:header="851" w:footer="992" w:gutter="0"/>
          <w:pgNumType w:fmt="decimal"/>
          <w:cols w:space="720" w:num="1"/>
          <w:titlePg/>
          <w:docGrid w:type="lines" w:linePitch="381"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月</w:t>
      </w:r>
    </w:p>
    <w:p w14:paraId="2E6CD9F0">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项目名称:</w:t>
      </w:r>
      <w:r>
        <w:rPr>
          <w:rFonts w:hint="eastAsia" w:asciiTheme="minorEastAsia" w:hAnsiTheme="minorEastAsia" w:eastAsiaTheme="minorEastAsia" w:cstheme="minorEastAsia"/>
          <w:bCs/>
          <w:color w:val="auto"/>
          <w:kern w:val="0"/>
          <w:sz w:val="24"/>
          <w:szCs w:val="24"/>
          <w:highlight w:val="none"/>
        </w:rPr>
        <w:t xml:space="preserve"> ************</w:t>
      </w:r>
    </w:p>
    <w:p w14:paraId="2E9932D4">
      <w:pPr>
        <w:tabs>
          <w:tab w:val="left" w:pos="6096"/>
        </w:tabs>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项目编号：</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sz w:val="24"/>
          <w:szCs w:val="24"/>
          <w:highlight w:val="none"/>
        </w:rPr>
        <w:t>（B）</w:t>
      </w:r>
    </w:p>
    <w:p w14:paraId="08D3313F">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甲方（采购人）：台州学院</w:t>
      </w:r>
    </w:p>
    <w:p w14:paraId="0C04A6DD">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乙方（中标供应商）：</w:t>
      </w:r>
      <w:r>
        <w:rPr>
          <w:rFonts w:hint="eastAsia" w:asciiTheme="minorEastAsia" w:hAnsiTheme="minorEastAsia" w:eastAsiaTheme="minorEastAsia" w:cstheme="minorEastAsia"/>
          <w:bCs/>
          <w:color w:val="auto"/>
          <w:kern w:val="0"/>
          <w:sz w:val="24"/>
          <w:szCs w:val="24"/>
          <w:highlight w:val="none"/>
        </w:rPr>
        <w:t>************</w:t>
      </w:r>
    </w:p>
    <w:p w14:paraId="4FBA481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丙方（进口代理机构）：浙江省科学器材进出口有限责任公司</w:t>
      </w:r>
    </w:p>
    <w:p w14:paraId="21519001">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甲、乙双方根据公开招标采购的结果，甲方委托丙方代理进口本合同乙方提供的进口货物，经甲、乙、丙三方协商签署本合同。</w:t>
      </w:r>
    </w:p>
    <w:p w14:paraId="4208A884">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一、采购商品清单及合同价格</w:t>
      </w:r>
    </w:p>
    <w:tbl>
      <w:tblPr>
        <w:tblStyle w:val="4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701"/>
        <w:gridCol w:w="1843"/>
        <w:gridCol w:w="806"/>
        <w:gridCol w:w="1278"/>
        <w:gridCol w:w="1460"/>
        <w:gridCol w:w="1417"/>
      </w:tblGrid>
      <w:tr w14:paraId="60F2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612" w:type="dxa"/>
            <w:noWrap w:val="0"/>
            <w:vAlign w:val="center"/>
          </w:tcPr>
          <w:p w14:paraId="2F70DEEC">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序号</w:t>
            </w:r>
          </w:p>
        </w:tc>
        <w:tc>
          <w:tcPr>
            <w:tcW w:w="1701" w:type="dxa"/>
            <w:noWrap w:val="0"/>
            <w:vAlign w:val="center"/>
          </w:tcPr>
          <w:p w14:paraId="4AE996F5">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进口货物名称</w:t>
            </w:r>
          </w:p>
        </w:tc>
        <w:tc>
          <w:tcPr>
            <w:tcW w:w="1843" w:type="dxa"/>
            <w:noWrap w:val="0"/>
            <w:vAlign w:val="center"/>
          </w:tcPr>
          <w:p w14:paraId="50C61A17">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品牌、型号及产地</w:t>
            </w:r>
          </w:p>
        </w:tc>
        <w:tc>
          <w:tcPr>
            <w:tcW w:w="806" w:type="dxa"/>
            <w:noWrap w:val="0"/>
            <w:vAlign w:val="center"/>
          </w:tcPr>
          <w:p w14:paraId="21A8B8AD">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数量</w:t>
            </w:r>
          </w:p>
        </w:tc>
        <w:tc>
          <w:tcPr>
            <w:tcW w:w="1278" w:type="dxa"/>
            <w:noWrap w:val="0"/>
            <w:vAlign w:val="center"/>
          </w:tcPr>
          <w:p w14:paraId="6B616C84">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中标价</w:t>
            </w:r>
          </w:p>
          <w:p w14:paraId="3EAF6481">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（美元）</w:t>
            </w:r>
          </w:p>
        </w:tc>
        <w:tc>
          <w:tcPr>
            <w:tcW w:w="1460" w:type="dxa"/>
            <w:noWrap w:val="0"/>
            <w:vAlign w:val="center"/>
          </w:tcPr>
          <w:p w14:paraId="03B68BBD">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总价</w:t>
            </w:r>
          </w:p>
          <w:p w14:paraId="77488CBD">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（人民币）</w:t>
            </w:r>
          </w:p>
        </w:tc>
        <w:tc>
          <w:tcPr>
            <w:tcW w:w="1417" w:type="dxa"/>
            <w:noWrap w:val="0"/>
            <w:vAlign w:val="center"/>
          </w:tcPr>
          <w:p w14:paraId="7D37A07B">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外贸合同号</w:t>
            </w:r>
          </w:p>
        </w:tc>
      </w:tr>
      <w:tr w14:paraId="27CA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612" w:type="dxa"/>
            <w:shd w:val="clear" w:color="auto" w:fill="auto"/>
            <w:noWrap w:val="0"/>
            <w:vAlign w:val="center"/>
          </w:tcPr>
          <w:p w14:paraId="45E04FC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701" w:type="dxa"/>
            <w:shd w:val="clear" w:color="auto" w:fill="auto"/>
            <w:noWrap w:val="0"/>
            <w:vAlign w:val="center"/>
          </w:tcPr>
          <w:p w14:paraId="428EC72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843" w:type="dxa"/>
            <w:shd w:val="clear" w:color="auto" w:fill="auto"/>
            <w:noWrap w:val="0"/>
            <w:vAlign w:val="center"/>
          </w:tcPr>
          <w:p w14:paraId="54DCB39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806" w:type="dxa"/>
            <w:shd w:val="clear" w:color="auto" w:fill="auto"/>
            <w:noWrap w:val="0"/>
            <w:vAlign w:val="center"/>
          </w:tcPr>
          <w:p w14:paraId="3F00B28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278" w:type="dxa"/>
            <w:shd w:val="clear" w:color="auto" w:fill="FFFFFF"/>
            <w:noWrap w:val="0"/>
            <w:vAlign w:val="center"/>
          </w:tcPr>
          <w:p w14:paraId="47C6765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460" w:type="dxa"/>
            <w:noWrap w:val="0"/>
            <w:vAlign w:val="center"/>
          </w:tcPr>
          <w:p w14:paraId="34875421">
            <w:pPr>
              <w:keepNext w:val="0"/>
              <w:keepLines w:val="0"/>
              <w:suppressLineNumbers w:val="0"/>
              <w:tabs>
                <w:tab w:val="left" w:pos="180"/>
              </w:tabs>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417" w:type="dxa"/>
            <w:noWrap w:val="0"/>
            <w:vAlign w:val="center"/>
          </w:tcPr>
          <w:p w14:paraId="123DEAB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r>
      <w:tr w14:paraId="1DED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612" w:type="dxa"/>
            <w:shd w:val="clear" w:color="auto" w:fill="auto"/>
            <w:noWrap w:val="0"/>
            <w:vAlign w:val="center"/>
          </w:tcPr>
          <w:p w14:paraId="518CBD1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701" w:type="dxa"/>
            <w:shd w:val="clear" w:color="auto" w:fill="auto"/>
            <w:noWrap w:val="0"/>
            <w:vAlign w:val="center"/>
          </w:tcPr>
          <w:p w14:paraId="33B16D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843" w:type="dxa"/>
            <w:shd w:val="clear" w:color="auto" w:fill="auto"/>
            <w:noWrap w:val="0"/>
            <w:vAlign w:val="center"/>
          </w:tcPr>
          <w:p w14:paraId="7FE72E4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806" w:type="dxa"/>
            <w:shd w:val="clear" w:color="auto" w:fill="auto"/>
            <w:noWrap w:val="0"/>
            <w:vAlign w:val="center"/>
          </w:tcPr>
          <w:p w14:paraId="30142D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278" w:type="dxa"/>
            <w:shd w:val="clear" w:color="auto" w:fill="FFFFFF"/>
            <w:noWrap w:val="0"/>
            <w:vAlign w:val="center"/>
          </w:tcPr>
          <w:p w14:paraId="4908454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c>
          <w:tcPr>
            <w:tcW w:w="1460" w:type="dxa"/>
            <w:noWrap w:val="0"/>
            <w:vAlign w:val="center"/>
          </w:tcPr>
          <w:p w14:paraId="619AE054">
            <w:pPr>
              <w:keepNext w:val="0"/>
              <w:keepLines w:val="0"/>
              <w:suppressLineNumbers w:val="0"/>
              <w:tabs>
                <w:tab w:val="left" w:pos="180"/>
              </w:tabs>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szCs w:val="24"/>
                <w:highlight w:val="none"/>
              </w:rPr>
            </w:pPr>
          </w:p>
        </w:tc>
        <w:tc>
          <w:tcPr>
            <w:tcW w:w="1417" w:type="dxa"/>
            <w:noWrap w:val="0"/>
            <w:vAlign w:val="center"/>
          </w:tcPr>
          <w:p w14:paraId="65EBD70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p>
        </w:tc>
      </w:tr>
      <w:tr w14:paraId="19AD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313" w:type="dxa"/>
            <w:gridSpan w:val="2"/>
            <w:noWrap w:val="0"/>
            <w:vAlign w:val="center"/>
          </w:tcPr>
          <w:p w14:paraId="4C10A3D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合同总价</w:t>
            </w:r>
          </w:p>
        </w:tc>
        <w:tc>
          <w:tcPr>
            <w:tcW w:w="6804" w:type="dxa"/>
            <w:gridSpan w:val="5"/>
            <w:noWrap w:val="0"/>
            <w:vAlign w:val="center"/>
          </w:tcPr>
          <w:p w14:paraId="1B1FBD8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美金：******USD</w:t>
            </w:r>
          </w:p>
          <w:p w14:paraId="7645C0C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人民币大写：******，******RMB</w:t>
            </w:r>
          </w:p>
        </w:tc>
      </w:tr>
    </w:tbl>
    <w:p w14:paraId="6C338655">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注：1.合同价，以招标当日外汇牌价，加外贸代理费</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个点进行计算。当日美元外汇牌价为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，乙方以</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进行结算。如进口货物无法办理减免税手续，增值税和关税由甲方承担。</w:t>
      </w:r>
    </w:p>
    <w:p w14:paraId="6546E316">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2.合同履行过程中的汇率风险由乙方承担，由丙方与乙方结算。</w:t>
      </w:r>
    </w:p>
    <w:p w14:paraId="4102E833">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二、质量保证及售后服务</w:t>
      </w:r>
    </w:p>
    <w:p w14:paraId="02CA4EA7">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乙方应按照招投标文件规定的性能、技术要求、质量标准向甲方提供未经使用、符合国家法律规定和技术标准的原厂最新生产的全新原装合格产品；进口商品是获得国家商检局颁布安全许可证的出厂原装合格产品。如发生所供商品与合同不符，甲方有权拒收或随时退货，乙方应全额退还甲方所付款项，并按合同价款金额的20%支付违约金，由此产生的其他一切责任和后果也由乙方承担。</w:t>
      </w:r>
    </w:p>
    <w:p w14:paraId="62E7CF74">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2.乙方提供的货物在质保期内因货物本身的质量问题发生故障，乙方应负责免费更换。对达不到技术要求者，根据实际情况，经双方协商，可按以下办法处理：</w:t>
      </w:r>
    </w:p>
    <w:p w14:paraId="2CF96CF3">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⑴更换：由乙方承担所发生的全部费用。</w:t>
      </w:r>
    </w:p>
    <w:p w14:paraId="2F783FAF">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⑵贬值处理：由甲乙双方合议定价。</w:t>
      </w:r>
    </w:p>
    <w:p w14:paraId="7E8AFC7A">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⑶退货处理：乙方应退还甲方支付的合同款，同时应承担该货物的直接费用（运输、保险、检验、货款利息及银行手续费等）。</w:t>
      </w:r>
    </w:p>
    <w:p w14:paraId="2CA3238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上述三种方式如协商不成，甲方有权直接自行选择上述三项处理方式任一项进行处理，乙方不得异议。</w:t>
      </w:r>
    </w:p>
    <w:p w14:paraId="263560B2">
      <w:pPr>
        <w:pStyle w:val="26"/>
        <w:wordWrap w:val="0"/>
        <w:spacing w:line="360" w:lineRule="auto"/>
        <w:ind w:left="105" w:leftChars="5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小时内给与答复，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到达甲方现场处理。否则，应按每次2000元支付甲方违约金，同时甲方可以将该质量问题交第三方解决，所需费用由乙方承担。同一质量问题，如修理超过3次，乙方应予更换商品。否则，甲方因此支出的全部费用由乙方承担。质保期外，乙方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个工作日到达甲方现场处理，一般故障应在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小时内修复，重大故障应在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小时内修复。</w:t>
      </w:r>
    </w:p>
    <w:p w14:paraId="15D9673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质保期内，乙方应对货物出现的质量及安全问题负责处理解决并承担一切费用及责任。质保期过后，乙方对货物提供终身维修服务，能提供广泛、即时、优惠的技术服务，并提供质量上乘、价格合理的各种配件。乙方保证供应仪器质保期后3年内所需的备品、备件并且给出详细清单（品名、货号、生产厂家、数量、价格等）。</w:t>
      </w:r>
    </w:p>
    <w:p w14:paraId="52E5186B">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5.乙方终身免费提供应用咨询及技术帮助，质保期内，易损件和外购件根据原厂家质保期和国家质保标准保修，因人为因素出现的故障酌情收取材料费，免收人工费；质保期外实行有偿服务。</w:t>
      </w:r>
    </w:p>
    <w:p w14:paraId="58C8DBE4">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三、技术资料</w:t>
      </w:r>
    </w:p>
    <w:p w14:paraId="74590701">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1.乙方应按招投标文件规定的时间向甲方提供合同货物的有关技术资料和必备的附件，进口产品还需提供全套英文对照的技术资料。</w:t>
      </w:r>
    </w:p>
    <w:p w14:paraId="65EB8B74">
      <w:pPr>
        <w:pStyle w:val="26"/>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pacing w:val="-6"/>
          <w:sz w:val="24"/>
          <w:szCs w:val="24"/>
          <w:highlight w:val="none"/>
        </w:rPr>
        <w:t>范围</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否则由乙方承担全部责任。</w:t>
      </w:r>
    </w:p>
    <w:p w14:paraId="414F215D">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四、知识产权</w:t>
      </w:r>
    </w:p>
    <w:p w14:paraId="36DC2BD0">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乙方应保证所提供的货物或其任何一部分均不会侵犯任何第三方的知识产权。如果任何第三方向甲方提起侵权索赔，乙方应负责与之进行交涉，造成甲方损失均由乙方承担。</w:t>
      </w:r>
    </w:p>
    <w:p w14:paraId="3D51FDA1">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pacing w:val="-6"/>
          <w:sz w:val="24"/>
          <w:szCs w:val="24"/>
          <w:highlight w:val="none"/>
        </w:rPr>
      </w:pPr>
      <w:r>
        <w:rPr>
          <w:rFonts w:hint="eastAsia" w:asciiTheme="minorEastAsia" w:hAnsiTheme="minorEastAsia" w:eastAsiaTheme="minorEastAsia" w:cstheme="minorEastAsia"/>
          <w:b w:val="0"/>
          <w:bCs w:val="0"/>
          <w:color w:val="auto"/>
          <w:sz w:val="24"/>
          <w:szCs w:val="24"/>
          <w:highlight w:val="none"/>
        </w:rPr>
        <w:t>五、质保期</w:t>
      </w:r>
      <w:r>
        <w:rPr>
          <w:rFonts w:hint="eastAsia" w:asciiTheme="minorEastAsia" w:hAnsiTheme="minorEastAsia" w:eastAsiaTheme="minorEastAsia" w:cstheme="minorEastAsia"/>
          <w:b w:val="0"/>
          <w:bCs w:val="0"/>
          <w:color w:val="auto"/>
          <w:spacing w:val="-6"/>
          <w:sz w:val="24"/>
          <w:szCs w:val="24"/>
          <w:highlight w:val="none"/>
        </w:rPr>
        <w:t xml:space="preserve"> </w:t>
      </w:r>
    </w:p>
    <w:p w14:paraId="41375C4D">
      <w:pPr>
        <w:pStyle w:val="26"/>
        <w:spacing w:line="360" w:lineRule="auto"/>
        <w:ind w:firstLine="480" w:firstLineChars="200"/>
        <w:rPr>
          <w:rFonts w:hint="eastAsia" w:asciiTheme="minorEastAsia" w:hAnsiTheme="minorEastAsia" w:eastAsiaTheme="minorEastAsia" w:cstheme="minorEastAsia"/>
          <w:b/>
          <w:bCs/>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年（从甲方对产品的最终验收合格之日开始起算）。</w:t>
      </w:r>
    </w:p>
    <w:p w14:paraId="5B852C50">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六、交货时间和地点</w:t>
      </w:r>
    </w:p>
    <w:p w14:paraId="79B5791E">
      <w:pPr>
        <w:pStyle w:val="26"/>
        <w:spacing w:line="360" w:lineRule="auto"/>
        <w:ind w:firstLine="480"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乙方应在</w:t>
      </w:r>
      <w:r>
        <w:rPr>
          <w:rFonts w:hint="eastAsia" w:asciiTheme="minorEastAsia" w:hAnsiTheme="minorEastAsia" w:eastAsiaTheme="minorEastAsia" w:cstheme="minorEastAsia"/>
          <w:color w:val="auto"/>
          <w:spacing w:val="-6"/>
          <w:kern w:val="2"/>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将所供商品按时、安全运至甲方指定地点，运费、装卸费</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由乙方负责。</w:t>
      </w:r>
    </w:p>
    <w:p w14:paraId="4E1BCC69">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七、调试和验收</w:t>
      </w:r>
    </w:p>
    <w:p w14:paraId="718DF46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1.甲方对乙方提交的货物依据招标文件上的技术规格要求和国家有关质量标准进行现场初步验收，外观、说明书符合招标文件技术要求的，给予签收，初步验收不</w:t>
      </w:r>
      <w:r>
        <w:rPr>
          <w:rFonts w:hint="eastAsia" w:asciiTheme="minorEastAsia" w:hAnsiTheme="minorEastAsia" w:eastAsiaTheme="minorEastAsia" w:cstheme="minorEastAsia"/>
          <w:color w:val="auto"/>
          <w:kern w:val="0"/>
          <w:sz w:val="24"/>
          <w:szCs w:val="24"/>
          <w:highlight w:val="none"/>
          <w:lang w:val="en-US" w:eastAsia="zh-CN"/>
        </w:rPr>
        <w:t>符合约定</w:t>
      </w:r>
      <w:r>
        <w:rPr>
          <w:rFonts w:hint="eastAsia" w:asciiTheme="minorEastAsia" w:hAnsiTheme="minorEastAsia" w:eastAsiaTheme="minorEastAsia" w:cstheme="minorEastAsia"/>
          <w:color w:val="auto"/>
          <w:sz w:val="24"/>
          <w:szCs w:val="24"/>
          <w:highlight w:val="none"/>
        </w:rPr>
        <w:t>的不予签收。</w:t>
      </w:r>
    </w:p>
    <w:p w14:paraId="73F2EF9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2.乙方交货前应对产品做出全面检查和对验收文件进行整理，并列出清单，作为甲方收货验收和使用的技术条件依据，检验的结果应随货物交甲方。</w:t>
      </w:r>
    </w:p>
    <w:p w14:paraId="7D66A01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3.乙方对安装货物的实验室工作条件应提出具体要求，并在安装前予以确认。</w:t>
      </w:r>
    </w:p>
    <w:p w14:paraId="22E1139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天内进行安装调试，直至通过验收。货物安装调试合格后，乙方负责对甲方技术人员（至少2人）进行免费现场培训，培训内容包括仪器的性能、原理、操作、保养和维护等，培训日程视实际情况另定。</w:t>
      </w:r>
    </w:p>
    <w:p w14:paraId="1FA6386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5.对技术复杂的货物，甲方可请国家认可的专业检测机构参与初步验收及最终验收，并由其出具质量检测报告。</w:t>
      </w:r>
    </w:p>
    <w:p w14:paraId="27D0667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6.验收时乙方必须在现场，验收完毕后作出验收结果报告；验收费用由乙方负责。如乙方拒不到场，视为其同意甲方之验收结果并不得异议。</w:t>
      </w:r>
    </w:p>
    <w:p w14:paraId="2B7E158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7.因乙方人员在合同履行过程中造成甲方或其自身人身或财产损害，由乙方承担全部责任。</w:t>
      </w:r>
    </w:p>
    <w:p w14:paraId="0476ADFF">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3FF8CA0D">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1.合同签订后，甲方向丙方支付50%的合同款项作为预付款，货物验收合格后，在丙方票证齐全，符合甲方付款流程的前提下，甲方向丙方一次性付清剩余款项，即甲乙双方签订的</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项目编号的内容</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（A）</w:t>
      </w:r>
      <w:r>
        <w:rPr>
          <w:rFonts w:hint="eastAsia" w:asciiTheme="minorEastAsia" w:hAnsiTheme="minorEastAsia" w:eastAsiaTheme="minorEastAsia" w:cstheme="minorEastAsia"/>
          <w:color w:val="auto"/>
          <w:spacing w:val="-6"/>
          <w:sz w:val="24"/>
          <w:szCs w:val="24"/>
          <w:highlight w:val="none"/>
          <w:lang w:val="en-US" w:eastAsia="zh-CN"/>
        </w:rPr>
        <w:t>进口货物</w:t>
      </w:r>
      <w:r>
        <w:rPr>
          <w:rFonts w:hint="eastAsia" w:asciiTheme="minorEastAsia" w:hAnsiTheme="minorEastAsia" w:eastAsiaTheme="minorEastAsia" w:cstheme="minorEastAsia"/>
          <w:color w:val="auto"/>
          <w:spacing w:val="-6"/>
          <w:sz w:val="24"/>
          <w:szCs w:val="24"/>
          <w:highlight w:val="none"/>
        </w:rPr>
        <w:t>买卖合同中进口货物的货款，否则甲方有权拒绝付款。丙方于收到款项后3个工作日内向乙方指定的外商公司同比例支付。本合同执行中相关的一切税费均由乙方负担。</w:t>
      </w:r>
    </w:p>
    <w:p w14:paraId="5E5906A8">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九、其他条款约定</w:t>
      </w:r>
    </w:p>
    <w:p w14:paraId="5888D0F2">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1.甲方、乙方协助丙方做好有关进口审批及到货前办理好进口免税手续。</w:t>
      </w:r>
    </w:p>
    <w:p w14:paraId="4FB8AA09">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2.乙方负责根据本次采购结果向丙方提供已确认的进口货物的品名、型号规格、配置配件、技术要求、价格、制造厂商或生产国别、售后服务等相关书面资料，以便丙方及时对外签订进口合同。</w:t>
      </w:r>
    </w:p>
    <w:p w14:paraId="022BA2BC">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3.丙方负责对外签订合同、协助商谈运输方式、到货地点，办理法定商检、对外承付货款、办理进口报关、到货后通知乙方安装调试并送货上门等事宜。</w:t>
      </w:r>
    </w:p>
    <w:p w14:paraId="5F167EBD">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4.丙方应根据进口合同积极实施对外履约，并及时向甲方和乙方书面通报进口合同的执行情况，特别是货物备妥期、装运期、预计抵达情况，以便甲方及时了解供货进度，乙方及时做好接货准备。</w:t>
      </w:r>
    </w:p>
    <w:p w14:paraId="032FA3CC">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5.对需办理《机电产品进口许可证》的设备，丙方应协助甲方办理网上申报等有关事宜，并及时领取进口批件。</w:t>
      </w:r>
    </w:p>
    <w:p w14:paraId="25311475">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6.进口设备到货后，丙方应向甲方提供一套完整的进口单证。如进口产品发生质量、数量与进口合同不符，应协助甲方和乙方做好商检，并及时启动索赔程序，负责向有关责任人交涉及索赔，乙方和丙方应共同对进口产品的数量、质量等负责。</w:t>
      </w:r>
    </w:p>
    <w:p w14:paraId="7AC89CFF">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7.如由于丙方工作失误，造成进口货物不能及时清关而产生的海关滞报金，超期仓储费等额外费用由丙方自行承担。</w:t>
      </w:r>
    </w:p>
    <w:p w14:paraId="79E69EB8">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8.丙方应协助甲方完成海关等政府主管部门履行年检、抽检及其他相关工作并提供相关检查资料。</w:t>
      </w:r>
    </w:p>
    <w:p w14:paraId="18341E34">
      <w:pPr>
        <w:spacing w:line="360" w:lineRule="auto"/>
        <w:ind w:firstLine="456"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6"/>
          <w:sz w:val="24"/>
          <w:szCs w:val="24"/>
          <w:highlight w:val="none"/>
        </w:rPr>
        <w:t>9.</w:t>
      </w:r>
      <w:r>
        <w:rPr>
          <w:rFonts w:hint="eastAsia" w:asciiTheme="minorEastAsia" w:hAnsiTheme="minorEastAsia" w:eastAsiaTheme="minorEastAsia" w:cstheme="minorEastAsia"/>
          <w:color w:val="auto"/>
          <w:sz w:val="24"/>
          <w:szCs w:val="24"/>
          <w:highlight w:val="none"/>
        </w:rPr>
        <w:t>本合同与甲乙双方签订的</w:t>
      </w:r>
      <w:bookmarkStart w:id="113" w:name="_Hlk136279888"/>
      <w:r>
        <w:rPr>
          <w:rFonts w:hint="eastAsia" w:asciiTheme="minorEastAsia" w:hAnsiTheme="minorEastAsia" w:eastAsiaTheme="minorEastAsia" w:cstheme="minorEastAsia"/>
          <w:color w:val="auto"/>
          <w:sz w:val="24"/>
          <w:szCs w:val="24"/>
          <w:highlight w:val="none"/>
          <w:u w:val="single"/>
        </w:rPr>
        <w:t xml:space="preserve"> 项目编号的内容 </w:t>
      </w:r>
      <w:bookmarkEnd w:id="113"/>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val="en-US" w:eastAsia="zh-CN"/>
        </w:rPr>
        <w:t>进口货物买卖</w:t>
      </w:r>
      <w:r>
        <w:rPr>
          <w:rFonts w:hint="eastAsia" w:asciiTheme="minorEastAsia" w:hAnsiTheme="minorEastAsia" w:eastAsiaTheme="minorEastAsia" w:cstheme="minorEastAsia"/>
          <w:color w:val="auto"/>
          <w:sz w:val="24"/>
          <w:szCs w:val="24"/>
          <w:highlight w:val="none"/>
        </w:rPr>
        <w:t>合同》相关联，系同一标的物、同一货款。</w:t>
      </w:r>
    </w:p>
    <w:p w14:paraId="4CDC6C3C">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十、违约责任</w:t>
      </w:r>
    </w:p>
    <w:p w14:paraId="3FB44A4E">
      <w:pPr>
        <w:pStyle w:val="26"/>
        <w:spacing w:line="360" w:lineRule="auto"/>
        <w:ind w:firstLine="456" w:firstLineChars="200"/>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1.甲方无正当理由拒收货物的，甲方向乙方偿付拒收货款总值的百分之五违约金。</w:t>
      </w:r>
    </w:p>
    <w:p w14:paraId="7E37D46A">
      <w:pPr>
        <w:pStyle w:val="26"/>
        <w:spacing w:line="360" w:lineRule="auto"/>
        <w:ind w:firstLine="456" w:firstLineChars="200"/>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2.甲方无故逾期验收和办理货款支付手续的,甲方应按逾期付款总额每日万分之五向乙方支付违约金。</w:t>
      </w:r>
    </w:p>
    <w:p w14:paraId="2DB6CEC2">
      <w:pPr>
        <w:pStyle w:val="26"/>
        <w:spacing w:line="360" w:lineRule="auto"/>
        <w:ind w:firstLine="456" w:firstLineChars="200"/>
        <w:rPr>
          <w:rFonts w:hint="eastAsia" w:asciiTheme="minorEastAsia" w:hAnsiTheme="minorEastAsia" w:eastAsiaTheme="minorEastAsia" w:cstheme="minorEastAsia"/>
          <w:color w:val="auto"/>
          <w:spacing w:val="-6"/>
          <w:kern w:val="2"/>
          <w:sz w:val="24"/>
          <w:szCs w:val="24"/>
          <w:highlight w:val="none"/>
        </w:rPr>
      </w:pPr>
      <w:r>
        <w:rPr>
          <w:rFonts w:hint="eastAsia" w:asciiTheme="minorEastAsia" w:hAnsiTheme="minorEastAsia" w:eastAsiaTheme="minorEastAsia" w:cstheme="minorEastAsia"/>
          <w:color w:val="auto"/>
          <w:spacing w:val="-6"/>
          <w:kern w:val="2"/>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值20%的违约金，如造成甲方损失超过违约金的，超出部分由乙方继续承担赔偿责任。</w:t>
      </w:r>
    </w:p>
    <w:p w14:paraId="1FEF091E">
      <w:pPr>
        <w:pStyle w:val="26"/>
        <w:spacing w:line="360" w:lineRule="auto"/>
        <w:ind w:firstLine="456"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kern w:val="2"/>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w:t>
      </w:r>
      <w:r>
        <w:rPr>
          <w:rFonts w:hint="eastAsia" w:asciiTheme="minorEastAsia" w:hAnsiTheme="minorEastAsia" w:eastAsiaTheme="minorEastAsia" w:cstheme="minorEastAsia"/>
          <w:color w:val="auto"/>
          <w:sz w:val="24"/>
          <w:szCs w:val="24"/>
          <w:highlight w:val="none"/>
        </w:rPr>
        <w:t>如造成甲方的损失超过违约金的，乙方理应继续承担赔偿责任。</w:t>
      </w:r>
    </w:p>
    <w:p w14:paraId="61897D82">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5.丙方如违反本合同约定，应支付甲方合同总价20%的违约金，如造成甲方损失超过违约金的，由乙方、丙方继续赔偿。</w:t>
      </w:r>
    </w:p>
    <w:p w14:paraId="12FF55FB">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十一、不可抗力</w:t>
      </w:r>
    </w:p>
    <w:p w14:paraId="5DBFA73A">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1.在合同有效期内，任何一方因不可抗力事件导致不能履行合同，则合同履行期可延长，其延长期与不可抗力影响期相同。</w:t>
      </w:r>
    </w:p>
    <w:p w14:paraId="68503C2E">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2.不可抗力事件发生后，应立即通知对方，并寄送有关权威机构出具的证明。</w:t>
      </w:r>
    </w:p>
    <w:p w14:paraId="6540B57B">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3.不可抗力事件延续60天以上，双方应通过友好协商，确定是否继续履行合同。</w:t>
      </w:r>
    </w:p>
    <w:p w14:paraId="429A9F73">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十二、争议解决</w:t>
      </w:r>
    </w:p>
    <w:p w14:paraId="3C97A0EF">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本合同未尽事宜由三方协商解决，并签订必要的书面协议。如协商不成，向甲方所在地人民法院提起诉讼。</w:t>
      </w:r>
    </w:p>
    <w:p w14:paraId="0D4AF0AD">
      <w:pPr>
        <w:pStyle w:val="44"/>
        <w:numPr>
          <w:ilvl w:val="0"/>
          <w:numId w:val="0"/>
        </w:numPr>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十三、合同生效</w:t>
      </w:r>
    </w:p>
    <w:p w14:paraId="701B5D4B">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1.合同经甲、乙、丙三方签订后生效。</w:t>
      </w:r>
    </w:p>
    <w:p w14:paraId="04C52029">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2.合同执行中涉及采购资金和采购内容修改或补充的，须经三方认定，并签书面补充协议，作为主合同不可分割的一部分。</w:t>
      </w:r>
    </w:p>
    <w:p w14:paraId="3F5F6FE7">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3.本合同未尽事宜，遵照《民法典》及有关规定执行。</w:t>
      </w:r>
    </w:p>
    <w:p w14:paraId="48E7EA0F">
      <w:pPr>
        <w:spacing w:line="360" w:lineRule="auto"/>
        <w:ind w:firstLine="456" w:firstLineChars="200"/>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4.本合同一式柒份，甲方执伍份，乙方、丙方各执壹份。本项目未尽事宜以招标文件、投标文件及澄清文件等为准。</w:t>
      </w:r>
    </w:p>
    <w:p w14:paraId="0A2F5FF8">
      <w:pPr>
        <w:spacing w:line="360" w:lineRule="auto"/>
        <w:ind w:firstLine="458" w:firstLineChars="200"/>
        <w:rPr>
          <w:rFonts w:hint="eastAsia" w:asciiTheme="minorEastAsia" w:hAnsiTheme="minorEastAsia" w:eastAsiaTheme="minorEastAsia" w:cstheme="minorEastAsia"/>
          <w:b/>
          <w:color w:val="auto"/>
          <w:spacing w:val="-6"/>
          <w:sz w:val="24"/>
          <w:szCs w:val="24"/>
          <w:highlight w:val="none"/>
        </w:rPr>
      </w:pPr>
    </w:p>
    <w:p w14:paraId="0E04AEAE">
      <w:pPr>
        <w:spacing w:line="360" w:lineRule="auto"/>
        <w:ind w:firstLine="458" w:firstLineChars="200"/>
        <w:rPr>
          <w:rFonts w:hint="eastAsia" w:asciiTheme="minorEastAsia" w:hAnsiTheme="minorEastAsia" w:eastAsiaTheme="minorEastAsia" w:cstheme="minorEastAsia"/>
          <w:b/>
          <w:color w:val="auto"/>
          <w:spacing w:val="-6"/>
          <w:sz w:val="24"/>
          <w:szCs w:val="24"/>
          <w:highlight w:val="none"/>
        </w:rPr>
      </w:pPr>
    </w:p>
    <w:tbl>
      <w:tblPr>
        <w:tblStyle w:val="4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4781"/>
      </w:tblGrid>
      <w:tr w14:paraId="1918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433" w:type="dxa"/>
            <w:tcBorders>
              <w:top w:val="single" w:color="auto" w:sz="4" w:space="0"/>
              <w:left w:val="single" w:color="auto" w:sz="4" w:space="0"/>
              <w:bottom w:val="single" w:color="auto" w:sz="4" w:space="0"/>
              <w:right w:val="single" w:color="auto" w:sz="4" w:space="0"/>
            </w:tcBorders>
            <w:noWrap w:val="0"/>
            <w:vAlign w:val="center"/>
          </w:tcPr>
          <w:p w14:paraId="76A9C6B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B26ECD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乙方（公章）</w:t>
            </w:r>
          </w:p>
        </w:tc>
      </w:tr>
      <w:tr w14:paraId="758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433" w:type="dxa"/>
            <w:tcBorders>
              <w:top w:val="single" w:color="auto" w:sz="4" w:space="0"/>
              <w:left w:val="single" w:color="auto" w:sz="4" w:space="0"/>
              <w:bottom w:val="single" w:color="auto" w:sz="4" w:space="0"/>
              <w:right w:val="single" w:color="auto" w:sz="4" w:space="0"/>
            </w:tcBorders>
            <w:noWrap w:val="0"/>
            <w:vAlign w:val="center"/>
          </w:tcPr>
          <w:p w14:paraId="683E487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4A74BD7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47E862E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34F065F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p>
        </w:tc>
      </w:tr>
      <w:tr w14:paraId="74FB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tcBorders>
              <w:top w:val="single" w:color="auto" w:sz="4" w:space="0"/>
              <w:left w:val="single" w:color="auto" w:sz="4" w:space="0"/>
              <w:bottom w:val="single" w:color="auto" w:sz="4" w:space="0"/>
              <w:right w:val="single" w:color="auto" w:sz="4" w:space="0"/>
            </w:tcBorders>
            <w:noWrap w:val="0"/>
            <w:vAlign w:val="center"/>
          </w:tcPr>
          <w:p w14:paraId="48D33B2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63F9D35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r>
      <w:tr w14:paraId="415D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tcBorders>
              <w:top w:val="single" w:color="auto" w:sz="4" w:space="0"/>
              <w:left w:val="single" w:color="auto" w:sz="4" w:space="0"/>
              <w:bottom w:val="single" w:color="auto" w:sz="4" w:space="0"/>
              <w:right w:val="single" w:color="auto" w:sz="4" w:space="0"/>
            </w:tcBorders>
            <w:noWrap w:val="0"/>
            <w:vAlign w:val="center"/>
          </w:tcPr>
          <w:p w14:paraId="21EDE45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开户银行：建行台州市分行</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66C0638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r>
      <w:tr w14:paraId="607E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433" w:type="dxa"/>
            <w:tcBorders>
              <w:top w:val="single" w:color="auto" w:sz="4" w:space="0"/>
              <w:left w:val="single" w:color="auto" w:sz="4" w:space="0"/>
              <w:bottom w:val="single" w:color="auto" w:sz="4" w:space="0"/>
              <w:right w:val="single" w:color="auto" w:sz="4" w:space="0"/>
            </w:tcBorders>
            <w:noWrap w:val="0"/>
            <w:vAlign w:val="center"/>
          </w:tcPr>
          <w:p w14:paraId="604BEA7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账号：33050166350000000852</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115F12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r>
      <w:tr w14:paraId="777C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tcBorders>
              <w:top w:val="single" w:color="auto" w:sz="4" w:space="0"/>
              <w:left w:val="single" w:color="auto" w:sz="4" w:space="0"/>
              <w:bottom w:val="single" w:color="auto" w:sz="4" w:space="0"/>
              <w:right w:val="single" w:color="auto" w:sz="4" w:space="0"/>
            </w:tcBorders>
            <w:noWrap w:val="0"/>
            <w:vAlign w:val="center"/>
          </w:tcPr>
          <w:p w14:paraId="0CBADEE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地址：台州市椒江区市府大道1139号</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1D2E176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tc>
      </w:tr>
      <w:tr w14:paraId="73FD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tcBorders>
            <w:noWrap w:val="0"/>
            <w:vAlign w:val="top"/>
          </w:tcPr>
          <w:p w14:paraId="27BBB5C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tc>
      </w:tr>
      <w:tr w14:paraId="41AA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right w:val="single" w:color="auto" w:sz="4" w:space="0"/>
            </w:tcBorders>
            <w:noWrap w:val="0"/>
            <w:vAlign w:val="top"/>
          </w:tcPr>
          <w:p w14:paraId="1949772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丙方（公章）浙江省科学器材进出口有限责任公司</w:t>
            </w:r>
          </w:p>
        </w:tc>
      </w:tr>
      <w:tr w14:paraId="2484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right w:val="single" w:color="auto" w:sz="4" w:space="0"/>
            </w:tcBorders>
            <w:noWrap w:val="0"/>
            <w:vAlign w:val="center"/>
          </w:tcPr>
          <w:p w14:paraId="5C9A731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p w14:paraId="610E013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p>
        </w:tc>
      </w:tr>
      <w:tr w14:paraId="6164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14" w:type="dxa"/>
            <w:gridSpan w:val="2"/>
            <w:tcBorders>
              <w:top w:val="single" w:color="auto" w:sz="4" w:space="0"/>
              <w:left w:val="single" w:color="auto" w:sz="4" w:space="0"/>
              <w:bottom w:val="single" w:color="auto" w:sz="4" w:space="0"/>
              <w:right w:val="single" w:color="auto" w:sz="4" w:space="0"/>
            </w:tcBorders>
            <w:noWrap w:val="0"/>
            <w:vAlign w:val="top"/>
          </w:tcPr>
          <w:p w14:paraId="0174735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联系电话：0571-87967082</w:t>
            </w:r>
          </w:p>
        </w:tc>
      </w:tr>
      <w:tr w14:paraId="72C4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tcBorders>
            <w:noWrap w:val="0"/>
            <w:vAlign w:val="top"/>
          </w:tcPr>
          <w:p w14:paraId="3EA5DE4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开户银行：工行保俶支行</w:t>
            </w:r>
          </w:p>
        </w:tc>
      </w:tr>
      <w:tr w14:paraId="5FBC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tcBorders>
            <w:noWrap w:val="0"/>
            <w:vAlign w:val="top"/>
          </w:tcPr>
          <w:p w14:paraId="1619333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账号：1202022709006500176</w:t>
            </w:r>
          </w:p>
        </w:tc>
      </w:tr>
      <w:tr w14:paraId="091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4" w:space="0"/>
              <w:left w:val="single" w:color="auto" w:sz="4" w:space="0"/>
              <w:bottom w:val="single" w:color="auto" w:sz="4" w:space="0"/>
              <w:right w:val="single" w:color="auto" w:sz="4" w:space="0"/>
            </w:tcBorders>
            <w:noWrap w:val="0"/>
            <w:vAlign w:val="top"/>
          </w:tcPr>
          <w:p w14:paraId="433315E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地址：杭州市天目山路97号</w:t>
            </w:r>
          </w:p>
        </w:tc>
      </w:tr>
    </w:tbl>
    <w:p w14:paraId="0B6E613B">
      <w:pPr>
        <w:spacing w:line="360" w:lineRule="auto"/>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    月    日</w:t>
      </w:r>
    </w:p>
    <w:p w14:paraId="6CAB67D4">
      <w:pPr>
        <w:spacing w:line="360" w:lineRule="auto"/>
        <w:ind w:firstLine="480" w:firstLineChars="200"/>
        <w:rPr>
          <w:rFonts w:ascii="宋体" w:hAnsi="宋体" w:eastAsia="宋体" w:cs="宋体"/>
          <w:b/>
          <w:bCs/>
          <w:color w:val="auto"/>
          <w:sz w:val="32"/>
          <w:szCs w:val="32"/>
          <w:highlight w:val="none"/>
        </w:rPr>
      </w:pPr>
      <w:r>
        <w:rPr>
          <w:rFonts w:hint="eastAsia" w:asciiTheme="minorEastAsia" w:hAnsiTheme="minorEastAsia" w:eastAsiaTheme="minorEastAsia" w:cstheme="minorEastAsia"/>
          <w:color w:val="auto"/>
          <w:sz w:val="24"/>
          <w:szCs w:val="24"/>
          <w:highlight w:val="none"/>
        </w:rPr>
        <w:t xml:space="preserve">                       </w:t>
      </w:r>
      <w:bookmarkStart w:id="114" w:name="_Toc13438"/>
      <w:r>
        <w:rPr>
          <w:rFonts w:hint="eastAsia" w:ascii="宋体" w:hAnsi="宋体" w:eastAsia="宋体" w:cs="宋体"/>
          <w:b/>
          <w:color w:val="auto"/>
          <w:sz w:val="32"/>
          <w:szCs w:val="32"/>
          <w:highlight w:val="none"/>
        </w:rPr>
        <w:t xml:space="preserve">第七部分   </w:t>
      </w:r>
      <w:r>
        <w:rPr>
          <w:rFonts w:hint="eastAsia" w:ascii="宋体" w:hAnsi="宋体" w:eastAsia="宋体" w:cs="宋体"/>
          <w:b/>
          <w:bCs/>
          <w:color w:val="auto"/>
          <w:sz w:val="32"/>
          <w:szCs w:val="32"/>
          <w:highlight w:val="none"/>
        </w:rPr>
        <w:t>格式与表格</w:t>
      </w:r>
      <w:bookmarkEnd w:id="105"/>
      <w:bookmarkEnd w:id="114"/>
    </w:p>
    <w:p w14:paraId="01D315E3">
      <w:pPr>
        <w:widowControl w:val="0"/>
        <w:spacing w:after="120"/>
        <w:jc w:val="both"/>
        <w:rPr>
          <w:rFonts w:ascii="宋体" w:hAnsi="宋体" w:eastAsia="宋体" w:cs="宋体"/>
          <w:color w:val="auto"/>
          <w:kern w:val="2"/>
          <w:sz w:val="21"/>
          <w:szCs w:val="24"/>
          <w:highlight w:val="none"/>
          <w:lang w:val="en-US" w:eastAsia="zh-CN" w:bidi="ar-SA"/>
        </w:rPr>
      </w:pPr>
    </w:p>
    <w:p w14:paraId="02A547DD">
      <w:pPr>
        <w:shd w:val="clear" w:color="auto" w:fill="FFFFFF"/>
        <w:snapToGrid w:val="0"/>
        <w:spacing w:line="360" w:lineRule="auto"/>
        <w:jc w:val="center"/>
        <w:rPr>
          <w:rFonts w:ascii="宋体" w:hAnsi="宋体" w:eastAsia="宋体" w:cs="宋体"/>
          <w:b/>
          <w:bCs/>
          <w:color w:val="auto"/>
          <w:szCs w:val="21"/>
          <w:highlight w:val="none"/>
        </w:rPr>
      </w:pPr>
      <w:bookmarkStart w:id="115" w:name="_Toc2172"/>
      <w:bookmarkStart w:id="116" w:name="_Toc22871"/>
      <w:r>
        <w:rPr>
          <w:rFonts w:hint="eastAsia" w:ascii="宋体" w:hAnsi="宋体" w:eastAsia="宋体" w:cs="宋体"/>
          <w:color w:val="auto"/>
          <w:sz w:val="52"/>
          <w:szCs w:val="52"/>
          <w:highlight w:val="none"/>
        </w:rPr>
        <w:t>项目名称</w:t>
      </w:r>
      <w:bookmarkEnd w:id="115"/>
      <w:bookmarkEnd w:id="116"/>
    </w:p>
    <w:p w14:paraId="064A2839">
      <w:pPr>
        <w:spacing w:line="360" w:lineRule="auto"/>
        <w:ind w:firstLine="3596" w:firstLineChars="995"/>
        <w:jc w:val="left"/>
        <w:rPr>
          <w:rFonts w:ascii="宋体" w:hAnsi="宋体" w:eastAsia="宋体" w:cs="宋体"/>
          <w:color w:val="auto"/>
          <w:sz w:val="30"/>
          <w:szCs w:val="30"/>
          <w:highlight w:val="none"/>
        </w:rPr>
      </w:pPr>
      <w:r>
        <w:rPr>
          <w:rFonts w:hint="eastAsia" w:ascii="宋体" w:hAnsi="宋体" w:eastAsia="宋体" w:cs="宋体"/>
          <w:b/>
          <w:color w:val="auto"/>
          <w:sz w:val="36"/>
          <w:szCs w:val="36"/>
          <w:highlight w:val="none"/>
        </w:rPr>
        <w:t>项目编号：</w:t>
      </w:r>
    </w:p>
    <w:p w14:paraId="6812D467">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w:t>
      </w:r>
    </w:p>
    <w:p w14:paraId="1B6AD4B3">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标</w:t>
      </w:r>
    </w:p>
    <w:p w14:paraId="71629668">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文</w:t>
      </w:r>
    </w:p>
    <w:p w14:paraId="1415239F">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件</w:t>
      </w:r>
    </w:p>
    <w:p w14:paraId="6F3F5B46">
      <w:pPr>
        <w:spacing w:line="360" w:lineRule="auto"/>
        <w:jc w:val="center"/>
        <w:rPr>
          <w:rFonts w:ascii="宋体" w:hAnsi="宋体" w:eastAsia="宋体" w:cs="宋体"/>
          <w:color w:val="auto"/>
          <w:sz w:val="28"/>
          <w:szCs w:val="28"/>
          <w:highlight w:val="none"/>
        </w:rPr>
      </w:pPr>
    </w:p>
    <w:p w14:paraId="1E1C501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（资格证明文件）</w:t>
      </w:r>
    </w:p>
    <w:p w14:paraId="70613256">
      <w:pPr>
        <w:spacing w:line="360" w:lineRule="auto"/>
        <w:jc w:val="center"/>
        <w:rPr>
          <w:rFonts w:ascii="宋体" w:hAnsi="宋体" w:eastAsia="宋体" w:cs="宋体"/>
          <w:color w:val="auto"/>
          <w:sz w:val="32"/>
          <w:szCs w:val="32"/>
          <w:highlight w:val="none"/>
        </w:rPr>
      </w:pPr>
    </w:p>
    <w:p w14:paraId="7C060551">
      <w:pPr>
        <w:spacing w:line="360" w:lineRule="auto"/>
        <w:jc w:val="center"/>
        <w:rPr>
          <w:rFonts w:ascii="宋体" w:hAnsi="宋体" w:eastAsia="宋体" w:cs="宋体"/>
          <w:color w:val="auto"/>
          <w:sz w:val="32"/>
          <w:szCs w:val="32"/>
          <w:highlight w:val="none"/>
        </w:rPr>
      </w:pPr>
    </w:p>
    <w:p w14:paraId="3B46A6EF">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投标人名称（公章）：</w:t>
      </w:r>
    </w:p>
    <w:p w14:paraId="78B65185">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投标人地址：</w:t>
      </w:r>
    </w:p>
    <w:p w14:paraId="4BE143BE">
      <w:pPr>
        <w:widowControl w:val="0"/>
        <w:ind w:left="0" w:leftChars="0" w:firstLine="1440" w:firstLineChars="400"/>
        <w:jc w:val="both"/>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36"/>
          <w:szCs w:val="36"/>
          <w:highlight w:val="none"/>
          <w:lang w:val="en-US" w:eastAsia="zh-CN" w:bidi="ar-SA"/>
        </w:rPr>
        <w:t>时    间：</w:t>
      </w:r>
    </w:p>
    <w:p w14:paraId="3FA4807F">
      <w:pPr>
        <w:rPr>
          <w:rFonts w:ascii="宋体" w:hAnsi="宋体" w:eastAsia="宋体" w:cs="宋体"/>
          <w:color w:val="auto"/>
          <w:highlight w:val="none"/>
        </w:rPr>
      </w:pPr>
    </w:p>
    <w:p w14:paraId="4499593B">
      <w:pPr>
        <w:widowControl w:val="0"/>
        <w:spacing w:after="120"/>
        <w:jc w:val="both"/>
        <w:rPr>
          <w:rFonts w:ascii="宋体" w:hAnsi="宋体" w:eastAsia="宋体" w:cs="宋体"/>
          <w:color w:val="auto"/>
          <w:kern w:val="2"/>
          <w:sz w:val="21"/>
          <w:szCs w:val="24"/>
          <w:highlight w:val="none"/>
          <w:lang w:val="en-US" w:eastAsia="zh-CN" w:bidi="ar-SA"/>
        </w:rPr>
      </w:pPr>
    </w:p>
    <w:p w14:paraId="2ABBADB3">
      <w:pPr>
        <w:spacing w:line="360" w:lineRule="auto"/>
        <w:jc w:val="center"/>
        <w:rPr>
          <w:rFonts w:ascii="宋体" w:hAnsi="宋体" w:eastAsia="宋体" w:cs="宋体"/>
          <w:b/>
          <w:color w:val="auto"/>
          <w:sz w:val="44"/>
          <w:szCs w:val="44"/>
          <w:highlight w:val="none"/>
        </w:rPr>
      </w:pPr>
    </w:p>
    <w:p w14:paraId="67AA5857">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14055074">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7A7A266A">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目录</w:t>
      </w:r>
    </w:p>
    <w:p w14:paraId="559528AB">
      <w:pPr>
        <w:pStyle w:val="94"/>
        <w:spacing w:line="600" w:lineRule="auto"/>
        <w:ind w:firstLine="440"/>
        <w:jc w:val="left"/>
        <w:rPr>
          <w:rFonts w:hint="eastAsia"/>
          <w:color w:val="auto"/>
          <w:sz w:val="24"/>
          <w:szCs w:val="24"/>
          <w:highlight w:val="none"/>
        </w:rPr>
      </w:pPr>
      <w:r>
        <w:rPr>
          <w:rFonts w:hint="eastAsia"/>
          <w:color w:val="auto"/>
          <w:sz w:val="24"/>
          <w:szCs w:val="24"/>
          <w:highlight w:val="none"/>
        </w:rPr>
        <w:t>1、资格条件自查表………………………………………………………………（页码）</w:t>
      </w:r>
    </w:p>
    <w:p w14:paraId="56461717">
      <w:pPr>
        <w:pStyle w:val="94"/>
        <w:spacing w:line="600" w:lineRule="auto"/>
        <w:ind w:firstLine="440"/>
        <w:jc w:val="left"/>
        <w:rPr>
          <w:rFonts w:hint="eastAsia"/>
          <w:color w:val="auto"/>
          <w:sz w:val="24"/>
          <w:szCs w:val="24"/>
          <w:highlight w:val="none"/>
        </w:rPr>
      </w:pPr>
      <w:r>
        <w:rPr>
          <w:rFonts w:hint="eastAsia"/>
          <w:color w:val="auto"/>
          <w:sz w:val="24"/>
          <w:szCs w:val="24"/>
          <w:highlight w:val="none"/>
        </w:rPr>
        <w:t>2、有效的企业法人营业执照（或事业法人登记证）、其他组织（个体工商户）的营业执照或者民办非企业单位登记证书扫描件…………………………………………（页码）</w:t>
      </w:r>
    </w:p>
    <w:p w14:paraId="59F0A791">
      <w:pPr>
        <w:pStyle w:val="94"/>
        <w:spacing w:line="600" w:lineRule="auto"/>
        <w:ind w:firstLine="440"/>
        <w:jc w:val="left"/>
        <w:rPr>
          <w:rFonts w:hint="eastAsia"/>
          <w:color w:val="auto"/>
          <w:sz w:val="24"/>
          <w:szCs w:val="24"/>
          <w:highlight w:val="none"/>
        </w:rPr>
      </w:pPr>
      <w:r>
        <w:rPr>
          <w:rFonts w:hint="eastAsia"/>
          <w:color w:val="auto"/>
          <w:sz w:val="24"/>
          <w:szCs w:val="24"/>
          <w:highlight w:val="none"/>
        </w:rPr>
        <w:t>3、关于资格的承诺函………………………………………………………………（页码）</w:t>
      </w:r>
    </w:p>
    <w:p w14:paraId="7EE5CE95">
      <w:pPr>
        <w:pStyle w:val="94"/>
        <w:spacing w:line="600" w:lineRule="auto"/>
        <w:ind w:firstLine="440"/>
        <w:jc w:val="left"/>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、投标人认为需要提交的其他资格证明文件资料………………………………（页码）</w:t>
      </w:r>
    </w:p>
    <w:p w14:paraId="51332097">
      <w:pPr>
        <w:pStyle w:val="94"/>
        <w:spacing w:line="600" w:lineRule="auto"/>
        <w:ind w:firstLine="440"/>
        <w:jc w:val="left"/>
        <w:rPr>
          <w:rFonts w:hint="eastAsia"/>
          <w:color w:val="auto"/>
          <w:sz w:val="24"/>
          <w:szCs w:val="24"/>
          <w:highlight w:val="none"/>
        </w:rPr>
      </w:pPr>
      <w:r>
        <w:rPr>
          <w:rFonts w:hint="eastAsia"/>
          <w:color w:val="auto"/>
          <w:sz w:val="24"/>
          <w:szCs w:val="24"/>
          <w:highlight w:val="none"/>
        </w:rPr>
        <w:t>.....( 目录自行扩展)</w:t>
      </w:r>
    </w:p>
    <w:p w14:paraId="18553615">
      <w:pPr>
        <w:rPr>
          <w:rFonts w:ascii="宋体" w:hAnsi="宋体" w:eastAsia="宋体" w:cs="宋体"/>
          <w:color w:val="auto"/>
          <w:highlight w:val="none"/>
        </w:rPr>
      </w:pPr>
    </w:p>
    <w:p w14:paraId="7F87F939">
      <w:pPr>
        <w:spacing w:after="100" w:afterAutospacing="1"/>
        <w:jc w:val="center"/>
        <w:rPr>
          <w:rFonts w:ascii="宋体" w:hAnsi="宋体" w:cs="宋体"/>
          <w:b/>
          <w:color w:val="auto"/>
          <w:sz w:val="32"/>
          <w:szCs w:val="32"/>
          <w:highlight w:val="none"/>
        </w:rPr>
        <w:sectPr>
          <w:headerReference r:id="rId11" w:type="default"/>
          <w:footerReference r:id="rId12"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AEF1768">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一、资格条件自查表</w:t>
      </w:r>
    </w:p>
    <w:tbl>
      <w:tblPr>
        <w:tblStyle w:val="4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036"/>
        <w:gridCol w:w="1167"/>
        <w:gridCol w:w="2134"/>
      </w:tblGrid>
      <w:tr w14:paraId="0AF78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49" w:type="dxa"/>
            <w:vAlign w:val="center"/>
          </w:tcPr>
          <w:p w14:paraId="4161EF2F">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评审内容</w:t>
            </w:r>
          </w:p>
        </w:tc>
        <w:tc>
          <w:tcPr>
            <w:tcW w:w="5036" w:type="dxa"/>
            <w:vAlign w:val="center"/>
          </w:tcPr>
          <w:p w14:paraId="6521C865">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lang w:eastAsia="zh-CN"/>
              </w:rPr>
              <w:t>采购文件</w:t>
            </w:r>
            <w:r>
              <w:rPr>
                <w:rStyle w:val="50"/>
                <w:rFonts w:hint="eastAsia" w:ascii="Times New Roman" w:hAnsi="Times New Roman" w:cs="宋体"/>
                <w:color w:val="auto"/>
                <w:sz w:val="24"/>
                <w:szCs w:val="24"/>
                <w:highlight w:val="none"/>
              </w:rPr>
              <w:t>要求</w:t>
            </w:r>
          </w:p>
        </w:tc>
        <w:tc>
          <w:tcPr>
            <w:tcW w:w="1167" w:type="dxa"/>
            <w:vAlign w:val="center"/>
          </w:tcPr>
          <w:p w14:paraId="5C11C13A">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自查结论</w:t>
            </w:r>
          </w:p>
        </w:tc>
        <w:tc>
          <w:tcPr>
            <w:tcW w:w="2134" w:type="dxa"/>
            <w:vAlign w:val="center"/>
          </w:tcPr>
          <w:p w14:paraId="302EB58C">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Style w:val="50"/>
                <w:rFonts w:hint="eastAsia" w:ascii="Times New Roman" w:hAnsi="Times New Roman" w:cs="宋体"/>
                <w:color w:val="auto"/>
                <w:sz w:val="24"/>
                <w:szCs w:val="24"/>
                <w:highlight w:val="none"/>
              </w:rPr>
              <w:t>证明资料页码</w:t>
            </w:r>
          </w:p>
        </w:tc>
      </w:tr>
      <w:tr w14:paraId="24591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restart"/>
            <w:vAlign w:val="center"/>
          </w:tcPr>
          <w:p w14:paraId="5653AFEA">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资</w:t>
            </w:r>
          </w:p>
          <w:p w14:paraId="6390900D">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格</w:t>
            </w:r>
          </w:p>
          <w:p w14:paraId="3BF34014">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性</w:t>
            </w:r>
          </w:p>
          <w:p w14:paraId="7DEE14AE">
            <w:pPr>
              <w:pStyle w:val="325"/>
              <w:keepNext w:val="0"/>
              <w:keepLines w:val="0"/>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kern w:val="2"/>
                <w:sz w:val="24"/>
                <w:szCs w:val="24"/>
                <w:highlight w:val="none"/>
              </w:rPr>
            </w:pPr>
            <w:r>
              <w:rPr>
                <w:rFonts w:hint="eastAsia" w:ascii="Times New Roman" w:hAnsi="Times New Roman" w:cs="宋体"/>
                <w:b/>
                <w:color w:val="auto"/>
                <w:kern w:val="2"/>
                <w:sz w:val="24"/>
                <w:szCs w:val="24"/>
                <w:highlight w:val="none"/>
              </w:rPr>
              <w:t>审</w:t>
            </w:r>
          </w:p>
          <w:p w14:paraId="319C5A1D">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查</w:t>
            </w:r>
          </w:p>
        </w:tc>
        <w:tc>
          <w:tcPr>
            <w:tcW w:w="5036" w:type="dxa"/>
            <w:vAlign w:val="center"/>
          </w:tcPr>
          <w:p w14:paraId="5639CA99">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一、投标人具备《中华人民共和国政府采购法》第二十二条所规定的条件：</w:t>
            </w:r>
          </w:p>
        </w:tc>
        <w:tc>
          <w:tcPr>
            <w:tcW w:w="1167" w:type="dxa"/>
            <w:vMerge w:val="restart"/>
            <w:vAlign w:val="center"/>
          </w:tcPr>
          <w:p w14:paraId="021E350A">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5BE571DC">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0C4DEBB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w:t>
            </w:r>
          </w:p>
        </w:tc>
      </w:tr>
      <w:tr w14:paraId="43635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07F3725D">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p>
        </w:tc>
        <w:tc>
          <w:tcPr>
            <w:tcW w:w="5036" w:type="dxa"/>
            <w:vAlign w:val="center"/>
          </w:tcPr>
          <w:p w14:paraId="21771CEC">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1.关于资格的承诺函（格式见附件）</w:t>
            </w:r>
          </w:p>
        </w:tc>
        <w:tc>
          <w:tcPr>
            <w:tcW w:w="1167" w:type="dxa"/>
            <w:vMerge w:val="continue"/>
          </w:tcPr>
          <w:p w14:paraId="719D59FB">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
                <w:color w:val="auto"/>
                <w:sz w:val="24"/>
                <w:szCs w:val="24"/>
                <w:highlight w:val="none"/>
              </w:rPr>
            </w:pPr>
          </w:p>
        </w:tc>
        <w:tc>
          <w:tcPr>
            <w:tcW w:w="2134" w:type="dxa"/>
            <w:vAlign w:val="center"/>
          </w:tcPr>
          <w:p w14:paraId="3C91E0A1">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
                <w:color w:val="auto"/>
                <w:sz w:val="24"/>
                <w:szCs w:val="24"/>
                <w:highlight w:val="none"/>
              </w:rPr>
            </w:pPr>
            <w:r>
              <w:rPr>
                <w:rFonts w:hint="eastAsia" w:ascii="Times New Roman" w:hAnsi="Times New Roman" w:cs="宋体"/>
                <w:color w:val="auto"/>
                <w:sz w:val="24"/>
                <w:szCs w:val="24"/>
                <w:highlight w:val="none"/>
              </w:rPr>
              <w:t>第（ ）页-（  ）页</w:t>
            </w:r>
          </w:p>
        </w:tc>
      </w:tr>
      <w:tr w14:paraId="60DEE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5411AB42">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44E3E342">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bCs/>
                <w:color w:val="auto"/>
                <w:sz w:val="24"/>
                <w:szCs w:val="24"/>
                <w:highlight w:val="none"/>
              </w:rPr>
              <w:t>2.有效的企业法人营业执照（或事业法人登记证）、其他组织（个体工商户）的营业执照或者民办非企业单位登记证书复印件</w:t>
            </w:r>
            <w:r>
              <w:rPr>
                <w:rFonts w:hint="eastAsia" w:ascii="Times New Roman" w:hAnsi="Times New Roman" w:cs="宋体"/>
                <w:color w:val="auto"/>
                <w:sz w:val="24"/>
                <w:szCs w:val="24"/>
                <w:highlight w:val="none"/>
              </w:rPr>
              <w:t>。</w:t>
            </w:r>
          </w:p>
          <w:p w14:paraId="75924479">
            <w:pPr>
              <w:keepNext w:val="0"/>
              <w:keepLines w:val="0"/>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（投标人如果有名称变更的，应提供由行政主管部门出具的变更证明文件。）</w:t>
            </w:r>
          </w:p>
        </w:tc>
        <w:tc>
          <w:tcPr>
            <w:tcW w:w="1167" w:type="dxa"/>
            <w:vMerge w:val="continue"/>
          </w:tcPr>
          <w:p w14:paraId="0759CC93">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2134" w:type="dxa"/>
            <w:vAlign w:val="center"/>
          </w:tcPr>
          <w:p w14:paraId="1B09C533">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第（ ）页-（  ）页</w:t>
            </w:r>
          </w:p>
        </w:tc>
      </w:tr>
      <w:tr w14:paraId="62209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6227C256">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2A574625">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二、</w:t>
            </w:r>
            <w:r>
              <w:rPr>
                <w:rFonts w:hint="eastAsia" w:ascii="Times New Roman" w:hAnsi="Times New Roman" w:cs="宋体"/>
                <w:color w:val="auto"/>
                <w:sz w:val="24"/>
                <w:szCs w:val="24"/>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14:paraId="712AB84E">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0EED716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4623AFE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bCs/>
                <w:color w:val="auto"/>
                <w:sz w:val="24"/>
                <w:szCs w:val="24"/>
                <w:highlight w:val="none"/>
                <w:u w:val="single"/>
              </w:rPr>
            </w:pPr>
            <w:r>
              <w:rPr>
                <w:rFonts w:hint="eastAsia" w:ascii="Times New Roman" w:hAnsi="Times New Roman" w:cs="宋体"/>
                <w:bCs/>
                <w:color w:val="auto"/>
                <w:sz w:val="24"/>
                <w:szCs w:val="24"/>
                <w:highlight w:val="none"/>
              </w:rPr>
              <w:t xml:space="preserve">信用记录 </w:t>
            </w:r>
            <w:r>
              <w:rPr>
                <w:rFonts w:hint="eastAsia" w:ascii="Times New Roman" w:hAnsi="Times New Roman" w:cs="宋体"/>
                <w:bCs/>
                <w:color w:val="auto"/>
                <w:sz w:val="24"/>
                <w:szCs w:val="24"/>
                <w:highlight w:val="none"/>
                <w:u w:val="single"/>
              </w:rPr>
              <w:t>是/否</w:t>
            </w:r>
            <w:r>
              <w:rPr>
                <w:rFonts w:hint="eastAsia" w:ascii="Times New Roman" w:hAnsi="Times New Roman" w:cs="宋体"/>
                <w:bCs/>
                <w:color w:val="auto"/>
                <w:sz w:val="24"/>
                <w:szCs w:val="24"/>
                <w:highlight w:val="none"/>
              </w:rPr>
              <w:t xml:space="preserve"> 已失效，如失效，证明材料详见</w:t>
            </w:r>
            <w:r>
              <w:rPr>
                <w:rFonts w:hint="eastAsia" w:ascii="Times New Roman" w:hAnsi="Times New Roman" w:cs="宋体"/>
                <w:color w:val="auto"/>
                <w:sz w:val="24"/>
                <w:szCs w:val="24"/>
                <w:highlight w:val="none"/>
              </w:rPr>
              <w:t>第（ ）页-（  ）页</w:t>
            </w:r>
          </w:p>
        </w:tc>
      </w:tr>
      <w:tr w14:paraId="311D3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6905ECC0">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2358737E">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eastAsia="宋体" w:cs="宋体"/>
                <w:color w:val="auto"/>
                <w:sz w:val="24"/>
                <w:szCs w:val="24"/>
                <w:highlight w:val="none"/>
                <w:lang w:eastAsia="zh-CN"/>
              </w:rPr>
              <w:t>三</w:t>
            </w:r>
            <w:r>
              <w:rPr>
                <w:rFonts w:hint="eastAsia" w:ascii="Times New Roman" w:hAnsi="Times New Roman" w:eastAsia="宋体" w:cs="宋体"/>
                <w:color w:val="auto"/>
                <w:sz w:val="24"/>
                <w:szCs w:val="24"/>
                <w:highlight w:val="none"/>
              </w:rPr>
              <w:t>、本项目</w:t>
            </w:r>
            <w:r>
              <w:rPr>
                <w:rFonts w:hint="eastAsia" w:ascii="Times New Roman" w:hAnsi="Times New Roman" w:eastAsia="宋体" w:cs="宋体"/>
                <w:color w:val="auto"/>
                <w:sz w:val="24"/>
                <w:szCs w:val="24"/>
                <w:highlight w:val="none"/>
                <w:lang w:eastAsia="zh-CN"/>
              </w:rPr>
              <w:t>不</w:t>
            </w:r>
            <w:r>
              <w:rPr>
                <w:rFonts w:hint="eastAsia" w:ascii="Times New Roman" w:hAnsi="Times New Roman" w:eastAsia="宋体" w:cs="宋体"/>
                <w:color w:val="auto"/>
                <w:sz w:val="24"/>
                <w:szCs w:val="24"/>
                <w:highlight w:val="none"/>
              </w:rPr>
              <w:t>接受联合体投标。</w:t>
            </w:r>
          </w:p>
        </w:tc>
        <w:tc>
          <w:tcPr>
            <w:tcW w:w="1167" w:type="dxa"/>
            <w:vAlign w:val="center"/>
          </w:tcPr>
          <w:p w14:paraId="13537847">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0439E48F">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3C01EE3B">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66751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87B02F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bCs/>
                <w:color w:val="auto"/>
                <w:sz w:val="24"/>
                <w:szCs w:val="24"/>
                <w:highlight w:val="none"/>
              </w:rPr>
            </w:pPr>
          </w:p>
        </w:tc>
        <w:tc>
          <w:tcPr>
            <w:tcW w:w="5036" w:type="dxa"/>
            <w:vAlign w:val="center"/>
          </w:tcPr>
          <w:p w14:paraId="322D1B44">
            <w:pPr>
              <w:keepNext w:val="0"/>
              <w:keepLines w:val="0"/>
              <w:widowControl/>
              <w:suppressLineNumbers w:val="0"/>
              <w:adjustRightInd w:val="0"/>
              <w:spacing w:before="0" w:beforeAutospacing="0" w:after="0" w:afterAutospacing="0" w:line="400" w:lineRule="exact"/>
              <w:ind w:left="0" w:right="0"/>
              <w:contextualSpacing/>
              <w:rPr>
                <w:rFonts w:hint="default" w:ascii="Times New Roman" w:hAnsi="Times New Roman" w:cs="宋体"/>
                <w:bCs/>
                <w:color w:val="auto"/>
                <w:sz w:val="24"/>
                <w:szCs w:val="24"/>
                <w:highlight w:val="none"/>
              </w:rPr>
            </w:pPr>
            <w:r>
              <w:rPr>
                <w:rFonts w:hint="eastAsia" w:ascii="Times New Roman" w:hAnsi="Times New Roman" w:eastAsia="宋体" w:cs="宋体"/>
                <w:color w:val="auto"/>
                <w:sz w:val="24"/>
                <w:szCs w:val="24"/>
                <w:highlight w:val="none"/>
                <w:lang w:eastAsia="zh-CN"/>
              </w:rPr>
              <w:t>四</w:t>
            </w:r>
            <w:r>
              <w:rPr>
                <w:rFonts w:hint="eastAsia" w:ascii="Times New Roman" w:hAnsi="Times New Roman" w:eastAsia="宋体" w:cs="宋体"/>
                <w:color w:val="auto"/>
                <w:sz w:val="24"/>
                <w:szCs w:val="24"/>
                <w:highlight w:val="none"/>
              </w:rPr>
              <w:t>、本项目不接受分包。</w:t>
            </w:r>
          </w:p>
        </w:tc>
        <w:tc>
          <w:tcPr>
            <w:tcW w:w="1167" w:type="dxa"/>
            <w:vAlign w:val="center"/>
          </w:tcPr>
          <w:p w14:paraId="077BC444">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 xml:space="preserve">□通过 </w:t>
            </w:r>
          </w:p>
          <w:p w14:paraId="32251FE6">
            <w:pPr>
              <w:keepNext w:val="0"/>
              <w:keepLines w:val="0"/>
              <w:widowControl/>
              <w:suppressLineNumbers w:val="0"/>
              <w:adjustRightInd w:val="0"/>
              <w:spacing w:before="0" w:beforeAutospacing="0" w:after="0" w:afterAutospacing="0" w:line="320" w:lineRule="exact"/>
              <w:ind w:left="0" w:right="0"/>
              <w:contextualSpacing/>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□不通过</w:t>
            </w:r>
          </w:p>
        </w:tc>
        <w:tc>
          <w:tcPr>
            <w:tcW w:w="2134" w:type="dxa"/>
            <w:vAlign w:val="center"/>
          </w:tcPr>
          <w:p w14:paraId="55458110">
            <w:pPr>
              <w:keepNext w:val="0"/>
              <w:keepLines w:val="0"/>
              <w:widowControl/>
              <w:suppressLineNumbers w:val="0"/>
              <w:adjustRightInd w:val="0"/>
              <w:spacing w:before="0" w:beforeAutospacing="0" w:after="0" w:afterAutospacing="0" w:line="320" w:lineRule="exact"/>
              <w:ind w:left="0" w:right="0"/>
              <w:contextualSpacing/>
              <w:jc w:val="center"/>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bl>
    <w:p w14:paraId="033690ED">
      <w:pPr>
        <w:pStyle w:val="21"/>
        <w:tabs>
          <w:tab w:val="left" w:pos="4185"/>
        </w:tabs>
        <w:spacing w:line="600" w:lineRule="auto"/>
        <w:ind w:leftChars="2300" w:firstLine="0"/>
        <w:contextualSpacing/>
        <w:jc w:val="left"/>
        <w:rPr>
          <w:rFonts w:hint="eastAsia" w:ascii="Times New Roman" w:hAnsi="Times New Roman" w:eastAsia="宋体"/>
          <w:color w:val="auto"/>
          <w:sz w:val="21"/>
          <w:szCs w:val="21"/>
          <w:highlight w:val="none"/>
        </w:rPr>
      </w:pPr>
    </w:p>
    <w:p w14:paraId="3568E962">
      <w:pPr>
        <w:pStyle w:val="21"/>
        <w:tabs>
          <w:tab w:val="left" w:pos="4185"/>
        </w:tabs>
        <w:spacing w:line="720" w:lineRule="auto"/>
        <w:ind w:leftChars="2300" w:firstLine="0"/>
        <w:contextualSpacing/>
        <w:jc w:val="left"/>
        <w:rPr>
          <w:rFonts w:ascii="Times New Roman" w:hAnsi="Times New Roman" w:eastAsia="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eastAsia="宋体"/>
          <w:color w:val="auto"/>
          <w:sz w:val="24"/>
          <w:szCs w:val="24"/>
          <w:highlight w:val="none"/>
        </w:rPr>
        <w:t>（盖章）：</w:t>
      </w:r>
    </w:p>
    <w:p w14:paraId="14CE3543">
      <w:pPr>
        <w:pStyle w:val="21"/>
        <w:tabs>
          <w:tab w:val="left" w:pos="4185"/>
        </w:tabs>
        <w:spacing w:line="720" w:lineRule="auto"/>
        <w:ind w:leftChars="2300" w:firstLine="0"/>
        <w:contextualSpacing/>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eastAsia="zh-CN"/>
        </w:rPr>
        <w:t>法定代表人</w:t>
      </w:r>
      <w:r>
        <w:rPr>
          <w:rFonts w:hint="eastAsia" w:ascii="Times New Roman" w:hAnsi="Times New Roman" w:eastAsia="宋体"/>
          <w:color w:val="auto"/>
          <w:sz w:val="24"/>
          <w:szCs w:val="24"/>
          <w:highlight w:val="none"/>
        </w:rPr>
        <w:t>或授权代表人（签字或盖章）：</w:t>
      </w:r>
    </w:p>
    <w:p w14:paraId="45DE0AF4">
      <w:pPr>
        <w:pStyle w:val="21"/>
        <w:spacing w:line="720" w:lineRule="auto"/>
        <w:ind w:leftChars="2300"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日期：     年  月  日</w:t>
      </w:r>
    </w:p>
    <w:p w14:paraId="725714A5">
      <w:pPr>
        <w:spacing w:after="100" w:afterAutospacing="1"/>
        <w:jc w:val="center"/>
        <w:rPr>
          <w:rFonts w:hint="eastAsia" w:asciiTheme="minorEastAsia" w:hAnsiTheme="minorEastAsia"/>
          <w:b/>
          <w:color w:val="auto"/>
          <w:sz w:val="32"/>
          <w:szCs w:val="32"/>
          <w:highlight w:val="none"/>
        </w:rPr>
      </w:pPr>
      <w:r>
        <w:rPr>
          <w:rFonts w:ascii="Times New Roman" w:hAnsi="Times New Roman" w:eastAsia="宋体"/>
          <w:b/>
          <w:color w:val="auto"/>
          <w:sz w:val="18"/>
          <w:szCs w:val="18"/>
          <w:highlight w:val="none"/>
        </w:rPr>
        <w:br w:type="page"/>
      </w:r>
      <w:r>
        <w:rPr>
          <w:rFonts w:hint="eastAsia" w:asciiTheme="minorEastAsia" w:hAnsiTheme="minorEastAsia"/>
          <w:b/>
          <w:color w:val="auto"/>
          <w:sz w:val="32"/>
          <w:szCs w:val="32"/>
          <w:highlight w:val="none"/>
        </w:rPr>
        <w:t>二、有效的企业法人营业执照（或事业法人登记证）、其他组织（个体工商户）的营业执照或者民办非企业单位登记证书扫描件</w:t>
      </w:r>
    </w:p>
    <w:p w14:paraId="11BFEE43">
      <w:pPr>
        <w:spacing w:line="500" w:lineRule="exact"/>
        <w:jc w:val="left"/>
        <w:rPr>
          <w:rFonts w:hint="eastAsia" w:asciiTheme="minorEastAsia" w:hAnsiTheme="minorEastAsia"/>
          <w:b/>
          <w:color w:val="auto"/>
          <w:szCs w:val="21"/>
          <w:highlight w:val="none"/>
          <w:u w:val="single"/>
        </w:rPr>
      </w:pPr>
    </w:p>
    <w:p w14:paraId="0B243E9C">
      <w:pPr>
        <w:spacing w:line="500" w:lineRule="exact"/>
        <w:jc w:val="left"/>
        <w:rPr>
          <w:rFonts w:hint="eastAsia" w:asciiTheme="minorEastAsia" w:hAnsiTheme="minorEastAsia"/>
          <w:b/>
          <w:color w:val="auto"/>
          <w:szCs w:val="21"/>
          <w:highlight w:val="none"/>
          <w:u w:val="single"/>
        </w:rPr>
      </w:pPr>
    </w:p>
    <w:p w14:paraId="088297FA">
      <w:pPr>
        <w:spacing w:line="500" w:lineRule="exact"/>
        <w:jc w:val="left"/>
        <w:rPr>
          <w:rFonts w:hint="eastAsia" w:asciiTheme="minorEastAsia" w:hAnsiTheme="minorEastAsia"/>
          <w:b/>
          <w:color w:val="auto"/>
          <w:szCs w:val="21"/>
          <w:highlight w:val="none"/>
          <w:u w:val="single"/>
        </w:rPr>
      </w:pPr>
    </w:p>
    <w:p w14:paraId="150D193B">
      <w:pPr>
        <w:spacing w:line="500" w:lineRule="exact"/>
        <w:jc w:val="left"/>
        <w:rPr>
          <w:rFonts w:hint="eastAsia" w:asciiTheme="minorEastAsia" w:hAnsiTheme="minorEastAsia"/>
          <w:b/>
          <w:color w:val="auto"/>
          <w:szCs w:val="21"/>
          <w:highlight w:val="none"/>
          <w:u w:val="single"/>
        </w:rPr>
      </w:pPr>
    </w:p>
    <w:p w14:paraId="328DA3E2">
      <w:pPr>
        <w:spacing w:line="500" w:lineRule="exact"/>
        <w:jc w:val="left"/>
        <w:rPr>
          <w:rFonts w:hint="eastAsia" w:asciiTheme="minorEastAsia" w:hAnsiTheme="minorEastAsia"/>
          <w:b/>
          <w:color w:val="auto"/>
          <w:szCs w:val="21"/>
          <w:highlight w:val="none"/>
          <w:u w:val="single"/>
        </w:rPr>
      </w:pPr>
    </w:p>
    <w:p w14:paraId="7ED4D875">
      <w:pPr>
        <w:spacing w:line="500" w:lineRule="exact"/>
        <w:jc w:val="left"/>
        <w:rPr>
          <w:rFonts w:hint="eastAsia" w:asciiTheme="minorEastAsia" w:hAnsiTheme="minorEastAsia"/>
          <w:b/>
          <w:color w:val="auto"/>
          <w:szCs w:val="21"/>
          <w:highlight w:val="none"/>
          <w:u w:val="single"/>
        </w:rPr>
      </w:pPr>
    </w:p>
    <w:p w14:paraId="46810C05">
      <w:pPr>
        <w:spacing w:line="500" w:lineRule="exact"/>
        <w:jc w:val="left"/>
        <w:rPr>
          <w:rFonts w:hint="eastAsia" w:asciiTheme="minorEastAsia" w:hAnsiTheme="minorEastAsia"/>
          <w:b/>
          <w:color w:val="auto"/>
          <w:szCs w:val="21"/>
          <w:highlight w:val="none"/>
          <w:u w:val="single"/>
        </w:rPr>
      </w:pPr>
    </w:p>
    <w:p w14:paraId="5FB6FE0C">
      <w:pPr>
        <w:spacing w:line="500" w:lineRule="exact"/>
        <w:jc w:val="left"/>
        <w:rPr>
          <w:rFonts w:hint="eastAsia" w:asciiTheme="minorEastAsia" w:hAnsiTheme="minorEastAsia"/>
          <w:b/>
          <w:color w:val="auto"/>
          <w:szCs w:val="21"/>
          <w:highlight w:val="none"/>
          <w:u w:val="single"/>
        </w:rPr>
      </w:pPr>
    </w:p>
    <w:p w14:paraId="0A3CF139">
      <w:pPr>
        <w:spacing w:line="500" w:lineRule="exact"/>
        <w:jc w:val="left"/>
        <w:rPr>
          <w:rFonts w:hint="eastAsia" w:asciiTheme="minorEastAsia" w:hAnsiTheme="minorEastAsia"/>
          <w:b/>
          <w:color w:val="auto"/>
          <w:szCs w:val="21"/>
          <w:highlight w:val="none"/>
          <w:u w:val="single"/>
        </w:rPr>
      </w:pPr>
    </w:p>
    <w:p w14:paraId="5EFEC988">
      <w:pPr>
        <w:spacing w:line="500" w:lineRule="exact"/>
        <w:jc w:val="left"/>
        <w:rPr>
          <w:rFonts w:hint="eastAsia" w:asciiTheme="minorEastAsia" w:hAnsiTheme="minorEastAsia"/>
          <w:b/>
          <w:color w:val="auto"/>
          <w:szCs w:val="21"/>
          <w:highlight w:val="none"/>
          <w:u w:val="single"/>
        </w:rPr>
      </w:pPr>
    </w:p>
    <w:p w14:paraId="6F865E97">
      <w:pPr>
        <w:spacing w:line="500" w:lineRule="exact"/>
        <w:jc w:val="left"/>
        <w:rPr>
          <w:rFonts w:hint="eastAsia" w:asciiTheme="minorEastAsia" w:hAnsiTheme="minorEastAsia"/>
          <w:b/>
          <w:color w:val="auto"/>
          <w:szCs w:val="21"/>
          <w:highlight w:val="none"/>
          <w:u w:val="single"/>
        </w:rPr>
      </w:pPr>
    </w:p>
    <w:p w14:paraId="10E7AE2F">
      <w:pPr>
        <w:spacing w:line="500" w:lineRule="exact"/>
        <w:jc w:val="left"/>
        <w:rPr>
          <w:rFonts w:hint="eastAsia" w:asciiTheme="minorEastAsia" w:hAnsiTheme="minorEastAsia"/>
          <w:b/>
          <w:color w:val="auto"/>
          <w:szCs w:val="21"/>
          <w:highlight w:val="none"/>
          <w:u w:val="single"/>
        </w:rPr>
      </w:pPr>
    </w:p>
    <w:p w14:paraId="23120722">
      <w:pPr>
        <w:spacing w:line="500" w:lineRule="exact"/>
        <w:jc w:val="left"/>
        <w:rPr>
          <w:rFonts w:hint="eastAsia" w:asciiTheme="minorEastAsia" w:hAnsiTheme="minorEastAsia"/>
          <w:b/>
          <w:color w:val="auto"/>
          <w:szCs w:val="21"/>
          <w:highlight w:val="none"/>
          <w:u w:val="single"/>
        </w:rPr>
      </w:pPr>
    </w:p>
    <w:p w14:paraId="05A876D3">
      <w:pPr>
        <w:spacing w:line="500" w:lineRule="exact"/>
        <w:jc w:val="left"/>
        <w:rPr>
          <w:rFonts w:hint="eastAsia" w:asciiTheme="minorEastAsia" w:hAnsiTheme="minorEastAsia"/>
          <w:b/>
          <w:color w:val="auto"/>
          <w:szCs w:val="21"/>
          <w:highlight w:val="none"/>
          <w:u w:val="single"/>
        </w:rPr>
      </w:pPr>
    </w:p>
    <w:p w14:paraId="2AE33D78">
      <w:pPr>
        <w:spacing w:line="500" w:lineRule="exact"/>
        <w:jc w:val="left"/>
        <w:rPr>
          <w:rFonts w:hint="eastAsia" w:asciiTheme="minorEastAsia" w:hAnsiTheme="minorEastAsia"/>
          <w:b/>
          <w:color w:val="auto"/>
          <w:szCs w:val="21"/>
          <w:highlight w:val="none"/>
          <w:u w:val="single"/>
        </w:rPr>
      </w:pPr>
    </w:p>
    <w:p w14:paraId="6AB9DCA3">
      <w:pPr>
        <w:spacing w:line="500" w:lineRule="exact"/>
        <w:jc w:val="left"/>
        <w:rPr>
          <w:rFonts w:hint="eastAsia" w:asciiTheme="minorEastAsia" w:hAnsiTheme="minorEastAsia"/>
          <w:b/>
          <w:color w:val="auto"/>
          <w:szCs w:val="21"/>
          <w:highlight w:val="none"/>
          <w:u w:val="single"/>
        </w:rPr>
      </w:pPr>
    </w:p>
    <w:p w14:paraId="77525452">
      <w:pPr>
        <w:spacing w:line="500" w:lineRule="exact"/>
        <w:jc w:val="left"/>
        <w:rPr>
          <w:rFonts w:hint="eastAsia" w:asciiTheme="minorEastAsia" w:hAnsiTheme="minorEastAsia"/>
          <w:b/>
          <w:color w:val="auto"/>
          <w:szCs w:val="21"/>
          <w:highlight w:val="none"/>
          <w:u w:val="single"/>
        </w:rPr>
      </w:pPr>
    </w:p>
    <w:p w14:paraId="2C79B857">
      <w:pPr>
        <w:spacing w:after="100" w:afterAutospacing="1"/>
        <w:jc w:val="center"/>
        <w:rPr>
          <w:rFonts w:hint="eastAsia" w:asciiTheme="minorEastAsia" w:hAnsiTheme="minorEastAsia"/>
          <w:b/>
          <w:color w:val="auto"/>
          <w:sz w:val="32"/>
          <w:szCs w:val="32"/>
          <w:highlight w:val="none"/>
        </w:rPr>
      </w:pPr>
    </w:p>
    <w:p w14:paraId="54A1A078">
      <w:pPr>
        <w:spacing w:after="100" w:afterAutospacing="1"/>
        <w:jc w:val="center"/>
        <w:rPr>
          <w:rFonts w:hint="eastAsia" w:asciiTheme="minorEastAsia" w:hAnsiTheme="minorEastAsia"/>
          <w:b/>
          <w:color w:val="auto"/>
          <w:sz w:val="32"/>
          <w:szCs w:val="32"/>
          <w:highlight w:val="none"/>
        </w:rPr>
      </w:pPr>
    </w:p>
    <w:p w14:paraId="579604A4">
      <w:pPr>
        <w:spacing w:after="100" w:afterAutospacing="1"/>
        <w:jc w:val="center"/>
        <w:rPr>
          <w:rFonts w:hint="eastAsia" w:asciiTheme="minorEastAsia" w:hAnsiTheme="minorEastAsia"/>
          <w:b/>
          <w:color w:val="auto"/>
          <w:sz w:val="32"/>
          <w:szCs w:val="32"/>
          <w:highlight w:val="none"/>
        </w:rPr>
      </w:pPr>
    </w:p>
    <w:p w14:paraId="313CFABE">
      <w:pPr>
        <w:spacing w:after="100" w:afterAutospacing="1"/>
        <w:jc w:val="center"/>
        <w:rPr>
          <w:rFonts w:hint="eastAsia" w:asciiTheme="minorEastAsia" w:hAnsiTheme="minorEastAsia"/>
          <w:b/>
          <w:color w:val="auto"/>
          <w:sz w:val="32"/>
          <w:szCs w:val="32"/>
          <w:highlight w:val="none"/>
        </w:rPr>
      </w:pPr>
    </w:p>
    <w:p w14:paraId="0B6C2BD6">
      <w:pPr>
        <w:spacing w:after="100" w:afterAutospacing="1"/>
        <w:jc w:val="center"/>
        <w:rPr>
          <w:rFonts w:hint="eastAsia" w:asciiTheme="minorEastAsia" w:hAnsiTheme="minorEastAsia"/>
          <w:b/>
          <w:color w:val="auto"/>
          <w:sz w:val="32"/>
          <w:szCs w:val="32"/>
          <w:highlight w:val="none"/>
        </w:rPr>
      </w:pPr>
    </w:p>
    <w:p w14:paraId="4FDA57EE">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三、关于资格的承诺函</w:t>
      </w:r>
    </w:p>
    <w:p w14:paraId="066C1F3B">
      <w:pPr>
        <w:spacing w:line="480" w:lineRule="auto"/>
        <w:contextualSpacing/>
        <w:rPr>
          <w:rFonts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致：中冠工程管理咨询有限公司</w:t>
      </w:r>
    </w:p>
    <w:p w14:paraId="7CF6BEC5">
      <w:pPr>
        <w:snapToGrid w:val="0"/>
        <w:spacing w:before="156" w:beforeLines="50" w:line="480" w:lineRule="auto"/>
        <w:ind w:firstLine="484" w:firstLineChars="202"/>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关于</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kern w:val="28"/>
          <w:sz w:val="24"/>
          <w:szCs w:val="24"/>
          <w:highlight w:val="none"/>
          <w:u w:val="single"/>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项目（项目编号：</w:t>
      </w:r>
      <w:r>
        <w:rPr>
          <w:rFonts w:hint="eastAsia" w:ascii="Times New Roman" w:hAnsi="Times New Roman" w:cs="宋体"/>
          <w:color w:val="auto"/>
          <w:sz w:val="24"/>
          <w:szCs w:val="24"/>
          <w:highlight w:val="none"/>
          <w:u w:val="single"/>
        </w:rPr>
        <w:t>　　　</w:t>
      </w:r>
      <w:r>
        <w:rPr>
          <w:rFonts w:hint="eastAsia" w:ascii="Times New Roman" w:hAnsi="Times New Roman" w:cs="宋体"/>
          <w:color w:val="auto"/>
          <w:sz w:val="24"/>
          <w:szCs w:val="24"/>
          <w:highlight w:val="none"/>
        </w:rPr>
        <w:t>），我方愿意参加投标，并声明：</w:t>
      </w:r>
    </w:p>
    <w:p w14:paraId="21018F71">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1、我方具备《中华人民共和国政府采购法》第二十二条规定资格条件：</w:t>
      </w:r>
    </w:p>
    <w:p w14:paraId="53E8AFE6">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bCs/>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20B10032">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2、我方的单位负责人与所参投的本采购项目的其他投标人的单位负责人不为同一人且与其他投标人之间不存在直接控股、管理关系。</w:t>
      </w:r>
    </w:p>
    <w:p w14:paraId="41613862">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3、我方不是本采购项目提供整体设计、规范编制或者项目管理、监理、检测等服务的供应商。</w:t>
      </w:r>
    </w:p>
    <w:p w14:paraId="49BCE69C">
      <w:pPr>
        <w:snapToGrid w:val="0"/>
        <w:spacing w:line="480" w:lineRule="auto"/>
        <w:ind w:firstLine="480" w:firstLineChars="200"/>
        <w:rPr>
          <w:rFonts w:ascii="Times New Roman" w:hAnsi="Times New Roman" w:cs="宋体"/>
          <w:bCs/>
          <w:color w:val="auto"/>
          <w:sz w:val="24"/>
          <w:szCs w:val="24"/>
          <w:highlight w:val="none"/>
        </w:rPr>
      </w:pPr>
      <w:r>
        <w:rPr>
          <w:rFonts w:hint="eastAsia" w:ascii="Times New Roman" w:hAnsi="Times New Roman" w:cs="宋体"/>
          <w:color w:val="auto"/>
          <w:sz w:val="24"/>
          <w:szCs w:val="24"/>
          <w:highlight w:val="none"/>
        </w:rPr>
        <w:t>4、我方</w:t>
      </w:r>
      <w:r>
        <w:rPr>
          <w:rFonts w:hint="eastAsia" w:ascii="Times New Roman" w:hAnsi="Times New Roman" w:cs="宋体"/>
          <w:bCs/>
          <w:color w:val="auto"/>
          <w:sz w:val="24"/>
          <w:szCs w:val="24"/>
          <w:highlight w:val="none"/>
        </w:rPr>
        <w:t>未被“信用中国”（www.creditchina.gov.cn)、中国政府采购网（www.ccgp.gov.cn）列入失信被执行人、重大税收违法失信主体、政府采购严重违法失信行为记录名单。</w:t>
      </w:r>
    </w:p>
    <w:p w14:paraId="6EE7D4CC">
      <w:pPr>
        <w:snapToGrid w:val="0"/>
        <w:spacing w:line="480" w:lineRule="auto"/>
        <w:ind w:firstLine="480" w:firstLineChars="200"/>
        <w:rPr>
          <w:rFonts w:ascii="Times New Roman" w:hAnsi="Times New Roman" w:cs="宋体"/>
          <w:color w:val="auto"/>
          <w:sz w:val="24"/>
          <w:szCs w:val="24"/>
          <w:highlight w:val="none"/>
        </w:rPr>
      </w:pPr>
      <w:r>
        <w:rPr>
          <w:rFonts w:hint="eastAsia" w:ascii="Times New Roman" w:hAnsi="Times New Roman" w:cs="宋体"/>
          <w:bCs/>
          <w:color w:val="auto"/>
          <w:sz w:val="24"/>
          <w:szCs w:val="24"/>
          <w:highlight w:val="none"/>
        </w:rPr>
        <w:t>我方对上述声明的真实性负责。</w:t>
      </w:r>
      <w:r>
        <w:rPr>
          <w:rFonts w:hint="eastAsia" w:ascii="Times New Roman" w:hAnsi="Times New Roman" w:cs="宋体"/>
          <w:color w:val="auto"/>
          <w:sz w:val="24"/>
          <w:szCs w:val="24"/>
          <w:highlight w:val="none"/>
        </w:rPr>
        <w:t>本次招标采购活动中，如有违法、违规、弄虚作假行为，所造成的损失、不良后果及法律责任，一律由我方承担。</w:t>
      </w:r>
    </w:p>
    <w:p w14:paraId="4EDB860D">
      <w:pPr>
        <w:spacing w:line="360" w:lineRule="auto"/>
        <w:rPr>
          <w:rFonts w:ascii="Times New Roman" w:hAnsi="Times New Roman" w:cs="宋体"/>
          <w:b/>
          <w:color w:val="auto"/>
          <w:sz w:val="24"/>
          <w:szCs w:val="24"/>
          <w:highlight w:val="none"/>
        </w:rPr>
      </w:pPr>
    </w:p>
    <w:p w14:paraId="56B288F2">
      <w:pPr>
        <w:spacing w:line="360" w:lineRule="auto"/>
        <w:ind w:firstLine="420"/>
        <w:rPr>
          <w:rFonts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特此声明！</w:t>
      </w:r>
    </w:p>
    <w:p w14:paraId="1A3C9F28">
      <w:pPr>
        <w:spacing w:line="360" w:lineRule="auto"/>
        <w:outlineLvl w:val="1"/>
        <w:rPr>
          <w:rFonts w:ascii="Times New Roman" w:hAnsi="Times New Roman" w:cs="宋体"/>
          <w:b/>
          <w:color w:val="auto"/>
          <w:sz w:val="24"/>
          <w:szCs w:val="24"/>
          <w:highlight w:val="none"/>
        </w:rPr>
      </w:pPr>
    </w:p>
    <w:p w14:paraId="22B282F2">
      <w:pPr>
        <w:spacing w:line="360" w:lineRule="auto"/>
        <w:contextualSpacing/>
        <w:outlineLvl w:val="1"/>
        <w:rPr>
          <w:rFonts w:ascii="Times New Roman" w:hAnsi="Times New Roman"/>
          <w:color w:val="auto"/>
          <w:sz w:val="24"/>
          <w:szCs w:val="24"/>
          <w:highlight w:val="none"/>
        </w:rPr>
      </w:pPr>
    </w:p>
    <w:p w14:paraId="35564758">
      <w:pPr>
        <w:spacing w:line="600" w:lineRule="auto"/>
        <w:ind w:left="4620" w:leftChars="2200"/>
        <w:contextualSpacing/>
        <w:outlineLvl w:val="1"/>
        <w:rPr>
          <w:rFonts w:ascii="Times New Roman" w:hAnsi="Times New Roman"/>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imes New Roman" w:hAnsi="Times New Roman"/>
          <w:color w:val="auto"/>
          <w:sz w:val="24"/>
          <w:szCs w:val="24"/>
          <w:highlight w:val="none"/>
        </w:rPr>
        <w:t>（盖章）：</w:t>
      </w:r>
    </w:p>
    <w:p w14:paraId="49FBD51B">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eastAsia="zh-CN"/>
        </w:rPr>
        <w:t>法定代表人</w:t>
      </w:r>
      <w:r>
        <w:rPr>
          <w:rFonts w:hint="eastAsia" w:ascii="Times New Roman" w:hAnsi="Times New Roman"/>
          <w:color w:val="auto"/>
          <w:sz w:val="24"/>
          <w:szCs w:val="24"/>
          <w:highlight w:val="none"/>
        </w:rPr>
        <w:t>或授权代表人（签字或盖章）：</w:t>
      </w:r>
    </w:p>
    <w:p w14:paraId="5D2B5A5A">
      <w:pPr>
        <w:spacing w:line="600" w:lineRule="auto"/>
        <w:ind w:left="4620" w:leftChars="2200"/>
        <w:contextualSpacing/>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63361DF6">
      <w:pPr>
        <w:spacing w:line="500" w:lineRule="exact"/>
        <w:jc w:val="left"/>
        <w:rPr>
          <w:rFonts w:hint="eastAsia" w:asciiTheme="minorEastAsia" w:hAnsiTheme="minorEastAsia"/>
          <w:b/>
          <w:color w:val="auto"/>
          <w:szCs w:val="21"/>
          <w:highlight w:val="none"/>
          <w:u w:val="single"/>
        </w:rPr>
      </w:pPr>
      <w:r>
        <w:rPr>
          <w:rFonts w:ascii="Times New Roman" w:hAnsi="Times New Roman" w:eastAsia="宋体"/>
          <w:color w:val="auto"/>
          <w:sz w:val="24"/>
          <w:szCs w:val="24"/>
          <w:highlight w:val="none"/>
        </w:rPr>
        <w:br w:type="page"/>
      </w:r>
    </w:p>
    <w:p w14:paraId="13FF7D11">
      <w:pPr>
        <w:pageBreakBefore/>
        <w:spacing w:line="360" w:lineRule="auto"/>
        <w:ind w:right="-108"/>
        <w:jc w:val="center"/>
        <w:outlineLvl w:val="0"/>
        <w:rPr>
          <w:rFonts w:ascii="宋体" w:hAnsi="宋体" w:eastAsia="宋体" w:cs="宋体"/>
          <w:color w:val="auto"/>
          <w:spacing w:val="40"/>
          <w:sz w:val="52"/>
          <w:szCs w:val="52"/>
          <w:highlight w:val="none"/>
        </w:rPr>
      </w:pPr>
      <w:bookmarkStart w:id="117" w:name="_Toc24755"/>
      <w:bookmarkStart w:id="118" w:name="_Toc29941"/>
      <w:bookmarkStart w:id="119" w:name="_Toc22836"/>
      <w:bookmarkStart w:id="120" w:name="_Toc30629"/>
      <w:bookmarkStart w:id="121" w:name="_Toc12630"/>
      <w:bookmarkStart w:id="122" w:name="_Toc17190"/>
      <w:bookmarkStart w:id="123" w:name="_Toc4606"/>
      <w:bookmarkStart w:id="124" w:name="_Toc11790"/>
      <w:bookmarkStart w:id="125" w:name="_Toc5348"/>
      <w:bookmarkStart w:id="126" w:name="_Toc24215"/>
      <w:r>
        <w:rPr>
          <w:rFonts w:hint="eastAsia" w:ascii="宋体" w:hAnsi="宋体" w:eastAsia="宋体" w:cs="宋体"/>
          <w:color w:val="auto"/>
          <w:spacing w:val="40"/>
          <w:sz w:val="52"/>
          <w:szCs w:val="52"/>
          <w:highlight w:val="none"/>
        </w:rPr>
        <w:t>项目名称</w:t>
      </w:r>
      <w:bookmarkEnd w:id="117"/>
      <w:bookmarkEnd w:id="118"/>
      <w:bookmarkEnd w:id="119"/>
      <w:bookmarkEnd w:id="120"/>
      <w:bookmarkEnd w:id="121"/>
      <w:bookmarkEnd w:id="122"/>
      <w:bookmarkEnd w:id="123"/>
      <w:bookmarkEnd w:id="124"/>
      <w:bookmarkEnd w:id="125"/>
      <w:bookmarkEnd w:id="126"/>
    </w:p>
    <w:p w14:paraId="1498D2D9">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16D7E56D">
      <w:pPr>
        <w:spacing w:beforeLines="100"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51DFD368">
      <w:pPr>
        <w:autoSpaceDE w:val="0"/>
        <w:autoSpaceDN w:val="0"/>
        <w:adjustRightInd w:val="0"/>
        <w:spacing w:line="360" w:lineRule="auto"/>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33551F90">
      <w:pPr>
        <w:autoSpaceDE w:val="0"/>
        <w:autoSpaceDN w:val="0"/>
        <w:adjustRightInd w:val="0"/>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31A983CD">
      <w:pPr>
        <w:spacing w:after="100" w:afterAutospacing="1"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F06ECC9">
      <w:pPr>
        <w:spacing w:after="100" w:afterAutospacing="1" w:line="360" w:lineRule="auto"/>
        <w:ind w:right="-108"/>
        <w:jc w:val="center"/>
        <w:rPr>
          <w:rFonts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188FA0A7">
      <w:pPr>
        <w:spacing w:line="480" w:lineRule="auto"/>
        <w:ind w:right="532" w:firstLine="720" w:firstLineChars="200"/>
        <w:rPr>
          <w:rFonts w:ascii="宋体" w:hAnsi="宋体" w:eastAsia="宋体" w:cs="宋体"/>
          <w:color w:val="auto"/>
          <w:sz w:val="36"/>
          <w:szCs w:val="36"/>
          <w:highlight w:val="none"/>
        </w:rPr>
      </w:pPr>
    </w:p>
    <w:p w14:paraId="2A8C6A6C">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35BCD639">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62EFFBA3">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20D4419D">
      <w:pPr>
        <w:rPr>
          <w:rFonts w:ascii="宋体" w:hAnsi="宋体" w:eastAsia="宋体" w:cs="宋体"/>
          <w:color w:val="auto"/>
          <w:highlight w:val="none"/>
        </w:rPr>
      </w:pPr>
    </w:p>
    <w:p w14:paraId="423ED1D1">
      <w:pPr>
        <w:widowControl w:val="0"/>
        <w:spacing w:after="120"/>
        <w:jc w:val="both"/>
        <w:rPr>
          <w:rFonts w:ascii="宋体" w:hAnsi="宋体" w:eastAsia="宋体" w:cs="宋体"/>
          <w:color w:val="auto"/>
          <w:kern w:val="2"/>
          <w:sz w:val="21"/>
          <w:szCs w:val="24"/>
          <w:highlight w:val="none"/>
          <w:lang w:val="en-US" w:eastAsia="zh-CN" w:bidi="ar-SA"/>
        </w:rPr>
      </w:pPr>
    </w:p>
    <w:p w14:paraId="01757116">
      <w:pPr>
        <w:widowControl w:val="0"/>
        <w:ind w:left="2940" w:leftChars="1400"/>
        <w:jc w:val="both"/>
        <w:rPr>
          <w:rFonts w:ascii="宋体" w:hAnsi="宋体" w:eastAsia="宋体" w:cs="宋体"/>
          <w:color w:val="auto"/>
          <w:kern w:val="2"/>
          <w:sz w:val="21"/>
          <w:szCs w:val="24"/>
          <w:highlight w:val="none"/>
          <w:lang w:val="en-US" w:eastAsia="zh-CN" w:bidi="ar-SA"/>
        </w:rPr>
      </w:pPr>
    </w:p>
    <w:p w14:paraId="13F0591C">
      <w:pPr>
        <w:rPr>
          <w:rFonts w:ascii="宋体" w:hAnsi="宋体" w:eastAsia="宋体" w:cs="宋体"/>
          <w:b/>
          <w:color w:val="auto"/>
          <w:sz w:val="44"/>
          <w:szCs w:val="44"/>
          <w:highlight w:val="none"/>
        </w:rPr>
      </w:pPr>
    </w:p>
    <w:p w14:paraId="207BB31E">
      <w:pPr>
        <w:jc w:val="center"/>
        <w:rPr>
          <w:rFonts w:ascii="宋体" w:hAnsi="宋体" w:cs="宋体"/>
          <w:b/>
          <w:color w:val="auto"/>
          <w:sz w:val="44"/>
          <w:szCs w:val="44"/>
          <w:highlight w:val="none"/>
        </w:rPr>
        <w:sectPr>
          <w:footerReference r:id="rId13"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F74360">
      <w:pPr>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商务技术文件</w:t>
      </w:r>
    </w:p>
    <w:p w14:paraId="52DEBFF5">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2ECF5F8A">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1、商务技术自评表…………………………………………………………………………（页码）</w:t>
      </w:r>
    </w:p>
    <w:p w14:paraId="2FEAD4A0">
      <w:pPr>
        <w:spacing w:line="48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供应商基本情况表…………………………………………………………………………（页码）</w:t>
      </w:r>
    </w:p>
    <w:p w14:paraId="18DE964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授权委托书或法定代表人身份证明………………………………………………………（页码）</w:t>
      </w:r>
    </w:p>
    <w:p w14:paraId="13D223CF">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、证书一览表………………………………………………………………………………（页码）</w:t>
      </w:r>
    </w:p>
    <w:p w14:paraId="24A33B37">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、技术</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79F9B98D">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w:t>
      </w:r>
      <w:r>
        <w:rPr>
          <w:rFonts w:hint="eastAsia"/>
          <w:color w:val="auto"/>
          <w:sz w:val="24"/>
          <w:szCs w:val="24"/>
          <w:highlight w:val="none"/>
          <w:lang w:eastAsia="zh-CN"/>
        </w:rPr>
        <w:t>条款</w:t>
      </w:r>
      <w:r>
        <w:rPr>
          <w:rFonts w:hint="eastAsia" w:ascii="宋体" w:hAnsi="宋体" w:eastAsia="宋体" w:cs="宋体"/>
          <w:color w:val="auto"/>
          <w:sz w:val="24"/>
          <w:highlight w:val="none"/>
        </w:rPr>
        <w:t>偏离表……………………………………………………………………………（页码）</w:t>
      </w:r>
    </w:p>
    <w:p w14:paraId="470C1988">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、相关项目实施业绩一览表………………………………………………………………（页码）</w:t>
      </w:r>
    </w:p>
    <w:p w14:paraId="2B51AD89">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、评分标准或采购文件需要提供的其他技术商务材料…………………………………（页码）</w:t>
      </w:r>
    </w:p>
    <w:p w14:paraId="205A9D31">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认为有必要提供的其他</w:t>
      </w:r>
      <w:r>
        <w:rPr>
          <w:rFonts w:hint="eastAsia" w:ascii="宋体" w:hAnsi="宋体" w:cs="宋体"/>
          <w:color w:val="auto"/>
          <w:sz w:val="24"/>
          <w:highlight w:val="none"/>
          <w:lang w:eastAsia="zh-CN"/>
        </w:rPr>
        <w:t>商务技术文件</w:t>
      </w:r>
      <w:r>
        <w:rPr>
          <w:rFonts w:hint="eastAsia" w:ascii="宋体" w:hAnsi="宋体" w:eastAsia="宋体" w:cs="宋体"/>
          <w:color w:val="auto"/>
          <w:sz w:val="24"/>
          <w:highlight w:val="none"/>
        </w:rPr>
        <w:t>资料……………………………………（页码）</w:t>
      </w:r>
    </w:p>
    <w:p w14:paraId="04BBA738">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目录自行扩展)</w:t>
      </w:r>
    </w:p>
    <w:p w14:paraId="37062849">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6B90F4FF">
      <w:pPr>
        <w:ind w:left="0" w:leftChars="0" w:firstLine="0" w:firstLineChars="0"/>
        <w:rPr>
          <w:rFonts w:ascii="宋体" w:hAnsi="宋体" w:cs="宋体"/>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80C9D0">
      <w:pPr>
        <w:widowControl w:val="0"/>
        <w:ind w:left="2100" w:leftChars="1000"/>
        <w:jc w:val="both"/>
        <w:rPr>
          <w:rFonts w:ascii="宋体" w:hAnsi="宋体" w:eastAsia="宋体" w:cs="宋体"/>
          <w:color w:val="auto"/>
          <w:kern w:val="2"/>
          <w:sz w:val="21"/>
          <w:szCs w:val="24"/>
          <w:highlight w:val="none"/>
          <w:lang w:val="en-US" w:eastAsia="zh-CN" w:bidi="ar-SA"/>
        </w:rPr>
      </w:pPr>
    </w:p>
    <w:p w14:paraId="190D34E3">
      <w:pPr>
        <w:pStyle w:val="111"/>
        <w:numPr>
          <w:ilvl w:val="0"/>
          <w:numId w:val="7"/>
        </w:numPr>
        <w:spacing w:afterLines="50" w:line="360" w:lineRule="auto"/>
        <w:ind w:firstLineChars="0"/>
        <w:jc w:val="center"/>
        <w:outlineLvl w:val="0"/>
        <w:rPr>
          <w:rFonts w:ascii="宋体" w:hAnsi="宋体" w:eastAsia="宋体" w:cs="宋体"/>
          <w:b/>
          <w:color w:val="auto"/>
          <w:kern w:val="2"/>
          <w:sz w:val="32"/>
          <w:szCs w:val="32"/>
          <w:highlight w:val="none"/>
        </w:rPr>
      </w:pPr>
      <w:bookmarkStart w:id="127" w:name="_Toc28471"/>
      <w:bookmarkStart w:id="128" w:name="_Toc27040"/>
      <w:bookmarkStart w:id="129" w:name="_Toc20566"/>
      <w:bookmarkStart w:id="130" w:name="_Toc1427"/>
      <w:bookmarkStart w:id="131" w:name="_Toc4248"/>
      <w:bookmarkStart w:id="132" w:name="_Toc25635"/>
      <w:bookmarkStart w:id="133" w:name="_Toc10956"/>
      <w:bookmarkStart w:id="134" w:name="_Toc26107"/>
      <w:bookmarkStart w:id="135" w:name="_Toc13033"/>
      <w:bookmarkStart w:id="136" w:name="_Toc16737"/>
      <w:r>
        <w:rPr>
          <w:rFonts w:hint="eastAsia" w:ascii="宋体" w:hAnsi="宋体" w:eastAsia="宋体" w:cs="宋体"/>
          <w:b/>
          <w:color w:val="auto"/>
          <w:kern w:val="2"/>
          <w:sz w:val="32"/>
          <w:szCs w:val="32"/>
          <w:highlight w:val="none"/>
        </w:rPr>
        <w:t>商务技术自评表</w:t>
      </w:r>
      <w:bookmarkEnd w:id="127"/>
      <w:bookmarkEnd w:id="128"/>
      <w:bookmarkEnd w:id="129"/>
      <w:bookmarkEnd w:id="130"/>
      <w:bookmarkEnd w:id="131"/>
      <w:bookmarkEnd w:id="132"/>
      <w:bookmarkEnd w:id="133"/>
      <w:bookmarkEnd w:id="134"/>
      <w:bookmarkEnd w:id="135"/>
      <w:bookmarkEnd w:id="136"/>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28FC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FC46AB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312A3E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227664D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7E29FB3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650E832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投标文件对应页码</w:t>
            </w:r>
          </w:p>
        </w:tc>
      </w:tr>
      <w:tr w14:paraId="72CF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21D841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EDDB0C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3C90D9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521C89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7E8842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15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1821B0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947602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A2D934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F8CE6B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41EEA2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F1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FD81AD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FBDE41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24F334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0C5CF5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5906F3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9C9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DCAD2D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B6ED4B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68963D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309110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59EED4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59F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78A78F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D49DE9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43E8F0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DF3901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9F2AA9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3C6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7A0D71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072A41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8903EE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21F14F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9ACB5C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47E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81A67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87D62D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BF6B43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104009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6F84A7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0662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7D81EC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A8017F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02B77E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96DC5A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296761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C6A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B0611C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9474F7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DC2157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96FFB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AC733B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65F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03035A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507FA2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051A06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8FB8D5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86A7A0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7220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3171A4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8C4471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496079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FFB11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6DF4F3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bl>
    <w:p w14:paraId="09BA2819">
      <w:pPr>
        <w:spacing w:afterLines="50" w:line="360" w:lineRule="auto"/>
        <w:jc w:val="center"/>
        <w:outlineLvl w:val="0"/>
        <w:rPr>
          <w:rFonts w:ascii="宋体" w:hAnsi="宋体" w:cs="宋体"/>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3EBF0E">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bookmarkStart w:id="137" w:name="_Toc5952"/>
      <w:bookmarkStart w:id="138" w:name="_Toc2650"/>
      <w:bookmarkStart w:id="139" w:name="_Toc10969"/>
      <w:bookmarkStart w:id="140" w:name="_Toc25271"/>
      <w:bookmarkStart w:id="141" w:name="_Toc23521"/>
      <w:bookmarkStart w:id="142" w:name="_Toc29896"/>
      <w:bookmarkStart w:id="143" w:name="_Toc8155"/>
      <w:bookmarkStart w:id="144" w:name="_Toc15162"/>
    </w:p>
    <w:p w14:paraId="2DC365BD">
      <w:pPr>
        <w:spacing w:afterLines="50" w:line="360" w:lineRule="auto"/>
        <w:jc w:val="center"/>
        <w:outlineLvl w:val="0"/>
        <w:rPr>
          <w:rFonts w:ascii="宋体" w:hAnsi="宋体" w:eastAsia="宋体" w:cs="宋体"/>
          <w:b/>
          <w:color w:val="auto"/>
          <w:sz w:val="32"/>
          <w:szCs w:val="32"/>
          <w:highlight w:val="none"/>
        </w:rPr>
      </w:pPr>
      <w:bookmarkStart w:id="145" w:name="_Toc14611"/>
      <w:bookmarkStart w:id="146" w:name="_Toc15842"/>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、供应商基本情况表</w:t>
      </w:r>
      <w:bookmarkEnd w:id="145"/>
      <w:bookmarkEnd w:id="146"/>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6ED5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611" w:type="dxa"/>
            <w:vAlign w:val="center"/>
          </w:tcPr>
          <w:p w14:paraId="4C20AB1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39" w:type="dxa"/>
            <w:gridSpan w:val="3"/>
            <w:vAlign w:val="center"/>
          </w:tcPr>
          <w:p w14:paraId="2FF8EB0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04118B2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453" w:type="dxa"/>
            <w:vAlign w:val="center"/>
          </w:tcPr>
          <w:p w14:paraId="4A0AEBAD">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03C1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20E530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39" w:type="dxa"/>
            <w:gridSpan w:val="3"/>
            <w:vAlign w:val="center"/>
          </w:tcPr>
          <w:p w14:paraId="7A057A0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620044E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453" w:type="dxa"/>
            <w:vAlign w:val="center"/>
          </w:tcPr>
          <w:p w14:paraId="6EE5318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F4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A69955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39" w:type="dxa"/>
            <w:gridSpan w:val="3"/>
            <w:vAlign w:val="center"/>
          </w:tcPr>
          <w:p w14:paraId="6697DAE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7F7EBF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税务登记证号</w:t>
            </w:r>
          </w:p>
        </w:tc>
        <w:tc>
          <w:tcPr>
            <w:tcW w:w="2453" w:type="dxa"/>
            <w:vAlign w:val="center"/>
          </w:tcPr>
          <w:p w14:paraId="7A82904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31C8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6888D0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39" w:type="dxa"/>
            <w:gridSpan w:val="3"/>
            <w:vAlign w:val="center"/>
          </w:tcPr>
          <w:p w14:paraId="060F954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01EC36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453" w:type="dxa"/>
            <w:vAlign w:val="center"/>
          </w:tcPr>
          <w:p w14:paraId="7A68D89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D2E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03BD972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39" w:type="dxa"/>
            <w:gridSpan w:val="3"/>
            <w:vAlign w:val="center"/>
          </w:tcPr>
          <w:p w14:paraId="7AED1EB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7CCA88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453" w:type="dxa"/>
            <w:vAlign w:val="center"/>
          </w:tcPr>
          <w:p w14:paraId="6962A3A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3A3A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D6FE03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539" w:type="dxa"/>
            <w:gridSpan w:val="5"/>
            <w:vAlign w:val="center"/>
          </w:tcPr>
          <w:p w14:paraId="213D895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2E5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3B5031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539" w:type="dxa"/>
            <w:gridSpan w:val="5"/>
            <w:vAlign w:val="center"/>
          </w:tcPr>
          <w:p w14:paraId="70B49B6D">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共人，其中，高级职称人，中级职称人</w:t>
            </w:r>
          </w:p>
        </w:tc>
      </w:tr>
      <w:tr w14:paraId="727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479CDA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39" w:type="dxa"/>
            <w:gridSpan w:val="3"/>
            <w:vAlign w:val="center"/>
          </w:tcPr>
          <w:p w14:paraId="2A77982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B2918E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53" w:type="dxa"/>
            <w:vAlign w:val="center"/>
          </w:tcPr>
          <w:p w14:paraId="44E4B73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1E27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6C76A9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539" w:type="dxa"/>
            <w:gridSpan w:val="5"/>
            <w:vAlign w:val="center"/>
          </w:tcPr>
          <w:p w14:paraId="701E3438">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p w14:paraId="4BF093E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tc>
      </w:tr>
      <w:tr w14:paraId="51C9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7753671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04CA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2B7551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39" w:type="dxa"/>
            <w:gridSpan w:val="3"/>
            <w:vAlign w:val="center"/>
          </w:tcPr>
          <w:p w14:paraId="5EE3EA7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9FB36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453" w:type="dxa"/>
            <w:vAlign w:val="center"/>
          </w:tcPr>
          <w:p w14:paraId="52720E5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917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659BFD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15" w:type="dxa"/>
            <w:vAlign w:val="center"/>
          </w:tcPr>
          <w:p w14:paraId="6839C4D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1062" w:type="dxa"/>
            <w:vAlign w:val="center"/>
          </w:tcPr>
          <w:p w14:paraId="26AEF21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62" w:type="dxa"/>
            <w:vAlign w:val="center"/>
          </w:tcPr>
          <w:p w14:paraId="67A6C13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1BAA93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453" w:type="dxa"/>
            <w:vAlign w:val="center"/>
          </w:tcPr>
          <w:p w14:paraId="391C4F3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640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68AA9C8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2DE2491A">
      <w:pPr>
        <w:spacing w:beforeLines="50" w:line="360" w:lineRule="auto"/>
        <w:ind w:right="-227" w:rightChars="-10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兹证明上述声明是真实、正确的，并提供了全部能提供的资料和数据，我们同意遵照贵方要求出示有关证明文件。</w:t>
      </w:r>
    </w:p>
    <w:p w14:paraId="0FF0E8CF">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投标人名称（盖公章）：</w:t>
      </w:r>
    </w:p>
    <w:p w14:paraId="2A04AB18">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法定代表人或授权委托代理人（签字或盖章）：</w:t>
      </w:r>
    </w:p>
    <w:p w14:paraId="319B3D7F">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4935D5B1">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三、授权委托书或法定代表人身份证明</w:t>
      </w:r>
    </w:p>
    <w:p w14:paraId="364CEA07">
      <w:pPr>
        <w:kinsoku/>
        <w:overflowPunct/>
        <w:topLinePunct w:val="0"/>
        <w:bidi w:val="0"/>
        <w:spacing w:beforeAutospacing="0" w:afterAutospacing="0" w:line="440" w:lineRule="exact"/>
        <w:jc w:val="center"/>
        <w:rPr>
          <w:rFonts w:hint="eastAsia" w:ascii="仿宋" w:hAnsi="仿宋" w:eastAsia="仿宋" w:cs="仿宋"/>
          <w:b/>
          <w:color w:val="auto"/>
          <w:sz w:val="24"/>
          <w:szCs w:val="24"/>
          <w:highlight w:val="none"/>
        </w:rPr>
      </w:pPr>
    </w:p>
    <w:p w14:paraId="0D65AA48">
      <w:pPr>
        <w:kinsoku/>
        <w:overflowPunct/>
        <w:topLinePunct w:val="0"/>
        <w:bidi w:val="0"/>
        <w:snapToGrid w:val="0"/>
        <w:spacing w:beforeAutospacing="0" w:afterAutospacing="0" w:line="440" w:lineRule="exact"/>
        <w:ind w:firstLine="643" w:firstLineChars="20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32"/>
          <w:szCs w:val="32"/>
          <w:highlight w:val="none"/>
          <w:lang w:val="en-US" w:eastAsia="zh-CN" w:bidi="ar-SA"/>
        </w:rPr>
        <w:t>授权委托书(格式)</w:t>
      </w:r>
    </w:p>
    <w:p w14:paraId="5524D869">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32F59387">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（填写姓名）</w:t>
      </w:r>
      <w:r>
        <w:rPr>
          <w:rFonts w:hint="eastAsia" w:ascii="宋体" w:hAnsi="宋体" w:eastAsia="宋体" w:cs="宋体"/>
          <w:color w:val="auto"/>
          <w:sz w:val="24"/>
          <w:szCs w:val="24"/>
          <w:highlight w:val="none"/>
        </w:rPr>
        <w:t>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代理机构</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(项目编号)(项目名称)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131C2947">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0BB94368">
      <w:pPr>
        <w:keepNext w:val="0"/>
        <w:keepLines w:val="0"/>
        <w:pageBreakBefore w:val="0"/>
        <w:widowControl w:val="0"/>
        <w:kinsoku/>
        <w:wordWrap/>
        <w:overflowPunct/>
        <w:topLinePunct w:val="0"/>
        <w:autoSpaceDE/>
        <w:autoSpaceDN/>
        <w:bidi w:val="0"/>
        <w:adjustRightInd/>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7A36EE50">
      <w:pPr>
        <w:kinsoku/>
        <w:overflowPunct/>
        <w:topLinePunct w:val="0"/>
        <w:bidi w:val="0"/>
        <w:snapToGrid w:val="0"/>
        <w:spacing w:beforeAutospacing="0" w:afterAutospacing="0" w:line="440" w:lineRule="exact"/>
        <w:jc w:val="left"/>
        <w:rPr>
          <w:rFonts w:hint="eastAsia" w:ascii="宋体" w:hAnsi="宋体" w:eastAsia="宋体" w:cs="宋体"/>
          <w:color w:val="auto"/>
          <w:sz w:val="24"/>
          <w:szCs w:val="24"/>
          <w:highlight w:val="none"/>
        </w:rPr>
      </w:pPr>
    </w:p>
    <w:p w14:paraId="3DD0DE0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               年龄：</w:t>
      </w:r>
    </w:p>
    <w:p w14:paraId="1E801E5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6A502B75">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14:paraId="7F3050A1">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06E0DB6F">
      <w:pPr>
        <w:widowControl/>
        <w:kinsoku/>
        <w:overflowPunct/>
        <w:topLinePunct w:val="0"/>
        <w:bidi w:val="0"/>
        <w:snapToGrid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办公地址：                  联系电话：           传真：</w:t>
      </w:r>
    </w:p>
    <w:p w14:paraId="5EECAE3F">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4E864154">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55DFFB4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（电子签章）：</w:t>
      </w:r>
    </w:p>
    <w:p w14:paraId="73076028">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11AD432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15F29F82">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9DF2949">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6C5CECE9">
      <w:pPr>
        <w:kinsoku/>
        <w:overflowPunct/>
        <w:topLinePunct w:val="0"/>
        <w:bidi w:val="0"/>
        <w:spacing w:beforeAutospacing="0" w:afterAutospacing="0" w:line="440" w:lineRule="exact"/>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附：</w:t>
      </w:r>
      <w:r>
        <w:rPr>
          <w:rFonts w:hint="eastAsia" w:ascii="宋体" w:hAnsi="宋体" w:eastAsia="宋体" w:cs="宋体"/>
          <w:b/>
          <w:color w:val="auto"/>
          <w:sz w:val="30"/>
          <w:szCs w:val="30"/>
          <w:highlight w:val="none"/>
        </w:rPr>
        <w:t>法定代表人及其授权代表身份证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1870102B">
      <w:pPr>
        <w:kinsoku/>
        <w:overflowPunct/>
        <w:topLinePunct w:val="0"/>
        <w:bidi w:val="0"/>
        <w:spacing w:beforeAutospacing="0" w:afterAutospacing="0" w:line="440" w:lineRule="exact"/>
        <w:jc w:val="left"/>
        <w:rPr>
          <w:rFonts w:hint="eastAsia" w:ascii="仿宋" w:hAnsi="仿宋" w:eastAsia="仿宋" w:cs="仿宋"/>
          <w:b/>
          <w:color w:val="auto"/>
          <w:sz w:val="30"/>
          <w:szCs w:val="30"/>
          <w:highlight w:val="none"/>
        </w:rPr>
      </w:pPr>
    </w:p>
    <w:p w14:paraId="642D59EF">
      <w:pPr>
        <w:kinsoku/>
        <w:overflowPunct/>
        <w:topLinePunct w:val="0"/>
        <w:bidi w:val="0"/>
        <w:spacing w:beforeAutospacing="0" w:afterAutospacing="0" w:line="440" w:lineRule="exact"/>
        <w:jc w:val="center"/>
        <w:rPr>
          <w:rFonts w:hint="eastAsia" w:ascii="宋体" w:hAnsi="宋体" w:eastAsia="宋体" w:cs="宋体"/>
          <w:color w:val="auto"/>
          <w:sz w:val="24"/>
          <w:szCs w:val="24"/>
          <w:highlight w:val="none"/>
        </w:rPr>
      </w:pPr>
    </w:p>
    <w:p w14:paraId="60C781A7">
      <w:pPr>
        <w:kinsoku/>
        <w:overflowPunct/>
        <w:topLinePunct w:val="0"/>
        <w:bidi w:val="0"/>
        <w:spacing w:beforeAutospacing="0" w:afterAutospacing="0" w:line="440" w:lineRule="exact"/>
        <w:jc w:val="righ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日期：    年   月   日</w:t>
      </w:r>
    </w:p>
    <w:p w14:paraId="4BBB7028">
      <w:pPr>
        <w:keepNext w:val="0"/>
        <w:keepLines w:val="0"/>
        <w:pageBreakBefore/>
        <w:widowControl w:val="0"/>
        <w:kinsoku/>
        <w:wordWrap/>
        <w:overflowPunct/>
        <w:topLinePunct w:val="0"/>
        <w:autoSpaceDE/>
        <w:autoSpaceDN/>
        <w:bidi w:val="0"/>
        <w:adjustRightInd/>
        <w:snapToGrid/>
        <w:spacing w:after="120"/>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法定代表人身份证明(格式)</w:t>
      </w:r>
    </w:p>
    <w:p w14:paraId="58663F59">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4ADAF20B">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2956CB5C">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4C41DB18">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85D3F57">
      <w:pPr>
        <w:kinsoku/>
        <w:overflowPunct/>
        <w:topLinePunct w:val="0"/>
        <w:bidi w:val="0"/>
        <w:spacing w:beforeAutospacing="0" w:afterAutospacing="0" w:line="720" w:lineRule="auto"/>
        <w:ind w:right="281" w:rightChars="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06309B0C">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rPr>
        <w:t>的法定代表人。</w:t>
      </w:r>
    </w:p>
    <w:p w14:paraId="46C212E1">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010E13C">
      <w:pPr>
        <w:kinsoku/>
        <w:overflowPunct/>
        <w:topLinePunct w:val="0"/>
        <w:bidi w:val="0"/>
        <w:spacing w:beforeAutospacing="0" w:afterAutospacing="0" w:line="720" w:lineRule="auto"/>
        <w:rPr>
          <w:rFonts w:hint="eastAsia" w:ascii="宋体" w:hAnsi="宋体" w:eastAsia="宋体" w:cs="宋体"/>
          <w:color w:val="auto"/>
          <w:sz w:val="24"/>
          <w:szCs w:val="24"/>
          <w:highlight w:val="none"/>
        </w:rPr>
      </w:pPr>
    </w:p>
    <w:p w14:paraId="1453D17D">
      <w:pPr>
        <w:kinsoku/>
        <w:overflowPunct/>
        <w:topLinePunct w:val="0"/>
        <w:bidi w:val="0"/>
        <w:spacing w:beforeAutospacing="0" w:afterAutospacing="0" w:line="440" w:lineRule="exact"/>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 xml:space="preserve">（电子签章）：                             </w:t>
      </w:r>
    </w:p>
    <w:p w14:paraId="4D435F11">
      <w:pPr>
        <w:kinsoku/>
        <w:overflowPunct/>
        <w:topLinePunct w:val="0"/>
        <w:bidi w:val="0"/>
        <w:spacing w:beforeAutospacing="0" w:afterAutospacing="0" w:line="440" w:lineRule="exact"/>
        <w:ind w:right="480"/>
        <w:rPr>
          <w:rFonts w:hint="eastAsia" w:ascii="宋体" w:hAnsi="宋体" w:eastAsia="宋体" w:cs="宋体"/>
          <w:color w:val="auto"/>
          <w:sz w:val="24"/>
          <w:szCs w:val="24"/>
          <w:highlight w:val="none"/>
        </w:rPr>
      </w:pPr>
    </w:p>
    <w:p w14:paraId="20D73CCE">
      <w:pPr>
        <w:kinsoku/>
        <w:overflowPunct/>
        <w:topLinePunct w:val="0"/>
        <w:bidi w:val="0"/>
        <w:spacing w:beforeAutospacing="0" w:afterAutospacing="0" w:line="440" w:lineRule="exact"/>
        <w:ind w:right="7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年   月   日</w:t>
      </w:r>
    </w:p>
    <w:p w14:paraId="17445172">
      <w:pPr>
        <w:rPr>
          <w:rFonts w:hint="eastAsia" w:ascii="宋体" w:hAnsi="宋体" w:eastAsia="宋体" w:cs="宋体"/>
          <w:b/>
          <w:color w:val="auto"/>
          <w:sz w:val="32"/>
          <w:szCs w:val="32"/>
          <w:highlight w:val="none"/>
        </w:rPr>
      </w:pPr>
      <w:r>
        <w:rPr>
          <w:rFonts w:hint="eastAsia" w:ascii="宋体" w:hAnsi="宋体" w:cs="宋体"/>
          <w:b/>
          <w:color w:val="auto"/>
          <w:sz w:val="30"/>
          <w:szCs w:val="30"/>
          <w:highlight w:val="none"/>
          <w:lang w:eastAsia="zh-CN"/>
        </w:rPr>
        <w:t>附：</w:t>
      </w:r>
      <w:r>
        <w:rPr>
          <w:rFonts w:hint="eastAsia" w:ascii="宋体" w:hAnsi="宋体" w:eastAsia="宋体" w:cs="宋体"/>
          <w:b/>
          <w:color w:val="auto"/>
          <w:sz w:val="30"/>
          <w:szCs w:val="30"/>
          <w:highlight w:val="none"/>
        </w:rPr>
        <w:t>法定代表人身份证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5CAFDAC5">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bookmarkEnd w:id="137"/>
    <w:bookmarkEnd w:id="138"/>
    <w:bookmarkEnd w:id="139"/>
    <w:bookmarkEnd w:id="140"/>
    <w:bookmarkEnd w:id="141"/>
    <w:bookmarkEnd w:id="142"/>
    <w:bookmarkEnd w:id="143"/>
    <w:bookmarkEnd w:id="144"/>
    <w:p w14:paraId="2CDA039A">
      <w:pPr>
        <w:widowControl w:val="0"/>
        <w:spacing w:line="360" w:lineRule="auto"/>
        <w:jc w:val="center"/>
        <w:rPr>
          <w:rFonts w:ascii="宋体" w:hAnsi="宋体" w:eastAsia="宋体" w:cs="宋体"/>
          <w:b/>
          <w:color w:val="auto"/>
          <w:kern w:val="2"/>
          <w:sz w:val="32"/>
          <w:szCs w:val="32"/>
          <w:highlight w:val="none"/>
          <w:lang w:val="en-US" w:eastAsia="zh-CN" w:bidi="ar-SA"/>
        </w:rPr>
      </w:pPr>
      <w:bookmarkStart w:id="147" w:name="_Toc14297"/>
      <w:bookmarkStart w:id="148" w:name="_Toc5320"/>
      <w:bookmarkStart w:id="149" w:name="_Toc20172"/>
      <w:bookmarkStart w:id="150" w:name="_Toc11379"/>
      <w:bookmarkStart w:id="151" w:name="_Toc4427"/>
      <w:bookmarkStart w:id="152" w:name="_Toc5966"/>
      <w:r>
        <w:rPr>
          <w:rFonts w:hint="eastAsia" w:ascii="宋体" w:hAnsi="宋体" w:cs="宋体"/>
          <w:b/>
          <w:color w:val="auto"/>
          <w:kern w:val="2"/>
          <w:sz w:val="32"/>
          <w:szCs w:val="32"/>
          <w:highlight w:val="none"/>
          <w:lang w:val="en-US" w:eastAsia="zh-CN" w:bidi="ar-SA"/>
        </w:rPr>
        <w:t>四</w:t>
      </w:r>
      <w:r>
        <w:rPr>
          <w:rFonts w:hint="eastAsia" w:ascii="宋体" w:hAnsi="宋体" w:eastAsia="宋体" w:cs="宋体"/>
          <w:b/>
          <w:color w:val="auto"/>
          <w:kern w:val="2"/>
          <w:sz w:val="32"/>
          <w:szCs w:val="32"/>
          <w:highlight w:val="none"/>
          <w:lang w:val="en-US" w:eastAsia="zh-CN" w:bidi="ar-SA"/>
        </w:rPr>
        <w:t>、证书一览表</w:t>
      </w:r>
    </w:p>
    <w:tbl>
      <w:tblPr>
        <w:tblStyle w:val="4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5545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44FF90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证书名称</w:t>
            </w:r>
          </w:p>
        </w:tc>
        <w:tc>
          <w:tcPr>
            <w:tcW w:w="2258" w:type="dxa"/>
            <w:tcBorders>
              <w:top w:val="single" w:color="auto" w:sz="4" w:space="0"/>
              <w:bottom w:val="single" w:color="auto" w:sz="4" w:space="0"/>
            </w:tcBorders>
            <w:vAlign w:val="center"/>
          </w:tcPr>
          <w:p w14:paraId="7771D23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发证单位</w:t>
            </w:r>
          </w:p>
        </w:tc>
        <w:tc>
          <w:tcPr>
            <w:tcW w:w="2260" w:type="dxa"/>
            <w:tcBorders>
              <w:top w:val="single" w:color="auto" w:sz="4" w:space="0"/>
              <w:bottom w:val="single" w:color="auto" w:sz="4" w:space="0"/>
            </w:tcBorders>
            <w:vAlign w:val="center"/>
          </w:tcPr>
          <w:p w14:paraId="2FF8406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证书等级</w:t>
            </w:r>
          </w:p>
        </w:tc>
        <w:tc>
          <w:tcPr>
            <w:tcW w:w="2047" w:type="dxa"/>
            <w:tcBorders>
              <w:top w:val="single" w:color="auto" w:sz="4" w:space="0"/>
              <w:bottom w:val="single" w:color="auto" w:sz="4" w:space="0"/>
              <w:right w:val="single" w:color="auto" w:sz="4" w:space="0"/>
            </w:tcBorders>
            <w:vAlign w:val="center"/>
          </w:tcPr>
          <w:p w14:paraId="6E06B39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证书有效期</w:t>
            </w:r>
          </w:p>
        </w:tc>
      </w:tr>
      <w:tr w14:paraId="4703BD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2CE79D4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top w:val="single" w:color="auto" w:sz="4" w:space="0"/>
            </w:tcBorders>
            <w:vAlign w:val="center"/>
          </w:tcPr>
          <w:p w14:paraId="1C433EB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top w:val="single" w:color="auto" w:sz="4" w:space="0"/>
            </w:tcBorders>
            <w:vAlign w:val="center"/>
          </w:tcPr>
          <w:p w14:paraId="793F470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top w:val="single" w:color="auto" w:sz="4" w:space="0"/>
              <w:right w:val="single" w:color="auto" w:sz="4" w:space="0"/>
            </w:tcBorders>
            <w:vAlign w:val="center"/>
          </w:tcPr>
          <w:p w14:paraId="4AAFDF8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5F0DB0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51" w:hRule="atLeast"/>
          <w:jc w:val="center"/>
        </w:trPr>
        <w:tc>
          <w:tcPr>
            <w:tcW w:w="1867" w:type="dxa"/>
            <w:tcBorders>
              <w:left w:val="single" w:color="auto" w:sz="4" w:space="0"/>
            </w:tcBorders>
            <w:vAlign w:val="center"/>
          </w:tcPr>
          <w:p w14:paraId="73646BE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17F3C2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10B5172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793F2C8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74C80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17CEE2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7CD9C21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23E5CC9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145905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199420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FBA0EA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70AF10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11F8FC0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B6B295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4BA747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2839FF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59932C9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0BA6FDB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F08C6C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719C84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BA2336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2C1BBAC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72726D0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2A0871D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6A7CE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17E512D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bottom w:val="single" w:color="auto" w:sz="4" w:space="0"/>
            </w:tcBorders>
            <w:vAlign w:val="center"/>
          </w:tcPr>
          <w:p w14:paraId="54D7BF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bottom w:val="single" w:color="auto" w:sz="4" w:space="0"/>
            </w:tcBorders>
            <w:vAlign w:val="center"/>
          </w:tcPr>
          <w:p w14:paraId="304F1E5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bottom w:val="single" w:color="auto" w:sz="4" w:space="0"/>
              <w:right w:val="single" w:color="auto" w:sz="4" w:space="0"/>
            </w:tcBorders>
            <w:vAlign w:val="center"/>
          </w:tcPr>
          <w:p w14:paraId="4AACBB1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bl>
    <w:p w14:paraId="79D41FCD">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p>
    <w:p w14:paraId="5CF54B94">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要求：</w:t>
      </w:r>
    </w:p>
    <w:p w14:paraId="1B7138CA">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1.根据评分标准要求填写投标供应商获得的资质、认证或企业信誉证书等；</w:t>
      </w:r>
    </w:p>
    <w:p w14:paraId="73D8BCBA">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2.附所列证书扫描件或影印件或其他证明材料。</w:t>
      </w:r>
    </w:p>
    <w:p w14:paraId="369EDB29">
      <w:pPr>
        <w:spacing w:line="360" w:lineRule="auto"/>
        <w:jc w:val="left"/>
        <w:rPr>
          <w:rFonts w:ascii="宋体" w:hAnsi="宋体" w:eastAsia="宋体" w:cs="宋体"/>
          <w:color w:val="auto"/>
          <w:sz w:val="24"/>
          <w:szCs w:val="24"/>
          <w:highlight w:val="none"/>
        </w:rPr>
      </w:pPr>
    </w:p>
    <w:p w14:paraId="45904613">
      <w:pPr>
        <w:spacing w:line="360" w:lineRule="auto"/>
        <w:jc w:val="left"/>
        <w:rPr>
          <w:rFonts w:ascii="宋体" w:hAnsi="宋体" w:eastAsia="宋体" w:cs="宋体"/>
          <w:color w:val="auto"/>
          <w:sz w:val="24"/>
          <w:szCs w:val="24"/>
          <w:highlight w:val="none"/>
        </w:rPr>
      </w:pPr>
    </w:p>
    <w:p w14:paraId="7FE11329">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61CDC7D3">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513B46BE">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3C8672C">
      <w:pPr>
        <w:spacing w:after="100" w:afterAutospacing="1" w:line="360" w:lineRule="auto"/>
        <w:jc w:val="center"/>
        <w:outlineLvl w:val="0"/>
        <w:rPr>
          <w:rFonts w:ascii="宋体" w:hAnsi="宋体" w:eastAsia="宋体" w:cs="宋体"/>
          <w:b/>
          <w:color w:val="auto"/>
          <w:sz w:val="32"/>
          <w:szCs w:val="32"/>
          <w:highlight w:val="none"/>
        </w:rPr>
      </w:pPr>
    </w:p>
    <w:p w14:paraId="083163DE">
      <w:pPr>
        <w:pageBreakBefore/>
        <w:spacing w:after="100" w:afterAutospacing="1" w:line="360" w:lineRule="auto"/>
        <w:jc w:val="center"/>
        <w:outlineLvl w:val="0"/>
        <w:rPr>
          <w:rFonts w:ascii="宋体" w:hAnsi="宋体" w:eastAsia="宋体" w:cs="宋体"/>
          <w:b/>
          <w:color w:val="auto"/>
          <w:sz w:val="32"/>
          <w:szCs w:val="32"/>
          <w:highlight w:val="none"/>
        </w:rPr>
      </w:pPr>
      <w:bookmarkStart w:id="153" w:name="_Toc1403"/>
      <w:bookmarkStart w:id="154" w:name="_Toc29674"/>
      <w:bookmarkStart w:id="155" w:name="_Toc30960"/>
      <w:bookmarkStart w:id="156" w:name="_Toc27903"/>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、技术</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147"/>
      <w:bookmarkEnd w:id="148"/>
      <w:bookmarkEnd w:id="149"/>
      <w:bookmarkEnd w:id="150"/>
      <w:bookmarkEnd w:id="151"/>
      <w:bookmarkEnd w:id="152"/>
      <w:bookmarkEnd w:id="153"/>
      <w:bookmarkEnd w:id="154"/>
      <w:bookmarkEnd w:id="155"/>
      <w:bookmarkEnd w:id="156"/>
    </w:p>
    <w:p w14:paraId="6C01B709">
      <w:pPr>
        <w:spacing w:after="100" w:afterAutospacing="1" w:line="360" w:lineRule="auto"/>
        <w:outlineLvl w:val="0"/>
        <w:rPr>
          <w:rFonts w:ascii="宋体" w:hAnsi="宋体" w:eastAsia="宋体" w:cs="宋体"/>
          <w:color w:val="auto"/>
          <w:sz w:val="24"/>
          <w:szCs w:val="24"/>
          <w:highlight w:val="none"/>
        </w:rPr>
      </w:pPr>
      <w:bookmarkStart w:id="157" w:name="_Toc24291"/>
      <w:bookmarkStart w:id="158" w:name="_Toc2748"/>
      <w:bookmarkStart w:id="159" w:name="_Toc9730"/>
      <w:bookmarkStart w:id="160" w:name="_Toc26286"/>
      <w:r>
        <w:rPr>
          <w:rFonts w:hint="eastAsia" w:ascii="宋体" w:hAnsi="宋体" w:eastAsia="宋体" w:cs="宋体"/>
          <w:color w:val="auto"/>
          <w:sz w:val="24"/>
          <w:szCs w:val="24"/>
          <w:highlight w:val="none"/>
        </w:rPr>
        <w:t>项目编号：                                                 项目名称：</w:t>
      </w:r>
      <w:bookmarkEnd w:id="157"/>
      <w:bookmarkEnd w:id="158"/>
      <w:bookmarkEnd w:id="159"/>
      <w:bookmarkEnd w:id="160"/>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3741BC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1DE027B2">
            <w:pPr>
              <w:keepNext w:val="0"/>
              <w:keepLines w:val="0"/>
              <w:widowControl w:val="0"/>
              <w:suppressLineNumbers w:val="0"/>
              <w:spacing w:before="0" w:beforeAutospacing="0" w:after="0" w:afterAutospacing="0" w:line="340" w:lineRule="exact"/>
              <w:ind w:left="0" w:right="0" w:firstLine="120" w:firstLineChars="50"/>
              <w:contextualSpacing/>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768" w:type="dxa"/>
            <w:tcBorders>
              <w:top w:val="single" w:color="auto" w:sz="4" w:space="0"/>
              <w:bottom w:val="single" w:color="auto" w:sz="4" w:space="0"/>
            </w:tcBorders>
            <w:tcMar>
              <w:left w:w="0" w:type="dxa"/>
              <w:right w:w="0" w:type="dxa"/>
            </w:tcMar>
            <w:vAlign w:val="center"/>
          </w:tcPr>
          <w:p w14:paraId="58EFC66E">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《采购文件》中的技术要求</w:t>
            </w:r>
          </w:p>
        </w:tc>
        <w:tc>
          <w:tcPr>
            <w:tcW w:w="3768" w:type="dxa"/>
            <w:tcBorders>
              <w:top w:val="single" w:color="auto" w:sz="4" w:space="0"/>
              <w:bottom w:val="single" w:color="auto" w:sz="4" w:space="0"/>
            </w:tcBorders>
            <w:tcMar>
              <w:left w:w="0" w:type="dxa"/>
              <w:right w:w="0" w:type="dxa"/>
            </w:tcMar>
            <w:vAlign w:val="center"/>
          </w:tcPr>
          <w:p w14:paraId="4A9DFEE0">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《投标文件》技术条款响应</w:t>
            </w:r>
          </w:p>
        </w:tc>
        <w:tc>
          <w:tcPr>
            <w:tcW w:w="995" w:type="dxa"/>
            <w:tcBorders>
              <w:top w:val="single" w:color="auto" w:sz="4" w:space="0"/>
              <w:bottom w:val="single" w:color="auto" w:sz="4" w:space="0"/>
            </w:tcBorders>
            <w:tcMar>
              <w:left w:w="0" w:type="dxa"/>
              <w:right w:w="0" w:type="dxa"/>
            </w:tcMar>
            <w:vAlign w:val="center"/>
          </w:tcPr>
          <w:p w14:paraId="0A004F72">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616820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1E31F3E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68" w:type="dxa"/>
            <w:tcBorders>
              <w:top w:val="single" w:color="auto" w:sz="4" w:space="0"/>
            </w:tcBorders>
            <w:tcMar>
              <w:left w:w="0" w:type="dxa"/>
              <w:right w:w="0" w:type="dxa"/>
            </w:tcMar>
            <w:vAlign w:val="center"/>
          </w:tcPr>
          <w:p w14:paraId="192BA4F0">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Borders>
              <w:top w:val="single" w:color="auto" w:sz="4" w:space="0"/>
            </w:tcBorders>
            <w:tcMar>
              <w:left w:w="0" w:type="dxa"/>
              <w:right w:w="0" w:type="dxa"/>
            </w:tcMar>
            <w:vAlign w:val="center"/>
          </w:tcPr>
          <w:p w14:paraId="3BD0618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Borders>
              <w:top w:val="single" w:color="auto" w:sz="4" w:space="0"/>
            </w:tcBorders>
            <w:tcMar>
              <w:left w:w="0" w:type="dxa"/>
              <w:right w:w="0" w:type="dxa"/>
            </w:tcMar>
            <w:vAlign w:val="center"/>
          </w:tcPr>
          <w:p w14:paraId="424F4CF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3DC85B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8BD423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68" w:type="dxa"/>
            <w:tcMar>
              <w:left w:w="0" w:type="dxa"/>
              <w:right w:w="0" w:type="dxa"/>
            </w:tcMar>
            <w:vAlign w:val="center"/>
          </w:tcPr>
          <w:p w14:paraId="0CDEEC7D">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63E0958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03F5747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1B341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3333AD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68" w:type="dxa"/>
            <w:tcMar>
              <w:left w:w="0" w:type="dxa"/>
              <w:right w:w="0" w:type="dxa"/>
            </w:tcMar>
            <w:vAlign w:val="center"/>
          </w:tcPr>
          <w:p w14:paraId="71E9820E">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FF7306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C8FE5B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47548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FCF3C6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68" w:type="dxa"/>
            <w:tcMar>
              <w:left w:w="0" w:type="dxa"/>
              <w:right w:w="0" w:type="dxa"/>
            </w:tcMar>
            <w:vAlign w:val="center"/>
          </w:tcPr>
          <w:p w14:paraId="033F8B0B">
            <w:pPr>
              <w:keepNext w:val="0"/>
              <w:keepLines w:val="0"/>
              <w:suppressLineNumbers w:val="0"/>
              <w:tabs>
                <w:tab w:val="left" w:pos="851"/>
              </w:tabs>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02BE96C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3727CC8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2B2E2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28E0B1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68" w:type="dxa"/>
            <w:tcMar>
              <w:left w:w="0" w:type="dxa"/>
              <w:right w:w="0" w:type="dxa"/>
            </w:tcMar>
            <w:vAlign w:val="center"/>
          </w:tcPr>
          <w:p w14:paraId="452454DB">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336337C4">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B251B05">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026332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FDDA0D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68" w:type="dxa"/>
            <w:tcMar>
              <w:left w:w="0" w:type="dxa"/>
              <w:right w:w="0" w:type="dxa"/>
            </w:tcMar>
            <w:vAlign w:val="center"/>
          </w:tcPr>
          <w:p w14:paraId="1180B8D8">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59537AA1">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7DC6DC9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219166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64501D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68" w:type="dxa"/>
            <w:tcMar>
              <w:left w:w="0" w:type="dxa"/>
              <w:right w:w="0" w:type="dxa"/>
            </w:tcMar>
            <w:vAlign w:val="center"/>
          </w:tcPr>
          <w:p w14:paraId="392396D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33A6A4F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424A6E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411F7F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75E85A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768" w:type="dxa"/>
            <w:tcMar>
              <w:left w:w="0" w:type="dxa"/>
              <w:right w:w="0" w:type="dxa"/>
            </w:tcMar>
            <w:vAlign w:val="center"/>
          </w:tcPr>
          <w:p w14:paraId="31A8EF9B">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FCEDB4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6BA1FAD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6F907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462D53C">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768" w:type="dxa"/>
            <w:tcMar>
              <w:left w:w="0" w:type="dxa"/>
              <w:right w:w="0" w:type="dxa"/>
            </w:tcMar>
            <w:vAlign w:val="center"/>
          </w:tcPr>
          <w:p w14:paraId="5762910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C58EE2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2E4C732">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534F0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450E3A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68" w:type="dxa"/>
            <w:tcMar>
              <w:left w:w="0" w:type="dxa"/>
              <w:right w:w="0" w:type="dxa"/>
            </w:tcMar>
            <w:vAlign w:val="center"/>
          </w:tcPr>
          <w:p w14:paraId="2DA84FE2">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455B16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46C11F4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0FC31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69A97D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222CE30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1CE8ED0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2D9E79B6">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bl>
    <w:p w14:paraId="4DE7565B">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0C4769CC">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1、列明采购文件的技术要求与投标文件对应响应，并说明偏离状况（正偏离或负偏离）；</w:t>
      </w:r>
    </w:p>
    <w:p w14:paraId="2BA11EEF">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40274574">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0CD6AF6A">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197C9A94">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6F1C6C5D">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CAB3A88">
      <w:pPr>
        <w:pageBreakBefore/>
        <w:spacing w:after="100" w:afterAutospacing="1" w:line="240" w:lineRule="auto"/>
        <w:jc w:val="center"/>
        <w:outlineLvl w:val="0"/>
        <w:rPr>
          <w:rFonts w:ascii="宋体" w:hAnsi="宋体" w:eastAsia="宋体" w:cs="宋体"/>
          <w:b/>
          <w:color w:val="auto"/>
          <w:sz w:val="32"/>
          <w:szCs w:val="32"/>
          <w:highlight w:val="none"/>
        </w:rPr>
      </w:pPr>
      <w:bookmarkStart w:id="161" w:name="_Toc18229"/>
      <w:bookmarkStart w:id="162" w:name="_Toc9606"/>
      <w:bookmarkStart w:id="163" w:name="_Toc1146"/>
      <w:bookmarkStart w:id="164" w:name="_Toc7232"/>
      <w:bookmarkStart w:id="165" w:name="_Toc27833"/>
      <w:bookmarkStart w:id="166" w:name="_Toc4688"/>
      <w:bookmarkStart w:id="167" w:name="_Toc9701"/>
      <w:bookmarkStart w:id="168" w:name="_Toc22735"/>
      <w:bookmarkStart w:id="169" w:name="_Toc3100"/>
      <w:bookmarkStart w:id="170" w:name="_Toc14058"/>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w:t>
      </w:r>
      <w:r>
        <w:rPr>
          <w:rFonts w:hint="eastAsia" w:ascii="宋体" w:hAnsi="宋体" w:cs="宋体"/>
          <w:b/>
          <w:color w:val="auto"/>
          <w:sz w:val="32"/>
          <w:szCs w:val="32"/>
          <w:highlight w:val="none"/>
          <w:lang w:eastAsia="zh-CN"/>
        </w:rPr>
        <w:t>条款</w:t>
      </w:r>
      <w:r>
        <w:rPr>
          <w:rFonts w:hint="eastAsia" w:ascii="宋体" w:hAnsi="宋体" w:eastAsia="宋体" w:cs="宋体"/>
          <w:b/>
          <w:color w:val="auto"/>
          <w:sz w:val="32"/>
          <w:szCs w:val="32"/>
          <w:highlight w:val="none"/>
        </w:rPr>
        <w:t>偏离表</w:t>
      </w:r>
      <w:bookmarkEnd w:id="161"/>
      <w:bookmarkEnd w:id="162"/>
      <w:bookmarkEnd w:id="163"/>
      <w:bookmarkEnd w:id="164"/>
      <w:bookmarkEnd w:id="165"/>
      <w:bookmarkEnd w:id="166"/>
      <w:bookmarkEnd w:id="167"/>
      <w:bookmarkEnd w:id="168"/>
      <w:bookmarkEnd w:id="169"/>
      <w:bookmarkEnd w:id="170"/>
    </w:p>
    <w:p w14:paraId="53D4124B">
      <w:pPr>
        <w:widowControl w:val="0"/>
        <w:tabs>
          <w:tab w:val="right" w:pos="8847"/>
        </w:tabs>
        <w:spacing w:line="240" w:lineRule="auto"/>
        <w:ind w:left="479" w:leftChars="228" w:firstLine="0"/>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                                         项目名称：</w:t>
      </w:r>
    </w:p>
    <w:tbl>
      <w:tblPr>
        <w:tblStyle w:val="47"/>
        <w:tblW w:w="940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804"/>
        <w:gridCol w:w="2880"/>
        <w:gridCol w:w="1007"/>
      </w:tblGrid>
      <w:tr w14:paraId="6EBF38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5E112B19">
            <w:pPr>
              <w:keepNext w:val="0"/>
              <w:keepLines w:val="0"/>
              <w:widowControl w:val="0"/>
              <w:suppressLineNumbers w:val="0"/>
              <w:spacing w:before="0" w:beforeAutospacing="0" w:after="0" w:afterAutospacing="0" w:line="340" w:lineRule="exact"/>
              <w:ind w:left="0" w:right="0" w:firstLine="120" w:firstLineChars="50"/>
              <w:contextualSpacing/>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4804" w:type="dxa"/>
            <w:tcBorders>
              <w:top w:val="single" w:color="auto" w:sz="4" w:space="0"/>
              <w:bottom w:val="single" w:color="auto" w:sz="4" w:space="0"/>
            </w:tcBorders>
            <w:tcMar>
              <w:left w:w="0" w:type="dxa"/>
              <w:right w:w="0" w:type="dxa"/>
            </w:tcMar>
            <w:vAlign w:val="center"/>
          </w:tcPr>
          <w:p w14:paraId="4CDFF550">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《采购文件》商务条款要求</w:t>
            </w:r>
          </w:p>
        </w:tc>
        <w:tc>
          <w:tcPr>
            <w:tcW w:w="2880" w:type="dxa"/>
            <w:tcBorders>
              <w:top w:val="single" w:color="auto" w:sz="4" w:space="0"/>
              <w:bottom w:val="single" w:color="auto" w:sz="4" w:space="0"/>
            </w:tcBorders>
            <w:tcMar>
              <w:left w:w="0" w:type="dxa"/>
              <w:right w:w="0" w:type="dxa"/>
            </w:tcMar>
            <w:vAlign w:val="center"/>
          </w:tcPr>
          <w:p w14:paraId="09537D3D">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《投标文件》商务条款响应</w:t>
            </w:r>
          </w:p>
        </w:tc>
        <w:tc>
          <w:tcPr>
            <w:tcW w:w="1007" w:type="dxa"/>
            <w:tcBorders>
              <w:top w:val="single" w:color="auto" w:sz="4" w:space="0"/>
              <w:bottom w:val="single" w:color="auto" w:sz="4" w:space="0"/>
            </w:tcBorders>
            <w:tcMar>
              <w:left w:w="0" w:type="dxa"/>
              <w:right w:w="0" w:type="dxa"/>
            </w:tcMar>
            <w:vAlign w:val="center"/>
          </w:tcPr>
          <w:p w14:paraId="0883FA48">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0C37F0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18A884AF">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p>
        </w:tc>
        <w:tc>
          <w:tcPr>
            <w:tcW w:w="4804" w:type="dxa"/>
            <w:tcBorders>
              <w:top w:val="single" w:color="auto" w:sz="4" w:space="0"/>
            </w:tcBorders>
            <w:tcMar>
              <w:left w:w="57" w:type="dxa"/>
              <w:right w:w="57" w:type="dxa"/>
            </w:tcMar>
            <w:vAlign w:val="center"/>
          </w:tcPr>
          <w:p w14:paraId="45A36D09">
            <w:pPr>
              <w:keepNext w:val="0"/>
              <w:keepLines w:val="0"/>
              <w:widowControl w:val="0"/>
              <w:suppressLineNumbers w:val="0"/>
              <w:snapToGrid w:val="0"/>
              <w:spacing w:before="120" w:beforeAutospacing="0" w:after="120" w:afterAutospacing="0" w:line="240" w:lineRule="auto"/>
              <w:ind w:left="0" w:leftChars="0" w:right="0" w:rightChars="0"/>
              <w:jc w:val="both"/>
              <w:outlineLvl w:val="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在收到发票后7个工作日内（如遇休息日或节假日，付款日期顺延）一次性付清剩余款项。</w:t>
            </w:r>
          </w:p>
        </w:tc>
        <w:tc>
          <w:tcPr>
            <w:tcW w:w="2880" w:type="dxa"/>
            <w:tcBorders>
              <w:top w:val="single" w:color="auto" w:sz="4" w:space="0"/>
            </w:tcBorders>
            <w:tcMar>
              <w:left w:w="0" w:type="dxa"/>
              <w:right w:w="0" w:type="dxa"/>
            </w:tcMar>
            <w:vAlign w:val="center"/>
          </w:tcPr>
          <w:p w14:paraId="05480B56">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Borders>
              <w:top w:val="single" w:color="auto" w:sz="4" w:space="0"/>
            </w:tcBorders>
            <w:tcMar>
              <w:left w:w="0" w:type="dxa"/>
              <w:right w:w="0" w:type="dxa"/>
            </w:tcMar>
            <w:vAlign w:val="center"/>
          </w:tcPr>
          <w:p w14:paraId="35A2C32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75C16E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60" w:hRule="atLeast"/>
          <w:jc w:val="center"/>
        </w:trPr>
        <w:tc>
          <w:tcPr>
            <w:tcW w:w="711" w:type="dxa"/>
            <w:tcMar>
              <w:left w:w="0" w:type="dxa"/>
              <w:right w:w="0" w:type="dxa"/>
            </w:tcMar>
            <w:vAlign w:val="center"/>
          </w:tcPr>
          <w:p w14:paraId="567E1A7D">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p>
        </w:tc>
        <w:tc>
          <w:tcPr>
            <w:tcW w:w="4804" w:type="dxa"/>
            <w:tcMar>
              <w:left w:w="57" w:type="dxa"/>
              <w:right w:w="57" w:type="dxa"/>
            </w:tcMar>
            <w:vAlign w:val="center"/>
          </w:tcPr>
          <w:p w14:paraId="4A0111BF">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（1）质保期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1  </w:t>
            </w:r>
            <w:r>
              <w:rPr>
                <w:rFonts w:hint="eastAsia" w:asciiTheme="minorEastAsia" w:hAnsiTheme="minorEastAsia" w:eastAsiaTheme="minorEastAsia" w:cstheme="minorEastAsia"/>
                <w:color w:val="auto"/>
                <w:kern w:val="2"/>
                <w:sz w:val="24"/>
                <w:szCs w:val="24"/>
                <w:highlight w:val="none"/>
                <w:lang w:val="en-US" w:eastAsia="zh-CN" w:bidi="ar-SA"/>
              </w:rPr>
              <w:t>年及以上；</w:t>
            </w:r>
          </w:p>
          <w:p w14:paraId="3D65435F">
            <w:pPr>
              <w:pStyle w:val="26"/>
              <w:keepNext w:val="0"/>
              <w:keepLines w:val="0"/>
              <w:suppressLineNumbers w:val="0"/>
              <w:snapToGrid w:val="0"/>
              <w:spacing w:before="120" w:beforeAutospacing="0" w:after="120" w:afterAutospacing="0" w:line="240" w:lineRule="auto"/>
              <w:ind w:left="0" w:leftChars="0" w:right="0" w:rightChars="0"/>
              <w:outlineLvl w:val="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（2）履约保证金：本项目不收履约保证金</w:t>
            </w:r>
          </w:p>
        </w:tc>
        <w:tc>
          <w:tcPr>
            <w:tcW w:w="2880" w:type="dxa"/>
            <w:tcMar>
              <w:left w:w="0" w:type="dxa"/>
              <w:right w:w="0" w:type="dxa"/>
            </w:tcMar>
            <w:vAlign w:val="center"/>
          </w:tcPr>
          <w:p w14:paraId="026E84D8">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16D8E04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2DF180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91" w:hRule="atLeast"/>
          <w:jc w:val="center"/>
        </w:trPr>
        <w:tc>
          <w:tcPr>
            <w:tcW w:w="711" w:type="dxa"/>
            <w:tcMar>
              <w:left w:w="0" w:type="dxa"/>
              <w:right w:w="0" w:type="dxa"/>
            </w:tcMar>
            <w:vAlign w:val="center"/>
          </w:tcPr>
          <w:p w14:paraId="6FDF1DF2">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4804" w:type="dxa"/>
            <w:tcMar>
              <w:left w:w="57" w:type="dxa"/>
              <w:right w:w="57" w:type="dxa"/>
            </w:tcMar>
            <w:vAlign w:val="center"/>
          </w:tcPr>
          <w:p w14:paraId="2DF846F6">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）合同生效后，仪器制造商（或代理商）对安装仪器的实验室工作条件应提出具体要求，并在安装前予以确认。</w:t>
            </w:r>
          </w:p>
          <w:p w14:paraId="2406495E">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）提供的产品须为原装正品，相关的配套附件质量优良，数量齐全，并在标书中注明可选配件的价格。</w:t>
            </w:r>
          </w:p>
          <w:p w14:paraId="73DA3D79">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）仪器到达用户指定交货地点后，根据用户的时间安排，仪器制造商（或代理商）在接到用户通知后30天内进行安装调试，直至通过验收。</w:t>
            </w:r>
          </w:p>
          <w:p w14:paraId="1288FE54">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）仪器安装调试合格后，仪器制造商（或代理商）负责对用户技术人员（至少2人）进行免费现场培训，培训内容包括仪器的性能、原理、操作、保养和维护等，培训日程视实际情况另定。</w:t>
            </w:r>
          </w:p>
          <w:p w14:paraId="186DBE9D">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）质保期过后，仪器制造商（或代理商）对仪器提供终身维修服务，能提供广泛、即时、优惠的技术服务，并提供质量上乘、价格合理的各种配件。</w:t>
            </w:r>
          </w:p>
          <w:p w14:paraId="082D56EC">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）保证供应仪器质保期后3年内所需的备品、备件；须给出详细清单（品名、货号、生产厂家、数量、价格等）。</w:t>
            </w:r>
          </w:p>
          <w:p w14:paraId="483443A1">
            <w:pPr>
              <w:pStyle w:val="26"/>
              <w:keepNext w:val="0"/>
              <w:keepLines w:val="0"/>
              <w:suppressLineNumbers w:val="0"/>
              <w:snapToGrid w:val="0"/>
              <w:spacing w:before="120" w:beforeAutospacing="0" w:after="120"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09BBE40D">
            <w:pPr>
              <w:pStyle w:val="26"/>
              <w:keepNext w:val="0"/>
              <w:keepLines w:val="0"/>
              <w:suppressLineNumbers w:val="0"/>
              <w:snapToGrid w:val="0"/>
              <w:spacing w:before="120" w:beforeAutospacing="0" w:after="120" w:afterAutospacing="0" w:line="240" w:lineRule="auto"/>
              <w:ind w:left="0" w:leftChars="0" w:right="0" w:rightChars="0"/>
              <w:outlineLvl w:val="0"/>
              <w:rPr>
                <w:rFonts w:hint="eastAsia" w:asciiTheme="minorEastAsia" w:hAnsiTheme="minorEastAsia" w:cstheme="minorEastAsia"/>
                <w:color w:val="auto"/>
                <w:spacing w:val="10"/>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）仪器制造商（或代理商）终身免费提供应用咨询及技术帮助，质保期内，易损件和外购件根据原厂家质保期和国家质保标准保修，属人为因素酌情收取材料费。质保期外实行有偿服务。</w:t>
            </w:r>
          </w:p>
        </w:tc>
        <w:tc>
          <w:tcPr>
            <w:tcW w:w="2880" w:type="dxa"/>
            <w:tcMar>
              <w:left w:w="0" w:type="dxa"/>
              <w:right w:w="0" w:type="dxa"/>
            </w:tcMar>
            <w:vAlign w:val="center"/>
          </w:tcPr>
          <w:p w14:paraId="2B356459">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5B03A6D4">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42A068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05" w:hRule="atLeast"/>
          <w:jc w:val="center"/>
        </w:trPr>
        <w:tc>
          <w:tcPr>
            <w:tcW w:w="711" w:type="dxa"/>
            <w:tcMar>
              <w:left w:w="0" w:type="dxa"/>
              <w:right w:w="0" w:type="dxa"/>
            </w:tcMar>
            <w:vAlign w:val="center"/>
          </w:tcPr>
          <w:p w14:paraId="20193673">
            <w:pPr>
              <w:keepNext w:val="0"/>
              <w:keepLines w:val="0"/>
              <w:suppressLineNumbers w:val="0"/>
              <w:spacing w:before="0" w:beforeAutospacing="0" w:after="0" w:afterAutospacing="0" w:line="340" w:lineRule="exact"/>
              <w:ind w:left="0" w:leftChars="0" w:right="0" w:rightChars="0"/>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4804" w:type="dxa"/>
            <w:tcMar>
              <w:left w:w="57" w:type="dxa"/>
              <w:right w:w="57" w:type="dxa"/>
            </w:tcMar>
            <w:vAlign w:val="top"/>
          </w:tcPr>
          <w:p w14:paraId="04243E4B">
            <w:pPr>
              <w:keepNext w:val="0"/>
              <w:keepLines w:val="0"/>
              <w:widowControl w:val="0"/>
              <w:suppressLineNumbers w:val="0"/>
              <w:snapToGrid w:val="0"/>
              <w:spacing w:before="120" w:beforeAutospacing="0" w:after="120" w:afterAutospacing="0" w:line="240" w:lineRule="auto"/>
              <w:ind w:left="0" w:right="0"/>
              <w:jc w:val="both"/>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交货期：自合同签订之日起90日历天内完成交货。</w:t>
            </w:r>
          </w:p>
          <w:p w14:paraId="5900AF03">
            <w:pPr>
              <w:keepNext w:val="0"/>
              <w:keepLines w:val="0"/>
              <w:widowControl w:val="0"/>
              <w:suppressLineNumbers w:val="0"/>
              <w:snapToGrid w:val="0"/>
              <w:spacing w:before="120" w:beforeAutospacing="0" w:after="120" w:afterAutospacing="0" w:line="240" w:lineRule="auto"/>
              <w:ind w:left="0" w:leftChars="0" w:right="0" w:rightChars="0"/>
              <w:jc w:val="both"/>
              <w:outlineLvl w:val="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 xml:space="preserve">地点：台州学院椒江校区      </w:t>
            </w:r>
          </w:p>
        </w:tc>
        <w:tc>
          <w:tcPr>
            <w:tcW w:w="2880" w:type="dxa"/>
            <w:tcMar>
              <w:left w:w="0" w:type="dxa"/>
              <w:right w:w="0" w:type="dxa"/>
            </w:tcMar>
            <w:vAlign w:val="center"/>
          </w:tcPr>
          <w:p w14:paraId="567C4B5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1007" w:type="dxa"/>
            <w:tcMar>
              <w:left w:w="0" w:type="dxa"/>
              <w:right w:w="0" w:type="dxa"/>
            </w:tcMar>
            <w:vAlign w:val="center"/>
          </w:tcPr>
          <w:p w14:paraId="738ABD53">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bl>
    <w:p w14:paraId="375E5FEA">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3D91C79B">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1、列明采购文件的商务要求与投标文件对应响应，并说明偏离状况（正偏离或负偏离）；</w:t>
      </w:r>
    </w:p>
    <w:p w14:paraId="674A1698">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5D817CB4">
      <w:pPr>
        <w:widowControl w:val="0"/>
        <w:spacing w:line="240" w:lineRule="auto"/>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4AF4D133">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8B7A8E1">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604F7281">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E52E97B">
      <w:pPr>
        <w:pageBreakBefore/>
        <w:spacing w:line="360" w:lineRule="auto"/>
        <w:jc w:val="center"/>
        <w:outlineLvl w:val="0"/>
        <w:rPr>
          <w:rFonts w:ascii="宋体" w:hAnsi="宋体" w:eastAsia="宋体" w:cs="宋体"/>
          <w:color w:val="auto"/>
          <w:sz w:val="32"/>
          <w:szCs w:val="32"/>
          <w:highlight w:val="none"/>
        </w:rPr>
      </w:pPr>
      <w:bookmarkStart w:id="171" w:name="_Toc31566"/>
      <w:bookmarkStart w:id="172" w:name="_Toc7667"/>
      <w:bookmarkStart w:id="173" w:name="_Toc20733"/>
      <w:bookmarkStart w:id="174" w:name="_Toc19019"/>
      <w:bookmarkStart w:id="175" w:name="_Toc5515"/>
      <w:bookmarkStart w:id="176" w:name="_Toc15797"/>
      <w:bookmarkStart w:id="177" w:name="_Toc2665"/>
      <w:bookmarkStart w:id="178" w:name="_Toc27320"/>
      <w:bookmarkStart w:id="179" w:name="_Toc19473"/>
      <w:bookmarkStart w:id="180" w:name="_Toc21753"/>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rPr>
        <w:t>、相关项目实施业绩一览表</w:t>
      </w:r>
      <w:bookmarkEnd w:id="171"/>
      <w:bookmarkEnd w:id="172"/>
      <w:bookmarkEnd w:id="173"/>
      <w:bookmarkEnd w:id="174"/>
      <w:bookmarkEnd w:id="175"/>
      <w:bookmarkEnd w:id="176"/>
      <w:bookmarkEnd w:id="177"/>
      <w:bookmarkEnd w:id="178"/>
      <w:bookmarkEnd w:id="179"/>
      <w:bookmarkEnd w:id="180"/>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3D55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7A22F115">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83" w:type="dxa"/>
            <w:vAlign w:val="center"/>
          </w:tcPr>
          <w:p w14:paraId="0F9A5B1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06" w:type="dxa"/>
            <w:vAlign w:val="center"/>
          </w:tcPr>
          <w:p w14:paraId="01A8485F">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774" w:type="dxa"/>
            <w:vAlign w:val="center"/>
          </w:tcPr>
          <w:p w14:paraId="4B784842">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242" w:type="dxa"/>
            <w:vAlign w:val="center"/>
          </w:tcPr>
          <w:p w14:paraId="17E033D9">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w:t>
            </w:r>
          </w:p>
          <w:p w14:paraId="2DA555F7">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643" w:type="dxa"/>
            <w:vAlign w:val="center"/>
          </w:tcPr>
          <w:p w14:paraId="3C0278BB">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r>
      <w:tr w14:paraId="1A53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2949D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3" w:type="dxa"/>
            <w:vAlign w:val="center"/>
          </w:tcPr>
          <w:p w14:paraId="2CE806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0DB98C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E7731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3BDB1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B9003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5D1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0525D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3" w:type="dxa"/>
            <w:vAlign w:val="center"/>
          </w:tcPr>
          <w:p w14:paraId="7910BD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17CFA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3EBC2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0EA2B2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050CA0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721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07AC3E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3" w:type="dxa"/>
            <w:vAlign w:val="center"/>
          </w:tcPr>
          <w:p w14:paraId="2A8A63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99F13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55DD38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7C3B4A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7D1AFD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C7F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E1A6B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83" w:type="dxa"/>
            <w:vAlign w:val="center"/>
          </w:tcPr>
          <w:p w14:paraId="7F9483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0DC9CD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33AE01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52C687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0BF297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7B9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7E73BE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63E277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552780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27B4A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481DC2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588173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205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1C81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60760E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1544B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5D313B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F05CC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4DFD1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35CFACD2">
      <w:pPr>
        <w:spacing w:before="77" w:line="360" w:lineRule="auto"/>
        <w:ind w:right="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注：需按评分标准要求附项目证明材料。</w:t>
      </w:r>
    </w:p>
    <w:p w14:paraId="3254CA92">
      <w:pPr>
        <w:spacing w:line="360" w:lineRule="auto"/>
        <w:ind w:firstLine="4440" w:firstLineChars="1850"/>
        <w:rPr>
          <w:rFonts w:hint="eastAsia" w:ascii="宋体" w:hAnsi="宋体" w:eastAsia="宋体" w:cs="宋体"/>
          <w:color w:val="auto"/>
          <w:sz w:val="24"/>
          <w:szCs w:val="24"/>
          <w:highlight w:val="none"/>
        </w:rPr>
      </w:pPr>
    </w:p>
    <w:p w14:paraId="0C5369DF">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0725CFBC">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法定代表人或授权委托代理人（签字或盖章）：</w:t>
      </w:r>
    </w:p>
    <w:p w14:paraId="21FF7A46">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27EF899">
      <w:pPr>
        <w:widowControl w:val="0"/>
        <w:ind w:left="2940" w:leftChars="1400"/>
        <w:jc w:val="both"/>
        <w:rPr>
          <w:rFonts w:ascii="宋体" w:hAnsi="宋体" w:eastAsia="宋体" w:cs="宋体"/>
          <w:color w:val="auto"/>
          <w:kern w:val="2"/>
          <w:sz w:val="24"/>
          <w:szCs w:val="24"/>
          <w:highlight w:val="none"/>
          <w:lang w:val="en-US" w:eastAsia="zh-CN" w:bidi="ar-SA"/>
        </w:rPr>
      </w:pPr>
    </w:p>
    <w:p w14:paraId="266AECB4">
      <w:pPr>
        <w:rPr>
          <w:rFonts w:ascii="宋体" w:hAnsi="宋体" w:eastAsia="宋体" w:cs="宋体"/>
          <w:color w:val="auto"/>
          <w:highlight w:val="none"/>
        </w:rPr>
      </w:pPr>
    </w:p>
    <w:p w14:paraId="7A35B23A">
      <w:pPr>
        <w:widowControl w:val="0"/>
        <w:spacing w:after="120"/>
        <w:jc w:val="both"/>
        <w:rPr>
          <w:rFonts w:ascii="宋体" w:hAnsi="宋体" w:eastAsia="宋体" w:cs="宋体"/>
          <w:color w:val="auto"/>
          <w:kern w:val="2"/>
          <w:sz w:val="21"/>
          <w:szCs w:val="24"/>
          <w:highlight w:val="none"/>
          <w:lang w:val="en-US" w:eastAsia="zh-CN" w:bidi="ar-SA"/>
        </w:rPr>
      </w:pPr>
    </w:p>
    <w:p w14:paraId="5B55119F">
      <w:pPr>
        <w:widowControl w:val="0"/>
        <w:ind w:left="2940" w:leftChars="1400"/>
        <w:jc w:val="both"/>
        <w:rPr>
          <w:rFonts w:ascii="宋体" w:hAnsi="宋体" w:eastAsia="宋体" w:cs="宋体"/>
          <w:color w:val="auto"/>
          <w:kern w:val="2"/>
          <w:sz w:val="21"/>
          <w:szCs w:val="24"/>
          <w:highlight w:val="none"/>
          <w:lang w:val="en-US" w:eastAsia="zh-CN" w:bidi="ar-SA"/>
        </w:rPr>
      </w:pPr>
    </w:p>
    <w:p w14:paraId="3DB6244D">
      <w:pPr>
        <w:rPr>
          <w:rFonts w:ascii="宋体" w:hAnsi="宋体" w:eastAsia="宋体" w:cs="宋体"/>
          <w:color w:val="auto"/>
          <w:highlight w:val="none"/>
        </w:rPr>
      </w:pPr>
    </w:p>
    <w:p w14:paraId="1654C27B">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710CE522">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4FE5B316">
      <w:pPr>
        <w:pageBreakBefore/>
        <w:spacing w:line="360" w:lineRule="auto"/>
        <w:ind w:right="-108"/>
        <w:jc w:val="center"/>
        <w:outlineLvl w:val="0"/>
        <w:rPr>
          <w:rFonts w:ascii="宋体" w:hAnsi="宋体" w:eastAsia="宋体" w:cs="宋体"/>
          <w:color w:val="auto"/>
          <w:spacing w:val="40"/>
          <w:sz w:val="52"/>
          <w:szCs w:val="52"/>
          <w:highlight w:val="none"/>
        </w:rPr>
      </w:pPr>
      <w:bookmarkStart w:id="181" w:name="_Toc28397"/>
      <w:bookmarkStart w:id="182" w:name="_Toc25688"/>
      <w:bookmarkStart w:id="183" w:name="_Toc28068"/>
      <w:bookmarkStart w:id="184" w:name="_Toc16232"/>
      <w:bookmarkStart w:id="185" w:name="_Toc6284"/>
      <w:bookmarkStart w:id="186" w:name="_Toc6727"/>
      <w:bookmarkStart w:id="187" w:name="_Toc7488"/>
      <w:bookmarkStart w:id="188" w:name="_Toc17529"/>
      <w:bookmarkStart w:id="189" w:name="_Toc18892"/>
      <w:bookmarkStart w:id="190" w:name="_Toc2003"/>
      <w:r>
        <w:rPr>
          <w:rFonts w:hint="eastAsia" w:ascii="宋体" w:hAnsi="宋体" w:eastAsia="宋体" w:cs="宋体"/>
          <w:color w:val="auto"/>
          <w:spacing w:val="40"/>
          <w:sz w:val="52"/>
          <w:szCs w:val="52"/>
          <w:highlight w:val="none"/>
        </w:rPr>
        <w:t>项目名称</w:t>
      </w:r>
      <w:bookmarkEnd w:id="181"/>
      <w:bookmarkEnd w:id="182"/>
      <w:bookmarkEnd w:id="183"/>
      <w:bookmarkEnd w:id="184"/>
      <w:bookmarkEnd w:id="185"/>
      <w:bookmarkEnd w:id="186"/>
      <w:bookmarkEnd w:id="187"/>
      <w:bookmarkEnd w:id="188"/>
      <w:bookmarkEnd w:id="189"/>
      <w:bookmarkEnd w:id="190"/>
    </w:p>
    <w:p w14:paraId="16890CFC">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30732571">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2FCB82B0">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2C06E">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05132A92">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2A2F4C45">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（报价文件）</w:t>
      </w:r>
    </w:p>
    <w:p w14:paraId="082CA470">
      <w:pPr>
        <w:spacing w:line="360" w:lineRule="auto"/>
        <w:ind w:right="532"/>
        <w:rPr>
          <w:rFonts w:ascii="宋体" w:hAnsi="宋体" w:eastAsia="宋体" w:cs="宋体"/>
          <w:color w:val="auto"/>
          <w:sz w:val="36"/>
          <w:szCs w:val="36"/>
          <w:highlight w:val="none"/>
        </w:rPr>
      </w:pPr>
    </w:p>
    <w:p w14:paraId="6F6D1E39">
      <w:pPr>
        <w:spacing w:line="36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0282268C">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64729B75">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5B28ADD6">
      <w:pPr>
        <w:widowControl w:val="0"/>
        <w:spacing w:after="120"/>
        <w:jc w:val="both"/>
        <w:rPr>
          <w:rFonts w:ascii="宋体" w:hAnsi="宋体" w:eastAsia="宋体" w:cs="宋体"/>
          <w:color w:val="auto"/>
          <w:kern w:val="2"/>
          <w:sz w:val="21"/>
          <w:szCs w:val="24"/>
          <w:highlight w:val="none"/>
          <w:lang w:val="en-US" w:eastAsia="zh-CN" w:bidi="ar-SA"/>
        </w:rPr>
      </w:pPr>
    </w:p>
    <w:p w14:paraId="6D1EF466">
      <w:pPr>
        <w:widowControl w:val="0"/>
        <w:ind w:left="2940" w:leftChars="1400"/>
        <w:jc w:val="both"/>
        <w:rPr>
          <w:rFonts w:ascii="宋体" w:hAnsi="宋体" w:eastAsia="宋体" w:cs="宋体"/>
          <w:color w:val="auto"/>
          <w:kern w:val="2"/>
          <w:sz w:val="21"/>
          <w:szCs w:val="24"/>
          <w:highlight w:val="none"/>
          <w:lang w:val="en-US" w:eastAsia="zh-CN" w:bidi="ar-SA"/>
        </w:rPr>
      </w:pPr>
    </w:p>
    <w:p w14:paraId="792968B0">
      <w:pPr>
        <w:rPr>
          <w:rFonts w:ascii="宋体" w:hAnsi="宋体" w:eastAsia="宋体" w:cs="宋体"/>
          <w:color w:val="auto"/>
          <w:highlight w:val="none"/>
        </w:rPr>
      </w:pPr>
    </w:p>
    <w:p w14:paraId="35FA9D61">
      <w:pPr>
        <w:widowControl w:val="0"/>
        <w:spacing w:after="120"/>
        <w:jc w:val="both"/>
        <w:rPr>
          <w:rFonts w:ascii="宋体" w:hAnsi="宋体" w:eastAsia="宋体" w:cs="宋体"/>
          <w:color w:val="auto"/>
          <w:kern w:val="2"/>
          <w:sz w:val="21"/>
          <w:szCs w:val="24"/>
          <w:highlight w:val="none"/>
          <w:lang w:val="en-US" w:eastAsia="zh-CN" w:bidi="ar-SA"/>
        </w:rPr>
      </w:pPr>
    </w:p>
    <w:p w14:paraId="756B5E8C">
      <w:pPr>
        <w:shd w:val="clear" w:color="auto" w:fill="FFFFFF"/>
        <w:snapToGrid w:val="0"/>
        <w:spacing w:line="360" w:lineRule="auto"/>
        <w:jc w:val="center"/>
        <w:outlineLvl w:val="1"/>
        <w:rPr>
          <w:rFonts w:ascii="宋体" w:hAnsi="宋体" w:eastAsia="宋体" w:cs="宋体"/>
          <w:b/>
          <w:bCs/>
          <w:color w:val="auto"/>
          <w:kern w:val="0"/>
          <w:sz w:val="32"/>
          <w:szCs w:val="32"/>
          <w:highlight w:val="none"/>
        </w:rPr>
      </w:pPr>
    </w:p>
    <w:p w14:paraId="3E9B234F">
      <w:pPr>
        <w:spacing w:line="360" w:lineRule="auto"/>
        <w:jc w:val="center"/>
        <w:rPr>
          <w:rFonts w:ascii="宋体" w:hAnsi="宋体" w:cs="宋体"/>
          <w:b/>
          <w:color w:val="auto"/>
          <w:sz w:val="44"/>
          <w:szCs w:val="44"/>
          <w:highlight w:val="none"/>
        </w:rPr>
        <w:sectPr>
          <w:footerReference r:id="rId14"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A7D91AA">
      <w:pPr>
        <w:pageBreakBefore/>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报价文件</w:t>
      </w:r>
    </w:p>
    <w:p w14:paraId="530FCC29">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5FC6513F">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投标函</w:t>
      </w:r>
      <w:r>
        <w:rPr>
          <w:rFonts w:asciiTheme="minorEastAsia" w:hAnsiTheme="minorEastAsia"/>
          <w:color w:val="auto"/>
          <w:sz w:val="24"/>
          <w:szCs w:val="24"/>
          <w:highlight w:val="none"/>
        </w:rPr>
        <w:t>………………………………………………………………………………（页码）</w:t>
      </w:r>
    </w:p>
    <w:p w14:paraId="5627D7A5">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开标一览表…………………………………………………………………………（页码）</w:t>
      </w:r>
    </w:p>
    <w:p w14:paraId="5188B526">
      <w:pPr>
        <w:spacing w:line="720" w:lineRule="auto"/>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w:t>
      </w:r>
      <w:r>
        <w:rPr>
          <w:rFonts w:hint="eastAsia" w:cs="宋体" w:asciiTheme="minorEastAsia" w:hAnsiTheme="minorEastAsia"/>
          <w:color w:val="auto"/>
          <w:sz w:val="24"/>
          <w:szCs w:val="24"/>
          <w:highlight w:val="none"/>
          <w:lang w:eastAsia="zh-CN"/>
        </w:rPr>
        <w:t>报价</w:t>
      </w:r>
      <w:r>
        <w:rPr>
          <w:rFonts w:hint="eastAsia" w:cs="宋体" w:asciiTheme="minorEastAsia" w:hAnsiTheme="minorEastAsia"/>
          <w:color w:val="auto"/>
          <w:sz w:val="24"/>
          <w:szCs w:val="24"/>
          <w:highlight w:val="none"/>
        </w:rPr>
        <w:t>明细表</w:t>
      </w:r>
      <w:r>
        <w:rPr>
          <w:rFonts w:asciiTheme="minorEastAsia" w:hAnsiTheme="minorEastAsia"/>
          <w:color w:val="auto"/>
          <w:sz w:val="24"/>
          <w:szCs w:val="24"/>
          <w:highlight w:val="none"/>
        </w:rPr>
        <w:t>…………………………………………………………………………（页码）</w:t>
      </w:r>
    </w:p>
    <w:p w14:paraId="049A5557">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4、中小企业声明函</w:t>
      </w:r>
      <w:r>
        <w:rPr>
          <w:rFonts w:asciiTheme="minorEastAsia" w:hAnsiTheme="minorEastAsia"/>
          <w:color w:val="auto"/>
          <w:sz w:val="24"/>
          <w:szCs w:val="24"/>
          <w:highlight w:val="none"/>
        </w:rPr>
        <w:t>……………………………………………………………………（页码）</w:t>
      </w:r>
    </w:p>
    <w:p w14:paraId="2FC8989D">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5、残疾人福利单位声明函（非残疾人福利性单位，无需提供本函）</w:t>
      </w:r>
      <w:r>
        <w:rPr>
          <w:rFonts w:asciiTheme="minorEastAsia" w:hAnsiTheme="minorEastAsia"/>
          <w:color w:val="auto"/>
          <w:sz w:val="24"/>
          <w:szCs w:val="24"/>
          <w:highlight w:val="none"/>
        </w:rPr>
        <w:t>……………（页码）</w:t>
      </w:r>
    </w:p>
    <w:p w14:paraId="3D9386BE">
      <w:pPr>
        <w:spacing w:line="720" w:lineRule="auto"/>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6、投标人认为需提交的其他报价文件资料</w:t>
      </w:r>
      <w:r>
        <w:rPr>
          <w:rFonts w:asciiTheme="minorEastAsia" w:hAnsiTheme="minorEastAsia"/>
          <w:color w:val="auto"/>
          <w:sz w:val="24"/>
          <w:szCs w:val="24"/>
          <w:highlight w:val="none"/>
        </w:rPr>
        <w:t>…………………………………………（页码）</w:t>
      </w:r>
    </w:p>
    <w:p w14:paraId="5B7FDF45">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p>
    <w:p w14:paraId="5C850EDC">
      <w:pPr>
        <w:widowControl w:val="0"/>
        <w:ind w:left="2940" w:leftChars="1400"/>
        <w:jc w:val="both"/>
        <w:rPr>
          <w:rFonts w:ascii="宋体" w:hAnsi="宋体" w:eastAsia="宋体" w:cs="宋体"/>
          <w:color w:val="auto"/>
          <w:kern w:val="2"/>
          <w:sz w:val="21"/>
          <w:szCs w:val="24"/>
          <w:highlight w:val="none"/>
          <w:lang w:val="en-US" w:eastAsia="zh-CN" w:bidi="ar-SA"/>
        </w:rPr>
      </w:pPr>
    </w:p>
    <w:p w14:paraId="73524711">
      <w:pPr>
        <w:rPr>
          <w:rFonts w:ascii="宋体" w:hAnsi="宋体" w:eastAsia="宋体" w:cs="宋体"/>
          <w:color w:val="auto"/>
          <w:highlight w:val="none"/>
        </w:rPr>
      </w:pPr>
    </w:p>
    <w:p w14:paraId="5994EA55">
      <w:pPr>
        <w:widowControl w:val="0"/>
        <w:spacing w:after="120"/>
        <w:jc w:val="both"/>
        <w:rPr>
          <w:rFonts w:ascii="宋体" w:hAnsi="宋体" w:eastAsia="宋体" w:cs="宋体"/>
          <w:color w:val="auto"/>
          <w:kern w:val="2"/>
          <w:sz w:val="21"/>
          <w:szCs w:val="24"/>
          <w:highlight w:val="none"/>
          <w:lang w:val="en-US" w:eastAsia="zh-CN" w:bidi="ar-SA"/>
        </w:rPr>
      </w:pPr>
    </w:p>
    <w:p w14:paraId="5E3E6F5D">
      <w:pPr>
        <w:widowControl w:val="0"/>
        <w:ind w:left="2940" w:leftChars="1400"/>
        <w:jc w:val="both"/>
        <w:rPr>
          <w:rFonts w:ascii="宋体" w:hAnsi="宋体" w:eastAsia="宋体" w:cs="宋体"/>
          <w:color w:val="auto"/>
          <w:kern w:val="2"/>
          <w:sz w:val="21"/>
          <w:szCs w:val="24"/>
          <w:highlight w:val="none"/>
          <w:lang w:val="en-US" w:eastAsia="zh-CN" w:bidi="ar-SA"/>
        </w:rPr>
      </w:pPr>
    </w:p>
    <w:p w14:paraId="29ACC344">
      <w:pPr>
        <w:rPr>
          <w:rFonts w:ascii="宋体" w:hAnsi="宋体" w:eastAsia="宋体" w:cs="宋体"/>
          <w:color w:val="auto"/>
          <w:highlight w:val="none"/>
        </w:rPr>
      </w:pPr>
    </w:p>
    <w:p w14:paraId="18F896CB">
      <w:pPr>
        <w:widowControl w:val="0"/>
        <w:spacing w:after="120"/>
        <w:jc w:val="both"/>
        <w:rPr>
          <w:rFonts w:ascii="宋体" w:hAnsi="宋体" w:eastAsia="宋体" w:cs="宋体"/>
          <w:color w:val="auto"/>
          <w:kern w:val="2"/>
          <w:sz w:val="21"/>
          <w:szCs w:val="24"/>
          <w:highlight w:val="none"/>
          <w:lang w:val="en-US" w:eastAsia="zh-CN" w:bidi="ar-SA"/>
        </w:rPr>
      </w:pPr>
    </w:p>
    <w:p w14:paraId="3C9B3EFA">
      <w:pPr>
        <w:widowControl w:val="0"/>
        <w:ind w:left="2940" w:leftChars="1400"/>
        <w:jc w:val="both"/>
        <w:rPr>
          <w:rFonts w:ascii="宋体" w:hAnsi="宋体" w:eastAsia="宋体" w:cs="宋体"/>
          <w:color w:val="auto"/>
          <w:kern w:val="2"/>
          <w:sz w:val="21"/>
          <w:szCs w:val="24"/>
          <w:highlight w:val="none"/>
          <w:lang w:val="en-US" w:eastAsia="zh-CN" w:bidi="ar-SA"/>
        </w:rPr>
      </w:pPr>
    </w:p>
    <w:p w14:paraId="658E928B">
      <w:pPr>
        <w:rPr>
          <w:rFonts w:ascii="宋体" w:hAnsi="宋体" w:eastAsia="宋体" w:cs="宋体"/>
          <w:color w:val="auto"/>
          <w:highlight w:val="none"/>
        </w:rPr>
      </w:pPr>
    </w:p>
    <w:p w14:paraId="7A5DDC19">
      <w:pPr>
        <w:widowControl w:val="0"/>
        <w:spacing w:after="120"/>
        <w:jc w:val="both"/>
        <w:rPr>
          <w:rFonts w:ascii="宋体" w:hAnsi="宋体" w:eastAsia="宋体" w:cs="宋体"/>
          <w:color w:val="auto"/>
          <w:kern w:val="2"/>
          <w:sz w:val="21"/>
          <w:szCs w:val="24"/>
          <w:highlight w:val="none"/>
          <w:lang w:val="en-US" w:eastAsia="zh-CN" w:bidi="ar-SA"/>
        </w:rPr>
      </w:pPr>
    </w:p>
    <w:p w14:paraId="1982645E">
      <w:pPr>
        <w:widowControl w:val="0"/>
        <w:ind w:left="2940" w:leftChars="1400"/>
        <w:jc w:val="both"/>
        <w:rPr>
          <w:rFonts w:ascii="宋体" w:hAnsi="宋体" w:eastAsia="宋体" w:cs="宋体"/>
          <w:color w:val="auto"/>
          <w:kern w:val="2"/>
          <w:sz w:val="21"/>
          <w:szCs w:val="24"/>
          <w:highlight w:val="none"/>
          <w:lang w:val="en-US" w:eastAsia="zh-CN" w:bidi="ar-SA"/>
        </w:rPr>
      </w:pPr>
    </w:p>
    <w:p w14:paraId="765251E6">
      <w:pPr>
        <w:rPr>
          <w:rFonts w:ascii="宋体" w:hAnsi="宋体" w:eastAsia="宋体" w:cs="宋体"/>
          <w:color w:val="auto"/>
          <w:highlight w:val="none"/>
        </w:rPr>
      </w:pPr>
    </w:p>
    <w:p w14:paraId="1FA2D1AB">
      <w:pPr>
        <w:spacing w:line="360" w:lineRule="auto"/>
        <w:jc w:val="both"/>
        <w:rPr>
          <w:rFonts w:ascii="宋体" w:hAnsi="宋体" w:cs="宋体"/>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6683212">
      <w:pPr>
        <w:pageBreakBefore/>
        <w:spacing w:line="360" w:lineRule="auto"/>
        <w:jc w:val="center"/>
        <w:rPr>
          <w:rFonts w:hint="eastAsia"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7655CA28">
      <w:pPr>
        <w:pStyle w:val="21"/>
        <w:spacing w:line="500" w:lineRule="exact"/>
        <w:ind w:left="-284"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致：  （</w:t>
      </w:r>
      <w:r>
        <w:rPr>
          <w:rFonts w:hint="eastAsia" w:asciiTheme="minorEastAsia" w:hAnsiTheme="minorEastAsia" w:eastAsiaTheme="minorEastAsia"/>
          <w:color w:val="auto"/>
          <w:sz w:val="24"/>
          <w:szCs w:val="24"/>
          <w:highlight w:val="none"/>
          <w:u w:val="single"/>
        </w:rPr>
        <w:t>采购人</w:t>
      </w:r>
      <w:r>
        <w:rPr>
          <w:rFonts w:asciiTheme="minorEastAsia" w:hAnsiTheme="minorEastAsia" w:eastAsiaTheme="minorEastAsia"/>
          <w:color w:val="auto"/>
          <w:sz w:val="24"/>
          <w:szCs w:val="24"/>
          <w:highlight w:val="none"/>
          <w:u w:val="single"/>
        </w:rPr>
        <w:t xml:space="preserve">）  </w:t>
      </w:r>
    </w:p>
    <w:p w14:paraId="543956C4">
      <w:pPr>
        <w:pStyle w:val="21"/>
        <w:spacing w:line="500" w:lineRule="exact"/>
        <w:ind w:firstLine="49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投标人全称</w:t>
      </w:r>
      <w:r>
        <w:rPr>
          <w:rFonts w:asciiTheme="minorEastAsia" w:hAnsiTheme="minorEastAsia" w:eastAsiaTheme="minorEastAsia"/>
          <w:color w:val="auto"/>
          <w:sz w:val="24"/>
          <w:szCs w:val="24"/>
          <w:highlight w:val="none"/>
          <w:u w:val="single"/>
        </w:rPr>
        <w:t>）       授权   （</w:t>
      </w:r>
      <w:r>
        <w:rPr>
          <w:rFonts w:hint="eastAsia" w:asciiTheme="minorEastAsia" w:hAnsiTheme="minorEastAsia" w:eastAsiaTheme="minorEastAsia"/>
          <w:color w:val="auto"/>
          <w:sz w:val="24"/>
          <w:szCs w:val="24"/>
          <w:highlight w:val="none"/>
          <w:u w:val="single"/>
        </w:rPr>
        <w:t>被授权人</w:t>
      </w:r>
      <w:r>
        <w:rPr>
          <w:rFonts w:asciiTheme="minorEastAsia" w:hAnsiTheme="minorEastAsia" w:eastAsiaTheme="minorEastAsia"/>
          <w:color w:val="auto"/>
          <w:sz w:val="24"/>
          <w:szCs w:val="24"/>
          <w:highlight w:val="none"/>
          <w:u w:val="single"/>
        </w:rPr>
        <w:t xml:space="preserve">姓名、职务）  </w:t>
      </w:r>
      <w:r>
        <w:rPr>
          <w:rFonts w:asciiTheme="minorEastAsia" w:hAnsiTheme="minorEastAsia" w:eastAsiaTheme="minorEastAsia"/>
          <w:color w:val="auto"/>
          <w:sz w:val="24"/>
          <w:szCs w:val="24"/>
          <w:highlight w:val="none"/>
        </w:rPr>
        <w:t xml:space="preserve"> 为本公司合法代理人，参加贵方组织的</w:t>
      </w:r>
      <w:r>
        <w:rPr>
          <w:rFonts w:asciiTheme="minorEastAsia" w:hAnsiTheme="minorEastAsia" w:eastAsiaTheme="minorEastAsia"/>
          <w:color w:val="auto"/>
          <w:sz w:val="24"/>
          <w:szCs w:val="24"/>
          <w:highlight w:val="none"/>
          <w:u w:val="single"/>
        </w:rPr>
        <w:t xml:space="preserve">   （项目编号、项目名称） </w:t>
      </w:r>
      <w:r>
        <w:rPr>
          <w:rFonts w:asciiTheme="minorEastAsia" w:hAnsiTheme="minorEastAsia" w:eastAsiaTheme="minorEastAsia"/>
          <w:color w:val="auto"/>
          <w:sz w:val="24"/>
          <w:szCs w:val="24"/>
          <w:highlight w:val="none"/>
        </w:rPr>
        <w:t xml:space="preserve"> 招投标活动，代表本公司处理招投标活动中的一切事宜。在此：</w:t>
      </w:r>
    </w:p>
    <w:p w14:paraId="36C28F52">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1、提供采购文件中“投标须知”规定的全部投标文件资料</w:t>
      </w:r>
      <w:r>
        <w:rPr>
          <w:rFonts w:hint="eastAsia" w:asciiTheme="minorEastAsia" w:hAnsiTheme="minorEastAsia" w:eastAsiaTheme="minorEastAsia"/>
          <w:color w:val="auto"/>
          <w:sz w:val="24"/>
          <w:szCs w:val="24"/>
          <w:highlight w:val="none"/>
        </w:rPr>
        <w:t>。</w:t>
      </w:r>
    </w:p>
    <w:p w14:paraId="610108C4">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、据此函，签字代表宣布并承诺如下：</w:t>
      </w:r>
    </w:p>
    <w:p w14:paraId="7FBA2815">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23A0A883">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（2）本投标自开标之日起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天</w:t>
      </w:r>
      <w:r>
        <w:rPr>
          <w:rFonts w:asciiTheme="minorEastAsia" w:hAnsiTheme="minorEastAsia" w:eastAsiaTheme="minorEastAsia"/>
          <w:color w:val="auto"/>
          <w:sz w:val="24"/>
          <w:szCs w:val="24"/>
          <w:highlight w:val="none"/>
        </w:rPr>
        <w:t>内有效。</w:t>
      </w:r>
    </w:p>
    <w:p w14:paraId="656D7F3B">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（3）保证遵守采购文件有关条款规定。</w:t>
      </w:r>
    </w:p>
    <w:p w14:paraId="34B6EBE0">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（4）保证在中标后忠实地执行与采购人所签署的合同，并承担合同规定的责任义务。保证在中标后按照采购文件的规定支付招标代理服务费。</w:t>
      </w:r>
    </w:p>
    <w:p w14:paraId="6883CA5D">
      <w:pPr>
        <w:pStyle w:val="21"/>
        <w:spacing w:line="500" w:lineRule="exact"/>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（5）承诺应贵方要求提供任何与该项目投标有关的数据、情况和技术资料。</w:t>
      </w:r>
    </w:p>
    <w:p w14:paraId="22F73165">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、我们郑重声明：</w:t>
      </w:r>
    </w:p>
    <w:p w14:paraId="002EC0D8">
      <w:pPr>
        <w:pStyle w:val="21"/>
        <w:tabs>
          <w:tab w:val="left" w:pos="426"/>
        </w:tabs>
        <w:spacing w:line="500" w:lineRule="exact"/>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CA8C715">
      <w:pPr>
        <w:pStyle w:val="21"/>
        <w:tabs>
          <w:tab w:val="left" w:pos="426"/>
        </w:tabs>
        <w:spacing w:line="50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、与本投标有关的一切往来通讯请寄：</w:t>
      </w:r>
    </w:p>
    <w:p w14:paraId="11EA3558">
      <w:pPr>
        <w:pStyle w:val="21"/>
        <w:spacing w:line="500" w:lineRule="exact"/>
        <w:ind w:left="480"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p>
    <w:p w14:paraId="610D221F">
      <w:pPr>
        <w:pStyle w:val="21"/>
        <w:spacing w:line="500" w:lineRule="exact"/>
        <w:ind w:left="480"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邮编：</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电话：</w:t>
      </w: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auto"/>
          <w:sz w:val="24"/>
          <w:szCs w:val="24"/>
          <w:highlight w:val="none"/>
        </w:rPr>
        <w:t>传真：</w:t>
      </w:r>
    </w:p>
    <w:p w14:paraId="4FE2DF18">
      <w:pPr>
        <w:pStyle w:val="21"/>
        <w:tabs>
          <w:tab w:val="left" w:pos="5340"/>
        </w:tabs>
        <w:spacing w:before="100" w:beforeAutospacing="1" w:after="100" w:afterAutospacing="1" w:line="240" w:lineRule="auto"/>
        <w:ind w:leftChars="1600" w:firstLine="0"/>
        <w:jc w:val="left"/>
        <w:rPr>
          <w:rFonts w:hint="eastAsia"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投标人名称</w:t>
      </w:r>
      <w:r>
        <w:rPr>
          <w:rFonts w:hint="eastAsia" w:asciiTheme="minorEastAsia" w:hAnsiTheme="minorEastAsia" w:eastAsiaTheme="minorEastAsia"/>
          <w:color w:val="auto"/>
          <w:sz w:val="24"/>
          <w:szCs w:val="24"/>
          <w:highlight w:val="none"/>
        </w:rPr>
        <w:t>（盖公章）：</w:t>
      </w:r>
      <w:r>
        <w:rPr>
          <w:rFonts w:asciiTheme="minorEastAsia" w:hAnsiTheme="minorEastAsia" w:eastAsiaTheme="minorEastAsia"/>
          <w:color w:val="auto"/>
          <w:sz w:val="24"/>
          <w:szCs w:val="24"/>
          <w:highlight w:val="none"/>
        </w:rPr>
        <w:tab/>
      </w:r>
    </w:p>
    <w:p w14:paraId="4D9581C5">
      <w:pPr>
        <w:spacing w:line="240" w:lineRule="auto"/>
        <w:ind w:leftChars="160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法定代表人或授权委托代理人（签字或盖章）：</w:t>
      </w:r>
    </w:p>
    <w:p w14:paraId="7BA04B8A">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ab/>
      </w:r>
    </w:p>
    <w:p w14:paraId="4F7ED954">
      <w:pPr>
        <w:spacing w:line="240" w:lineRule="auto"/>
        <w:ind w:leftChars="1600"/>
        <w:jc w:val="left"/>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日期：年   月</w:t>
      </w:r>
      <w:r>
        <w:rPr>
          <w:rFonts w:hint="eastAsia" w:asciiTheme="minorEastAsia" w:hAnsiTheme="minorEastAsia"/>
          <w:color w:val="auto"/>
          <w:sz w:val="24"/>
          <w:szCs w:val="24"/>
          <w:highlight w:val="none"/>
        </w:rPr>
        <w:t xml:space="preserve">  日</w:t>
      </w:r>
    </w:p>
    <w:p w14:paraId="336EF297">
      <w:pPr>
        <w:spacing w:line="500" w:lineRule="exact"/>
        <w:jc w:val="left"/>
        <w:rPr>
          <w:rFonts w:hint="eastAsia" w:asciiTheme="minorEastAsia" w:hAnsiTheme="minorEastAsia"/>
          <w:color w:val="auto"/>
          <w:highlight w:val="none"/>
        </w:rPr>
      </w:pPr>
      <w:r>
        <w:rPr>
          <w:rFonts w:hint="eastAsia" w:asciiTheme="minorEastAsia" w:hAnsiTheme="minorEastAsia"/>
          <w:color w:val="auto"/>
          <w:szCs w:val="21"/>
          <w:highlight w:val="none"/>
        </w:rPr>
        <w:t xml:space="preserve">    </w:t>
      </w:r>
    </w:p>
    <w:p w14:paraId="425D6824">
      <w:pPr>
        <w:widowControl/>
        <w:snapToGrid w:val="0"/>
        <w:spacing w:line="360" w:lineRule="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附：招标服务费支付承诺书</w:t>
      </w:r>
    </w:p>
    <w:p w14:paraId="14710C64">
      <w:pPr>
        <w:widowControl/>
        <w:snapToGrid w:val="0"/>
        <w:spacing w:line="360" w:lineRule="auto"/>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rPr>
        <w:t>代理服务费支付承诺书</w:t>
      </w:r>
    </w:p>
    <w:p w14:paraId="4FF50D9A">
      <w:pPr>
        <w:widowControl/>
        <w:snapToGrid w:val="0"/>
        <w:spacing w:line="360" w:lineRule="auto"/>
        <w:jc w:val="center"/>
        <w:rPr>
          <w:rFonts w:ascii="Times New Roman" w:hAnsi="Times New Roman"/>
          <w:b/>
          <w:color w:val="auto"/>
          <w:sz w:val="24"/>
          <w:szCs w:val="24"/>
          <w:highlight w:val="none"/>
        </w:rPr>
      </w:pPr>
    </w:p>
    <w:p w14:paraId="0717AC68">
      <w:pPr>
        <w:widowControl/>
        <w:snapToGrid w:val="0"/>
        <w:spacing w:line="360" w:lineRule="auto"/>
        <w:rPr>
          <w:rFonts w:ascii="Times New Roman" w:hAnsi="Times New Roman"/>
          <w:b/>
          <w:color w:val="auto"/>
          <w:sz w:val="24"/>
          <w:szCs w:val="24"/>
          <w:highlight w:val="none"/>
          <w:u w:val="single"/>
        </w:rPr>
      </w:pPr>
      <w:r>
        <w:rPr>
          <w:rFonts w:hint="eastAsia" w:ascii="Times New Roman" w:hAnsi="Times New Roman"/>
          <w:b/>
          <w:color w:val="auto"/>
          <w:sz w:val="24"/>
          <w:szCs w:val="24"/>
          <w:highlight w:val="none"/>
          <w:u w:val="single"/>
        </w:rPr>
        <w:t>致：中冠工程管理</w:t>
      </w:r>
      <w:r>
        <w:rPr>
          <w:rFonts w:ascii="Times New Roman" w:hAnsi="Times New Roman"/>
          <w:b/>
          <w:color w:val="auto"/>
          <w:sz w:val="24"/>
          <w:szCs w:val="24"/>
          <w:highlight w:val="none"/>
          <w:u w:val="single"/>
        </w:rPr>
        <w:t>咨询有限公司</w:t>
      </w:r>
    </w:p>
    <w:p w14:paraId="323DD4FE">
      <w:pPr>
        <w:widowControl/>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我公司已认真阅读了</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台州学院药学院酶催化实验室仪器设备采购项目</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项目采购</w:t>
      </w:r>
      <w:r>
        <w:rPr>
          <w:rFonts w:ascii="Times New Roman" w:hAnsi="Times New Roman"/>
          <w:color w:val="auto"/>
          <w:sz w:val="24"/>
          <w:szCs w:val="24"/>
          <w:highlight w:val="none"/>
        </w:rPr>
        <w:t>文件并在此承诺：</w:t>
      </w:r>
    </w:p>
    <w:p w14:paraId="0920EB7E">
      <w:pPr>
        <w:widowControl/>
        <w:snapToGrid w:val="0"/>
        <w:spacing w:line="360" w:lineRule="auto"/>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如在本项目中标，我公司将在</w:t>
      </w:r>
      <w:r>
        <w:rPr>
          <w:rFonts w:hint="eastAsia" w:ascii="Times New Roman" w:hAnsi="Times New Roman"/>
          <w:color w:val="auto"/>
          <w:sz w:val="24"/>
          <w:szCs w:val="24"/>
          <w:highlight w:val="none"/>
        </w:rPr>
        <w:t>结果公示</w:t>
      </w:r>
      <w:r>
        <w:rPr>
          <w:rFonts w:ascii="Times New Roman" w:hAnsi="Times New Roman"/>
          <w:color w:val="auto"/>
          <w:sz w:val="24"/>
          <w:szCs w:val="24"/>
          <w:highlight w:val="none"/>
        </w:rPr>
        <w:t>发布之日起</w:t>
      </w:r>
      <w:r>
        <w:rPr>
          <w:rFonts w:hint="eastAsia" w:ascii="Times New Roman" w:hAnsi="Times New Roman"/>
          <w:bCs/>
          <w:color w:val="auto"/>
          <w:sz w:val="24"/>
          <w:szCs w:val="24"/>
          <w:highlight w:val="none"/>
        </w:rPr>
        <w:t>7个工作日之内</w:t>
      </w:r>
      <w:r>
        <w:rPr>
          <w:rFonts w:ascii="Times New Roman" w:hAnsi="Times New Roman"/>
          <w:color w:val="auto"/>
          <w:sz w:val="24"/>
          <w:szCs w:val="24"/>
          <w:highlight w:val="none"/>
        </w:rPr>
        <w:t>按</w:t>
      </w:r>
      <w:r>
        <w:rPr>
          <w:rFonts w:hint="eastAsia" w:ascii="Times New Roman" w:hAnsi="Times New Roman"/>
          <w:color w:val="auto"/>
          <w:sz w:val="24"/>
          <w:szCs w:val="24"/>
          <w:highlight w:val="none"/>
        </w:rPr>
        <w:t>采购</w:t>
      </w:r>
      <w:r>
        <w:rPr>
          <w:rFonts w:ascii="Times New Roman" w:hAnsi="Times New Roman"/>
          <w:color w:val="auto"/>
          <w:sz w:val="24"/>
          <w:szCs w:val="24"/>
          <w:highlight w:val="none"/>
        </w:rPr>
        <w:t>文件规定的标准（金额）一次性向</w:t>
      </w:r>
      <w:r>
        <w:rPr>
          <w:rFonts w:hint="eastAsia" w:ascii="Times New Roman" w:hAnsi="Times New Roman"/>
          <w:color w:val="auto"/>
          <w:sz w:val="24"/>
          <w:szCs w:val="24"/>
          <w:highlight w:val="none"/>
        </w:rPr>
        <w:t>贵公司</w:t>
      </w:r>
      <w:r>
        <w:rPr>
          <w:rFonts w:hint="eastAsia" w:ascii="Times New Roman" w:hAnsi="Times New Roman"/>
          <w:bCs/>
          <w:color w:val="auto"/>
          <w:sz w:val="24"/>
          <w:szCs w:val="24"/>
          <w:highlight w:val="none"/>
        </w:rPr>
        <w:t>支付招标服务费。</w:t>
      </w:r>
    </w:p>
    <w:p w14:paraId="4EF704BC">
      <w:pPr>
        <w:widowControl/>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4"/>
          <w:highlight w:val="none"/>
        </w:rPr>
        <w:t>若我司未按上述承诺内容执行，我司自愿承担本项目招标服务费200%的违约金，且在中标通知书领取后5个工作日内支付上述违约金，否则由此引起的一切法律责任和经济责任由我公司承担。</w:t>
      </w:r>
    </w:p>
    <w:p w14:paraId="757D7078">
      <w:pPr>
        <w:widowControl/>
        <w:snapToGrid w:val="0"/>
        <w:spacing w:line="360" w:lineRule="auto"/>
        <w:ind w:left="479" w:leftChars="228"/>
        <w:rPr>
          <w:rFonts w:ascii="Times New Roman" w:hAnsi="Times New Roman"/>
          <w:b/>
          <w:color w:val="auto"/>
          <w:sz w:val="24"/>
          <w:szCs w:val="24"/>
          <w:highlight w:val="none"/>
        </w:rPr>
      </w:pPr>
    </w:p>
    <w:p w14:paraId="68509311">
      <w:pPr>
        <w:widowControl/>
        <w:snapToGrid w:val="0"/>
        <w:spacing w:line="360" w:lineRule="auto"/>
        <w:rPr>
          <w:rFonts w:ascii="Times New Roman" w:hAnsi="Times New Roman"/>
          <w:color w:val="auto"/>
          <w:sz w:val="24"/>
          <w:szCs w:val="24"/>
          <w:highlight w:val="none"/>
        </w:rPr>
      </w:pPr>
    </w:p>
    <w:p w14:paraId="7626ED88">
      <w:pPr>
        <w:widowControl/>
        <w:snapToGrid w:val="0"/>
        <w:spacing w:line="360" w:lineRule="auto"/>
        <w:rPr>
          <w:rFonts w:ascii="Times New Roman" w:hAnsi="Times New Roman"/>
          <w:color w:val="auto"/>
          <w:sz w:val="24"/>
          <w:szCs w:val="24"/>
          <w:highlight w:val="none"/>
        </w:rPr>
      </w:pPr>
    </w:p>
    <w:p w14:paraId="4E736BFF">
      <w:pPr>
        <w:widowControl/>
        <w:snapToGrid w:val="0"/>
        <w:spacing w:line="360" w:lineRule="auto"/>
        <w:rPr>
          <w:rFonts w:ascii="Times New Roman" w:hAnsi="Times New Roman"/>
          <w:color w:val="auto"/>
          <w:sz w:val="24"/>
          <w:szCs w:val="24"/>
          <w:highlight w:val="none"/>
        </w:rPr>
      </w:pPr>
    </w:p>
    <w:p w14:paraId="3D02FD90">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投标人名称（公章）：</w:t>
      </w:r>
    </w:p>
    <w:p w14:paraId="36C654AE">
      <w:pPr>
        <w:spacing w:line="48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法定代表人/负责人或授权代表（签字或盖章）：                       </w:t>
      </w:r>
    </w:p>
    <w:p w14:paraId="71AB691B">
      <w:pPr>
        <w:widowControl/>
        <w:snapToGrid w:val="0"/>
        <w:spacing w:line="480" w:lineRule="auto"/>
        <w:ind w:right="375"/>
        <w:rPr>
          <w:rFonts w:ascii="Times New Roman" w:hAnsi="Times New Roman"/>
          <w:color w:val="auto"/>
          <w:sz w:val="24"/>
          <w:szCs w:val="24"/>
          <w:highlight w:val="none"/>
        </w:rPr>
      </w:pPr>
      <w:r>
        <w:rPr>
          <w:rFonts w:hint="eastAsia" w:ascii="Times New Roman" w:hAnsi="Times New Roman"/>
          <w:color w:val="auto"/>
          <w:sz w:val="24"/>
          <w:szCs w:val="24"/>
          <w:highlight w:val="none"/>
        </w:rPr>
        <w:t>日期：</w:t>
      </w:r>
    </w:p>
    <w:p w14:paraId="57EC1F1A">
      <w:pPr>
        <w:widowControl/>
        <w:snapToGrid w:val="0"/>
        <w:spacing w:line="360" w:lineRule="auto"/>
        <w:ind w:right="480"/>
        <w:rPr>
          <w:rFonts w:ascii="Times New Roman" w:hAnsi="Times New Roman"/>
          <w:color w:val="auto"/>
          <w:sz w:val="24"/>
          <w:szCs w:val="24"/>
          <w:highlight w:val="none"/>
        </w:rPr>
      </w:pPr>
    </w:p>
    <w:p w14:paraId="187210AC">
      <w:pPr>
        <w:widowControl/>
        <w:snapToGrid w:val="0"/>
        <w:spacing w:line="360" w:lineRule="auto"/>
        <w:ind w:right="480"/>
        <w:rPr>
          <w:rFonts w:ascii="Times New Roman" w:hAnsi="Times New Roman"/>
          <w:color w:val="auto"/>
          <w:sz w:val="24"/>
          <w:szCs w:val="24"/>
          <w:highlight w:val="none"/>
        </w:rPr>
      </w:pPr>
    </w:p>
    <w:p w14:paraId="6AF6635C">
      <w:pPr>
        <w:widowControl/>
        <w:snapToGrid w:val="0"/>
        <w:spacing w:line="360" w:lineRule="auto"/>
        <w:ind w:right="480"/>
        <w:rPr>
          <w:rFonts w:ascii="Times New Roman" w:hAnsi="Times New Roman"/>
          <w:color w:val="auto"/>
          <w:sz w:val="24"/>
          <w:szCs w:val="24"/>
          <w:highlight w:val="none"/>
        </w:rPr>
      </w:pPr>
    </w:p>
    <w:p w14:paraId="094EA834">
      <w:pPr>
        <w:widowControl/>
        <w:snapToGrid w:val="0"/>
        <w:spacing w:line="360" w:lineRule="auto"/>
        <w:ind w:right="480"/>
        <w:rPr>
          <w:rFonts w:ascii="Times New Roman" w:hAnsi="Times New Roman"/>
          <w:color w:val="auto"/>
          <w:sz w:val="24"/>
          <w:szCs w:val="24"/>
          <w:highlight w:val="none"/>
        </w:rPr>
      </w:pPr>
    </w:p>
    <w:p w14:paraId="29977609">
      <w:pPr>
        <w:widowControl/>
        <w:snapToGrid w:val="0"/>
        <w:spacing w:line="360" w:lineRule="auto"/>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中冠工程</w:t>
      </w:r>
      <w:r>
        <w:rPr>
          <w:rFonts w:ascii="Times New Roman" w:hAnsi="Times New Roman"/>
          <w:color w:val="auto"/>
          <w:sz w:val="24"/>
          <w:szCs w:val="24"/>
          <w:highlight w:val="none"/>
        </w:rPr>
        <w:t>管理咨询有限</w:t>
      </w:r>
      <w:r>
        <w:rPr>
          <w:rFonts w:hint="eastAsia" w:ascii="Times New Roman" w:hAnsi="Times New Roman"/>
          <w:color w:val="auto"/>
          <w:sz w:val="24"/>
          <w:szCs w:val="24"/>
          <w:highlight w:val="none"/>
        </w:rPr>
        <w:t>公司代理服务费收取账号信息：</w:t>
      </w:r>
    </w:p>
    <w:p w14:paraId="3297F204">
      <w:pPr>
        <w:pStyle w:val="21"/>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开户银行：中国农业银行股份有限公司台州经济开发区支行</w:t>
      </w:r>
    </w:p>
    <w:p w14:paraId="0A2C4684">
      <w:pPr>
        <w:pStyle w:val="21"/>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户名：中冠工程管理咨询有限公司台州分公司</w:t>
      </w:r>
    </w:p>
    <w:p w14:paraId="5F99FF3B">
      <w:pPr>
        <w:snapToGrid w:val="0"/>
        <w:spacing w:before="50" w:after="50"/>
        <w:rPr>
          <w:rFonts w:ascii="Times New Roman" w:hAnsi="Times New Roman" w:eastAsia="宋体"/>
          <w:color w:val="auto"/>
          <w:sz w:val="24"/>
          <w:szCs w:val="24"/>
          <w:highlight w:val="none"/>
        </w:rPr>
      </w:pPr>
      <w:r>
        <w:rPr>
          <w:rFonts w:hint="eastAsia" w:cs="Times New Roman" w:asciiTheme="minorEastAsia" w:hAnsiTheme="minorEastAsia"/>
          <w:color w:val="auto"/>
          <w:sz w:val="24"/>
          <w:szCs w:val="24"/>
          <w:highlight w:val="none"/>
        </w:rPr>
        <w:t>账号：19900101040031566</w:t>
      </w:r>
    </w:p>
    <w:p w14:paraId="37A6D9E8">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7E0350C3">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65AC3C9A">
      <w:pPr>
        <w:spacing w:line="360" w:lineRule="auto"/>
        <w:jc w:val="center"/>
        <w:rPr>
          <w:rFonts w:hint="eastAsia" w:cs="宋体" w:asciiTheme="minorEastAsia" w:hAnsiTheme="minorEastAsia" w:eastAsiaTheme="minorEastAsia"/>
          <w:b/>
          <w:bCs/>
          <w:color w:val="auto"/>
          <w:kern w:val="0"/>
          <w:sz w:val="32"/>
          <w:szCs w:val="32"/>
          <w:highlight w:val="none"/>
          <w:lang w:eastAsia="zh-CN"/>
        </w:rPr>
      </w:pPr>
    </w:p>
    <w:p w14:paraId="622FAFA6">
      <w:pPr>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二</w:t>
      </w:r>
      <w:r>
        <w:rPr>
          <w:rFonts w:hint="eastAsia" w:cs="宋体" w:asciiTheme="minorEastAsia" w:hAnsiTheme="minorEastAsia" w:eastAsiaTheme="minorEastAsia"/>
          <w:b/>
          <w:bCs/>
          <w:color w:val="auto"/>
          <w:kern w:val="0"/>
          <w:sz w:val="32"/>
          <w:szCs w:val="32"/>
          <w:highlight w:val="none"/>
        </w:rPr>
        <w:t>、</w:t>
      </w:r>
      <w:r>
        <w:rPr>
          <w:rFonts w:cs="宋体" w:asciiTheme="minorEastAsia" w:hAnsiTheme="minorEastAsia" w:eastAsiaTheme="minorEastAsia"/>
          <w:b/>
          <w:bCs/>
          <w:color w:val="auto"/>
          <w:kern w:val="0"/>
          <w:sz w:val="32"/>
          <w:szCs w:val="32"/>
          <w:highlight w:val="none"/>
        </w:rPr>
        <w:t>开标一览表</w:t>
      </w:r>
    </w:p>
    <w:p w14:paraId="098471AF">
      <w:pPr>
        <w:tabs>
          <w:tab w:val="left" w:pos="8280"/>
        </w:tabs>
        <w:autoSpaceDE w:val="0"/>
        <w:autoSpaceDN w:val="0"/>
        <w:adjustRightInd w:val="0"/>
        <w:spacing w:line="300" w:lineRule="exact"/>
        <w:ind w:firstLine="360" w:firstLineChars="1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项目名称：</w:t>
      </w:r>
      <w:r>
        <w:rPr>
          <w:rFonts w:hint="eastAsia" w:ascii="宋体" w:hAnsi="宋体" w:cs="宋体"/>
          <w:color w:val="auto"/>
          <w:sz w:val="24"/>
          <w:highlight w:val="none"/>
          <w:lang w:val="en-US" w:eastAsia="zh-CN"/>
        </w:rPr>
        <w:t xml:space="preserve">   </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4125"/>
        <w:gridCol w:w="1735"/>
      </w:tblGrid>
      <w:tr w14:paraId="4252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045B0E64">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46" w:type="dxa"/>
            <w:vAlign w:val="center"/>
          </w:tcPr>
          <w:p w14:paraId="5063BDE5">
            <w:pPr>
              <w:keepNext w:val="0"/>
              <w:keepLines w:val="0"/>
              <w:suppressLineNumbers w:val="0"/>
              <w:spacing w:before="0" w:beforeAutospacing="0" w:after="0" w:afterAutospacing="0" w:line="360" w:lineRule="auto"/>
              <w:ind w:left="42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w:t>
            </w:r>
          </w:p>
        </w:tc>
        <w:tc>
          <w:tcPr>
            <w:tcW w:w="4125" w:type="dxa"/>
            <w:vAlign w:val="center"/>
          </w:tcPr>
          <w:p w14:paraId="12504252">
            <w:pPr>
              <w:keepNext w:val="0"/>
              <w:keepLines w:val="0"/>
              <w:suppressLineNumbers w:val="0"/>
              <w:spacing w:before="0" w:beforeAutospacing="0" w:after="0" w:afterAutospacing="0" w:line="360" w:lineRule="auto"/>
              <w:ind w:left="42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投标报价</w:t>
            </w:r>
          </w:p>
        </w:tc>
        <w:tc>
          <w:tcPr>
            <w:tcW w:w="1735" w:type="dxa"/>
            <w:vAlign w:val="center"/>
          </w:tcPr>
          <w:p w14:paraId="25927E2F">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579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1FF24CE3">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6" w:type="dxa"/>
            <w:vMerge w:val="restart"/>
            <w:vAlign w:val="center"/>
          </w:tcPr>
          <w:p w14:paraId="07BB9326">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52410E7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1735" w:type="dxa"/>
            <w:vMerge w:val="restart"/>
            <w:vAlign w:val="center"/>
          </w:tcPr>
          <w:p w14:paraId="07CCDFB1">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3264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1A19CC1E">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2546" w:type="dxa"/>
            <w:vMerge w:val="continue"/>
            <w:vAlign w:val="center"/>
          </w:tcPr>
          <w:p w14:paraId="3F54584C">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c>
          <w:tcPr>
            <w:tcW w:w="4125" w:type="dxa"/>
            <w:vAlign w:val="center"/>
          </w:tcPr>
          <w:p w14:paraId="11399477">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1735" w:type="dxa"/>
            <w:vMerge w:val="continue"/>
            <w:vAlign w:val="center"/>
          </w:tcPr>
          <w:p w14:paraId="69AA1666">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r w14:paraId="66A0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57F3ADD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r>
              <w:rPr>
                <w:rFonts w:hint="default" w:ascii="宋体" w:hAnsi="宋体" w:eastAsia="宋体" w:cs="宋体"/>
                <w:color w:val="auto"/>
                <w:sz w:val="24"/>
                <w:highlight w:val="none"/>
              </w:rPr>
              <w:t>交货期</w:t>
            </w:r>
          </w:p>
        </w:tc>
        <w:tc>
          <w:tcPr>
            <w:tcW w:w="5860" w:type="dxa"/>
            <w:gridSpan w:val="2"/>
            <w:vAlign w:val="center"/>
          </w:tcPr>
          <w:p w14:paraId="5AED4B52">
            <w:pPr>
              <w:keepNext w:val="0"/>
              <w:keepLines w:val="0"/>
              <w:suppressLineNumbers w:val="0"/>
              <w:spacing w:before="0" w:beforeAutospacing="0" w:after="0" w:afterAutospacing="0" w:line="360" w:lineRule="auto"/>
              <w:ind w:left="420" w:right="0"/>
              <w:rPr>
                <w:rFonts w:hint="default" w:ascii="宋体" w:hAnsi="宋体" w:eastAsia="宋体" w:cs="宋体"/>
                <w:color w:val="auto"/>
                <w:sz w:val="24"/>
                <w:highlight w:val="none"/>
              </w:rPr>
            </w:pPr>
          </w:p>
        </w:tc>
      </w:tr>
    </w:tbl>
    <w:p w14:paraId="26429C92">
      <w:pPr>
        <w:pStyle w:val="126"/>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填报要求：</w:t>
      </w:r>
    </w:p>
    <w:p w14:paraId="6D761ABF">
      <w:pPr>
        <w:spacing w:line="360" w:lineRule="auto"/>
        <w:ind w:left="420"/>
        <w:rPr>
          <w:rFonts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04A0871A">
      <w:pPr>
        <w:spacing w:line="360" w:lineRule="auto"/>
        <w:ind w:left="420"/>
        <w:rPr>
          <w:rFonts w:ascii="宋体" w:hAnsi="宋体" w:cs="宋体"/>
          <w:color w:val="auto"/>
          <w:sz w:val="24"/>
          <w:highlight w:val="none"/>
        </w:rPr>
      </w:pPr>
      <w:r>
        <w:rPr>
          <w:rFonts w:ascii="宋体" w:hAnsi="宋体" w:cs="宋体"/>
          <w:color w:val="auto"/>
          <w:sz w:val="24"/>
          <w:highlight w:val="none"/>
        </w:rPr>
        <w:t>2.</w:t>
      </w:r>
      <w:r>
        <w:rPr>
          <w:rFonts w:hint="eastAsia" w:ascii="宋体"/>
          <w:color w:val="auto"/>
          <w:kern w:val="0"/>
          <w:sz w:val="24"/>
          <w:szCs w:val="20"/>
          <w:highlight w:val="none"/>
        </w:rPr>
        <w:t>▲</w:t>
      </w:r>
      <w:r>
        <w:rPr>
          <w:rFonts w:hint="eastAsia" w:ascii="宋体" w:hAnsi="宋体" w:cs="宋体"/>
          <w:color w:val="auto"/>
          <w:sz w:val="24"/>
          <w:highlight w:val="none"/>
        </w:rPr>
        <w:t>投标报价应是采购文件所确定的招标范围内全部工作内容的价格表现。</w:t>
      </w:r>
      <w:r>
        <w:rPr>
          <w:rFonts w:hint="eastAsia" w:ascii="宋体"/>
          <w:color w:val="auto"/>
          <w:kern w:val="0"/>
          <w:sz w:val="24"/>
          <w:szCs w:val="20"/>
          <w:highlight w:val="none"/>
        </w:rPr>
        <w:t>所有设备（含进口和非进口）均采用人民币报价。本项目的成交报价应包含</w:t>
      </w:r>
      <w:r>
        <w:rPr>
          <w:rFonts w:hint="eastAsia" w:hAnsi="宋体"/>
          <w:color w:val="auto"/>
          <w:sz w:val="24"/>
          <w:highlight w:val="none"/>
        </w:rPr>
        <w:t>货款、标准附件、备品备件、专用工具、包装、运输、装卸、保险、税金、货到就位以及安装、调试、培训、保修、</w:t>
      </w:r>
      <w:r>
        <w:rPr>
          <w:rFonts w:hint="eastAsia" w:hAnsi="宋体"/>
          <w:b/>
          <w:color w:val="auto"/>
          <w:sz w:val="24"/>
          <w:highlight w:val="none"/>
        </w:rPr>
        <w:t>进口设备的外贸代理费</w:t>
      </w:r>
      <w:r>
        <w:rPr>
          <w:rFonts w:hint="eastAsia" w:hAnsi="宋体"/>
          <w:color w:val="auto"/>
          <w:sz w:val="24"/>
          <w:highlight w:val="none"/>
        </w:rPr>
        <w:t>等一切税金和费用</w:t>
      </w:r>
      <w:r>
        <w:rPr>
          <w:rFonts w:ascii="宋体" w:hAnsi="宋体" w:cs="宋体"/>
          <w:color w:val="auto"/>
          <w:sz w:val="24"/>
          <w:highlight w:val="none"/>
        </w:rPr>
        <w:t>。</w:t>
      </w:r>
    </w:p>
    <w:p w14:paraId="6CD6DB66">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投标人名称（盖公章）：</w:t>
      </w:r>
    </w:p>
    <w:p w14:paraId="2BBC556C">
      <w:pPr>
        <w:spacing w:line="600" w:lineRule="auto"/>
        <w:ind w:leftChars="1900"/>
        <w:jc w:val="left"/>
        <w:rPr>
          <w:rFonts w:ascii="宋体" w:hAnsi="宋体" w:cs="宋体"/>
          <w:color w:val="auto"/>
          <w:sz w:val="24"/>
          <w:highlight w:val="none"/>
        </w:rPr>
      </w:pPr>
      <w:r>
        <w:rPr>
          <w:rFonts w:hint="eastAsia" w:ascii="宋体" w:hAnsi="宋体" w:cs="宋体"/>
          <w:color w:val="auto"/>
          <w:sz w:val="24"/>
          <w:highlight w:val="none"/>
        </w:rPr>
        <w:t>法定代表人或代理人（签字或盖章）：</w:t>
      </w:r>
    </w:p>
    <w:p w14:paraId="68BA9993">
      <w:pPr>
        <w:spacing w:line="600" w:lineRule="auto"/>
        <w:ind w:leftChars="1900"/>
        <w:jc w:val="left"/>
        <w:rPr>
          <w:rFonts w:hint="eastAsia" w:ascii="宋体" w:hAnsi="宋体" w:cs="宋体"/>
          <w:color w:val="auto"/>
          <w:sz w:val="24"/>
          <w:highlight w:val="none"/>
        </w:rPr>
        <w:sectPr>
          <w:footerReference r:id="rId15" w:type="default"/>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color w:val="auto"/>
          <w:sz w:val="24"/>
          <w:highlight w:val="none"/>
        </w:rPr>
        <w:t>日        期：</w:t>
      </w:r>
    </w:p>
    <w:p w14:paraId="5DF7A0F8">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val="en-US" w:eastAsia="zh-CN"/>
        </w:rPr>
        <w:t>三</w:t>
      </w:r>
      <w:r>
        <w:rPr>
          <w:rFonts w:hint="eastAsia" w:cs="宋体" w:asciiTheme="minorEastAsia" w:hAnsiTheme="minorEastAsia" w:eastAsiaTheme="minorEastAsia"/>
          <w:b/>
          <w:bCs/>
          <w:color w:val="auto"/>
          <w:kern w:val="0"/>
          <w:sz w:val="32"/>
          <w:szCs w:val="32"/>
          <w:highlight w:val="none"/>
        </w:rPr>
        <w:t>、报价明细表</w:t>
      </w:r>
    </w:p>
    <w:p w14:paraId="6E8A8AFD">
      <w:pPr>
        <w:tabs>
          <w:tab w:val="left" w:pos="8280"/>
        </w:tabs>
        <w:autoSpaceDE w:val="0"/>
        <w:autoSpaceDN w:val="0"/>
        <w:adjustRightInd w:val="0"/>
        <w:spacing w:line="300" w:lineRule="exact"/>
        <w:rPr>
          <w:rFonts w:hint="eastAsia" w:ascii="Arial" w:hAnsi="Arial" w:eastAsia="新宋体" w:cs="Arial"/>
          <w:b/>
          <w:bCs w:val="0"/>
          <w:color w:val="auto"/>
          <w:sz w:val="24"/>
          <w:highlight w:val="none"/>
          <w:lang w:val="en-US" w:eastAsia="zh-CN"/>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hint="eastAsia" w:ascii="Arial" w:hAnsi="Arial" w:cs="Arial"/>
          <w:b/>
          <w:color w:val="auto"/>
          <w:sz w:val="24"/>
          <w:highlight w:val="none"/>
          <w:lang w:val="en-US" w:eastAsia="zh-CN"/>
        </w:rPr>
        <w:t xml:space="preserve">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lang w:val="en-US" w:eastAsia="zh-CN"/>
        </w:rPr>
        <w:t xml:space="preserve">  </w:t>
      </w:r>
      <w:r>
        <w:rPr>
          <w:rFonts w:hint="eastAsia" w:ascii="Arial" w:hAnsi="Arial" w:eastAsia="新宋体" w:cs="Arial"/>
          <w:b/>
          <w:bCs w:val="0"/>
          <w:color w:val="auto"/>
          <w:sz w:val="24"/>
          <w:highlight w:val="none"/>
          <w:lang w:val="en-US" w:eastAsia="zh-CN"/>
        </w:rPr>
        <w:t xml:space="preserve">  </w:t>
      </w:r>
    </w:p>
    <w:p w14:paraId="1B89B72C">
      <w:pPr>
        <w:tabs>
          <w:tab w:val="left" w:pos="8280"/>
        </w:tabs>
        <w:autoSpaceDE w:val="0"/>
        <w:autoSpaceDN w:val="0"/>
        <w:adjustRightInd w:val="0"/>
        <w:spacing w:line="300" w:lineRule="exact"/>
        <w:rPr>
          <w:rFonts w:hint="eastAsia" w:ascii="Arial" w:hAnsi="Arial" w:eastAsia="新宋体" w:cs="Arial"/>
          <w:b/>
          <w:bCs w:val="0"/>
          <w:color w:val="auto"/>
          <w:sz w:val="24"/>
          <w:highlight w:val="none"/>
          <w:lang w:val="en-US" w:eastAsia="zh-CN"/>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808"/>
        <w:gridCol w:w="2039"/>
        <w:gridCol w:w="1275"/>
        <w:gridCol w:w="781"/>
        <w:gridCol w:w="567"/>
        <w:gridCol w:w="623"/>
        <w:gridCol w:w="623"/>
        <w:gridCol w:w="485"/>
        <w:gridCol w:w="485"/>
      </w:tblGrid>
      <w:tr w14:paraId="2D58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92FF0FF">
            <w:pPr>
              <w:keepNext w:val="0"/>
              <w:keepLines w:val="0"/>
              <w:suppressLineNumbers w:val="0"/>
              <w:tabs>
                <w:tab w:val="left" w:pos="8280"/>
              </w:tabs>
              <w:autoSpaceDE w:val="0"/>
              <w:autoSpaceDN w:val="0"/>
              <w:adjustRightInd w:val="0"/>
              <w:spacing w:before="0" w:beforeAutospacing="0" w:after="0" w:afterAutospacing="0" w:line="288" w:lineRule="auto"/>
              <w:ind w:left="0" w:right="25"/>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8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647F72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设备名称</w:t>
            </w:r>
          </w:p>
          <w:p w14:paraId="73812D4A">
            <w:pPr>
              <w:keepNext w:val="0"/>
              <w:keepLines w:val="0"/>
              <w:suppressLineNumbers w:val="0"/>
              <w:tabs>
                <w:tab w:val="left" w:pos="8280"/>
              </w:tabs>
              <w:autoSpaceDE w:val="0"/>
              <w:autoSpaceDN w:val="0"/>
              <w:adjustRightInd w:val="0"/>
              <w:spacing w:before="0" w:beforeAutospacing="0" w:after="0" w:afterAutospacing="0" w:line="288" w:lineRule="auto"/>
              <w:ind w:left="0" w:right="25"/>
              <w:jc w:val="center"/>
              <w:rPr>
                <w:rFonts w:hint="eastAsia" w:asciiTheme="minorEastAsia" w:hAnsiTheme="minorEastAsia" w:eastAsiaTheme="minorEastAsia" w:cstheme="minorEastAsia"/>
                <w:b/>
                <w:color w:val="auto"/>
                <w:sz w:val="24"/>
                <w:szCs w:val="24"/>
                <w:highlight w:val="none"/>
              </w:rPr>
            </w:pPr>
            <w:r>
              <w:rPr>
                <w:rFonts w:hint="eastAsia" w:ascii="宋体" w:hAnsi="宋体" w:cs="宋体"/>
                <w:b/>
                <w:bCs/>
                <w:color w:val="auto"/>
                <w:sz w:val="24"/>
                <w:highlight w:val="none"/>
              </w:rPr>
              <w:t>（采购标的）</w:t>
            </w:r>
          </w:p>
        </w:tc>
        <w:tc>
          <w:tcPr>
            <w:tcW w:w="204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DF108F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制造商名称（全称）</w:t>
            </w:r>
          </w:p>
        </w:tc>
        <w:tc>
          <w:tcPr>
            <w:tcW w:w="12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4E2FA5E5">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是否是</w:t>
            </w:r>
            <w:r>
              <w:rPr>
                <w:rFonts w:hint="eastAsia" w:asciiTheme="minorEastAsia" w:hAnsiTheme="minorEastAsia" w:eastAsiaTheme="minorEastAsia" w:cstheme="minorEastAsia"/>
                <w:b/>
                <w:bCs/>
                <w:color w:val="auto"/>
                <w:sz w:val="24"/>
                <w:szCs w:val="24"/>
                <w:highlight w:val="none"/>
                <w:lang w:eastAsia="zh-CN"/>
              </w:rPr>
              <w:t>中</w:t>
            </w:r>
            <w:r>
              <w:rPr>
                <w:rFonts w:hint="eastAsia" w:asciiTheme="minorEastAsia" w:hAnsiTheme="minorEastAsia" w:eastAsiaTheme="minorEastAsia" w:cstheme="minorEastAsia"/>
                <w:b/>
                <w:bCs/>
                <w:color w:val="auto"/>
                <w:sz w:val="24"/>
                <w:szCs w:val="24"/>
                <w:highlight w:val="none"/>
              </w:rPr>
              <w:t>小微企业</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4DE14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品牌、产地</w:t>
            </w:r>
          </w:p>
          <w:p w14:paraId="72D92C0F">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（如有）</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70D851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型号和规格</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C2AFEA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98A948A">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D34AD99">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单价</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7B5B399">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总价</w:t>
            </w:r>
          </w:p>
        </w:tc>
      </w:tr>
      <w:tr w14:paraId="5020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06F97BB">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09" w:type="dxa"/>
            <w:tcBorders>
              <w:top w:val="single" w:color="auto" w:sz="4" w:space="0"/>
              <w:left w:val="single" w:color="auto" w:sz="4" w:space="0"/>
              <w:bottom w:val="single" w:color="auto" w:sz="4" w:space="0"/>
              <w:right w:val="single" w:color="auto" w:sz="4" w:space="0"/>
            </w:tcBorders>
            <w:vAlign w:val="center"/>
          </w:tcPr>
          <w:p w14:paraId="625A1C7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高效液相色谱仪</w:t>
            </w:r>
          </w:p>
        </w:tc>
        <w:tc>
          <w:tcPr>
            <w:tcW w:w="2040" w:type="dxa"/>
            <w:tcBorders>
              <w:top w:val="single" w:color="auto" w:sz="4" w:space="0"/>
              <w:left w:val="single" w:color="auto" w:sz="4" w:space="0"/>
              <w:bottom w:val="single" w:color="auto" w:sz="4" w:space="0"/>
              <w:right w:val="single" w:color="auto" w:sz="4" w:space="0"/>
            </w:tcBorders>
            <w:vAlign w:val="center"/>
          </w:tcPr>
          <w:p w14:paraId="145B6144">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7DBADC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96585F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0F8F687">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18CEF65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23" w:type="dxa"/>
            <w:tcBorders>
              <w:top w:val="single" w:color="auto" w:sz="4" w:space="0"/>
              <w:left w:val="single" w:color="auto" w:sz="4" w:space="0"/>
              <w:bottom w:val="single" w:color="auto" w:sz="4" w:space="0"/>
              <w:right w:val="single" w:color="auto" w:sz="4" w:space="0"/>
            </w:tcBorders>
            <w:vAlign w:val="center"/>
          </w:tcPr>
          <w:p w14:paraId="15C8F7C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0" w:type="auto"/>
            <w:tcBorders>
              <w:top w:val="single" w:color="auto" w:sz="4" w:space="0"/>
              <w:left w:val="single" w:color="auto" w:sz="4" w:space="0"/>
              <w:bottom w:val="single" w:color="auto" w:sz="4" w:space="0"/>
              <w:right w:val="single" w:color="auto" w:sz="4" w:space="0"/>
            </w:tcBorders>
            <w:vAlign w:val="center"/>
          </w:tcPr>
          <w:p w14:paraId="4F627C05">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9573DE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r>
      <w:tr w14:paraId="6C48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2A4C01F">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09" w:type="dxa"/>
            <w:tcBorders>
              <w:top w:val="single" w:color="auto" w:sz="4" w:space="0"/>
              <w:left w:val="single" w:color="auto" w:sz="4" w:space="0"/>
              <w:bottom w:val="single" w:color="auto" w:sz="4" w:space="0"/>
              <w:right w:val="single" w:color="auto" w:sz="4" w:space="0"/>
            </w:tcBorders>
            <w:vAlign w:val="center"/>
          </w:tcPr>
          <w:p w14:paraId="21E749BD">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多功能酶标仪</w:t>
            </w:r>
          </w:p>
        </w:tc>
        <w:tc>
          <w:tcPr>
            <w:tcW w:w="2040" w:type="dxa"/>
            <w:tcBorders>
              <w:top w:val="single" w:color="auto" w:sz="4" w:space="0"/>
              <w:left w:val="single" w:color="auto" w:sz="4" w:space="0"/>
              <w:bottom w:val="single" w:color="auto" w:sz="4" w:space="0"/>
              <w:right w:val="single" w:color="auto" w:sz="4" w:space="0"/>
            </w:tcBorders>
            <w:vAlign w:val="center"/>
          </w:tcPr>
          <w:p w14:paraId="7539FF66">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B9EC9D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79CAB53">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AF0E78D">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3A49790B">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23" w:type="dxa"/>
            <w:tcBorders>
              <w:top w:val="single" w:color="auto" w:sz="4" w:space="0"/>
              <w:left w:val="single" w:color="auto" w:sz="4" w:space="0"/>
              <w:bottom w:val="single" w:color="auto" w:sz="4" w:space="0"/>
              <w:right w:val="single" w:color="auto" w:sz="4" w:space="0"/>
            </w:tcBorders>
            <w:vAlign w:val="center"/>
          </w:tcPr>
          <w:p w14:paraId="5AC188A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0" w:type="auto"/>
            <w:tcBorders>
              <w:top w:val="single" w:color="auto" w:sz="4" w:space="0"/>
              <w:left w:val="single" w:color="auto" w:sz="4" w:space="0"/>
              <w:bottom w:val="single" w:color="auto" w:sz="4" w:space="0"/>
              <w:right w:val="single" w:color="auto" w:sz="4" w:space="0"/>
            </w:tcBorders>
            <w:vAlign w:val="center"/>
          </w:tcPr>
          <w:p w14:paraId="7B646A27">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2D115B3">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r>
      <w:tr w14:paraId="7360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BFCEC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09" w:type="dxa"/>
            <w:tcBorders>
              <w:top w:val="single" w:color="auto" w:sz="4" w:space="0"/>
              <w:left w:val="single" w:color="auto" w:sz="4" w:space="0"/>
              <w:bottom w:val="single" w:color="auto" w:sz="4" w:space="0"/>
              <w:right w:val="single" w:color="auto" w:sz="4" w:space="0"/>
            </w:tcBorders>
            <w:vAlign w:val="center"/>
          </w:tcPr>
          <w:p w14:paraId="18E7475E">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超微量紫外分光光度计</w:t>
            </w:r>
          </w:p>
        </w:tc>
        <w:tc>
          <w:tcPr>
            <w:tcW w:w="2040" w:type="dxa"/>
            <w:tcBorders>
              <w:top w:val="single" w:color="auto" w:sz="4" w:space="0"/>
              <w:left w:val="single" w:color="auto" w:sz="4" w:space="0"/>
              <w:bottom w:val="single" w:color="auto" w:sz="4" w:space="0"/>
              <w:right w:val="single" w:color="auto" w:sz="4" w:space="0"/>
            </w:tcBorders>
            <w:vAlign w:val="center"/>
          </w:tcPr>
          <w:p w14:paraId="759858FB">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F3564FA">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B4B293C">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5D432F7">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1E58C2CA">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p>
        </w:tc>
        <w:tc>
          <w:tcPr>
            <w:tcW w:w="623" w:type="dxa"/>
            <w:tcBorders>
              <w:top w:val="single" w:color="auto" w:sz="4" w:space="0"/>
              <w:left w:val="single" w:color="auto" w:sz="4" w:space="0"/>
              <w:bottom w:val="single" w:color="auto" w:sz="4" w:space="0"/>
              <w:right w:val="single" w:color="auto" w:sz="4" w:space="0"/>
            </w:tcBorders>
            <w:vAlign w:val="center"/>
          </w:tcPr>
          <w:p w14:paraId="554EAAD3">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台</w:t>
            </w:r>
          </w:p>
        </w:tc>
        <w:tc>
          <w:tcPr>
            <w:tcW w:w="0" w:type="auto"/>
            <w:tcBorders>
              <w:top w:val="single" w:color="auto" w:sz="4" w:space="0"/>
              <w:left w:val="single" w:color="auto" w:sz="4" w:space="0"/>
              <w:bottom w:val="single" w:color="auto" w:sz="4" w:space="0"/>
              <w:right w:val="single" w:color="auto" w:sz="4" w:space="0"/>
            </w:tcBorders>
            <w:vAlign w:val="center"/>
          </w:tcPr>
          <w:p w14:paraId="0B3719F4">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066D6C0">
            <w:pPr>
              <w:keepNext w:val="0"/>
              <w:keepLines w:val="0"/>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sz w:val="24"/>
                <w:szCs w:val="24"/>
                <w:highlight w:val="none"/>
              </w:rPr>
            </w:pPr>
          </w:p>
        </w:tc>
      </w:tr>
    </w:tbl>
    <w:p w14:paraId="0CB65637">
      <w:pPr>
        <w:tabs>
          <w:tab w:val="left" w:pos="8280"/>
        </w:tabs>
        <w:autoSpaceDE w:val="0"/>
        <w:autoSpaceDN w:val="0"/>
        <w:adjustRightInd w:val="0"/>
        <w:spacing w:line="300" w:lineRule="exact"/>
        <w:rPr>
          <w:rFonts w:ascii="宋体" w:hAnsi="宋体" w:cs="微软雅黑"/>
          <w:color w:val="auto"/>
          <w:kern w:val="0"/>
          <w:sz w:val="24"/>
          <w:highlight w:val="none"/>
        </w:rPr>
      </w:pPr>
      <w:r>
        <w:rPr>
          <w:rFonts w:ascii="宋体" w:hAnsi="宋体" w:eastAsia="宋体" w:cs="微软雅黑"/>
          <w:color w:val="auto"/>
          <w:kern w:val="0"/>
          <w:sz w:val="24"/>
          <w:szCs w:val="24"/>
          <w:highlight w:val="none"/>
          <w:lang w:val="en-US" w:eastAsia="zh-CN" w:bidi="ar-SA"/>
        </w:rPr>
        <w:t>1.</w:t>
      </w:r>
      <w:r>
        <w:rPr>
          <w:rFonts w:hint="eastAsia" w:ascii="宋体" w:hAnsi="宋体" w:cs="微软雅黑"/>
          <w:color w:val="auto"/>
          <w:kern w:val="0"/>
          <w:sz w:val="24"/>
          <w:highlight w:val="none"/>
        </w:rPr>
        <w:t>此表的合计总价应与开标一览表中投标报价总价一致。</w:t>
      </w:r>
    </w:p>
    <w:p w14:paraId="4A3C6AB4">
      <w:pPr>
        <w:numPr>
          <w:ilvl w:val="0"/>
          <w:numId w:val="0"/>
        </w:numPr>
        <w:ind w:left="-2" w:leftChars="-1" w:firstLine="480" w:firstLineChars="200"/>
        <w:rPr>
          <w:rFonts w:ascii="宋体" w:hAnsi="宋体" w:cs="微软雅黑"/>
          <w:color w:val="auto"/>
          <w:kern w:val="0"/>
          <w:sz w:val="24"/>
          <w:highlight w:val="none"/>
          <w:lang w:val="zh-CN"/>
        </w:rPr>
      </w:pPr>
      <w:r>
        <w:rPr>
          <w:rFonts w:ascii="宋体" w:hAnsi="宋体" w:eastAsia="宋体" w:cs="微软雅黑"/>
          <w:color w:val="auto"/>
          <w:kern w:val="0"/>
          <w:sz w:val="24"/>
          <w:szCs w:val="24"/>
          <w:highlight w:val="none"/>
          <w:lang w:val="zh-CN" w:eastAsia="zh-CN" w:bidi="ar-SA"/>
        </w:rPr>
        <w:t>2.</w:t>
      </w:r>
      <w:r>
        <w:rPr>
          <w:rFonts w:hint="eastAsia" w:ascii="宋体" w:hAnsi="宋体" w:cs="微软雅黑"/>
          <w:color w:val="auto"/>
          <w:kern w:val="0"/>
          <w:sz w:val="24"/>
          <w:highlight w:val="none"/>
          <w:lang w:val="zh-CN"/>
        </w:rPr>
        <w:t>投标人需按本表格式填写，如无对应内容，则填写：“无或/”。</w:t>
      </w:r>
    </w:p>
    <w:p w14:paraId="57FEB494">
      <w:pPr>
        <w:spacing w:line="360" w:lineRule="auto"/>
        <w:ind w:left="420"/>
        <w:jc w:val="right"/>
        <w:rPr>
          <w:rFonts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50386274">
      <w:pPr>
        <w:spacing w:line="360" w:lineRule="auto"/>
        <w:ind w:firstLine="424" w:firstLineChars="177"/>
        <w:jc w:val="right"/>
        <w:rPr>
          <w:rFonts w:hint="eastAsia" w:ascii="宋体" w:hAnsi="宋体" w:cs="微软雅黑"/>
          <w:color w:val="auto"/>
          <w:sz w:val="24"/>
          <w:highlight w:val="none"/>
        </w:rPr>
      </w:pPr>
      <w:r>
        <w:rPr>
          <w:rFonts w:hint="eastAsia" w:ascii="宋体" w:hAnsi="宋体" w:cs="微软雅黑"/>
          <w:color w:val="auto"/>
          <w:sz w:val="24"/>
          <w:highlight w:val="none"/>
        </w:rPr>
        <w:t>法定代表人或代理人（签字或盖章）：</w:t>
      </w:r>
    </w:p>
    <w:p w14:paraId="6DA743EC">
      <w:pPr>
        <w:spacing w:line="360" w:lineRule="auto"/>
        <w:ind w:firstLine="424" w:firstLineChars="177"/>
        <w:jc w:val="right"/>
        <w:rPr>
          <w:rFonts w:hint="eastAsia" w:ascii="宋体" w:hAnsi="宋体" w:cs="微软雅黑"/>
          <w:color w:val="auto"/>
          <w:sz w:val="24"/>
          <w:highlight w:val="none"/>
        </w:rPr>
        <w:sectPr>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微软雅黑"/>
          <w:color w:val="auto"/>
          <w:sz w:val="24"/>
          <w:highlight w:val="none"/>
        </w:rPr>
        <w:t>日        期：</w:t>
      </w:r>
    </w:p>
    <w:p w14:paraId="664B5442">
      <w:pPr>
        <w:jc w:val="center"/>
        <w:rPr>
          <w:rFonts w:hint="eastAsia" w:ascii="宋体" w:hAnsi="宋体" w:eastAsia="宋体" w:cs="宋体"/>
          <w:b/>
          <w:bCs/>
          <w:color w:val="auto"/>
          <w:kern w:val="0"/>
          <w:sz w:val="32"/>
          <w:szCs w:val="32"/>
          <w:highlight w:val="none"/>
        </w:rPr>
      </w:pPr>
      <w:r>
        <w:rPr>
          <w:rFonts w:hint="eastAsia" w:ascii="宋体" w:hAnsi="宋体" w:cs="宋体"/>
          <w:b/>
          <w:bCs/>
          <w:color w:val="auto"/>
          <w:kern w:val="0"/>
          <w:sz w:val="32"/>
          <w:szCs w:val="32"/>
          <w:highlight w:val="none"/>
          <w:lang w:val="en-US" w:eastAsia="zh-CN"/>
        </w:rPr>
        <w:t xml:space="preserve">四 </w:t>
      </w:r>
      <w:r>
        <w:rPr>
          <w:rFonts w:hint="eastAsia" w:ascii="宋体" w:hAnsi="宋体" w:eastAsia="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中小企业声明函</w:t>
      </w:r>
    </w:p>
    <w:p w14:paraId="1C63DE64">
      <w:pPr>
        <w:spacing w:line="360" w:lineRule="auto"/>
        <w:ind w:firstLine="533" w:firstLineChars="177"/>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eastAsia="宋体" w:cs="宋体"/>
          <w:b/>
          <w:color w:val="auto"/>
          <w:sz w:val="30"/>
          <w:szCs w:val="30"/>
          <w:highlight w:val="none"/>
        </w:rPr>
        <w:t>）</w:t>
      </w:r>
    </w:p>
    <w:p w14:paraId="147E3C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台州学院 </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eastAsia="zh-CN"/>
        </w:rPr>
        <w:t>台州学院药学院酶催化实验室仪器设备采购项目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044E1E3">
      <w:pPr>
        <w:wordWrap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3E93BD74">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cs="Times New Roman"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02CDA52E">
      <w:pPr>
        <w:spacing w:line="360" w:lineRule="auto"/>
        <w:ind w:firstLine="480" w:firstLineChars="200"/>
        <w:rPr>
          <w:rFonts w:hint="eastAsia" w:ascii="宋体" w:hAnsi="宋体" w:cs="宋体"/>
          <w:color w:val="auto"/>
          <w:sz w:val="24"/>
          <w:highlight w:val="none"/>
        </w:rPr>
      </w:pPr>
    </w:p>
    <w:p w14:paraId="6E040D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F3ED89">
      <w:pPr>
        <w:kinsoku/>
        <w:overflowPunct/>
        <w:topLinePunct w:val="0"/>
        <w:bidi w:val="0"/>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本企业对上述声明内容的真实性负责。如有虚假，将依法承担相应责任</w:t>
      </w:r>
      <w:r>
        <w:rPr>
          <w:rFonts w:hint="eastAsia" w:ascii="宋体" w:hAnsi="宋体" w:eastAsia="宋体" w:cs="宋体"/>
          <w:color w:val="auto"/>
          <w:sz w:val="24"/>
          <w:szCs w:val="24"/>
          <w:highlight w:val="none"/>
        </w:rPr>
        <w:t>。</w:t>
      </w:r>
    </w:p>
    <w:p w14:paraId="72FE57A5">
      <w:pPr>
        <w:kinsoku/>
        <w:overflowPunct/>
        <w:topLinePunct w:val="0"/>
        <w:bidi w:val="0"/>
        <w:spacing w:beforeAutospacing="0" w:afterAutospacing="0" w:line="440" w:lineRule="exact"/>
        <w:ind w:right="420" w:firstLine="5880" w:firstLineChars="2450"/>
        <w:jc w:val="left"/>
        <w:rPr>
          <w:rFonts w:hint="eastAsia" w:ascii="宋体" w:hAnsi="宋体" w:eastAsia="宋体" w:cs="宋体"/>
          <w:color w:val="auto"/>
          <w:sz w:val="24"/>
          <w:szCs w:val="24"/>
          <w:highlight w:val="none"/>
        </w:rPr>
      </w:pPr>
    </w:p>
    <w:p w14:paraId="3618DDC6">
      <w:pPr>
        <w:kinsoku/>
        <w:overflowPunct/>
        <w:topLinePunct w:val="0"/>
        <w:bidi w:val="0"/>
        <w:spacing w:beforeAutospacing="0" w:afterAutospacing="0" w:line="440" w:lineRule="exact"/>
        <w:ind w:right="3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2089519E">
      <w:pPr>
        <w:kinsoku/>
        <w:overflowPunct/>
        <w:topLinePunct w:val="0"/>
        <w:bidi w:val="0"/>
        <w:spacing w:beforeAutospacing="0" w:afterAutospacing="0" w:line="440" w:lineRule="exact"/>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42B4F1F">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564FEF72">
      <w:pPr>
        <w:kinsoku/>
        <w:overflowPunct/>
        <w:topLinePunct w:val="0"/>
        <w:bidi w:val="0"/>
        <w:spacing w:beforeAutospacing="0" w:afterAutospacing="0"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1.填写要求：①“标的名称”、“采购文件中明确的所属行业”依据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eastAsia="宋体" w:cs="宋体"/>
          <w:color w:val="auto"/>
          <w:sz w:val="21"/>
          <w:szCs w:val="21"/>
          <w:highlight w:val="none"/>
        </w:rPr>
        <w:t>如国家颁布新的企业划型标准，则按最新标准执行。</w:t>
      </w:r>
      <w:r>
        <w:rPr>
          <w:rFonts w:hint="eastAsia" w:ascii="宋体" w:hAnsi="宋体" w:eastAsia="宋体" w:cs="宋体"/>
          <w:b/>
          <w:color w:val="auto"/>
          <w:sz w:val="21"/>
          <w:szCs w:val="21"/>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31D441A8">
      <w:pPr>
        <w:spacing w:line="360" w:lineRule="auto"/>
        <w:jc w:val="left"/>
        <w:rPr>
          <w:rFonts w:hint="eastAsia" w:ascii="宋体" w:hAnsi="宋体" w:eastAsia="宋体" w:cs="宋体"/>
          <w:b/>
          <w:bCs/>
          <w:color w:val="auto"/>
          <w:kern w:val="0"/>
          <w:sz w:val="32"/>
          <w:szCs w:val="32"/>
          <w:highlight w:val="none"/>
          <w:lang w:eastAsia="zh-CN"/>
        </w:rPr>
      </w:pPr>
    </w:p>
    <w:p w14:paraId="6FAC1A0E">
      <w:pPr>
        <w:spacing w:line="360" w:lineRule="auto"/>
        <w:jc w:val="left"/>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附件：残疾人福利性单位声明函</w:t>
      </w:r>
    </w:p>
    <w:p w14:paraId="07511144">
      <w:pPr>
        <w:kinsoku/>
        <w:overflowPunct/>
        <w:topLinePunct w:val="0"/>
        <w:bidi w:val="0"/>
        <w:spacing w:beforeAutospacing="0" w:afterAutospacing="0" w:line="440" w:lineRule="exact"/>
        <w:jc w:val="center"/>
        <w:rPr>
          <w:rFonts w:hint="eastAsia" w:ascii="仿宋" w:hAnsi="仿宋" w:eastAsia="仿宋" w:cs="仿宋"/>
          <w:b/>
          <w:color w:val="auto"/>
          <w:spacing w:val="6"/>
          <w:sz w:val="32"/>
          <w:szCs w:val="32"/>
          <w:highlight w:val="none"/>
        </w:rPr>
      </w:pPr>
      <w:bookmarkStart w:id="191" w:name="OLE_LINK13"/>
      <w:bookmarkStart w:id="192" w:name="OLE_LINK14"/>
    </w:p>
    <w:p w14:paraId="174C3FC3">
      <w:pPr>
        <w:kinsoku/>
        <w:overflowPunct/>
        <w:topLinePunct w:val="0"/>
        <w:bidi w:val="0"/>
        <w:spacing w:beforeAutospacing="0" w:afterAutospacing="0" w:line="440"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191"/>
    <w:bookmarkEnd w:id="192"/>
    <w:p w14:paraId="082FDCA9">
      <w:pPr>
        <w:kinsoku/>
        <w:overflowPunct/>
        <w:topLinePunct w:val="0"/>
        <w:bidi w:val="0"/>
        <w:spacing w:beforeAutospacing="0" w:afterAutospacing="0" w:line="440" w:lineRule="exact"/>
        <w:rPr>
          <w:rFonts w:hint="eastAsia" w:ascii="宋体" w:hAnsi="宋体" w:eastAsia="宋体" w:cs="宋体"/>
          <w:b/>
          <w:color w:val="auto"/>
          <w:spacing w:val="6"/>
          <w:sz w:val="30"/>
          <w:szCs w:val="30"/>
          <w:highlight w:val="none"/>
        </w:rPr>
      </w:pPr>
    </w:p>
    <w:p w14:paraId="6E95BE81">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616DBC93">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AF0D4EE">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01A17C06">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56A48B14">
      <w:pPr>
        <w:tabs>
          <w:tab w:val="left" w:pos="4860"/>
        </w:tabs>
        <w:spacing w:line="360" w:lineRule="auto"/>
        <w:ind w:right="1560" w:firstLine="480" w:firstLineChars="200"/>
        <w:contextualSpacing/>
        <w:jc w:val="center"/>
        <w:rPr>
          <w:rFonts w:hint="eastAsia"/>
          <w:color w:val="auto"/>
          <w:sz w:val="24"/>
          <w:szCs w:val="24"/>
          <w:highlight w:val="none"/>
        </w:rPr>
      </w:pPr>
      <w:r>
        <w:rPr>
          <w:rFonts w:hint="eastAsia" w:ascii="宋体" w:hAnsi="宋体" w:eastAsia="宋体" w:cs="宋体"/>
          <w:color w:val="auto"/>
          <w:sz w:val="24"/>
          <w:szCs w:val="24"/>
          <w:highlight w:val="none"/>
        </w:rPr>
        <w:t xml:space="preserve">               </w:t>
      </w:r>
      <w:r>
        <w:rPr>
          <w:rFonts w:hint="eastAsia"/>
          <w:color w:val="auto"/>
          <w:sz w:val="24"/>
          <w:szCs w:val="24"/>
          <w:highlight w:val="none"/>
        </w:rPr>
        <w:t xml:space="preserve">      企业名称（盖章）： </w:t>
      </w:r>
    </w:p>
    <w:p w14:paraId="76691443">
      <w:pPr>
        <w:spacing w:line="360" w:lineRule="auto"/>
        <w:contextualSpacing/>
        <w:jc w:val="left"/>
        <w:rPr>
          <w:rFonts w:hint="eastAsia"/>
          <w:color w:val="auto"/>
          <w:sz w:val="24"/>
          <w:szCs w:val="24"/>
          <w:highlight w:val="none"/>
        </w:rPr>
      </w:pPr>
      <w:r>
        <w:rPr>
          <w:rFonts w:hint="eastAsia"/>
          <w:color w:val="auto"/>
          <w:sz w:val="24"/>
          <w:szCs w:val="24"/>
          <w:highlight w:val="none"/>
        </w:rPr>
        <w:t xml:space="preserve">                                            日  期：</w:t>
      </w:r>
    </w:p>
    <w:p w14:paraId="4E40BD6B">
      <w:pPr>
        <w:autoSpaceDN w:val="0"/>
        <w:spacing w:line="400" w:lineRule="exact"/>
        <w:ind w:firstLine="422" w:firstLineChars="200"/>
        <w:rPr>
          <w:color w:val="auto"/>
          <w:highlight w:val="none"/>
        </w:rPr>
      </w:pPr>
      <w:r>
        <w:rPr>
          <w:rFonts w:hint="eastAsia" w:cs="宋体"/>
          <w:b/>
          <w:color w:val="auto"/>
          <w:szCs w:val="21"/>
          <w:highlight w:val="none"/>
          <w:lang w:bidi="ar"/>
        </w:rPr>
        <w:t>注：</w:t>
      </w:r>
    </w:p>
    <w:p w14:paraId="6055F5D4">
      <w:pPr>
        <w:autoSpaceDN w:val="0"/>
        <w:spacing w:line="400" w:lineRule="exact"/>
        <w:ind w:firstLine="422" w:firstLineChars="200"/>
        <w:rPr>
          <w:color w:val="auto"/>
          <w:highlight w:val="none"/>
        </w:rPr>
      </w:pPr>
      <w:r>
        <w:rPr>
          <w:rFonts w:hint="eastAsia" w:cs="宋体"/>
          <w:b/>
          <w:color w:val="auto"/>
          <w:szCs w:val="21"/>
          <w:highlight w:val="none"/>
          <w:lang w:bidi="ar"/>
        </w:rPr>
        <w:t>享受政府采购支持政策的残疾人福利性单位应当同时满足以下条件：</w:t>
      </w:r>
    </w:p>
    <w:p w14:paraId="5D1C8689">
      <w:pPr>
        <w:autoSpaceDN w:val="0"/>
        <w:spacing w:line="400" w:lineRule="exact"/>
        <w:ind w:firstLine="422" w:firstLineChars="200"/>
        <w:rPr>
          <w:color w:val="auto"/>
          <w:highlight w:val="none"/>
        </w:rPr>
      </w:pPr>
      <w:r>
        <w:rPr>
          <w:rFonts w:hint="eastAsia" w:cs="宋体"/>
          <w:b/>
          <w:color w:val="auto"/>
          <w:szCs w:val="21"/>
          <w:highlight w:val="none"/>
          <w:lang w:bidi="ar"/>
        </w:rPr>
        <w:t>（一）安置的残疾人占本单位在职职工人数的比例不低于</w:t>
      </w:r>
      <w:r>
        <w:rPr>
          <w:b/>
          <w:color w:val="auto"/>
          <w:szCs w:val="21"/>
          <w:highlight w:val="none"/>
          <w:lang w:bidi="ar"/>
        </w:rPr>
        <w:t>25%</w:t>
      </w:r>
      <w:r>
        <w:rPr>
          <w:rFonts w:hint="eastAsia" w:cs="宋体"/>
          <w:b/>
          <w:color w:val="auto"/>
          <w:szCs w:val="21"/>
          <w:highlight w:val="none"/>
          <w:lang w:bidi="ar"/>
        </w:rPr>
        <w:t>（含</w:t>
      </w:r>
      <w:r>
        <w:rPr>
          <w:b/>
          <w:color w:val="auto"/>
          <w:szCs w:val="21"/>
          <w:highlight w:val="none"/>
          <w:lang w:bidi="ar"/>
        </w:rPr>
        <w:t>25%</w:t>
      </w:r>
      <w:r>
        <w:rPr>
          <w:rFonts w:hint="eastAsia" w:cs="宋体"/>
          <w:b/>
          <w:color w:val="auto"/>
          <w:szCs w:val="21"/>
          <w:highlight w:val="none"/>
          <w:lang w:bidi="ar"/>
        </w:rPr>
        <w:t>），并且安置的残疾人人数不少于</w:t>
      </w:r>
      <w:r>
        <w:rPr>
          <w:b/>
          <w:color w:val="auto"/>
          <w:szCs w:val="21"/>
          <w:highlight w:val="none"/>
          <w:lang w:bidi="ar"/>
        </w:rPr>
        <w:t>10</w:t>
      </w:r>
      <w:r>
        <w:rPr>
          <w:rFonts w:hint="eastAsia" w:cs="宋体"/>
          <w:b/>
          <w:color w:val="auto"/>
          <w:szCs w:val="21"/>
          <w:highlight w:val="none"/>
          <w:lang w:bidi="ar"/>
        </w:rPr>
        <w:t>人（含</w:t>
      </w:r>
      <w:r>
        <w:rPr>
          <w:b/>
          <w:color w:val="auto"/>
          <w:szCs w:val="21"/>
          <w:highlight w:val="none"/>
          <w:lang w:bidi="ar"/>
        </w:rPr>
        <w:t>10</w:t>
      </w:r>
      <w:r>
        <w:rPr>
          <w:rFonts w:hint="eastAsia" w:cs="宋体"/>
          <w:b/>
          <w:color w:val="auto"/>
          <w:szCs w:val="21"/>
          <w:highlight w:val="none"/>
          <w:lang w:bidi="ar"/>
        </w:rPr>
        <w:t>人）；</w:t>
      </w:r>
    </w:p>
    <w:p w14:paraId="6A93CB61">
      <w:pPr>
        <w:autoSpaceDN w:val="0"/>
        <w:spacing w:line="400" w:lineRule="exact"/>
        <w:ind w:firstLine="422" w:firstLineChars="200"/>
        <w:rPr>
          <w:color w:val="auto"/>
          <w:highlight w:val="none"/>
        </w:rPr>
      </w:pPr>
      <w:r>
        <w:rPr>
          <w:rFonts w:hint="eastAsia" w:cs="宋体"/>
          <w:b/>
          <w:color w:val="auto"/>
          <w:szCs w:val="21"/>
          <w:highlight w:val="none"/>
          <w:lang w:bidi="ar"/>
        </w:rPr>
        <w:t>（二）依法与安置的每位残疾人签订了一年以上（含一年）的劳动合同或服务协议；</w:t>
      </w:r>
    </w:p>
    <w:p w14:paraId="28674CA0">
      <w:pPr>
        <w:autoSpaceDN w:val="0"/>
        <w:spacing w:line="400" w:lineRule="exact"/>
        <w:ind w:firstLine="422" w:firstLineChars="200"/>
        <w:rPr>
          <w:color w:val="auto"/>
          <w:highlight w:val="none"/>
        </w:rPr>
      </w:pPr>
      <w:r>
        <w:rPr>
          <w:rFonts w:hint="eastAsia" w:cs="宋体"/>
          <w:b/>
          <w:color w:val="auto"/>
          <w:szCs w:val="21"/>
          <w:highlight w:val="none"/>
          <w:lang w:bidi="ar"/>
        </w:rPr>
        <w:t>（三）为安置的每位残疾人按月足额缴纳了基本养老保险、基本医疗保险、失业保险、工伤保险和生育保险等社会保险费；</w:t>
      </w:r>
    </w:p>
    <w:p w14:paraId="2EEE1E81">
      <w:pPr>
        <w:autoSpaceDN w:val="0"/>
        <w:spacing w:line="400" w:lineRule="exact"/>
        <w:ind w:firstLine="422" w:firstLineChars="200"/>
        <w:rPr>
          <w:color w:val="auto"/>
          <w:highlight w:val="none"/>
        </w:rPr>
      </w:pPr>
      <w:r>
        <w:rPr>
          <w:rFonts w:hint="eastAsia" w:cs="宋体"/>
          <w:b/>
          <w:color w:val="auto"/>
          <w:szCs w:val="21"/>
          <w:highlight w:val="none"/>
          <w:lang w:bidi="ar"/>
        </w:rPr>
        <w:t>（四）通过银行等金融机构向安置的每位残疾人，按月支付了不低于单位所在区县适用的经省级人民政府批准的月最低工资标准的工资；</w:t>
      </w:r>
    </w:p>
    <w:p w14:paraId="463B6141">
      <w:pPr>
        <w:autoSpaceDN w:val="0"/>
        <w:spacing w:line="400" w:lineRule="exact"/>
        <w:ind w:firstLine="422" w:firstLineChars="200"/>
        <w:rPr>
          <w:color w:val="auto"/>
          <w:highlight w:val="none"/>
        </w:rPr>
      </w:pPr>
      <w:r>
        <w:rPr>
          <w:rFonts w:hint="eastAsia"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025231AE">
      <w:pPr>
        <w:autoSpaceDN w:val="0"/>
        <w:spacing w:line="360" w:lineRule="auto"/>
        <w:rPr>
          <w:color w:val="auto"/>
          <w:highlight w:val="none"/>
        </w:rPr>
      </w:pPr>
      <w:r>
        <w:rPr>
          <w:rFonts w:hint="eastAsia" w:cs="宋体"/>
          <w:b/>
          <w:color w:val="auto"/>
          <w:szCs w:val="21"/>
          <w:highlight w:val="none"/>
          <w:lang w:bidi="ar"/>
        </w:rPr>
        <w:t>前款所称残疾人是指法定劳动年龄内，持有《中华人民共和国残疾人证》或者《中华人民共和国残疾军人证（</w:t>
      </w:r>
      <w:r>
        <w:rPr>
          <w:b/>
          <w:color w:val="auto"/>
          <w:szCs w:val="21"/>
          <w:highlight w:val="none"/>
          <w:lang w:bidi="ar"/>
        </w:rPr>
        <w:t>1</w:t>
      </w:r>
      <w:r>
        <w:rPr>
          <w:rFonts w:hint="eastAsia" w:cs="宋体"/>
          <w:b/>
          <w:color w:val="auto"/>
          <w:szCs w:val="21"/>
          <w:highlight w:val="none"/>
          <w:lang w:bidi="ar"/>
        </w:rPr>
        <w:t>至</w:t>
      </w:r>
      <w:r>
        <w:rPr>
          <w:b/>
          <w:color w:val="auto"/>
          <w:szCs w:val="21"/>
          <w:highlight w:val="none"/>
          <w:lang w:bidi="ar"/>
        </w:rPr>
        <w:t>8</w:t>
      </w:r>
      <w:r>
        <w:rPr>
          <w:rFonts w:hint="eastAsia"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6134C80E">
      <w:pPr>
        <w:tabs>
          <w:tab w:val="left" w:pos="4860"/>
        </w:tabs>
        <w:kinsoku/>
        <w:overflowPunct/>
        <w:topLinePunct w:val="0"/>
        <w:bidi w:val="0"/>
        <w:spacing w:beforeAutospacing="0" w:afterAutospacing="0" w:line="440" w:lineRule="exact"/>
        <w:ind w:right="1560" w:firstLine="480" w:firstLineChars="200"/>
        <w:jc w:val="center"/>
        <w:rPr>
          <w:rFonts w:hint="eastAsia" w:ascii="宋体" w:hAnsi="宋体" w:eastAsia="宋体" w:cs="宋体"/>
          <w:color w:val="auto"/>
          <w:sz w:val="24"/>
          <w:szCs w:val="24"/>
          <w:highlight w:val="none"/>
        </w:rPr>
      </w:pPr>
    </w:p>
    <w:p w14:paraId="7574A2A1">
      <w:pPr>
        <w:pStyle w:val="94"/>
        <w:keepNext w:val="0"/>
        <w:keepLines w:val="0"/>
        <w:pageBreakBefore/>
        <w:widowControl w:val="0"/>
        <w:kinsoku/>
        <w:wordWrap/>
        <w:overflowPunct/>
        <w:topLinePunct w:val="0"/>
        <w:autoSpaceDE/>
        <w:autoSpaceDN/>
        <w:bidi w:val="0"/>
        <w:adjustRightInd/>
        <w:snapToGrid/>
        <w:ind w:left="0" w:leftChars="0" w:firstLine="440" w:firstLineChars="200"/>
        <w:textAlignment w:val="auto"/>
        <w:rPr>
          <w:rFonts w:hint="eastAsia" w:eastAsia="宋体" w:cs="Times New Roman"/>
          <w:color w:val="auto"/>
          <w:highlight w:val="none"/>
        </w:rPr>
      </w:pPr>
      <w:r>
        <w:rPr>
          <w:rFonts w:hint="eastAsia"/>
          <w:color w:val="auto"/>
          <w:highlight w:val="none"/>
        </w:rPr>
        <w:t>投标文件解密结束，投标供应商通过电子邮件形式将经授权代表签署的《政府采购活动现场确认声明书》的扫描件（或图片）发至采购代理机构邮箱：zgtzfgs@163.com。开评标活动结束之前投标供应商拒不发送《政府采购活动现场确认声明书》的，由此产生的一切风险责任由供应商自行承担。</w:t>
      </w:r>
    </w:p>
    <w:p w14:paraId="144E7097">
      <w:pPr>
        <w:widowControl w:val="0"/>
        <w:snapToGrid w:val="0"/>
        <w:spacing w:line="500" w:lineRule="exact"/>
        <w:ind w:firstLine="720"/>
        <w:jc w:val="center"/>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FD31139">
      <w:pPr>
        <w:widowControl w:val="0"/>
        <w:snapToGrid w:val="0"/>
        <w:spacing w:line="440" w:lineRule="exact"/>
        <w:jc w:val="both"/>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中冠工程管理咨询有限公司</w:t>
      </w:r>
      <w:r>
        <w:rPr>
          <w:rFonts w:hint="eastAsia" w:ascii="宋体" w:hAnsi="宋体" w:eastAsia="宋体" w:cs="宋体"/>
          <w:color w:val="auto"/>
          <w:kern w:val="0"/>
          <w:sz w:val="24"/>
          <w:szCs w:val="24"/>
          <w:highlight w:val="none"/>
          <w:lang w:val="en-US" w:eastAsia="zh-CN" w:bidi="ar-SA"/>
        </w:rPr>
        <w:t>：</w:t>
      </w:r>
    </w:p>
    <w:p w14:paraId="0A1C04F0">
      <w:pPr>
        <w:widowControl w:val="0"/>
        <w:snapToGrid w:val="0"/>
        <w:spacing w:line="440" w:lineRule="exact"/>
        <w:ind w:firstLine="504" w:firstLineChars="200"/>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本人经由</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（单位）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法人代表（负责人）</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single"/>
          <w:lang w:val="en-US" w:eastAsia="zh-CN" w:bidi="ar-SA"/>
        </w:rPr>
        <w:t>（姓名）</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合法授权参加</w:t>
      </w:r>
      <w:r>
        <w:rPr>
          <w:rFonts w:hint="eastAsia" w:ascii="宋体" w:hAnsi="宋体" w:cs="宋体"/>
          <w:color w:val="auto"/>
          <w:spacing w:val="6"/>
          <w:kern w:val="2"/>
          <w:sz w:val="24"/>
          <w:szCs w:val="24"/>
          <w:highlight w:val="none"/>
          <w:u w:val="single"/>
          <w:lang w:val="en-US" w:eastAsia="zh-CN" w:bidi="ar-SA"/>
        </w:rPr>
        <w:t xml:space="preserve">  </w:t>
      </w:r>
      <w:r>
        <w:rPr>
          <w:rFonts w:hint="eastAsia" w:asciiTheme="minorEastAsia" w:hAnsiTheme="minorEastAsia" w:eastAsiaTheme="minorEastAsia"/>
          <w:color w:val="auto"/>
          <w:sz w:val="24"/>
          <w:highlight w:val="none"/>
          <w:u w:val="single"/>
          <w:lang w:eastAsia="zh-CN"/>
        </w:rPr>
        <w:t>台州学院药学院酶催化实验室仪器设备采购项目</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项目</w:t>
      </w:r>
      <w:r>
        <w:rPr>
          <w:rFonts w:hint="eastAsia" w:ascii="宋体" w:hAnsi="宋体" w:eastAsia="宋体" w:cs="宋体"/>
          <w:color w:val="auto"/>
          <w:spacing w:val="6"/>
          <w:kern w:val="2"/>
          <w:sz w:val="24"/>
          <w:szCs w:val="24"/>
          <w:highlight w:val="none"/>
          <w:u w:val="single"/>
          <w:lang w:val="en-US" w:eastAsia="zh-CN" w:bidi="ar-SA"/>
        </w:rPr>
        <w:t>编号：</w:t>
      </w:r>
      <w:r>
        <w:rPr>
          <w:rFonts w:hint="eastAsia" w:ascii="宋体" w:hAnsi="宋体" w:cs="宋体"/>
          <w:color w:val="auto"/>
          <w:spacing w:val="6"/>
          <w:kern w:val="2"/>
          <w:sz w:val="24"/>
          <w:szCs w:val="24"/>
          <w:highlight w:val="none"/>
          <w:u w:val="single"/>
          <w:lang w:val="en-US" w:eastAsia="zh-CN" w:bidi="ar-SA"/>
        </w:rPr>
        <w:t>ZGTZZB2025-0607</w:t>
      </w:r>
      <w:r>
        <w:rPr>
          <w:rFonts w:hint="eastAsia" w:ascii="宋体" w:hAnsi="宋体" w:eastAsia="宋体" w:cs="宋体"/>
          <w:color w:val="auto"/>
          <w:spacing w:val="6"/>
          <w:kern w:val="2"/>
          <w:sz w:val="24"/>
          <w:szCs w:val="24"/>
          <w:highlight w:val="none"/>
          <w:u w:val="single"/>
          <w:lang w:val="en-US" w:eastAsia="zh-CN" w:bidi="ar-SA"/>
        </w:rPr>
        <w:t>）</w:t>
      </w:r>
      <w:r>
        <w:rPr>
          <w:rFonts w:hint="eastAsia" w:ascii="宋体" w:hAnsi="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政府采购活动，经与本单位法人代表（负责人）联系确认，现就有关公平竞争事项郑重声明如下：</w:t>
      </w:r>
    </w:p>
    <w:p w14:paraId="1C72C20B">
      <w:pPr>
        <w:widowControl/>
        <w:numPr>
          <w:ilvl w:val="0"/>
          <w:numId w:val="8"/>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本单位与采购人之间□不存在利害关系□存在下列利害关系：</w:t>
      </w:r>
    </w:p>
    <w:p w14:paraId="5AB0BAEF">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A.投资关系    B.行政隶属关系    C.业务指导关系</w:t>
      </w:r>
    </w:p>
    <w:p w14:paraId="502915E4">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D.其他可能</w:t>
      </w:r>
      <w:r>
        <w:rPr>
          <w:rFonts w:hint="eastAsia" w:ascii="宋体" w:hAnsi="宋体" w:eastAsia="宋体" w:cs="宋体"/>
          <w:color w:val="auto"/>
          <w:kern w:val="2"/>
          <w:sz w:val="24"/>
          <w:szCs w:val="24"/>
          <w:highlight w:val="none"/>
          <w:lang w:val="en-US" w:eastAsia="zh-CN" w:bidi="ar-SA"/>
        </w:rPr>
        <w:t>影响采购公正的</w:t>
      </w:r>
      <w:r>
        <w:rPr>
          <w:rFonts w:hint="eastAsia" w:ascii="宋体" w:hAnsi="宋体" w:eastAsia="宋体" w:cs="宋体"/>
          <w:color w:val="auto"/>
          <w:kern w:val="0"/>
          <w:sz w:val="24"/>
          <w:szCs w:val="24"/>
          <w:highlight w:val="none"/>
          <w:lang w:val="en-US" w:eastAsia="zh-CN" w:bidi="ar-SA"/>
        </w:rPr>
        <w:t>利害关系</w:t>
      </w:r>
      <w:r>
        <w:rPr>
          <w:rFonts w:hint="eastAsia" w:ascii="宋体" w:hAnsi="宋体" w:eastAsia="宋体" w:cs="宋体"/>
          <w:color w:val="auto"/>
          <w:kern w:val="0"/>
          <w:sz w:val="24"/>
          <w:szCs w:val="24"/>
          <w:highlight w:val="none"/>
          <w:u w:val="single"/>
          <w:lang w:val="en-US" w:eastAsia="zh-CN" w:bidi="ar-SA"/>
        </w:rPr>
        <w:t>（如有，请如实说明）</w:t>
      </w:r>
      <w:r>
        <w:rPr>
          <w:rFonts w:hint="eastAsia" w:ascii="宋体" w:hAnsi="宋体" w:eastAsia="宋体" w:cs="宋体"/>
          <w:color w:val="auto"/>
          <w:kern w:val="0"/>
          <w:sz w:val="24"/>
          <w:szCs w:val="24"/>
          <w:highlight w:val="none"/>
          <w:lang w:val="en-US" w:eastAsia="zh-CN" w:bidi="ar-SA"/>
        </w:rPr>
        <w:t>。</w:t>
      </w:r>
    </w:p>
    <w:p w14:paraId="646BA574">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bidi="ar-SA"/>
        </w:rPr>
        <w:t>现已清楚知道参加本项目采购活动的其他所有供应商名称，本单位□与其他所有供应商之间均不存在利害关系□与</w:t>
      </w:r>
      <w:r>
        <w:rPr>
          <w:rFonts w:hint="eastAsia" w:ascii="宋体" w:hAnsi="宋体" w:eastAsia="宋体" w:cs="宋体"/>
          <w:color w:val="auto"/>
          <w:kern w:val="0"/>
          <w:sz w:val="24"/>
          <w:szCs w:val="24"/>
          <w:highlight w:val="none"/>
          <w:u w:val="single"/>
          <w:lang w:val="en-US" w:eastAsia="zh-CN" w:bidi="ar-SA"/>
        </w:rPr>
        <w:t xml:space="preserve">           （供应商名称）</w:t>
      </w:r>
      <w:r>
        <w:rPr>
          <w:rFonts w:hint="eastAsia" w:ascii="宋体" w:hAnsi="宋体" w:eastAsia="宋体" w:cs="宋体"/>
          <w:color w:val="auto"/>
          <w:kern w:val="0"/>
          <w:sz w:val="24"/>
          <w:szCs w:val="24"/>
          <w:highlight w:val="none"/>
          <w:lang w:val="en-US" w:eastAsia="zh-CN" w:bidi="ar-SA"/>
        </w:rPr>
        <w:t>之间存在下列利害关系：</w:t>
      </w:r>
    </w:p>
    <w:p w14:paraId="12C01F21">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A.法定代表人或负责人或实际控制人是同一人；</w:t>
      </w:r>
    </w:p>
    <w:p w14:paraId="66602A51">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B.法定代表人或负责人或实际控制人是夫妻关系；</w:t>
      </w:r>
    </w:p>
    <w:p w14:paraId="768F4F38">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C.法定代表人或负责人或实际控制人是直系血亲关系；</w:t>
      </w:r>
    </w:p>
    <w:p w14:paraId="43AFCF76">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D.法定代表人或负责人或实际控制人存在三代以内旁系血亲关系；</w:t>
      </w:r>
    </w:p>
    <w:p w14:paraId="66DE5B1D">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E.法定代表人或负责人或实际控制人存在近姻亲关系；</w:t>
      </w:r>
    </w:p>
    <w:p w14:paraId="47CE6C0D">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F.法定代表人或负责人或实际控制人存在股份控制或实际控制关系；</w:t>
      </w:r>
    </w:p>
    <w:p w14:paraId="3F777242">
      <w:pPr>
        <w:widowControl w:val="0"/>
        <w:snapToGrid w:val="0"/>
        <w:spacing w:line="440" w:lineRule="exact"/>
        <w:jc w:val="both"/>
        <w:outlineLvl w:val="0"/>
        <w:rPr>
          <w:rFonts w:hint="default" w:ascii="宋体" w:hAnsi="宋体" w:eastAsia="宋体" w:cs="宋体"/>
          <w:color w:val="auto"/>
          <w:kern w:val="0"/>
          <w:sz w:val="24"/>
          <w:szCs w:val="24"/>
          <w:highlight w:val="none"/>
          <w:lang w:val="en-US" w:eastAsia="zh-CN" w:bidi="ar-SA"/>
        </w:rPr>
      </w:pPr>
      <w:bookmarkStart w:id="193" w:name="_Toc9031"/>
      <w:bookmarkStart w:id="194" w:name="_Toc9367"/>
      <w:bookmarkStart w:id="195" w:name="_Toc19343"/>
      <w:bookmarkStart w:id="196" w:name="_Toc15030"/>
      <w:bookmarkStart w:id="197" w:name="_Toc2857"/>
      <w:bookmarkStart w:id="198" w:name="_Toc24072"/>
      <w:bookmarkStart w:id="199" w:name="_Toc21795"/>
      <w:bookmarkStart w:id="200" w:name="_Toc20365"/>
      <w:bookmarkStart w:id="201" w:name="_Toc20250"/>
      <w:bookmarkStart w:id="202" w:name="_Toc22017"/>
      <w:r>
        <w:rPr>
          <w:rFonts w:hint="eastAsia" w:ascii="宋体" w:hAnsi="宋体" w:eastAsia="宋体" w:cs="宋体"/>
          <w:color w:val="auto"/>
          <w:kern w:val="0"/>
          <w:sz w:val="24"/>
          <w:szCs w:val="24"/>
          <w:highlight w:val="none"/>
          <w:lang w:val="en-US" w:eastAsia="zh-CN" w:bidi="ar-SA"/>
        </w:rPr>
        <w:t>G.存在共同直接或间接投资设立子公司、联营企业和合营企业情况；</w:t>
      </w:r>
      <w:bookmarkEnd w:id="193"/>
      <w:bookmarkEnd w:id="194"/>
      <w:bookmarkEnd w:id="195"/>
      <w:bookmarkEnd w:id="196"/>
      <w:bookmarkEnd w:id="197"/>
      <w:bookmarkEnd w:id="198"/>
      <w:bookmarkEnd w:id="199"/>
      <w:bookmarkEnd w:id="200"/>
      <w:bookmarkEnd w:id="201"/>
      <w:bookmarkEnd w:id="202"/>
    </w:p>
    <w:p w14:paraId="2D501441">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H.存在分级代理或代销关系、同一生产制造商关系、</w:t>
      </w:r>
      <w:r>
        <w:rPr>
          <w:rFonts w:hint="eastAsia" w:ascii="宋体" w:hAnsi="宋体" w:eastAsia="宋体" w:cs="宋体"/>
          <w:color w:val="auto"/>
          <w:kern w:val="2"/>
          <w:sz w:val="24"/>
          <w:szCs w:val="24"/>
          <w:highlight w:val="none"/>
          <w:lang w:val="en-US" w:eastAsia="zh-CN" w:bidi="ar-SA"/>
        </w:rPr>
        <w:t>管理关系、重要业务（占主营业务收入50%以上）或重要财务往来关系（如融资）等其他实质性控制关系；</w:t>
      </w:r>
    </w:p>
    <w:p w14:paraId="590937A5">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I</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其他利害关系情况</w:t>
      </w:r>
      <w:r>
        <w:rPr>
          <w:rFonts w:hint="eastAsia" w:ascii="宋体" w:hAnsi="宋体" w:eastAsia="宋体" w:cs="宋体"/>
          <w:color w:val="auto"/>
          <w:kern w:val="0"/>
          <w:sz w:val="24"/>
          <w:szCs w:val="24"/>
          <w:highlight w:val="none"/>
          <w:lang w:val="en-US" w:eastAsia="zh-CN" w:bidi="ar-SA"/>
        </w:rPr>
        <w:t>。</w:t>
      </w:r>
    </w:p>
    <w:p w14:paraId="75EC4E34">
      <w:pPr>
        <w:widowControl/>
        <w:numPr>
          <w:ilvl w:val="0"/>
          <w:numId w:val="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现已清楚知道并</w:t>
      </w:r>
      <w:r>
        <w:rPr>
          <w:rFonts w:hint="eastAsia" w:ascii="宋体" w:hAnsi="宋体" w:eastAsia="宋体" w:cs="宋体"/>
          <w:color w:val="auto"/>
          <w:kern w:val="0"/>
          <w:sz w:val="24"/>
          <w:szCs w:val="24"/>
          <w:highlight w:val="none"/>
          <w:lang w:val="en-US" w:eastAsia="zh-CN" w:bidi="ar-SA"/>
        </w:rPr>
        <w:t>严格遵守政府采购法律法规和现场纪律。</w:t>
      </w:r>
    </w:p>
    <w:p w14:paraId="101D0587">
      <w:pPr>
        <w:widowControl/>
        <w:numPr>
          <w:ilvl w:val="0"/>
          <w:numId w:val="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我发现供应商</w:t>
      </w:r>
      <w:r>
        <w:rPr>
          <w:rFonts w:hint="eastAsia" w:ascii="宋体" w:hAnsi="宋体" w:eastAsia="宋体" w:cs="宋体"/>
          <w:color w:val="auto"/>
          <w:kern w:val="0"/>
          <w:sz w:val="24"/>
          <w:szCs w:val="24"/>
          <w:highlight w:val="none"/>
          <w:u w:val="single"/>
          <w:lang w:val="en-US" w:eastAsia="zh-CN" w:bidi="ar-SA"/>
        </w:rPr>
        <w:t xml:space="preserve">                     之间</w:t>
      </w:r>
      <w:r>
        <w:rPr>
          <w:rFonts w:hint="eastAsia" w:ascii="宋体" w:hAnsi="宋体" w:eastAsia="宋体" w:cs="宋体"/>
          <w:color w:val="auto"/>
          <w:kern w:val="0"/>
          <w:sz w:val="24"/>
          <w:szCs w:val="24"/>
          <w:highlight w:val="none"/>
          <w:lang w:val="en-US" w:eastAsia="zh-CN" w:bidi="ar-SA"/>
        </w:rPr>
        <w:t>存在或可能存在上述第二条第项利害关系。</w:t>
      </w:r>
    </w:p>
    <w:p w14:paraId="305A40C5">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p>
    <w:p w14:paraId="46B2A5F6">
      <w:pPr>
        <w:widowControl w:val="0"/>
        <w:snapToGrid w:val="0"/>
        <w:spacing w:line="440" w:lineRule="exact"/>
        <w:ind w:firstLine="480" w:firstLineChars="200"/>
        <w:jc w:val="right"/>
        <w:rPr>
          <w:rFonts w:hint="default" w:ascii="宋体" w:hAnsi="宋体" w:eastAsia="宋体" w:cs="宋体"/>
          <w:color w:val="auto"/>
          <w:kern w:val="2"/>
          <w:sz w:val="24"/>
          <w:szCs w:val="24"/>
          <w:highlight w:val="none"/>
          <w:lang w:val="en-US" w:eastAsia="zh-CN" w:bidi="ar-SA"/>
        </w:rPr>
      </w:pPr>
    </w:p>
    <w:p w14:paraId="4FDBE34D">
      <w:pPr>
        <w:pStyle w:val="131"/>
        <w:widowControl w:val="0"/>
        <w:snapToGrid w:val="0"/>
        <w:spacing w:line="440" w:lineRule="exact"/>
        <w:jc w:val="right"/>
        <w:rPr>
          <w:rFonts w:hint="default"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（供应商代表签名）：</w:t>
      </w:r>
    </w:p>
    <w:sectPr>
      <w:pgSz w:w="11906" w:h="16838"/>
      <w:pgMar w:top="1213"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CCE8E">
    <w:pPr>
      <w:pStyle w:val="3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69EF">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0DEC46CE">
                          <w:pPr>
                            <w:pStyle w:val="31"/>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cHnNqtoBAACuAwAADgAAAAAAAAAB&#10;ACAAAAAgAQAAZHJzL2Uyb0RvYy54bWxQSwUGAAAAAAYABgBZAQAAbAUAAAAA&#10;">
              <v:fill on="f" focussize="0,0"/>
              <v:stroke on="f" weight="0.5pt"/>
              <v:imagedata o:title=""/>
              <o:lock v:ext="edit" aspectratio="f"/>
              <v:textbox inset="0mm,0mm,0mm,0mm" style="mso-fit-shape-to-text:t;">
                <w:txbxContent>
                  <w:p w14:paraId="0DEC46CE">
                    <w:pPr>
                      <w:pStyle w:val="31"/>
                    </w:pPr>
                    <w:r>
                      <w:fldChar w:fldCharType="begin"/>
                    </w:r>
                    <w:r>
                      <w:instrText xml:space="preserve"> PAGE  \* MERGEFORMAT </w:instrText>
                    </w:r>
                    <w:r>
                      <w:fldChar w:fldCharType="separate"/>
                    </w:r>
                    <w:r>
                      <w:t>78</w:t>
                    </w:r>
                    <w:r>
                      <w:fldChar w:fldCharType="end"/>
                    </w:r>
                  </w:p>
                </w:txbxContent>
              </v:textbox>
            </v:shape>
          </w:pict>
        </mc:Fallback>
      </mc:AlternateContent>
    </w:r>
  </w:p>
  <w:p w14:paraId="660312FB">
    <w:pPr>
      <w:pStyle w:val="3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BB3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B685A">
    <w:pPr>
      <w:pStyle w:val="31"/>
      <w:tabs>
        <w:tab w:val="center" w:pos="4422"/>
        <w:tab w:val="right" w:pos="8844"/>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2C471">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2C471">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95F7">
    <w:pPr>
      <w:pStyle w:val="31"/>
      <w:jc w:val="center"/>
    </w:pPr>
    <w:r>
      <w:fldChar w:fldCharType="begin"/>
    </w:r>
    <w:r>
      <w:instrText xml:space="preserve">PAGE   \* MERGEFORMAT</w:instrText>
    </w:r>
    <w:r>
      <w:fldChar w:fldCharType="separate"/>
    </w:r>
    <w:r>
      <w:rPr>
        <w:lang w:val="zh-CN"/>
      </w:rPr>
      <w:t>-</w:t>
    </w:r>
    <w:r>
      <w:t xml:space="preserve"> 1 -</w:t>
    </w:r>
    <w:r>
      <w:fldChar w:fldCharType="end"/>
    </w:r>
  </w:p>
  <w:p w14:paraId="2D3CCFAA">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B083">
    <w:pPr>
      <w:pStyle w:val="3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09B02">
                          <w:pPr>
                            <w:pStyle w:val="31"/>
                            <w:jc w:val="center"/>
                          </w:pPr>
                          <w:r>
                            <w:fldChar w:fldCharType="begin"/>
                          </w:r>
                          <w:r>
                            <w:instrText xml:space="preserve">PAGE   \* MERGEFORMAT</w:instrText>
                          </w:r>
                          <w:r>
                            <w:fldChar w:fldCharType="separate"/>
                          </w:r>
                          <w:r>
                            <w:rPr>
                              <w:lang w:val="zh-CN"/>
                            </w:rPr>
                            <w:t>-</w:t>
                          </w:r>
                          <w:r>
                            <w:t xml:space="preserve">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D09B02">
                    <w:pPr>
                      <w:pStyle w:val="31"/>
                      <w:jc w:val="center"/>
                    </w:pPr>
                    <w:r>
                      <w:fldChar w:fldCharType="begin"/>
                    </w:r>
                    <w:r>
                      <w:instrText xml:space="preserve">PAGE   \* MERGEFORMAT</w:instrText>
                    </w:r>
                    <w:r>
                      <w:fldChar w:fldCharType="separate"/>
                    </w:r>
                    <w:r>
                      <w:rPr>
                        <w:lang w:val="zh-CN"/>
                      </w:rPr>
                      <w:t>-</w:t>
                    </w:r>
                    <w:r>
                      <w:t xml:space="preserve"> 8 -</w:t>
                    </w:r>
                    <w:r>
                      <w:fldChar w:fldCharType="end"/>
                    </w:r>
                  </w:p>
                </w:txbxContent>
              </v:textbox>
            </v:shape>
          </w:pict>
        </mc:Fallback>
      </mc:AlternateContent>
    </w:r>
  </w:p>
  <w:p w14:paraId="66C0016A">
    <w:pPr>
      <w:pStyle w:val="31"/>
      <w:tabs>
        <w:tab w:val="center" w:pos="4422"/>
        <w:tab w:val="right" w:pos="8844"/>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1CAE">
    <w:pPr>
      <w:pStyle w:val="3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CA9EC">
                          <w:pPr>
                            <w:pStyle w:val="3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2CA9EC">
                    <w:pPr>
                      <w:pStyle w:val="31"/>
                    </w:pPr>
                    <w:r>
                      <w:fldChar w:fldCharType="begin"/>
                    </w:r>
                    <w:r>
                      <w:instrText xml:space="preserve"> PAGE  \* MERGEFORMAT </w:instrText>
                    </w:r>
                    <w:r>
                      <w:fldChar w:fldCharType="separate"/>
                    </w:r>
                    <w:r>
                      <w:t>39</w:t>
                    </w:r>
                    <w:r>
                      <w:fldChar w:fldCharType="end"/>
                    </w:r>
                  </w:p>
                </w:txbxContent>
              </v:textbox>
            </v:shape>
          </w:pict>
        </mc:Fallback>
      </mc:AlternateContent>
    </w:r>
  </w:p>
  <w:p w14:paraId="66CAAD3B">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9A5A">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6AB30439">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bJr+O9oBAACuAwAADgAAAAAAAAAB&#10;ACAAAAAgAQAAZHJzL2Uyb0RvYy54bWxQSwUGAAAAAAYABgBZAQAAbAUAAAAA&#10;">
              <v:fill on="f" focussize="0,0"/>
              <v:stroke on="f" weight="0.5pt"/>
              <v:imagedata o:title=""/>
              <o:lock v:ext="edit" aspectratio="f"/>
              <v:textbox inset="0mm,0mm,0mm,0mm" style="mso-fit-shape-to-text:t;">
                <w:txbxContent>
                  <w:p w14:paraId="6AB30439">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v:textbox>
            </v:shape>
          </w:pict>
        </mc:Fallback>
      </mc:AlternateContent>
    </w:r>
  </w:p>
  <w:p w14:paraId="0D173679">
    <w:pPr>
      <w:widowControl w:val="0"/>
      <w:snapToGrid w:val="0"/>
      <w:ind w:firstLine="440"/>
      <w:jc w:val="left"/>
      <w:rPr>
        <w:rFonts w:ascii="等线" w:hAnsi="等线"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B17F">
    <w:pPr>
      <w:widowControl w:val="0"/>
      <w:snapToGrid w:val="0"/>
      <w:ind w:right="360" w:firstLine="360"/>
      <w:jc w:val="left"/>
      <w:rPr>
        <w:rFonts w:ascii="等线" w:hAnsi="等线"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55687">
                          <w:pPr>
                            <w:widowControl w:val="0"/>
                            <w:snapToGrid w:val="0"/>
                            <w:jc w:val="left"/>
                            <w:rPr>
                              <w:rStyle w:val="51"/>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1"/>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1"/>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055687">
                    <w:pPr>
                      <w:widowControl w:val="0"/>
                      <w:snapToGrid w:val="0"/>
                      <w:jc w:val="left"/>
                      <w:rPr>
                        <w:rStyle w:val="51"/>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1"/>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1"/>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DFF0">
    <w:pPr>
      <w:widowControl w:val="0"/>
      <w:snapToGrid w:val="0"/>
      <w:ind w:firstLine="440"/>
      <w:jc w:val="center"/>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060812">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XHQ7YAQAAsA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VNuSLvwgiTKA2tJyv2237kuXXN&#10;EWl2uA81tbj+lOhPFuVOqzMZYTK2k7H3Qe1a7Hieq4P/sI/YW245VRhgkWpycJCZ9Lh0aVP+93PW&#10;04+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9BcdDtgBAACwAwAADgAAAAAAAAABACAA&#10;AAAfAQAAZHJzL2Uyb0RvYy54bWxQSwUGAAAAAAYABgBZAQAAaQUAAAAA&#10;">
              <v:fill on="f" focussize="0,0"/>
              <v:stroke on="f" weight="0.5pt"/>
              <v:imagedata o:title=""/>
              <o:lock v:ext="edit" aspectratio="f"/>
              <v:textbox inset="0mm,0mm,0mm,0mm" style="mso-fit-shape-to-text:t;">
                <w:txbxContent>
                  <w:p w14:paraId="2A060812">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v:textbox>
            </v:shape>
          </w:pict>
        </mc:Fallback>
      </mc:AlternateContent>
    </w: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638754">
                          <w:pPr>
                            <w:widowControl w:val="0"/>
                            <w:snapToGrid w:val="0"/>
                            <w:ind w:firstLine="440"/>
                            <w:jc w:val="center"/>
                            <w:rPr>
                              <w:rFonts w:ascii="等线" w:hAnsi="等线" w:eastAsia="宋体" w:cs="Times New Roman"/>
                              <w:kern w:val="2"/>
                              <w:sz w:val="18"/>
                              <w:szCs w:val="18"/>
                              <w:lang w:val="en-US" w:eastAsia="zh-CN" w:bidi="ar-SA"/>
                            </w:rPr>
                          </w:pPr>
                        </w:p>
                        <w:p w14:paraId="336FA943">
                          <w:pPr>
                            <w:rPr>
                              <w:rFonts w:eastAsia="宋体"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E638754">
                    <w:pPr>
                      <w:widowControl w:val="0"/>
                      <w:snapToGrid w:val="0"/>
                      <w:ind w:firstLine="440"/>
                      <w:jc w:val="center"/>
                      <w:rPr>
                        <w:rFonts w:ascii="等线" w:hAnsi="等线" w:eastAsia="宋体" w:cs="Times New Roman"/>
                        <w:kern w:val="2"/>
                        <w:sz w:val="18"/>
                        <w:szCs w:val="18"/>
                        <w:lang w:val="en-US" w:eastAsia="zh-CN" w:bidi="ar-SA"/>
                      </w:rPr>
                    </w:pPr>
                  </w:p>
                  <w:p w14:paraId="336FA943">
                    <w:pPr>
                      <w:rPr>
                        <w:rFonts w:eastAsia="宋体" w:cs="Times New Roman"/>
                      </w:rPr>
                    </w:pPr>
                  </w:p>
                </w:txbxContent>
              </v:textbox>
            </v:shape>
          </w:pict>
        </mc:Fallback>
      </mc:AlternateContent>
    </w:r>
  </w:p>
  <w:p w14:paraId="44E8474F">
    <w:pPr>
      <w:widowControl w:val="0"/>
      <w:snapToGrid w:val="0"/>
      <w:ind w:firstLine="440"/>
      <w:jc w:val="left"/>
      <w:rPr>
        <w:rFonts w:ascii="等线" w:hAnsi="等线"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BF7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B121">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3044">
    <w:pPr>
      <w:pStyle w:val="32"/>
      <w:pBdr>
        <w:bottom w:val="none" w:color="auto" w:sz="0" w:space="0"/>
      </w:pBdr>
      <w:tabs>
        <w:tab w:val="right" w:pos="9813"/>
        <w:tab w:val="clear" w:pos="4153"/>
        <w:tab w:val="clear" w:pos="8306"/>
      </w:tabs>
      <w:ind w:left="-966" w:right="-968"/>
      <w:rPr>
        <w:rFonts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03C8"/>
    <w:multiLevelType w:val="singleLevel"/>
    <w:tmpl w:val="AE0E03C8"/>
    <w:lvl w:ilvl="0" w:tentative="0">
      <w:start w:val="2"/>
      <w:numFmt w:val="chineseCounting"/>
      <w:suff w:val="nothing"/>
      <w:lvlText w:val="%1、"/>
      <w:lvlJc w:val="left"/>
      <w:rPr>
        <w:rFonts w:hint="eastAsia"/>
      </w:rPr>
    </w:lvl>
  </w:abstractNum>
  <w:abstractNum w:abstractNumId="1">
    <w:nsid w:val="DA069F1E"/>
    <w:multiLevelType w:val="singleLevel"/>
    <w:tmpl w:val="DA069F1E"/>
    <w:lvl w:ilvl="0" w:tentative="0">
      <w:start w:val="1"/>
      <w:numFmt w:val="decimal"/>
      <w:pStyle w:val="14"/>
      <w:lvlText w:val="%1."/>
      <w:lvlJc w:val="left"/>
      <w:pPr>
        <w:tabs>
          <w:tab w:val="left" w:pos="780"/>
        </w:tabs>
        <w:ind w:left="780" w:hanging="360"/>
      </w:pPr>
    </w:lvl>
  </w:abstractNum>
  <w:abstractNum w:abstractNumId="2">
    <w:nsid w:val="DADFD21D"/>
    <w:multiLevelType w:val="singleLevel"/>
    <w:tmpl w:val="DADFD21D"/>
    <w:lvl w:ilvl="0" w:tentative="0">
      <w:start w:val="1"/>
      <w:numFmt w:val="decimal"/>
      <w:pStyle w:val="268"/>
      <w:suff w:val="nothing"/>
      <w:lvlText w:val="%1、"/>
      <w:lvlJc w:val="left"/>
    </w:lvl>
  </w:abstractNum>
  <w:abstractNum w:abstractNumId="3">
    <w:nsid w:val="07A97BC2"/>
    <w:multiLevelType w:val="multilevel"/>
    <w:tmpl w:val="07A97BC2"/>
    <w:lvl w:ilvl="0" w:tentative="0">
      <w:start w:val="1"/>
      <w:numFmt w:val="bullet"/>
      <w:pStyle w:val="27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520C8405"/>
    <w:multiLevelType w:val="singleLevel"/>
    <w:tmpl w:val="520C8405"/>
    <w:lvl w:ilvl="0" w:tentative="0">
      <w:start w:val="1"/>
      <w:numFmt w:val="chineseCounting"/>
      <w:pStyle w:val="265"/>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5DC2298"/>
    <w:multiLevelType w:val="multilevel"/>
    <w:tmpl w:val="55DC2298"/>
    <w:lvl w:ilvl="0" w:tentative="0">
      <w:start w:val="1"/>
      <w:numFmt w:val="chineseCountingThousand"/>
      <w:pStyle w:val="44"/>
      <w:lvlText w:val="第%1章"/>
      <w:lvlJc w:val="left"/>
      <w:pPr>
        <w:ind w:left="620" w:hanging="425"/>
      </w:pPr>
      <w:rPr>
        <w:rFonts w:hint="eastAsia"/>
      </w:rPr>
    </w:lvl>
    <w:lvl w:ilvl="1" w:tentative="0">
      <w:start w:val="1"/>
      <w:numFmt w:val="decimal"/>
      <w:lvlText w:val="%1.%2"/>
      <w:lvlJc w:val="left"/>
      <w:pPr>
        <w:ind w:left="1187" w:hanging="567"/>
      </w:pPr>
      <w:rPr>
        <w:rFonts w:hint="eastAsia"/>
      </w:rPr>
    </w:lvl>
    <w:lvl w:ilvl="2" w:tentative="0">
      <w:start w:val="1"/>
      <w:numFmt w:val="decimal"/>
      <w:lvlText w:val="%1.%2.%3"/>
      <w:lvlJc w:val="left"/>
      <w:pPr>
        <w:ind w:left="1613" w:hanging="567"/>
      </w:pPr>
      <w:rPr>
        <w:rFonts w:hint="eastAsia"/>
      </w:rPr>
    </w:lvl>
    <w:lvl w:ilvl="3" w:tentative="0">
      <w:start w:val="1"/>
      <w:numFmt w:val="decimal"/>
      <w:lvlText w:val="%1.%2.%3.%4"/>
      <w:lvlJc w:val="left"/>
      <w:pPr>
        <w:ind w:left="2179" w:hanging="708"/>
      </w:pPr>
      <w:rPr>
        <w:rFonts w:hint="eastAsia"/>
      </w:rPr>
    </w:lvl>
    <w:lvl w:ilvl="4" w:tentative="0">
      <w:start w:val="1"/>
      <w:numFmt w:val="decimal"/>
      <w:lvlText w:val="%1.%2.%3.%4.%5"/>
      <w:lvlJc w:val="left"/>
      <w:pPr>
        <w:ind w:left="2746" w:hanging="850"/>
      </w:pPr>
      <w:rPr>
        <w:rFonts w:hint="eastAsia"/>
      </w:rPr>
    </w:lvl>
    <w:lvl w:ilvl="5" w:tentative="0">
      <w:start w:val="1"/>
      <w:numFmt w:val="decimal"/>
      <w:lvlText w:val="%1.%2.%3.%4.%5.%6"/>
      <w:lvlJc w:val="left"/>
      <w:pPr>
        <w:ind w:left="3455" w:hanging="1134"/>
      </w:pPr>
      <w:rPr>
        <w:rFonts w:hint="eastAsia"/>
      </w:rPr>
    </w:lvl>
    <w:lvl w:ilvl="6" w:tentative="0">
      <w:start w:val="1"/>
      <w:numFmt w:val="decimal"/>
      <w:lvlText w:val="%1.%2.%3.%4.%5.%6.%7"/>
      <w:lvlJc w:val="left"/>
      <w:pPr>
        <w:ind w:left="4022" w:hanging="1276"/>
      </w:pPr>
      <w:rPr>
        <w:rFonts w:hint="eastAsia"/>
      </w:rPr>
    </w:lvl>
    <w:lvl w:ilvl="7" w:tentative="0">
      <w:start w:val="1"/>
      <w:numFmt w:val="decimal"/>
      <w:lvlText w:val="%1.%2.%3.%4.%5.%6.%7.%8"/>
      <w:lvlJc w:val="left"/>
      <w:pPr>
        <w:ind w:left="4589" w:hanging="1418"/>
      </w:pPr>
      <w:rPr>
        <w:rFonts w:hint="eastAsia"/>
      </w:rPr>
    </w:lvl>
    <w:lvl w:ilvl="8" w:tentative="0">
      <w:start w:val="1"/>
      <w:numFmt w:val="decimal"/>
      <w:lvlText w:val="%1.%2.%3.%4.%5.%6.%7.%8.%9"/>
      <w:lvlJc w:val="left"/>
      <w:pPr>
        <w:ind w:left="5297" w:hanging="1700"/>
      </w:pPr>
      <w:rPr>
        <w:rFonts w:hint="eastAsia"/>
      </w:rPr>
    </w:lvl>
  </w:abstractNum>
  <w:abstractNum w:abstractNumId="8">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4"/>
  </w:num>
  <w:num w:numId="4">
    <w:abstractNumId w:val="2"/>
  </w:num>
  <w:num w:numId="5">
    <w:abstractNumId w:val="3"/>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a0c89e6-ed9b-4421-8040-6b767f61daa1"/>
  </w:docVars>
  <w:rsids>
    <w:rsidRoot w:val="00F42B94"/>
    <w:rsid w:val="00000762"/>
    <w:rsid w:val="00001465"/>
    <w:rsid w:val="00001C6A"/>
    <w:rsid w:val="000044C6"/>
    <w:rsid w:val="00004E7D"/>
    <w:rsid w:val="00010975"/>
    <w:rsid w:val="00011EB0"/>
    <w:rsid w:val="00012B18"/>
    <w:rsid w:val="0002041D"/>
    <w:rsid w:val="00023D21"/>
    <w:rsid w:val="00023E3A"/>
    <w:rsid w:val="00024F27"/>
    <w:rsid w:val="00025B3B"/>
    <w:rsid w:val="000272BF"/>
    <w:rsid w:val="0002734A"/>
    <w:rsid w:val="000303FA"/>
    <w:rsid w:val="00031543"/>
    <w:rsid w:val="0003158D"/>
    <w:rsid w:val="00031FF1"/>
    <w:rsid w:val="000329DA"/>
    <w:rsid w:val="00033FAF"/>
    <w:rsid w:val="0003440F"/>
    <w:rsid w:val="00034A15"/>
    <w:rsid w:val="0003720C"/>
    <w:rsid w:val="000378E8"/>
    <w:rsid w:val="00041935"/>
    <w:rsid w:val="0004250C"/>
    <w:rsid w:val="000447C4"/>
    <w:rsid w:val="00044E85"/>
    <w:rsid w:val="00050830"/>
    <w:rsid w:val="00051171"/>
    <w:rsid w:val="000515CF"/>
    <w:rsid w:val="0005221F"/>
    <w:rsid w:val="000522A6"/>
    <w:rsid w:val="000525A0"/>
    <w:rsid w:val="00057655"/>
    <w:rsid w:val="00057E21"/>
    <w:rsid w:val="00062441"/>
    <w:rsid w:val="00062E7B"/>
    <w:rsid w:val="00063713"/>
    <w:rsid w:val="00064543"/>
    <w:rsid w:val="000725D0"/>
    <w:rsid w:val="00075589"/>
    <w:rsid w:val="00080445"/>
    <w:rsid w:val="00081011"/>
    <w:rsid w:val="00081DA6"/>
    <w:rsid w:val="00081F5F"/>
    <w:rsid w:val="00084226"/>
    <w:rsid w:val="00084F20"/>
    <w:rsid w:val="00085E3C"/>
    <w:rsid w:val="00086D54"/>
    <w:rsid w:val="00087829"/>
    <w:rsid w:val="00090559"/>
    <w:rsid w:val="00090924"/>
    <w:rsid w:val="0009183B"/>
    <w:rsid w:val="0009269F"/>
    <w:rsid w:val="0009417B"/>
    <w:rsid w:val="000946F7"/>
    <w:rsid w:val="000957AF"/>
    <w:rsid w:val="000978B4"/>
    <w:rsid w:val="000A1A77"/>
    <w:rsid w:val="000A21E3"/>
    <w:rsid w:val="000A281E"/>
    <w:rsid w:val="000A31AB"/>
    <w:rsid w:val="000A5353"/>
    <w:rsid w:val="000A6BE6"/>
    <w:rsid w:val="000A7AB5"/>
    <w:rsid w:val="000B2495"/>
    <w:rsid w:val="000B29CD"/>
    <w:rsid w:val="000B4522"/>
    <w:rsid w:val="000B5823"/>
    <w:rsid w:val="000C121D"/>
    <w:rsid w:val="000C13B4"/>
    <w:rsid w:val="000C4E1D"/>
    <w:rsid w:val="000C729C"/>
    <w:rsid w:val="000C72D6"/>
    <w:rsid w:val="000C78F3"/>
    <w:rsid w:val="000D0268"/>
    <w:rsid w:val="000D1F81"/>
    <w:rsid w:val="000D5278"/>
    <w:rsid w:val="000D625F"/>
    <w:rsid w:val="000D6668"/>
    <w:rsid w:val="000E0D3F"/>
    <w:rsid w:val="000E349E"/>
    <w:rsid w:val="000E38FD"/>
    <w:rsid w:val="000E7353"/>
    <w:rsid w:val="000E745A"/>
    <w:rsid w:val="000F01DF"/>
    <w:rsid w:val="000F0690"/>
    <w:rsid w:val="000F2CFB"/>
    <w:rsid w:val="000F2DF2"/>
    <w:rsid w:val="000F753C"/>
    <w:rsid w:val="00106871"/>
    <w:rsid w:val="001068E5"/>
    <w:rsid w:val="00110BCF"/>
    <w:rsid w:val="00113970"/>
    <w:rsid w:val="00114B62"/>
    <w:rsid w:val="0011513E"/>
    <w:rsid w:val="00115531"/>
    <w:rsid w:val="00123CD3"/>
    <w:rsid w:val="0012467F"/>
    <w:rsid w:val="00124913"/>
    <w:rsid w:val="001249DF"/>
    <w:rsid w:val="00124DAE"/>
    <w:rsid w:val="00124E03"/>
    <w:rsid w:val="00126BAF"/>
    <w:rsid w:val="00127235"/>
    <w:rsid w:val="00130D18"/>
    <w:rsid w:val="00134577"/>
    <w:rsid w:val="00141870"/>
    <w:rsid w:val="00141C37"/>
    <w:rsid w:val="00141C72"/>
    <w:rsid w:val="00144D6E"/>
    <w:rsid w:val="00150508"/>
    <w:rsid w:val="001535A6"/>
    <w:rsid w:val="00153D99"/>
    <w:rsid w:val="00154745"/>
    <w:rsid w:val="00156755"/>
    <w:rsid w:val="001570FF"/>
    <w:rsid w:val="00157FB4"/>
    <w:rsid w:val="0016003C"/>
    <w:rsid w:val="00161A82"/>
    <w:rsid w:val="00162879"/>
    <w:rsid w:val="00162B57"/>
    <w:rsid w:val="001647C6"/>
    <w:rsid w:val="00164AAD"/>
    <w:rsid w:val="00170457"/>
    <w:rsid w:val="00172416"/>
    <w:rsid w:val="00176000"/>
    <w:rsid w:val="00176CC4"/>
    <w:rsid w:val="00177BB0"/>
    <w:rsid w:val="001800E2"/>
    <w:rsid w:val="00180F85"/>
    <w:rsid w:val="001822AF"/>
    <w:rsid w:val="00182D33"/>
    <w:rsid w:val="00183CA1"/>
    <w:rsid w:val="00186101"/>
    <w:rsid w:val="001868FC"/>
    <w:rsid w:val="00187118"/>
    <w:rsid w:val="00187FC2"/>
    <w:rsid w:val="0019104C"/>
    <w:rsid w:val="00192965"/>
    <w:rsid w:val="00193604"/>
    <w:rsid w:val="00194A69"/>
    <w:rsid w:val="00195202"/>
    <w:rsid w:val="001956C2"/>
    <w:rsid w:val="00195846"/>
    <w:rsid w:val="00196C48"/>
    <w:rsid w:val="001A01C0"/>
    <w:rsid w:val="001A028D"/>
    <w:rsid w:val="001A44B8"/>
    <w:rsid w:val="001A4529"/>
    <w:rsid w:val="001A56C1"/>
    <w:rsid w:val="001A7117"/>
    <w:rsid w:val="001B018C"/>
    <w:rsid w:val="001B057E"/>
    <w:rsid w:val="001C1C84"/>
    <w:rsid w:val="001C1DCA"/>
    <w:rsid w:val="001C2573"/>
    <w:rsid w:val="001C43B5"/>
    <w:rsid w:val="001C6223"/>
    <w:rsid w:val="001C7A2C"/>
    <w:rsid w:val="001C7A91"/>
    <w:rsid w:val="001D1C0E"/>
    <w:rsid w:val="001D6B71"/>
    <w:rsid w:val="001E1F3B"/>
    <w:rsid w:val="001E20DE"/>
    <w:rsid w:val="001E2571"/>
    <w:rsid w:val="001E291B"/>
    <w:rsid w:val="001E41F2"/>
    <w:rsid w:val="001E5719"/>
    <w:rsid w:val="001E5FC6"/>
    <w:rsid w:val="001E69A1"/>
    <w:rsid w:val="001F17FE"/>
    <w:rsid w:val="001F1A18"/>
    <w:rsid w:val="001F4F2F"/>
    <w:rsid w:val="001F6C0A"/>
    <w:rsid w:val="00211A93"/>
    <w:rsid w:val="00211B56"/>
    <w:rsid w:val="00213322"/>
    <w:rsid w:val="002137CE"/>
    <w:rsid w:val="00215E1F"/>
    <w:rsid w:val="00217476"/>
    <w:rsid w:val="00217E4A"/>
    <w:rsid w:val="00221130"/>
    <w:rsid w:val="00222A02"/>
    <w:rsid w:val="002234ED"/>
    <w:rsid w:val="0022407A"/>
    <w:rsid w:val="002272C8"/>
    <w:rsid w:val="00231B55"/>
    <w:rsid w:val="00232245"/>
    <w:rsid w:val="002356D6"/>
    <w:rsid w:val="002369B3"/>
    <w:rsid w:val="00237B9D"/>
    <w:rsid w:val="00242142"/>
    <w:rsid w:val="00242C32"/>
    <w:rsid w:val="0024483F"/>
    <w:rsid w:val="00247CB5"/>
    <w:rsid w:val="002507EA"/>
    <w:rsid w:val="0025201A"/>
    <w:rsid w:val="00252549"/>
    <w:rsid w:val="00253737"/>
    <w:rsid w:val="00253D22"/>
    <w:rsid w:val="00254DB5"/>
    <w:rsid w:val="002570D2"/>
    <w:rsid w:val="00257E3F"/>
    <w:rsid w:val="00261BE8"/>
    <w:rsid w:val="002620E8"/>
    <w:rsid w:val="002625BC"/>
    <w:rsid w:val="0026420C"/>
    <w:rsid w:val="00267AA7"/>
    <w:rsid w:val="00270E12"/>
    <w:rsid w:val="00272161"/>
    <w:rsid w:val="002722B2"/>
    <w:rsid w:val="002733B8"/>
    <w:rsid w:val="00274300"/>
    <w:rsid w:val="002746DA"/>
    <w:rsid w:val="002749D3"/>
    <w:rsid w:val="00277380"/>
    <w:rsid w:val="0027787C"/>
    <w:rsid w:val="00277BA0"/>
    <w:rsid w:val="00277BFD"/>
    <w:rsid w:val="00277DD5"/>
    <w:rsid w:val="00277F46"/>
    <w:rsid w:val="00280EC2"/>
    <w:rsid w:val="002825A0"/>
    <w:rsid w:val="0028388C"/>
    <w:rsid w:val="002838DD"/>
    <w:rsid w:val="002857A1"/>
    <w:rsid w:val="002860C9"/>
    <w:rsid w:val="00287152"/>
    <w:rsid w:val="0029051E"/>
    <w:rsid w:val="00290A0C"/>
    <w:rsid w:val="00295357"/>
    <w:rsid w:val="00297B67"/>
    <w:rsid w:val="002A43F4"/>
    <w:rsid w:val="002A68F3"/>
    <w:rsid w:val="002B6004"/>
    <w:rsid w:val="002C0105"/>
    <w:rsid w:val="002C3455"/>
    <w:rsid w:val="002C4C38"/>
    <w:rsid w:val="002C5065"/>
    <w:rsid w:val="002C573D"/>
    <w:rsid w:val="002C738A"/>
    <w:rsid w:val="002D0B8F"/>
    <w:rsid w:val="002D232C"/>
    <w:rsid w:val="002D2674"/>
    <w:rsid w:val="002D3E6B"/>
    <w:rsid w:val="002D4BBD"/>
    <w:rsid w:val="002D779E"/>
    <w:rsid w:val="002E0A6B"/>
    <w:rsid w:val="002E0EBD"/>
    <w:rsid w:val="002E241B"/>
    <w:rsid w:val="002E2865"/>
    <w:rsid w:val="002E41DD"/>
    <w:rsid w:val="002E46D1"/>
    <w:rsid w:val="002E4736"/>
    <w:rsid w:val="002E4E75"/>
    <w:rsid w:val="002E631F"/>
    <w:rsid w:val="002E6ABA"/>
    <w:rsid w:val="002F062F"/>
    <w:rsid w:val="002F0BD5"/>
    <w:rsid w:val="002F2ECB"/>
    <w:rsid w:val="002F661B"/>
    <w:rsid w:val="002F6AFC"/>
    <w:rsid w:val="002F74D6"/>
    <w:rsid w:val="00302F15"/>
    <w:rsid w:val="00304513"/>
    <w:rsid w:val="003055D7"/>
    <w:rsid w:val="00310946"/>
    <w:rsid w:val="00310A55"/>
    <w:rsid w:val="00310C05"/>
    <w:rsid w:val="00312039"/>
    <w:rsid w:val="00313163"/>
    <w:rsid w:val="0031472D"/>
    <w:rsid w:val="003149EA"/>
    <w:rsid w:val="003177C2"/>
    <w:rsid w:val="00317A78"/>
    <w:rsid w:val="00317D0C"/>
    <w:rsid w:val="00317D8D"/>
    <w:rsid w:val="00320468"/>
    <w:rsid w:val="003209C5"/>
    <w:rsid w:val="003209F9"/>
    <w:rsid w:val="0032224E"/>
    <w:rsid w:val="003228EA"/>
    <w:rsid w:val="003232DE"/>
    <w:rsid w:val="00323C23"/>
    <w:rsid w:val="00324383"/>
    <w:rsid w:val="003269A6"/>
    <w:rsid w:val="00326DD4"/>
    <w:rsid w:val="00326DE6"/>
    <w:rsid w:val="003277B2"/>
    <w:rsid w:val="00330A07"/>
    <w:rsid w:val="0033126E"/>
    <w:rsid w:val="00331DB0"/>
    <w:rsid w:val="0033204F"/>
    <w:rsid w:val="003327A3"/>
    <w:rsid w:val="003345F4"/>
    <w:rsid w:val="00337289"/>
    <w:rsid w:val="00337C2C"/>
    <w:rsid w:val="00342C3D"/>
    <w:rsid w:val="00346440"/>
    <w:rsid w:val="003479BA"/>
    <w:rsid w:val="0035123E"/>
    <w:rsid w:val="003519A9"/>
    <w:rsid w:val="0035267F"/>
    <w:rsid w:val="00353831"/>
    <w:rsid w:val="0035399B"/>
    <w:rsid w:val="00354382"/>
    <w:rsid w:val="00354749"/>
    <w:rsid w:val="0035796B"/>
    <w:rsid w:val="003609B1"/>
    <w:rsid w:val="0036350A"/>
    <w:rsid w:val="0036389C"/>
    <w:rsid w:val="00365BDA"/>
    <w:rsid w:val="0036727F"/>
    <w:rsid w:val="00367B6A"/>
    <w:rsid w:val="00370621"/>
    <w:rsid w:val="00370E02"/>
    <w:rsid w:val="003713C2"/>
    <w:rsid w:val="0037290E"/>
    <w:rsid w:val="00374306"/>
    <w:rsid w:val="003766CE"/>
    <w:rsid w:val="003813FC"/>
    <w:rsid w:val="00385F28"/>
    <w:rsid w:val="003866B1"/>
    <w:rsid w:val="003875C5"/>
    <w:rsid w:val="00387B33"/>
    <w:rsid w:val="003902BD"/>
    <w:rsid w:val="00390887"/>
    <w:rsid w:val="00390F6B"/>
    <w:rsid w:val="00391CC3"/>
    <w:rsid w:val="00391EA6"/>
    <w:rsid w:val="00392B38"/>
    <w:rsid w:val="00394155"/>
    <w:rsid w:val="003942A0"/>
    <w:rsid w:val="00395CB7"/>
    <w:rsid w:val="003963B5"/>
    <w:rsid w:val="00397575"/>
    <w:rsid w:val="003A0E12"/>
    <w:rsid w:val="003A0F16"/>
    <w:rsid w:val="003A24DC"/>
    <w:rsid w:val="003A3B05"/>
    <w:rsid w:val="003A4948"/>
    <w:rsid w:val="003A4D65"/>
    <w:rsid w:val="003A6341"/>
    <w:rsid w:val="003B14F7"/>
    <w:rsid w:val="003B4A60"/>
    <w:rsid w:val="003B5C60"/>
    <w:rsid w:val="003B6332"/>
    <w:rsid w:val="003C1C96"/>
    <w:rsid w:val="003C3F61"/>
    <w:rsid w:val="003C6E3E"/>
    <w:rsid w:val="003D033B"/>
    <w:rsid w:val="003D0637"/>
    <w:rsid w:val="003D1FF1"/>
    <w:rsid w:val="003D23CF"/>
    <w:rsid w:val="003D389C"/>
    <w:rsid w:val="003D4077"/>
    <w:rsid w:val="003D6662"/>
    <w:rsid w:val="003E0108"/>
    <w:rsid w:val="003E0AAF"/>
    <w:rsid w:val="003E1977"/>
    <w:rsid w:val="003E578B"/>
    <w:rsid w:val="003F0351"/>
    <w:rsid w:val="003F0866"/>
    <w:rsid w:val="003F2136"/>
    <w:rsid w:val="003F2DBD"/>
    <w:rsid w:val="003F4F19"/>
    <w:rsid w:val="003F6380"/>
    <w:rsid w:val="003F63CE"/>
    <w:rsid w:val="003F7EA9"/>
    <w:rsid w:val="00401A5F"/>
    <w:rsid w:val="00401D7D"/>
    <w:rsid w:val="00406ACE"/>
    <w:rsid w:val="0041063D"/>
    <w:rsid w:val="00411617"/>
    <w:rsid w:val="004142D5"/>
    <w:rsid w:val="00414C3A"/>
    <w:rsid w:val="004168DA"/>
    <w:rsid w:val="00420AFF"/>
    <w:rsid w:val="004221E8"/>
    <w:rsid w:val="0042490D"/>
    <w:rsid w:val="004301EE"/>
    <w:rsid w:val="00430ADD"/>
    <w:rsid w:val="00433E25"/>
    <w:rsid w:val="00435601"/>
    <w:rsid w:val="0043611A"/>
    <w:rsid w:val="004425C5"/>
    <w:rsid w:val="00446139"/>
    <w:rsid w:val="00446CF0"/>
    <w:rsid w:val="00451D12"/>
    <w:rsid w:val="00452A91"/>
    <w:rsid w:val="00456619"/>
    <w:rsid w:val="00456841"/>
    <w:rsid w:val="004640BA"/>
    <w:rsid w:val="00464FC9"/>
    <w:rsid w:val="00467261"/>
    <w:rsid w:val="004721C8"/>
    <w:rsid w:val="00472C47"/>
    <w:rsid w:val="0047423D"/>
    <w:rsid w:val="004749F7"/>
    <w:rsid w:val="00475306"/>
    <w:rsid w:val="004761BC"/>
    <w:rsid w:val="00480E69"/>
    <w:rsid w:val="00490404"/>
    <w:rsid w:val="00490E81"/>
    <w:rsid w:val="00493FFC"/>
    <w:rsid w:val="0049507A"/>
    <w:rsid w:val="0049521C"/>
    <w:rsid w:val="004977CB"/>
    <w:rsid w:val="004A03D5"/>
    <w:rsid w:val="004A12F0"/>
    <w:rsid w:val="004A2219"/>
    <w:rsid w:val="004A2962"/>
    <w:rsid w:val="004A2993"/>
    <w:rsid w:val="004A42D8"/>
    <w:rsid w:val="004A458E"/>
    <w:rsid w:val="004A48D8"/>
    <w:rsid w:val="004A61DE"/>
    <w:rsid w:val="004A6426"/>
    <w:rsid w:val="004A6837"/>
    <w:rsid w:val="004A73DF"/>
    <w:rsid w:val="004B2C6F"/>
    <w:rsid w:val="004B4539"/>
    <w:rsid w:val="004B573B"/>
    <w:rsid w:val="004B5D86"/>
    <w:rsid w:val="004C0A3E"/>
    <w:rsid w:val="004C14C9"/>
    <w:rsid w:val="004C2A8F"/>
    <w:rsid w:val="004C4B33"/>
    <w:rsid w:val="004C6066"/>
    <w:rsid w:val="004C710F"/>
    <w:rsid w:val="004C725B"/>
    <w:rsid w:val="004D5A0C"/>
    <w:rsid w:val="004E206A"/>
    <w:rsid w:val="004E505D"/>
    <w:rsid w:val="004E5E2F"/>
    <w:rsid w:val="004E729F"/>
    <w:rsid w:val="004F1A04"/>
    <w:rsid w:val="004F3C8E"/>
    <w:rsid w:val="004F4817"/>
    <w:rsid w:val="004F538F"/>
    <w:rsid w:val="004F5EB3"/>
    <w:rsid w:val="005002AE"/>
    <w:rsid w:val="00502DE4"/>
    <w:rsid w:val="0050600C"/>
    <w:rsid w:val="00507199"/>
    <w:rsid w:val="0051429F"/>
    <w:rsid w:val="00514835"/>
    <w:rsid w:val="00516B48"/>
    <w:rsid w:val="00517525"/>
    <w:rsid w:val="00522DD9"/>
    <w:rsid w:val="00525C8F"/>
    <w:rsid w:val="005316F9"/>
    <w:rsid w:val="005317C5"/>
    <w:rsid w:val="00532AD2"/>
    <w:rsid w:val="00544C4F"/>
    <w:rsid w:val="0054717C"/>
    <w:rsid w:val="00550394"/>
    <w:rsid w:val="00553ABE"/>
    <w:rsid w:val="00554490"/>
    <w:rsid w:val="00554CDB"/>
    <w:rsid w:val="0055551D"/>
    <w:rsid w:val="00556CC9"/>
    <w:rsid w:val="0055716F"/>
    <w:rsid w:val="005575BC"/>
    <w:rsid w:val="0055797F"/>
    <w:rsid w:val="00560972"/>
    <w:rsid w:val="00561C5E"/>
    <w:rsid w:val="0056261A"/>
    <w:rsid w:val="00563842"/>
    <w:rsid w:val="00564F64"/>
    <w:rsid w:val="005703A3"/>
    <w:rsid w:val="005708AE"/>
    <w:rsid w:val="00572043"/>
    <w:rsid w:val="00572C95"/>
    <w:rsid w:val="005733D5"/>
    <w:rsid w:val="00576723"/>
    <w:rsid w:val="005771F4"/>
    <w:rsid w:val="00577DD0"/>
    <w:rsid w:val="00577F99"/>
    <w:rsid w:val="00581C39"/>
    <w:rsid w:val="00583B79"/>
    <w:rsid w:val="00583EAB"/>
    <w:rsid w:val="00584495"/>
    <w:rsid w:val="00585B19"/>
    <w:rsid w:val="00586ED9"/>
    <w:rsid w:val="00586EE9"/>
    <w:rsid w:val="00590196"/>
    <w:rsid w:val="00591DE4"/>
    <w:rsid w:val="005925AE"/>
    <w:rsid w:val="005925F5"/>
    <w:rsid w:val="00593681"/>
    <w:rsid w:val="00594BD6"/>
    <w:rsid w:val="00595FB1"/>
    <w:rsid w:val="005969AF"/>
    <w:rsid w:val="005972DE"/>
    <w:rsid w:val="005A174A"/>
    <w:rsid w:val="005A7169"/>
    <w:rsid w:val="005A78A2"/>
    <w:rsid w:val="005B1A53"/>
    <w:rsid w:val="005B4095"/>
    <w:rsid w:val="005B4183"/>
    <w:rsid w:val="005B593D"/>
    <w:rsid w:val="005C0BE9"/>
    <w:rsid w:val="005C3827"/>
    <w:rsid w:val="005D0B93"/>
    <w:rsid w:val="005D0D4C"/>
    <w:rsid w:val="005D0DC2"/>
    <w:rsid w:val="005D1999"/>
    <w:rsid w:val="005D4E6D"/>
    <w:rsid w:val="005D5686"/>
    <w:rsid w:val="005E0B31"/>
    <w:rsid w:val="005E1E55"/>
    <w:rsid w:val="005E4BA6"/>
    <w:rsid w:val="005E66E0"/>
    <w:rsid w:val="005E675D"/>
    <w:rsid w:val="005E7C9A"/>
    <w:rsid w:val="005E7CD1"/>
    <w:rsid w:val="005F0574"/>
    <w:rsid w:val="005F0684"/>
    <w:rsid w:val="005F1B6F"/>
    <w:rsid w:val="005F502F"/>
    <w:rsid w:val="005F56B9"/>
    <w:rsid w:val="005F58C5"/>
    <w:rsid w:val="005F7C84"/>
    <w:rsid w:val="00601A1C"/>
    <w:rsid w:val="00604D11"/>
    <w:rsid w:val="00604DBE"/>
    <w:rsid w:val="006066D7"/>
    <w:rsid w:val="00606964"/>
    <w:rsid w:val="00610815"/>
    <w:rsid w:val="00611781"/>
    <w:rsid w:val="00616DA5"/>
    <w:rsid w:val="006211D0"/>
    <w:rsid w:val="00621DCB"/>
    <w:rsid w:val="00623C00"/>
    <w:rsid w:val="00623D7C"/>
    <w:rsid w:val="00625A2E"/>
    <w:rsid w:val="00625B17"/>
    <w:rsid w:val="00626001"/>
    <w:rsid w:val="00630EEB"/>
    <w:rsid w:val="0063109A"/>
    <w:rsid w:val="00634454"/>
    <w:rsid w:val="00635507"/>
    <w:rsid w:val="00642438"/>
    <w:rsid w:val="006458EA"/>
    <w:rsid w:val="0064591D"/>
    <w:rsid w:val="0064698F"/>
    <w:rsid w:val="006469E1"/>
    <w:rsid w:val="00650D5F"/>
    <w:rsid w:val="00650E52"/>
    <w:rsid w:val="00651A29"/>
    <w:rsid w:val="006522EB"/>
    <w:rsid w:val="00656C13"/>
    <w:rsid w:val="00660E54"/>
    <w:rsid w:val="00661651"/>
    <w:rsid w:val="00664F13"/>
    <w:rsid w:val="006711DD"/>
    <w:rsid w:val="00671E19"/>
    <w:rsid w:val="00675120"/>
    <w:rsid w:val="00675A83"/>
    <w:rsid w:val="00677E4E"/>
    <w:rsid w:val="006826E2"/>
    <w:rsid w:val="00684BF9"/>
    <w:rsid w:val="00686166"/>
    <w:rsid w:val="006870EC"/>
    <w:rsid w:val="00690164"/>
    <w:rsid w:val="006938D8"/>
    <w:rsid w:val="006A0F62"/>
    <w:rsid w:val="006A1419"/>
    <w:rsid w:val="006A21BA"/>
    <w:rsid w:val="006A410B"/>
    <w:rsid w:val="006A42C9"/>
    <w:rsid w:val="006A75F9"/>
    <w:rsid w:val="006B49B4"/>
    <w:rsid w:val="006B53A3"/>
    <w:rsid w:val="006B5891"/>
    <w:rsid w:val="006B70E3"/>
    <w:rsid w:val="006B791F"/>
    <w:rsid w:val="006C14E1"/>
    <w:rsid w:val="006C240C"/>
    <w:rsid w:val="006C3FB0"/>
    <w:rsid w:val="006C4AD3"/>
    <w:rsid w:val="006C606A"/>
    <w:rsid w:val="006D0873"/>
    <w:rsid w:val="006D0CC0"/>
    <w:rsid w:val="006D2AAC"/>
    <w:rsid w:val="006D2C83"/>
    <w:rsid w:val="006E1834"/>
    <w:rsid w:val="006E3A64"/>
    <w:rsid w:val="006E43C4"/>
    <w:rsid w:val="006E573E"/>
    <w:rsid w:val="006E5966"/>
    <w:rsid w:val="006E6AFB"/>
    <w:rsid w:val="006F033F"/>
    <w:rsid w:val="006F10F0"/>
    <w:rsid w:val="0070103E"/>
    <w:rsid w:val="00701D18"/>
    <w:rsid w:val="0070240C"/>
    <w:rsid w:val="0070447E"/>
    <w:rsid w:val="00705017"/>
    <w:rsid w:val="007053B8"/>
    <w:rsid w:val="00705768"/>
    <w:rsid w:val="0070592F"/>
    <w:rsid w:val="007075CA"/>
    <w:rsid w:val="00711234"/>
    <w:rsid w:val="0071289F"/>
    <w:rsid w:val="00713030"/>
    <w:rsid w:val="007160FD"/>
    <w:rsid w:val="00721AEE"/>
    <w:rsid w:val="00721BA5"/>
    <w:rsid w:val="0072329D"/>
    <w:rsid w:val="007238A4"/>
    <w:rsid w:val="007240DF"/>
    <w:rsid w:val="007241BD"/>
    <w:rsid w:val="007255F3"/>
    <w:rsid w:val="00727E49"/>
    <w:rsid w:val="007303BE"/>
    <w:rsid w:val="00731694"/>
    <w:rsid w:val="00732E8F"/>
    <w:rsid w:val="00734B19"/>
    <w:rsid w:val="00734D60"/>
    <w:rsid w:val="007401DA"/>
    <w:rsid w:val="00740886"/>
    <w:rsid w:val="00742C30"/>
    <w:rsid w:val="00742DBD"/>
    <w:rsid w:val="00742E10"/>
    <w:rsid w:val="00743FE9"/>
    <w:rsid w:val="0074513B"/>
    <w:rsid w:val="00751FAE"/>
    <w:rsid w:val="007522C4"/>
    <w:rsid w:val="007531FB"/>
    <w:rsid w:val="007532EB"/>
    <w:rsid w:val="00754C56"/>
    <w:rsid w:val="007562E3"/>
    <w:rsid w:val="0076083E"/>
    <w:rsid w:val="00763688"/>
    <w:rsid w:val="00763753"/>
    <w:rsid w:val="007639B0"/>
    <w:rsid w:val="00764FD1"/>
    <w:rsid w:val="00766DA6"/>
    <w:rsid w:val="007671DE"/>
    <w:rsid w:val="00773F23"/>
    <w:rsid w:val="00773FD0"/>
    <w:rsid w:val="0077709A"/>
    <w:rsid w:val="00782568"/>
    <w:rsid w:val="00782FF3"/>
    <w:rsid w:val="00784CF3"/>
    <w:rsid w:val="00786122"/>
    <w:rsid w:val="00790DE6"/>
    <w:rsid w:val="00791758"/>
    <w:rsid w:val="0079254E"/>
    <w:rsid w:val="0079537E"/>
    <w:rsid w:val="00795EBD"/>
    <w:rsid w:val="007A1A54"/>
    <w:rsid w:val="007A20FF"/>
    <w:rsid w:val="007A273C"/>
    <w:rsid w:val="007A3536"/>
    <w:rsid w:val="007A595C"/>
    <w:rsid w:val="007A7900"/>
    <w:rsid w:val="007B05F1"/>
    <w:rsid w:val="007B229C"/>
    <w:rsid w:val="007B4029"/>
    <w:rsid w:val="007C1957"/>
    <w:rsid w:val="007C2328"/>
    <w:rsid w:val="007C32C2"/>
    <w:rsid w:val="007C3D11"/>
    <w:rsid w:val="007C43D5"/>
    <w:rsid w:val="007C4640"/>
    <w:rsid w:val="007C5CFC"/>
    <w:rsid w:val="007C5F2D"/>
    <w:rsid w:val="007C6213"/>
    <w:rsid w:val="007D0C3B"/>
    <w:rsid w:val="007D2B5D"/>
    <w:rsid w:val="007D48FC"/>
    <w:rsid w:val="007D4BFD"/>
    <w:rsid w:val="007D6A51"/>
    <w:rsid w:val="007D6EEE"/>
    <w:rsid w:val="007D7A2E"/>
    <w:rsid w:val="007E0254"/>
    <w:rsid w:val="007E0B08"/>
    <w:rsid w:val="007E198F"/>
    <w:rsid w:val="007E419C"/>
    <w:rsid w:val="007E6992"/>
    <w:rsid w:val="007E74BE"/>
    <w:rsid w:val="007F011F"/>
    <w:rsid w:val="007F0317"/>
    <w:rsid w:val="007F0D37"/>
    <w:rsid w:val="007F1FCD"/>
    <w:rsid w:val="007F22DF"/>
    <w:rsid w:val="007F354E"/>
    <w:rsid w:val="007F4EC1"/>
    <w:rsid w:val="0080077C"/>
    <w:rsid w:val="0080205A"/>
    <w:rsid w:val="00804FE3"/>
    <w:rsid w:val="00807101"/>
    <w:rsid w:val="00810BA5"/>
    <w:rsid w:val="008117CB"/>
    <w:rsid w:val="00814657"/>
    <w:rsid w:val="00814AD5"/>
    <w:rsid w:val="00815A93"/>
    <w:rsid w:val="00817386"/>
    <w:rsid w:val="0082276F"/>
    <w:rsid w:val="008239E5"/>
    <w:rsid w:val="00823F1F"/>
    <w:rsid w:val="008243A9"/>
    <w:rsid w:val="008251E2"/>
    <w:rsid w:val="008310E7"/>
    <w:rsid w:val="00831724"/>
    <w:rsid w:val="00833716"/>
    <w:rsid w:val="00833D52"/>
    <w:rsid w:val="00834C1D"/>
    <w:rsid w:val="00842393"/>
    <w:rsid w:val="00843E29"/>
    <w:rsid w:val="00844B53"/>
    <w:rsid w:val="00844FC2"/>
    <w:rsid w:val="00850131"/>
    <w:rsid w:val="00851160"/>
    <w:rsid w:val="00851BC3"/>
    <w:rsid w:val="00851DC4"/>
    <w:rsid w:val="0085381B"/>
    <w:rsid w:val="00853B8C"/>
    <w:rsid w:val="00856A63"/>
    <w:rsid w:val="0085769B"/>
    <w:rsid w:val="00860899"/>
    <w:rsid w:val="00860E07"/>
    <w:rsid w:val="00865378"/>
    <w:rsid w:val="008665A7"/>
    <w:rsid w:val="008729D7"/>
    <w:rsid w:val="008745B2"/>
    <w:rsid w:val="00874BA3"/>
    <w:rsid w:val="008805F2"/>
    <w:rsid w:val="008813B0"/>
    <w:rsid w:val="00883B1D"/>
    <w:rsid w:val="00884BAD"/>
    <w:rsid w:val="008857C7"/>
    <w:rsid w:val="00885AED"/>
    <w:rsid w:val="0088762C"/>
    <w:rsid w:val="00891752"/>
    <w:rsid w:val="00891C31"/>
    <w:rsid w:val="00893B62"/>
    <w:rsid w:val="00894E2D"/>
    <w:rsid w:val="0089583E"/>
    <w:rsid w:val="00895CBC"/>
    <w:rsid w:val="008A0DD5"/>
    <w:rsid w:val="008A2FAA"/>
    <w:rsid w:val="008A3AA8"/>
    <w:rsid w:val="008A4071"/>
    <w:rsid w:val="008A4EDE"/>
    <w:rsid w:val="008B08B9"/>
    <w:rsid w:val="008B0DFB"/>
    <w:rsid w:val="008B23FB"/>
    <w:rsid w:val="008B2957"/>
    <w:rsid w:val="008B3459"/>
    <w:rsid w:val="008B38B7"/>
    <w:rsid w:val="008B44B6"/>
    <w:rsid w:val="008B45C2"/>
    <w:rsid w:val="008B5509"/>
    <w:rsid w:val="008B7616"/>
    <w:rsid w:val="008C0D03"/>
    <w:rsid w:val="008C3614"/>
    <w:rsid w:val="008C7643"/>
    <w:rsid w:val="008C780E"/>
    <w:rsid w:val="008C79AF"/>
    <w:rsid w:val="008D089D"/>
    <w:rsid w:val="008D092F"/>
    <w:rsid w:val="008D3909"/>
    <w:rsid w:val="008D4142"/>
    <w:rsid w:val="008D4424"/>
    <w:rsid w:val="008D5FE6"/>
    <w:rsid w:val="008E0A80"/>
    <w:rsid w:val="008E0D1A"/>
    <w:rsid w:val="008E1A30"/>
    <w:rsid w:val="008E25B8"/>
    <w:rsid w:val="008E377F"/>
    <w:rsid w:val="008E4BD9"/>
    <w:rsid w:val="008E56B0"/>
    <w:rsid w:val="008E6025"/>
    <w:rsid w:val="008F00B1"/>
    <w:rsid w:val="008F2A14"/>
    <w:rsid w:val="008F33F6"/>
    <w:rsid w:val="008F627D"/>
    <w:rsid w:val="00901CE5"/>
    <w:rsid w:val="00901D20"/>
    <w:rsid w:val="009037A1"/>
    <w:rsid w:val="00903A3E"/>
    <w:rsid w:val="00907009"/>
    <w:rsid w:val="00911B44"/>
    <w:rsid w:val="0091275D"/>
    <w:rsid w:val="009137F2"/>
    <w:rsid w:val="00913D22"/>
    <w:rsid w:val="00913F90"/>
    <w:rsid w:val="009163D8"/>
    <w:rsid w:val="00916416"/>
    <w:rsid w:val="00920F02"/>
    <w:rsid w:val="00921873"/>
    <w:rsid w:val="009223E9"/>
    <w:rsid w:val="00922D01"/>
    <w:rsid w:val="00925D43"/>
    <w:rsid w:val="00927143"/>
    <w:rsid w:val="00930BB8"/>
    <w:rsid w:val="00930CD7"/>
    <w:rsid w:val="00932D2D"/>
    <w:rsid w:val="00934821"/>
    <w:rsid w:val="00937B05"/>
    <w:rsid w:val="009407A6"/>
    <w:rsid w:val="00942899"/>
    <w:rsid w:val="00942DC1"/>
    <w:rsid w:val="009475EB"/>
    <w:rsid w:val="00947D27"/>
    <w:rsid w:val="00952878"/>
    <w:rsid w:val="00953D11"/>
    <w:rsid w:val="009566A2"/>
    <w:rsid w:val="0095694E"/>
    <w:rsid w:val="00957F94"/>
    <w:rsid w:val="00960431"/>
    <w:rsid w:val="00960CC2"/>
    <w:rsid w:val="00961CB3"/>
    <w:rsid w:val="00963D96"/>
    <w:rsid w:val="00964DE7"/>
    <w:rsid w:val="00965F81"/>
    <w:rsid w:val="009679CA"/>
    <w:rsid w:val="00967EC9"/>
    <w:rsid w:val="0097006C"/>
    <w:rsid w:val="009706E4"/>
    <w:rsid w:val="009737F3"/>
    <w:rsid w:val="00974CA2"/>
    <w:rsid w:val="009753E3"/>
    <w:rsid w:val="00977797"/>
    <w:rsid w:val="00981CDB"/>
    <w:rsid w:val="009829B7"/>
    <w:rsid w:val="00984E8C"/>
    <w:rsid w:val="0098538E"/>
    <w:rsid w:val="00985B84"/>
    <w:rsid w:val="00986433"/>
    <w:rsid w:val="00987EF2"/>
    <w:rsid w:val="00992117"/>
    <w:rsid w:val="00993966"/>
    <w:rsid w:val="00993F17"/>
    <w:rsid w:val="009952D4"/>
    <w:rsid w:val="00995D34"/>
    <w:rsid w:val="009A01B5"/>
    <w:rsid w:val="009A1762"/>
    <w:rsid w:val="009A1904"/>
    <w:rsid w:val="009A409A"/>
    <w:rsid w:val="009A48AB"/>
    <w:rsid w:val="009A5C63"/>
    <w:rsid w:val="009A6ED7"/>
    <w:rsid w:val="009B1321"/>
    <w:rsid w:val="009B190C"/>
    <w:rsid w:val="009B5197"/>
    <w:rsid w:val="009B5739"/>
    <w:rsid w:val="009B68A2"/>
    <w:rsid w:val="009B7859"/>
    <w:rsid w:val="009C04C9"/>
    <w:rsid w:val="009C1F1F"/>
    <w:rsid w:val="009C77A5"/>
    <w:rsid w:val="009C7ABE"/>
    <w:rsid w:val="009D1086"/>
    <w:rsid w:val="009D1C85"/>
    <w:rsid w:val="009D2010"/>
    <w:rsid w:val="009D29A4"/>
    <w:rsid w:val="009D3A94"/>
    <w:rsid w:val="009D5013"/>
    <w:rsid w:val="009E1BEA"/>
    <w:rsid w:val="009E28CE"/>
    <w:rsid w:val="009E3185"/>
    <w:rsid w:val="009E3674"/>
    <w:rsid w:val="009E376D"/>
    <w:rsid w:val="009E68B7"/>
    <w:rsid w:val="009E6AA3"/>
    <w:rsid w:val="009F10EC"/>
    <w:rsid w:val="009F20EF"/>
    <w:rsid w:val="009F257E"/>
    <w:rsid w:val="009F2DC0"/>
    <w:rsid w:val="009F4D9C"/>
    <w:rsid w:val="00A04F3B"/>
    <w:rsid w:val="00A0529C"/>
    <w:rsid w:val="00A06C62"/>
    <w:rsid w:val="00A07EFF"/>
    <w:rsid w:val="00A07F01"/>
    <w:rsid w:val="00A133E0"/>
    <w:rsid w:val="00A14E81"/>
    <w:rsid w:val="00A16C9F"/>
    <w:rsid w:val="00A20021"/>
    <w:rsid w:val="00A20754"/>
    <w:rsid w:val="00A20BF9"/>
    <w:rsid w:val="00A2365A"/>
    <w:rsid w:val="00A238F6"/>
    <w:rsid w:val="00A25268"/>
    <w:rsid w:val="00A3167C"/>
    <w:rsid w:val="00A4018D"/>
    <w:rsid w:val="00A4153D"/>
    <w:rsid w:val="00A425A3"/>
    <w:rsid w:val="00A43989"/>
    <w:rsid w:val="00A47467"/>
    <w:rsid w:val="00A478F9"/>
    <w:rsid w:val="00A51C09"/>
    <w:rsid w:val="00A53F4E"/>
    <w:rsid w:val="00A549B1"/>
    <w:rsid w:val="00A55F44"/>
    <w:rsid w:val="00A57559"/>
    <w:rsid w:val="00A57ABF"/>
    <w:rsid w:val="00A60962"/>
    <w:rsid w:val="00A62948"/>
    <w:rsid w:val="00A64A86"/>
    <w:rsid w:val="00A651F1"/>
    <w:rsid w:val="00A655C7"/>
    <w:rsid w:val="00A66EF1"/>
    <w:rsid w:val="00A763ED"/>
    <w:rsid w:val="00A765EA"/>
    <w:rsid w:val="00A80403"/>
    <w:rsid w:val="00A81283"/>
    <w:rsid w:val="00A81B7C"/>
    <w:rsid w:val="00A81D91"/>
    <w:rsid w:val="00A8252D"/>
    <w:rsid w:val="00A83497"/>
    <w:rsid w:val="00A842DE"/>
    <w:rsid w:val="00A8430A"/>
    <w:rsid w:val="00A86FC5"/>
    <w:rsid w:val="00A93AF1"/>
    <w:rsid w:val="00A96F98"/>
    <w:rsid w:val="00A97848"/>
    <w:rsid w:val="00AA1679"/>
    <w:rsid w:val="00AA5793"/>
    <w:rsid w:val="00AA7279"/>
    <w:rsid w:val="00AB0DB5"/>
    <w:rsid w:val="00AB2E55"/>
    <w:rsid w:val="00AB41CA"/>
    <w:rsid w:val="00AC006D"/>
    <w:rsid w:val="00AC1129"/>
    <w:rsid w:val="00AC140E"/>
    <w:rsid w:val="00AC5339"/>
    <w:rsid w:val="00AC6CCF"/>
    <w:rsid w:val="00AD026D"/>
    <w:rsid w:val="00AD04FF"/>
    <w:rsid w:val="00AD7DE0"/>
    <w:rsid w:val="00AE02B8"/>
    <w:rsid w:val="00AE0C04"/>
    <w:rsid w:val="00AE21C1"/>
    <w:rsid w:val="00AE2394"/>
    <w:rsid w:val="00AE42D6"/>
    <w:rsid w:val="00AF1AF8"/>
    <w:rsid w:val="00AF2F72"/>
    <w:rsid w:val="00AF4A04"/>
    <w:rsid w:val="00AF5CAC"/>
    <w:rsid w:val="00B00A76"/>
    <w:rsid w:val="00B02819"/>
    <w:rsid w:val="00B0530B"/>
    <w:rsid w:val="00B06CFD"/>
    <w:rsid w:val="00B071E8"/>
    <w:rsid w:val="00B13F29"/>
    <w:rsid w:val="00B14AE3"/>
    <w:rsid w:val="00B1505C"/>
    <w:rsid w:val="00B152B8"/>
    <w:rsid w:val="00B15ACB"/>
    <w:rsid w:val="00B16D03"/>
    <w:rsid w:val="00B17A51"/>
    <w:rsid w:val="00B211FD"/>
    <w:rsid w:val="00B225B5"/>
    <w:rsid w:val="00B24C84"/>
    <w:rsid w:val="00B25410"/>
    <w:rsid w:val="00B2699E"/>
    <w:rsid w:val="00B3034C"/>
    <w:rsid w:val="00B3053E"/>
    <w:rsid w:val="00B31108"/>
    <w:rsid w:val="00B32314"/>
    <w:rsid w:val="00B32609"/>
    <w:rsid w:val="00B41018"/>
    <w:rsid w:val="00B411A8"/>
    <w:rsid w:val="00B43197"/>
    <w:rsid w:val="00B43594"/>
    <w:rsid w:val="00B437DC"/>
    <w:rsid w:val="00B4401B"/>
    <w:rsid w:val="00B44477"/>
    <w:rsid w:val="00B463E0"/>
    <w:rsid w:val="00B47938"/>
    <w:rsid w:val="00B54498"/>
    <w:rsid w:val="00B55EF0"/>
    <w:rsid w:val="00B60268"/>
    <w:rsid w:val="00B6213C"/>
    <w:rsid w:val="00B62CE4"/>
    <w:rsid w:val="00B64F0C"/>
    <w:rsid w:val="00B65265"/>
    <w:rsid w:val="00B660E2"/>
    <w:rsid w:val="00B70DF4"/>
    <w:rsid w:val="00B7117E"/>
    <w:rsid w:val="00B711BC"/>
    <w:rsid w:val="00B72288"/>
    <w:rsid w:val="00B75537"/>
    <w:rsid w:val="00B75F3E"/>
    <w:rsid w:val="00B7658B"/>
    <w:rsid w:val="00B77002"/>
    <w:rsid w:val="00B81FBC"/>
    <w:rsid w:val="00B82373"/>
    <w:rsid w:val="00B826F9"/>
    <w:rsid w:val="00B8365A"/>
    <w:rsid w:val="00B85623"/>
    <w:rsid w:val="00B8588F"/>
    <w:rsid w:val="00B85C73"/>
    <w:rsid w:val="00B93BCF"/>
    <w:rsid w:val="00B9556B"/>
    <w:rsid w:val="00B973AD"/>
    <w:rsid w:val="00B97CED"/>
    <w:rsid w:val="00BA0104"/>
    <w:rsid w:val="00BA0131"/>
    <w:rsid w:val="00BA13D4"/>
    <w:rsid w:val="00BA1C31"/>
    <w:rsid w:val="00BA4119"/>
    <w:rsid w:val="00BA733A"/>
    <w:rsid w:val="00BB0099"/>
    <w:rsid w:val="00BB299B"/>
    <w:rsid w:val="00BB3681"/>
    <w:rsid w:val="00BB59B6"/>
    <w:rsid w:val="00BB7E72"/>
    <w:rsid w:val="00BC2028"/>
    <w:rsid w:val="00BC3AF8"/>
    <w:rsid w:val="00BC61A2"/>
    <w:rsid w:val="00BC62F5"/>
    <w:rsid w:val="00BC672B"/>
    <w:rsid w:val="00BD0697"/>
    <w:rsid w:val="00BD09AE"/>
    <w:rsid w:val="00BD344D"/>
    <w:rsid w:val="00BD58EF"/>
    <w:rsid w:val="00BD7E52"/>
    <w:rsid w:val="00BE1BA4"/>
    <w:rsid w:val="00BE2E03"/>
    <w:rsid w:val="00BE37D8"/>
    <w:rsid w:val="00BE4B57"/>
    <w:rsid w:val="00BE59A1"/>
    <w:rsid w:val="00BE68AA"/>
    <w:rsid w:val="00BE7BBD"/>
    <w:rsid w:val="00BF2743"/>
    <w:rsid w:val="00BF2AC8"/>
    <w:rsid w:val="00BF3932"/>
    <w:rsid w:val="00BF4580"/>
    <w:rsid w:val="00C014FC"/>
    <w:rsid w:val="00C019C7"/>
    <w:rsid w:val="00C027B0"/>
    <w:rsid w:val="00C03602"/>
    <w:rsid w:val="00C07E1E"/>
    <w:rsid w:val="00C1497B"/>
    <w:rsid w:val="00C15F57"/>
    <w:rsid w:val="00C17A2F"/>
    <w:rsid w:val="00C21BBB"/>
    <w:rsid w:val="00C231BA"/>
    <w:rsid w:val="00C23A01"/>
    <w:rsid w:val="00C2421A"/>
    <w:rsid w:val="00C26967"/>
    <w:rsid w:val="00C269E2"/>
    <w:rsid w:val="00C27343"/>
    <w:rsid w:val="00C31813"/>
    <w:rsid w:val="00C32976"/>
    <w:rsid w:val="00C329FA"/>
    <w:rsid w:val="00C345A3"/>
    <w:rsid w:val="00C34B47"/>
    <w:rsid w:val="00C36186"/>
    <w:rsid w:val="00C41926"/>
    <w:rsid w:val="00C42D07"/>
    <w:rsid w:val="00C43984"/>
    <w:rsid w:val="00C45F03"/>
    <w:rsid w:val="00C4766C"/>
    <w:rsid w:val="00C47E33"/>
    <w:rsid w:val="00C517F5"/>
    <w:rsid w:val="00C539B2"/>
    <w:rsid w:val="00C54D00"/>
    <w:rsid w:val="00C57529"/>
    <w:rsid w:val="00C602EF"/>
    <w:rsid w:val="00C615B1"/>
    <w:rsid w:val="00C61FF9"/>
    <w:rsid w:val="00C6244E"/>
    <w:rsid w:val="00C646D8"/>
    <w:rsid w:val="00C648AB"/>
    <w:rsid w:val="00C650D5"/>
    <w:rsid w:val="00C65633"/>
    <w:rsid w:val="00C65F22"/>
    <w:rsid w:val="00C71893"/>
    <w:rsid w:val="00C73CDC"/>
    <w:rsid w:val="00C773F3"/>
    <w:rsid w:val="00C80696"/>
    <w:rsid w:val="00C81C0A"/>
    <w:rsid w:val="00C821CB"/>
    <w:rsid w:val="00C84E3F"/>
    <w:rsid w:val="00C87E9D"/>
    <w:rsid w:val="00C90400"/>
    <w:rsid w:val="00C93364"/>
    <w:rsid w:val="00C93C23"/>
    <w:rsid w:val="00C95B7F"/>
    <w:rsid w:val="00C96354"/>
    <w:rsid w:val="00C970A1"/>
    <w:rsid w:val="00C97DDA"/>
    <w:rsid w:val="00CA04D8"/>
    <w:rsid w:val="00CA63E9"/>
    <w:rsid w:val="00CB097C"/>
    <w:rsid w:val="00CB1EE2"/>
    <w:rsid w:val="00CB2124"/>
    <w:rsid w:val="00CB4368"/>
    <w:rsid w:val="00CB7F6A"/>
    <w:rsid w:val="00CC0FC1"/>
    <w:rsid w:val="00CC1DF7"/>
    <w:rsid w:val="00CC6862"/>
    <w:rsid w:val="00CC73B3"/>
    <w:rsid w:val="00CD0A0F"/>
    <w:rsid w:val="00CD6FEE"/>
    <w:rsid w:val="00CD76AF"/>
    <w:rsid w:val="00CE093E"/>
    <w:rsid w:val="00CE28AA"/>
    <w:rsid w:val="00CE5321"/>
    <w:rsid w:val="00CE5BF4"/>
    <w:rsid w:val="00CE5F28"/>
    <w:rsid w:val="00CE77E7"/>
    <w:rsid w:val="00CF034D"/>
    <w:rsid w:val="00CF30D4"/>
    <w:rsid w:val="00CF38F0"/>
    <w:rsid w:val="00CF49F9"/>
    <w:rsid w:val="00CF4CE7"/>
    <w:rsid w:val="00D0000F"/>
    <w:rsid w:val="00D008CE"/>
    <w:rsid w:val="00D02536"/>
    <w:rsid w:val="00D03C0C"/>
    <w:rsid w:val="00D069CC"/>
    <w:rsid w:val="00D07288"/>
    <w:rsid w:val="00D073DA"/>
    <w:rsid w:val="00D11019"/>
    <w:rsid w:val="00D112C3"/>
    <w:rsid w:val="00D121D3"/>
    <w:rsid w:val="00D1226E"/>
    <w:rsid w:val="00D1231A"/>
    <w:rsid w:val="00D12E9F"/>
    <w:rsid w:val="00D16291"/>
    <w:rsid w:val="00D207EA"/>
    <w:rsid w:val="00D208AC"/>
    <w:rsid w:val="00D2112C"/>
    <w:rsid w:val="00D25F14"/>
    <w:rsid w:val="00D276FF"/>
    <w:rsid w:val="00D27AB0"/>
    <w:rsid w:val="00D308B2"/>
    <w:rsid w:val="00D31D08"/>
    <w:rsid w:val="00D31E2E"/>
    <w:rsid w:val="00D32A29"/>
    <w:rsid w:val="00D336D8"/>
    <w:rsid w:val="00D33C0E"/>
    <w:rsid w:val="00D356D8"/>
    <w:rsid w:val="00D36106"/>
    <w:rsid w:val="00D361D2"/>
    <w:rsid w:val="00D40054"/>
    <w:rsid w:val="00D414C5"/>
    <w:rsid w:val="00D42786"/>
    <w:rsid w:val="00D45554"/>
    <w:rsid w:val="00D52217"/>
    <w:rsid w:val="00D537EE"/>
    <w:rsid w:val="00D53A16"/>
    <w:rsid w:val="00D54514"/>
    <w:rsid w:val="00D54BA5"/>
    <w:rsid w:val="00D56085"/>
    <w:rsid w:val="00D561C7"/>
    <w:rsid w:val="00D57AA5"/>
    <w:rsid w:val="00D60BD6"/>
    <w:rsid w:val="00D65454"/>
    <w:rsid w:val="00D6626F"/>
    <w:rsid w:val="00D66B22"/>
    <w:rsid w:val="00D70EED"/>
    <w:rsid w:val="00D71655"/>
    <w:rsid w:val="00D7172C"/>
    <w:rsid w:val="00D74E84"/>
    <w:rsid w:val="00D75617"/>
    <w:rsid w:val="00D75D8F"/>
    <w:rsid w:val="00D76A8B"/>
    <w:rsid w:val="00D77126"/>
    <w:rsid w:val="00D84762"/>
    <w:rsid w:val="00D865B5"/>
    <w:rsid w:val="00D9067A"/>
    <w:rsid w:val="00D94555"/>
    <w:rsid w:val="00D9648E"/>
    <w:rsid w:val="00D966C7"/>
    <w:rsid w:val="00D96EB9"/>
    <w:rsid w:val="00D96F6A"/>
    <w:rsid w:val="00D979C0"/>
    <w:rsid w:val="00DA35B0"/>
    <w:rsid w:val="00DA3C45"/>
    <w:rsid w:val="00DA5BA7"/>
    <w:rsid w:val="00DA6962"/>
    <w:rsid w:val="00DA7EA8"/>
    <w:rsid w:val="00DB00E1"/>
    <w:rsid w:val="00DB1124"/>
    <w:rsid w:val="00DB212C"/>
    <w:rsid w:val="00DB2774"/>
    <w:rsid w:val="00DB6CDA"/>
    <w:rsid w:val="00DC16C3"/>
    <w:rsid w:val="00DC2DA0"/>
    <w:rsid w:val="00DC31F6"/>
    <w:rsid w:val="00DC43D0"/>
    <w:rsid w:val="00DC4F0D"/>
    <w:rsid w:val="00DC5183"/>
    <w:rsid w:val="00DC7C14"/>
    <w:rsid w:val="00DD2096"/>
    <w:rsid w:val="00DD3483"/>
    <w:rsid w:val="00DD4183"/>
    <w:rsid w:val="00DD64EA"/>
    <w:rsid w:val="00DD678B"/>
    <w:rsid w:val="00DD7AB6"/>
    <w:rsid w:val="00DE22DC"/>
    <w:rsid w:val="00DE2CC1"/>
    <w:rsid w:val="00DE3856"/>
    <w:rsid w:val="00DE3D22"/>
    <w:rsid w:val="00DE4755"/>
    <w:rsid w:val="00DE77DC"/>
    <w:rsid w:val="00DE7B09"/>
    <w:rsid w:val="00DF5969"/>
    <w:rsid w:val="00DF63BB"/>
    <w:rsid w:val="00DF738A"/>
    <w:rsid w:val="00DF7CDB"/>
    <w:rsid w:val="00E027F6"/>
    <w:rsid w:val="00E04243"/>
    <w:rsid w:val="00E07027"/>
    <w:rsid w:val="00E070F0"/>
    <w:rsid w:val="00E11426"/>
    <w:rsid w:val="00E24664"/>
    <w:rsid w:val="00E252E4"/>
    <w:rsid w:val="00E2767E"/>
    <w:rsid w:val="00E27F61"/>
    <w:rsid w:val="00E328E2"/>
    <w:rsid w:val="00E33B95"/>
    <w:rsid w:val="00E35445"/>
    <w:rsid w:val="00E35B09"/>
    <w:rsid w:val="00E35D80"/>
    <w:rsid w:val="00E35DD7"/>
    <w:rsid w:val="00E422A1"/>
    <w:rsid w:val="00E4369A"/>
    <w:rsid w:val="00E448D9"/>
    <w:rsid w:val="00E46839"/>
    <w:rsid w:val="00E46A5B"/>
    <w:rsid w:val="00E52E2D"/>
    <w:rsid w:val="00E556DF"/>
    <w:rsid w:val="00E55B09"/>
    <w:rsid w:val="00E56CCE"/>
    <w:rsid w:val="00E60AEE"/>
    <w:rsid w:val="00E61956"/>
    <w:rsid w:val="00E61E9E"/>
    <w:rsid w:val="00E65C33"/>
    <w:rsid w:val="00E66E53"/>
    <w:rsid w:val="00E672A2"/>
    <w:rsid w:val="00E67C5A"/>
    <w:rsid w:val="00E70DD7"/>
    <w:rsid w:val="00E71993"/>
    <w:rsid w:val="00E73D04"/>
    <w:rsid w:val="00E73D06"/>
    <w:rsid w:val="00E7465E"/>
    <w:rsid w:val="00E74E46"/>
    <w:rsid w:val="00E7789B"/>
    <w:rsid w:val="00E84A26"/>
    <w:rsid w:val="00E90030"/>
    <w:rsid w:val="00E9026C"/>
    <w:rsid w:val="00E904F8"/>
    <w:rsid w:val="00E91A73"/>
    <w:rsid w:val="00E92A85"/>
    <w:rsid w:val="00E9313A"/>
    <w:rsid w:val="00E93347"/>
    <w:rsid w:val="00E938FD"/>
    <w:rsid w:val="00E9418E"/>
    <w:rsid w:val="00E94F9D"/>
    <w:rsid w:val="00E95041"/>
    <w:rsid w:val="00E96DB5"/>
    <w:rsid w:val="00EA08EF"/>
    <w:rsid w:val="00EA3FB8"/>
    <w:rsid w:val="00EA475D"/>
    <w:rsid w:val="00EA4B26"/>
    <w:rsid w:val="00EA5E60"/>
    <w:rsid w:val="00EB01C8"/>
    <w:rsid w:val="00EB03EE"/>
    <w:rsid w:val="00EB24D7"/>
    <w:rsid w:val="00EB4186"/>
    <w:rsid w:val="00EC0CFF"/>
    <w:rsid w:val="00EC1F22"/>
    <w:rsid w:val="00EC4FDE"/>
    <w:rsid w:val="00EC779A"/>
    <w:rsid w:val="00ED1487"/>
    <w:rsid w:val="00ED24B0"/>
    <w:rsid w:val="00ED5E1D"/>
    <w:rsid w:val="00ED646B"/>
    <w:rsid w:val="00ED7581"/>
    <w:rsid w:val="00EE0202"/>
    <w:rsid w:val="00EE3477"/>
    <w:rsid w:val="00EE368F"/>
    <w:rsid w:val="00EE7E38"/>
    <w:rsid w:val="00EF4039"/>
    <w:rsid w:val="00EF4505"/>
    <w:rsid w:val="00EF5E77"/>
    <w:rsid w:val="00EF6198"/>
    <w:rsid w:val="00EF648F"/>
    <w:rsid w:val="00EF7389"/>
    <w:rsid w:val="00F004F4"/>
    <w:rsid w:val="00F0104B"/>
    <w:rsid w:val="00F01DD8"/>
    <w:rsid w:val="00F03A7C"/>
    <w:rsid w:val="00F0617B"/>
    <w:rsid w:val="00F0726F"/>
    <w:rsid w:val="00F078D7"/>
    <w:rsid w:val="00F1048F"/>
    <w:rsid w:val="00F10FDB"/>
    <w:rsid w:val="00F144A6"/>
    <w:rsid w:val="00F14522"/>
    <w:rsid w:val="00F14560"/>
    <w:rsid w:val="00F24753"/>
    <w:rsid w:val="00F25729"/>
    <w:rsid w:val="00F30DC9"/>
    <w:rsid w:val="00F33248"/>
    <w:rsid w:val="00F34FC9"/>
    <w:rsid w:val="00F366B2"/>
    <w:rsid w:val="00F37182"/>
    <w:rsid w:val="00F378D2"/>
    <w:rsid w:val="00F42849"/>
    <w:rsid w:val="00F42B94"/>
    <w:rsid w:val="00F43CA5"/>
    <w:rsid w:val="00F43DED"/>
    <w:rsid w:val="00F51C11"/>
    <w:rsid w:val="00F52E62"/>
    <w:rsid w:val="00F54293"/>
    <w:rsid w:val="00F57BE6"/>
    <w:rsid w:val="00F62819"/>
    <w:rsid w:val="00F64FF6"/>
    <w:rsid w:val="00F67021"/>
    <w:rsid w:val="00F670FA"/>
    <w:rsid w:val="00F72F00"/>
    <w:rsid w:val="00F73705"/>
    <w:rsid w:val="00F761A0"/>
    <w:rsid w:val="00F77391"/>
    <w:rsid w:val="00F77727"/>
    <w:rsid w:val="00F81E63"/>
    <w:rsid w:val="00F87444"/>
    <w:rsid w:val="00F87FAC"/>
    <w:rsid w:val="00F904EA"/>
    <w:rsid w:val="00F92506"/>
    <w:rsid w:val="00F92566"/>
    <w:rsid w:val="00F93151"/>
    <w:rsid w:val="00F94050"/>
    <w:rsid w:val="00F97261"/>
    <w:rsid w:val="00F973FD"/>
    <w:rsid w:val="00FA07D1"/>
    <w:rsid w:val="00FA141D"/>
    <w:rsid w:val="00FA2609"/>
    <w:rsid w:val="00FB210A"/>
    <w:rsid w:val="00FB2824"/>
    <w:rsid w:val="00FB34A4"/>
    <w:rsid w:val="00FB4C18"/>
    <w:rsid w:val="00FB6049"/>
    <w:rsid w:val="00FC266C"/>
    <w:rsid w:val="00FC40A7"/>
    <w:rsid w:val="00FC4686"/>
    <w:rsid w:val="00FD077C"/>
    <w:rsid w:val="00FE0FC1"/>
    <w:rsid w:val="00FE24C8"/>
    <w:rsid w:val="00FE2B74"/>
    <w:rsid w:val="00FE45A4"/>
    <w:rsid w:val="00FE522D"/>
    <w:rsid w:val="00FE536A"/>
    <w:rsid w:val="00FE5FF3"/>
    <w:rsid w:val="00FE6234"/>
    <w:rsid w:val="00FE6360"/>
    <w:rsid w:val="00FE63B0"/>
    <w:rsid w:val="00FE7F4C"/>
    <w:rsid w:val="00FF2180"/>
    <w:rsid w:val="00FF3D98"/>
    <w:rsid w:val="00FF5EA5"/>
    <w:rsid w:val="00FF7F46"/>
    <w:rsid w:val="012E1C2C"/>
    <w:rsid w:val="01401144"/>
    <w:rsid w:val="01514F94"/>
    <w:rsid w:val="01AE15BA"/>
    <w:rsid w:val="01BB394F"/>
    <w:rsid w:val="022573A2"/>
    <w:rsid w:val="02524569"/>
    <w:rsid w:val="02757725"/>
    <w:rsid w:val="027D13B9"/>
    <w:rsid w:val="02836FD5"/>
    <w:rsid w:val="029931AC"/>
    <w:rsid w:val="029C7664"/>
    <w:rsid w:val="029D0AD5"/>
    <w:rsid w:val="02C0796F"/>
    <w:rsid w:val="02DF13AE"/>
    <w:rsid w:val="030A7653"/>
    <w:rsid w:val="032C4E8C"/>
    <w:rsid w:val="03AF1619"/>
    <w:rsid w:val="03F37758"/>
    <w:rsid w:val="04155920"/>
    <w:rsid w:val="044F0764"/>
    <w:rsid w:val="052851DF"/>
    <w:rsid w:val="052A4F5C"/>
    <w:rsid w:val="05434B14"/>
    <w:rsid w:val="05832C2A"/>
    <w:rsid w:val="05924D4E"/>
    <w:rsid w:val="05C8651C"/>
    <w:rsid w:val="05DB04A3"/>
    <w:rsid w:val="05E71039"/>
    <w:rsid w:val="068848E9"/>
    <w:rsid w:val="06986594"/>
    <w:rsid w:val="069D39AB"/>
    <w:rsid w:val="06C67807"/>
    <w:rsid w:val="07434B4F"/>
    <w:rsid w:val="079651D1"/>
    <w:rsid w:val="07E31891"/>
    <w:rsid w:val="08155C5D"/>
    <w:rsid w:val="08712E62"/>
    <w:rsid w:val="08966E6B"/>
    <w:rsid w:val="08977C7B"/>
    <w:rsid w:val="08FC70AE"/>
    <w:rsid w:val="09150170"/>
    <w:rsid w:val="095F3199"/>
    <w:rsid w:val="09D92F4C"/>
    <w:rsid w:val="09DA18A6"/>
    <w:rsid w:val="09EB397D"/>
    <w:rsid w:val="0A162321"/>
    <w:rsid w:val="0A1977EC"/>
    <w:rsid w:val="0A402FCB"/>
    <w:rsid w:val="0A4E6541"/>
    <w:rsid w:val="0A521BF4"/>
    <w:rsid w:val="0A6C019B"/>
    <w:rsid w:val="0A9D1AC2"/>
    <w:rsid w:val="0ACC0D02"/>
    <w:rsid w:val="0B3A2110"/>
    <w:rsid w:val="0C437EE4"/>
    <w:rsid w:val="0C6655BF"/>
    <w:rsid w:val="0C685EC7"/>
    <w:rsid w:val="0C7A3C79"/>
    <w:rsid w:val="0C8B0C29"/>
    <w:rsid w:val="0D624460"/>
    <w:rsid w:val="0D645222"/>
    <w:rsid w:val="0D662D48"/>
    <w:rsid w:val="0D690A8B"/>
    <w:rsid w:val="0DF442BC"/>
    <w:rsid w:val="0E1A06E3"/>
    <w:rsid w:val="0E52151F"/>
    <w:rsid w:val="0E547045"/>
    <w:rsid w:val="0E59189D"/>
    <w:rsid w:val="0E6179B4"/>
    <w:rsid w:val="0E655D57"/>
    <w:rsid w:val="0E963B01"/>
    <w:rsid w:val="0EEA32E0"/>
    <w:rsid w:val="0F0947E6"/>
    <w:rsid w:val="0F276507"/>
    <w:rsid w:val="0F2C73A3"/>
    <w:rsid w:val="0F663740"/>
    <w:rsid w:val="0F933B9D"/>
    <w:rsid w:val="0F933B9E"/>
    <w:rsid w:val="0FA67D74"/>
    <w:rsid w:val="0FAF05F5"/>
    <w:rsid w:val="0FCD6B82"/>
    <w:rsid w:val="0FD30808"/>
    <w:rsid w:val="0FD45288"/>
    <w:rsid w:val="0FD7617F"/>
    <w:rsid w:val="10156CA8"/>
    <w:rsid w:val="10331FC2"/>
    <w:rsid w:val="105772C0"/>
    <w:rsid w:val="105D7B5D"/>
    <w:rsid w:val="108D3D34"/>
    <w:rsid w:val="10904436"/>
    <w:rsid w:val="10991687"/>
    <w:rsid w:val="10D25B98"/>
    <w:rsid w:val="10F4322F"/>
    <w:rsid w:val="115713E8"/>
    <w:rsid w:val="11B77697"/>
    <w:rsid w:val="11D853BD"/>
    <w:rsid w:val="11E46914"/>
    <w:rsid w:val="12123454"/>
    <w:rsid w:val="12224C00"/>
    <w:rsid w:val="125C6E10"/>
    <w:rsid w:val="126006AE"/>
    <w:rsid w:val="126246A3"/>
    <w:rsid w:val="126A5950"/>
    <w:rsid w:val="1272218F"/>
    <w:rsid w:val="12852091"/>
    <w:rsid w:val="12946AE1"/>
    <w:rsid w:val="12C02EFB"/>
    <w:rsid w:val="12CC5073"/>
    <w:rsid w:val="13487923"/>
    <w:rsid w:val="13E3036E"/>
    <w:rsid w:val="13F24420"/>
    <w:rsid w:val="14171668"/>
    <w:rsid w:val="141F6347"/>
    <w:rsid w:val="147B370F"/>
    <w:rsid w:val="14A14FAE"/>
    <w:rsid w:val="14AF3D90"/>
    <w:rsid w:val="14BC3B96"/>
    <w:rsid w:val="14C501E8"/>
    <w:rsid w:val="14EF1875"/>
    <w:rsid w:val="153674A4"/>
    <w:rsid w:val="15542020"/>
    <w:rsid w:val="155707AA"/>
    <w:rsid w:val="15746C69"/>
    <w:rsid w:val="15AF54A9"/>
    <w:rsid w:val="15B56FF0"/>
    <w:rsid w:val="15C23272"/>
    <w:rsid w:val="160B7C2E"/>
    <w:rsid w:val="163C045B"/>
    <w:rsid w:val="16532953"/>
    <w:rsid w:val="16C65C69"/>
    <w:rsid w:val="16C827C1"/>
    <w:rsid w:val="170203CD"/>
    <w:rsid w:val="17850FA6"/>
    <w:rsid w:val="17A03013"/>
    <w:rsid w:val="17C11B63"/>
    <w:rsid w:val="17CE1649"/>
    <w:rsid w:val="17DB2585"/>
    <w:rsid w:val="18162D91"/>
    <w:rsid w:val="18383533"/>
    <w:rsid w:val="183D3240"/>
    <w:rsid w:val="185C1918"/>
    <w:rsid w:val="18636D79"/>
    <w:rsid w:val="189C5406"/>
    <w:rsid w:val="18BA663E"/>
    <w:rsid w:val="18C43019"/>
    <w:rsid w:val="18F03E51"/>
    <w:rsid w:val="19144564"/>
    <w:rsid w:val="19197809"/>
    <w:rsid w:val="197930F0"/>
    <w:rsid w:val="199F4E71"/>
    <w:rsid w:val="19A0110D"/>
    <w:rsid w:val="19D90D46"/>
    <w:rsid w:val="1A120A17"/>
    <w:rsid w:val="1A3F34E6"/>
    <w:rsid w:val="1A5D3725"/>
    <w:rsid w:val="1B5E7755"/>
    <w:rsid w:val="1B662AAD"/>
    <w:rsid w:val="1B7C7499"/>
    <w:rsid w:val="1BFB31F6"/>
    <w:rsid w:val="1D4B366A"/>
    <w:rsid w:val="1D4C0356"/>
    <w:rsid w:val="1D886D0B"/>
    <w:rsid w:val="1DDB508D"/>
    <w:rsid w:val="1E311151"/>
    <w:rsid w:val="1E5E5D8A"/>
    <w:rsid w:val="1E895A28"/>
    <w:rsid w:val="1EA23DFC"/>
    <w:rsid w:val="1ECC0E79"/>
    <w:rsid w:val="1EF36406"/>
    <w:rsid w:val="1F106342"/>
    <w:rsid w:val="1F512B1F"/>
    <w:rsid w:val="1F52137F"/>
    <w:rsid w:val="1F5F584A"/>
    <w:rsid w:val="1F6E53CE"/>
    <w:rsid w:val="1F7E6617"/>
    <w:rsid w:val="1FA37E2C"/>
    <w:rsid w:val="200D2936"/>
    <w:rsid w:val="206536DB"/>
    <w:rsid w:val="207167BE"/>
    <w:rsid w:val="20B901F1"/>
    <w:rsid w:val="20E420DA"/>
    <w:rsid w:val="211F34E2"/>
    <w:rsid w:val="212B113A"/>
    <w:rsid w:val="213C3B04"/>
    <w:rsid w:val="215472BE"/>
    <w:rsid w:val="219A6D4B"/>
    <w:rsid w:val="21AD0AEE"/>
    <w:rsid w:val="21FA7AAB"/>
    <w:rsid w:val="220B7003"/>
    <w:rsid w:val="22206FE5"/>
    <w:rsid w:val="225C2514"/>
    <w:rsid w:val="22A86898"/>
    <w:rsid w:val="22DB198C"/>
    <w:rsid w:val="22F10EAE"/>
    <w:rsid w:val="230230BC"/>
    <w:rsid w:val="231D7594"/>
    <w:rsid w:val="2333525E"/>
    <w:rsid w:val="23847554"/>
    <w:rsid w:val="2399331D"/>
    <w:rsid w:val="23A203FB"/>
    <w:rsid w:val="23C31FB6"/>
    <w:rsid w:val="23D77C2A"/>
    <w:rsid w:val="23E02A8D"/>
    <w:rsid w:val="23EB3F49"/>
    <w:rsid w:val="244119C2"/>
    <w:rsid w:val="246163AE"/>
    <w:rsid w:val="249D61A7"/>
    <w:rsid w:val="24B44889"/>
    <w:rsid w:val="24BC729A"/>
    <w:rsid w:val="24EF1480"/>
    <w:rsid w:val="252C2672"/>
    <w:rsid w:val="253B0B07"/>
    <w:rsid w:val="25777D91"/>
    <w:rsid w:val="25891872"/>
    <w:rsid w:val="25902C01"/>
    <w:rsid w:val="25AE752B"/>
    <w:rsid w:val="26151358"/>
    <w:rsid w:val="263E65FC"/>
    <w:rsid w:val="26A611D3"/>
    <w:rsid w:val="26AA79A0"/>
    <w:rsid w:val="26EE6922"/>
    <w:rsid w:val="27117D71"/>
    <w:rsid w:val="273720EB"/>
    <w:rsid w:val="273D198C"/>
    <w:rsid w:val="273F4ECE"/>
    <w:rsid w:val="277F75BE"/>
    <w:rsid w:val="27870033"/>
    <w:rsid w:val="27A03285"/>
    <w:rsid w:val="27FF7BCA"/>
    <w:rsid w:val="28445F24"/>
    <w:rsid w:val="288E0F4E"/>
    <w:rsid w:val="28B163DE"/>
    <w:rsid w:val="28D23530"/>
    <w:rsid w:val="28F973C4"/>
    <w:rsid w:val="290B259E"/>
    <w:rsid w:val="299F2EE6"/>
    <w:rsid w:val="29EF3C6E"/>
    <w:rsid w:val="29F72F82"/>
    <w:rsid w:val="2A2242EA"/>
    <w:rsid w:val="2A68414C"/>
    <w:rsid w:val="2B02634F"/>
    <w:rsid w:val="2B082C47"/>
    <w:rsid w:val="2B111DFB"/>
    <w:rsid w:val="2B45623B"/>
    <w:rsid w:val="2B4A5600"/>
    <w:rsid w:val="2B5244B4"/>
    <w:rsid w:val="2B612949"/>
    <w:rsid w:val="2B717030"/>
    <w:rsid w:val="2B775BF8"/>
    <w:rsid w:val="2B8C5C18"/>
    <w:rsid w:val="2BBE7D9C"/>
    <w:rsid w:val="2BF85B7E"/>
    <w:rsid w:val="2C0F23A5"/>
    <w:rsid w:val="2C1C00BB"/>
    <w:rsid w:val="2C312A5B"/>
    <w:rsid w:val="2C921F7C"/>
    <w:rsid w:val="2CC3647F"/>
    <w:rsid w:val="2D3E5F4B"/>
    <w:rsid w:val="2D574004"/>
    <w:rsid w:val="2D5902D2"/>
    <w:rsid w:val="2D7B6970"/>
    <w:rsid w:val="2DAE4C1E"/>
    <w:rsid w:val="2DEB3174"/>
    <w:rsid w:val="2E861045"/>
    <w:rsid w:val="2E9574DA"/>
    <w:rsid w:val="2E993A04"/>
    <w:rsid w:val="2EA94D33"/>
    <w:rsid w:val="2ED31436"/>
    <w:rsid w:val="2F155F25"/>
    <w:rsid w:val="2F63276B"/>
    <w:rsid w:val="2F6A001E"/>
    <w:rsid w:val="2F7B66D0"/>
    <w:rsid w:val="2F8310E0"/>
    <w:rsid w:val="2FD7142C"/>
    <w:rsid w:val="301902AB"/>
    <w:rsid w:val="305A4537"/>
    <w:rsid w:val="305E79C7"/>
    <w:rsid w:val="30874C00"/>
    <w:rsid w:val="30E06BCF"/>
    <w:rsid w:val="30ED7159"/>
    <w:rsid w:val="30FA7AC8"/>
    <w:rsid w:val="311C17EC"/>
    <w:rsid w:val="313905F0"/>
    <w:rsid w:val="313D2FFD"/>
    <w:rsid w:val="315135F0"/>
    <w:rsid w:val="315E00CE"/>
    <w:rsid w:val="319343EB"/>
    <w:rsid w:val="31ED3189"/>
    <w:rsid w:val="32290665"/>
    <w:rsid w:val="322D761C"/>
    <w:rsid w:val="327714C1"/>
    <w:rsid w:val="327D62BB"/>
    <w:rsid w:val="328C29A2"/>
    <w:rsid w:val="32B36180"/>
    <w:rsid w:val="32CF7DD0"/>
    <w:rsid w:val="331A1797"/>
    <w:rsid w:val="33354C61"/>
    <w:rsid w:val="33D22636"/>
    <w:rsid w:val="33FC1C0B"/>
    <w:rsid w:val="3428494C"/>
    <w:rsid w:val="34313801"/>
    <w:rsid w:val="345471B1"/>
    <w:rsid w:val="34620281"/>
    <w:rsid w:val="347A791D"/>
    <w:rsid w:val="348F66B8"/>
    <w:rsid w:val="351017B8"/>
    <w:rsid w:val="354D466A"/>
    <w:rsid w:val="35552E2C"/>
    <w:rsid w:val="35FD0FF5"/>
    <w:rsid w:val="364D4B1E"/>
    <w:rsid w:val="36614130"/>
    <w:rsid w:val="36665AE4"/>
    <w:rsid w:val="367774C5"/>
    <w:rsid w:val="36C4095C"/>
    <w:rsid w:val="370F76FD"/>
    <w:rsid w:val="37270EEB"/>
    <w:rsid w:val="37677539"/>
    <w:rsid w:val="37797999"/>
    <w:rsid w:val="378E0F6A"/>
    <w:rsid w:val="37F4701F"/>
    <w:rsid w:val="380A6843"/>
    <w:rsid w:val="386D2F8D"/>
    <w:rsid w:val="38A00F55"/>
    <w:rsid w:val="38A071A7"/>
    <w:rsid w:val="38A764F8"/>
    <w:rsid w:val="38B605B6"/>
    <w:rsid w:val="38E33F0C"/>
    <w:rsid w:val="38E466B3"/>
    <w:rsid w:val="39184BD4"/>
    <w:rsid w:val="393A4A07"/>
    <w:rsid w:val="395051B1"/>
    <w:rsid w:val="395D6E46"/>
    <w:rsid w:val="398E34A3"/>
    <w:rsid w:val="39980BBE"/>
    <w:rsid w:val="39DF5AAD"/>
    <w:rsid w:val="3A211C22"/>
    <w:rsid w:val="3A3C0F25"/>
    <w:rsid w:val="3A42077A"/>
    <w:rsid w:val="3A5A4772"/>
    <w:rsid w:val="3A6F0BDF"/>
    <w:rsid w:val="3A726921"/>
    <w:rsid w:val="3ABF5D5B"/>
    <w:rsid w:val="3AD10538"/>
    <w:rsid w:val="3B44206B"/>
    <w:rsid w:val="3B585B17"/>
    <w:rsid w:val="3B5E2A01"/>
    <w:rsid w:val="3B714B67"/>
    <w:rsid w:val="3B760E9F"/>
    <w:rsid w:val="3BB56AC5"/>
    <w:rsid w:val="3BB840E2"/>
    <w:rsid w:val="3BCA15C8"/>
    <w:rsid w:val="3BD64F66"/>
    <w:rsid w:val="3BE960DF"/>
    <w:rsid w:val="3BEB91C6"/>
    <w:rsid w:val="3C1D0A16"/>
    <w:rsid w:val="3C1E28BD"/>
    <w:rsid w:val="3C2105FF"/>
    <w:rsid w:val="3C601127"/>
    <w:rsid w:val="3CD832EB"/>
    <w:rsid w:val="3CE81E35"/>
    <w:rsid w:val="3CEA6C43"/>
    <w:rsid w:val="3D194F1C"/>
    <w:rsid w:val="3D457307"/>
    <w:rsid w:val="3D4C0406"/>
    <w:rsid w:val="3D5F66E9"/>
    <w:rsid w:val="3D814A07"/>
    <w:rsid w:val="3DAC214A"/>
    <w:rsid w:val="3E153CC6"/>
    <w:rsid w:val="3E1675C3"/>
    <w:rsid w:val="3E4E3201"/>
    <w:rsid w:val="3E4E3CB8"/>
    <w:rsid w:val="3E8F44DB"/>
    <w:rsid w:val="3EA6028E"/>
    <w:rsid w:val="3F0D4E6A"/>
    <w:rsid w:val="3F2A31DD"/>
    <w:rsid w:val="3F6644B1"/>
    <w:rsid w:val="3F7722BD"/>
    <w:rsid w:val="3FC43BDF"/>
    <w:rsid w:val="3FCBC233"/>
    <w:rsid w:val="3FEBBCB0"/>
    <w:rsid w:val="3FFF64D9"/>
    <w:rsid w:val="40107744"/>
    <w:rsid w:val="40155D85"/>
    <w:rsid w:val="40730CFD"/>
    <w:rsid w:val="40CB4CC1"/>
    <w:rsid w:val="40FC3CFB"/>
    <w:rsid w:val="4116300F"/>
    <w:rsid w:val="41313092"/>
    <w:rsid w:val="418B3AD6"/>
    <w:rsid w:val="418B7E82"/>
    <w:rsid w:val="41CF6407"/>
    <w:rsid w:val="41E8409F"/>
    <w:rsid w:val="41FF0A9A"/>
    <w:rsid w:val="42054CDF"/>
    <w:rsid w:val="421F634F"/>
    <w:rsid w:val="422F4D7D"/>
    <w:rsid w:val="4242747B"/>
    <w:rsid w:val="42A72C75"/>
    <w:rsid w:val="43057613"/>
    <w:rsid w:val="431C38CE"/>
    <w:rsid w:val="432F53AF"/>
    <w:rsid w:val="435968D0"/>
    <w:rsid w:val="43886A33"/>
    <w:rsid w:val="44224F14"/>
    <w:rsid w:val="445552E9"/>
    <w:rsid w:val="44760467"/>
    <w:rsid w:val="44775FA6"/>
    <w:rsid w:val="44827761"/>
    <w:rsid w:val="449A4C11"/>
    <w:rsid w:val="44C860E3"/>
    <w:rsid w:val="44F87A23"/>
    <w:rsid w:val="45184BE7"/>
    <w:rsid w:val="455A7A4E"/>
    <w:rsid w:val="45725A27"/>
    <w:rsid w:val="459B423E"/>
    <w:rsid w:val="463F1DAD"/>
    <w:rsid w:val="46A329BF"/>
    <w:rsid w:val="46B52A48"/>
    <w:rsid w:val="46DE0F83"/>
    <w:rsid w:val="470913EF"/>
    <w:rsid w:val="47217705"/>
    <w:rsid w:val="47462CC7"/>
    <w:rsid w:val="47A143A2"/>
    <w:rsid w:val="47B6488F"/>
    <w:rsid w:val="486C2C02"/>
    <w:rsid w:val="487058C6"/>
    <w:rsid w:val="4887761A"/>
    <w:rsid w:val="488E1502"/>
    <w:rsid w:val="48FE7EA6"/>
    <w:rsid w:val="492C1679"/>
    <w:rsid w:val="494A7626"/>
    <w:rsid w:val="495A7D97"/>
    <w:rsid w:val="49C10829"/>
    <w:rsid w:val="4A121587"/>
    <w:rsid w:val="4A435283"/>
    <w:rsid w:val="4AE253FD"/>
    <w:rsid w:val="4AFF7D5D"/>
    <w:rsid w:val="4B562034"/>
    <w:rsid w:val="4B9D4F99"/>
    <w:rsid w:val="4BA07FCD"/>
    <w:rsid w:val="4C12455D"/>
    <w:rsid w:val="4C563E14"/>
    <w:rsid w:val="4C5C6E42"/>
    <w:rsid w:val="4C6F6961"/>
    <w:rsid w:val="4C73309C"/>
    <w:rsid w:val="4C7B1665"/>
    <w:rsid w:val="4C924FEE"/>
    <w:rsid w:val="4C9E7102"/>
    <w:rsid w:val="4CE05399"/>
    <w:rsid w:val="4D095168"/>
    <w:rsid w:val="4D3D4B6D"/>
    <w:rsid w:val="4D441F51"/>
    <w:rsid w:val="4D4C4DB0"/>
    <w:rsid w:val="4DF74249"/>
    <w:rsid w:val="4E1A6AB1"/>
    <w:rsid w:val="4E7D2DE3"/>
    <w:rsid w:val="4E8E3F55"/>
    <w:rsid w:val="4EDA17FC"/>
    <w:rsid w:val="4EF474AD"/>
    <w:rsid w:val="4EFE2C71"/>
    <w:rsid w:val="4F045E2D"/>
    <w:rsid w:val="4F0A0C55"/>
    <w:rsid w:val="4F381A8F"/>
    <w:rsid w:val="4F5C03C2"/>
    <w:rsid w:val="50502E09"/>
    <w:rsid w:val="50560C86"/>
    <w:rsid w:val="50E0418D"/>
    <w:rsid w:val="50EC470D"/>
    <w:rsid w:val="50F639B0"/>
    <w:rsid w:val="51022355"/>
    <w:rsid w:val="51171C09"/>
    <w:rsid w:val="51565AE5"/>
    <w:rsid w:val="519C0E27"/>
    <w:rsid w:val="51AA798C"/>
    <w:rsid w:val="51EB4B97"/>
    <w:rsid w:val="523151A3"/>
    <w:rsid w:val="528F19C6"/>
    <w:rsid w:val="52F21F55"/>
    <w:rsid w:val="52F25D4B"/>
    <w:rsid w:val="531463D8"/>
    <w:rsid w:val="536004DC"/>
    <w:rsid w:val="5374052E"/>
    <w:rsid w:val="537D2167"/>
    <w:rsid w:val="53A35FB7"/>
    <w:rsid w:val="53B8319F"/>
    <w:rsid w:val="53B92FEC"/>
    <w:rsid w:val="53C90F08"/>
    <w:rsid w:val="53EC29B6"/>
    <w:rsid w:val="53F36189"/>
    <w:rsid w:val="542E2AEA"/>
    <w:rsid w:val="54350468"/>
    <w:rsid w:val="54413194"/>
    <w:rsid w:val="544A6CFB"/>
    <w:rsid w:val="545F6D80"/>
    <w:rsid w:val="546F57CE"/>
    <w:rsid w:val="54972DB4"/>
    <w:rsid w:val="54BD727E"/>
    <w:rsid w:val="54D51B2F"/>
    <w:rsid w:val="54FA0E07"/>
    <w:rsid w:val="55064017"/>
    <w:rsid w:val="55A41C2D"/>
    <w:rsid w:val="55CA4A35"/>
    <w:rsid w:val="55DA4455"/>
    <w:rsid w:val="55E71B19"/>
    <w:rsid w:val="56263D60"/>
    <w:rsid w:val="5627572A"/>
    <w:rsid w:val="56390724"/>
    <w:rsid w:val="567F7FA4"/>
    <w:rsid w:val="56B03EFA"/>
    <w:rsid w:val="56B75990"/>
    <w:rsid w:val="56BF6C9D"/>
    <w:rsid w:val="56D1214F"/>
    <w:rsid w:val="57203535"/>
    <w:rsid w:val="573568B4"/>
    <w:rsid w:val="579161E1"/>
    <w:rsid w:val="5797131D"/>
    <w:rsid w:val="579D4D0F"/>
    <w:rsid w:val="57A001D2"/>
    <w:rsid w:val="580C1D0B"/>
    <w:rsid w:val="586138B6"/>
    <w:rsid w:val="587055E6"/>
    <w:rsid w:val="5875773C"/>
    <w:rsid w:val="589D2551"/>
    <w:rsid w:val="58E467E4"/>
    <w:rsid w:val="58E77090"/>
    <w:rsid w:val="58F7F96F"/>
    <w:rsid w:val="58F94086"/>
    <w:rsid w:val="59275961"/>
    <w:rsid w:val="59412DE1"/>
    <w:rsid w:val="599E2E37"/>
    <w:rsid w:val="59B520CD"/>
    <w:rsid w:val="59C26B25"/>
    <w:rsid w:val="59F67BEB"/>
    <w:rsid w:val="5A3D7F5A"/>
    <w:rsid w:val="5A86208B"/>
    <w:rsid w:val="5A8C7682"/>
    <w:rsid w:val="5A9E2D45"/>
    <w:rsid w:val="5AD806E4"/>
    <w:rsid w:val="5B15744D"/>
    <w:rsid w:val="5B5156DC"/>
    <w:rsid w:val="5B6A7E61"/>
    <w:rsid w:val="5B81163A"/>
    <w:rsid w:val="5B9C5154"/>
    <w:rsid w:val="5C126B24"/>
    <w:rsid w:val="5C690BED"/>
    <w:rsid w:val="5D3A69D3"/>
    <w:rsid w:val="5D755C5D"/>
    <w:rsid w:val="5DB74FEB"/>
    <w:rsid w:val="5DD45079"/>
    <w:rsid w:val="5E295461"/>
    <w:rsid w:val="5E4609AE"/>
    <w:rsid w:val="5E55596E"/>
    <w:rsid w:val="5E563838"/>
    <w:rsid w:val="5E587A58"/>
    <w:rsid w:val="5E6443B5"/>
    <w:rsid w:val="5E7F4FE5"/>
    <w:rsid w:val="5E9A382D"/>
    <w:rsid w:val="5F1336E0"/>
    <w:rsid w:val="5F7F1015"/>
    <w:rsid w:val="5F8E327C"/>
    <w:rsid w:val="5F9C39F1"/>
    <w:rsid w:val="5FAB31BB"/>
    <w:rsid w:val="60024BA1"/>
    <w:rsid w:val="60402552"/>
    <w:rsid w:val="607F23BA"/>
    <w:rsid w:val="608E7761"/>
    <w:rsid w:val="609B19E1"/>
    <w:rsid w:val="60D16CE7"/>
    <w:rsid w:val="61291238"/>
    <w:rsid w:val="61330309"/>
    <w:rsid w:val="613C40F3"/>
    <w:rsid w:val="615F10FE"/>
    <w:rsid w:val="61786D68"/>
    <w:rsid w:val="619E6B26"/>
    <w:rsid w:val="61A3613F"/>
    <w:rsid w:val="61F5073C"/>
    <w:rsid w:val="62061579"/>
    <w:rsid w:val="620A1069"/>
    <w:rsid w:val="62685D90"/>
    <w:rsid w:val="628837D1"/>
    <w:rsid w:val="62975F54"/>
    <w:rsid w:val="62AF7E63"/>
    <w:rsid w:val="62BE5969"/>
    <w:rsid w:val="62D13935"/>
    <w:rsid w:val="62D3168C"/>
    <w:rsid w:val="631C253B"/>
    <w:rsid w:val="63350368"/>
    <w:rsid w:val="635F53E5"/>
    <w:rsid w:val="637C0CE8"/>
    <w:rsid w:val="637E46EC"/>
    <w:rsid w:val="63837E80"/>
    <w:rsid w:val="639A354F"/>
    <w:rsid w:val="63D04748"/>
    <w:rsid w:val="64090851"/>
    <w:rsid w:val="640E6778"/>
    <w:rsid w:val="641000A9"/>
    <w:rsid w:val="642F61B8"/>
    <w:rsid w:val="64E86638"/>
    <w:rsid w:val="64EE0639"/>
    <w:rsid w:val="64F27563"/>
    <w:rsid w:val="65297C01"/>
    <w:rsid w:val="65434131"/>
    <w:rsid w:val="65680BE6"/>
    <w:rsid w:val="65B31A18"/>
    <w:rsid w:val="66151166"/>
    <w:rsid w:val="66263817"/>
    <w:rsid w:val="66A55F62"/>
    <w:rsid w:val="66A576EF"/>
    <w:rsid w:val="66C13CC1"/>
    <w:rsid w:val="66E225B5"/>
    <w:rsid w:val="66EA3218"/>
    <w:rsid w:val="67472418"/>
    <w:rsid w:val="6780592A"/>
    <w:rsid w:val="67AE3122"/>
    <w:rsid w:val="67C7309F"/>
    <w:rsid w:val="67D068B1"/>
    <w:rsid w:val="67F22936"/>
    <w:rsid w:val="683F1F5E"/>
    <w:rsid w:val="6898707B"/>
    <w:rsid w:val="68C379AA"/>
    <w:rsid w:val="68FC5484"/>
    <w:rsid w:val="69674FF3"/>
    <w:rsid w:val="698067CB"/>
    <w:rsid w:val="69C02083"/>
    <w:rsid w:val="6A74466E"/>
    <w:rsid w:val="6A8F202E"/>
    <w:rsid w:val="6AC82FF8"/>
    <w:rsid w:val="6AE067D7"/>
    <w:rsid w:val="6B0D5727"/>
    <w:rsid w:val="6B460C38"/>
    <w:rsid w:val="6B5E5D06"/>
    <w:rsid w:val="6BA918F3"/>
    <w:rsid w:val="6BAE515B"/>
    <w:rsid w:val="6BBF4746"/>
    <w:rsid w:val="6C3C2955"/>
    <w:rsid w:val="6C9F6852"/>
    <w:rsid w:val="6CCE3F39"/>
    <w:rsid w:val="6D371525"/>
    <w:rsid w:val="6DA5433C"/>
    <w:rsid w:val="6DA559F1"/>
    <w:rsid w:val="6DA73067"/>
    <w:rsid w:val="6DD7186B"/>
    <w:rsid w:val="6E3A408D"/>
    <w:rsid w:val="6E9F2B3A"/>
    <w:rsid w:val="6EC32CCC"/>
    <w:rsid w:val="6ED07928"/>
    <w:rsid w:val="6EDC1FE0"/>
    <w:rsid w:val="6EE53D51"/>
    <w:rsid w:val="6EFB232E"/>
    <w:rsid w:val="6F3A3EF0"/>
    <w:rsid w:val="6F520FE7"/>
    <w:rsid w:val="6F6C30F7"/>
    <w:rsid w:val="6FBA1B84"/>
    <w:rsid w:val="705555C9"/>
    <w:rsid w:val="70AB1C6A"/>
    <w:rsid w:val="70C40CC9"/>
    <w:rsid w:val="70D421A3"/>
    <w:rsid w:val="70D43EF5"/>
    <w:rsid w:val="70FB3751"/>
    <w:rsid w:val="71303DA9"/>
    <w:rsid w:val="715D01A9"/>
    <w:rsid w:val="716E7255"/>
    <w:rsid w:val="7220748C"/>
    <w:rsid w:val="722717C4"/>
    <w:rsid w:val="722F5F63"/>
    <w:rsid w:val="723941B5"/>
    <w:rsid w:val="72454484"/>
    <w:rsid w:val="724C122A"/>
    <w:rsid w:val="7252403F"/>
    <w:rsid w:val="72CA0ECC"/>
    <w:rsid w:val="72CA214F"/>
    <w:rsid w:val="72FE3D94"/>
    <w:rsid w:val="733918E3"/>
    <w:rsid w:val="733A1C6D"/>
    <w:rsid w:val="736E1DC7"/>
    <w:rsid w:val="73A232F3"/>
    <w:rsid w:val="73C3551C"/>
    <w:rsid w:val="73EB0843"/>
    <w:rsid w:val="749173F7"/>
    <w:rsid w:val="749526E1"/>
    <w:rsid w:val="74D379E1"/>
    <w:rsid w:val="74D87CC5"/>
    <w:rsid w:val="75BB7F12"/>
    <w:rsid w:val="75D03F20"/>
    <w:rsid w:val="75F25C45"/>
    <w:rsid w:val="76C66AC7"/>
    <w:rsid w:val="76DE3702"/>
    <w:rsid w:val="76DF08BF"/>
    <w:rsid w:val="76EC4D8A"/>
    <w:rsid w:val="7704554E"/>
    <w:rsid w:val="774B762F"/>
    <w:rsid w:val="776BD466"/>
    <w:rsid w:val="77938881"/>
    <w:rsid w:val="77BA4E88"/>
    <w:rsid w:val="77C530E4"/>
    <w:rsid w:val="77D575CC"/>
    <w:rsid w:val="77FFB9A8"/>
    <w:rsid w:val="780600CD"/>
    <w:rsid w:val="78347044"/>
    <w:rsid w:val="7845162D"/>
    <w:rsid w:val="787E5EB6"/>
    <w:rsid w:val="78B10039"/>
    <w:rsid w:val="78C87131"/>
    <w:rsid w:val="78D75CAB"/>
    <w:rsid w:val="78F10436"/>
    <w:rsid w:val="79294073"/>
    <w:rsid w:val="793D367B"/>
    <w:rsid w:val="795532DF"/>
    <w:rsid w:val="798219D5"/>
    <w:rsid w:val="79E32474"/>
    <w:rsid w:val="79EE027B"/>
    <w:rsid w:val="7A0D74F1"/>
    <w:rsid w:val="7A2F56B9"/>
    <w:rsid w:val="7A48387A"/>
    <w:rsid w:val="7A5213A8"/>
    <w:rsid w:val="7A960FFF"/>
    <w:rsid w:val="7AD734A6"/>
    <w:rsid w:val="7B095807"/>
    <w:rsid w:val="7B1407E6"/>
    <w:rsid w:val="7B17114F"/>
    <w:rsid w:val="7B18473D"/>
    <w:rsid w:val="7B1B641F"/>
    <w:rsid w:val="7BC1326E"/>
    <w:rsid w:val="7C0B180E"/>
    <w:rsid w:val="7C145C9B"/>
    <w:rsid w:val="7C2E2D54"/>
    <w:rsid w:val="7C30695D"/>
    <w:rsid w:val="7C315D0E"/>
    <w:rsid w:val="7C3925EF"/>
    <w:rsid w:val="7C3E7E36"/>
    <w:rsid w:val="7C5E2986"/>
    <w:rsid w:val="7C8B6DF3"/>
    <w:rsid w:val="7CC421F3"/>
    <w:rsid w:val="7CF63249"/>
    <w:rsid w:val="7D0270B5"/>
    <w:rsid w:val="7D0561C2"/>
    <w:rsid w:val="7D3F20B7"/>
    <w:rsid w:val="7D4059B8"/>
    <w:rsid w:val="7D8C033F"/>
    <w:rsid w:val="7DA41F1A"/>
    <w:rsid w:val="7DC94B4F"/>
    <w:rsid w:val="7DE01CBD"/>
    <w:rsid w:val="7DFF8966"/>
    <w:rsid w:val="7E0E2274"/>
    <w:rsid w:val="7E1626EC"/>
    <w:rsid w:val="7E173F7D"/>
    <w:rsid w:val="7E3F4EBC"/>
    <w:rsid w:val="7E3F60E7"/>
    <w:rsid w:val="7E456BA8"/>
    <w:rsid w:val="7E541969"/>
    <w:rsid w:val="7E5558E9"/>
    <w:rsid w:val="7EDF116C"/>
    <w:rsid w:val="7EF7335D"/>
    <w:rsid w:val="7F3C3AAA"/>
    <w:rsid w:val="7F6776A3"/>
    <w:rsid w:val="7F7FD813"/>
    <w:rsid w:val="7F82470C"/>
    <w:rsid w:val="7F887B3D"/>
    <w:rsid w:val="7FBBBFB6"/>
    <w:rsid w:val="7FD14B1D"/>
    <w:rsid w:val="7FD91C23"/>
    <w:rsid w:val="7FDE764C"/>
    <w:rsid w:val="7FFD24C4"/>
    <w:rsid w:val="8F6F66FF"/>
    <w:rsid w:val="A85D1C81"/>
    <w:rsid w:val="CB7DBE4F"/>
    <w:rsid w:val="CF6B5361"/>
    <w:rsid w:val="CFFB75EE"/>
    <w:rsid w:val="D277F3C4"/>
    <w:rsid w:val="D4E7AB06"/>
    <w:rsid w:val="DAF3CD38"/>
    <w:rsid w:val="DDBD4760"/>
    <w:rsid w:val="DE90EAEC"/>
    <w:rsid w:val="EBFE3B55"/>
    <w:rsid w:val="F76E1C34"/>
    <w:rsid w:val="F8FE02EE"/>
    <w:rsid w:val="FE7ADBAD"/>
    <w:rsid w:val="FF7EF9B1"/>
    <w:rsid w:val="FFEA1AD8"/>
    <w:rsid w:val="FFFF7C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1"/>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7">
    <w:name w:val="heading 4"/>
    <w:basedOn w:val="1"/>
    <w:next w:val="1"/>
    <w:link w:val="62"/>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63"/>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9">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11">
    <w:name w:val="heading 8"/>
    <w:basedOn w:val="1"/>
    <w:next w:val="1"/>
    <w:link w:val="6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74"/>
    <w:unhideWhenUsed/>
    <w:qFormat/>
    <w:uiPriority w:val="99"/>
    <w:pPr>
      <w:spacing w:after="120"/>
    </w:pPr>
  </w:style>
  <w:style w:type="paragraph" w:styleId="3">
    <w:name w:val="Body Text First Indent"/>
    <w:basedOn w:val="2"/>
    <w:next w:val="1"/>
    <w:link w:val="90"/>
    <w:unhideWhenUsed/>
    <w:qFormat/>
    <w:uiPriority w:val="99"/>
    <w:pPr>
      <w:keepNext w:val="0"/>
      <w:keepLines w:val="0"/>
      <w:widowControl w:val="0"/>
      <w:suppressLineNumbers w:val="0"/>
      <w:spacing w:before="0" w:beforeAutospacing="0" w:after="0" w:afterAutospacing="0" w:line="360" w:lineRule="exact"/>
      <w:ind w:left="0" w:right="0" w:firstLine="420"/>
      <w:jc w:val="both"/>
    </w:pPr>
    <w:rPr>
      <w:rFonts w:hint="default" w:ascii="Times New Roman" w:hAnsi="Calibri" w:eastAsia="宋体" w:cs="Times New Roman"/>
      <w:kern w:val="2"/>
      <w:sz w:val="21"/>
      <w:szCs w:val="21"/>
      <w:lang w:val="en-US" w:eastAsia="zh-CN" w:bidi="ar"/>
    </w:rPr>
  </w:style>
  <w:style w:type="paragraph" w:styleId="13">
    <w:name w:val="List 3"/>
    <w:basedOn w:val="1"/>
    <w:unhideWhenUsed/>
    <w:qFormat/>
    <w:uiPriority w:val="99"/>
    <w:pPr>
      <w:ind w:left="100" w:leftChars="400" w:hanging="200" w:hangingChars="200"/>
      <w:contextualSpacing/>
    </w:pPr>
  </w:style>
  <w:style w:type="paragraph" w:styleId="14">
    <w:name w:val="List Number 2"/>
    <w:basedOn w:val="1"/>
    <w:semiHidden/>
    <w:unhideWhenUsed/>
    <w:qFormat/>
    <w:uiPriority w:val="99"/>
    <w:pPr>
      <w:numPr>
        <w:ilvl w:val="0"/>
        <w:numId w:val="1"/>
      </w:numPr>
      <w:tabs>
        <w:tab w:val="left" w:pos="360"/>
        <w:tab w:val="clear" w:pos="780"/>
      </w:tabs>
      <w:ind w:left="0" w:firstLine="0"/>
    </w:pPr>
  </w:style>
  <w:style w:type="paragraph" w:styleId="15">
    <w:name w:val="List Number"/>
    <w:basedOn w:val="1"/>
    <w:link w:val="68"/>
    <w:qFormat/>
    <w:uiPriority w:val="0"/>
    <w:pPr>
      <w:tabs>
        <w:tab w:val="left" w:pos="360"/>
      </w:tabs>
      <w:spacing w:line="360" w:lineRule="auto"/>
      <w:ind w:left="360" w:hanging="360" w:hangingChars="200"/>
    </w:pPr>
    <w:rPr>
      <w:rFonts w:eastAsia="楷体_GB2312"/>
      <w:sz w:val="24"/>
    </w:rPr>
  </w:style>
  <w:style w:type="paragraph" w:styleId="16">
    <w:name w:val="Normal Indent"/>
    <w:basedOn w:val="1"/>
    <w:next w:val="1"/>
    <w:link w:val="69"/>
    <w:qFormat/>
    <w:uiPriority w:val="0"/>
    <w:pPr>
      <w:ind w:firstLine="420" w:firstLineChars="200"/>
    </w:pPr>
  </w:style>
  <w:style w:type="paragraph" w:styleId="17">
    <w:name w:val="caption"/>
    <w:basedOn w:val="1"/>
    <w:next w:val="1"/>
    <w:link w:val="70"/>
    <w:qFormat/>
    <w:uiPriority w:val="0"/>
    <w:pPr>
      <w:spacing w:before="152" w:after="160"/>
    </w:pPr>
    <w:rPr>
      <w:rFonts w:ascii="Arial" w:hAnsi="Arial" w:eastAsia="黑体" w:cs="Arial"/>
      <w:sz w:val="20"/>
      <w:szCs w:val="20"/>
    </w:rPr>
  </w:style>
  <w:style w:type="paragraph" w:styleId="18">
    <w:name w:val="Document Map"/>
    <w:basedOn w:val="1"/>
    <w:link w:val="71"/>
    <w:qFormat/>
    <w:uiPriority w:val="0"/>
    <w:rPr>
      <w:rFonts w:ascii="宋体" w:hAnsi="Calibri" w:eastAsiaTheme="minorEastAsia" w:cstheme="minorBidi"/>
      <w:sz w:val="18"/>
      <w:szCs w:val="18"/>
    </w:rPr>
  </w:style>
  <w:style w:type="paragraph" w:styleId="19">
    <w:name w:val="annotation text"/>
    <w:basedOn w:val="1"/>
    <w:link w:val="72"/>
    <w:qFormat/>
    <w:uiPriority w:val="0"/>
    <w:pPr>
      <w:jc w:val="left"/>
    </w:pPr>
    <w:rPr>
      <w:rFonts w:cs="Lucida Sans" w:asciiTheme="minorHAnsi" w:hAnsiTheme="minorHAnsi"/>
      <w:szCs w:val="22"/>
    </w:rPr>
  </w:style>
  <w:style w:type="paragraph" w:styleId="20">
    <w:name w:val="Body Text 3"/>
    <w:basedOn w:val="1"/>
    <w:link w:val="73"/>
    <w:qFormat/>
    <w:uiPriority w:val="0"/>
    <w:pPr>
      <w:spacing w:after="120"/>
    </w:pPr>
    <w:rPr>
      <w:rFonts w:asciiTheme="minorHAnsi" w:hAnsiTheme="minorHAnsi" w:eastAsiaTheme="minorEastAsia" w:cstheme="minorBidi"/>
      <w:sz w:val="16"/>
      <w:szCs w:val="16"/>
    </w:rPr>
  </w:style>
  <w:style w:type="paragraph" w:styleId="21">
    <w:name w:val="Body Text Indent"/>
    <w:basedOn w:val="1"/>
    <w:link w:val="58"/>
    <w:qFormat/>
    <w:uiPriority w:val="0"/>
    <w:pPr>
      <w:spacing w:line="480" w:lineRule="atLeast"/>
      <w:ind w:firstLine="570"/>
    </w:pPr>
    <w:rPr>
      <w:rFonts w:ascii="??" w:hAnsi="??" w:eastAsia="??" w:cs="宋体"/>
      <w:sz w:val="28"/>
      <w:szCs w:val="28"/>
    </w:rPr>
  </w:style>
  <w:style w:type="paragraph" w:styleId="22">
    <w:name w:val="List 2"/>
    <w:basedOn w:val="1"/>
    <w:unhideWhenUsed/>
    <w:qFormat/>
    <w:uiPriority w:val="0"/>
    <w:pPr>
      <w:ind w:left="100" w:leftChars="200" w:hanging="200" w:hangingChars="200"/>
      <w:contextualSpacing/>
    </w:pPr>
  </w:style>
  <w:style w:type="paragraph" w:styleId="2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4">
    <w:name w:val="toc 5"/>
    <w:basedOn w:val="1"/>
    <w:next w:val="1"/>
    <w:qFormat/>
    <w:uiPriority w:val="0"/>
    <w:pPr>
      <w:ind w:left="840"/>
      <w:jc w:val="left"/>
    </w:pPr>
    <w:rPr>
      <w:rFonts w:ascii="Times New Roman" w:hAnsi="Times New Roman"/>
      <w:sz w:val="18"/>
      <w:szCs w:val="18"/>
    </w:rPr>
  </w:style>
  <w:style w:type="paragraph" w:styleId="25">
    <w:name w:val="toc 3"/>
    <w:basedOn w:val="1"/>
    <w:next w:val="1"/>
    <w:link w:val="75"/>
    <w:qFormat/>
    <w:uiPriority w:val="39"/>
    <w:pPr>
      <w:tabs>
        <w:tab w:val="left" w:pos="1440"/>
        <w:tab w:val="right" w:leader="dot" w:pos="8302"/>
      </w:tabs>
      <w:ind w:left="718" w:leftChars="342" w:firstLine="120" w:firstLineChars="60"/>
    </w:pPr>
    <w:rPr>
      <w:rFonts w:ascii="Arial" w:hAnsi="Arial"/>
      <w:smallCaps/>
      <w:sz w:val="20"/>
    </w:rPr>
  </w:style>
  <w:style w:type="paragraph" w:styleId="26">
    <w:name w:val="Plain Text"/>
    <w:basedOn w:val="1"/>
    <w:link w:val="77"/>
    <w:qFormat/>
    <w:uiPriority w:val="0"/>
    <w:rPr>
      <w:rFonts w:ascii="??" w:hAnsi="??" w:eastAsia="??" w:cs="宋体"/>
      <w:szCs w:val="21"/>
    </w:rPr>
  </w:style>
  <w:style w:type="paragraph" w:styleId="27">
    <w:name w:val="toc 8"/>
    <w:basedOn w:val="1"/>
    <w:next w:val="1"/>
    <w:unhideWhenUsed/>
    <w:qFormat/>
    <w:uiPriority w:val="39"/>
    <w:pPr>
      <w:ind w:left="2940" w:leftChars="1400"/>
    </w:pPr>
  </w:style>
  <w:style w:type="paragraph" w:styleId="28">
    <w:name w:val="Date"/>
    <w:basedOn w:val="1"/>
    <w:next w:val="1"/>
    <w:link w:val="76"/>
    <w:unhideWhenUsed/>
    <w:qFormat/>
    <w:uiPriority w:val="0"/>
    <w:pPr>
      <w:ind w:left="100" w:leftChars="2500"/>
    </w:pPr>
  </w:style>
  <w:style w:type="paragraph" w:styleId="29">
    <w:name w:val="Body Text Indent 2"/>
    <w:basedOn w:val="1"/>
    <w:link w:val="78"/>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0">
    <w:name w:val="Balloon Text"/>
    <w:basedOn w:val="1"/>
    <w:link w:val="79"/>
    <w:unhideWhenUsed/>
    <w:qFormat/>
    <w:uiPriority w:val="0"/>
    <w:rPr>
      <w:sz w:val="18"/>
      <w:szCs w:val="18"/>
    </w:rPr>
  </w:style>
  <w:style w:type="paragraph" w:styleId="31">
    <w:name w:val="footer"/>
    <w:basedOn w:val="1"/>
    <w:link w:val="80"/>
    <w:unhideWhenUsed/>
    <w:qFormat/>
    <w:uiPriority w:val="99"/>
    <w:pPr>
      <w:tabs>
        <w:tab w:val="center" w:pos="4153"/>
        <w:tab w:val="right" w:pos="8306"/>
      </w:tabs>
      <w:snapToGrid w:val="0"/>
      <w:jc w:val="left"/>
    </w:pPr>
    <w:rPr>
      <w:sz w:val="18"/>
      <w:szCs w:val="18"/>
    </w:rPr>
  </w:style>
  <w:style w:type="paragraph" w:styleId="32">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4">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5">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rFonts w:ascii="Times New Roman" w:hAnsi="Times New Roman"/>
      <w:sz w:val="28"/>
    </w:rPr>
  </w:style>
  <w:style w:type="paragraph" w:styleId="37">
    <w:name w:val="footnote text"/>
    <w:basedOn w:val="1"/>
    <w:link w:val="83"/>
    <w:qFormat/>
    <w:uiPriority w:val="0"/>
    <w:pPr>
      <w:snapToGrid w:val="0"/>
      <w:jc w:val="left"/>
    </w:pPr>
    <w:rPr>
      <w:rFonts w:ascii="Times New Roman" w:hAnsi="Times New Roman" w:eastAsia="仿宋_GB2312"/>
      <w:sz w:val="18"/>
      <w:szCs w:val="20"/>
    </w:rPr>
  </w:style>
  <w:style w:type="paragraph" w:styleId="38">
    <w:name w:val="toc 6"/>
    <w:basedOn w:val="1"/>
    <w:next w:val="1"/>
    <w:unhideWhenUsed/>
    <w:qFormat/>
    <w:uiPriority w:val="39"/>
    <w:pPr>
      <w:ind w:left="2100" w:leftChars="1000"/>
    </w:pPr>
  </w:style>
  <w:style w:type="paragraph" w:styleId="39">
    <w:name w:val="Body Text Indent 3"/>
    <w:basedOn w:val="1"/>
    <w:link w:val="84"/>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qFormat/>
    <w:uiPriority w:val="39"/>
    <w:pPr>
      <w:tabs>
        <w:tab w:val="right" w:leader="middleDot" w:pos="8948"/>
      </w:tabs>
      <w:spacing w:before="60" w:after="60"/>
      <w:ind w:left="210"/>
    </w:pPr>
    <w:rPr>
      <w:smallCaps/>
    </w:rPr>
  </w:style>
  <w:style w:type="paragraph" w:styleId="41">
    <w:name w:val="Body Text 2"/>
    <w:basedOn w:val="1"/>
    <w:link w:val="85"/>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link w:val="87"/>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1"/>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9"/>
    <w:next w:val="19"/>
    <w:link w:val="89"/>
    <w:qFormat/>
    <w:uiPriority w:val="0"/>
    <w:rPr>
      <w:rFonts w:ascii="Times New Roman" w:hAnsi="Times New Roman" w:cs="Times New Roman"/>
      <w:b/>
      <w:bCs/>
      <w:szCs w:val="24"/>
    </w:rPr>
  </w:style>
  <w:style w:type="paragraph" w:styleId="46">
    <w:name w:val="Body Text First Indent 2"/>
    <w:basedOn w:val="21"/>
    <w:next w:val="1"/>
    <w:link w:val="91"/>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8">
    <w:name w:val="Table Grid"/>
    <w:basedOn w:val="4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Typewriter"/>
    <w:qFormat/>
    <w:uiPriority w:val="0"/>
    <w:rPr>
      <w:rFonts w:hint="eastAsia" w:ascii="黑体" w:hAnsi="Courier New" w:eastAsia="黑体" w:cs="Times New Roman"/>
      <w:sz w:val="14"/>
      <w:szCs w:val="24"/>
    </w:rPr>
  </w:style>
  <w:style w:type="character" w:styleId="55">
    <w:name w:val="Hyperlink"/>
    <w:qFormat/>
    <w:uiPriority w:val="99"/>
    <w:rPr>
      <w:color w:val="0000FF"/>
      <w:u w:val="single"/>
    </w:rPr>
  </w:style>
  <w:style w:type="character" w:styleId="56">
    <w:name w:val="annotation reference"/>
    <w:basedOn w:val="49"/>
    <w:qFormat/>
    <w:uiPriority w:val="0"/>
    <w:rPr>
      <w:sz w:val="21"/>
      <w:szCs w:val="21"/>
    </w:rPr>
  </w:style>
  <w:style w:type="character" w:styleId="57">
    <w:name w:val="footnote reference"/>
    <w:qFormat/>
    <w:uiPriority w:val="0"/>
    <w:rPr>
      <w:vertAlign w:val="superscript"/>
    </w:rPr>
  </w:style>
  <w:style w:type="character" w:customStyle="1" w:styleId="58">
    <w:name w:val="正文文本缩进 Char"/>
    <w:basedOn w:val="49"/>
    <w:link w:val="21"/>
    <w:qFormat/>
    <w:uiPriority w:val="0"/>
    <w:rPr>
      <w:rFonts w:ascii="??" w:hAnsi="??" w:eastAsia="??" w:cs="宋体"/>
      <w:sz w:val="28"/>
      <w:szCs w:val="28"/>
    </w:rPr>
  </w:style>
  <w:style w:type="character" w:customStyle="1" w:styleId="59">
    <w:name w:val="标题 1 Char"/>
    <w:basedOn w:val="49"/>
    <w:link w:val="4"/>
    <w:qFormat/>
    <w:uiPriority w:val="0"/>
    <w:rPr>
      <w:rFonts w:ascii="等线" w:hAnsi="等线" w:eastAsia="宋体" w:cs="Times New Roman"/>
      <w:b/>
      <w:bCs/>
      <w:kern w:val="44"/>
      <w:sz w:val="44"/>
      <w:szCs w:val="44"/>
    </w:rPr>
  </w:style>
  <w:style w:type="character" w:customStyle="1" w:styleId="60">
    <w:name w:val="标题 2 Char"/>
    <w:basedOn w:val="49"/>
    <w:link w:val="5"/>
    <w:qFormat/>
    <w:uiPriority w:val="8"/>
    <w:rPr>
      <w:rFonts w:asciiTheme="majorHAnsi" w:hAnsiTheme="majorHAnsi" w:eastAsiaTheme="majorEastAsia" w:cstheme="majorBidi"/>
      <w:b/>
      <w:bCs/>
      <w:sz w:val="32"/>
      <w:szCs w:val="32"/>
    </w:rPr>
  </w:style>
  <w:style w:type="character" w:customStyle="1" w:styleId="61">
    <w:name w:val="标题 3 Char"/>
    <w:basedOn w:val="49"/>
    <w:link w:val="6"/>
    <w:qFormat/>
    <w:uiPriority w:val="0"/>
    <w:rPr>
      <w:rFonts w:ascii="Times New Roman" w:hAnsi="Times New Roman" w:eastAsia="??" w:cs="Times New Roman"/>
      <w:b/>
      <w:kern w:val="0"/>
      <w:sz w:val="32"/>
      <w:szCs w:val="28"/>
    </w:rPr>
  </w:style>
  <w:style w:type="character" w:customStyle="1" w:styleId="62">
    <w:name w:val="标题 4 Char"/>
    <w:basedOn w:val="49"/>
    <w:link w:val="7"/>
    <w:qFormat/>
    <w:uiPriority w:val="0"/>
    <w:rPr>
      <w:rFonts w:ascii="Cambria" w:hAnsi="Cambria" w:eastAsia="宋体" w:cs="Times New Roman"/>
      <w:b/>
      <w:bCs/>
      <w:sz w:val="28"/>
      <w:szCs w:val="28"/>
    </w:rPr>
  </w:style>
  <w:style w:type="character" w:customStyle="1" w:styleId="63">
    <w:name w:val="标题 5 Char"/>
    <w:basedOn w:val="49"/>
    <w:link w:val="8"/>
    <w:qFormat/>
    <w:uiPriority w:val="0"/>
    <w:rPr>
      <w:rFonts w:ascii="Times New Roman" w:hAnsi="Times New Roman" w:eastAsia="宋体" w:cs="Times New Roman"/>
      <w:b/>
      <w:bCs/>
      <w:kern w:val="0"/>
      <w:sz w:val="28"/>
      <w:szCs w:val="28"/>
    </w:rPr>
  </w:style>
  <w:style w:type="character" w:customStyle="1" w:styleId="64">
    <w:name w:val="标题 6 Char"/>
    <w:basedOn w:val="49"/>
    <w:link w:val="9"/>
    <w:qFormat/>
    <w:uiPriority w:val="0"/>
    <w:rPr>
      <w:rFonts w:ascii="Arial" w:hAnsi="Arial" w:eastAsia="黑体" w:cs="Times New Roman"/>
      <w:b/>
      <w:bCs/>
      <w:kern w:val="0"/>
      <w:sz w:val="24"/>
      <w:szCs w:val="24"/>
    </w:rPr>
  </w:style>
  <w:style w:type="character" w:customStyle="1" w:styleId="65">
    <w:name w:val="标题 7 Char"/>
    <w:basedOn w:val="49"/>
    <w:link w:val="10"/>
    <w:qFormat/>
    <w:uiPriority w:val="0"/>
    <w:rPr>
      <w:rFonts w:ascii="Times New Roman" w:hAnsi="Times New Roman" w:eastAsia="宋体" w:cs="Times New Roman"/>
      <w:b/>
      <w:bCs/>
      <w:kern w:val="0"/>
      <w:sz w:val="24"/>
      <w:szCs w:val="24"/>
    </w:rPr>
  </w:style>
  <w:style w:type="character" w:customStyle="1" w:styleId="66">
    <w:name w:val="标题 8 Char"/>
    <w:basedOn w:val="49"/>
    <w:link w:val="11"/>
    <w:qFormat/>
    <w:uiPriority w:val="0"/>
    <w:rPr>
      <w:rFonts w:ascii="Arial" w:hAnsi="Arial" w:eastAsia="黑体" w:cs="Times New Roman"/>
      <w:kern w:val="0"/>
      <w:sz w:val="24"/>
      <w:szCs w:val="24"/>
    </w:rPr>
  </w:style>
  <w:style w:type="character" w:customStyle="1" w:styleId="67">
    <w:name w:val="标题 9 Char"/>
    <w:basedOn w:val="49"/>
    <w:link w:val="12"/>
    <w:qFormat/>
    <w:uiPriority w:val="0"/>
    <w:rPr>
      <w:rFonts w:ascii="Arial" w:hAnsi="Arial" w:eastAsia="黑体" w:cs="Times New Roman"/>
      <w:kern w:val="0"/>
      <w:szCs w:val="21"/>
    </w:rPr>
  </w:style>
  <w:style w:type="character" w:customStyle="1" w:styleId="68">
    <w:name w:val="列表编号 Char"/>
    <w:link w:val="15"/>
    <w:qFormat/>
    <w:uiPriority w:val="0"/>
    <w:rPr>
      <w:rFonts w:ascii="等线" w:hAnsi="等线" w:eastAsia="楷体_GB2312" w:cs="Times New Roman"/>
      <w:sz w:val="24"/>
      <w:szCs w:val="24"/>
    </w:rPr>
  </w:style>
  <w:style w:type="character" w:customStyle="1" w:styleId="69">
    <w:name w:val="正文缩进 Char"/>
    <w:link w:val="16"/>
    <w:qFormat/>
    <w:uiPriority w:val="0"/>
    <w:rPr>
      <w:rFonts w:ascii="等线" w:hAnsi="等线" w:eastAsia="宋体" w:cs="Times New Roman"/>
      <w:szCs w:val="24"/>
    </w:rPr>
  </w:style>
  <w:style w:type="character" w:customStyle="1" w:styleId="70">
    <w:name w:val="题注 Char"/>
    <w:link w:val="17"/>
    <w:qFormat/>
    <w:uiPriority w:val="0"/>
    <w:rPr>
      <w:rFonts w:ascii="Arial" w:hAnsi="Arial" w:eastAsia="黑体" w:cs="Arial"/>
      <w:kern w:val="2"/>
    </w:rPr>
  </w:style>
  <w:style w:type="character" w:customStyle="1" w:styleId="71">
    <w:name w:val="文档结构图 Char2"/>
    <w:basedOn w:val="49"/>
    <w:link w:val="18"/>
    <w:qFormat/>
    <w:uiPriority w:val="0"/>
    <w:rPr>
      <w:rFonts w:ascii="宋体" w:hAnsi="Calibri"/>
      <w:sz w:val="18"/>
      <w:szCs w:val="18"/>
    </w:rPr>
  </w:style>
  <w:style w:type="character" w:customStyle="1" w:styleId="72">
    <w:name w:val="批注文字 Char"/>
    <w:basedOn w:val="49"/>
    <w:link w:val="19"/>
    <w:qFormat/>
    <w:uiPriority w:val="0"/>
    <w:rPr>
      <w:rFonts w:eastAsia="宋体" w:cs="Lucida Sans"/>
    </w:rPr>
  </w:style>
  <w:style w:type="character" w:customStyle="1" w:styleId="73">
    <w:name w:val="正文文本 3 Char1"/>
    <w:basedOn w:val="49"/>
    <w:link w:val="20"/>
    <w:qFormat/>
    <w:uiPriority w:val="0"/>
    <w:rPr>
      <w:sz w:val="16"/>
      <w:szCs w:val="16"/>
    </w:rPr>
  </w:style>
  <w:style w:type="character" w:customStyle="1" w:styleId="74">
    <w:name w:val="正文文本 Char"/>
    <w:basedOn w:val="49"/>
    <w:link w:val="2"/>
    <w:qFormat/>
    <w:uiPriority w:val="0"/>
    <w:rPr>
      <w:rFonts w:ascii="等线" w:hAnsi="等线" w:eastAsia="宋体" w:cs="Times New Roman"/>
      <w:szCs w:val="24"/>
    </w:rPr>
  </w:style>
  <w:style w:type="character" w:customStyle="1" w:styleId="75">
    <w:name w:val="目录 3 Char"/>
    <w:link w:val="25"/>
    <w:qFormat/>
    <w:uiPriority w:val="39"/>
    <w:rPr>
      <w:rFonts w:ascii="Arial" w:hAnsi="Arial" w:eastAsia="宋体" w:cs="Times New Roman"/>
      <w:smallCaps/>
      <w:kern w:val="2"/>
      <w:szCs w:val="24"/>
    </w:rPr>
  </w:style>
  <w:style w:type="character" w:customStyle="1" w:styleId="76">
    <w:name w:val="日期 Char"/>
    <w:basedOn w:val="49"/>
    <w:link w:val="28"/>
    <w:qFormat/>
    <w:uiPriority w:val="0"/>
    <w:rPr>
      <w:rFonts w:ascii="等线" w:hAnsi="等线" w:eastAsia="宋体" w:cs="Times New Roman"/>
      <w:szCs w:val="24"/>
    </w:rPr>
  </w:style>
  <w:style w:type="character" w:customStyle="1" w:styleId="77">
    <w:name w:val="纯文本 Char1"/>
    <w:link w:val="26"/>
    <w:qFormat/>
    <w:uiPriority w:val="0"/>
    <w:rPr>
      <w:rFonts w:ascii="??" w:hAnsi="??" w:eastAsia="??" w:cs="宋体"/>
      <w:szCs w:val="21"/>
    </w:rPr>
  </w:style>
  <w:style w:type="character" w:customStyle="1" w:styleId="78">
    <w:name w:val="正文文本缩进 2 Char1"/>
    <w:basedOn w:val="49"/>
    <w:link w:val="29"/>
    <w:qFormat/>
    <w:uiPriority w:val="0"/>
    <w:rPr>
      <w:rFonts w:ascii="宋体"/>
      <w:color w:val="000000"/>
      <w:kern w:val="0"/>
      <w:sz w:val="24"/>
      <w:szCs w:val="20"/>
    </w:rPr>
  </w:style>
  <w:style w:type="character" w:customStyle="1" w:styleId="79">
    <w:name w:val="批注框文本 Char"/>
    <w:basedOn w:val="49"/>
    <w:link w:val="30"/>
    <w:qFormat/>
    <w:uiPriority w:val="99"/>
    <w:rPr>
      <w:rFonts w:ascii="等线" w:hAnsi="等线" w:eastAsia="宋体" w:cs="Times New Roman"/>
      <w:sz w:val="18"/>
      <w:szCs w:val="18"/>
    </w:rPr>
  </w:style>
  <w:style w:type="character" w:customStyle="1" w:styleId="80">
    <w:name w:val="页脚 Char"/>
    <w:basedOn w:val="49"/>
    <w:link w:val="31"/>
    <w:qFormat/>
    <w:uiPriority w:val="0"/>
    <w:rPr>
      <w:sz w:val="18"/>
      <w:szCs w:val="18"/>
    </w:rPr>
  </w:style>
  <w:style w:type="character" w:customStyle="1" w:styleId="81">
    <w:name w:val="页眉 Char"/>
    <w:basedOn w:val="49"/>
    <w:link w:val="32"/>
    <w:qFormat/>
    <w:uiPriority w:val="0"/>
    <w:rPr>
      <w:sz w:val="18"/>
      <w:szCs w:val="18"/>
    </w:rPr>
  </w:style>
  <w:style w:type="character" w:customStyle="1" w:styleId="82">
    <w:name w:val="副标题 Char"/>
    <w:basedOn w:val="49"/>
    <w:link w:val="35"/>
    <w:qFormat/>
    <w:uiPriority w:val="0"/>
    <w:rPr>
      <w:rFonts w:ascii="Cambria" w:hAnsi="Cambria" w:eastAsia="宋体" w:cs="Times New Roman"/>
      <w:b/>
      <w:bCs/>
      <w:kern w:val="28"/>
      <w:sz w:val="32"/>
      <w:szCs w:val="32"/>
    </w:rPr>
  </w:style>
  <w:style w:type="character" w:customStyle="1" w:styleId="83">
    <w:name w:val="脚注文本 Char"/>
    <w:basedOn w:val="49"/>
    <w:link w:val="37"/>
    <w:qFormat/>
    <w:uiPriority w:val="0"/>
    <w:rPr>
      <w:rFonts w:ascii="Times New Roman" w:hAnsi="Times New Roman" w:eastAsia="仿宋_GB2312" w:cs="Times New Roman"/>
      <w:sz w:val="18"/>
      <w:szCs w:val="20"/>
    </w:rPr>
  </w:style>
  <w:style w:type="character" w:customStyle="1" w:styleId="84">
    <w:name w:val="正文文本缩进 3 Char1"/>
    <w:basedOn w:val="49"/>
    <w:link w:val="39"/>
    <w:qFormat/>
    <w:uiPriority w:val="0"/>
    <w:rPr>
      <w:rFonts w:ascii="宋体"/>
      <w:b/>
      <w:color w:val="000000"/>
      <w:kern w:val="0"/>
      <w:sz w:val="36"/>
      <w:szCs w:val="24"/>
    </w:rPr>
  </w:style>
  <w:style w:type="character" w:customStyle="1" w:styleId="85">
    <w:name w:val="正文文本 2 Char1"/>
    <w:basedOn w:val="49"/>
    <w:link w:val="41"/>
    <w:qFormat/>
    <w:uiPriority w:val="0"/>
    <w:rPr>
      <w:rFonts w:ascii="宋体"/>
      <w:color w:val="000000"/>
      <w:kern w:val="0"/>
      <w:sz w:val="24"/>
      <w:szCs w:val="24"/>
    </w:rPr>
  </w:style>
  <w:style w:type="character" w:customStyle="1" w:styleId="86">
    <w:name w:val="HTML 预设格式 Char"/>
    <w:basedOn w:val="49"/>
    <w:link w:val="42"/>
    <w:qFormat/>
    <w:uiPriority w:val="0"/>
    <w:rPr>
      <w:rFonts w:ascii="宋体" w:hAnsi="宋体" w:eastAsia="宋体" w:cs="宋体"/>
      <w:kern w:val="0"/>
      <w:sz w:val="24"/>
      <w:szCs w:val="24"/>
    </w:rPr>
  </w:style>
  <w:style w:type="character" w:customStyle="1" w:styleId="87">
    <w:name w:val="普通(网站) Char"/>
    <w:link w:val="43"/>
    <w:qFormat/>
    <w:uiPriority w:val="99"/>
    <w:rPr>
      <w:rFonts w:ascii="??" w:hAnsi="??" w:eastAsia="??" w:cs="宋体"/>
      <w:sz w:val="24"/>
      <w:szCs w:val="24"/>
    </w:rPr>
  </w:style>
  <w:style w:type="character" w:customStyle="1" w:styleId="88">
    <w:name w:val="标题 Char"/>
    <w:basedOn w:val="49"/>
    <w:qFormat/>
    <w:uiPriority w:val="10"/>
    <w:rPr>
      <w:rFonts w:eastAsia="宋体" w:asciiTheme="majorHAnsi" w:hAnsiTheme="majorHAnsi" w:cstheme="majorBidi"/>
      <w:b/>
      <w:bCs/>
      <w:sz w:val="36"/>
      <w:szCs w:val="32"/>
    </w:rPr>
  </w:style>
  <w:style w:type="character" w:customStyle="1" w:styleId="89">
    <w:name w:val="批注主题 Char"/>
    <w:basedOn w:val="72"/>
    <w:link w:val="45"/>
    <w:qFormat/>
    <w:uiPriority w:val="0"/>
    <w:rPr>
      <w:rFonts w:ascii="Times New Roman" w:hAnsi="Times New Roman" w:eastAsia="宋体" w:cs="Times New Roman"/>
      <w:b/>
      <w:bCs/>
      <w:szCs w:val="24"/>
    </w:rPr>
  </w:style>
  <w:style w:type="character" w:customStyle="1" w:styleId="90">
    <w:name w:val="正文首行缩进 Char"/>
    <w:basedOn w:val="74"/>
    <w:link w:val="3"/>
    <w:qFormat/>
    <w:uiPriority w:val="99"/>
    <w:rPr>
      <w:rFonts w:ascii="等线" w:hAnsi="等线" w:eastAsia="宋体" w:cs="Times New Roman"/>
      <w:szCs w:val="24"/>
    </w:rPr>
  </w:style>
  <w:style w:type="character" w:customStyle="1" w:styleId="91">
    <w:name w:val="正文首行缩进 2 Char"/>
    <w:basedOn w:val="58"/>
    <w:link w:val="46"/>
    <w:qFormat/>
    <w:uiPriority w:val="0"/>
    <w:rPr>
      <w:rFonts w:ascii="等线" w:hAnsi="等线" w:eastAsia="宋体" w:cs="Times New Roman"/>
      <w:sz w:val="28"/>
      <w:szCs w:val="24"/>
    </w:rPr>
  </w:style>
  <w:style w:type="character" w:customStyle="1" w:styleId="92">
    <w:name w:val="纯文本 Char"/>
    <w:basedOn w:val="49"/>
    <w:qFormat/>
    <w:uiPriority w:val="0"/>
    <w:rPr>
      <w:rFonts w:ascii="宋体" w:hAnsi="Courier New" w:eastAsia="宋体" w:cs="Courier New"/>
      <w:szCs w:val="21"/>
    </w:rPr>
  </w:style>
  <w:style w:type="character" w:customStyle="1" w:styleId="93">
    <w:name w:val="*正文 Char"/>
    <w:link w:val="94"/>
    <w:qFormat/>
    <w:uiPriority w:val="0"/>
    <w:rPr>
      <w:rFonts w:ascii="宋体" w:hAnsi="宋体"/>
      <w:sz w:val="22"/>
    </w:rPr>
  </w:style>
  <w:style w:type="paragraph" w:customStyle="1" w:styleId="94">
    <w:name w:val="*正文"/>
    <w:basedOn w:val="1"/>
    <w:link w:val="93"/>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5">
    <w:name w:val="表格用"/>
    <w:basedOn w:val="1"/>
    <w:qFormat/>
    <w:uiPriority w:val="0"/>
    <w:rPr>
      <w:kern w:val="0"/>
    </w:rPr>
  </w:style>
  <w:style w:type="character" w:customStyle="1" w:styleId="96">
    <w:name w:val="文档结构图 Char"/>
    <w:basedOn w:val="49"/>
    <w:qFormat/>
    <w:uiPriority w:val="0"/>
    <w:rPr>
      <w:rFonts w:ascii="宋体" w:hAnsi="等线" w:eastAsia="宋体" w:cs="Times New Roman"/>
      <w:sz w:val="18"/>
      <w:szCs w:val="18"/>
    </w:rPr>
  </w:style>
  <w:style w:type="character" w:customStyle="1" w:styleId="97">
    <w:name w:val="正文文本 3 Char"/>
    <w:basedOn w:val="49"/>
    <w:qFormat/>
    <w:uiPriority w:val="0"/>
    <w:rPr>
      <w:rFonts w:ascii="等线" w:hAnsi="等线" w:eastAsia="宋体" w:cs="Times New Roman"/>
      <w:sz w:val="16"/>
      <w:szCs w:val="16"/>
    </w:rPr>
  </w:style>
  <w:style w:type="character" w:customStyle="1" w:styleId="98">
    <w:name w:val="正文文本缩进 2 Char"/>
    <w:basedOn w:val="49"/>
    <w:qFormat/>
    <w:uiPriority w:val="0"/>
    <w:rPr>
      <w:rFonts w:ascii="等线" w:hAnsi="等线" w:eastAsia="宋体" w:cs="Times New Roman"/>
      <w:szCs w:val="24"/>
    </w:rPr>
  </w:style>
  <w:style w:type="character" w:customStyle="1" w:styleId="99">
    <w:name w:val="正文文本缩进 3 Char"/>
    <w:basedOn w:val="49"/>
    <w:qFormat/>
    <w:uiPriority w:val="0"/>
    <w:rPr>
      <w:rFonts w:ascii="等线" w:hAnsi="等线" w:eastAsia="宋体" w:cs="Times New Roman"/>
      <w:sz w:val="16"/>
      <w:szCs w:val="16"/>
    </w:rPr>
  </w:style>
  <w:style w:type="character" w:customStyle="1" w:styleId="100">
    <w:name w:val="正文文本 2 Char"/>
    <w:basedOn w:val="49"/>
    <w:qFormat/>
    <w:uiPriority w:val="0"/>
    <w:rPr>
      <w:rFonts w:ascii="等线" w:hAnsi="等线" w:eastAsia="宋体" w:cs="Times New Roman"/>
      <w:szCs w:val="24"/>
    </w:rPr>
  </w:style>
  <w:style w:type="paragraph" w:customStyle="1" w:styleId="10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2">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104">
    <w:name w:val="Default"/>
    <w:link w:val="10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5">
    <w:name w:val="Default Char"/>
    <w:link w:val="104"/>
    <w:qFormat/>
    <w:uiPriority w:val="0"/>
    <w:rPr>
      <w:rFonts w:ascii="宋体" w:hAnsi="Times New Roman" w:eastAsia="宋体" w:cs="宋体"/>
      <w:color w:val="000000"/>
      <w:sz w:val="24"/>
      <w:szCs w:val="24"/>
    </w:rPr>
  </w:style>
  <w:style w:type="character" w:customStyle="1" w:styleId="106">
    <w:name w:val="正文文本缩进 Char1"/>
    <w:basedOn w:val="49"/>
    <w:qFormat/>
    <w:uiPriority w:val="99"/>
    <w:rPr>
      <w:rFonts w:ascii="等线" w:hAnsi="等线" w:eastAsia="宋体" w:cs="Times New Roman"/>
      <w:szCs w:val="24"/>
    </w:rPr>
  </w:style>
  <w:style w:type="paragraph" w:customStyle="1" w:styleId="107">
    <w:name w:val="WPSOffice手动目录 1"/>
    <w:qFormat/>
    <w:uiPriority w:val="0"/>
    <w:rPr>
      <w:rFonts w:ascii="Times New Roman" w:hAnsi="Times New Roman" w:eastAsia="宋体" w:cs="Times New Roman"/>
      <w:lang w:val="en-US" w:eastAsia="zh-CN" w:bidi="ar-SA"/>
    </w:rPr>
  </w:style>
  <w:style w:type="character" w:customStyle="1" w:styleId="108">
    <w:name w:val="正文2 Char"/>
    <w:link w:val="109"/>
    <w:qFormat/>
    <w:locked/>
    <w:uiPriority w:val="0"/>
    <w:rPr>
      <w:rFonts w:eastAsia="??"/>
      <w:sz w:val="24"/>
      <w:szCs w:val="28"/>
    </w:rPr>
  </w:style>
  <w:style w:type="paragraph" w:customStyle="1" w:styleId="109">
    <w:name w:val="正文2"/>
    <w:basedOn w:val="1"/>
    <w:link w:val="108"/>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0">
    <w:name w:val="批注文字 Char1"/>
    <w:basedOn w:val="49"/>
    <w:semiHidden/>
    <w:qFormat/>
    <w:uiPriority w:val="99"/>
    <w:rPr>
      <w:rFonts w:ascii="等线" w:hAnsi="等线" w:eastAsia="宋体" w:cs="Times New Roman"/>
      <w:szCs w:val="24"/>
    </w:rPr>
  </w:style>
  <w:style w:type="paragraph" w:styleId="111">
    <w:name w:val="List Paragraph"/>
    <w:basedOn w:val="1"/>
    <w:link w:val="112"/>
    <w:qFormat/>
    <w:uiPriority w:val="34"/>
    <w:pPr>
      <w:widowControl/>
      <w:ind w:firstLine="200" w:firstLineChars="200"/>
      <w:jc w:val="left"/>
    </w:pPr>
    <w:rPr>
      <w:rFonts w:ascii="??" w:hAnsi="??" w:eastAsia="??" w:cs="??"/>
      <w:kern w:val="0"/>
      <w:sz w:val="24"/>
    </w:rPr>
  </w:style>
  <w:style w:type="character" w:customStyle="1" w:styleId="112">
    <w:name w:val="列出段落 Char"/>
    <w:link w:val="111"/>
    <w:qFormat/>
    <w:uiPriority w:val="34"/>
    <w:rPr>
      <w:rFonts w:ascii="??" w:hAnsi="??" w:eastAsia="??" w:cs="??"/>
      <w:kern w:val="0"/>
      <w:sz w:val="24"/>
      <w:szCs w:val="24"/>
    </w:rPr>
  </w:style>
  <w:style w:type="paragraph" w:customStyle="1" w:styleId="1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1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4"/>
    <w:qFormat/>
    <w:uiPriority w:val="0"/>
    <w:rPr>
      <w:rFonts w:ascii="Times New Roman" w:hAnsi="Times New Roman" w:eastAsia="宋体" w:cs="Times New Roman"/>
      <w:sz w:val="21"/>
      <w:szCs w:val="22"/>
      <w:lang w:val="en-US" w:eastAsia="zh-CN" w:bidi="ar-SA"/>
    </w:rPr>
  </w:style>
  <w:style w:type="paragraph" w:customStyle="1" w:styleId="11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纯文本_3"/>
    <w:basedOn w:val="121"/>
    <w:link w:val="123"/>
    <w:qFormat/>
    <w:uiPriority w:val="0"/>
    <w:pPr>
      <w:widowControl/>
      <w:jc w:val="left"/>
    </w:pPr>
    <w:rPr>
      <w:rFonts w:ascii="宋体" w:hAnsi="Courier New" w:eastAsiaTheme="minorEastAsia" w:cstheme="minorBidi"/>
      <w:szCs w:val="21"/>
    </w:rPr>
  </w:style>
  <w:style w:type="character" w:customStyle="1" w:styleId="123">
    <w:name w:val="纯文本 Char_3"/>
    <w:link w:val="122"/>
    <w:qFormat/>
    <w:uiPriority w:val="0"/>
    <w:rPr>
      <w:rFonts w:ascii="宋体" w:hAnsi="Courier New"/>
      <w:szCs w:val="21"/>
    </w:rPr>
  </w:style>
  <w:style w:type="paragraph" w:customStyle="1" w:styleId="124">
    <w:name w:val="纯文本_0_1"/>
    <w:basedOn w:val="1"/>
    <w:link w:val="125"/>
    <w:qFormat/>
    <w:uiPriority w:val="0"/>
    <w:pPr>
      <w:widowControl/>
      <w:jc w:val="left"/>
    </w:pPr>
    <w:rPr>
      <w:rFonts w:ascii="宋体" w:hAnsi="Courier New" w:eastAsiaTheme="minorEastAsia" w:cstheme="minorBidi"/>
      <w:szCs w:val="21"/>
    </w:rPr>
  </w:style>
  <w:style w:type="character" w:customStyle="1" w:styleId="125">
    <w:name w:val="纯文本 Char_1_0"/>
    <w:link w:val="124"/>
    <w:qFormat/>
    <w:uiPriority w:val="0"/>
    <w:rPr>
      <w:rFonts w:ascii="宋体" w:hAnsi="Courier New"/>
      <w:szCs w:val="21"/>
    </w:rPr>
  </w:style>
  <w:style w:type="paragraph" w:customStyle="1" w:styleId="12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纯文本 Char_1"/>
    <w:link w:val="130"/>
    <w:qFormat/>
    <w:uiPriority w:val="0"/>
    <w:rPr>
      <w:rFonts w:ascii="宋体" w:hAnsi="Courier New"/>
      <w:szCs w:val="21"/>
    </w:rPr>
  </w:style>
  <w:style w:type="paragraph" w:customStyle="1" w:styleId="130">
    <w:name w:val="纯文本_1"/>
    <w:basedOn w:val="1"/>
    <w:link w:val="129"/>
    <w:qFormat/>
    <w:uiPriority w:val="0"/>
    <w:pPr>
      <w:widowControl/>
      <w:jc w:val="left"/>
    </w:pPr>
    <w:rPr>
      <w:rFonts w:ascii="宋体" w:hAnsi="Courier New" w:eastAsiaTheme="minorEastAsia" w:cstheme="minorBidi"/>
      <w:szCs w:val="21"/>
    </w:rPr>
  </w:style>
  <w:style w:type="paragraph" w:customStyle="1" w:styleId="131">
    <w:name w:val="纯文本1"/>
    <w:basedOn w:val="132"/>
    <w:qFormat/>
    <w:uiPriority w:val="0"/>
    <w:pPr>
      <w:widowControl/>
      <w:jc w:val="left"/>
    </w:pPr>
    <w:rPr>
      <w:rFonts w:ascii="宋体" w:hAnsi="Courier New"/>
    </w:rPr>
  </w:style>
  <w:style w:type="paragraph" w:customStyle="1" w:styleId="13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3">
    <w:name w:val="p0"/>
    <w:basedOn w:val="1"/>
    <w:qFormat/>
    <w:uiPriority w:val="0"/>
    <w:pPr>
      <w:widowControl/>
    </w:pPr>
    <w:rPr>
      <w:rFonts w:ascii="宋体" w:hAnsi="宋体" w:cs="宋体"/>
      <w:kern w:val="0"/>
      <w:szCs w:val="21"/>
    </w:rPr>
  </w:style>
  <w:style w:type="paragraph" w:customStyle="1" w:styleId="134">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135">
    <w:name w:val="内容文本 Char"/>
    <w:link w:val="136"/>
    <w:qFormat/>
    <w:uiPriority w:val="0"/>
    <w:rPr>
      <w:rFonts w:ascii="宋体" w:hAnsi="宋体"/>
      <w:sz w:val="24"/>
      <w:szCs w:val="24"/>
      <w:lang w:eastAsia="en-US" w:bidi="en-US"/>
    </w:rPr>
  </w:style>
  <w:style w:type="paragraph" w:customStyle="1" w:styleId="136">
    <w:name w:val="内容文本"/>
    <w:basedOn w:val="1"/>
    <w:link w:val="135"/>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7">
    <w:name w:val="样式1 Char_1"/>
    <w:link w:val="138"/>
    <w:qFormat/>
    <w:uiPriority w:val="0"/>
    <w:rPr>
      <w:rFonts w:ascii="宋体" w:hAnsi="Arial"/>
      <w:b/>
      <w:sz w:val="32"/>
    </w:rPr>
  </w:style>
  <w:style w:type="paragraph" w:customStyle="1" w:styleId="138">
    <w:name w:val="样式1_1"/>
    <w:basedOn w:val="1"/>
    <w:link w:val="137"/>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39">
    <w:name w:val="列出段落 Char1"/>
    <w:basedOn w:val="49"/>
    <w:qFormat/>
    <w:uiPriority w:val="34"/>
  </w:style>
  <w:style w:type="character" w:customStyle="1" w:styleId="140">
    <w:name w:val="标题 4 Char1"/>
    <w:qFormat/>
    <w:uiPriority w:val="0"/>
    <w:rPr>
      <w:rFonts w:ascii="Cambria" w:hAnsi="Cambria" w:eastAsia="宋体" w:cs="Times New Roman"/>
      <w:b/>
      <w:bCs/>
      <w:sz w:val="28"/>
      <w:szCs w:val="28"/>
    </w:rPr>
  </w:style>
  <w:style w:type="character" w:customStyle="1" w:styleId="141">
    <w:name w:val="p141"/>
    <w:qFormat/>
    <w:uiPriority w:val="0"/>
    <w:rPr>
      <w:sz w:val="21"/>
      <w:szCs w:val="21"/>
    </w:rPr>
  </w:style>
  <w:style w:type="character" w:customStyle="1" w:styleId="142">
    <w:name w:val="样式5 Char"/>
    <w:link w:val="143"/>
    <w:qFormat/>
    <w:uiPriority w:val="0"/>
    <w:rPr>
      <w:rFonts w:ascii="方正书宋简体" w:hAnsi="Calibri" w:eastAsia="方正书宋简体" w:cs="黑体"/>
    </w:rPr>
  </w:style>
  <w:style w:type="paragraph" w:customStyle="1" w:styleId="143">
    <w:name w:val="样式5"/>
    <w:basedOn w:val="1"/>
    <w:link w:val="142"/>
    <w:qFormat/>
    <w:uiPriority w:val="0"/>
    <w:pPr>
      <w:spacing w:line="340" w:lineRule="exact"/>
      <w:ind w:firstLine="420" w:firstLineChars="200"/>
    </w:pPr>
    <w:rPr>
      <w:rFonts w:ascii="方正书宋简体" w:hAnsi="Calibri" w:eastAsia="方正书宋简体" w:cs="黑体"/>
      <w:szCs w:val="22"/>
    </w:rPr>
  </w:style>
  <w:style w:type="character" w:customStyle="1" w:styleId="144">
    <w:name w:val="正文文本 Char1"/>
    <w:qFormat/>
    <w:uiPriority w:val="99"/>
    <w:rPr>
      <w:rFonts w:eastAsia="Times New Roman"/>
      <w:kern w:val="2"/>
      <w:sz w:val="24"/>
      <w:szCs w:val="24"/>
    </w:rPr>
  </w:style>
  <w:style w:type="character" w:customStyle="1" w:styleId="145">
    <w:name w:val="日期 Char1"/>
    <w:qFormat/>
    <w:uiPriority w:val="99"/>
    <w:rPr>
      <w:rFonts w:ascii="Calibri" w:hAnsi="Calibri" w:eastAsia="楷体_GB2312"/>
      <w:kern w:val="2"/>
      <w:sz w:val="32"/>
      <w:szCs w:val="22"/>
    </w:rPr>
  </w:style>
  <w:style w:type="character" w:customStyle="1" w:styleId="146">
    <w:name w:val="标题 Char1"/>
    <w:qFormat/>
    <w:uiPriority w:val="10"/>
    <w:rPr>
      <w:rFonts w:ascii="Cambria" w:hAnsi="Cambria" w:eastAsia="Times New Roman"/>
      <w:b/>
      <w:bCs/>
      <w:kern w:val="2"/>
      <w:sz w:val="32"/>
      <w:szCs w:val="32"/>
    </w:rPr>
  </w:style>
  <w:style w:type="character" w:customStyle="1" w:styleId="147">
    <w:name w:val="标题 3 Char1"/>
    <w:qFormat/>
    <w:uiPriority w:val="9"/>
    <w:rPr>
      <w:b/>
      <w:bCs/>
      <w:sz w:val="32"/>
      <w:szCs w:val="32"/>
    </w:rPr>
  </w:style>
  <w:style w:type="paragraph" w:customStyle="1" w:styleId="148">
    <w:name w:val="正文首行缩进1"/>
    <w:basedOn w:val="2"/>
    <w:next w:val="1"/>
    <w:qFormat/>
    <w:uiPriority w:val="0"/>
    <w:pPr>
      <w:widowControl/>
      <w:ind w:firstLine="420" w:firstLineChars="100"/>
      <w:jc w:val="left"/>
    </w:pPr>
    <w:rPr>
      <w:rFonts w:ascii="Calibri" w:hAnsi="Calibri" w:eastAsia="Times New Roman" w:cs="黑体"/>
      <w:szCs w:val="22"/>
    </w:rPr>
  </w:style>
  <w:style w:type="character" w:customStyle="1" w:styleId="149">
    <w:name w:val="样式1 Char"/>
    <w:link w:val="150"/>
    <w:qFormat/>
    <w:uiPriority w:val="0"/>
    <w:rPr>
      <w:rFonts w:ascii="宋体" w:hAnsi="Arial"/>
      <w:b/>
      <w:sz w:val="32"/>
    </w:rPr>
  </w:style>
  <w:style w:type="paragraph" w:customStyle="1" w:styleId="150">
    <w:name w:val="样式1_0"/>
    <w:basedOn w:val="1"/>
    <w:link w:val="149"/>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1">
    <w:name w:val="样式44 Char"/>
    <w:basedOn w:val="62"/>
    <w:link w:val="152"/>
    <w:qFormat/>
    <w:uiPriority w:val="0"/>
    <w:rPr>
      <w:rFonts w:ascii="Cambria" w:hAnsi="Cambria" w:eastAsia="宋体" w:cs="Times New Roman"/>
      <w:sz w:val="28"/>
      <w:szCs w:val="28"/>
    </w:rPr>
  </w:style>
  <w:style w:type="paragraph" w:customStyle="1" w:styleId="152">
    <w:name w:val="样式44"/>
    <w:basedOn w:val="7"/>
    <w:link w:val="151"/>
    <w:qFormat/>
    <w:uiPriority w:val="0"/>
  </w:style>
  <w:style w:type="character" w:customStyle="1" w:styleId="153">
    <w:name w:val="apple-converted-space"/>
    <w:basedOn w:val="49"/>
    <w:qFormat/>
    <w:uiPriority w:val="0"/>
  </w:style>
  <w:style w:type="character" w:customStyle="1" w:styleId="154">
    <w:name w:val="纯文本 Char_0_0"/>
    <w:link w:val="155"/>
    <w:qFormat/>
    <w:locked/>
    <w:uiPriority w:val="0"/>
    <w:rPr>
      <w:rFonts w:ascii="宋体" w:hAnsi="Courier New"/>
      <w:szCs w:val="21"/>
    </w:rPr>
  </w:style>
  <w:style w:type="paragraph" w:customStyle="1" w:styleId="155">
    <w:name w:val="纯文本_0"/>
    <w:basedOn w:val="1"/>
    <w:link w:val="154"/>
    <w:unhideWhenUsed/>
    <w:qFormat/>
    <w:uiPriority w:val="0"/>
    <w:pPr>
      <w:widowControl/>
      <w:jc w:val="left"/>
    </w:pPr>
    <w:rPr>
      <w:rFonts w:ascii="宋体" w:hAnsi="Courier New" w:eastAsiaTheme="minorEastAsia" w:cstheme="minorBidi"/>
      <w:szCs w:val="21"/>
    </w:rPr>
  </w:style>
  <w:style w:type="character" w:customStyle="1" w:styleId="156">
    <w:name w:val="文档结构图 Char1"/>
    <w:qFormat/>
    <w:uiPriority w:val="99"/>
    <w:rPr>
      <w:rFonts w:ascii="宋体" w:hAnsi="Calibri"/>
      <w:kern w:val="2"/>
      <w:sz w:val="18"/>
      <w:szCs w:val="18"/>
    </w:rPr>
  </w:style>
  <w:style w:type="character" w:styleId="157">
    <w:name w:val="Placeholder Text"/>
    <w:semiHidden/>
    <w:qFormat/>
    <w:uiPriority w:val="99"/>
    <w:rPr>
      <w:color w:val="808080"/>
    </w:rPr>
  </w:style>
  <w:style w:type="character" w:customStyle="1" w:styleId="158">
    <w:name w:val="日期 Char2"/>
    <w:basedOn w:val="49"/>
    <w:semiHidden/>
    <w:qFormat/>
    <w:uiPriority w:val="99"/>
    <w:rPr>
      <w:kern w:val="2"/>
      <w:sz w:val="21"/>
    </w:rPr>
  </w:style>
  <w:style w:type="character" w:customStyle="1" w:styleId="159">
    <w:name w:val="批注文字 Char2"/>
    <w:basedOn w:val="49"/>
    <w:qFormat/>
    <w:uiPriority w:val="0"/>
    <w:rPr>
      <w:kern w:val="2"/>
      <w:sz w:val="21"/>
    </w:rPr>
  </w:style>
  <w:style w:type="character" w:customStyle="1" w:styleId="160">
    <w:name w:val="批注主题 Char1"/>
    <w:basedOn w:val="159"/>
    <w:semiHidden/>
    <w:qFormat/>
    <w:uiPriority w:val="99"/>
    <w:rPr>
      <w:b/>
      <w:bCs/>
      <w:kern w:val="2"/>
      <w:sz w:val="21"/>
    </w:rPr>
  </w:style>
  <w:style w:type="character" w:customStyle="1" w:styleId="161">
    <w:name w:val="正文文本缩进 Char2"/>
    <w:basedOn w:val="49"/>
    <w:qFormat/>
    <w:uiPriority w:val="0"/>
    <w:rPr>
      <w:kern w:val="2"/>
      <w:sz w:val="21"/>
    </w:rPr>
  </w:style>
  <w:style w:type="character" w:customStyle="1" w:styleId="162">
    <w:name w:val="正文首行缩进 2 Char1"/>
    <w:basedOn w:val="58"/>
    <w:qFormat/>
    <w:uiPriority w:val="0"/>
    <w:rPr>
      <w:rFonts w:ascii="??" w:hAnsi="??" w:eastAsia="??" w:cs="宋体"/>
      <w:kern w:val="2"/>
      <w:sz w:val="21"/>
      <w:szCs w:val="28"/>
    </w:rPr>
  </w:style>
  <w:style w:type="character" w:customStyle="1" w:styleId="163">
    <w:name w:val="页脚 Char1"/>
    <w:basedOn w:val="49"/>
    <w:semiHidden/>
    <w:qFormat/>
    <w:uiPriority w:val="99"/>
    <w:rPr>
      <w:kern w:val="2"/>
      <w:sz w:val="18"/>
      <w:szCs w:val="18"/>
    </w:rPr>
  </w:style>
  <w:style w:type="character" w:customStyle="1" w:styleId="164">
    <w:name w:val="正文首行缩进 Char1"/>
    <w:basedOn w:val="74"/>
    <w:qFormat/>
    <w:uiPriority w:val="99"/>
    <w:rPr>
      <w:rFonts w:ascii="等线" w:hAnsi="等线" w:eastAsia="宋体" w:cs="Times New Roman"/>
      <w:kern w:val="2"/>
      <w:sz w:val="21"/>
      <w:szCs w:val="24"/>
    </w:rPr>
  </w:style>
  <w:style w:type="character" w:customStyle="1" w:styleId="165">
    <w:name w:val="页眉 Char1"/>
    <w:basedOn w:val="49"/>
    <w:qFormat/>
    <w:uiPriority w:val="0"/>
    <w:rPr>
      <w:kern w:val="2"/>
      <w:sz w:val="18"/>
      <w:szCs w:val="18"/>
    </w:rPr>
  </w:style>
  <w:style w:type="character" w:customStyle="1" w:styleId="166">
    <w:name w:val="标题 Char2"/>
    <w:basedOn w:val="49"/>
    <w:qFormat/>
    <w:uiPriority w:val="10"/>
    <w:rPr>
      <w:rFonts w:asciiTheme="majorHAnsi" w:hAnsiTheme="majorHAnsi" w:cstheme="majorBidi"/>
      <w:b/>
      <w:bCs/>
      <w:kern w:val="2"/>
      <w:sz w:val="32"/>
      <w:szCs w:val="32"/>
    </w:rPr>
  </w:style>
  <w:style w:type="character" w:customStyle="1" w:styleId="167">
    <w:name w:val="批注框文本 Char1"/>
    <w:basedOn w:val="49"/>
    <w:semiHidden/>
    <w:qFormat/>
    <w:uiPriority w:val="99"/>
    <w:rPr>
      <w:kern w:val="2"/>
      <w:sz w:val="18"/>
      <w:szCs w:val="18"/>
    </w:rPr>
  </w:style>
  <w:style w:type="character" w:customStyle="1" w:styleId="168">
    <w:name w:val="纯文本 Char2"/>
    <w:basedOn w:val="49"/>
    <w:semiHidden/>
    <w:qFormat/>
    <w:uiPriority w:val="99"/>
    <w:rPr>
      <w:rFonts w:ascii="宋体" w:hAnsi="Courier New" w:cs="Courier New"/>
      <w:kern w:val="2"/>
      <w:sz w:val="21"/>
      <w:szCs w:val="21"/>
    </w:rPr>
  </w:style>
  <w:style w:type="paragraph" w:customStyle="1" w:styleId="16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72">
    <w:name w:val="1"/>
    <w:basedOn w:val="1"/>
    <w:next w:val="26"/>
    <w:qFormat/>
    <w:uiPriority w:val="0"/>
    <w:rPr>
      <w:rFonts w:ascii="宋体" w:hAnsi="Courier New"/>
      <w:szCs w:val="22"/>
    </w:rPr>
  </w:style>
  <w:style w:type="paragraph" w:customStyle="1" w:styleId="17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
    <w:basedOn w:val="1"/>
    <w:qFormat/>
    <w:uiPriority w:val="99"/>
    <w:pPr>
      <w:spacing w:beforeLines="50" w:afterLines="50"/>
      <w:ind w:firstLine="200" w:firstLineChars="200"/>
    </w:pPr>
    <w:rPr>
      <w:rFonts w:ascii="Calibri" w:hAnsi="Calibri"/>
      <w:szCs w:val="22"/>
    </w:rPr>
  </w:style>
  <w:style w:type="paragraph" w:customStyle="1" w:styleId="175">
    <w:name w:val="列出段落3"/>
    <w:basedOn w:val="1"/>
    <w:qFormat/>
    <w:uiPriority w:val="99"/>
    <w:pPr>
      <w:ind w:firstLine="420" w:firstLineChars="200"/>
    </w:pPr>
    <w:rPr>
      <w:rFonts w:ascii="Calibri" w:hAnsi="Calibri"/>
      <w:szCs w:val="22"/>
    </w:rPr>
  </w:style>
  <w:style w:type="paragraph" w:customStyle="1" w:styleId="176">
    <w:name w:val="_Style 22"/>
    <w:basedOn w:val="1"/>
    <w:qFormat/>
    <w:uiPriority w:val="0"/>
    <w:rPr>
      <w:rFonts w:ascii="Times New Roman" w:hAnsi="Times New Roman"/>
    </w:rPr>
  </w:style>
  <w:style w:type="paragraph" w:customStyle="1" w:styleId="177">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8">
    <w:name w:val="DAS正文"/>
    <w:basedOn w:val="1"/>
    <w:qFormat/>
    <w:uiPriority w:val="0"/>
    <w:pPr>
      <w:spacing w:line="360" w:lineRule="auto"/>
      <w:ind w:right="181" w:firstLine="480" w:firstLineChars="200"/>
    </w:pPr>
    <w:rPr>
      <w:rFonts w:ascii="Verdana" w:hAnsi="Verdana"/>
      <w:sz w:val="24"/>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Char1"/>
    <w:basedOn w:val="1"/>
    <w:qFormat/>
    <w:uiPriority w:val="0"/>
    <w:rPr>
      <w:rFonts w:ascii="Tahoma" w:hAnsi="Tahoma"/>
      <w:sz w:val="24"/>
      <w:szCs w:val="20"/>
    </w:rPr>
  </w:style>
  <w:style w:type="paragraph" w:customStyle="1" w:styleId="181">
    <w:name w:val="列出段落11"/>
    <w:basedOn w:val="1"/>
    <w:qFormat/>
    <w:uiPriority w:val="0"/>
    <w:pPr>
      <w:ind w:firstLine="200" w:firstLineChars="200"/>
    </w:pPr>
    <w:rPr>
      <w:rFonts w:ascii="Calibri" w:hAnsi="Calibri"/>
    </w:rPr>
  </w:style>
  <w:style w:type="paragraph" w:customStyle="1" w:styleId="182">
    <w:name w:val="Char"/>
    <w:basedOn w:val="1"/>
    <w:qFormat/>
    <w:uiPriority w:val="0"/>
    <w:rPr>
      <w:rFonts w:ascii="Times New Roman" w:hAnsi="Times New Roman"/>
    </w:rPr>
  </w:style>
  <w:style w:type="paragraph" w:customStyle="1" w:styleId="183">
    <w:name w:val="WW-正文文字缩进 2"/>
    <w:basedOn w:val="1"/>
    <w:qFormat/>
    <w:uiPriority w:val="0"/>
    <w:pPr>
      <w:suppressAutoHyphens/>
      <w:ind w:firstLine="420"/>
    </w:pPr>
    <w:rPr>
      <w:rFonts w:ascii="Times New Roman" w:hAnsi="Times New Roman"/>
      <w:kern w:val="1"/>
      <w:szCs w:val="20"/>
    </w:rPr>
  </w:style>
  <w:style w:type="paragraph" w:customStyle="1" w:styleId="184">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85">
    <w:name w:val="此正文"/>
    <w:basedOn w:val="1"/>
    <w:qFormat/>
    <w:uiPriority w:val="99"/>
    <w:pPr>
      <w:spacing w:line="360" w:lineRule="auto"/>
      <w:ind w:firstLine="200" w:firstLineChars="200"/>
    </w:pPr>
    <w:rPr>
      <w:rFonts w:ascii="Times New Roman" w:hAnsi="Times New Roman"/>
      <w:sz w:val="24"/>
    </w:rPr>
  </w:style>
  <w:style w:type="paragraph" w:customStyle="1" w:styleId="186">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7">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8">
    <w:name w:val="列出段落61"/>
    <w:basedOn w:val="1"/>
    <w:unhideWhenUsed/>
    <w:qFormat/>
    <w:uiPriority w:val="0"/>
    <w:pPr>
      <w:ind w:firstLine="420" w:firstLineChars="200"/>
    </w:pPr>
    <w:rPr>
      <w:rFonts w:ascii="Calibri" w:hAnsi="Calibri" w:cs="黑体"/>
      <w:szCs w:val="22"/>
    </w:rPr>
  </w:style>
  <w:style w:type="table" w:customStyle="1" w:styleId="189">
    <w:name w:val="网格型1"/>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0">
    <w:name w:val="font11"/>
    <w:qFormat/>
    <w:uiPriority w:val="0"/>
    <w:rPr>
      <w:rFonts w:hint="eastAsia" w:ascii="宋体" w:hAnsi="宋体" w:eastAsia="宋体" w:cs="宋体"/>
      <w:color w:val="000000"/>
      <w:sz w:val="24"/>
      <w:szCs w:val="24"/>
      <w:u w:val="none"/>
    </w:rPr>
  </w:style>
  <w:style w:type="character" w:customStyle="1" w:styleId="191">
    <w:name w:val="无间隔 Char"/>
    <w:link w:val="192"/>
    <w:qFormat/>
    <w:uiPriority w:val="1"/>
  </w:style>
  <w:style w:type="paragraph" w:styleId="192">
    <w:name w:val="No Spacing"/>
    <w:link w:val="191"/>
    <w:qFormat/>
    <w:uiPriority w:val="1"/>
    <w:pPr>
      <w:widowControl w:val="0"/>
      <w:autoSpaceDE w:val="0"/>
      <w:autoSpaceDN w:val="0"/>
      <w:adjustRightInd w:val="0"/>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表格文字"/>
    <w:basedOn w:val="26"/>
    <w:next w:val="2"/>
    <w:qFormat/>
    <w:uiPriority w:val="0"/>
    <w:pPr>
      <w:adjustRightInd w:val="0"/>
      <w:spacing w:line="420" w:lineRule="atLeast"/>
      <w:jc w:val="left"/>
      <w:textAlignment w:val="baseline"/>
    </w:pPr>
    <w:rPr>
      <w:rFonts w:ascii="Times New Roman" w:hAnsi="Times New Roman"/>
      <w:kern w:val="0"/>
      <w:szCs w:val="20"/>
    </w:rPr>
  </w:style>
  <w:style w:type="paragraph" w:customStyle="1" w:styleId="195">
    <w:name w:val="￥正文"/>
    <w:basedOn w:val="1"/>
    <w:qFormat/>
    <w:uiPriority w:val="0"/>
    <w:pPr>
      <w:spacing w:line="360" w:lineRule="auto"/>
      <w:ind w:firstLine="200" w:firstLineChars="200"/>
    </w:pPr>
    <w:rPr>
      <w:rFonts w:ascii="Calibri" w:hAnsi="Calibri"/>
    </w:rPr>
  </w:style>
  <w:style w:type="paragraph" w:customStyle="1" w:styleId="196">
    <w:name w:val="正文空格"/>
    <w:basedOn w:val="1"/>
    <w:next w:val="1"/>
    <w:qFormat/>
    <w:uiPriority w:val="0"/>
    <w:pPr>
      <w:spacing w:line="400" w:lineRule="exact"/>
      <w:ind w:firstLine="200" w:firstLineChars="200"/>
    </w:pPr>
    <w:rPr>
      <w:sz w:val="24"/>
      <w:szCs w:val="22"/>
    </w:rPr>
  </w:style>
  <w:style w:type="paragraph" w:customStyle="1" w:styleId="197">
    <w:name w:val="_Style 116"/>
    <w:qFormat/>
    <w:uiPriority w:val="99"/>
    <w:rPr>
      <w:rFonts w:ascii="Times New Roman" w:hAnsi="Times New Roman" w:eastAsia="宋体" w:cs="Times New Roman"/>
      <w:sz w:val="24"/>
      <w:szCs w:val="22"/>
      <w:lang w:val="en-US" w:eastAsia="zh-CN" w:bidi="ar-SA"/>
    </w:rPr>
  </w:style>
  <w:style w:type="paragraph" w:customStyle="1" w:styleId="198">
    <w:name w:val="样式 首行缩进:  0 字符"/>
    <w:basedOn w:val="1"/>
    <w:link w:val="199"/>
    <w:qFormat/>
    <w:uiPriority w:val="0"/>
    <w:rPr>
      <w:rFonts w:ascii="Times New Roman" w:hAnsi="Times New Roman"/>
    </w:rPr>
  </w:style>
  <w:style w:type="character" w:customStyle="1" w:styleId="199">
    <w:name w:val="样式 首行缩进:  0 字符 Char"/>
    <w:link w:val="198"/>
    <w:qFormat/>
    <w:uiPriority w:val="0"/>
    <w:rPr>
      <w:rFonts w:ascii="Times New Roman" w:hAnsi="Times New Roman" w:eastAsia="宋体" w:cs="Times New Roman"/>
      <w:kern w:val="2"/>
      <w:sz w:val="21"/>
      <w:szCs w:val="24"/>
    </w:rPr>
  </w:style>
  <w:style w:type="paragraph" w:customStyle="1" w:styleId="200">
    <w:name w:val="表格内正文"/>
    <w:basedOn w:val="2"/>
    <w:qFormat/>
    <w:uiPriority w:val="0"/>
    <w:rPr>
      <w:rFonts w:ascii="Times New Roman" w:hAnsi="Times New Roman"/>
    </w:rPr>
  </w:style>
  <w:style w:type="paragraph" w:customStyle="1" w:styleId="201">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2">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3">
    <w:name w:val="明显引用 Char"/>
    <w:qFormat/>
    <w:uiPriority w:val="0"/>
    <w:rPr>
      <w:b/>
      <w:bCs/>
      <w:i/>
      <w:iCs/>
      <w:color w:val="4F81BD"/>
      <w:kern w:val="2"/>
      <w:sz w:val="21"/>
      <w:szCs w:val="22"/>
    </w:rPr>
  </w:style>
  <w:style w:type="paragraph" w:styleId="204">
    <w:name w:val="Intense Quote"/>
    <w:basedOn w:val="1"/>
    <w:next w:val="1"/>
    <w:link w:val="20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5">
    <w:name w:val="明显引用 Char1"/>
    <w:basedOn w:val="49"/>
    <w:link w:val="204"/>
    <w:qFormat/>
    <w:uiPriority w:val="30"/>
    <w:rPr>
      <w:rFonts w:ascii="Calibri" w:hAnsi="Calibri" w:eastAsia="宋体" w:cs="Times New Roman"/>
      <w:b/>
      <w:bCs/>
      <w:i/>
      <w:iCs/>
      <w:color w:val="4F81BD"/>
    </w:rPr>
  </w:style>
  <w:style w:type="character" w:customStyle="1" w:styleId="206">
    <w:name w:val="标题5 Char Char"/>
    <w:link w:val="207"/>
    <w:qFormat/>
    <w:uiPriority w:val="0"/>
    <w:rPr>
      <w:rFonts w:ascii="Arial" w:hAnsi="Arial"/>
      <w:b/>
      <w:bCs/>
      <w:sz w:val="24"/>
      <w:szCs w:val="32"/>
    </w:rPr>
  </w:style>
  <w:style w:type="paragraph" w:customStyle="1" w:styleId="207">
    <w:name w:val="标题5"/>
    <w:basedOn w:val="6"/>
    <w:link w:val="206"/>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8">
    <w:name w:val="普通文字 Char1"/>
    <w:basedOn w:val="49"/>
    <w:qFormat/>
    <w:uiPriority w:val="0"/>
    <w:rPr>
      <w:rFonts w:ascii="宋体" w:hAnsi="Courier New" w:eastAsia="宋体"/>
      <w:kern w:val="2"/>
      <w:sz w:val="21"/>
      <w:szCs w:val="24"/>
      <w:lang w:val="en-US" w:eastAsia="zh-CN" w:bidi="ar-SA"/>
    </w:rPr>
  </w:style>
  <w:style w:type="character" w:customStyle="1" w:styleId="209">
    <w:name w:val="二 Char1"/>
    <w:qFormat/>
    <w:uiPriority w:val="0"/>
    <w:rPr>
      <w:rFonts w:eastAsia="宋体"/>
      <w:kern w:val="2"/>
      <w:sz w:val="21"/>
      <w:szCs w:val="24"/>
      <w:lang w:val="en-US" w:eastAsia="zh-CN" w:bidi="ar-SA"/>
    </w:rPr>
  </w:style>
  <w:style w:type="character" w:customStyle="1" w:styleId="210">
    <w:name w:val="二 Char11"/>
    <w:qFormat/>
    <w:uiPriority w:val="0"/>
    <w:rPr>
      <w:rFonts w:eastAsia="宋体"/>
      <w:kern w:val="2"/>
      <w:sz w:val="21"/>
      <w:szCs w:val="24"/>
      <w:lang w:val="en-US" w:eastAsia="zh-CN" w:bidi="ar-SA"/>
    </w:rPr>
  </w:style>
  <w:style w:type="character" w:customStyle="1" w:styleId="211">
    <w:name w:val="Char Char1"/>
    <w:basedOn w:val="49"/>
    <w:qFormat/>
    <w:uiPriority w:val="0"/>
    <w:rPr>
      <w:rFonts w:ascii="Arial" w:hAnsi="Arial" w:eastAsia="黑体"/>
      <w:b/>
      <w:bCs/>
      <w:kern w:val="2"/>
      <w:sz w:val="32"/>
      <w:szCs w:val="32"/>
      <w:lang w:val="en-US" w:eastAsia="zh-CN" w:bidi="ar-SA"/>
    </w:rPr>
  </w:style>
  <w:style w:type="character" w:customStyle="1" w:styleId="212">
    <w:name w:val="引用 Char"/>
    <w:qFormat/>
    <w:uiPriority w:val="0"/>
    <w:rPr>
      <w:i/>
      <w:iCs/>
      <w:color w:val="000000"/>
      <w:kern w:val="2"/>
      <w:sz w:val="21"/>
      <w:szCs w:val="22"/>
    </w:rPr>
  </w:style>
  <w:style w:type="paragraph" w:styleId="213">
    <w:name w:val="Quote"/>
    <w:basedOn w:val="1"/>
    <w:next w:val="1"/>
    <w:link w:val="214"/>
    <w:qFormat/>
    <w:uiPriority w:val="0"/>
    <w:rPr>
      <w:rFonts w:ascii="Calibri" w:hAnsi="Calibri"/>
      <w:i/>
      <w:iCs/>
      <w:color w:val="000000"/>
      <w:szCs w:val="22"/>
    </w:rPr>
  </w:style>
  <w:style w:type="character" w:customStyle="1" w:styleId="214">
    <w:name w:val="引用 Char1"/>
    <w:basedOn w:val="49"/>
    <w:link w:val="213"/>
    <w:qFormat/>
    <w:uiPriority w:val="29"/>
    <w:rPr>
      <w:rFonts w:ascii="Calibri" w:hAnsi="Calibri" w:eastAsia="宋体" w:cs="Times New Roman"/>
      <w:i/>
      <w:iCs/>
      <w:color w:val="000000"/>
    </w:rPr>
  </w:style>
  <w:style w:type="character" w:customStyle="1" w:styleId="215">
    <w:name w:val="font161"/>
    <w:basedOn w:val="49"/>
    <w:qFormat/>
    <w:uiPriority w:val="0"/>
    <w:rPr>
      <w:b/>
      <w:bCs/>
      <w:sz w:val="32"/>
      <w:szCs w:val="32"/>
    </w:rPr>
  </w:style>
  <w:style w:type="character" w:customStyle="1" w:styleId="216">
    <w:name w:val="fx_label"/>
    <w:basedOn w:val="49"/>
    <w:qFormat/>
    <w:uiPriority w:val="0"/>
  </w:style>
  <w:style w:type="character" w:customStyle="1" w:styleId="217">
    <w:name w:val="正文文字4 Char Char"/>
    <w:qFormat/>
    <w:uiPriority w:val="0"/>
    <w:rPr>
      <w:rFonts w:eastAsia="宋体"/>
      <w:kern w:val="2"/>
      <w:sz w:val="21"/>
      <w:szCs w:val="24"/>
      <w:lang w:val="en-US" w:eastAsia="zh-CN" w:bidi="ar-SA"/>
    </w:rPr>
  </w:style>
  <w:style w:type="character" w:customStyle="1" w:styleId="218">
    <w:name w:val="htd01"/>
    <w:basedOn w:val="49"/>
    <w:qFormat/>
    <w:uiPriority w:val="0"/>
  </w:style>
  <w:style w:type="character" w:customStyle="1" w:styleId="219">
    <w:name w:val="标题4 Char Char"/>
    <w:link w:val="220"/>
    <w:qFormat/>
    <w:uiPriority w:val="0"/>
    <w:rPr>
      <w:rFonts w:eastAsia="仿宋_GB2312"/>
      <w:sz w:val="32"/>
    </w:rPr>
  </w:style>
  <w:style w:type="paragraph" w:customStyle="1" w:styleId="220">
    <w:name w:val="标题4"/>
    <w:basedOn w:val="1"/>
    <w:link w:val="219"/>
    <w:qFormat/>
    <w:uiPriority w:val="0"/>
    <w:rPr>
      <w:rFonts w:eastAsia="仿宋_GB2312" w:asciiTheme="minorHAnsi" w:hAnsiTheme="minorHAnsi" w:cstheme="minorBidi"/>
      <w:sz w:val="32"/>
      <w:szCs w:val="22"/>
    </w:rPr>
  </w:style>
  <w:style w:type="character" w:customStyle="1" w:styleId="221">
    <w:name w:val="副标题 Char1"/>
    <w:basedOn w:val="49"/>
    <w:qFormat/>
    <w:uiPriority w:val="11"/>
    <w:rPr>
      <w:rFonts w:ascii="Cambria" w:hAnsi="Cambria" w:eastAsia="宋体" w:cs="Times New Roman"/>
      <w:b/>
      <w:bCs/>
      <w:kern w:val="28"/>
      <w:sz w:val="32"/>
      <w:szCs w:val="32"/>
    </w:rPr>
  </w:style>
  <w:style w:type="character" w:customStyle="1" w:styleId="222">
    <w:name w:val="Char Char28"/>
    <w:qFormat/>
    <w:uiPriority w:val="0"/>
    <w:rPr>
      <w:rFonts w:ascii="Arial" w:hAnsi="Arial" w:eastAsia="黑体"/>
      <w:b/>
      <w:bCs/>
      <w:sz w:val="32"/>
      <w:szCs w:val="32"/>
      <w:lang w:val="en-US" w:eastAsia="zh-CN" w:bidi="ar-SA"/>
    </w:rPr>
  </w:style>
  <w:style w:type="paragraph" w:customStyle="1" w:styleId="223">
    <w:name w:val="正文 + 宋体"/>
    <w:basedOn w:val="1"/>
    <w:qFormat/>
    <w:uiPriority w:val="0"/>
    <w:pPr>
      <w:spacing w:line="360" w:lineRule="auto"/>
    </w:pPr>
    <w:rPr>
      <w:rFonts w:ascii="宋体" w:hAnsi="宋体"/>
      <w:kern w:val="0"/>
      <w:sz w:val="28"/>
      <w:szCs w:val="28"/>
    </w:rPr>
  </w:style>
  <w:style w:type="paragraph" w:customStyle="1" w:styleId="224">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6">
    <w:name w:val="样式 标题 3 + 段前: 7.8 磅"/>
    <w:basedOn w:val="6"/>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28">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2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0">
    <w:name w:val="样式 标题 3 + Arial"/>
    <w:basedOn w:val="6"/>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1">
    <w:name w:val="样式 标题 3 + (中文) 黑体 小四 非加粗 段前: 7.8 磅 段后: 0 磅 行距: 固定值 20 磅"/>
    <w:basedOn w:val="6"/>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3">
    <w:name w:val="表格"/>
    <w:basedOn w:val="1"/>
    <w:qFormat/>
    <w:uiPriority w:val="0"/>
    <w:pPr>
      <w:jc w:val="center"/>
      <w:textAlignment w:val="center"/>
    </w:pPr>
    <w:rPr>
      <w:rFonts w:ascii="华文细黑" w:hAnsi="华文细黑"/>
      <w:kern w:val="0"/>
      <w:szCs w:val="20"/>
    </w:rPr>
  </w:style>
  <w:style w:type="paragraph" w:customStyle="1" w:styleId="234">
    <w:name w:val="样式 样式 样式1 + 首行缩进:  2 字符 + 左侧:  0.74 厘米"/>
    <w:basedOn w:val="225"/>
    <w:qFormat/>
    <w:uiPriority w:val="0"/>
    <w:pPr>
      <w:ind w:firstLine="200"/>
    </w:pPr>
  </w:style>
  <w:style w:type="paragraph" w:customStyle="1" w:styleId="23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7">
    <w:name w:val="Char2"/>
    <w:basedOn w:val="1"/>
    <w:qFormat/>
    <w:uiPriority w:val="0"/>
    <w:rPr>
      <w:rFonts w:ascii="仿宋_GB2312" w:hAnsi="Times New Roman" w:eastAsia="仿宋_GB2312"/>
      <w:b/>
      <w:sz w:val="32"/>
      <w:szCs w:val="32"/>
    </w:rPr>
  </w:style>
  <w:style w:type="paragraph" w:customStyle="1" w:styleId="238">
    <w:name w:val="列出段落4"/>
    <w:basedOn w:val="1"/>
    <w:qFormat/>
    <w:uiPriority w:val="99"/>
    <w:pPr>
      <w:ind w:firstLine="420" w:firstLineChars="200"/>
    </w:pPr>
    <w:rPr>
      <w:rFonts w:ascii="Times New Roman" w:hAnsi="Times New Roman"/>
    </w:rPr>
  </w:style>
  <w:style w:type="character" w:customStyle="1" w:styleId="239">
    <w:name w:val="font31"/>
    <w:basedOn w:val="49"/>
    <w:qFormat/>
    <w:uiPriority w:val="0"/>
    <w:rPr>
      <w:rFonts w:hint="eastAsia" w:ascii="宋体" w:hAnsi="宋体" w:eastAsia="宋体" w:cs="宋体"/>
      <w:color w:val="000000"/>
      <w:sz w:val="20"/>
      <w:szCs w:val="20"/>
      <w:u w:val="none"/>
    </w:rPr>
  </w:style>
  <w:style w:type="character" w:customStyle="1" w:styleId="240">
    <w:name w:val="font41"/>
    <w:basedOn w:val="49"/>
    <w:qFormat/>
    <w:uiPriority w:val="0"/>
    <w:rPr>
      <w:rFonts w:ascii="宋体" w:hAnsi="宋体" w:eastAsia="宋体" w:cs="宋体"/>
      <w:color w:val="000000"/>
      <w:sz w:val="20"/>
      <w:szCs w:val="20"/>
      <w:u w:val="none"/>
    </w:rPr>
  </w:style>
  <w:style w:type="character" w:customStyle="1" w:styleId="241">
    <w:name w:val="font51"/>
    <w:basedOn w:val="49"/>
    <w:qFormat/>
    <w:uiPriority w:val="0"/>
    <w:rPr>
      <w:rFonts w:hint="default" w:ascii="Times New Roman" w:hAnsi="Times New Roman" w:cs="Times New Roman"/>
      <w:color w:val="000000"/>
      <w:sz w:val="21"/>
      <w:szCs w:val="21"/>
      <w:u w:val="none"/>
    </w:rPr>
  </w:style>
  <w:style w:type="character" w:customStyle="1" w:styleId="242">
    <w:name w:val="font71"/>
    <w:basedOn w:val="49"/>
    <w:qFormat/>
    <w:uiPriority w:val="0"/>
    <w:rPr>
      <w:rFonts w:ascii="宋体" w:hAnsi="宋体" w:eastAsia="宋体" w:cs="宋体"/>
      <w:color w:val="000000"/>
      <w:sz w:val="21"/>
      <w:szCs w:val="21"/>
      <w:u w:val="none"/>
    </w:rPr>
  </w:style>
  <w:style w:type="character" w:customStyle="1" w:styleId="243">
    <w:name w:val="font61"/>
    <w:basedOn w:val="49"/>
    <w:qFormat/>
    <w:uiPriority w:val="0"/>
    <w:rPr>
      <w:rFonts w:ascii="宋体" w:hAnsi="宋体" w:eastAsia="宋体" w:cs="宋体"/>
      <w:color w:val="000000"/>
      <w:sz w:val="20"/>
      <w:szCs w:val="20"/>
      <w:u w:val="none"/>
    </w:rPr>
  </w:style>
  <w:style w:type="character" w:customStyle="1" w:styleId="244">
    <w:name w:val="font21"/>
    <w:basedOn w:val="49"/>
    <w:qFormat/>
    <w:uiPriority w:val="0"/>
    <w:rPr>
      <w:rFonts w:hint="default" w:ascii="Times New Roman" w:hAnsi="Times New Roman" w:cs="Times New Roman"/>
      <w:color w:val="000000"/>
      <w:sz w:val="21"/>
      <w:szCs w:val="21"/>
      <w:u w:val="none"/>
    </w:rPr>
  </w:style>
  <w:style w:type="character" w:customStyle="1" w:styleId="245">
    <w:name w:val="NormalCharacter"/>
    <w:qFormat/>
    <w:uiPriority w:val="0"/>
    <w:rPr>
      <w:rFonts w:ascii="Calibri" w:hAnsi="Calibri" w:eastAsia="宋体" w:cs="Times New Roman"/>
      <w:kern w:val="2"/>
      <w:sz w:val="21"/>
      <w:szCs w:val="24"/>
      <w:lang w:val="en-US" w:eastAsia="zh-CN" w:bidi="ar-SA"/>
    </w:rPr>
  </w:style>
  <w:style w:type="paragraph" w:customStyle="1" w:styleId="246">
    <w:name w:val="Table Paragraph"/>
    <w:basedOn w:val="1"/>
    <w:qFormat/>
    <w:uiPriority w:val="1"/>
    <w:rPr>
      <w:rFonts w:ascii="Times New Roman" w:hAnsi="Times New Roman"/>
      <w:szCs w:val="21"/>
    </w:rPr>
  </w:style>
  <w:style w:type="paragraph" w:customStyle="1" w:styleId="247">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8">
    <w:name w:val="Page Number1"/>
    <w:qFormat/>
    <w:uiPriority w:val="99"/>
    <w:rPr>
      <w:rFonts w:ascii="仿宋_GB2312" w:cs="Times New Roman"/>
      <w:b/>
      <w:kern w:val="0"/>
      <w:sz w:val="32"/>
      <w:szCs w:val="32"/>
    </w:rPr>
  </w:style>
  <w:style w:type="paragraph" w:customStyle="1" w:styleId="249">
    <w:name w:val="Char Char Char Char Char Char Char"/>
    <w:basedOn w:val="1"/>
    <w:qFormat/>
    <w:uiPriority w:val="0"/>
    <w:rPr>
      <w:szCs w:val="20"/>
    </w:rPr>
  </w:style>
  <w:style w:type="character" w:customStyle="1" w:styleId="250">
    <w:name w:val="正文文本缩进 2 字符"/>
    <w:qFormat/>
    <w:uiPriority w:val="0"/>
    <w:rPr>
      <w:rFonts w:ascii="宋体"/>
      <w:sz w:val="24"/>
    </w:rPr>
  </w:style>
  <w:style w:type="character" w:customStyle="1" w:styleId="251">
    <w:name w:val="列表段落 字符2"/>
    <w:link w:val="252"/>
    <w:qFormat/>
    <w:uiPriority w:val="34"/>
    <w:rPr>
      <w:szCs w:val="24"/>
    </w:rPr>
  </w:style>
  <w:style w:type="paragraph" w:customStyle="1" w:styleId="252">
    <w:name w:val="_Style 240"/>
    <w:basedOn w:val="1"/>
    <w:next w:val="111"/>
    <w:link w:val="251"/>
    <w:qFormat/>
    <w:uiPriority w:val="34"/>
    <w:pPr>
      <w:ind w:firstLine="420" w:firstLineChars="200"/>
    </w:pPr>
    <w:rPr>
      <w:rFonts w:asciiTheme="minorHAnsi" w:hAnsiTheme="minorHAnsi" w:eastAsiaTheme="minorEastAsia" w:cstheme="minorBidi"/>
    </w:rPr>
  </w:style>
  <w:style w:type="paragraph" w:customStyle="1" w:styleId="253">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4">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5">
    <w:name w:val="Char Char11"/>
    <w:basedOn w:val="1"/>
    <w:qFormat/>
    <w:uiPriority w:val="0"/>
    <w:rPr>
      <w:rFonts w:ascii="Tahoma" w:hAnsi="Tahoma"/>
      <w:kern w:val="0"/>
      <w:sz w:val="24"/>
      <w:szCs w:val="20"/>
    </w:rPr>
  </w:style>
  <w:style w:type="paragraph" w:customStyle="1" w:styleId="256">
    <w:name w:val="纯文本2"/>
    <w:basedOn w:val="1"/>
    <w:qFormat/>
    <w:uiPriority w:val="0"/>
    <w:pPr>
      <w:adjustRightInd w:val="0"/>
      <w:spacing w:line="360" w:lineRule="atLeast"/>
      <w:jc w:val="left"/>
    </w:pPr>
    <w:rPr>
      <w:rFonts w:ascii="宋体" w:hAnsi="Courier New"/>
      <w:kern w:val="0"/>
      <w:szCs w:val="21"/>
    </w:rPr>
  </w:style>
  <w:style w:type="paragraph" w:customStyle="1" w:styleId="257">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8">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59">
    <w:name w:val="font01"/>
    <w:basedOn w:val="49"/>
    <w:qFormat/>
    <w:uiPriority w:val="0"/>
    <w:rPr>
      <w:rFonts w:hint="eastAsia" w:ascii="宋体" w:hAnsi="宋体" w:eastAsia="宋体" w:cs="宋体"/>
      <w:color w:val="FF0000"/>
      <w:sz w:val="20"/>
      <w:szCs w:val="20"/>
      <w:u w:val="none"/>
    </w:rPr>
  </w:style>
  <w:style w:type="paragraph" w:customStyle="1" w:styleId="260">
    <w:name w:val="正文首行缩进 21"/>
    <w:qFormat/>
    <w:uiPriority w:val="0"/>
    <w:pPr>
      <w:ind w:firstLine="420"/>
    </w:pPr>
    <w:rPr>
      <w:rFonts w:ascii="Times New Roman" w:hAnsi="Times New Roman" w:eastAsia="Times New Roman" w:cs="Times New Roman"/>
      <w:sz w:val="21"/>
      <w:szCs w:val="22"/>
      <w:lang w:val="en-US" w:eastAsia="zh-CN" w:bidi="ar-SA"/>
    </w:rPr>
  </w:style>
  <w:style w:type="character" w:customStyle="1" w:styleId="261">
    <w:name w:val="页眉 字符1"/>
    <w:qFormat/>
    <w:uiPriority w:val="0"/>
    <w:rPr>
      <w:kern w:val="2"/>
      <w:sz w:val="18"/>
      <w:szCs w:val="18"/>
    </w:rPr>
  </w:style>
  <w:style w:type="character" w:customStyle="1" w:styleId="262">
    <w:name w:val="标题 字符1"/>
    <w:qFormat/>
    <w:uiPriority w:val="0"/>
    <w:rPr>
      <w:rFonts w:ascii="Cambria" w:hAnsi="Cambria"/>
      <w:b/>
      <w:bCs/>
      <w:kern w:val="2"/>
      <w:sz w:val="32"/>
      <w:szCs w:val="32"/>
    </w:rPr>
  </w:style>
  <w:style w:type="character" w:customStyle="1" w:styleId="263">
    <w:name w:val="标题 2 字符1"/>
    <w:link w:val="264"/>
    <w:qFormat/>
    <w:uiPriority w:val="0"/>
    <w:rPr>
      <w:rFonts w:ascii="Arial" w:hAnsi="Arial" w:eastAsia="黑体"/>
      <w:bCs/>
      <w:kern w:val="2"/>
      <w:sz w:val="36"/>
      <w:szCs w:val="36"/>
    </w:rPr>
  </w:style>
  <w:style w:type="paragraph" w:customStyle="1" w:styleId="264">
    <w:name w:val="标题 21"/>
    <w:basedOn w:val="1"/>
    <w:next w:val="1"/>
    <w:link w:val="263"/>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5">
    <w:name w:val="编号，小四"/>
    <w:basedOn w:val="266"/>
    <w:qFormat/>
    <w:uiPriority w:val="0"/>
    <w:pPr>
      <w:numPr>
        <w:ilvl w:val="0"/>
        <w:numId w:val="3"/>
      </w:numPr>
      <w:ind w:firstLine="0" w:firstLineChars="0"/>
    </w:pPr>
    <w:rPr>
      <w:sz w:val="24"/>
    </w:rPr>
  </w:style>
  <w:style w:type="paragraph" w:customStyle="1" w:styleId="266">
    <w:name w:val="正文四号"/>
    <w:basedOn w:val="1"/>
    <w:link w:val="267"/>
    <w:qFormat/>
    <w:uiPriority w:val="0"/>
    <w:pPr>
      <w:spacing w:line="360" w:lineRule="auto"/>
      <w:ind w:firstLine="200" w:firstLineChars="200"/>
    </w:pPr>
    <w:rPr>
      <w:rFonts w:ascii="Times New Roman" w:hAnsi="Times New Roman" w:cs="宋体"/>
      <w:sz w:val="28"/>
      <w:szCs w:val="20"/>
    </w:rPr>
  </w:style>
  <w:style w:type="character" w:customStyle="1" w:styleId="267">
    <w:name w:val="正文四号 Char"/>
    <w:link w:val="266"/>
    <w:qFormat/>
    <w:locked/>
    <w:uiPriority w:val="0"/>
    <w:rPr>
      <w:rFonts w:ascii="Times New Roman" w:hAnsi="Times New Roman" w:eastAsia="宋体" w:cs="宋体"/>
      <w:kern w:val="2"/>
      <w:sz w:val="28"/>
    </w:rPr>
  </w:style>
  <w:style w:type="paragraph" w:customStyle="1" w:styleId="268">
    <w:name w:val="编号，四号"/>
    <w:basedOn w:val="265"/>
    <w:qFormat/>
    <w:uiPriority w:val="0"/>
    <w:pPr>
      <w:numPr>
        <w:ilvl w:val="0"/>
        <w:numId w:val="4"/>
      </w:numPr>
    </w:pPr>
    <w:rPr>
      <w:sz w:val="28"/>
    </w:rPr>
  </w:style>
  <w:style w:type="paragraph" w:customStyle="1" w:styleId="269">
    <w:name w:val="表格表头"/>
    <w:basedOn w:val="1"/>
    <w:qFormat/>
    <w:uiPriority w:val="0"/>
    <w:pPr>
      <w:spacing w:line="360" w:lineRule="auto"/>
      <w:jc w:val="center"/>
    </w:pPr>
    <w:rPr>
      <w:rFonts w:ascii="宋体" w:hAnsi="宋体" w:eastAsia="黑体"/>
      <w:sz w:val="24"/>
      <w:szCs w:val="21"/>
    </w:rPr>
  </w:style>
  <w:style w:type="paragraph" w:customStyle="1" w:styleId="270">
    <w:name w:val="表格正文"/>
    <w:basedOn w:val="1"/>
    <w:link w:val="271"/>
    <w:qFormat/>
    <w:uiPriority w:val="0"/>
    <w:pPr>
      <w:spacing w:line="360" w:lineRule="auto"/>
      <w:ind w:firstLine="200" w:firstLineChars="200"/>
      <w:jc w:val="left"/>
    </w:pPr>
    <w:rPr>
      <w:rFonts w:ascii="Times New Roman" w:hAnsi="Times New Roman"/>
    </w:rPr>
  </w:style>
  <w:style w:type="character" w:customStyle="1" w:styleId="271">
    <w:name w:val="表格正文 Char"/>
    <w:link w:val="270"/>
    <w:qFormat/>
    <w:uiPriority w:val="0"/>
    <w:rPr>
      <w:rFonts w:ascii="Times New Roman" w:hAnsi="Times New Roman" w:eastAsia="宋体" w:cs="Times New Roman"/>
      <w:kern w:val="2"/>
      <w:sz w:val="21"/>
      <w:szCs w:val="24"/>
    </w:rPr>
  </w:style>
  <w:style w:type="paragraph" w:customStyle="1" w:styleId="272">
    <w:name w:val="表1"/>
    <w:basedOn w:val="1"/>
    <w:qFormat/>
    <w:uiPriority w:val="0"/>
    <w:pPr>
      <w:numPr>
        <w:ilvl w:val="0"/>
        <w:numId w:val="5"/>
      </w:numPr>
      <w:spacing w:line="360" w:lineRule="auto"/>
      <w:jc w:val="center"/>
    </w:pPr>
    <w:rPr>
      <w:rFonts w:ascii="Times New Roman" w:hAnsi="Times New Roman"/>
    </w:rPr>
  </w:style>
  <w:style w:type="paragraph" w:customStyle="1" w:styleId="273">
    <w:name w:val="CM51"/>
    <w:basedOn w:val="104"/>
    <w:next w:val="104"/>
    <w:qFormat/>
    <w:uiPriority w:val="0"/>
    <w:pPr>
      <w:spacing w:after="103"/>
    </w:pPr>
    <w:rPr>
      <w:rFonts w:ascii="黑体" w:hAnsi="Calibri" w:eastAsia="黑体" w:cs="Times New Roman"/>
      <w:color w:val="auto"/>
    </w:rPr>
  </w:style>
  <w:style w:type="character" w:customStyle="1" w:styleId="274">
    <w:name w:val="*正文 Char Char"/>
    <w:qFormat/>
    <w:uiPriority w:val="0"/>
    <w:rPr>
      <w:rFonts w:ascii="仿宋_GB2312" w:eastAsia="仿宋_GB2312"/>
      <w:kern w:val="2"/>
      <w:sz w:val="24"/>
      <w:szCs w:val="28"/>
    </w:rPr>
  </w:style>
  <w:style w:type="paragraph" w:customStyle="1" w:styleId="275">
    <w:name w:val="paragraph1"/>
    <w:basedOn w:val="1"/>
    <w:link w:val="276"/>
    <w:qFormat/>
    <w:uiPriority w:val="0"/>
    <w:pPr>
      <w:spacing w:afterLines="30" w:line="360" w:lineRule="auto"/>
      <w:ind w:firstLine="480" w:firstLineChars="200"/>
    </w:pPr>
    <w:rPr>
      <w:rFonts w:ascii="Verdana" w:hAnsi="Verdana"/>
      <w:sz w:val="24"/>
      <w:lang w:eastAsia="en-US"/>
    </w:rPr>
  </w:style>
  <w:style w:type="character" w:customStyle="1" w:styleId="276">
    <w:name w:val="paragraph1 Char"/>
    <w:link w:val="275"/>
    <w:qFormat/>
    <w:uiPriority w:val="0"/>
    <w:rPr>
      <w:rFonts w:ascii="Verdana" w:hAnsi="Verdana" w:eastAsia="宋体" w:cs="Times New Roman"/>
      <w:kern w:val="2"/>
      <w:sz w:val="24"/>
      <w:szCs w:val="24"/>
      <w:lang w:eastAsia="en-US"/>
    </w:rPr>
  </w:style>
  <w:style w:type="paragraph" w:customStyle="1" w:styleId="277">
    <w:name w:val="number1"/>
    <w:basedOn w:val="1"/>
    <w:link w:val="278"/>
    <w:qFormat/>
    <w:uiPriority w:val="0"/>
    <w:pPr>
      <w:tabs>
        <w:tab w:val="left" w:pos="840"/>
      </w:tabs>
      <w:spacing w:afterLines="30" w:line="360" w:lineRule="auto"/>
      <w:ind w:left="840" w:hanging="420"/>
    </w:pPr>
    <w:rPr>
      <w:rFonts w:ascii="Verdana" w:hAnsi="Verdana"/>
      <w:sz w:val="24"/>
      <w:lang w:eastAsia="en-US"/>
    </w:rPr>
  </w:style>
  <w:style w:type="character" w:customStyle="1" w:styleId="278">
    <w:name w:val="number1 Char"/>
    <w:link w:val="277"/>
    <w:qFormat/>
    <w:uiPriority w:val="0"/>
    <w:rPr>
      <w:rFonts w:ascii="Verdana" w:hAnsi="Verdana" w:eastAsia="宋体" w:cs="Times New Roman"/>
      <w:kern w:val="2"/>
      <w:sz w:val="24"/>
      <w:szCs w:val="24"/>
      <w:lang w:eastAsia="en-US"/>
    </w:rPr>
  </w:style>
  <w:style w:type="paragraph" w:customStyle="1" w:styleId="279">
    <w:name w:val="number"/>
    <w:basedOn w:val="1"/>
    <w:qFormat/>
    <w:uiPriority w:val="99"/>
    <w:pPr>
      <w:tabs>
        <w:tab w:val="left" w:pos="360"/>
      </w:tabs>
      <w:spacing w:beforeLines="20" w:afterLines="30" w:line="360" w:lineRule="auto"/>
    </w:pPr>
    <w:rPr>
      <w:rFonts w:ascii="Arial" w:hAnsi="Arial"/>
      <w:sz w:val="24"/>
    </w:rPr>
  </w:style>
  <w:style w:type="paragraph" w:customStyle="1" w:styleId="280">
    <w:name w:val="样式 number1 + (符号) 宋体"/>
    <w:basedOn w:val="277"/>
    <w:link w:val="281"/>
    <w:qFormat/>
    <w:uiPriority w:val="0"/>
    <w:pPr>
      <w:tabs>
        <w:tab w:val="left" w:pos="902"/>
        <w:tab w:val="clear" w:pos="840"/>
      </w:tabs>
      <w:spacing w:after="30"/>
      <w:ind w:left="400" w:leftChars="200" w:hanging="200" w:hangingChars="200"/>
    </w:pPr>
    <w:rPr>
      <w:rFonts w:cs="Arial"/>
    </w:rPr>
  </w:style>
  <w:style w:type="character" w:customStyle="1" w:styleId="281">
    <w:name w:val="样式 number1 + (符号) 宋体 Char"/>
    <w:link w:val="280"/>
    <w:qFormat/>
    <w:uiPriority w:val="0"/>
    <w:rPr>
      <w:rFonts w:ascii="Verdana" w:hAnsi="Verdana" w:eastAsia="宋体" w:cs="Arial"/>
      <w:kern w:val="2"/>
      <w:sz w:val="24"/>
      <w:szCs w:val="24"/>
      <w:lang w:eastAsia="en-US"/>
    </w:rPr>
  </w:style>
  <w:style w:type="paragraph" w:customStyle="1" w:styleId="282">
    <w:name w:val="正文22"/>
    <w:basedOn w:val="1"/>
    <w:link w:val="283"/>
    <w:qFormat/>
    <w:uiPriority w:val="0"/>
    <w:pPr>
      <w:spacing w:line="360" w:lineRule="auto"/>
      <w:ind w:firstLine="200" w:firstLineChars="200"/>
      <w:jc w:val="left"/>
    </w:pPr>
    <w:rPr>
      <w:rFonts w:ascii="宋体" w:hAnsi="宋体"/>
      <w:sz w:val="24"/>
    </w:rPr>
  </w:style>
  <w:style w:type="character" w:customStyle="1" w:styleId="283">
    <w:name w:val="正文22 字符"/>
    <w:link w:val="282"/>
    <w:qFormat/>
    <w:uiPriority w:val="0"/>
    <w:rPr>
      <w:rFonts w:ascii="宋体" w:hAnsi="宋体" w:eastAsia="宋体" w:cs="Times New Roman"/>
      <w:kern w:val="2"/>
      <w:sz w:val="24"/>
      <w:szCs w:val="24"/>
    </w:rPr>
  </w:style>
  <w:style w:type="paragraph" w:customStyle="1" w:styleId="284">
    <w:name w:val="正文00"/>
    <w:basedOn w:val="25"/>
    <w:link w:val="285"/>
    <w:qFormat/>
    <w:uiPriority w:val="0"/>
    <w:pPr>
      <w:tabs>
        <w:tab w:val="clear" w:pos="1440"/>
      </w:tabs>
      <w:ind w:left="0" w:leftChars="0" w:firstLine="0" w:firstLineChars="0"/>
      <w:jc w:val="left"/>
    </w:pPr>
    <w:rPr>
      <w:rFonts w:ascii="宋体" w:hAnsi="宋体"/>
      <w:smallCaps w:val="0"/>
      <w:sz w:val="24"/>
      <w:szCs w:val="32"/>
    </w:rPr>
  </w:style>
  <w:style w:type="character" w:customStyle="1" w:styleId="285">
    <w:name w:val="正文00 字符"/>
    <w:link w:val="284"/>
    <w:qFormat/>
    <w:uiPriority w:val="0"/>
    <w:rPr>
      <w:rFonts w:ascii="宋体" w:hAnsi="宋体" w:eastAsia="宋体" w:cs="Times New Roman"/>
      <w:kern w:val="2"/>
      <w:sz w:val="24"/>
      <w:szCs w:val="32"/>
      <w:lang w:val="en-US" w:eastAsia="zh-CN"/>
    </w:rPr>
  </w:style>
  <w:style w:type="character" w:customStyle="1" w:styleId="286">
    <w:name w:val="fontstyle01"/>
    <w:qFormat/>
    <w:uiPriority w:val="0"/>
    <w:rPr>
      <w:rFonts w:hint="default" w:ascii="仿宋" w:hAnsi="仿宋" w:eastAsia="宋体"/>
      <w:color w:val="000000"/>
      <w:sz w:val="24"/>
      <w:szCs w:val="24"/>
      <w:lang w:val="en-US" w:eastAsia="en-US" w:bidi="ar-SA"/>
    </w:rPr>
  </w:style>
  <w:style w:type="paragraph" w:customStyle="1" w:styleId="287">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8">
    <w:name w:val="样式 标题 7PIM 7（1）L71.1.1.1.1.1.1标题 7H7Legal Level 1.1.lette..."/>
    <w:basedOn w:val="10"/>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89">
    <w:name w:val="正文文本 31"/>
    <w:basedOn w:val="1"/>
    <w:next w:val="20"/>
    <w:link w:val="290"/>
    <w:qFormat/>
    <w:uiPriority w:val="0"/>
    <w:pPr>
      <w:spacing w:after="120"/>
    </w:pPr>
    <w:rPr>
      <w:rFonts w:ascii="Verdana" w:hAnsi="Verdana"/>
      <w:kern w:val="0"/>
      <w:sz w:val="16"/>
      <w:szCs w:val="16"/>
      <w:lang w:eastAsia="en-US"/>
    </w:rPr>
  </w:style>
  <w:style w:type="character" w:customStyle="1" w:styleId="290">
    <w:name w:val="正文文本 3 字符"/>
    <w:link w:val="289"/>
    <w:qFormat/>
    <w:uiPriority w:val="0"/>
    <w:rPr>
      <w:rFonts w:ascii="Verdana" w:hAnsi="Verdana" w:eastAsia="宋体" w:cs="Times New Roman"/>
      <w:sz w:val="16"/>
      <w:szCs w:val="16"/>
      <w:lang w:eastAsia="en-US"/>
    </w:rPr>
  </w:style>
  <w:style w:type="paragraph" w:customStyle="1" w:styleId="291">
    <w:name w:val="日期1"/>
    <w:basedOn w:val="1"/>
    <w:next w:val="1"/>
    <w:link w:val="292"/>
    <w:qFormat/>
    <w:uiPriority w:val="0"/>
    <w:pPr>
      <w:ind w:left="2500" w:leftChars="2500"/>
    </w:pPr>
    <w:rPr>
      <w:rFonts w:ascii="Verdana" w:hAnsi="Verdana" w:eastAsia="楷体_GB2312"/>
      <w:kern w:val="0"/>
      <w:sz w:val="32"/>
      <w:szCs w:val="28"/>
      <w:lang w:eastAsia="en-US"/>
    </w:rPr>
  </w:style>
  <w:style w:type="character" w:customStyle="1" w:styleId="292">
    <w:name w:val="日期 字符"/>
    <w:link w:val="291"/>
    <w:qFormat/>
    <w:uiPriority w:val="0"/>
    <w:rPr>
      <w:rFonts w:ascii="Verdana" w:hAnsi="Verdana" w:eastAsia="楷体_GB2312" w:cs="Times New Roman"/>
      <w:sz w:val="32"/>
      <w:szCs w:val="28"/>
      <w:lang w:eastAsia="en-US"/>
    </w:rPr>
  </w:style>
  <w:style w:type="paragraph" w:customStyle="1" w:styleId="293">
    <w:name w:val="正文文本缩进 21"/>
    <w:basedOn w:val="1"/>
    <w:next w:val="29"/>
    <w:link w:val="294"/>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4">
    <w:name w:val="正文文本缩进 2 字符1"/>
    <w:link w:val="293"/>
    <w:qFormat/>
    <w:uiPriority w:val="0"/>
    <w:rPr>
      <w:rFonts w:ascii="宋体" w:hAnsi="Verdana" w:eastAsia="宋体" w:cs="Times New Roman"/>
      <w:color w:val="000000"/>
      <w:sz w:val="24"/>
      <w:lang w:eastAsia="en-US"/>
    </w:rPr>
  </w:style>
  <w:style w:type="paragraph" w:customStyle="1" w:styleId="295">
    <w:name w:val="TOC 标题2"/>
    <w:basedOn w:val="4"/>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6">
    <w:name w:val="正文文本缩进 31"/>
    <w:basedOn w:val="1"/>
    <w:next w:val="39"/>
    <w:link w:val="297"/>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7">
    <w:name w:val="正文文本缩进 3 字符"/>
    <w:link w:val="296"/>
    <w:qFormat/>
    <w:uiPriority w:val="0"/>
    <w:rPr>
      <w:rFonts w:ascii="宋体" w:hAnsi="Verdana" w:eastAsia="宋体" w:cs="Times New Roman"/>
      <w:b/>
      <w:color w:val="000000"/>
      <w:sz w:val="36"/>
      <w:szCs w:val="24"/>
      <w:lang w:eastAsia="en-US"/>
    </w:rPr>
  </w:style>
  <w:style w:type="paragraph" w:customStyle="1" w:styleId="298">
    <w:name w:val="正文文本 21"/>
    <w:basedOn w:val="1"/>
    <w:next w:val="41"/>
    <w:link w:val="299"/>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299">
    <w:name w:val="正文文本 2 字符"/>
    <w:link w:val="298"/>
    <w:qFormat/>
    <w:uiPriority w:val="0"/>
    <w:rPr>
      <w:rFonts w:ascii="宋体" w:hAnsi="Verdana" w:eastAsia="宋体" w:cs="Times New Roman"/>
      <w:color w:val="000000"/>
      <w:sz w:val="24"/>
      <w:szCs w:val="24"/>
      <w:lang w:eastAsia="en-US"/>
    </w:rPr>
  </w:style>
  <w:style w:type="character" w:customStyle="1" w:styleId="300">
    <w:name w:val="访问过的超链接1"/>
    <w:qFormat/>
    <w:uiPriority w:val="0"/>
    <w:rPr>
      <w:rFonts w:ascii="Verdana" w:hAnsi="Verdana" w:eastAsia="宋体"/>
      <w:color w:val="800080"/>
      <w:sz w:val="28"/>
      <w:szCs w:val="28"/>
      <w:u w:val="single"/>
      <w:lang w:val="en-US" w:eastAsia="en-US" w:bidi="ar-SA"/>
    </w:rPr>
  </w:style>
  <w:style w:type="character" w:customStyle="1" w:styleId="301">
    <w:name w:val="标题 2 字符"/>
    <w:qFormat/>
    <w:uiPriority w:val="0"/>
    <w:rPr>
      <w:rFonts w:ascii="Cambria" w:hAnsi="Cambria" w:eastAsia="宋体" w:cs="Times New Roman"/>
      <w:b/>
      <w:bCs/>
      <w:sz w:val="32"/>
      <w:szCs w:val="32"/>
      <w:lang w:val="en-US" w:eastAsia="en-US" w:bidi="ar-SA"/>
    </w:rPr>
  </w:style>
  <w:style w:type="character" w:customStyle="1" w:styleId="302">
    <w:name w:val="标题 4 字符"/>
    <w:qFormat/>
    <w:uiPriority w:val="0"/>
    <w:rPr>
      <w:rFonts w:ascii="Cambria" w:hAnsi="Cambria" w:eastAsia="宋体" w:cs="Times New Roman"/>
      <w:b/>
      <w:bCs/>
      <w:sz w:val="28"/>
      <w:szCs w:val="28"/>
      <w:lang w:val="en-US" w:eastAsia="en-US" w:bidi="ar-SA"/>
    </w:rPr>
  </w:style>
  <w:style w:type="character" w:customStyle="1" w:styleId="303">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4">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5">
    <w:name w:val="标题 8 字符"/>
    <w:qFormat/>
    <w:uiPriority w:val="0"/>
    <w:rPr>
      <w:rFonts w:ascii="Arial" w:hAnsi="Arial" w:eastAsia="黑体" w:cs="Times New Roman"/>
      <w:kern w:val="0"/>
      <w:sz w:val="24"/>
      <w:szCs w:val="24"/>
      <w:lang w:val="en-US" w:eastAsia="en-US" w:bidi="ar-SA"/>
    </w:rPr>
  </w:style>
  <w:style w:type="character" w:customStyle="1" w:styleId="306">
    <w:name w:val="标题 9 字符"/>
    <w:qFormat/>
    <w:uiPriority w:val="0"/>
    <w:rPr>
      <w:rFonts w:ascii="Arial" w:hAnsi="Arial" w:eastAsia="黑体" w:cs="Times New Roman"/>
      <w:kern w:val="0"/>
      <w:sz w:val="28"/>
      <w:szCs w:val="21"/>
      <w:lang w:val="en-US" w:eastAsia="en-US" w:bidi="ar-SA"/>
    </w:rPr>
  </w:style>
  <w:style w:type="character" w:customStyle="1" w:styleId="307">
    <w:name w:val="页眉 字符"/>
    <w:qFormat/>
    <w:uiPriority w:val="0"/>
    <w:rPr>
      <w:rFonts w:ascii="Verdana" w:hAnsi="Verdana" w:eastAsia="宋体"/>
      <w:sz w:val="18"/>
      <w:szCs w:val="18"/>
      <w:lang w:val="en-US" w:eastAsia="en-US" w:bidi="ar-SA"/>
    </w:rPr>
  </w:style>
  <w:style w:type="character" w:customStyle="1" w:styleId="308">
    <w:name w:val="页脚 字符"/>
    <w:qFormat/>
    <w:uiPriority w:val="99"/>
    <w:rPr>
      <w:rFonts w:ascii="Verdana" w:hAnsi="Verdana" w:eastAsia="宋体"/>
      <w:sz w:val="18"/>
      <w:szCs w:val="18"/>
      <w:lang w:val="en-US" w:eastAsia="en-US" w:bidi="ar-SA"/>
    </w:rPr>
  </w:style>
  <w:style w:type="paragraph" w:customStyle="1" w:styleId="309">
    <w:name w:val="无间隔2"/>
    <w:next w:val="192"/>
    <w:qFormat/>
    <w:uiPriority w:val="1"/>
    <w:pPr>
      <w:widowControl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character" w:customStyle="1" w:styleId="310">
    <w:name w:val="font101"/>
    <w:qFormat/>
    <w:uiPriority w:val="0"/>
    <w:rPr>
      <w:rFonts w:hint="eastAsia" w:ascii="宋体" w:hAnsi="宋体" w:eastAsia="宋体" w:cs="宋体"/>
      <w:color w:val="FF0000"/>
      <w:sz w:val="22"/>
      <w:szCs w:val="22"/>
      <w:u w:val="none"/>
      <w:lang w:val="en-US" w:eastAsia="en-US" w:bidi="ar-SA"/>
    </w:rPr>
  </w:style>
  <w:style w:type="character" w:customStyle="1" w:styleId="311">
    <w:name w:val="font111"/>
    <w:basedOn w:val="49"/>
    <w:qFormat/>
    <w:uiPriority w:val="0"/>
    <w:rPr>
      <w:rFonts w:hint="default" w:ascii="Arial" w:hAnsi="Arial" w:cs="Arial"/>
      <w:color w:val="FF0000"/>
      <w:sz w:val="18"/>
      <w:szCs w:val="18"/>
      <w:u w:val="none"/>
    </w:rPr>
  </w:style>
  <w:style w:type="character" w:customStyle="1" w:styleId="312">
    <w:name w:val="font91"/>
    <w:basedOn w:val="49"/>
    <w:qFormat/>
    <w:uiPriority w:val="0"/>
    <w:rPr>
      <w:rFonts w:hint="eastAsia" w:ascii="宋体" w:hAnsi="宋体" w:eastAsia="宋体" w:cs="宋体"/>
      <w:color w:val="FF0000"/>
      <w:sz w:val="18"/>
      <w:szCs w:val="18"/>
      <w:u w:val="none"/>
    </w:rPr>
  </w:style>
  <w:style w:type="character" w:customStyle="1" w:styleId="313">
    <w:name w:val="font141"/>
    <w:basedOn w:val="49"/>
    <w:qFormat/>
    <w:uiPriority w:val="0"/>
    <w:rPr>
      <w:rFonts w:hint="default" w:ascii="Arial" w:hAnsi="Arial" w:cs="Arial"/>
      <w:color w:val="000000"/>
      <w:sz w:val="22"/>
      <w:szCs w:val="22"/>
      <w:u w:val="none"/>
    </w:rPr>
  </w:style>
  <w:style w:type="character" w:customStyle="1" w:styleId="314">
    <w:name w:val="font122"/>
    <w:basedOn w:val="49"/>
    <w:qFormat/>
    <w:uiPriority w:val="0"/>
    <w:rPr>
      <w:rFonts w:hint="default" w:ascii="Arial" w:hAnsi="Arial" w:cs="Arial"/>
      <w:color w:val="000000"/>
      <w:sz w:val="20"/>
      <w:szCs w:val="20"/>
      <w:u w:val="none"/>
    </w:rPr>
  </w:style>
  <w:style w:type="character" w:customStyle="1" w:styleId="315">
    <w:name w:val="font131"/>
    <w:basedOn w:val="49"/>
    <w:qFormat/>
    <w:uiPriority w:val="0"/>
    <w:rPr>
      <w:rFonts w:hint="eastAsia" w:ascii="宋体" w:hAnsi="宋体" w:eastAsia="宋体" w:cs="宋体"/>
      <w:color w:val="000000"/>
      <w:sz w:val="20"/>
      <w:szCs w:val="20"/>
      <w:u w:val="none"/>
    </w:rPr>
  </w:style>
  <w:style w:type="character" w:customStyle="1" w:styleId="316">
    <w:name w:val="font81"/>
    <w:basedOn w:val="49"/>
    <w:qFormat/>
    <w:uiPriority w:val="0"/>
    <w:rPr>
      <w:rFonts w:hint="default" w:ascii="Calibri" w:hAnsi="Calibri" w:cs="Calibri"/>
      <w:color w:val="000000"/>
      <w:sz w:val="18"/>
      <w:szCs w:val="18"/>
      <w:u w:val="none"/>
    </w:rPr>
  </w:style>
  <w:style w:type="paragraph" w:customStyle="1" w:styleId="317">
    <w:name w:val="Normal Indent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318">
    <w:name w:val="标题 Char3"/>
    <w:link w:val="44"/>
    <w:qFormat/>
    <w:uiPriority w:val="10"/>
    <w:rPr>
      <w:rFonts w:ascii="等线 Light" w:hAnsi="等线 Light" w:cs="Times New Roman"/>
      <w:b/>
      <w:bCs/>
      <w:kern w:val="2"/>
      <w:sz w:val="32"/>
      <w:szCs w:val="32"/>
    </w:rPr>
  </w:style>
  <w:style w:type="paragraph" w:customStyle="1" w:styleId="319">
    <w:name w:val="模板普通正文"/>
    <w:basedOn w:val="21"/>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0">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1">
    <w:name w:val="标题 字符"/>
    <w:link w:val="44"/>
    <w:qFormat/>
    <w:uiPriority w:val="10"/>
    <w:rPr>
      <w:rFonts w:ascii="等线 Light" w:hAnsi="等线 Light" w:cs="Times New Roman"/>
      <w:b/>
      <w:bCs/>
      <w:kern w:val="2"/>
      <w:sz w:val="32"/>
      <w:szCs w:val="32"/>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部分1"/>
    <w:qFormat/>
    <w:uiPriority w:val="0"/>
    <w:pPr>
      <w:keepNext/>
      <w:pageBreakBefore/>
      <w:widowControl w:val="0"/>
      <w:tabs>
        <w:tab w:val="left" w:pos="720"/>
      </w:tabs>
      <w:spacing w:line="360" w:lineRule="auto"/>
      <w:jc w:val="center"/>
      <w:outlineLvl w:val="0"/>
    </w:pPr>
    <w:rPr>
      <w:rFonts w:ascii="Calibri" w:hAnsi="Calibri" w:eastAsia="黑体" w:cs="Times New Roman"/>
      <w:b/>
      <w:kern w:val="44"/>
      <w:sz w:val="36"/>
      <w:szCs w:val="20"/>
      <w:lang w:val="en-US" w:eastAsia="zh-CN" w:bidi="ar-SA"/>
    </w:rPr>
  </w:style>
  <w:style w:type="character" w:customStyle="1" w:styleId="324">
    <w:name w:val="标题 1 Char Char"/>
    <w:basedOn w:val="49"/>
    <w:qFormat/>
    <w:uiPriority w:val="0"/>
    <w:rPr>
      <w:rFonts w:eastAsia="宋体"/>
      <w:b/>
      <w:spacing w:val="-2"/>
      <w:sz w:val="24"/>
      <w:lang w:val="en-US" w:eastAsia="zh-CN" w:bidi="ar-SA"/>
    </w:rPr>
  </w:style>
  <w:style w:type="paragraph" w:customStyle="1" w:styleId="325">
    <w:name w:val="普通(网站)1"/>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18394</Words>
  <Characters>19814</Characters>
  <Lines>1</Lines>
  <Paragraphs>1</Paragraphs>
  <TotalTime>28</TotalTime>
  <ScaleCrop>false</ScaleCrop>
  <LinksUpToDate>false</LinksUpToDate>
  <CharactersWithSpaces>19990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2024-04-02T21:23:00Z</dcterms:created>
  <dc:creator>戴艳燕</dc:creator>
  <cp:lastModifiedBy>WPS_1686713146</cp:lastModifiedBy>
  <cp:lastPrinted>2023-03-16T06:19:00Z</cp:lastPrinted>
  <dcterms:modified xsi:type="dcterms:W3CDTF">2025-06-26T01:11:08Z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6D2D44F7D88245B994780B75BF00E6D7_13</vt:lpwstr>
  </property>
  <property fmtid="{D5CDD505-2E9C-101B-9397-08002B2CF9AE}" pid="4" name="KSOTemplateDocerSaveRecord">
    <vt:lpwstr>eyJoZGlkIjoiN2I3NTgxNjgxNjQ5ZjEzODJmNmQyYjI3OWU3NzFlNDEiLCJ1c2VySWQiOiIxNTA5MDM2Njc5In0=</vt:lpwstr>
  </property>
</Properties>
</file>