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6BC8344">
      <w:pPr>
        <w:spacing w:after="120" w:line="360" w:lineRule="auto"/>
        <w:jc w:val="center"/>
        <w:rPr>
          <w:rFonts w:ascii="宋体" w:hAnsi="宋体"/>
          <w:b/>
          <w:color w:val="000000" w:themeColor="text1"/>
          <w:sz w:val="52"/>
          <w:highlight w:val="none"/>
          <w14:textFill>
            <w14:solidFill>
              <w14:schemeClr w14:val="tx1"/>
            </w14:solidFill>
          </w14:textFill>
        </w:rPr>
      </w:pPr>
    </w:p>
    <w:p w14:paraId="26163487">
      <w:pPr>
        <w:spacing w:after="120" w:line="360" w:lineRule="auto"/>
        <w:jc w:val="center"/>
        <w:rPr>
          <w:rFonts w:ascii="宋体" w:hAnsi="宋体"/>
          <w:b/>
          <w:color w:val="000000" w:themeColor="text1"/>
          <w:sz w:val="48"/>
          <w:highlight w:val="none"/>
          <w14:textFill>
            <w14:solidFill>
              <w14:schemeClr w14:val="tx1"/>
            </w14:solidFill>
          </w14:textFill>
        </w:rPr>
      </w:pPr>
      <w:r>
        <w:rPr>
          <w:rFonts w:hint="eastAsia" w:ascii="宋体" w:hAnsi="宋体"/>
          <w:b/>
          <w:color w:val="000000" w:themeColor="text1"/>
          <w:sz w:val="48"/>
          <w:highlight w:val="none"/>
          <w14:textFill>
            <w14:solidFill>
              <w14:schemeClr w14:val="tx1"/>
            </w14:solidFill>
          </w14:textFill>
        </w:rPr>
        <w:t>政府采购项目</w:t>
      </w:r>
    </w:p>
    <w:p w14:paraId="6311BE6F">
      <w:pPr>
        <w:spacing w:after="120" w:line="360" w:lineRule="auto"/>
        <w:jc w:val="center"/>
        <w:rPr>
          <w:rFonts w:ascii="宋体" w:hAnsi="宋体"/>
          <w:b/>
          <w:color w:val="000000" w:themeColor="text1"/>
          <w:sz w:val="72"/>
          <w:highlight w:val="none"/>
          <w14:textFill>
            <w14:solidFill>
              <w14:schemeClr w14:val="tx1"/>
            </w14:solidFill>
          </w14:textFill>
        </w:rPr>
      </w:pPr>
      <w:r>
        <w:rPr>
          <w:rFonts w:hint="eastAsia" w:ascii="宋体" w:hAnsi="宋体"/>
          <w:b/>
          <w:color w:val="000000" w:themeColor="text1"/>
          <w:sz w:val="72"/>
          <w:highlight w:val="none"/>
          <w14:textFill>
            <w14:solidFill>
              <w14:schemeClr w14:val="tx1"/>
            </w14:solidFill>
          </w14:textFill>
        </w:rPr>
        <w:t>公开招标招标文件</w:t>
      </w:r>
    </w:p>
    <w:p w14:paraId="0886E480">
      <w:pPr>
        <w:spacing w:line="360" w:lineRule="auto"/>
        <w:jc w:val="center"/>
        <w:rPr>
          <w:rFonts w:ascii="宋体" w:hAnsi="宋体"/>
          <w:b/>
          <w:color w:val="000000" w:themeColor="text1"/>
          <w:sz w:val="40"/>
          <w:highlight w:val="none"/>
          <w14:textFill>
            <w14:solidFill>
              <w14:schemeClr w14:val="tx1"/>
            </w14:solidFill>
          </w14:textFill>
        </w:rPr>
      </w:pPr>
      <w:r>
        <w:rPr>
          <w:rFonts w:hint="eastAsia" w:ascii="宋体" w:hAnsi="宋体"/>
          <w:b/>
          <w:color w:val="000000" w:themeColor="text1"/>
          <w:sz w:val="40"/>
          <w:highlight w:val="none"/>
          <w14:textFill>
            <w14:solidFill>
              <w14:schemeClr w14:val="tx1"/>
            </w14:solidFill>
          </w14:textFill>
        </w:rPr>
        <w:t>(服务类)</w:t>
      </w:r>
    </w:p>
    <w:p w14:paraId="258C0EE6">
      <w:pPr>
        <w:spacing w:line="360" w:lineRule="auto"/>
        <w:rPr>
          <w:rFonts w:ascii="宋体" w:hAnsi="宋体"/>
          <w:b/>
          <w:color w:val="000000" w:themeColor="text1"/>
          <w:highlight w:val="none"/>
          <w14:textFill>
            <w14:solidFill>
              <w14:schemeClr w14:val="tx1"/>
            </w14:solidFill>
          </w14:textFill>
        </w:rPr>
      </w:pPr>
    </w:p>
    <w:p w14:paraId="3E8BF231">
      <w:pPr>
        <w:spacing w:line="360" w:lineRule="auto"/>
        <w:rPr>
          <w:rFonts w:ascii="宋体" w:hAnsi="宋体"/>
          <w:b/>
          <w:color w:val="000000" w:themeColor="text1"/>
          <w:highlight w:val="none"/>
          <w14:textFill>
            <w14:solidFill>
              <w14:schemeClr w14:val="tx1"/>
            </w14:solidFill>
          </w14:textFill>
        </w:rPr>
      </w:pPr>
    </w:p>
    <w:p w14:paraId="2854450E">
      <w:pPr>
        <w:spacing w:line="360" w:lineRule="auto"/>
        <w:ind w:firstLine="529" w:firstLineChars="147"/>
        <w:rPr>
          <w:rFonts w:ascii="宋体" w:hAnsi="宋体"/>
          <w:b/>
          <w:color w:val="000000" w:themeColor="text1"/>
          <w:sz w:val="36"/>
          <w:szCs w:val="36"/>
          <w:highlight w:val="none"/>
          <w14:textFill>
            <w14:solidFill>
              <w14:schemeClr w14:val="tx1"/>
            </w14:solidFill>
          </w14:textFill>
        </w:rPr>
      </w:pPr>
    </w:p>
    <w:p w14:paraId="36739A17">
      <w:pPr>
        <w:spacing w:line="360" w:lineRule="auto"/>
        <w:ind w:firstLine="529" w:firstLineChars="147"/>
        <w:rPr>
          <w:rFonts w:hint="eastAsia" w:ascii="宋体" w:hAnsi="宋体" w:eastAsia="宋体"/>
          <w:b/>
          <w:color w:val="000000" w:themeColor="text1"/>
          <w:sz w:val="36"/>
          <w:szCs w:val="36"/>
          <w:highlight w:val="none"/>
          <w:u w:val="single"/>
          <w:lang w:eastAsia="zh-CN"/>
          <w14:textFill>
            <w14:solidFill>
              <w14:schemeClr w14:val="tx1"/>
            </w14:solidFill>
          </w14:textFill>
        </w:rPr>
      </w:pPr>
      <w:r>
        <w:rPr>
          <w:rFonts w:hint="eastAsia" w:ascii="宋体" w:hAnsi="宋体"/>
          <w:b/>
          <w:color w:val="000000" w:themeColor="text1"/>
          <w:sz w:val="36"/>
          <w:szCs w:val="36"/>
          <w:highlight w:val="none"/>
          <w14:textFill>
            <w14:solidFill>
              <w14:schemeClr w14:val="tx1"/>
            </w14:solidFill>
          </w14:textFill>
        </w:rPr>
        <w:t>招标编号：</w:t>
      </w:r>
      <w:r>
        <w:rPr>
          <w:rFonts w:hint="eastAsia" w:ascii="宋体" w:hAnsi="宋体"/>
          <w:b/>
          <w:color w:val="000000" w:themeColor="text1"/>
          <w:sz w:val="36"/>
          <w:szCs w:val="36"/>
          <w:highlight w:val="none"/>
          <w:u w:val="single"/>
          <w:lang w:eastAsia="zh-CN"/>
          <w14:textFill>
            <w14:solidFill>
              <w14:schemeClr w14:val="tx1"/>
            </w14:solidFill>
          </w14:textFill>
        </w:rPr>
        <w:t>NBGODOZB225070G</w:t>
      </w:r>
    </w:p>
    <w:p w14:paraId="2DEE0630">
      <w:pPr>
        <w:spacing w:line="360" w:lineRule="auto"/>
        <w:rPr>
          <w:rFonts w:ascii="宋体" w:hAnsi="宋体"/>
          <w:b/>
          <w:color w:val="000000" w:themeColor="text1"/>
          <w:sz w:val="36"/>
          <w:szCs w:val="36"/>
          <w:highlight w:val="none"/>
          <w14:textFill>
            <w14:solidFill>
              <w14:schemeClr w14:val="tx1"/>
            </w14:solidFill>
          </w14:textFill>
        </w:rPr>
      </w:pPr>
    </w:p>
    <w:p w14:paraId="266B3402">
      <w:pPr>
        <w:spacing w:line="360" w:lineRule="auto"/>
        <w:rPr>
          <w:rFonts w:ascii="宋体" w:hAnsi="宋体"/>
          <w:b/>
          <w:color w:val="000000" w:themeColor="text1"/>
          <w:sz w:val="36"/>
          <w:szCs w:val="36"/>
          <w:highlight w:val="none"/>
          <w14:textFill>
            <w14:solidFill>
              <w14:schemeClr w14:val="tx1"/>
            </w14:solidFill>
          </w14:textFill>
        </w:rPr>
      </w:pPr>
    </w:p>
    <w:p w14:paraId="524182A5">
      <w:pPr>
        <w:tabs>
          <w:tab w:val="left" w:pos="0"/>
        </w:tabs>
        <w:spacing w:line="360" w:lineRule="auto"/>
        <w:ind w:left="2299" w:leftChars="238" w:hanging="1800" w:hangingChars="500"/>
        <w:rPr>
          <w:rFonts w:hint="eastAsia" w:ascii="宋体" w:hAnsi="宋体" w:eastAsia="宋体"/>
          <w:b/>
          <w:color w:val="000000" w:themeColor="text1"/>
          <w:sz w:val="36"/>
          <w:szCs w:val="36"/>
          <w:highlight w:val="none"/>
          <w:u w:val="single"/>
          <w:lang w:eastAsia="zh-CN"/>
          <w14:textFill>
            <w14:solidFill>
              <w14:schemeClr w14:val="tx1"/>
            </w14:solidFill>
          </w14:textFill>
        </w:rPr>
      </w:pPr>
      <w:r>
        <w:rPr>
          <w:rFonts w:hint="eastAsia" w:ascii="宋体" w:hAnsi="宋体"/>
          <w:b/>
          <w:color w:val="000000" w:themeColor="text1"/>
          <w:sz w:val="36"/>
          <w:szCs w:val="36"/>
          <w:highlight w:val="none"/>
          <w14:textFill>
            <w14:solidFill>
              <w14:schemeClr w14:val="tx1"/>
            </w14:solidFill>
          </w14:textFill>
        </w:rPr>
        <w:t>项目名称：</w:t>
      </w:r>
      <w:r>
        <w:rPr>
          <w:rFonts w:hint="eastAsia" w:ascii="宋体" w:hAnsi="宋体"/>
          <w:b/>
          <w:color w:val="000000" w:themeColor="text1"/>
          <w:sz w:val="36"/>
          <w:szCs w:val="36"/>
          <w:highlight w:val="none"/>
          <w:u w:val="single"/>
          <w:lang w:eastAsia="zh-CN"/>
          <w14:textFill>
            <w14:solidFill>
              <w14:schemeClr w14:val="tx1"/>
            </w14:solidFill>
          </w14:textFill>
        </w:rPr>
        <w:t>2025年大榭市政道路及排水管网综合养护项目</w:t>
      </w:r>
    </w:p>
    <w:p w14:paraId="59ACC5F1">
      <w:pPr>
        <w:spacing w:line="360" w:lineRule="auto"/>
        <w:ind w:firstLine="360" w:firstLineChars="100"/>
        <w:rPr>
          <w:rFonts w:ascii="宋体" w:hAnsi="宋体"/>
          <w:b/>
          <w:color w:val="000000" w:themeColor="text1"/>
          <w:sz w:val="36"/>
          <w:szCs w:val="36"/>
          <w:highlight w:val="none"/>
          <w14:textFill>
            <w14:solidFill>
              <w14:schemeClr w14:val="tx1"/>
            </w14:solidFill>
          </w14:textFill>
        </w:rPr>
      </w:pPr>
    </w:p>
    <w:p w14:paraId="6E47C980">
      <w:pPr>
        <w:spacing w:line="360" w:lineRule="auto"/>
        <w:ind w:left="361" w:leftChars="172" w:firstLine="180" w:firstLineChars="50"/>
        <w:rPr>
          <w:rFonts w:ascii="宋体" w:hAnsi="宋体"/>
          <w:b/>
          <w:color w:val="000000" w:themeColor="text1"/>
          <w:sz w:val="36"/>
          <w:szCs w:val="36"/>
          <w:highlight w:val="none"/>
          <w14:textFill>
            <w14:solidFill>
              <w14:schemeClr w14:val="tx1"/>
            </w14:solidFill>
          </w14:textFill>
        </w:rPr>
      </w:pPr>
    </w:p>
    <w:p w14:paraId="0914D393">
      <w:pPr>
        <w:spacing w:line="360" w:lineRule="auto"/>
        <w:ind w:left="361" w:leftChars="172" w:firstLine="180" w:firstLineChars="50"/>
        <w:rPr>
          <w:rFonts w:hint="eastAsia" w:ascii="宋体" w:hAnsi="宋体" w:eastAsia="宋体"/>
          <w:b/>
          <w:color w:val="000000" w:themeColor="text1"/>
          <w:sz w:val="34"/>
          <w:szCs w:val="36"/>
          <w:highlight w:val="none"/>
          <w:u w:val="single"/>
          <w:lang w:eastAsia="zh-CN"/>
          <w14:textFill>
            <w14:solidFill>
              <w14:schemeClr w14:val="tx1"/>
            </w14:solidFill>
          </w14:textFill>
        </w:rPr>
      </w:pPr>
      <w:r>
        <w:rPr>
          <w:rFonts w:hint="eastAsia" w:ascii="宋体" w:hAnsi="宋体"/>
          <w:b/>
          <w:color w:val="000000" w:themeColor="text1"/>
          <w:sz w:val="36"/>
          <w:szCs w:val="36"/>
          <w:highlight w:val="none"/>
          <w14:textFill>
            <w14:solidFill>
              <w14:schemeClr w14:val="tx1"/>
            </w14:solidFill>
          </w14:textFill>
        </w:rPr>
        <w:t>采 购 人：</w:t>
      </w:r>
      <w:r>
        <w:rPr>
          <w:rFonts w:hint="eastAsia" w:ascii="宋体" w:hAnsi="宋体"/>
          <w:b/>
          <w:color w:val="000000" w:themeColor="text1"/>
          <w:sz w:val="36"/>
          <w:szCs w:val="36"/>
          <w:highlight w:val="none"/>
          <w:u w:val="single"/>
          <w:lang w:eastAsia="zh-CN"/>
          <w14:textFill>
            <w14:solidFill>
              <w14:schemeClr w14:val="tx1"/>
            </w14:solidFill>
          </w14:textFill>
        </w:rPr>
        <w:t>宁波市北仑区人民政府大榭街道办事处</w:t>
      </w:r>
    </w:p>
    <w:p w14:paraId="29F4F0AC">
      <w:pPr>
        <w:spacing w:line="360" w:lineRule="auto"/>
        <w:ind w:left="361" w:leftChars="172" w:firstLine="180" w:firstLineChars="50"/>
        <w:rPr>
          <w:rFonts w:ascii="宋体" w:hAnsi="宋体"/>
          <w:b/>
          <w:color w:val="000000" w:themeColor="text1"/>
          <w:sz w:val="36"/>
          <w:szCs w:val="36"/>
          <w:highlight w:val="none"/>
          <w14:textFill>
            <w14:solidFill>
              <w14:schemeClr w14:val="tx1"/>
            </w14:solidFill>
          </w14:textFill>
        </w:rPr>
      </w:pPr>
    </w:p>
    <w:p w14:paraId="36FF1183">
      <w:pPr>
        <w:spacing w:line="360" w:lineRule="auto"/>
        <w:ind w:firstLine="360" w:firstLineChars="100"/>
        <w:rPr>
          <w:rFonts w:ascii="宋体" w:hAnsi="宋体"/>
          <w:b/>
          <w:color w:val="000000" w:themeColor="text1"/>
          <w:sz w:val="36"/>
          <w:szCs w:val="36"/>
          <w:highlight w:val="none"/>
          <w14:textFill>
            <w14:solidFill>
              <w14:schemeClr w14:val="tx1"/>
            </w14:solidFill>
          </w14:textFill>
        </w:rPr>
      </w:pPr>
    </w:p>
    <w:p w14:paraId="1CAEE46E">
      <w:pPr>
        <w:spacing w:line="360" w:lineRule="auto"/>
        <w:ind w:firstLine="360" w:firstLineChars="100"/>
        <w:rPr>
          <w:rFonts w:ascii="宋体" w:hAnsi="宋体"/>
          <w:b/>
          <w:color w:val="000000" w:themeColor="text1"/>
          <w:sz w:val="36"/>
          <w:szCs w:val="36"/>
          <w:highlight w:val="none"/>
          <w14:textFill>
            <w14:solidFill>
              <w14:schemeClr w14:val="tx1"/>
            </w14:solidFill>
          </w14:textFill>
        </w:rPr>
      </w:pPr>
    </w:p>
    <w:p w14:paraId="2D1A2DA8">
      <w:pPr>
        <w:spacing w:line="360" w:lineRule="auto"/>
        <w:ind w:firstLine="540" w:firstLineChars="150"/>
        <w:rPr>
          <w:rFonts w:ascii="宋体" w:hAnsi="宋体"/>
          <w:b/>
          <w:color w:val="000000" w:themeColor="text1"/>
          <w:sz w:val="36"/>
          <w:szCs w:val="36"/>
          <w:highlight w:val="none"/>
          <w14:textFill>
            <w14:solidFill>
              <w14:schemeClr w14:val="tx1"/>
            </w14:solidFill>
          </w14:textFill>
        </w:rPr>
      </w:pPr>
      <w:r>
        <w:rPr>
          <w:rFonts w:hint="eastAsia" w:ascii="宋体" w:hAnsi="宋体"/>
          <w:b/>
          <w:color w:val="000000" w:themeColor="text1"/>
          <w:sz w:val="36"/>
          <w:szCs w:val="36"/>
          <w:highlight w:val="none"/>
          <w14:textFill>
            <w14:solidFill>
              <w14:schemeClr w14:val="tx1"/>
            </w14:solidFill>
          </w14:textFill>
        </w:rPr>
        <w:t>采购代理机构：</w:t>
      </w:r>
      <w:r>
        <w:rPr>
          <w:rFonts w:hint="eastAsia" w:ascii="宋体" w:hAnsi="宋体"/>
          <w:b/>
          <w:color w:val="000000" w:themeColor="text1"/>
          <w:sz w:val="36"/>
          <w:szCs w:val="36"/>
          <w:highlight w:val="none"/>
          <w:u w:val="single"/>
          <w14:textFill>
            <w14:solidFill>
              <w14:schemeClr w14:val="tx1"/>
            </w14:solidFill>
          </w14:textFill>
        </w:rPr>
        <w:t>宁波国际投资咨询有限公司</w:t>
      </w:r>
    </w:p>
    <w:p w14:paraId="50E9F2A3">
      <w:pPr>
        <w:spacing w:line="360" w:lineRule="auto"/>
        <w:jc w:val="center"/>
        <w:rPr>
          <w:rFonts w:ascii="宋体" w:hAnsi="宋体"/>
          <w:b/>
          <w:color w:val="000000" w:themeColor="text1"/>
          <w:sz w:val="36"/>
          <w:szCs w:val="36"/>
          <w:highlight w:val="none"/>
          <w14:textFill>
            <w14:solidFill>
              <w14:schemeClr w14:val="tx1"/>
            </w14:solidFill>
          </w14:textFill>
        </w:rPr>
      </w:pPr>
    </w:p>
    <w:p w14:paraId="479CF001">
      <w:pPr>
        <w:spacing w:line="360" w:lineRule="auto"/>
        <w:jc w:val="center"/>
        <w:rPr>
          <w:rFonts w:ascii="宋体" w:hAnsi="宋体"/>
          <w:b/>
          <w:color w:val="000000" w:themeColor="text1"/>
          <w:sz w:val="36"/>
          <w:szCs w:val="36"/>
          <w:highlight w:val="none"/>
          <w14:textFill>
            <w14:solidFill>
              <w14:schemeClr w14:val="tx1"/>
            </w14:solidFill>
          </w14:textFill>
        </w:rPr>
      </w:pPr>
      <w:r>
        <w:rPr>
          <w:rFonts w:hint="eastAsia" w:ascii="宋体" w:hAnsi="宋体"/>
          <w:b/>
          <w:color w:val="000000" w:themeColor="text1"/>
          <w:sz w:val="36"/>
          <w:szCs w:val="36"/>
          <w:highlight w:val="none"/>
          <w14:textFill>
            <w14:solidFill>
              <w14:schemeClr w14:val="tx1"/>
            </w14:solidFill>
          </w14:textFill>
        </w:rPr>
        <w:t>202</w:t>
      </w:r>
      <w:r>
        <w:rPr>
          <w:rFonts w:hint="eastAsia" w:ascii="宋体" w:hAnsi="宋体"/>
          <w:b/>
          <w:color w:val="000000" w:themeColor="text1"/>
          <w:sz w:val="36"/>
          <w:szCs w:val="36"/>
          <w:highlight w:val="none"/>
          <w:lang w:val="en-US" w:eastAsia="zh-CN"/>
          <w14:textFill>
            <w14:solidFill>
              <w14:schemeClr w14:val="tx1"/>
            </w14:solidFill>
          </w14:textFill>
        </w:rPr>
        <w:t>5</w:t>
      </w:r>
      <w:r>
        <w:rPr>
          <w:rFonts w:hint="eastAsia" w:ascii="宋体" w:hAnsi="宋体"/>
          <w:b/>
          <w:color w:val="000000" w:themeColor="text1"/>
          <w:sz w:val="36"/>
          <w:szCs w:val="36"/>
          <w:highlight w:val="none"/>
          <w14:textFill>
            <w14:solidFill>
              <w14:schemeClr w14:val="tx1"/>
            </w14:solidFill>
          </w14:textFill>
        </w:rPr>
        <w:t>年</w:t>
      </w:r>
      <w:r>
        <w:rPr>
          <w:rFonts w:hint="eastAsia" w:ascii="宋体" w:hAnsi="宋体"/>
          <w:b/>
          <w:color w:val="000000" w:themeColor="text1"/>
          <w:sz w:val="36"/>
          <w:szCs w:val="36"/>
          <w:highlight w:val="none"/>
          <w:lang w:val="en-US" w:eastAsia="zh-CN"/>
          <w14:textFill>
            <w14:solidFill>
              <w14:schemeClr w14:val="tx1"/>
            </w14:solidFill>
          </w14:textFill>
        </w:rPr>
        <w:t>6</w:t>
      </w:r>
      <w:bookmarkStart w:id="202" w:name="_GoBack"/>
      <w:bookmarkEnd w:id="202"/>
      <w:r>
        <w:rPr>
          <w:rFonts w:hint="eastAsia" w:ascii="宋体" w:hAnsi="宋体"/>
          <w:b/>
          <w:color w:val="000000" w:themeColor="text1"/>
          <w:sz w:val="36"/>
          <w:szCs w:val="36"/>
          <w:highlight w:val="none"/>
          <w14:textFill>
            <w14:solidFill>
              <w14:schemeClr w14:val="tx1"/>
            </w14:solidFill>
          </w14:textFill>
        </w:rPr>
        <w:t>月</w:t>
      </w:r>
    </w:p>
    <w:p w14:paraId="280B3340">
      <w:pPr>
        <w:spacing w:line="360" w:lineRule="auto"/>
        <w:jc w:val="center"/>
        <w:rPr>
          <w:rFonts w:ascii="宋体" w:hAnsi="宋体"/>
          <w:b/>
          <w:color w:val="000000" w:themeColor="text1"/>
          <w:sz w:val="36"/>
          <w:highlight w:val="none"/>
          <w14:textFill>
            <w14:solidFill>
              <w14:schemeClr w14:val="tx1"/>
            </w14:solidFill>
          </w14:textFill>
        </w:rPr>
      </w:pPr>
    </w:p>
    <w:p w14:paraId="39FC1BB9">
      <w:pPr>
        <w:spacing w:line="360" w:lineRule="auto"/>
        <w:jc w:val="center"/>
        <w:rPr>
          <w:rFonts w:ascii="宋体" w:hAnsi="宋体"/>
          <w:b/>
          <w:color w:val="000000" w:themeColor="text1"/>
          <w:sz w:val="36"/>
          <w:highlight w:val="none"/>
          <w14:textFill>
            <w14:solidFill>
              <w14:schemeClr w14:val="tx1"/>
            </w14:solidFill>
          </w14:textFill>
        </w:rPr>
      </w:pPr>
    </w:p>
    <w:p w14:paraId="6F91ED79">
      <w:pPr>
        <w:spacing w:line="360" w:lineRule="auto"/>
        <w:jc w:val="center"/>
        <w:rPr>
          <w:rFonts w:ascii="宋体" w:hAnsi="宋体"/>
          <w:b/>
          <w:color w:val="000000" w:themeColor="text1"/>
          <w:sz w:val="36"/>
          <w:highlight w:val="none"/>
          <w14:textFill>
            <w14:solidFill>
              <w14:schemeClr w14:val="tx1"/>
            </w14:solidFill>
          </w14:textFill>
        </w:rPr>
      </w:pPr>
    </w:p>
    <w:p w14:paraId="1C34E9E8">
      <w:pPr>
        <w:spacing w:line="360" w:lineRule="auto"/>
        <w:jc w:val="center"/>
        <w:rPr>
          <w:rFonts w:ascii="宋体" w:hAnsi="宋体"/>
          <w:b/>
          <w:color w:val="000000" w:themeColor="text1"/>
          <w:sz w:val="36"/>
          <w:highlight w:val="none"/>
          <w14:textFill>
            <w14:solidFill>
              <w14:schemeClr w14:val="tx1"/>
            </w14:solidFill>
          </w14:textFill>
        </w:rPr>
      </w:pPr>
      <w:r>
        <w:rPr>
          <w:rFonts w:hint="eastAsia" w:ascii="宋体" w:hAnsi="宋体"/>
          <w:b/>
          <w:color w:val="000000" w:themeColor="text1"/>
          <w:sz w:val="36"/>
          <w:highlight w:val="none"/>
          <w14:textFill>
            <w14:solidFill>
              <w14:schemeClr w14:val="tx1"/>
            </w14:solidFill>
          </w14:textFill>
        </w:rPr>
        <w:t>目    录</w:t>
      </w:r>
    </w:p>
    <w:p w14:paraId="603E79B3">
      <w:pPr>
        <w:spacing w:line="360" w:lineRule="auto"/>
        <w:jc w:val="center"/>
        <w:rPr>
          <w:rFonts w:ascii="宋体" w:hAnsi="宋体"/>
          <w:b/>
          <w:color w:val="000000" w:themeColor="text1"/>
          <w:sz w:val="36"/>
          <w:highlight w:val="none"/>
          <w14:textFill>
            <w14:solidFill>
              <w14:schemeClr w14:val="tx1"/>
            </w14:solidFill>
          </w14:textFill>
        </w:rPr>
      </w:pPr>
    </w:p>
    <w:p w14:paraId="336D1261">
      <w:pPr>
        <w:pStyle w:val="26"/>
        <w:tabs>
          <w:tab w:val="right" w:leader="dot" w:pos="8930"/>
        </w:tabs>
        <w:rPr>
          <w:b/>
          <w:bCs/>
          <w:color w:val="000000" w:themeColor="text1"/>
          <w:sz w:val="28"/>
          <w:szCs w:val="28"/>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fldChar w:fldCharType="begin"/>
      </w:r>
      <w:r>
        <w:rPr>
          <w:rFonts w:ascii="宋体" w:hAnsi="宋体"/>
          <w:b/>
          <w:color w:val="000000" w:themeColor="text1"/>
          <w:highlight w:val="none"/>
          <w14:textFill>
            <w14:solidFill>
              <w14:schemeClr w14:val="tx1"/>
            </w14:solidFill>
          </w14:textFill>
        </w:rPr>
        <w:instrText xml:space="preserve"> TOC \o "1-3" \h \z \u </w:instrText>
      </w:r>
      <w:r>
        <w:rPr>
          <w:rFonts w:ascii="宋体" w:hAnsi="宋体"/>
          <w:b/>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"_Toc17296" </w:instrText>
      </w:r>
      <w:r>
        <w:rPr>
          <w:color w:val="000000" w:themeColor="text1"/>
          <w:highlight w:val="none"/>
          <w14:textFill>
            <w14:solidFill>
              <w14:schemeClr w14:val="tx1"/>
            </w14:solidFill>
          </w14:textFill>
        </w:rPr>
        <w:fldChar w:fldCharType="separate"/>
      </w:r>
      <w:r>
        <w:rPr>
          <w:rFonts w:hint="eastAsia" w:ascii="宋体" w:hAnsi="宋体"/>
          <w:b/>
          <w:bCs/>
          <w:color w:val="000000" w:themeColor="text1"/>
          <w:sz w:val="28"/>
          <w:szCs w:val="28"/>
          <w:highlight w:val="none"/>
          <w14:textFill>
            <w14:solidFill>
              <w14:schemeClr w14:val="tx1"/>
            </w14:solidFill>
          </w14:textFill>
        </w:rPr>
        <w:t>第一部分  采购公告</w:t>
      </w:r>
      <w:r>
        <w:rPr>
          <w:b/>
          <w:bCs/>
          <w:color w:val="000000" w:themeColor="text1"/>
          <w:sz w:val="28"/>
          <w:szCs w:val="28"/>
          <w:highlight w:val="none"/>
          <w14:textFill>
            <w14:solidFill>
              <w14:schemeClr w14:val="tx1"/>
            </w14:solidFill>
          </w14:textFill>
        </w:rPr>
        <w:tab/>
      </w:r>
      <w:r>
        <w:rPr>
          <w:b/>
          <w:bCs/>
          <w:color w:val="000000" w:themeColor="text1"/>
          <w:sz w:val="28"/>
          <w:szCs w:val="28"/>
          <w:highlight w:val="none"/>
          <w14:textFill>
            <w14:solidFill>
              <w14:schemeClr w14:val="tx1"/>
            </w14:solidFill>
          </w14:textFill>
        </w:rPr>
        <w:fldChar w:fldCharType="begin"/>
      </w:r>
      <w:r>
        <w:rPr>
          <w:b/>
          <w:bCs/>
          <w:color w:val="000000" w:themeColor="text1"/>
          <w:sz w:val="28"/>
          <w:szCs w:val="28"/>
          <w:highlight w:val="none"/>
          <w14:textFill>
            <w14:solidFill>
              <w14:schemeClr w14:val="tx1"/>
            </w14:solidFill>
          </w14:textFill>
        </w:rPr>
        <w:instrText xml:space="preserve"> PAGEREF _Toc17296 \h </w:instrText>
      </w:r>
      <w:r>
        <w:rPr>
          <w:b/>
          <w:bCs/>
          <w:color w:val="000000" w:themeColor="text1"/>
          <w:sz w:val="28"/>
          <w:szCs w:val="28"/>
          <w:highlight w:val="none"/>
          <w14:textFill>
            <w14:solidFill>
              <w14:schemeClr w14:val="tx1"/>
            </w14:solidFill>
          </w14:textFill>
        </w:rPr>
        <w:fldChar w:fldCharType="separate"/>
      </w:r>
      <w:r>
        <w:rPr>
          <w:b/>
          <w:bCs/>
          <w:color w:val="000000" w:themeColor="text1"/>
          <w:sz w:val="28"/>
          <w:szCs w:val="28"/>
          <w:highlight w:val="none"/>
          <w14:textFill>
            <w14:solidFill>
              <w14:schemeClr w14:val="tx1"/>
            </w14:solidFill>
          </w14:textFill>
        </w:rPr>
        <w:t>1</w:t>
      </w:r>
      <w:r>
        <w:rPr>
          <w:b/>
          <w:bCs/>
          <w:color w:val="000000" w:themeColor="text1"/>
          <w:sz w:val="28"/>
          <w:szCs w:val="28"/>
          <w:highlight w:val="none"/>
          <w14:textFill>
            <w14:solidFill>
              <w14:schemeClr w14:val="tx1"/>
            </w14:solidFill>
          </w14:textFill>
        </w:rPr>
        <w:fldChar w:fldCharType="end"/>
      </w:r>
      <w:r>
        <w:rPr>
          <w:b/>
          <w:bCs/>
          <w:color w:val="000000" w:themeColor="text1"/>
          <w:sz w:val="28"/>
          <w:szCs w:val="28"/>
          <w:highlight w:val="none"/>
          <w14:textFill>
            <w14:solidFill>
              <w14:schemeClr w14:val="tx1"/>
            </w14:solidFill>
          </w14:textFill>
        </w:rPr>
        <w:fldChar w:fldCharType="end"/>
      </w:r>
    </w:p>
    <w:p w14:paraId="74910749">
      <w:pPr>
        <w:pStyle w:val="26"/>
        <w:tabs>
          <w:tab w:val="right" w:leader="dot" w:pos="8930"/>
        </w:tabs>
        <w:rPr>
          <w:b/>
          <w:bCs/>
          <w:color w:val="000000" w:themeColor="text1"/>
          <w:sz w:val="28"/>
          <w:szCs w:val="28"/>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"_Toc6697" </w:instrText>
      </w:r>
      <w:r>
        <w:rPr>
          <w:color w:val="000000" w:themeColor="text1"/>
          <w:highlight w:val="none"/>
          <w14:textFill>
            <w14:solidFill>
              <w14:schemeClr w14:val="tx1"/>
            </w14:solidFill>
          </w14:textFill>
        </w:rPr>
        <w:fldChar w:fldCharType="separate"/>
      </w:r>
      <w:r>
        <w:rPr>
          <w:rFonts w:hint="eastAsia" w:ascii="宋体" w:hAnsi="宋体"/>
          <w:b/>
          <w:bCs/>
          <w:color w:val="000000" w:themeColor="text1"/>
          <w:sz w:val="28"/>
          <w:szCs w:val="28"/>
          <w:highlight w:val="none"/>
          <w14:textFill>
            <w14:solidFill>
              <w14:schemeClr w14:val="tx1"/>
            </w14:solidFill>
          </w14:textFill>
        </w:rPr>
        <w:t>第二部分  招标项目需求</w:t>
      </w:r>
      <w:r>
        <w:rPr>
          <w:b/>
          <w:bCs/>
          <w:color w:val="000000" w:themeColor="text1"/>
          <w:sz w:val="28"/>
          <w:szCs w:val="28"/>
          <w:highlight w:val="none"/>
          <w14:textFill>
            <w14:solidFill>
              <w14:schemeClr w14:val="tx1"/>
            </w14:solidFill>
          </w14:textFill>
        </w:rPr>
        <w:tab/>
      </w:r>
      <w:r>
        <w:rPr>
          <w:b/>
          <w:bCs/>
          <w:color w:val="000000" w:themeColor="text1"/>
          <w:sz w:val="28"/>
          <w:szCs w:val="28"/>
          <w:highlight w:val="none"/>
          <w14:textFill>
            <w14:solidFill>
              <w14:schemeClr w14:val="tx1"/>
            </w14:solidFill>
          </w14:textFill>
        </w:rPr>
        <w:fldChar w:fldCharType="begin"/>
      </w:r>
      <w:r>
        <w:rPr>
          <w:b/>
          <w:bCs/>
          <w:color w:val="000000" w:themeColor="text1"/>
          <w:sz w:val="28"/>
          <w:szCs w:val="28"/>
          <w:highlight w:val="none"/>
          <w14:textFill>
            <w14:solidFill>
              <w14:schemeClr w14:val="tx1"/>
            </w14:solidFill>
          </w14:textFill>
        </w:rPr>
        <w:instrText xml:space="preserve"> PAGEREF _Toc6697 \h </w:instrText>
      </w:r>
      <w:r>
        <w:rPr>
          <w:b/>
          <w:bCs/>
          <w:color w:val="000000" w:themeColor="text1"/>
          <w:sz w:val="28"/>
          <w:szCs w:val="28"/>
          <w:highlight w:val="none"/>
          <w14:textFill>
            <w14:solidFill>
              <w14:schemeClr w14:val="tx1"/>
            </w14:solidFill>
          </w14:textFill>
        </w:rPr>
        <w:fldChar w:fldCharType="separate"/>
      </w:r>
      <w:r>
        <w:rPr>
          <w:b/>
          <w:bCs/>
          <w:color w:val="000000" w:themeColor="text1"/>
          <w:sz w:val="28"/>
          <w:szCs w:val="28"/>
          <w:highlight w:val="none"/>
          <w14:textFill>
            <w14:solidFill>
              <w14:schemeClr w14:val="tx1"/>
            </w14:solidFill>
          </w14:textFill>
        </w:rPr>
        <w:t>5</w:t>
      </w:r>
      <w:r>
        <w:rPr>
          <w:b/>
          <w:bCs/>
          <w:color w:val="000000" w:themeColor="text1"/>
          <w:sz w:val="28"/>
          <w:szCs w:val="28"/>
          <w:highlight w:val="none"/>
          <w14:textFill>
            <w14:solidFill>
              <w14:schemeClr w14:val="tx1"/>
            </w14:solidFill>
          </w14:textFill>
        </w:rPr>
        <w:fldChar w:fldCharType="end"/>
      </w:r>
      <w:r>
        <w:rPr>
          <w:b/>
          <w:bCs/>
          <w:color w:val="000000" w:themeColor="text1"/>
          <w:sz w:val="28"/>
          <w:szCs w:val="28"/>
          <w:highlight w:val="none"/>
          <w14:textFill>
            <w14:solidFill>
              <w14:schemeClr w14:val="tx1"/>
            </w14:solidFill>
          </w14:textFill>
        </w:rPr>
        <w:fldChar w:fldCharType="end"/>
      </w:r>
    </w:p>
    <w:p w14:paraId="7CF30AA5">
      <w:pPr>
        <w:pStyle w:val="26"/>
        <w:tabs>
          <w:tab w:val="right" w:leader="dot" w:pos="8930"/>
        </w:tabs>
        <w:rPr>
          <w:b/>
          <w:bCs/>
          <w:color w:val="000000" w:themeColor="text1"/>
          <w:sz w:val="28"/>
          <w:szCs w:val="28"/>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"_Toc14705" </w:instrText>
      </w:r>
      <w:r>
        <w:rPr>
          <w:color w:val="000000" w:themeColor="text1"/>
          <w:highlight w:val="none"/>
          <w14:textFill>
            <w14:solidFill>
              <w14:schemeClr w14:val="tx1"/>
            </w14:solidFill>
          </w14:textFill>
        </w:rPr>
        <w:fldChar w:fldCharType="separate"/>
      </w:r>
      <w:r>
        <w:rPr>
          <w:rFonts w:hint="eastAsia" w:ascii="宋体" w:hAnsi="宋体"/>
          <w:b/>
          <w:bCs/>
          <w:color w:val="000000" w:themeColor="text1"/>
          <w:sz w:val="28"/>
          <w:szCs w:val="28"/>
          <w:highlight w:val="none"/>
          <w14:textFill>
            <w14:solidFill>
              <w14:schemeClr w14:val="tx1"/>
            </w14:solidFill>
          </w14:textFill>
        </w:rPr>
        <w:t>第三部分  投标资料表</w:t>
      </w:r>
      <w:r>
        <w:rPr>
          <w:b/>
          <w:bCs/>
          <w:color w:val="000000" w:themeColor="text1"/>
          <w:sz w:val="28"/>
          <w:szCs w:val="28"/>
          <w:highlight w:val="none"/>
          <w14:textFill>
            <w14:solidFill>
              <w14:schemeClr w14:val="tx1"/>
            </w14:solidFill>
          </w14:textFill>
        </w:rPr>
        <w:tab/>
      </w:r>
      <w:r>
        <w:rPr>
          <w:b/>
          <w:bCs/>
          <w:color w:val="000000" w:themeColor="text1"/>
          <w:sz w:val="28"/>
          <w:szCs w:val="28"/>
          <w:highlight w:val="none"/>
          <w14:textFill>
            <w14:solidFill>
              <w14:schemeClr w14:val="tx1"/>
            </w14:solidFill>
          </w14:textFill>
        </w:rPr>
        <w:fldChar w:fldCharType="begin"/>
      </w:r>
      <w:r>
        <w:rPr>
          <w:b/>
          <w:bCs/>
          <w:color w:val="000000" w:themeColor="text1"/>
          <w:sz w:val="28"/>
          <w:szCs w:val="28"/>
          <w:highlight w:val="none"/>
          <w14:textFill>
            <w14:solidFill>
              <w14:schemeClr w14:val="tx1"/>
            </w14:solidFill>
          </w14:textFill>
        </w:rPr>
        <w:instrText xml:space="preserve"> PAGEREF _Toc14705 \h </w:instrText>
      </w:r>
      <w:r>
        <w:rPr>
          <w:b/>
          <w:bCs/>
          <w:color w:val="000000" w:themeColor="text1"/>
          <w:sz w:val="28"/>
          <w:szCs w:val="28"/>
          <w:highlight w:val="none"/>
          <w14:textFill>
            <w14:solidFill>
              <w14:schemeClr w14:val="tx1"/>
            </w14:solidFill>
          </w14:textFill>
        </w:rPr>
        <w:fldChar w:fldCharType="separate"/>
      </w:r>
      <w:r>
        <w:rPr>
          <w:b/>
          <w:bCs/>
          <w:color w:val="000000" w:themeColor="text1"/>
          <w:sz w:val="28"/>
          <w:szCs w:val="28"/>
          <w:highlight w:val="none"/>
          <w14:textFill>
            <w14:solidFill>
              <w14:schemeClr w14:val="tx1"/>
            </w14:solidFill>
          </w14:textFill>
        </w:rPr>
        <w:t>27</w:t>
      </w:r>
      <w:r>
        <w:rPr>
          <w:b/>
          <w:bCs/>
          <w:color w:val="000000" w:themeColor="text1"/>
          <w:sz w:val="28"/>
          <w:szCs w:val="28"/>
          <w:highlight w:val="none"/>
          <w14:textFill>
            <w14:solidFill>
              <w14:schemeClr w14:val="tx1"/>
            </w14:solidFill>
          </w14:textFill>
        </w:rPr>
        <w:fldChar w:fldCharType="end"/>
      </w:r>
      <w:r>
        <w:rPr>
          <w:b/>
          <w:bCs/>
          <w:color w:val="000000" w:themeColor="text1"/>
          <w:sz w:val="28"/>
          <w:szCs w:val="28"/>
          <w:highlight w:val="none"/>
          <w14:textFill>
            <w14:solidFill>
              <w14:schemeClr w14:val="tx1"/>
            </w14:solidFill>
          </w14:textFill>
        </w:rPr>
        <w:fldChar w:fldCharType="end"/>
      </w:r>
    </w:p>
    <w:p w14:paraId="6F1E9738">
      <w:pPr>
        <w:pStyle w:val="26"/>
        <w:tabs>
          <w:tab w:val="right" w:leader="dot" w:pos="8930"/>
        </w:tabs>
        <w:rPr>
          <w:b/>
          <w:bCs/>
          <w:color w:val="000000" w:themeColor="text1"/>
          <w:sz w:val="28"/>
          <w:szCs w:val="28"/>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"_Toc22855" </w:instrText>
      </w:r>
      <w:r>
        <w:rPr>
          <w:color w:val="000000" w:themeColor="text1"/>
          <w:highlight w:val="none"/>
          <w14:textFill>
            <w14:solidFill>
              <w14:schemeClr w14:val="tx1"/>
            </w14:solidFill>
          </w14:textFill>
        </w:rPr>
        <w:fldChar w:fldCharType="separate"/>
      </w:r>
      <w:r>
        <w:rPr>
          <w:rFonts w:hint="eastAsia"/>
          <w:b/>
          <w:bCs/>
          <w:color w:val="000000" w:themeColor="text1"/>
          <w:sz w:val="28"/>
          <w:szCs w:val="28"/>
          <w:highlight w:val="none"/>
          <w14:textFill>
            <w14:solidFill>
              <w14:schemeClr w14:val="tx1"/>
            </w14:solidFill>
          </w14:textFill>
        </w:rPr>
        <w:t>第四部分  投标人须知</w:t>
      </w:r>
      <w:r>
        <w:rPr>
          <w:b/>
          <w:bCs/>
          <w:color w:val="000000" w:themeColor="text1"/>
          <w:sz w:val="28"/>
          <w:szCs w:val="28"/>
          <w:highlight w:val="none"/>
          <w14:textFill>
            <w14:solidFill>
              <w14:schemeClr w14:val="tx1"/>
            </w14:solidFill>
          </w14:textFill>
        </w:rPr>
        <w:tab/>
      </w:r>
      <w:r>
        <w:rPr>
          <w:b/>
          <w:bCs/>
          <w:color w:val="000000" w:themeColor="text1"/>
          <w:sz w:val="28"/>
          <w:szCs w:val="28"/>
          <w:highlight w:val="none"/>
          <w14:textFill>
            <w14:solidFill>
              <w14:schemeClr w14:val="tx1"/>
            </w14:solidFill>
          </w14:textFill>
        </w:rPr>
        <w:fldChar w:fldCharType="begin"/>
      </w:r>
      <w:r>
        <w:rPr>
          <w:b/>
          <w:bCs/>
          <w:color w:val="000000" w:themeColor="text1"/>
          <w:sz w:val="28"/>
          <w:szCs w:val="28"/>
          <w:highlight w:val="none"/>
          <w14:textFill>
            <w14:solidFill>
              <w14:schemeClr w14:val="tx1"/>
            </w14:solidFill>
          </w14:textFill>
        </w:rPr>
        <w:instrText xml:space="preserve"> PAGEREF _Toc22855 \h </w:instrText>
      </w:r>
      <w:r>
        <w:rPr>
          <w:b/>
          <w:bCs/>
          <w:color w:val="000000" w:themeColor="text1"/>
          <w:sz w:val="28"/>
          <w:szCs w:val="28"/>
          <w:highlight w:val="none"/>
          <w14:textFill>
            <w14:solidFill>
              <w14:schemeClr w14:val="tx1"/>
            </w14:solidFill>
          </w14:textFill>
        </w:rPr>
        <w:fldChar w:fldCharType="separate"/>
      </w:r>
      <w:r>
        <w:rPr>
          <w:b/>
          <w:bCs/>
          <w:color w:val="000000" w:themeColor="text1"/>
          <w:sz w:val="28"/>
          <w:szCs w:val="28"/>
          <w:highlight w:val="none"/>
          <w14:textFill>
            <w14:solidFill>
              <w14:schemeClr w14:val="tx1"/>
            </w14:solidFill>
          </w14:textFill>
        </w:rPr>
        <w:t>31</w:t>
      </w:r>
      <w:r>
        <w:rPr>
          <w:b/>
          <w:bCs/>
          <w:color w:val="000000" w:themeColor="text1"/>
          <w:sz w:val="28"/>
          <w:szCs w:val="28"/>
          <w:highlight w:val="none"/>
          <w14:textFill>
            <w14:solidFill>
              <w14:schemeClr w14:val="tx1"/>
            </w14:solidFill>
          </w14:textFill>
        </w:rPr>
        <w:fldChar w:fldCharType="end"/>
      </w:r>
      <w:r>
        <w:rPr>
          <w:b/>
          <w:bCs/>
          <w:color w:val="000000" w:themeColor="text1"/>
          <w:sz w:val="28"/>
          <w:szCs w:val="28"/>
          <w:highlight w:val="none"/>
          <w14:textFill>
            <w14:solidFill>
              <w14:schemeClr w14:val="tx1"/>
            </w14:solidFill>
          </w14:textFill>
        </w:rPr>
        <w:fldChar w:fldCharType="end"/>
      </w:r>
    </w:p>
    <w:p w14:paraId="2C007A06">
      <w:pPr>
        <w:pStyle w:val="26"/>
        <w:tabs>
          <w:tab w:val="right" w:leader="dot" w:pos="8930"/>
        </w:tabs>
        <w:rPr>
          <w:b/>
          <w:bCs/>
          <w:color w:val="000000" w:themeColor="text1"/>
          <w:sz w:val="28"/>
          <w:szCs w:val="28"/>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"_Toc26275" </w:instrText>
      </w:r>
      <w:r>
        <w:rPr>
          <w:color w:val="000000" w:themeColor="text1"/>
          <w:highlight w:val="none"/>
          <w14:textFill>
            <w14:solidFill>
              <w14:schemeClr w14:val="tx1"/>
            </w14:solidFill>
          </w14:textFill>
        </w:rPr>
        <w:fldChar w:fldCharType="separate"/>
      </w:r>
      <w:r>
        <w:rPr>
          <w:rFonts w:hint="eastAsia" w:ascii="宋体" w:hAnsi="宋体"/>
          <w:b/>
          <w:bCs/>
          <w:color w:val="000000" w:themeColor="text1"/>
          <w:sz w:val="28"/>
          <w:szCs w:val="28"/>
          <w:highlight w:val="none"/>
          <w14:textFill>
            <w14:solidFill>
              <w14:schemeClr w14:val="tx1"/>
            </w14:solidFill>
          </w14:textFill>
        </w:rPr>
        <w:t>第五部分  评标办法</w:t>
      </w:r>
      <w:r>
        <w:rPr>
          <w:b/>
          <w:bCs/>
          <w:color w:val="000000" w:themeColor="text1"/>
          <w:sz w:val="28"/>
          <w:szCs w:val="28"/>
          <w:highlight w:val="none"/>
          <w14:textFill>
            <w14:solidFill>
              <w14:schemeClr w14:val="tx1"/>
            </w14:solidFill>
          </w14:textFill>
        </w:rPr>
        <w:tab/>
      </w:r>
      <w:r>
        <w:rPr>
          <w:b/>
          <w:bCs/>
          <w:color w:val="000000" w:themeColor="text1"/>
          <w:sz w:val="28"/>
          <w:szCs w:val="28"/>
          <w:highlight w:val="none"/>
          <w14:textFill>
            <w14:solidFill>
              <w14:schemeClr w14:val="tx1"/>
            </w14:solidFill>
          </w14:textFill>
        </w:rPr>
        <w:fldChar w:fldCharType="begin"/>
      </w:r>
      <w:r>
        <w:rPr>
          <w:b/>
          <w:bCs/>
          <w:color w:val="000000" w:themeColor="text1"/>
          <w:sz w:val="28"/>
          <w:szCs w:val="28"/>
          <w:highlight w:val="none"/>
          <w14:textFill>
            <w14:solidFill>
              <w14:schemeClr w14:val="tx1"/>
            </w14:solidFill>
          </w14:textFill>
        </w:rPr>
        <w:instrText xml:space="preserve"> PAGEREF _Toc26275 \h </w:instrText>
      </w:r>
      <w:r>
        <w:rPr>
          <w:b/>
          <w:bCs/>
          <w:color w:val="000000" w:themeColor="text1"/>
          <w:sz w:val="28"/>
          <w:szCs w:val="28"/>
          <w:highlight w:val="none"/>
          <w14:textFill>
            <w14:solidFill>
              <w14:schemeClr w14:val="tx1"/>
            </w14:solidFill>
          </w14:textFill>
        </w:rPr>
        <w:fldChar w:fldCharType="separate"/>
      </w:r>
      <w:r>
        <w:rPr>
          <w:b/>
          <w:bCs/>
          <w:color w:val="000000" w:themeColor="text1"/>
          <w:sz w:val="28"/>
          <w:szCs w:val="28"/>
          <w:highlight w:val="none"/>
          <w14:textFill>
            <w14:solidFill>
              <w14:schemeClr w14:val="tx1"/>
            </w14:solidFill>
          </w14:textFill>
        </w:rPr>
        <w:t>46</w:t>
      </w:r>
      <w:r>
        <w:rPr>
          <w:b/>
          <w:bCs/>
          <w:color w:val="000000" w:themeColor="text1"/>
          <w:sz w:val="28"/>
          <w:szCs w:val="28"/>
          <w:highlight w:val="none"/>
          <w14:textFill>
            <w14:solidFill>
              <w14:schemeClr w14:val="tx1"/>
            </w14:solidFill>
          </w14:textFill>
        </w:rPr>
        <w:fldChar w:fldCharType="end"/>
      </w:r>
      <w:r>
        <w:rPr>
          <w:b/>
          <w:bCs/>
          <w:color w:val="000000" w:themeColor="text1"/>
          <w:sz w:val="28"/>
          <w:szCs w:val="28"/>
          <w:highlight w:val="none"/>
          <w14:textFill>
            <w14:solidFill>
              <w14:schemeClr w14:val="tx1"/>
            </w14:solidFill>
          </w14:textFill>
        </w:rPr>
        <w:fldChar w:fldCharType="end"/>
      </w:r>
    </w:p>
    <w:p w14:paraId="28C776ED">
      <w:pPr>
        <w:pStyle w:val="26"/>
        <w:tabs>
          <w:tab w:val="right" w:leader="dot" w:pos="8930"/>
        </w:tabs>
        <w:rPr>
          <w:b/>
          <w:bCs/>
          <w:color w:val="000000" w:themeColor="text1"/>
          <w:sz w:val="28"/>
          <w:szCs w:val="28"/>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"_Toc21993" </w:instrText>
      </w:r>
      <w:r>
        <w:rPr>
          <w:color w:val="000000" w:themeColor="text1"/>
          <w:highlight w:val="none"/>
          <w14:textFill>
            <w14:solidFill>
              <w14:schemeClr w14:val="tx1"/>
            </w14:solidFill>
          </w14:textFill>
        </w:rPr>
        <w:fldChar w:fldCharType="separate"/>
      </w:r>
      <w:r>
        <w:rPr>
          <w:rFonts w:hint="eastAsia" w:ascii="宋体" w:hAnsi="宋体"/>
          <w:b/>
          <w:bCs/>
          <w:color w:val="000000" w:themeColor="text1"/>
          <w:sz w:val="28"/>
          <w:szCs w:val="28"/>
          <w:highlight w:val="none"/>
          <w14:textFill>
            <w14:solidFill>
              <w14:schemeClr w14:val="tx1"/>
            </w14:solidFill>
          </w14:textFill>
        </w:rPr>
        <w:t>第六部分  合同格式</w:t>
      </w:r>
      <w:r>
        <w:rPr>
          <w:b/>
          <w:bCs/>
          <w:color w:val="000000" w:themeColor="text1"/>
          <w:sz w:val="28"/>
          <w:szCs w:val="28"/>
          <w:highlight w:val="none"/>
          <w14:textFill>
            <w14:solidFill>
              <w14:schemeClr w14:val="tx1"/>
            </w14:solidFill>
          </w14:textFill>
        </w:rPr>
        <w:tab/>
      </w:r>
      <w:r>
        <w:rPr>
          <w:b/>
          <w:bCs/>
          <w:color w:val="000000" w:themeColor="text1"/>
          <w:sz w:val="28"/>
          <w:szCs w:val="28"/>
          <w:highlight w:val="none"/>
          <w14:textFill>
            <w14:solidFill>
              <w14:schemeClr w14:val="tx1"/>
            </w14:solidFill>
          </w14:textFill>
        </w:rPr>
        <w:fldChar w:fldCharType="begin"/>
      </w:r>
      <w:r>
        <w:rPr>
          <w:b/>
          <w:bCs/>
          <w:color w:val="000000" w:themeColor="text1"/>
          <w:sz w:val="28"/>
          <w:szCs w:val="28"/>
          <w:highlight w:val="none"/>
          <w14:textFill>
            <w14:solidFill>
              <w14:schemeClr w14:val="tx1"/>
            </w14:solidFill>
          </w14:textFill>
        </w:rPr>
        <w:instrText xml:space="preserve"> PAGEREF _Toc21993 \h </w:instrText>
      </w:r>
      <w:r>
        <w:rPr>
          <w:b/>
          <w:bCs/>
          <w:color w:val="000000" w:themeColor="text1"/>
          <w:sz w:val="28"/>
          <w:szCs w:val="28"/>
          <w:highlight w:val="none"/>
          <w14:textFill>
            <w14:solidFill>
              <w14:schemeClr w14:val="tx1"/>
            </w14:solidFill>
          </w14:textFill>
        </w:rPr>
        <w:fldChar w:fldCharType="separate"/>
      </w:r>
      <w:r>
        <w:rPr>
          <w:b/>
          <w:bCs/>
          <w:color w:val="000000" w:themeColor="text1"/>
          <w:sz w:val="28"/>
          <w:szCs w:val="28"/>
          <w:highlight w:val="none"/>
          <w14:textFill>
            <w14:solidFill>
              <w14:schemeClr w14:val="tx1"/>
            </w14:solidFill>
          </w14:textFill>
        </w:rPr>
        <w:t>53</w:t>
      </w:r>
      <w:r>
        <w:rPr>
          <w:b/>
          <w:bCs/>
          <w:color w:val="000000" w:themeColor="text1"/>
          <w:sz w:val="28"/>
          <w:szCs w:val="28"/>
          <w:highlight w:val="none"/>
          <w14:textFill>
            <w14:solidFill>
              <w14:schemeClr w14:val="tx1"/>
            </w14:solidFill>
          </w14:textFill>
        </w:rPr>
        <w:fldChar w:fldCharType="end"/>
      </w:r>
      <w:r>
        <w:rPr>
          <w:b/>
          <w:bCs/>
          <w:color w:val="000000" w:themeColor="text1"/>
          <w:sz w:val="28"/>
          <w:szCs w:val="28"/>
          <w:highlight w:val="none"/>
          <w14:textFill>
            <w14:solidFill>
              <w14:schemeClr w14:val="tx1"/>
            </w14:solidFill>
          </w14:textFill>
        </w:rPr>
        <w:fldChar w:fldCharType="end"/>
      </w:r>
    </w:p>
    <w:p w14:paraId="4B90849D">
      <w:pPr>
        <w:pStyle w:val="26"/>
        <w:tabs>
          <w:tab w:val="right" w:leader="dot" w:pos="8930"/>
        </w:tabs>
        <w:rPr>
          <w:b/>
          <w:bCs/>
          <w:color w:val="000000" w:themeColor="text1"/>
          <w:sz w:val="28"/>
          <w:szCs w:val="28"/>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"_Toc12950" </w:instrText>
      </w:r>
      <w:r>
        <w:rPr>
          <w:color w:val="000000" w:themeColor="text1"/>
          <w:highlight w:val="none"/>
          <w14:textFill>
            <w14:solidFill>
              <w14:schemeClr w14:val="tx1"/>
            </w14:solidFill>
          </w14:textFill>
        </w:rPr>
        <w:fldChar w:fldCharType="separate"/>
      </w:r>
      <w:r>
        <w:rPr>
          <w:rFonts w:hint="eastAsia" w:ascii="宋体" w:hAnsi="宋体"/>
          <w:b/>
          <w:bCs/>
          <w:color w:val="000000" w:themeColor="text1"/>
          <w:sz w:val="28"/>
          <w:szCs w:val="28"/>
          <w:highlight w:val="none"/>
          <w14:textFill>
            <w14:solidFill>
              <w14:schemeClr w14:val="tx1"/>
            </w14:solidFill>
          </w14:textFill>
        </w:rPr>
        <w:t>第七部分  投标文件格式</w:t>
      </w:r>
      <w:r>
        <w:rPr>
          <w:b/>
          <w:bCs/>
          <w:color w:val="000000" w:themeColor="text1"/>
          <w:sz w:val="28"/>
          <w:szCs w:val="28"/>
          <w:highlight w:val="none"/>
          <w14:textFill>
            <w14:solidFill>
              <w14:schemeClr w14:val="tx1"/>
            </w14:solidFill>
          </w14:textFill>
        </w:rPr>
        <w:tab/>
      </w:r>
      <w:r>
        <w:rPr>
          <w:b/>
          <w:bCs/>
          <w:color w:val="000000" w:themeColor="text1"/>
          <w:sz w:val="28"/>
          <w:szCs w:val="28"/>
          <w:highlight w:val="none"/>
          <w14:textFill>
            <w14:solidFill>
              <w14:schemeClr w14:val="tx1"/>
            </w14:solidFill>
          </w14:textFill>
        </w:rPr>
        <w:fldChar w:fldCharType="begin"/>
      </w:r>
      <w:r>
        <w:rPr>
          <w:b/>
          <w:bCs/>
          <w:color w:val="000000" w:themeColor="text1"/>
          <w:sz w:val="28"/>
          <w:szCs w:val="28"/>
          <w:highlight w:val="none"/>
          <w14:textFill>
            <w14:solidFill>
              <w14:schemeClr w14:val="tx1"/>
            </w14:solidFill>
          </w14:textFill>
        </w:rPr>
        <w:instrText xml:space="preserve"> PAGEREF _Toc12950 \h </w:instrText>
      </w:r>
      <w:r>
        <w:rPr>
          <w:b/>
          <w:bCs/>
          <w:color w:val="000000" w:themeColor="text1"/>
          <w:sz w:val="28"/>
          <w:szCs w:val="28"/>
          <w:highlight w:val="none"/>
          <w14:textFill>
            <w14:solidFill>
              <w14:schemeClr w14:val="tx1"/>
            </w14:solidFill>
          </w14:textFill>
        </w:rPr>
        <w:fldChar w:fldCharType="separate"/>
      </w:r>
      <w:r>
        <w:rPr>
          <w:b/>
          <w:bCs/>
          <w:color w:val="000000" w:themeColor="text1"/>
          <w:sz w:val="28"/>
          <w:szCs w:val="28"/>
          <w:highlight w:val="none"/>
          <w14:textFill>
            <w14:solidFill>
              <w14:schemeClr w14:val="tx1"/>
            </w14:solidFill>
          </w14:textFill>
        </w:rPr>
        <w:t>66</w:t>
      </w:r>
      <w:r>
        <w:rPr>
          <w:b/>
          <w:bCs/>
          <w:color w:val="000000" w:themeColor="text1"/>
          <w:sz w:val="28"/>
          <w:szCs w:val="28"/>
          <w:highlight w:val="none"/>
          <w14:textFill>
            <w14:solidFill>
              <w14:schemeClr w14:val="tx1"/>
            </w14:solidFill>
          </w14:textFill>
        </w:rPr>
        <w:fldChar w:fldCharType="end"/>
      </w:r>
      <w:r>
        <w:rPr>
          <w:b/>
          <w:bCs/>
          <w:color w:val="000000" w:themeColor="text1"/>
          <w:sz w:val="28"/>
          <w:szCs w:val="28"/>
          <w:highlight w:val="none"/>
          <w14:textFill>
            <w14:solidFill>
              <w14:schemeClr w14:val="tx1"/>
            </w14:solidFill>
          </w14:textFill>
        </w:rPr>
        <w:fldChar w:fldCharType="end"/>
      </w:r>
    </w:p>
    <w:p w14:paraId="07F89A33">
      <w:pPr>
        <w:pStyle w:val="28"/>
        <w:tabs>
          <w:tab w:val="right" w:leader="dot" w:pos="8930"/>
        </w:tabs>
        <w:rPr>
          <w:color w:val="000000" w:themeColor="text1"/>
          <w:highlight w:val="none"/>
          <w14:textFill>
            <w14:solidFill>
              <w14:schemeClr w14:val="tx1"/>
            </w14:solidFill>
          </w14:textFill>
        </w:rPr>
      </w:pPr>
    </w:p>
    <w:p w14:paraId="1ADA8EA1">
      <w:pPr>
        <w:spacing w:line="360" w:lineRule="auto"/>
        <w:rPr>
          <w:rFonts w:ascii="宋体" w:hAnsi="宋体"/>
          <w:b/>
          <w:color w:val="000000" w:themeColor="text1"/>
          <w:sz w:val="36"/>
          <w:highlight w:val="none"/>
          <w14:textFill>
            <w14:solidFill>
              <w14:schemeClr w14:val="tx1"/>
            </w14:solidFill>
          </w14:textFill>
        </w:rPr>
        <w:sectPr>
          <w:headerReference r:id="rId5" w:type="first"/>
          <w:headerReference r:id="rId3" w:type="default"/>
          <w:footerReference r:id="rId6" w:type="default"/>
          <w:headerReference r:id="rId4" w:type="even"/>
          <w:pgSz w:w="11907" w:h="16840"/>
          <w:pgMar w:top="1276" w:right="1417" w:bottom="1276" w:left="1560" w:header="720" w:footer="720" w:gutter="0"/>
          <w:pgNumType w:start="1"/>
          <w:cols w:space="720" w:num="1"/>
          <w:docGrid w:type="linesAndChars" w:linePitch="285" w:charSpace="0"/>
        </w:sectPr>
      </w:pPr>
      <w:r>
        <w:rPr>
          <w:rFonts w:ascii="宋体" w:hAnsi="宋体"/>
          <w:color w:val="000000" w:themeColor="text1"/>
          <w:highlight w:val="none"/>
          <w14:textFill>
            <w14:solidFill>
              <w14:schemeClr w14:val="tx1"/>
            </w14:solidFill>
          </w14:textFill>
        </w:rPr>
        <w:fldChar w:fldCharType="end"/>
      </w:r>
    </w:p>
    <w:p w14:paraId="510988EC">
      <w:pPr>
        <w:spacing w:line="360" w:lineRule="auto"/>
        <w:jc w:val="center"/>
        <w:rPr>
          <w:rFonts w:ascii="宋体" w:hAnsi="宋体"/>
          <w:b/>
          <w:color w:val="000000" w:themeColor="text1"/>
          <w:sz w:val="36"/>
          <w:highlight w:val="none"/>
          <w14:textFill>
            <w14:solidFill>
              <w14:schemeClr w14:val="tx1"/>
            </w14:solidFill>
          </w14:textFill>
        </w:rPr>
      </w:pPr>
    </w:p>
    <w:p w14:paraId="48EF39CC">
      <w:pPr>
        <w:pStyle w:val="3"/>
        <w:spacing w:beforeLines="0" w:afterLines="0" w:line="360" w:lineRule="auto"/>
        <w:rPr>
          <w:rFonts w:ascii="宋体" w:hAnsi="宋体"/>
          <w:color w:val="000000" w:themeColor="text1"/>
          <w:sz w:val="32"/>
          <w:szCs w:val="32"/>
          <w:highlight w:val="none"/>
          <w14:textFill>
            <w14:solidFill>
              <w14:schemeClr w14:val="tx1"/>
            </w14:solidFill>
          </w14:textFill>
        </w:rPr>
      </w:pPr>
      <w:bookmarkStart w:id="0" w:name="_Toc298230957"/>
      <w:r>
        <w:rPr>
          <w:rFonts w:ascii="宋体" w:hAnsi="宋体"/>
          <w:color w:val="000000" w:themeColor="text1"/>
          <w:sz w:val="32"/>
          <w:szCs w:val="32"/>
          <w:highlight w:val="none"/>
          <w14:textFill>
            <w14:solidFill>
              <w14:schemeClr w14:val="tx1"/>
            </w14:solidFill>
          </w14:textFill>
        </w:rPr>
        <w:br w:type="page"/>
      </w:r>
    </w:p>
    <w:p w14:paraId="67901594">
      <w:pPr>
        <w:pStyle w:val="3"/>
        <w:spacing w:beforeLines="0" w:afterLines="0" w:line="360" w:lineRule="auto"/>
        <w:rPr>
          <w:rFonts w:ascii="宋体" w:hAnsi="宋体"/>
          <w:color w:val="000000" w:themeColor="text1"/>
          <w:sz w:val="32"/>
          <w:szCs w:val="32"/>
          <w:highlight w:val="none"/>
          <w14:textFill>
            <w14:solidFill>
              <w14:schemeClr w14:val="tx1"/>
            </w14:solidFill>
          </w14:textFill>
        </w:rPr>
      </w:pPr>
      <w:bookmarkStart w:id="1" w:name="_Toc17296"/>
      <w:r>
        <w:rPr>
          <w:rFonts w:hint="eastAsia" w:ascii="宋体" w:hAnsi="宋体"/>
          <w:color w:val="000000" w:themeColor="text1"/>
          <w:sz w:val="32"/>
          <w:szCs w:val="32"/>
          <w:highlight w:val="none"/>
          <w14:textFill>
            <w14:solidFill>
              <w14:schemeClr w14:val="tx1"/>
            </w14:solidFill>
          </w14:textFill>
        </w:rPr>
        <w:t>第一部分</w:t>
      </w:r>
      <w:bookmarkEnd w:id="0"/>
      <w:r>
        <w:rPr>
          <w:rFonts w:hint="eastAsia" w:ascii="宋体" w:hAnsi="宋体"/>
          <w:color w:val="000000" w:themeColor="text1"/>
          <w:sz w:val="32"/>
          <w:szCs w:val="32"/>
          <w:highlight w:val="none"/>
          <w14:textFill>
            <w14:solidFill>
              <w14:schemeClr w14:val="tx1"/>
            </w14:solidFill>
          </w14:textFill>
        </w:rPr>
        <w:t xml:space="preserve">  采购公告</w:t>
      </w:r>
      <w:bookmarkEnd w:id="1"/>
    </w:p>
    <w:p w14:paraId="1D655075">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项目概况</w:t>
      </w:r>
    </w:p>
    <w:p w14:paraId="1C40ED7F">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招标项目的潜在投标人应在</w:t>
      </w:r>
      <w:r>
        <w:rPr>
          <w:rFonts w:hint="eastAsia" w:ascii="宋体" w:hAnsi="宋体"/>
          <w:color w:val="000000" w:themeColor="text1"/>
          <w:highlight w:val="none"/>
          <w:u w:val="single"/>
          <w14:textFill>
            <w14:solidFill>
              <w14:schemeClr w14:val="tx1"/>
            </w14:solidFill>
          </w14:textFill>
        </w:rPr>
        <w:t>政府采购云平台（</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"http://www.zcygov.cn）获取（下载）招标文件，并于2020年" </w:instrText>
      </w:r>
      <w:r>
        <w:rPr>
          <w:color w:val="000000" w:themeColor="text1"/>
          <w:highlight w:val="none"/>
          <w14:textFill>
            <w14:solidFill>
              <w14:schemeClr w14:val="tx1"/>
            </w14:solidFill>
          </w14:textFill>
        </w:rPr>
        <w:fldChar w:fldCharType="separate"/>
      </w:r>
      <w:r>
        <w:rPr>
          <w:rStyle w:val="42"/>
          <w:rFonts w:hint="eastAsia" w:ascii="宋体" w:hAnsi="宋体"/>
          <w:color w:val="000000" w:themeColor="text1"/>
          <w:highlight w:val="none"/>
          <w14:textFill>
            <w14:solidFill>
              <w14:schemeClr w14:val="tx1"/>
            </w14:solidFill>
          </w14:textFill>
        </w:rPr>
        <w:t>www.zcygov.cn）获取（下载）招标文件，并于202</w:t>
      </w:r>
      <w:r>
        <w:rPr>
          <w:rStyle w:val="42"/>
          <w:rFonts w:hint="eastAsia" w:ascii="宋体" w:hAnsi="宋体"/>
          <w:color w:val="000000" w:themeColor="text1"/>
          <w:highlight w:val="none"/>
          <w:lang w:val="en-US" w:eastAsia="zh-CN"/>
          <w14:textFill>
            <w14:solidFill>
              <w14:schemeClr w14:val="tx1"/>
            </w14:solidFill>
          </w14:textFill>
        </w:rPr>
        <w:t>5</w:t>
      </w:r>
      <w:r>
        <w:rPr>
          <w:rStyle w:val="42"/>
          <w:rFonts w:hint="eastAsia" w:ascii="宋体" w:hAnsi="宋体"/>
          <w:bCs/>
          <w:color w:val="000000" w:themeColor="text1"/>
          <w:highlight w:val="none"/>
          <w14:textFill>
            <w14:solidFill>
              <w14:schemeClr w14:val="tx1"/>
            </w14:solidFill>
          </w14:textFill>
        </w:rPr>
        <w:t>年</w:t>
      </w:r>
      <w:r>
        <w:rPr>
          <w:rStyle w:val="42"/>
          <w:rFonts w:hint="eastAsia" w:ascii="宋体" w:hAnsi="宋体"/>
          <w:bCs/>
          <w:color w:val="000000" w:themeColor="text1"/>
          <w:highlight w:val="none"/>
          <w14:textFill>
            <w14:solidFill>
              <w14:schemeClr w14:val="tx1"/>
            </w14:solidFill>
          </w14:textFill>
        </w:rPr>
        <w:fldChar w:fldCharType="end"/>
      </w:r>
      <w:r>
        <w:rPr>
          <w:rStyle w:val="42"/>
          <w:rFonts w:hint="eastAsia" w:ascii="宋体" w:hAnsi="宋体"/>
          <w:bCs/>
          <w:color w:val="000000" w:themeColor="text1"/>
          <w:highlight w:val="none"/>
          <w:lang w:val="en-US" w:eastAsia="zh-CN"/>
          <w14:textFill>
            <w14:solidFill>
              <w14:schemeClr w14:val="tx1"/>
            </w14:solidFill>
          </w14:textFill>
        </w:rPr>
        <w:t>7</w:t>
      </w:r>
      <w:r>
        <w:rPr>
          <w:rFonts w:hint="eastAsia" w:ascii="宋体" w:hAnsi="宋体"/>
          <w:bCs/>
          <w:color w:val="000000" w:themeColor="text1"/>
          <w:highlight w:val="none"/>
          <w:u w:val="single"/>
          <w14:textFill>
            <w14:solidFill>
              <w14:schemeClr w14:val="tx1"/>
            </w14:solidFill>
          </w14:textFill>
        </w:rPr>
        <w:t>月</w:t>
      </w:r>
      <w:r>
        <w:rPr>
          <w:rFonts w:hint="eastAsia" w:ascii="宋体" w:hAnsi="宋体"/>
          <w:bCs/>
          <w:color w:val="000000" w:themeColor="text1"/>
          <w:highlight w:val="none"/>
          <w:u w:val="single"/>
          <w:lang w:val="en-US" w:eastAsia="zh-CN"/>
          <w14:textFill>
            <w14:solidFill>
              <w14:schemeClr w14:val="tx1"/>
            </w14:solidFill>
          </w14:textFill>
        </w:rPr>
        <w:t>8</w:t>
      </w:r>
      <w:r>
        <w:rPr>
          <w:rFonts w:hint="eastAsia" w:ascii="宋体" w:hAnsi="宋体"/>
          <w:bCs/>
          <w:color w:val="000000" w:themeColor="text1"/>
          <w:highlight w:val="none"/>
          <w:u w:val="single"/>
          <w14:textFill>
            <w14:solidFill>
              <w14:schemeClr w14:val="tx1"/>
            </w14:solidFill>
          </w14:textFill>
        </w:rPr>
        <w:t>日</w:t>
      </w:r>
      <w:r>
        <w:rPr>
          <w:rFonts w:hint="eastAsia" w:ascii="宋体" w:hAnsi="宋体"/>
          <w:bCs/>
          <w:color w:val="000000" w:themeColor="text1"/>
          <w:highlight w:val="none"/>
          <w:u w:val="single"/>
          <w:lang w:val="en-US" w:eastAsia="zh-CN"/>
          <w14:textFill>
            <w14:solidFill>
              <w14:schemeClr w14:val="tx1"/>
            </w14:solidFill>
          </w14:textFill>
        </w:rPr>
        <w:t>09</w:t>
      </w:r>
      <w:r>
        <w:rPr>
          <w:rFonts w:hint="eastAsia" w:ascii="宋体" w:hAnsi="宋体"/>
          <w:bCs/>
          <w:color w:val="000000" w:themeColor="text1"/>
          <w:highlight w:val="none"/>
          <w:u w:val="single"/>
          <w14:textFill>
            <w14:solidFill>
              <w14:schemeClr w14:val="tx1"/>
            </w14:solidFill>
          </w14:textFill>
        </w:rPr>
        <w:t>点</w:t>
      </w:r>
      <w:r>
        <w:rPr>
          <w:rFonts w:hint="eastAsia" w:ascii="宋体" w:hAnsi="宋体"/>
          <w:bCs/>
          <w:color w:val="000000" w:themeColor="text1"/>
          <w:highlight w:val="none"/>
          <w:u w:val="single"/>
          <w:lang w:val="en-US" w:eastAsia="zh-CN"/>
          <w14:textFill>
            <w14:solidFill>
              <w14:schemeClr w14:val="tx1"/>
            </w14:solidFill>
          </w14:textFill>
        </w:rPr>
        <w:t>3</w:t>
      </w:r>
      <w:r>
        <w:rPr>
          <w:rFonts w:hint="eastAsia" w:ascii="宋体" w:hAnsi="宋体"/>
          <w:bCs/>
          <w:color w:val="000000" w:themeColor="text1"/>
          <w:highlight w:val="none"/>
          <w:u w:val="single"/>
          <w14:textFill>
            <w14:solidFill>
              <w14:schemeClr w14:val="tx1"/>
            </w14:solidFill>
          </w14:textFill>
        </w:rPr>
        <w:t>0分（</w:t>
      </w:r>
      <w:r>
        <w:rPr>
          <w:rFonts w:hint="eastAsia" w:ascii="宋体" w:hAnsi="宋体"/>
          <w:bCs/>
          <w:color w:val="000000" w:themeColor="text1"/>
          <w:highlight w:val="none"/>
          <w14:textFill>
            <w14:solidFill>
              <w14:schemeClr w14:val="tx1"/>
            </w14:solidFill>
          </w14:textFill>
        </w:rPr>
        <w:t>北京时间）前递交投标文件</w:t>
      </w:r>
      <w:r>
        <w:rPr>
          <w:rFonts w:hint="eastAsia" w:ascii="宋体" w:hAnsi="宋体"/>
          <w:color w:val="000000" w:themeColor="text1"/>
          <w:highlight w:val="none"/>
          <w14:textFill>
            <w14:solidFill>
              <w14:schemeClr w14:val="tx1"/>
            </w14:solidFill>
          </w14:textFill>
        </w:rPr>
        <w:t>。</w:t>
      </w:r>
    </w:p>
    <w:p w14:paraId="1B823A8B">
      <w:pPr>
        <w:ind w:firstLine="200"/>
        <w:rPr>
          <w:rFonts w:ascii="宋体" w:hAnsi="宋体"/>
          <w:color w:val="000000" w:themeColor="text1"/>
          <w:highlight w:val="none"/>
          <w14:textFill>
            <w14:solidFill>
              <w14:schemeClr w14:val="tx1"/>
            </w14:solidFill>
          </w14:textFill>
        </w:rPr>
      </w:pPr>
    </w:p>
    <w:p w14:paraId="226DE197">
      <w:pPr>
        <w:pStyle w:val="2"/>
        <w:spacing w:line="360" w:lineRule="auto"/>
        <w:jc w:val="both"/>
        <w:rPr>
          <w:rFonts w:ascii="宋体" w:hAnsi="宋体" w:cs="宋体"/>
          <w:color w:val="000000" w:themeColor="text1"/>
          <w:sz w:val="21"/>
          <w:szCs w:val="21"/>
          <w:highlight w:val="none"/>
          <w14:textFill>
            <w14:solidFill>
              <w14:schemeClr w14:val="tx1"/>
            </w14:solidFill>
          </w14:textFill>
        </w:rPr>
      </w:pPr>
      <w:bookmarkStart w:id="2" w:name="_Toc136017621"/>
      <w:bookmarkStart w:id="3" w:name="_Toc28359002"/>
      <w:bookmarkStart w:id="4" w:name="_Toc15838"/>
      <w:bookmarkStart w:id="5" w:name="_Toc35393621"/>
      <w:bookmarkStart w:id="6" w:name="_Toc35393790"/>
      <w:bookmarkStart w:id="7" w:name="_Toc28359079"/>
      <w:bookmarkStart w:id="8" w:name="_Toc136345083"/>
      <w:bookmarkStart w:id="9" w:name="_Hlk24379207"/>
      <w:r>
        <w:rPr>
          <w:rFonts w:hint="eastAsia" w:ascii="宋体" w:hAnsi="宋体" w:cs="宋体"/>
          <w:color w:val="000000" w:themeColor="text1"/>
          <w:sz w:val="21"/>
          <w:szCs w:val="21"/>
          <w:highlight w:val="none"/>
          <w14:textFill>
            <w14:solidFill>
              <w14:schemeClr w14:val="tx1"/>
            </w14:solidFill>
          </w14:textFill>
        </w:rPr>
        <w:t>一、项目基本情况</w:t>
      </w:r>
      <w:bookmarkEnd w:id="2"/>
      <w:bookmarkEnd w:id="3"/>
      <w:bookmarkEnd w:id="4"/>
      <w:bookmarkEnd w:id="5"/>
      <w:bookmarkEnd w:id="6"/>
      <w:bookmarkEnd w:id="7"/>
      <w:bookmarkEnd w:id="8"/>
    </w:p>
    <w:bookmarkEnd w:id="9"/>
    <w:p w14:paraId="55824C03">
      <w:pPr>
        <w:spacing w:line="360" w:lineRule="auto"/>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项目编号：</w:t>
      </w:r>
      <w:r>
        <w:rPr>
          <w:rFonts w:hint="eastAsia" w:ascii="宋体" w:hAnsi="宋体"/>
          <w:color w:val="000000" w:themeColor="text1"/>
          <w:highlight w:val="none"/>
          <w:lang w:eastAsia="zh-CN"/>
          <w14:textFill>
            <w14:solidFill>
              <w14:schemeClr w14:val="tx1"/>
            </w14:solidFill>
          </w14:textFill>
        </w:rPr>
        <w:t>NBGODOZB225070G</w:t>
      </w:r>
    </w:p>
    <w:p w14:paraId="41E757DE">
      <w:pPr>
        <w:spacing w:line="360" w:lineRule="auto"/>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r>
        <w:rPr>
          <w:rFonts w:hint="eastAsia" w:ascii="宋体" w:hAnsi="宋体"/>
          <w:color w:val="000000" w:themeColor="text1"/>
          <w:highlight w:val="none"/>
          <w:lang w:eastAsia="zh-CN"/>
          <w14:textFill>
            <w14:solidFill>
              <w14:schemeClr w14:val="tx1"/>
            </w14:solidFill>
          </w14:textFill>
        </w:rPr>
        <w:t>2025年大榭市政道路及排水管网综合养护项目</w:t>
      </w:r>
    </w:p>
    <w:p w14:paraId="71708912">
      <w:pP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预算金额（元）：</w:t>
      </w:r>
      <w:r>
        <w:rPr>
          <w:rFonts w:hint="eastAsia" w:ascii="宋体" w:hAnsi="宋体"/>
          <w:color w:val="000000" w:themeColor="text1"/>
          <w:highlight w:val="none"/>
          <w:lang w:val="en-US" w:eastAsia="zh-CN"/>
          <w14:textFill>
            <w14:solidFill>
              <w14:schemeClr w14:val="tx1"/>
            </w14:solidFill>
          </w14:textFill>
        </w:rPr>
        <w:t>7335000</w:t>
      </w:r>
      <w:r>
        <w:rPr>
          <w:rFonts w:hint="eastAsia" w:ascii="宋体" w:hAnsi="宋体"/>
          <w:color w:val="000000" w:themeColor="text1"/>
          <w:highlight w:val="none"/>
          <w14:textFill>
            <w14:solidFill>
              <w14:schemeClr w14:val="tx1"/>
            </w14:solidFill>
          </w14:textFill>
        </w:rPr>
        <w:t xml:space="preserve">.00 </w:t>
      </w:r>
    </w:p>
    <w:p w14:paraId="545684C7">
      <w:pP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最高限价（元）：</w:t>
      </w:r>
      <w:r>
        <w:rPr>
          <w:rFonts w:hint="eastAsia" w:ascii="宋体" w:hAnsi="宋体"/>
          <w:color w:val="000000" w:themeColor="text1"/>
          <w:highlight w:val="none"/>
          <w14:textFill>
            <w14:solidFill>
              <w14:schemeClr w14:val="tx1"/>
            </w14:solidFill>
          </w14:textFill>
        </w:rPr>
        <w:t xml:space="preserve">7334682.46 </w:t>
      </w:r>
      <w:r>
        <w:rPr>
          <w:rFonts w:hint="eastAsia" w:ascii="宋体" w:hAnsi="宋体"/>
          <w:color w:val="000000" w:themeColor="text1"/>
          <w:highlight w:val="none"/>
          <w14:textFill>
            <w14:solidFill>
              <w14:schemeClr w14:val="tx1"/>
            </w14:solidFill>
          </w14:textFill>
        </w:rPr>
        <w:t xml:space="preserve"> </w:t>
      </w:r>
    </w:p>
    <w:p w14:paraId="13FDF623">
      <w:pP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采购需求：</w:t>
      </w:r>
    </w:p>
    <w:p w14:paraId="4A157D86">
      <w:pPr>
        <w:spacing w:line="360" w:lineRule="auto"/>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标项名称：</w:t>
      </w:r>
      <w:r>
        <w:rPr>
          <w:rFonts w:hint="eastAsia" w:ascii="宋体" w:hAnsi="宋体"/>
          <w:color w:val="000000" w:themeColor="text1"/>
          <w:highlight w:val="none"/>
          <w:lang w:eastAsia="zh-CN"/>
          <w14:textFill>
            <w14:solidFill>
              <w14:schemeClr w14:val="tx1"/>
            </w14:solidFill>
          </w14:textFill>
        </w:rPr>
        <w:t>2025年大榭市政道路及排水管网综合养护项目</w:t>
      </w:r>
    </w:p>
    <w:p w14:paraId="024FB805">
      <w:pP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数量：1项</w:t>
      </w:r>
    </w:p>
    <w:p w14:paraId="0E21E543">
      <w:pP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预算金额（元）：</w:t>
      </w:r>
      <w:r>
        <w:rPr>
          <w:rFonts w:hint="eastAsia" w:ascii="宋体" w:hAnsi="宋体"/>
          <w:color w:val="000000" w:themeColor="text1"/>
          <w:highlight w:val="none"/>
          <w:lang w:val="en-US" w:eastAsia="zh-CN"/>
          <w14:textFill>
            <w14:solidFill>
              <w14:schemeClr w14:val="tx1"/>
            </w14:solidFill>
          </w14:textFill>
        </w:rPr>
        <w:t>7335000</w:t>
      </w:r>
      <w:r>
        <w:rPr>
          <w:rFonts w:hint="eastAsia" w:ascii="宋体" w:hAnsi="宋体"/>
          <w:color w:val="000000" w:themeColor="text1"/>
          <w:highlight w:val="none"/>
          <w14:textFill>
            <w14:solidFill>
              <w14:schemeClr w14:val="tx1"/>
            </w14:solidFill>
          </w14:textFill>
        </w:rPr>
        <w:t xml:space="preserve">.00  </w:t>
      </w:r>
    </w:p>
    <w:p w14:paraId="606A7835">
      <w:pPr>
        <w:spacing w:line="360" w:lineRule="auto"/>
        <w:ind w:firstLine="420" w:firstLineChars="200"/>
        <w:rPr>
          <w:rFonts w:ascii="宋体" w:hAnsi="宋体" w:cs="仿宋_GB2312"/>
          <w:color w:val="000000" w:themeColor="text1"/>
          <w:szCs w:val="2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简要规格描述或项目基本概况介绍、用途：</w:t>
      </w:r>
      <w:r>
        <w:rPr>
          <w:rFonts w:hint="eastAsia" w:ascii="宋体" w:hAnsi="宋体" w:cs="宋体"/>
          <w:color w:val="000000" w:themeColor="text1"/>
          <w:sz w:val="21"/>
          <w:szCs w:val="21"/>
          <w:highlight w:val="none"/>
          <w14:textFill>
            <w14:solidFill>
              <w14:schemeClr w14:val="tx1"/>
            </w14:solidFill>
          </w14:textFill>
        </w:rPr>
        <w:t xml:space="preserve">对大榭区域内的城市道路（含人行道）、桥梁、隧道、市政排水管网、市政消火栓及排水固定泵站养护、日常巡查以及防台防汛等极端天气及重大保障等应急综合服务，详见招标文件第二章 </w:t>
      </w:r>
      <w:r>
        <w:rPr>
          <w:rFonts w:hint="eastAsia" w:ascii="宋体" w:hAnsi="宋体" w:cs="宋体"/>
          <w:color w:val="000000" w:themeColor="text1"/>
          <w:sz w:val="21"/>
          <w:szCs w:val="21"/>
          <w:highlight w:val="none"/>
          <w:lang w:val="en-US" w:eastAsia="zh-CN"/>
          <w14:textFill>
            <w14:solidFill>
              <w14:schemeClr w14:val="tx1"/>
            </w14:solidFill>
          </w14:textFill>
        </w:rPr>
        <w:t>招标项目</w:t>
      </w:r>
      <w:r>
        <w:rPr>
          <w:rFonts w:hint="eastAsia" w:ascii="宋体" w:hAnsi="宋体" w:cs="宋体"/>
          <w:color w:val="000000" w:themeColor="text1"/>
          <w:sz w:val="21"/>
          <w:szCs w:val="21"/>
          <w:highlight w:val="none"/>
          <w14:textFill>
            <w14:solidFill>
              <w14:schemeClr w14:val="tx1"/>
            </w14:solidFill>
          </w14:textFill>
        </w:rPr>
        <w:t>需求。</w:t>
      </w:r>
    </w:p>
    <w:p w14:paraId="423605AF">
      <w:pP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备注：</w:t>
      </w:r>
    </w:p>
    <w:p w14:paraId="257ECC6A">
      <w:pPr>
        <w:spacing w:line="360" w:lineRule="auto"/>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合同履行期限：1年，具体履约时间以合同签订时间为准</w:t>
      </w:r>
      <w:r>
        <w:rPr>
          <w:rFonts w:hint="eastAsia" w:ascii="宋体" w:hAnsi="宋体"/>
          <w:color w:val="000000" w:themeColor="text1"/>
          <w:highlight w:val="none"/>
          <w:lang w:eastAsia="zh-CN"/>
          <w14:textFill>
            <w14:solidFill>
              <w14:schemeClr w14:val="tx1"/>
            </w14:solidFill>
          </w14:textFill>
        </w:rPr>
        <w:t>。</w:t>
      </w:r>
    </w:p>
    <w:p w14:paraId="51EC1D69">
      <w:pPr>
        <w:spacing w:line="360" w:lineRule="auto"/>
        <w:ind w:firstLine="420" w:firstLineChars="200"/>
        <w:rPr>
          <w:rFonts w:ascii="宋体" w:hAnsi="宋体"/>
          <w:color w:val="000000" w:themeColor="text1"/>
          <w:highlight w:val="none"/>
          <w14:textFill>
            <w14:solidFill>
              <w14:schemeClr w14:val="tx1"/>
            </w14:solidFill>
          </w14:textFill>
        </w:rPr>
      </w:pPr>
      <w:bookmarkStart w:id="10" w:name="_Toc28359080"/>
      <w:bookmarkStart w:id="11" w:name="_Toc35393622"/>
      <w:bookmarkStart w:id="12" w:name="_Toc28359003"/>
      <w:bookmarkStart w:id="13" w:name="_Toc35393791"/>
      <w:r>
        <w:rPr>
          <w:rFonts w:hint="eastAsia" w:ascii="宋体" w:hAnsi="宋体"/>
          <w:color w:val="000000" w:themeColor="text1"/>
          <w:highlight w:val="none"/>
          <w14:textFill>
            <w14:solidFill>
              <w14:schemeClr w14:val="tx1"/>
            </w14:solidFill>
          </w14:textFill>
        </w:rPr>
        <w:t>本项目（</w:t>
      </w:r>
      <w:r>
        <w:rPr>
          <w:rFonts w:hint="eastAsia" w:ascii="宋体" w:hAnsi="宋体"/>
          <w:color w:val="000000" w:themeColor="text1"/>
          <w:highlight w:val="none"/>
          <w:lang w:val="en-US" w:eastAsia="zh-CN"/>
          <w14:textFill>
            <w14:solidFill>
              <w14:schemeClr w14:val="tx1"/>
            </w14:solidFill>
          </w14:textFill>
        </w:rPr>
        <w:t>否</w:t>
      </w:r>
      <w:r>
        <w:rPr>
          <w:rFonts w:hint="eastAsia" w:ascii="宋体" w:hAnsi="宋体"/>
          <w:color w:val="000000" w:themeColor="text1"/>
          <w:highlight w:val="none"/>
          <w14:textFill>
            <w14:solidFill>
              <w14:schemeClr w14:val="tx1"/>
            </w14:solidFill>
          </w14:textFill>
        </w:rPr>
        <w:t>）接受联合体投标。</w:t>
      </w:r>
    </w:p>
    <w:p w14:paraId="0B5DA293">
      <w:pPr>
        <w:pStyle w:val="2"/>
        <w:spacing w:line="360" w:lineRule="auto"/>
        <w:jc w:val="both"/>
        <w:rPr>
          <w:rFonts w:ascii="宋体" w:hAnsi="宋体" w:cs="宋体"/>
          <w:color w:val="000000" w:themeColor="text1"/>
          <w:sz w:val="21"/>
          <w:szCs w:val="21"/>
          <w:highlight w:val="none"/>
          <w14:textFill>
            <w14:solidFill>
              <w14:schemeClr w14:val="tx1"/>
            </w14:solidFill>
          </w14:textFill>
        </w:rPr>
      </w:pPr>
      <w:bookmarkStart w:id="14" w:name="_Toc136017622"/>
      <w:bookmarkStart w:id="15" w:name="_Toc24273"/>
      <w:bookmarkStart w:id="16" w:name="_Toc136345084"/>
      <w:r>
        <w:rPr>
          <w:rFonts w:hint="eastAsia" w:ascii="宋体" w:hAnsi="宋体" w:cs="宋体"/>
          <w:color w:val="000000" w:themeColor="text1"/>
          <w:sz w:val="21"/>
          <w:szCs w:val="21"/>
          <w:highlight w:val="none"/>
          <w14:textFill>
            <w14:solidFill>
              <w14:schemeClr w14:val="tx1"/>
            </w14:solidFill>
          </w14:textFill>
        </w:rPr>
        <w:t>二、申请人的资格要求：</w:t>
      </w:r>
      <w:bookmarkEnd w:id="10"/>
      <w:bookmarkEnd w:id="11"/>
      <w:bookmarkEnd w:id="12"/>
      <w:bookmarkEnd w:id="13"/>
      <w:bookmarkEnd w:id="14"/>
      <w:bookmarkEnd w:id="15"/>
      <w:bookmarkEnd w:id="16"/>
    </w:p>
    <w:p w14:paraId="4223DA3C">
      <w:pPr>
        <w:spacing w:line="360" w:lineRule="auto"/>
        <w:ind w:firstLine="420" w:firstLineChars="200"/>
        <w:rPr>
          <w:rFonts w:ascii="宋体" w:hAnsi="宋体"/>
          <w:color w:val="000000" w:themeColor="text1"/>
          <w:highlight w:val="none"/>
          <w14:textFill>
            <w14:solidFill>
              <w14:schemeClr w14:val="tx1"/>
            </w14:solidFill>
          </w14:textFill>
        </w:rPr>
      </w:pPr>
      <w:bookmarkStart w:id="17" w:name="_Toc28359004"/>
      <w:bookmarkStart w:id="18" w:name="_Toc28359081"/>
      <w:r>
        <w:rPr>
          <w:rFonts w:hint="eastAsia" w:ascii="宋体" w:hAnsi="宋体"/>
          <w:color w:val="000000" w:themeColor="text1"/>
          <w:highlight w:val="none"/>
          <w14:textFill>
            <w14:solidFill>
              <w14:schemeClr w14:val="tx1"/>
            </w14:solidFill>
          </w14:textFill>
        </w:rPr>
        <w:t>1.满足《中华人民共和国政府采购法》第二十二条规定；未被“信用中国”（www.creditchina.gov.cn)、中国政府采购网（www.ccgp.gov.cn）列入失信被执行人、重大税收违法案件当事人名单、政府采购严重违法失信行为记录名单。</w:t>
      </w:r>
    </w:p>
    <w:p w14:paraId="46652BA2">
      <w:pP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2.落实政府采购政策需满足的资格要求：无</w:t>
      </w:r>
    </w:p>
    <w:p w14:paraId="680D9090">
      <w:pP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3.本项目的特定资格要求：无；</w:t>
      </w:r>
    </w:p>
    <w:p w14:paraId="447F9DB3">
      <w:pPr>
        <w:pStyle w:val="2"/>
        <w:spacing w:line="360" w:lineRule="auto"/>
        <w:jc w:val="both"/>
        <w:rPr>
          <w:rFonts w:ascii="宋体" w:hAnsi="宋体" w:cs="宋体"/>
          <w:color w:val="000000" w:themeColor="text1"/>
          <w:sz w:val="21"/>
          <w:szCs w:val="21"/>
          <w:highlight w:val="none"/>
          <w14:textFill>
            <w14:solidFill>
              <w14:schemeClr w14:val="tx1"/>
            </w14:solidFill>
          </w14:textFill>
        </w:rPr>
      </w:pPr>
      <w:bookmarkStart w:id="19" w:name="_Toc136017623"/>
      <w:bookmarkStart w:id="20" w:name="_Toc10828"/>
      <w:bookmarkStart w:id="21" w:name="_Toc35393792"/>
      <w:bookmarkStart w:id="22" w:name="_Toc136345085"/>
      <w:bookmarkStart w:id="23" w:name="_Toc35393623"/>
      <w:r>
        <w:rPr>
          <w:rFonts w:hint="eastAsia" w:ascii="宋体" w:hAnsi="宋体" w:cs="宋体"/>
          <w:color w:val="000000" w:themeColor="text1"/>
          <w:sz w:val="21"/>
          <w:szCs w:val="21"/>
          <w:highlight w:val="none"/>
          <w14:textFill>
            <w14:solidFill>
              <w14:schemeClr w14:val="tx1"/>
            </w14:solidFill>
          </w14:textFill>
        </w:rPr>
        <w:t>三、获取招标文件</w:t>
      </w:r>
      <w:bookmarkEnd w:id="17"/>
      <w:bookmarkEnd w:id="18"/>
      <w:bookmarkEnd w:id="19"/>
      <w:bookmarkEnd w:id="20"/>
      <w:bookmarkEnd w:id="21"/>
      <w:bookmarkEnd w:id="22"/>
      <w:bookmarkEnd w:id="23"/>
    </w:p>
    <w:p w14:paraId="43986E9F">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时间：</w:t>
      </w:r>
      <w:r>
        <w:rPr>
          <w:rFonts w:hint="eastAsia" w:ascii="宋体" w:hAnsi="宋体"/>
          <w:color w:val="000000" w:themeColor="text1"/>
          <w:highlight w:val="none"/>
          <w:u w:val="single"/>
          <w14:textFill>
            <w14:solidFill>
              <w14:schemeClr w14:val="tx1"/>
            </w14:solidFill>
          </w14:textFill>
        </w:rPr>
        <w:t>202</w:t>
      </w:r>
      <w:r>
        <w:rPr>
          <w:rFonts w:hint="eastAsia" w:ascii="宋体" w:hAnsi="宋体"/>
          <w:color w:val="000000" w:themeColor="text1"/>
          <w:highlight w:val="none"/>
          <w:u w:val="single"/>
          <w:lang w:val="en-US" w:eastAsia="zh-CN"/>
          <w14:textFill>
            <w14:solidFill>
              <w14:schemeClr w14:val="tx1"/>
            </w14:solidFill>
          </w14:textFill>
        </w:rPr>
        <w:t>5</w:t>
      </w:r>
      <w:r>
        <w:rPr>
          <w:rFonts w:hint="eastAsia" w:ascii="宋体" w:hAnsi="宋体"/>
          <w:bCs/>
          <w:color w:val="000000" w:themeColor="text1"/>
          <w:highlight w:val="none"/>
          <w:u w:val="single"/>
          <w14:textFill>
            <w14:solidFill>
              <w14:schemeClr w14:val="tx1"/>
            </w14:solidFill>
          </w14:textFill>
        </w:rPr>
        <w:t>年</w:t>
      </w:r>
      <w:r>
        <w:rPr>
          <w:rFonts w:hint="eastAsia" w:ascii="宋体" w:hAnsi="宋体"/>
          <w:bCs/>
          <w:color w:val="000000" w:themeColor="text1"/>
          <w:highlight w:val="none"/>
          <w:u w:val="single"/>
          <w:lang w:val="en-US" w:eastAsia="zh-CN"/>
          <w14:textFill>
            <w14:solidFill>
              <w14:schemeClr w14:val="tx1"/>
            </w14:solidFill>
          </w14:textFill>
        </w:rPr>
        <w:t>6</w:t>
      </w:r>
      <w:r>
        <w:rPr>
          <w:rFonts w:hint="eastAsia" w:ascii="宋体" w:hAnsi="宋体"/>
          <w:bCs/>
          <w:color w:val="000000" w:themeColor="text1"/>
          <w:highlight w:val="none"/>
          <w:u w:val="single"/>
          <w14:textFill>
            <w14:solidFill>
              <w14:schemeClr w14:val="tx1"/>
            </w14:solidFill>
          </w14:textFill>
        </w:rPr>
        <w:t>月</w:t>
      </w:r>
      <w:r>
        <w:rPr>
          <w:rFonts w:hint="eastAsia" w:ascii="宋体" w:hAnsi="宋体"/>
          <w:bCs/>
          <w:color w:val="000000" w:themeColor="text1"/>
          <w:highlight w:val="none"/>
          <w:u w:val="single"/>
          <w:lang w:val="en-US" w:eastAsia="zh-CN"/>
          <w14:textFill>
            <w14:solidFill>
              <w14:schemeClr w14:val="tx1"/>
            </w14:solidFill>
          </w14:textFill>
        </w:rPr>
        <w:t>18</w:t>
      </w:r>
      <w:r>
        <w:rPr>
          <w:rFonts w:hint="eastAsia" w:ascii="宋体" w:hAnsi="宋体"/>
          <w:bCs/>
          <w:color w:val="000000" w:themeColor="text1"/>
          <w:highlight w:val="none"/>
          <w:u w:val="single"/>
          <w14:textFill>
            <w14:solidFill>
              <w14:schemeClr w14:val="tx1"/>
            </w14:solidFill>
          </w14:textFill>
        </w:rPr>
        <w:t>日</w:t>
      </w:r>
      <w:r>
        <w:rPr>
          <w:rFonts w:hint="eastAsia" w:ascii="宋体" w:hAnsi="宋体"/>
          <w:color w:val="000000" w:themeColor="text1"/>
          <w:highlight w:val="none"/>
          <w14:textFill>
            <w14:solidFill>
              <w14:schemeClr w14:val="tx1"/>
            </w14:solidFill>
          </w14:textFill>
        </w:rPr>
        <w:t>至</w:t>
      </w:r>
      <w:r>
        <w:rPr>
          <w:rFonts w:hint="eastAsia" w:ascii="宋体" w:hAnsi="宋体"/>
          <w:color w:val="000000" w:themeColor="text1"/>
          <w:highlight w:val="none"/>
          <w:u w:val="single"/>
          <w14:textFill>
            <w14:solidFill>
              <w14:schemeClr w14:val="tx1"/>
            </w14:solidFill>
          </w14:textFill>
        </w:rPr>
        <w:t>202</w:t>
      </w:r>
      <w:r>
        <w:rPr>
          <w:rFonts w:hint="eastAsia" w:ascii="宋体" w:hAnsi="宋体"/>
          <w:color w:val="000000" w:themeColor="text1"/>
          <w:highlight w:val="none"/>
          <w:u w:val="single"/>
          <w:lang w:val="en-US" w:eastAsia="zh-CN"/>
          <w14:textFill>
            <w14:solidFill>
              <w14:schemeClr w14:val="tx1"/>
            </w14:solidFill>
          </w14:textFill>
        </w:rPr>
        <w:t>5</w:t>
      </w:r>
      <w:r>
        <w:rPr>
          <w:rFonts w:hint="eastAsia" w:ascii="宋体" w:hAnsi="宋体"/>
          <w:bCs/>
          <w:color w:val="000000" w:themeColor="text1"/>
          <w:highlight w:val="none"/>
          <w:u w:val="single"/>
          <w14:textFill>
            <w14:solidFill>
              <w14:schemeClr w14:val="tx1"/>
            </w14:solidFill>
          </w14:textFill>
        </w:rPr>
        <w:t>年</w:t>
      </w:r>
      <w:r>
        <w:rPr>
          <w:rFonts w:hint="eastAsia" w:ascii="宋体" w:hAnsi="宋体"/>
          <w:bCs/>
          <w:color w:val="000000" w:themeColor="text1"/>
          <w:highlight w:val="none"/>
          <w:u w:val="single"/>
          <w:lang w:val="en-US" w:eastAsia="zh-CN"/>
          <w14:textFill>
            <w14:solidFill>
              <w14:schemeClr w14:val="tx1"/>
            </w14:solidFill>
          </w14:textFill>
        </w:rPr>
        <w:t>6</w:t>
      </w:r>
      <w:r>
        <w:rPr>
          <w:rFonts w:hint="eastAsia" w:ascii="宋体" w:hAnsi="宋体"/>
          <w:bCs/>
          <w:color w:val="000000" w:themeColor="text1"/>
          <w:highlight w:val="none"/>
          <w:u w:val="single"/>
          <w14:textFill>
            <w14:solidFill>
              <w14:schemeClr w14:val="tx1"/>
            </w14:solidFill>
          </w14:textFill>
        </w:rPr>
        <w:t>月</w:t>
      </w:r>
      <w:r>
        <w:rPr>
          <w:rFonts w:hint="eastAsia" w:ascii="宋体" w:hAnsi="宋体"/>
          <w:bCs/>
          <w:color w:val="000000" w:themeColor="text1"/>
          <w:highlight w:val="none"/>
          <w:u w:val="single"/>
          <w:lang w:val="en-US" w:eastAsia="zh-CN"/>
          <w14:textFill>
            <w14:solidFill>
              <w14:schemeClr w14:val="tx1"/>
            </w14:solidFill>
          </w14:textFill>
        </w:rPr>
        <w:t>25</w:t>
      </w:r>
      <w:r>
        <w:rPr>
          <w:rFonts w:hint="eastAsia" w:ascii="宋体" w:hAnsi="宋体"/>
          <w:bCs/>
          <w:color w:val="000000" w:themeColor="text1"/>
          <w:highlight w:val="none"/>
          <w:u w:val="single"/>
          <w14:textFill>
            <w14:solidFill>
              <w14:schemeClr w14:val="tx1"/>
            </w14:solidFill>
          </w14:textFill>
        </w:rPr>
        <w:t>日</w:t>
      </w:r>
      <w:r>
        <w:rPr>
          <w:rFonts w:hint="eastAsia" w:ascii="宋体" w:hAnsi="宋体" w:cs="宋体"/>
          <w:color w:val="000000" w:themeColor="text1"/>
          <w:highlight w:val="none"/>
          <w14:textFill>
            <w14:solidFill>
              <w14:schemeClr w14:val="tx1"/>
            </w14:solidFill>
          </w14:textFill>
        </w:rPr>
        <w:t>，每天上午</w:t>
      </w:r>
      <w:r>
        <w:rPr>
          <w:rFonts w:hint="eastAsia" w:ascii="宋体" w:hAnsi="宋体" w:cs="宋体"/>
          <w:color w:val="000000" w:themeColor="text1"/>
          <w:highlight w:val="none"/>
          <w:u w:val="single"/>
          <w14:textFill>
            <w14:solidFill>
              <w14:schemeClr w14:val="tx1"/>
            </w14:solidFill>
          </w14:textFill>
        </w:rPr>
        <w:t>00:00</w:t>
      </w:r>
      <w:r>
        <w:rPr>
          <w:rFonts w:hint="eastAsia" w:ascii="宋体" w:hAnsi="宋体" w:cs="宋体"/>
          <w:color w:val="000000" w:themeColor="text1"/>
          <w:highlight w:val="none"/>
          <w14:textFill>
            <w14:solidFill>
              <w14:schemeClr w14:val="tx1"/>
            </w14:solidFill>
          </w14:textFill>
        </w:rPr>
        <w:t>至</w:t>
      </w:r>
      <w:r>
        <w:rPr>
          <w:rFonts w:hint="eastAsia" w:ascii="宋体" w:hAnsi="宋体" w:cs="宋体"/>
          <w:color w:val="000000" w:themeColor="text1"/>
          <w:highlight w:val="none"/>
          <w:u w:val="single"/>
          <w14:textFill>
            <w14:solidFill>
              <w14:schemeClr w14:val="tx1"/>
            </w14:solidFill>
          </w14:textFill>
        </w:rPr>
        <w:t>12:00</w:t>
      </w:r>
      <w:r>
        <w:rPr>
          <w:rFonts w:hint="eastAsia" w:ascii="宋体" w:hAnsi="宋体" w:cs="宋体"/>
          <w:color w:val="000000" w:themeColor="text1"/>
          <w:highlight w:val="none"/>
          <w14:textFill>
            <w14:solidFill>
              <w14:schemeClr w14:val="tx1"/>
            </w14:solidFill>
          </w14:textFill>
        </w:rPr>
        <w:t>，下午</w:t>
      </w:r>
      <w:r>
        <w:rPr>
          <w:rFonts w:hint="eastAsia" w:ascii="宋体" w:hAnsi="宋体" w:cs="宋体"/>
          <w:color w:val="000000" w:themeColor="text1"/>
          <w:highlight w:val="none"/>
          <w:u w:val="single"/>
          <w14:textFill>
            <w14:solidFill>
              <w14:schemeClr w14:val="tx1"/>
            </w14:solidFill>
          </w14:textFill>
        </w:rPr>
        <w:t>12:00</w:t>
      </w:r>
      <w:r>
        <w:rPr>
          <w:rFonts w:hint="eastAsia" w:ascii="宋体" w:hAnsi="宋体" w:cs="宋体"/>
          <w:color w:val="000000" w:themeColor="text1"/>
          <w:highlight w:val="none"/>
          <w14:textFill>
            <w14:solidFill>
              <w14:schemeClr w14:val="tx1"/>
            </w14:solidFill>
          </w14:textFill>
        </w:rPr>
        <w:t>至</w:t>
      </w:r>
      <w:r>
        <w:rPr>
          <w:rFonts w:hint="eastAsia" w:ascii="宋体" w:hAnsi="宋体" w:cs="宋体"/>
          <w:color w:val="000000" w:themeColor="text1"/>
          <w:highlight w:val="none"/>
          <w:u w:val="single"/>
          <w14:textFill>
            <w14:solidFill>
              <w14:schemeClr w14:val="tx1"/>
            </w14:solidFill>
          </w14:textFill>
        </w:rPr>
        <w:t>23:59</w:t>
      </w:r>
      <w:r>
        <w:rPr>
          <w:rFonts w:hint="eastAsia" w:ascii="宋体" w:hAnsi="宋体" w:cs="宋体"/>
          <w:color w:val="000000" w:themeColor="text1"/>
          <w:highlight w:val="none"/>
          <w14:textFill>
            <w14:solidFill>
              <w14:schemeClr w14:val="tx1"/>
            </w14:solidFill>
          </w14:textFill>
        </w:rPr>
        <w:t>（北京时间，线上获取法定节假日均可，线下获取文件法定节假日除外）</w:t>
      </w:r>
    </w:p>
    <w:p w14:paraId="1C6857DB">
      <w:pPr>
        <w:spacing w:line="360" w:lineRule="auto"/>
        <w:ind w:firstLine="420" w:firstLineChars="200"/>
        <w:rPr>
          <w:rFonts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地点（网址）：</w:t>
      </w:r>
      <w:r>
        <w:rPr>
          <w:rFonts w:hint="eastAsia" w:ascii="宋体" w:hAnsi="宋体"/>
          <w:color w:val="000000" w:themeColor="text1"/>
          <w:highlight w:val="none"/>
          <w14:textFill>
            <w14:solidFill>
              <w14:schemeClr w14:val="tx1"/>
            </w14:solidFill>
          </w14:textFill>
        </w:rPr>
        <w:t>政府采购云平台（http://www.zcygov.cn/）。</w:t>
      </w:r>
    </w:p>
    <w:p w14:paraId="2F2E1ACD">
      <w:pPr>
        <w:snapToGrid w:val="0"/>
        <w:spacing w:line="400" w:lineRule="exact"/>
        <w:ind w:firstLine="411" w:firstLineChars="196"/>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方式：（1）本项目招标文件实行“政府采购云平台”在线获取，不提供招标文件纸质版。投标人获取招标文件前应先完成“政府采购云平台”的账号注册； </w:t>
      </w:r>
    </w:p>
    <w:p w14:paraId="3A69E4FD">
      <w:pPr>
        <w:snapToGrid w:val="0"/>
        <w:spacing w:line="400" w:lineRule="exact"/>
        <w:ind w:firstLine="411" w:firstLineChars="196"/>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2）潜在供应商登陆政采云平台，在线申请获取招标文件（进入“项目采购”应用，在获取招标文件菜单中选择项目，申请获取招标文件；仅需浏览招标文件的投标人可点击“游客，浏览招标文件”直接下载招标文件浏览）； </w:t>
      </w:r>
    </w:p>
    <w:p w14:paraId="3BBD30F4">
      <w:pPr>
        <w:snapToGrid w:val="0"/>
        <w:spacing w:line="400" w:lineRule="exact"/>
        <w:ind w:firstLine="411" w:firstLineChars="196"/>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招标公告附件内的招标文件仅供阅览使用，投标人只有在“政府采购云平台”完成获取招标文件申请并下载了招标文件后才视作依法获取招标文件（法律法规所指的投标人获取招标文件时间以投标人完成获取招标文件申请后下载招标文件的时间为准）。</w:t>
      </w:r>
      <w:r>
        <w:rPr>
          <w:rFonts w:hint="eastAsia" w:cs="Arial" w:asciiTheme="minorEastAsia" w:hAnsiTheme="minorEastAsia" w:eastAsiaTheme="minorEastAsia"/>
          <w:color w:val="000000" w:themeColor="text1"/>
          <w:szCs w:val="21"/>
          <w:highlight w:val="none"/>
          <w14:textFill>
            <w14:solidFill>
              <w14:schemeClr w14:val="tx1"/>
            </w14:solidFill>
          </w14:textFill>
        </w:rPr>
        <w:t>未按照招标文件规定程序依法获取招标文件的潜在投标人，对招标文件提起质疑的，按照无效质疑处理。采购代理机构拒绝接收未依法获取本项目招标</w:t>
      </w:r>
      <w:r>
        <w:rPr>
          <w:rFonts w:cs="Arial" w:asciiTheme="minorEastAsia" w:hAnsiTheme="minorEastAsia" w:eastAsiaTheme="minorEastAsia"/>
          <w:color w:val="000000" w:themeColor="text1"/>
          <w:szCs w:val="21"/>
          <w:highlight w:val="none"/>
          <w14:textFill>
            <w14:solidFill>
              <w14:schemeClr w14:val="tx1"/>
            </w14:solidFill>
          </w14:textFill>
        </w:rPr>
        <w:t>文件</w:t>
      </w:r>
      <w:r>
        <w:rPr>
          <w:rFonts w:hint="eastAsia" w:cs="Arial" w:asciiTheme="minorEastAsia" w:hAnsiTheme="minorEastAsia" w:eastAsiaTheme="minorEastAsia"/>
          <w:color w:val="000000" w:themeColor="text1"/>
          <w:szCs w:val="21"/>
          <w:highlight w:val="none"/>
          <w14:textFill>
            <w14:solidFill>
              <w14:schemeClr w14:val="tx1"/>
            </w14:solidFill>
          </w14:textFill>
        </w:rPr>
        <w:t>的投标人提交的投标文件。</w:t>
      </w:r>
    </w:p>
    <w:p w14:paraId="64688DFB">
      <w:pPr>
        <w:snapToGrid w:val="0"/>
        <w:spacing w:line="400" w:lineRule="exact"/>
        <w:ind w:firstLine="411" w:firstLineChars="196"/>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注：请投标人按上述要求获取招标文件，如未在“政采云”系统内完成相关流程，引起的投标无效责任自负。  </w:t>
      </w:r>
    </w:p>
    <w:p w14:paraId="6492E6BB">
      <w:pPr>
        <w:spacing w:line="360" w:lineRule="auto"/>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售价：0元。</w:t>
      </w:r>
    </w:p>
    <w:p w14:paraId="39FB0A67">
      <w:pPr>
        <w:spacing w:line="360" w:lineRule="auto"/>
        <w:ind w:firstLine="420" w:firstLineChars="200"/>
        <w:rPr>
          <w:rFonts w:ascii="宋体" w:hAnsi="宋体" w:cs="宋体"/>
          <w:color w:val="000000" w:themeColor="text1"/>
          <w:highlight w:val="none"/>
          <w14:textFill>
            <w14:solidFill>
              <w14:schemeClr w14:val="tx1"/>
            </w14:solidFill>
          </w14:textFill>
        </w:rPr>
      </w:pPr>
    </w:p>
    <w:p w14:paraId="5C70E43C">
      <w:pPr>
        <w:pStyle w:val="2"/>
        <w:spacing w:line="360" w:lineRule="auto"/>
        <w:jc w:val="both"/>
        <w:rPr>
          <w:rFonts w:ascii="宋体" w:hAnsi="宋体" w:cs="宋体"/>
          <w:color w:val="000000" w:themeColor="text1"/>
          <w:sz w:val="21"/>
          <w:szCs w:val="21"/>
          <w:highlight w:val="none"/>
          <w14:textFill>
            <w14:solidFill>
              <w14:schemeClr w14:val="tx1"/>
            </w14:solidFill>
          </w14:textFill>
        </w:rPr>
      </w:pPr>
      <w:bookmarkStart w:id="24" w:name="_Toc28359082"/>
      <w:bookmarkStart w:id="25" w:name="_Toc28359005"/>
      <w:bookmarkStart w:id="26" w:name="_Toc136345086"/>
      <w:bookmarkStart w:id="27" w:name="_Toc35393793"/>
      <w:bookmarkStart w:id="28" w:name="_Toc136017624"/>
      <w:bookmarkStart w:id="29" w:name="_Toc35393624"/>
      <w:bookmarkStart w:id="30" w:name="_Toc25361"/>
      <w:r>
        <w:rPr>
          <w:rFonts w:hint="eastAsia" w:ascii="宋体" w:hAnsi="宋体" w:cs="宋体"/>
          <w:color w:val="000000" w:themeColor="text1"/>
          <w:sz w:val="21"/>
          <w:szCs w:val="21"/>
          <w:highlight w:val="none"/>
          <w14:textFill>
            <w14:solidFill>
              <w14:schemeClr w14:val="tx1"/>
            </w14:solidFill>
          </w14:textFill>
        </w:rPr>
        <w:t>四、提交投标文件</w:t>
      </w:r>
      <w:bookmarkEnd w:id="24"/>
      <w:bookmarkEnd w:id="25"/>
      <w:r>
        <w:rPr>
          <w:rFonts w:hint="eastAsia" w:ascii="宋体" w:hAnsi="宋体" w:cs="宋体"/>
          <w:color w:val="000000" w:themeColor="text1"/>
          <w:sz w:val="21"/>
          <w:szCs w:val="21"/>
          <w:highlight w:val="none"/>
          <w14:textFill>
            <w14:solidFill>
              <w14:schemeClr w14:val="tx1"/>
            </w14:solidFill>
          </w14:textFill>
        </w:rPr>
        <w:t>截止时间、开标时间和地点</w:t>
      </w:r>
      <w:bookmarkEnd w:id="26"/>
      <w:bookmarkEnd w:id="27"/>
      <w:bookmarkEnd w:id="28"/>
      <w:bookmarkEnd w:id="29"/>
      <w:bookmarkEnd w:id="30"/>
    </w:p>
    <w:p w14:paraId="661383A0">
      <w:pPr>
        <w:spacing w:line="360" w:lineRule="auto"/>
        <w:ind w:firstLine="420" w:firstLineChars="200"/>
        <w:rPr>
          <w:rFonts w:ascii="宋体" w:hAnsi="宋体"/>
          <w:bCs/>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提交投标文件截止时间：</w:t>
      </w:r>
      <w:r>
        <w:rPr>
          <w:rFonts w:hint="eastAsia" w:ascii="宋体" w:hAnsi="宋体"/>
          <w:color w:val="000000" w:themeColor="text1"/>
          <w:highlight w:val="none"/>
          <w:u w:val="single"/>
          <w14:textFill>
            <w14:solidFill>
              <w14:schemeClr w14:val="tx1"/>
            </w14:solidFill>
          </w14:textFill>
        </w:rPr>
        <w:t>202</w:t>
      </w:r>
      <w:r>
        <w:rPr>
          <w:rFonts w:hint="eastAsia" w:ascii="宋体" w:hAnsi="宋体"/>
          <w:color w:val="000000" w:themeColor="text1"/>
          <w:highlight w:val="none"/>
          <w:u w:val="single"/>
          <w:lang w:val="en-US" w:eastAsia="zh-CN"/>
          <w14:textFill>
            <w14:solidFill>
              <w14:schemeClr w14:val="tx1"/>
            </w14:solidFill>
          </w14:textFill>
        </w:rPr>
        <w:t>5</w:t>
      </w:r>
      <w:r>
        <w:rPr>
          <w:rFonts w:hint="eastAsia" w:ascii="宋体" w:hAnsi="宋体"/>
          <w:bCs/>
          <w:color w:val="000000" w:themeColor="text1"/>
          <w:highlight w:val="none"/>
          <w:u w:val="single"/>
          <w14:textFill>
            <w14:solidFill>
              <w14:schemeClr w14:val="tx1"/>
            </w14:solidFill>
          </w14:textFill>
        </w:rPr>
        <w:t>年</w:t>
      </w:r>
      <w:r>
        <w:rPr>
          <w:rFonts w:hint="eastAsia" w:ascii="宋体" w:hAnsi="宋体"/>
          <w:bCs/>
          <w:color w:val="000000" w:themeColor="text1"/>
          <w:highlight w:val="none"/>
          <w:u w:val="single"/>
          <w:lang w:val="en-US" w:eastAsia="zh-CN"/>
          <w14:textFill>
            <w14:solidFill>
              <w14:schemeClr w14:val="tx1"/>
            </w14:solidFill>
          </w14:textFill>
        </w:rPr>
        <w:t>7</w:t>
      </w:r>
      <w:r>
        <w:rPr>
          <w:rFonts w:hint="eastAsia" w:ascii="宋体" w:hAnsi="宋体"/>
          <w:bCs/>
          <w:color w:val="000000" w:themeColor="text1"/>
          <w:highlight w:val="none"/>
          <w:u w:val="single"/>
          <w14:textFill>
            <w14:solidFill>
              <w14:schemeClr w14:val="tx1"/>
            </w14:solidFill>
          </w14:textFill>
        </w:rPr>
        <w:t>月</w:t>
      </w:r>
      <w:r>
        <w:rPr>
          <w:rFonts w:hint="eastAsia" w:ascii="宋体" w:hAnsi="宋体"/>
          <w:bCs/>
          <w:color w:val="000000" w:themeColor="text1"/>
          <w:highlight w:val="none"/>
          <w:u w:val="single"/>
          <w:lang w:val="en-US" w:eastAsia="zh-CN"/>
          <w14:textFill>
            <w14:solidFill>
              <w14:schemeClr w14:val="tx1"/>
            </w14:solidFill>
          </w14:textFill>
        </w:rPr>
        <w:t>8</w:t>
      </w:r>
      <w:r>
        <w:rPr>
          <w:rFonts w:hint="eastAsia" w:ascii="宋体" w:hAnsi="宋体"/>
          <w:bCs/>
          <w:color w:val="000000" w:themeColor="text1"/>
          <w:highlight w:val="none"/>
          <w:u w:val="single"/>
          <w14:textFill>
            <w14:solidFill>
              <w14:schemeClr w14:val="tx1"/>
            </w14:solidFill>
          </w14:textFill>
        </w:rPr>
        <w:t>日</w:t>
      </w:r>
      <w:r>
        <w:rPr>
          <w:rFonts w:hint="eastAsia" w:ascii="宋体" w:hAnsi="宋体"/>
          <w:bCs/>
          <w:color w:val="000000" w:themeColor="text1"/>
          <w:highlight w:val="none"/>
          <w:u w:val="single"/>
          <w:lang w:val="en-US" w:eastAsia="zh-CN"/>
          <w14:textFill>
            <w14:solidFill>
              <w14:schemeClr w14:val="tx1"/>
            </w14:solidFill>
          </w14:textFill>
        </w:rPr>
        <w:t>09</w:t>
      </w:r>
      <w:r>
        <w:rPr>
          <w:rFonts w:hint="eastAsia" w:ascii="宋体" w:hAnsi="宋体"/>
          <w:bCs/>
          <w:color w:val="000000" w:themeColor="text1"/>
          <w:highlight w:val="none"/>
          <w:u w:val="single"/>
          <w14:textFill>
            <w14:solidFill>
              <w14:schemeClr w14:val="tx1"/>
            </w14:solidFill>
          </w14:textFill>
        </w:rPr>
        <w:t>点</w:t>
      </w:r>
      <w:r>
        <w:rPr>
          <w:rFonts w:hint="eastAsia" w:ascii="宋体" w:hAnsi="宋体"/>
          <w:bCs/>
          <w:color w:val="000000" w:themeColor="text1"/>
          <w:highlight w:val="none"/>
          <w:u w:val="single"/>
          <w:lang w:val="en-US" w:eastAsia="zh-CN"/>
          <w14:textFill>
            <w14:solidFill>
              <w14:schemeClr w14:val="tx1"/>
            </w14:solidFill>
          </w14:textFill>
        </w:rPr>
        <w:t>3</w:t>
      </w:r>
      <w:r>
        <w:rPr>
          <w:rFonts w:hint="eastAsia" w:ascii="宋体" w:hAnsi="宋体"/>
          <w:bCs/>
          <w:color w:val="000000" w:themeColor="text1"/>
          <w:highlight w:val="none"/>
          <w:u w:val="single"/>
          <w14:textFill>
            <w14:solidFill>
              <w14:schemeClr w14:val="tx1"/>
            </w14:solidFill>
          </w14:textFill>
        </w:rPr>
        <w:t>0分</w:t>
      </w:r>
      <w:r>
        <w:rPr>
          <w:rFonts w:hint="eastAsia" w:ascii="宋体" w:hAnsi="宋体"/>
          <w:bCs/>
          <w:color w:val="000000" w:themeColor="text1"/>
          <w:highlight w:val="none"/>
          <w14:textFill>
            <w14:solidFill>
              <w14:schemeClr w14:val="tx1"/>
            </w14:solidFill>
          </w14:textFill>
        </w:rPr>
        <w:t>（北京时间）。</w:t>
      </w:r>
    </w:p>
    <w:p w14:paraId="67FF91FC">
      <w:pPr>
        <w:spacing w:line="360" w:lineRule="auto"/>
        <w:ind w:firstLine="420" w:firstLineChars="200"/>
        <w:rPr>
          <w:rFonts w:ascii="宋体" w:hAnsi="宋体" w:cs="Arial"/>
          <w:color w:val="000000" w:themeColor="text1"/>
          <w:szCs w:val="21"/>
          <w:highlight w:val="none"/>
          <w14:textFill>
            <w14:solidFill>
              <w14:schemeClr w14:val="tx1"/>
            </w14:solidFill>
          </w14:textFill>
        </w:rPr>
      </w:pPr>
      <w:r>
        <w:rPr>
          <w:rFonts w:hint="eastAsia" w:ascii="宋体" w:hAnsi="宋体" w:cs="Arial"/>
          <w:color w:val="000000" w:themeColor="text1"/>
          <w:szCs w:val="21"/>
          <w:highlight w:val="none"/>
          <w14:textFill>
            <w14:solidFill>
              <w14:schemeClr w14:val="tx1"/>
            </w14:solidFill>
          </w14:textFill>
        </w:rPr>
        <w:t>投标地点（网址）：</w:t>
      </w:r>
      <w:r>
        <w:rPr>
          <w:rFonts w:hint="eastAsia" w:ascii="宋体" w:hAnsi="宋体" w:cs="Arial"/>
          <w:color w:val="000000" w:themeColor="text1"/>
          <w:szCs w:val="21"/>
          <w:highlight w:val="none"/>
          <w:u w:val="single"/>
          <w14:textFill>
            <w14:solidFill>
              <w14:schemeClr w14:val="tx1"/>
            </w14:solidFill>
          </w14:textFill>
        </w:rPr>
        <w:t>北仑区（开发区）公共资源交易中心（宁波市北仑区长江路1166号北仑行政大楼B座三楼招投标中心开标室</w:t>
      </w:r>
      <w:r>
        <w:rPr>
          <w:rFonts w:hint="eastAsia" w:ascii="宋体" w:hAnsi="宋体" w:cs="Arial"/>
          <w:color w:val="000000" w:themeColor="text1"/>
          <w:szCs w:val="21"/>
          <w:highlight w:val="none"/>
          <w:u w:val="single"/>
          <w:lang w:val="en-US" w:eastAsia="zh-CN"/>
          <w14:textFill>
            <w14:solidFill>
              <w14:schemeClr w14:val="tx1"/>
            </w14:solidFill>
          </w14:textFill>
        </w:rPr>
        <w:t>（四）</w:t>
      </w:r>
    </w:p>
    <w:p w14:paraId="713287CE">
      <w:pPr>
        <w:spacing w:line="360" w:lineRule="auto"/>
        <w:ind w:firstLine="420" w:firstLineChars="200"/>
        <w:rPr>
          <w:rFonts w:ascii="宋体" w:hAnsi="宋体" w:cs="Arial"/>
          <w:color w:val="000000" w:themeColor="text1"/>
          <w:szCs w:val="21"/>
          <w:highlight w:val="none"/>
          <w14:textFill>
            <w14:solidFill>
              <w14:schemeClr w14:val="tx1"/>
            </w14:solidFill>
          </w14:textFill>
        </w:rPr>
      </w:pPr>
      <w:r>
        <w:rPr>
          <w:rFonts w:hint="eastAsia" w:ascii="宋体" w:hAnsi="宋体" w:cs="Arial"/>
          <w:color w:val="000000" w:themeColor="text1"/>
          <w:szCs w:val="21"/>
          <w:highlight w:val="none"/>
          <w14:textFill>
            <w14:solidFill>
              <w14:schemeClr w14:val="tx1"/>
            </w14:solidFill>
          </w14:textFill>
        </w:rPr>
        <w:t>开标时间：</w:t>
      </w:r>
      <w:r>
        <w:rPr>
          <w:rFonts w:hint="eastAsia" w:ascii="宋体" w:hAnsi="宋体" w:cs="Arial"/>
          <w:color w:val="000000" w:themeColor="text1"/>
          <w:szCs w:val="21"/>
          <w:highlight w:val="none"/>
          <w:u w:val="single"/>
          <w14:textFill>
            <w14:solidFill>
              <w14:schemeClr w14:val="tx1"/>
            </w14:solidFill>
          </w14:textFill>
        </w:rPr>
        <w:t>202</w:t>
      </w:r>
      <w:r>
        <w:rPr>
          <w:rFonts w:hint="eastAsia" w:ascii="宋体" w:hAnsi="宋体" w:cs="Arial"/>
          <w:color w:val="000000" w:themeColor="text1"/>
          <w:szCs w:val="21"/>
          <w:highlight w:val="none"/>
          <w:u w:val="single"/>
          <w:lang w:val="en-US" w:eastAsia="zh-CN"/>
          <w14:textFill>
            <w14:solidFill>
              <w14:schemeClr w14:val="tx1"/>
            </w14:solidFill>
          </w14:textFill>
        </w:rPr>
        <w:t>5</w:t>
      </w:r>
      <w:r>
        <w:rPr>
          <w:rFonts w:hint="eastAsia" w:ascii="宋体" w:hAnsi="宋体" w:cs="Arial"/>
          <w:color w:val="000000" w:themeColor="text1"/>
          <w:szCs w:val="21"/>
          <w:highlight w:val="none"/>
          <w:u w:val="single"/>
          <w14:textFill>
            <w14:solidFill>
              <w14:schemeClr w14:val="tx1"/>
            </w14:solidFill>
          </w14:textFill>
        </w:rPr>
        <w:t>年</w:t>
      </w:r>
      <w:r>
        <w:rPr>
          <w:rFonts w:hint="eastAsia" w:ascii="宋体" w:hAnsi="宋体" w:cs="Arial"/>
          <w:color w:val="000000" w:themeColor="text1"/>
          <w:szCs w:val="21"/>
          <w:highlight w:val="none"/>
          <w:u w:val="single"/>
          <w:lang w:val="en-US" w:eastAsia="zh-CN"/>
          <w14:textFill>
            <w14:solidFill>
              <w14:schemeClr w14:val="tx1"/>
            </w14:solidFill>
          </w14:textFill>
        </w:rPr>
        <w:t>7</w:t>
      </w:r>
      <w:r>
        <w:rPr>
          <w:rFonts w:hint="eastAsia" w:ascii="宋体" w:hAnsi="宋体" w:cs="Arial"/>
          <w:color w:val="000000" w:themeColor="text1"/>
          <w:szCs w:val="21"/>
          <w:highlight w:val="none"/>
          <w:u w:val="single"/>
          <w14:textFill>
            <w14:solidFill>
              <w14:schemeClr w14:val="tx1"/>
            </w14:solidFill>
          </w14:textFill>
        </w:rPr>
        <w:t>月</w:t>
      </w:r>
      <w:r>
        <w:rPr>
          <w:rFonts w:hint="eastAsia" w:ascii="宋体" w:hAnsi="宋体" w:cs="Arial"/>
          <w:color w:val="000000" w:themeColor="text1"/>
          <w:szCs w:val="21"/>
          <w:highlight w:val="none"/>
          <w:u w:val="single"/>
          <w:lang w:val="en-US" w:eastAsia="zh-CN"/>
          <w14:textFill>
            <w14:solidFill>
              <w14:schemeClr w14:val="tx1"/>
            </w14:solidFill>
          </w14:textFill>
        </w:rPr>
        <w:t>8</w:t>
      </w:r>
      <w:r>
        <w:rPr>
          <w:rFonts w:hint="eastAsia" w:ascii="宋体" w:hAnsi="宋体" w:cs="Arial"/>
          <w:color w:val="000000" w:themeColor="text1"/>
          <w:szCs w:val="21"/>
          <w:highlight w:val="none"/>
          <w:u w:val="single"/>
          <w14:textFill>
            <w14:solidFill>
              <w14:schemeClr w14:val="tx1"/>
            </w14:solidFill>
          </w14:textFill>
        </w:rPr>
        <w:t>日</w:t>
      </w:r>
      <w:r>
        <w:rPr>
          <w:rFonts w:hint="eastAsia" w:ascii="宋体" w:hAnsi="宋体" w:cs="Arial"/>
          <w:color w:val="000000" w:themeColor="text1"/>
          <w:szCs w:val="21"/>
          <w:highlight w:val="none"/>
          <w:u w:val="single"/>
          <w:lang w:val="en-US" w:eastAsia="zh-CN"/>
          <w14:textFill>
            <w14:solidFill>
              <w14:schemeClr w14:val="tx1"/>
            </w14:solidFill>
          </w14:textFill>
        </w:rPr>
        <w:t>09</w:t>
      </w:r>
      <w:r>
        <w:rPr>
          <w:rFonts w:hint="eastAsia" w:ascii="宋体" w:hAnsi="宋体" w:cs="Arial"/>
          <w:color w:val="000000" w:themeColor="text1"/>
          <w:szCs w:val="21"/>
          <w:highlight w:val="none"/>
          <w:u w:val="single"/>
          <w14:textFill>
            <w14:solidFill>
              <w14:schemeClr w14:val="tx1"/>
            </w14:solidFill>
          </w14:textFill>
        </w:rPr>
        <w:t xml:space="preserve"> :</w:t>
      </w:r>
      <w:r>
        <w:rPr>
          <w:rFonts w:hint="eastAsia" w:ascii="宋体" w:hAnsi="宋体" w:cs="Arial"/>
          <w:color w:val="000000" w:themeColor="text1"/>
          <w:szCs w:val="21"/>
          <w:highlight w:val="none"/>
          <w:u w:val="single"/>
          <w:lang w:val="en-US" w:eastAsia="zh-CN"/>
          <w14:textFill>
            <w14:solidFill>
              <w14:schemeClr w14:val="tx1"/>
            </w14:solidFill>
          </w14:textFill>
        </w:rPr>
        <w:t>3</w:t>
      </w:r>
      <w:r>
        <w:rPr>
          <w:rFonts w:hint="eastAsia" w:ascii="宋体" w:hAnsi="宋体" w:cs="Arial"/>
          <w:color w:val="000000" w:themeColor="text1"/>
          <w:szCs w:val="21"/>
          <w:highlight w:val="none"/>
          <w:u w:val="single"/>
          <w14:textFill>
            <w14:solidFill>
              <w14:schemeClr w14:val="tx1"/>
            </w14:solidFill>
          </w14:textFill>
        </w:rPr>
        <w:t>0</w:t>
      </w:r>
      <w:r>
        <w:rPr>
          <w:rFonts w:hint="eastAsia" w:ascii="宋体" w:hAnsi="宋体" w:cs="Arial"/>
          <w:color w:val="000000" w:themeColor="text1"/>
          <w:szCs w:val="21"/>
          <w:highlight w:val="none"/>
          <w14:textFill>
            <w14:solidFill>
              <w14:schemeClr w14:val="tx1"/>
            </w14:solidFill>
          </w14:textFill>
        </w:rPr>
        <w:t xml:space="preserve"> （北京时间）</w:t>
      </w:r>
    </w:p>
    <w:p w14:paraId="3D7A2BC0">
      <w:pP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s="Arial"/>
          <w:color w:val="000000" w:themeColor="text1"/>
          <w:szCs w:val="21"/>
          <w:highlight w:val="none"/>
          <w14:textFill>
            <w14:solidFill>
              <w14:schemeClr w14:val="tx1"/>
            </w14:solidFill>
          </w14:textFill>
        </w:rPr>
        <w:t>开标地点（网址）：</w:t>
      </w:r>
      <w:r>
        <w:rPr>
          <w:rFonts w:hint="eastAsia" w:ascii="宋体" w:hAnsi="宋体" w:cs="Arial"/>
          <w:color w:val="000000" w:themeColor="text1"/>
          <w:szCs w:val="21"/>
          <w:highlight w:val="none"/>
          <w:u w:val="single"/>
          <w14:textFill>
            <w14:solidFill>
              <w14:schemeClr w14:val="tx1"/>
            </w14:solidFill>
          </w14:textFill>
        </w:rPr>
        <w:t>政采云平台（www.zcygov.cn）（线上）</w:t>
      </w:r>
    </w:p>
    <w:p w14:paraId="70B5224E">
      <w:pPr>
        <w:spacing w:line="360" w:lineRule="auto"/>
        <w:ind w:firstLine="420" w:firstLineChars="200"/>
        <w:rPr>
          <w:rFonts w:ascii="宋体" w:hAnsi="宋体"/>
          <w:bCs/>
          <w:color w:val="000000" w:themeColor="text1"/>
          <w:highlight w:val="none"/>
          <w:u w:val="single"/>
          <w14:textFill>
            <w14:solidFill>
              <w14:schemeClr w14:val="tx1"/>
            </w14:solidFill>
          </w14:textFill>
        </w:rPr>
      </w:pPr>
    </w:p>
    <w:p w14:paraId="04B319D1">
      <w:pPr>
        <w:pStyle w:val="2"/>
        <w:spacing w:line="360" w:lineRule="auto"/>
        <w:jc w:val="both"/>
        <w:rPr>
          <w:rFonts w:ascii="宋体" w:hAnsi="宋体" w:cs="宋体"/>
          <w:color w:val="000000" w:themeColor="text1"/>
          <w:sz w:val="21"/>
          <w:szCs w:val="21"/>
          <w:highlight w:val="none"/>
          <w14:textFill>
            <w14:solidFill>
              <w14:schemeClr w14:val="tx1"/>
            </w14:solidFill>
          </w14:textFill>
        </w:rPr>
      </w:pPr>
      <w:bookmarkStart w:id="31" w:name="_Toc28359084"/>
      <w:bookmarkStart w:id="32" w:name="_Toc136017625"/>
      <w:bookmarkStart w:id="33" w:name="_Toc35393794"/>
      <w:bookmarkStart w:id="34" w:name="_Toc13461"/>
      <w:bookmarkStart w:id="35" w:name="_Toc35393625"/>
      <w:bookmarkStart w:id="36" w:name="_Toc136345087"/>
      <w:bookmarkStart w:id="37" w:name="_Toc28359007"/>
      <w:r>
        <w:rPr>
          <w:rFonts w:hint="eastAsia" w:ascii="宋体" w:hAnsi="宋体" w:cs="宋体"/>
          <w:color w:val="000000" w:themeColor="text1"/>
          <w:sz w:val="21"/>
          <w:szCs w:val="21"/>
          <w:highlight w:val="none"/>
          <w14:textFill>
            <w14:solidFill>
              <w14:schemeClr w14:val="tx1"/>
            </w14:solidFill>
          </w14:textFill>
        </w:rPr>
        <w:t>五、公告期限</w:t>
      </w:r>
      <w:bookmarkEnd w:id="31"/>
      <w:bookmarkEnd w:id="32"/>
      <w:bookmarkEnd w:id="33"/>
      <w:bookmarkEnd w:id="34"/>
      <w:bookmarkEnd w:id="35"/>
      <w:bookmarkEnd w:id="36"/>
      <w:bookmarkEnd w:id="37"/>
    </w:p>
    <w:p w14:paraId="53945FAD">
      <w:pPr>
        <w:spacing w:line="360" w:lineRule="auto"/>
        <w:ind w:firstLine="420" w:firstLineChars="200"/>
        <w:rPr>
          <w:rFonts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自本公告发布之日起5个工作日。</w:t>
      </w:r>
    </w:p>
    <w:p w14:paraId="58FD7A4C">
      <w:pPr>
        <w:spacing w:line="360" w:lineRule="auto"/>
        <w:ind w:firstLine="420" w:firstLineChars="200"/>
        <w:rPr>
          <w:rFonts w:ascii="宋体" w:hAnsi="宋体" w:cs="宋体"/>
          <w:color w:val="000000" w:themeColor="text1"/>
          <w:kern w:val="0"/>
          <w:szCs w:val="21"/>
          <w:highlight w:val="none"/>
          <w14:textFill>
            <w14:solidFill>
              <w14:schemeClr w14:val="tx1"/>
            </w14:solidFill>
          </w14:textFill>
        </w:rPr>
      </w:pPr>
    </w:p>
    <w:p w14:paraId="1B604236">
      <w:pPr>
        <w:pStyle w:val="2"/>
        <w:spacing w:line="360" w:lineRule="auto"/>
        <w:jc w:val="both"/>
        <w:rPr>
          <w:rFonts w:ascii="宋体" w:hAnsi="宋体" w:cs="宋体"/>
          <w:color w:val="000000" w:themeColor="text1"/>
          <w:sz w:val="21"/>
          <w:szCs w:val="21"/>
          <w:highlight w:val="none"/>
          <w14:textFill>
            <w14:solidFill>
              <w14:schemeClr w14:val="tx1"/>
            </w14:solidFill>
          </w14:textFill>
        </w:rPr>
      </w:pPr>
      <w:bookmarkStart w:id="38" w:name="_Toc136017626"/>
      <w:bookmarkStart w:id="39" w:name="_Toc35393795"/>
      <w:bookmarkStart w:id="40" w:name="_Toc9281"/>
      <w:bookmarkStart w:id="41" w:name="_Toc35393626"/>
      <w:bookmarkStart w:id="42" w:name="_Toc136345088"/>
      <w:r>
        <w:rPr>
          <w:rFonts w:hint="eastAsia" w:ascii="宋体" w:hAnsi="宋体" w:cs="宋体"/>
          <w:color w:val="000000" w:themeColor="text1"/>
          <w:sz w:val="21"/>
          <w:szCs w:val="21"/>
          <w:highlight w:val="none"/>
          <w14:textFill>
            <w14:solidFill>
              <w14:schemeClr w14:val="tx1"/>
            </w14:solidFill>
          </w14:textFill>
        </w:rPr>
        <w:t>六、其他补充事宜</w:t>
      </w:r>
      <w:bookmarkEnd w:id="38"/>
      <w:bookmarkEnd w:id="39"/>
      <w:bookmarkEnd w:id="40"/>
      <w:bookmarkEnd w:id="41"/>
      <w:bookmarkEnd w:id="42"/>
    </w:p>
    <w:p w14:paraId="0289E2D3">
      <w:pPr>
        <w:spacing w:line="360" w:lineRule="auto"/>
        <w:ind w:firstLine="42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1.投标人认为招标文件使自己的权益受到损害的，可以自获取招标文件之日或者招标文件公告期限届满之日起7个工作日内，以书面形式向采购人和采购代理机构提出质疑。质疑投标人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23B00566">
      <w:pPr>
        <w:spacing w:line="360" w:lineRule="auto"/>
        <w:ind w:firstLine="420" w:firstLineChars="200"/>
        <w:rPr>
          <w:rFonts w:cs="宋体"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highlight w:val="none"/>
          <w14:textFill>
            <w14:solidFill>
              <w14:schemeClr w14:val="tx1"/>
            </w14:solidFill>
          </w14:textFill>
        </w:rPr>
        <w:t>2.其他事项：</w:t>
      </w:r>
    </w:p>
    <w:p w14:paraId="52E9E44E">
      <w:pPr>
        <w:spacing w:line="360" w:lineRule="auto"/>
        <w:ind w:firstLine="420" w:firstLineChars="20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2.1落实政策：</w:t>
      </w:r>
      <w:r>
        <w:rPr>
          <w:rFonts w:hint="eastAsia" w:hAnsi="宋体" w:cs="宋体"/>
          <w:color w:val="000000" w:themeColor="text1"/>
          <w:highlight w:val="none"/>
          <w14:textFill>
            <w14:solidFill>
              <w14:schemeClr w14:val="tx1"/>
            </w14:solidFill>
          </w14:textFill>
        </w:rPr>
        <w:t>政府采购促进中小企业发展；政府采购支持监狱企业发展；政府采购促进残疾人就业。</w:t>
      </w:r>
    </w:p>
    <w:p w14:paraId="0A4E9C31">
      <w:pPr>
        <w:spacing w:line="360" w:lineRule="auto"/>
        <w:ind w:firstLine="420" w:firstLineChars="20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2.2</w:t>
      </w:r>
      <w:r>
        <w:rPr>
          <w:rFonts w:hint="eastAsia" w:ascii="宋体" w:hAnsi="宋体" w:cs="宋体"/>
          <w:color w:val="000000" w:themeColor="text1"/>
          <w:szCs w:val="21"/>
          <w:highlight w:val="none"/>
          <w14:textFill>
            <w14:solidFill>
              <w14:schemeClr w14:val="tx1"/>
            </w14:solidFill>
          </w14:textFill>
        </w:rPr>
        <w:t>①单位负责人为同一人或者存在直接控股、管理关系的不同供应商，不得同时参加同一合同项下的政府采购活动；②为采购项目提供整体设计、规范编制或者项目管理、监理、检测等服务后不得再参加该采购项目的其他采购活动；③公益一类事业单位、使用事业编制且由财政拨款保障的群团组织不属于政府购买服务的承接主体，不得参与承接购买服务。</w:t>
      </w:r>
    </w:p>
    <w:p w14:paraId="350B7D0F">
      <w:pPr>
        <w:spacing w:line="360" w:lineRule="auto"/>
        <w:ind w:firstLine="420" w:firstLineChars="20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 xml:space="preserve">2.3各投标人应在开标前确保成为浙江省政府采购网正式注册入库投标人，并完成CA数字证书办理。因未注册入库、未办理CA数字证书等原因造成无法投标或投标失败等后果由投标人自行承担。（具体操作详见电子交易操作指南：https://helpcenter.zcygov.cn/document/#/document/dashboard?siteCode=beijing）。 </w:t>
      </w:r>
    </w:p>
    <w:p w14:paraId="48596F59">
      <w:pPr>
        <w:spacing w:line="360" w:lineRule="auto"/>
        <w:ind w:firstLine="420" w:firstLineChars="20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2.4本次政府采购活动有关信息在“浙江政府采购网（http://zfcg.czt.zj.gov.cn/）”、“宁波市政府采购网（https://zfcg.czj.ningbo.gov.cn/）”网站上公布，公布信息视同送达所有潜在投标人。</w:t>
      </w:r>
    </w:p>
    <w:p w14:paraId="317D6538">
      <w:pPr>
        <w:spacing w:line="360" w:lineRule="auto"/>
        <w:ind w:firstLine="420" w:firstLineChars="20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 xml:space="preserve">2.5特别提醒事项（投标人提交电子备份投标文件方式）： </w:t>
      </w:r>
    </w:p>
    <w:p w14:paraId="3833FAA2">
      <w:pPr>
        <w:spacing w:line="360" w:lineRule="auto"/>
        <w:ind w:firstLine="420" w:firstLineChars="20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 xml:space="preserve">2.5.1采用邮寄方式提交电子备份投标文件，需按以下要求递交： </w:t>
      </w:r>
    </w:p>
    <w:p w14:paraId="045EE5A4">
      <w:pPr>
        <w:spacing w:line="360" w:lineRule="auto"/>
        <w:ind w:firstLine="420" w:firstLineChars="20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投标人须在开标日期前一天</w:t>
      </w:r>
      <w:r>
        <w:rPr>
          <w:rFonts w:cs="宋体" w:asciiTheme="minorEastAsia" w:hAnsiTheme="minorEastAsia" w:eastAsiaTheme="minorEastAsia"/>
          <w:color w:val="000000" w:themeColor="text1"/>
          <w:szCs w:val="21"/>
          <w:highlight w:val="none"/>
          <w14:textFill>
            <w14:solidFill>
              <w14:schemeClr w14:val="tx1"/>
            </w14:solidFill>
          </w14:textFill>
        </w:rPr>
        <w:t>17</w:t>
      </w:r>
      <w:r>
        <w:rPr>
          <w:rFonts w:hint="eastAsia" w:cs="宋体" w:asciiTheme="minorEastAsia" w:hAnsiTheme="minorEastAsia" w:eastAsiaTheme="minorEastAsia"/>
          <w:color w:val="000000" w:themeColor="text1"/>
          <w:szCs w:val="21"/>
          <w:highlight w:val="none"/>
          <w14:textFill>
            <w14:solidFill>
              <w14:schemeClr w14:val="tx1"/>
            </w14:solidFill>
          </w14:textFill>
        </w:rPr>
        <w:t>:00（北京时间）前将电子备份投标文件邮寄至规定地点，由采购代理机构工作人员进行签收。各投标人自行考虑邮寄在途时间，邮寄过程中无论何种因素导致电子备份投标文件未按时递交的后果，均由投标人自行负责。电子备份投标文件递交时间以招标代理实际收到电子备份投标文件的时间为准。迟到的电子备份投标文件将被拒收。请各投标人确保密封包装在邮寄过程密封包装完好，并在邮寄包裹上注明项目名称，因邮寄过程的密封破损造成不符合开标要求的，本招标代理及采购人概不负责。</w:t>
      </w:r>
    </w:p>
    <w:p w14:paraId="356A47B6">
      <w:pPr>
        <w:spacing w:line="360" w:lineRule="auto"/>
        <w:ind w:firstLine="420" w:firstLineChars="20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2.5.2采用现场递交方式递交电子备份投标文件：递交人员需在投标截止时间前递交至规定地点。若投标人因未按上述要求办理而导致无法准时进入开标现场的，由投标人自行负责。</w:t>
      </w:r>
    </w:p>
    <w:p w14:paraId="7EB3EEA8">
      <w:pPr>
        <w:spacing w:line="360" w:lineRule="auto"/>
        <w:ind w:firstLine="420" w:firstLineChars="20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电子备份投标文件邮寄/现场递交地址为：宁波市鄞州区世纪大道北段555号名汇东方19楼1921室</w:t>
      </w:r>
    </w:p>
    <w:p w14:paraId="402EEE8F">
      <w:pPr>
        <w:snapToGrid w:val="0"/>
        <w:spacing w:line="400" w:lineRule="exact"/>
        <w:ind w:firstLine="411" w:firstLineChars="196"/>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收件人：袁航 联系方式：0574-55717459</w:t>
      </w:r>
    </w:p>
    <w:p w14:paraId="45FB8C74">
      <w:pPr>
        <w:spacing w:line="360" w:lineRule="auto"/>
        <w:ind w:firstLine="420" w:firstLineChars="20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2.6中标通知书领取方式：根据投标人要求采用邮寄或采购代理机构现场领取。</w:t>
      </w:r>
    </w:p>
    <w:p w14:paraId="376E11D7">
      <w:pPr>
        <w:pStyle w:val="2"/>
        <w:spacing w:line="360" w:lineRule="auto"/>
        <w:jc w:val="both"/>
        <w:rPr>
          <w:rFonts w:ascii="宋体" w:hAnsi="宋体" w:cs="宋体"/>
          <w:color w:val="000000" w:themeColor="text1"/>
          <w:sz w:val="21"/>
          <w:szCs w:val="21"/>
          <w:highlight w:val="none"/>
          <w14:textFill>
            <w14:solidFill>
              <w14:schemeClr w14:val="tx1"/>
            </w14:solidFill>
          </w14:textFill>
        </w:rPr>
      </w:pPr>
      <w:bookmarkStart w:id="43" w:name="_Toc35393796"/>
      <w:bookmarkStart w:id="44" w:name="_Toc35393627"/>
      <w:bookmarkStart w:id="45" w:name="_Toc28359008"/>
      <w:bookmarkStart w:id="46" w:name="_Toc28359085"/>
      <w:bookmarkStart w:id="47" w:name="_Toc136017627"/>
      <w:bookmarkStart w:id="48" w:name="_Toc136345089"/>
      <w:bookmarkStart w:id="49" w:name="_Toc24960"/>
      <w:r>
        <w:rPr>
          <w:rFonts w:hint="eastAsia" w:ascii="宋体" w:hAnsi="宋体" w:cs="宋体"/>
          <w:color w:val="000000" w:themeColor="text1"/>
          <w:sz w:val="21"/>
          <w:szCs w:val="21"/>
          <w:highlight w:val="none"/>
          <w14:textFill>
            <w14:solidFill>
              <w14:schemeClr w14:val="tx1"/>
            </w14:solidFill>
          </w14:textFill>
        </w:rPr>
        <w:t>七、</w:t>
      </w:r>
      <w:bookmarkEnd w:id="43"/>
      <w:bookmarkEnd w:id="44"/>
      <w:bookmarkEnd w:id="45"/>
      <w:bookmarkEnd w:id="46"/>
      <w:r>
        <w:rPr>
          <w:rFonts w:hint="eastAsia" w:ascii="宋体" w:hAnsi="宋体" w:cs="宋体"/>
          <w:color w:val="000000" w:themeColor="text1"/>
          <w:sz w:val="21"/>
          <w:szCs w:val="21"/>
          <w:highlight w:val="none"/>
          <w14:textFill>
            <w14:solidFill>
              <w14:schemeClr w14:val="tx1"/>
            </w14:solidFill>
          </w14:textFill>
        </w:rPr>
        <w:t>对本次招标提出询问、质疑、投诉，请按以下方式联系。</w:t>
      </w:r>
      <w:bookmarkEnd w:id="47"/>
      <w:bookmarkEnd w:id="48"/>
      <w:bookmarkEnd w:id="49"/>
    </w:p>
    <w:p w14:paraId="44DB65FE">
      <w:pPr>
        <w:widowControl/>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1.采购人信息</w:t>
      </w:r>
    </w:p>
    <w:p w14:paraId="6C322352">
      <w:pPr>
        <w:widowControl/>
        <w:spacing w:line="360" w:lineRule="auto"/>
        <w:ind w:firstLine="420" w:firstLineChars="200"/>
        <w:jc w:val="left"/>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名    称：</w:t>
      </w:r>
      <w:r>
        <w:rPr>
          <w:rFonts w:hint="eastAsia" w:ascii="宋体" w:hAnsi="宋体" w:cs="宋体"/>
          <w:color w:val="000000" w:themeColor="text1"/>
          <w:highlight w:val="none"/>
          <w:u w:val="single"/>
          <w:lang w:eastAsia="zh-CN"/>
          <w14:textFill>
            <w14:solidFill>
              <w14:schemeClr w14:val="tx1"/>
            </w14:solidFill>
          </w14:textFill>
        </w:rPr>
        <w:t>宁波市北仑区人民政府大榭街道办事处</w:t>
      </w:r>
    </w:p>
    <w:p w14:paraId="01625658">
      <w:pPr>
        <w:widowControl/>
        <w:spacing w:line="360" w:lineRule="auto"/>
        <w:ind w:firstLine="420" w:firstLineChars="200"/>
        <w:jc w:val="left"/>
        <w:rPr>
          <w:rFonts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地    址：</w:t>
      </w:r>
      <w:r>
        <w:rPr>
          <w:rFonts w:hint="eastAsia" w:ascii="宋体" w:hAnsi="宋体" w:cs="宋体"/>
          <w:color w:val="000000" w:themeColor="text1"/>
          <w:highlight w:val="none"/>
          <w:u w:val="single"/>
          <w14:textFill>
            <w14:solidFill>
              <w14:schemeClr w14:val="tx1"/>
            </w14:solidFill>
          </w14:textFill>
        </w:rPr>
        <w:t>宁波大榭滨海</w:t>
      </w:r>
      <w:r>
        <w:rPr>
          <w:rFonts w:hint="eastAsia" w:ascii="宋体" w:hAnsi="宋体" w:cs="宋体"/>
          <w:color w:val="000000" w:themeColor="text1"/>
          <w:highlight w:val="none"/>
          <w:u w:val="single"/>
          <w:lang w:val="en-US" w:eastAsia="zh-CN"/>
          <w14:textFill>
            <w14:solidFill>
              <w14:schemeClr w14:val="tx1"/>
            </w14:solidFill>
          </w14:textFill>
        </w:rPr>
        <w:t>南</w:t>
      </w:r>
      <w:r>
        <w:rPr>
          <w:rFonts w:hint="eastAsia" w:ascii="宋体" w:hAnsi="宋体" w:cs="宋体"/>
          <w:color w:val="000000" w:themeColor="text1"/>
          <w:highlight w:val="none"/>
          <w:u w:val="single"/>
          <w14:textFill>
            <w14:solidFill>
              <w14:schemeClr w14:val="tx1"/>
            </w14:solidFill>
          </w14:textFill>
        </w:rPr>
        <w:t>路</w:t>
      </w:r>
      <w:r>
        <w:rPr>
          <w:rFonts w:hint="eastAsia" w:ascii="宋体" w:hAnsi="宋体" w:cs="宋体"/>
          <w:color w:val="000000" w:themeColor="text1"/>
          <w:highlight w:val="none"/>
          <w:u w:val="single"/>
          <w:lang w:val="en-US" w:eastAsia="zh-CN"/>
          <w14:textFill>
            <w14:solidFill>
              <w14:schemeClr w14:val="tx1"/>
            </w14:solidFill>
          </w14:textFill>
        </w:rPr>
        <w:t>111</w:t>
      </w:r>
      <w:r>
        <w:rPr>
          <w:rFonts w:hint="eastAsia" w:ascii="宋体" w:hAnsi="宋体" w:cs="宋体"/>
          <w:color w:val="000000" w:themeColor="text1"/>
          <w:highlight w:val="none"/>
          <w:u w:val="single"/>
          <w14:textFill>
            <w14:solidFill>
              <w14:schemeClr w14:val="tx1"/>
            </w14:solidFill>
          </w14:textFill>
        </w:rPr>
        <w:t>号</w:t>
      </w:r>
    </w:p>
    <w:p w14:paraId="65878C12">
      <w:pPr>
        <w:widowControl/>
        <w:spacing w:line="360" w:lineRule="auto"/>
        <w:ind w:firstLine="420" w:firstLineChars="200"/>
        <w:jc w:val="left"/>
        <w:rPr>
          <w:rFonts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项目联系人（询问）：</w:t>
      </w:r>
      <w:r>
        <w:rPr>
          <w:rFonts w:hint="eastAsia" w:ascii="宋体" w:hAnsi="宋体" w:cs="宋体"/>
          <w:color w:val="000000" w:themeColor="text1"/>
          <w:highlight w:val="none"/>
          <w:u w:val="single"/>
          <w14:textFill>
            <w14:solidFill>
              <w14:schemeClr w14:val="tx1"/>
            </w14:solidFill>
          </w14:textFill>
        </w:rPr>
        <w:t>李老师</w:t>
      </w:r>
    </w:p>
    <w:p w14:paraId="09700D40">
      <w:pPr>
        <w:widowControl/>
        <w:spacing w:line="360" w:lineRule="auto"/>
        <w:ind w:firstLine="420" w:firstLineChars="200"/>
        <w:jc w:val="left"/>
        <w:rPr>
          <w:rFonts w:hint="default" w:ascii="宋体" w:hAnsi="宋体" w:eastAsia="宋体" w:cs="宋体"/>
          <w:color w:val="000000" w:themeColor="text1"/>
          <w:highlight w:val="none"/>
          <w:u w:val="singl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项目联系方式（询问）：</w:t>
      </w:r>
      <w:r>
        <w:rPr>
          <w:rFonts w:hint="eastAsia" w:ascii="宋体" w:hAnsi="宋体" w:cs="宋体"/>
          <w:color w:val="000000" w:themeColor="text1"/>
          <w:highlight w:val="none"/>
          <w:u w:val="single"/>
          <w14:textFill>
            <w14:solidFill>
              <w14:schemeClr w14:val="tx1"/>
            </w14:solidFill>
          </w14:textFill>
        </w:rPr>
        <w:t>0574-892831</w:t>
      </w:r>
      <w:r>
        <w:rPr>
          <w:rFonts w:hint="eastAsia" w:ascii="宋体" w:hAnsi="宋体" w:cs="宋体"/>
          <w:color w:val="000000" w:themeColor="text1"/>
          <w:highlight w:val="none"/>
          <w:u w:val="single"/>
          <w:lang w:val="en-US" w:eastAsia="zh-CN"/>
          <w14:textFill>
            <w14:solidFill>
              <w14:schemeClr w14:val="tx1"/>
            </w14:solidFill>
          </w14:textFill>
        </w:rPr>
        <w:t>01</w:t>
      </w:r>
    </w:p>
    <w:p w14:paraId="52B51ACE">
      <w:pPr>
        <w:widowControl/>
        <w:spacing w:line="360" w:lineRule="auto"/>
        <w:ind w:firstLine="420" w:firstLineChars="200"/>
        <w:jc w:val="left"/>
        <w:rPr>
          <w:rFonts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质疑联系人：</w:t>
      </w:r>
      <w:r>
        <w:rPr>
          <w:rFonts w:hint="eastAsia" w:ascii="宋体" w:hAnsi="宋体" w:cs="宋体"/>
          <w:color w:val="000000" w:themeColor="text1"/>
          <w:highlight w:val="none"/>
          <w:u w:val="single"/>
          <w14:textFill>
            <w14:solidFill>
              <w14:schemeClr w14:val="tx1"/>
            </w14:solidFill>
          </w14:textFill>
        </w:rPr>
        <w:t>谢老师</w:t>
      </w:r>
    </w:p>
    <w:p w14:paraId="709C9D6D">
      <w:pPr>
        <w:widowControl/>
        <w:spacing w:line="360" w:lineRule="auto"/>
        <w:ind w:firstLine="420" w:firstLineChars="200"/>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质疑联系方式：</w:t>
      </w:r>
      <w:r>
        <w:rPr>
          <w:rFonts w:hint="eastAsia" w:ascii="宋体" w:hAnsi="宋体" w:cs="宋体"/>
          <w:color w:val="000000" w:themeColor="text1"/>
          <w:highlight w:val="none"/>
          <w:u w:val="single"/>
          <w14:textFill>
            <w14:solidFill>
              <w14:schemeClr w14:val="tx1"/>
            </w14:solidFill>
          </w14:textFill>
        </w:rPr>
        <w:t>0574-89283183</w:t>
      </w:r>
    </w:p>
    <w:p w14:paraId="646C7620">
      <w:pPr>
        <w:widowControl/>
        <w:spacing w:line="360" w:lineRule="auto"/>
        <w:ind w:firstLine="420" w:firstLineChars="200"/>
        <w:jc w:val="left"/>
        <w:rPr>
          <w:rFonts w:ascii="宋体" w:hAnsi="宋体" w:cs="宋体"/>
          <w:color w:val="000000" w:themeColor="text1"/>
          <w:highlight w:val="none"/>
          <w14:textFill>
            <w14:solidFill>
              <w14:schemeClr w14:val="tx1"/>
            </w14:solidFill>
          </w14:textFill>
        </w:rPr>
      </w:pPr>
    </w:p>
    <w:p w14:paraId="28205787">
      <w:pPr>
        <w:widowControl/>
        <w:spacing w:line="360" w:lineRule="auto"/>
        <w:ind w:firstLine="420" w:firstLineChars="200"/>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2.采购代理机构信息</w:t>
      </w:r>
    </w:p>
    <w:p w14:paraId="1CDE534E">
      <w:pPr>
        <w:widowControl/>
        <w:spacing w:line="360" w:lineRule="auto"/>
        <w:ind w:firstLine="420" w:firstLineChars="200"/>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名    称：  宁波国际投资咨询有限公司</w:t>
      </w:r>
    </w:p>
    <w:p w14:paraId="072F01BC">
      <w:pPr>
        <w:widowControl/>
        <w:spacing w:line="360" w:lineRule="auto"/>
        <w:ind w:firstLine="420" w:firstLineChars="200"/>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地    址：  </w:t>
      </w:r>
      <w:r>
        <w:rPr>
          <w:rFonts w:hint="eastAsia" w:ascii="宋体" w:hAnsi="宋体" w:cs="Arial"/>
          <w:color w:val="000000" w:themeColor="text1"/>
          <w:szCs w:val="21"/>
          <w:highlight w:val="none"/>
          <w14:textFill>
            <w14:solidFill>
              <w14:schemeClr w14:val="tx1"/>
            </w14:solidFill>
          </w14:textFill>
        </w:rPr>
        <w:t>宁波市世纪大道北段555号名汇东方大厦19楼1920室</w:t>
      </w:r>
    </w:p>
    <w:p w14:paraId="40C27570">
      <w:pPr>
        <w:widowControl/>
        <w:spacing w:line="360" w:lineRule="auto"/>
        <w:ind w:firstLine="420" w:firstLineChars="200"/>
        <w:jc w:val="left"/>
        <w:rPr>
          <w:rFonts w:hint="default" w:ascii="宋体" w:hAnsi="宋体" w:eastAsia="宋体" w:cs="宋体"/>
          <w:color w:val="000000" w:themeColor="text1"/>
          <w:highlight w:val="none"/>
          <w:u w:val="singl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项目联系人（询问）：</w:t>
      </w:r>
      <w:r>
        <w:rPr>
          <w:rFonts w:hint="eastAsia" w:ascii="宋体" w:hAnsi="宋体" w:cs="宋体"/>
          <w:color w:val="000000" w:themeColor="text1"/>
          <w:highlight w:val="none"/>
          <w:u w:val="single"/>
          <w14:textFill>
            <w14:solidFill>
              <w14:schemeClr w14:val="tx1"/>
            </w14:solidFill>
          </w14:textFill>
        </w:rPr>
        <w:t>袁航、</w:t>
      </w:r>
      <w:r>
        <w:rPr>
          <w:rFonts w:hint="eastAsia" w:ascii="宋体" w:hAnsi="宋体" w:cs="宋体"/>
          <w:color w:val="000000" w:themeColor="text1"/>
          <w:highlight w:val="none"/>
          <w:u w:val="single"/>
          <w:lang w:val="en-US" w:eastAsia="zh-CN"/>
          <w14:textFill>
            <w14:solidFill>
              <w14:schemeClr w14:val="tx1"/>
            </w14:solidFill>
          </w14:textFill>
        </w:rPr>
        <w:t>王雯倩、邱晔</w:t>
      </w:r>
    </w:p>
    <w:p w14:paraId="6F7937AE">
      <w:pPr>
        <w:widowControl/>
        <w:spacing w:line="360" w:lineRule="auto"/>
        <w:ind w:firstLine="420" w:firstLineChars="200"/>
        <w:jc w:val="left"/>
        <w:rPr>
          <w:rFonts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项目联系方式（询问）：</w:t>
      </w:r>
      <w:r>
        <w:rPr>
          <w:rFonts w:ascii="宋体" w:hAnsi="宋体" w:cs="宋体"/>
          <w:color w:val="000000" w:themeColor="text1"/>
          <w:highlight w:val="none"/>
          <w:u w:val="single"/>
          <w14:textFill>
            <w14:solidFill>
              <w14:schemeClr w14:val="tx1"/>
            </w14:solidFill>
          </w14:textFill>
        </w:rPr>
        <w:t>0574-</w:t>
      </w:r>
      <w:r>
        <w:rPr>
          <w:rFonts w:hint="eastAsia" w:ascii="宋体" w:hAnsi="宋体" w:cs="宋体"/>
          <w:color w:val="000000" w:themeColor="text1"/>
          <w:highlight w:val="none"/>
          <w:u w:val="single"/>
          <w14:textFill>
            <w14:solidFill>
              <w14:schemeClr w14:val="tx1"/>
            </w14:solidFill>
          </w14:textFill>
        </w:rPr>
        <w:t>55717459</w:t>
      </w:r>
    </w:p>
    <w:p w14:paraId="24E23015">
      <w:pPr>
        <w:widowControl/>
        <w:spacing w:line="360" w:lineRule="auto"/>
        <w:ind w:firstLine="420" w:firstLineChars="200"/>
        <w:jc w:val="left"/>
        <w:rPr>
          <w:rFonts w:hint="eastAsia" w:ascii="宋体" w:hAnsi="宋体" w:eastAsia="宋体" w:cs="宋体"/>
          <w:color w:val="000000" w:themeColor="text1"/>
          <w:highlight w:val="none"/>
          <w:u w:val="single"/>
          <w:lang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质疑联系人：</w:t>
      </w:r>
      <w:r>
        <w:rPr>
          <w:rFonts w:hint="eastAsia" w:ascii="宋体" w:hAnsi="宋体" w:cs="宋体"/>
          <w:color w:val="000000" w:themeColor="text1"/>
          <w:highlight w:val="none"/>
          <w:u w:val="single"/>
          <w:lang w:val="en-US" w:eastAsia="zh-CN"/>
          <w14:textFill>
            <w14:solidFill>
              <w14:schemeClr w14:val="tx1"/>
            </w14:solidFill>
          </w14:textFill>
        </w:rPr>
        <w:t>陈琦阳</w:t>
      </w:r>
    </w:p>
    <w:p w14:paraId="191A416D">
      <w:pPr>
        <w:widowControl/>
        <w:spacing w:line="360" w:lineRule="auto"/>
        <w:ind w:firstLine="420" w:firstLineChars="200"/>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质疑联系方式：</w:t>
      </w:r>
      <w:r>
        <w:rPr>
          <w:rFonts w:hint="eastAsia" w:ascii="宋体" w:hAnsi="宋体" w:cs="宋体"/>
          <w:color w:val="000000" w:themeColor="text1"/>
          <w:highlight w:val="none"/>
          <w:u w:val="single"/>
          <w14:textFill>
            <w14:solidFill>
              <w14:schemeClr w14:val="tx1"/>
            </w14:solidFill>
          </w14:textFill>
        </w:rPr>
        <w:t>0574-55717419</w:t>
      </w:r>
    </w:p>
    <w:p w14:paraId="1BE81D9D">
      <w:pPr>
        <w:widowControl/>
        <w:spacing w:line="360" w:lineRule="auto"/>
        <w:ind w:firstLine="420" w:firstLineChars="200"/>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电子邮箱： </w:t>
      </w:r>
      <w:r>
        <w:rPr>
          <w:rFonts w:hint="eastAsia" w:ascii="宋体" w:hAnsi="宋体" w:cs="宋体"/>
          <w:color w:val="000000" w:themeColor="text1"/>
          <w:highlight w:val="none"/>
          <w:u w:val="single"/>
          <w14:textFill>
            <w14:solidFill>
              <w14:schemeClr w14:val="tx1"/>
            </w14:solidFill>
          </w14:textFill>
        </w:rPr>
        <w:t>287950116@qq.com</w:t>
      </w:r>
    </w:p>
    <w:p w14:paraId="34EBC25A">
      <w:pPr>
        <w:widowControl/>
        <w:spacing w:line="360" w:lineRule="auto"/>
        <w:ind w:firstLine="420" w:firstLineChars="200"/>
        <w:jc w:val="left"/>
        <w:rPr>
          <w:rFonts w:ascii="宋体" w:hAnsi="宋体" w:cs="宋体"/>
          <w:color w:val="000000" w:themeColor="text1"/>
          <w:highlight w:val="none"/>
          <w14:textFill>
            <w14:solidFill>
              <w14:schemeClr w14:val="tx1"/>
            </w14:solidFill>
          </w14:textFill>
        </w:rPr>
      </w:pPr>
    </w:p>
    <w:p w14:paraId="0BF51079">
      <w:pPr>
        <w:widowControl/>
        <w:spacing w:line="360" w:lineRule="auto"/>
        <w:ind w:firstLine="420" w:firstLineChars="200"/>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监管部门：</w:t>
      </w:r>
      <w:r>
        <w:rPr>
          <w:rFonts w:hint="eastAsia" w:ascii="宋体" w:hAnsi="宋体" w:cs="宋体"/>
          <w:color w:val="000000" w:themeColor="text1"/>
          <w:sz w:val="21"/>
          <w:szCs w:val="21"/>
          <w:highlight w:val="none"/>
          <w14:textFill>
            <w14:solidFill>
              <w14:schemeClr w14:val="tx1"/>
            </w14:solidFill>
          </w14:textFill>
        </w:rPr>
        <w:t>北仑区财政局政府采购办公室</w:t>
      </w:r>
    </w:p>
    <w:p w14:paraId="1893BA7C">
      <w:pPr>
        <w:widowControl/>
        <w:spacing w:line="360" w:lineRule="auto"/>
        <w:ind w:firstLine="420" w:firstLineChars="200"/>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地址：</w:t>
      </w:r>
      <w:r>
        <w:rPr>
          <w:rFonts w:hint="eastAsia" w:ascii="宋体" w:hAnsi="宋体" w:cs="宋体"/>
          <w:color w:val="000000" w:themeColor="text1"/>
          <w:sz w:val="21"/>
          <w:szCs w:val="21"/>
          <w:highlight w:val="none"/>
          <w14:textFill>
            <w14:solidFill>
              <w14:schemeClr w14:val="tx1"/>
            </w14:solidFill>
          </w14:textFill>
        </w:rPr>
        <w:t>北仑区四明山路775号行政大楼A座六楼</w:t>
      </w:r>
    </w:p>
    <w:p w14:paraId="5A3C2FC6">
      <w:pPr>
        <w:widowControl/>
        <w:spacing w:line="360" w:lineRule="auto"/>
        <w:ind w:firstLine="420" w:firstLineChars="200"/>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联系人：</w:t>
      </w:r>
      <w:r>
        <w:rPr>
          <w:rFonts w:hint="eastAsia" w:ascii="宋体" w:hAnsi="宋体" w:cs="宋体"/>
          <w:color w:val="000000" w:themeColor="text1"/>
          <w:sz w:val="21"/>
          <w:szCs w:val="21"/>
          <w:highlight w:val="none"/>
          <w14:textFill>
            <w14:solidFill>
              <w14:schemeClr w14:val="tx1"/>
            </w14:solidFill>
          </w14:textFill>
        </w:rPr>
        <w:t>严老师</w:t>
      </w:r>
    </w:p>
    <w:p w14:paraId="7B8D5515">
      <w:pPr>
        <w:widowControl/>
        <w:spacing w:line="360" w:lineRule="auto"/>
        <w:ind w:firstLine="420" w:firstLineChars="200"/>
        <w:jc w:val="left"/>
        <w:rPr>
          <w:rFonts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联系电话：</w:t>
      </w:r>
      <w:r>
        <w:rPr>
          <w:rFonts w:hint="eastAsia" w:ascii="宋体" w:hAnsi="宋体" w:cs="宋体"/>
          <w:color w:val="000000" w:themeColor="text1"/>
          <w:sz w:val="21"/>
          <w:szCs w:val="21"/>
          <w:highlight w:val="none"/>
          <w14:textFill>
            <w14:solidFill>
              <w14:schemeClr w14:val="tx1"/>
            </w14:solidFill>
          </w14:textFill>
        </w:rPr>
        <w:t>0574-89383756</w:t>
      </w:r>
    </w:p>
    <w:p w14:paraId="4B86C7CA">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若对项目采购电子交易系统操作有疑问，可登录政采云（https://www.zcygov.cn/），点击右侧咨询小采，获取采小蜜智能服务管家帮助，或拨打政采云服务热线95763获取热线服务帮助。</w:t>
      </w:r>
    </w:p>
    <w:p w14:paraId="05686668">
      <w:pPr>
        <w:spacing w:line="360" w:lineRule="auto"/>
        <w:rPr>
          <w:rFonts w:ascii="宋体" w:hAnsi="宋体"/>
          <w:color w:val="000000" w:themeColor="text1"/>
          <w:szCs w:val="21"/>
          <w:highlight w:val="none"/>
          <w14:textFill>
            <w14:solidFill>
              <w14:schemeClr w14:val="tx1"/>
            </w14:solidFill>
          </w14:textFill>
        </w:rPr>
        <w:sectPr>
          <w:headerReference r:id="rId7" w:type="default"/>
          <w:footerReference r:id="rId8" w:type="default"/>
          <w:type w:val="continuous"/>
          <w:pgSz w:w="11907" w:h="16840"/>
          <w:pgMar w:top="1276" w:right="1701" w:bottom="1276" w:left="1701" w:header="720" w:footer="720" w:gutter="0"/>
          <w:pgNumType w:start="0"/>
          <w:cols w:space="720" w:num="1"/>
          <w:docGrid w:type="linesAndChars" w:linePitch="285" w:charSpace="0"/>
        </w:sectPr>
      </w:pPr>
      <w:r>
        <w:rPr>
          <w:rFonts w:hint="eastAsia" w:ascii="宋体" w:hAnsi="宋体"/>
          <w:color w:val="000000" w:themeColor="text1"/>
          <w:szCs w:val="21"/>
          <w:highlight w:val="none"/>
          <w14:textFill>
            <w14:solidFill>
              <w14:schemeClr w14:val="tx1"/>
            </w14:solidFill>
          </w14:textFill>
        </w:rPr>
        <w:t>CA问题联系电话（人工）：汇信CA 400-888-4636；天谷CA 400-087-8198。</w:t>
      </w:r>
    </w:p>
    <w:p w14:paraId="1A59037E">
      <w:pPr>
        <w:pStyle w:val="3"/>
        <w:spacing w:beforeLines="0" w:afterLines="0" w:line="360" w:lineRule="auto"/>
        <w:rPr>
          <w:rFonts w:ascii="宋体" w:hAnsi="宋体"/>
          <w:color w:val="000000" w:themeColor="text1"/>
          <w:sz w:val="32"/>
          <w:szCs w:val="32"/>
          <w:highlight w:val="none"/>
          <w14:textFill>
            <w14:solidFill>
              <w14:schemeClr w14:val="tx1"/>
            </w14:solidFill>
          </w14:textFill>
        </w:rPr>
      </w:pPr>
      <w:bookmarkStart w:id="50" w:name="_Toc6697"/>
      <w:r>
        <w:rPr>
          <w:rFonts w:hint="eastAsia" w:ascii="宋体" w:hAnsi="宋体"/>
          <w:color w:val="000000" w:themeColor="text1"/>
          <w:sz w:val="32"/>
          <w:szCs w:val="32"/>
          <w:highlight w:val="none"/>
          <w14:textFill>
            <w14:solidFill>
              <w14:schemeClr w14:val="tx1"/>
            </w14:solidFill>
          </w14:textFill>
        </w:rPr>
        <w:t>第二部分 招标项目需求</w:t>
      </w:r>
      <w:bookmarkEnd w:id="50"/>
    </w:p>
    <w:p w14:paraId="23F23E78">
      <w:pPr>
        <w:jc w:val="cente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项目需求前附表</w:t>
      </w:r>
    </w:p>
    <w:tbl>
      <w:tblPr>
        <w:tblStyle w:val="35"/>
        <w:tblW w:w="8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82"/>
        <w:gridCol w:w="5332"/>
      </w:tblGrid>
      <w:tr w14:paraId="61BC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742" w:type="dxa"/>
            <w:vAlign w:val="center"/>
          </w:tcPr>
          <w:p w14:paraId="341CD95F">
            <w:pPr>
              <w:spacing w:line="360" w:lineRule="auto"/>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序号</w:t>
            </w:r>
          </w:p>
        </w:tc>
        <w:tc>
          <w:tcPr>
            <w:tcW w:w="2382" w:type="dxa"/>
            <w:vAlign w:val="center"/>
          </w:tcPr>
          <w:p w14:paraId="7C0B76C3">
            <w:pPr>
              <w:spacing w:line="360" w:lineRule="auto"/>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项目</w:t>
            </w:r>
          </w:p>
        </w:tc>
        <w:tc>
          <w:tcPr>
            <w:tcW w:w="5332" w:type="dxa"/>
            <w:vAlign w:val="center"/>
          </w:tcPr>
          <w:p w14:paraId="66171E31">
            <w:pPr>
              <w:spacing w:line="360" w:lineRule="auto"/>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采购需求内容</w:t>
            </w:r>
          </w:p>
        </w:tc>
      </w:tr>
      <w:tr w14:paraId="245B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46A2EF38">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2382" w:type="dxa"/>
            <w:vAlign w:val="center"/>
          </w:tcPr>
          <w:p w14:paraId="7545DB27">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采购内容</w:t>
            </w:r>
          </w:p>
        </w:tc>
        <w:tc>
          <w:tcPr>
            <w:tcW w:w="5332" w:type="dxa"/>
            <w:vAlign w:val="center"/>
          </w:tcPr>
          <w:p w14:paraId="1DB2B21E">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详见第一部分《采购公告》及本部分“技术要求表”</w:t>
            </w:r>
          </w:p>
        </w:tc>
      </w:tr>
      <w:tr w14:paraId="05F9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78F6C080">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2382" w:type="dxa"/>
            <w:vAlign w:val="center"/>
          </w:tcPr>
          <w:p w14:paraId="546AADB9">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单位及数量</w:t>
            </w:r>
          </w:p>
        </w:tc>
        <w:tc>
          <w:tcPr>
            <w:tcW w:w="5332" w:type="dxa"/>
            <w:vAlign w:val="center"/>
          </w:tcPr>
          <w:p w14:paraId="2FB99098">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详见第一部分《采购公告》及本部分“技术要求表”</w:t>
            </w:r>
          </w:p>
        </w:tc>
      </w:tr>
      <w:tr w14:paraId="206C1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316FE38F">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2382" w:type="dxa"/>
            <w:vAlign w:val="center"/>
          </w:tcPr>
          <w:p w14:paraId="072722E8">
            <w:pPr>
              <w:spacing w:line="360" w:lineRule="auto"/>
              <w:jc w:val="left"/>
              <w:textAlignment w:val="baseline"/>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交付或者实施的时间和地点</w:t>
            </w:r>
          </w:p>
        </w:tc>
        <w:tc>
          <w:tcPr>
            <w:tcW w:w="5332" w:type="dxa"/>
            <w:vAlign w:val="center"/>
          </w:tcPr>
          <w:p w14:paraId="067D9917">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详见商务要求表</w:t>
            </w:r>
          </w:p>
        </w:tc>
      </w:tr>
      <w:tr w14:paraId="741D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461787A7">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w:t>
            </w:r>
          </w:p>
        </w:tc>
        <w:tc>
          <w:tcPr>
            <w:tcW w:w="2382" w:type="dxa"/>
            <w:vAlign w:val="center"/>
          </w:tcPr>
          <w:p w14:paraId="26F31191">
            <w:pPr>
              <w:spacing w:line="360" w:lineRule="auto"/>
              <w:jc w:val="left"/>
              <w:textAlignment w:val="baseline"/>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需实现的功能或者目标</w:t>
            </w:r>
          </w:p>
        </w:tc>
        <w:tc>
          <w:tcPr>
            <w:tcW w:w="5332" w:type="dxa"/>
            <w:vAlign w:val="center"/>
          </w:tcPr>
          <w:p w14:paraId="12553E0A">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详见技术要求</w:t>
            </w:r>
          </w:p>
        </w:tc>
      </w:tr>
      <w:tr w14:paraId="1617C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7D477D68">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w:t>
            </w:r>
          </w:p>
        </w:tc>
        <w:tc>
          <w:tcPr>
            <w:tcW w:w="2382" w:type="dxa"/>
            <w:vAlign w:val="center"/>
          </w:tcPr>
          <w:p w14:paraId="7B703129">
            <w:pPr>
              <w:spacing w:line="360" w:lineRule="auto"/>
              <w:jc w:val="left"/>
              <w:textAlignment w:val="baseline"/>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采购标的需执行的标准</w:t>
            </w:r>
          </w:p>
        </w:tc>
        <w:tc>
          <w:tcPr>
            <w:tcW w:w="5332" w:type="dxa"/>
            <w:vAlign w:val="center"/>
          </w:tcPr>
          <w:p w14:paraId="0A739928">
            <w:pPr>
              <w:spacing w:line="360" w:lineRule="exact"/>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执行国家、地方、有关机构所有相关的技术规范与标准，且确保所采用的技术规范、标准必须是国家或有关机构发布的最新版本，无论此版本在此有无提及。</w:t>
            </w:r>
          </w:p>
        </w:tc>
      </w:tr>
      <w:tr w14:paraId="7A41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043E9080">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w:t>
            </w:r>
          </w:p>
        </w:tc>
        <w:tc>
          <w:tcPr>
            <w:tcW w:w="2382" w:type="dxa"/>
            <w:vAlign w:val="center"/>
          </w:tcPr>
          <w:p w14:paraId="0112D2D9">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技术规格要求</w:t>
            </w:r>
          </w:p>
        </w:tc>
        <w:tc>
          <w:tcPr>
            <w:tcW w:w="5332" w:type="dxa"/>
            <w:vAlign w:val="center"/>
          </w:tcPr>
          <w:p w14:paraId="12698405">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1、《城市桥梁养护技术规程》（DB3302/T1082-2017）；</w:t>
            </w:r>
          </w:p>
          <w:p w14:paraId="76710601">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2、《城市道路养护技术规程》（DB3302/T 1069-2016）；</w:t>
            </w:r>
          </w:p>
          <w:p w14:paraId="64318E85">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3、《公路桥涵养护规范》（JTG H11—2004）；</w:t>
            </w:r>
          </w:p>
          <w:p w14:paraId="7CB194DF">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4、《公路桥梁技术状况评定标准》（JTG/T H21-2011）；</w:t>
            </w:r>
          </w:p>
          <w:p w14:paraId="6E72F7A6">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5、《浙江省城镇排水管道运行与维护技术规程》（DB33/T1124-2016）；</w:t>
            </w:r>
          </w:p>
          <w:p w14:paraId="0FE66D21">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6、《城镇排水管渠与泵站维护技术规程》（CJJ68-2007）；</w:t>
            </w:r>
          </w:p>
          <w:p w14:paraId="3A8DB21A">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7、《城镇排水管道维护安全技术规程》（CJJ6-2009）；</w:t>
            </w:r>
          </w:p>
          <w:p w14:paraId="68B70DE2">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8、《排水管道电视和声纳检测评估技术规程》（DB31/T444-2009）；</w:t>
            </w:r>
          </w:p>
          <w:p w14:paraId="0B9DAC57">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9、《给排水管道工程施工及验收规范》（GB50268-2008）；</w:t>
            </w:r>
          </w:p>
          <w:p w14:paraId="2612B6ED">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10、《消防给水及消火栓系统技术规范》GB 50974-2014；</w:t>
            </w:r>
          </w:p>
          <w:p w14:paraId="1A764511">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11、浙江省、宁波市及北仑区有关政策规定以及其它采购人认可的标准及规范。</w:t>
            </w:r>
          </w:p>
          <w:p w14:paraId="4911AE6E">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    注：本技术要求所列的规范、标准不意味着全部的或最新的，供应商必须执行国家、地方、有关机构所有相关的技术规范与标准，且确保所采用的技术规范、标准必须是国家或有关机构发布的最新版本，无论此版本在此有无提及。</w:t>
            </w:r>
          </w:p>
        </w:tc>
      </w:tr>
      <w:tr w14:paraId="767F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2D6ABBDD">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w:t>
            </w:r>
          </w:p>
        </w:tc>
        <w:tc>
          <w:tcPr>
            <w:tcW w:w="2382" w:type="dxa"/>
            <w:vAlign w:val="center"/>
          </w:tcPr>
          <w:p w14:paraId="6CCC1EC9">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物理特性要求</w:t>
            </w:r>
          </w:p>
        </w:tc>
        <w:tc>
          <w:tcPr>
            <w:tcW w:w="5332" w:type="dxa"/>
            <w:vAlign w:val="center"/>
          </w:tcPr>
          <w:p w14:paraId="4281A41C">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w:t>
            </w:r>
          </w:p>
        </w:tc>
      </w:tr>
      <w:tr w14:paraId="056C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4538DC78">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w:t>
            </w:r>
          </w:p>
        </w:tc>
        <w:tc>
          <w:tcPr>
            <w:tcW w:w="2382" w:type="dxa"/>
            <w:vAlign w:val="center"/>
          </w:tcPr>
          <w:p w14:paraId="5C0D4300">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质量、安全要求</w:t>
            </w:r>
          </w:p>
        </w:tc>
        <w:tc>
          <w:tcPr>
            <w:tcW w:w="5332" w:type="dxa"/>
            <w:vAlign w:val="center"/>
          </w:tcPr>
          <w:p w14:paraId="3A8B1FB9">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w:t>
            </w:r>
          </w:p>
        </w:tc>
      </w:tr>
      <w:tr w14:paraId="52F15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63CB7D06">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9</w:t>
            </w:r>
          </w:p>
        </w:tc>
        <w:tc>
          <w:tcPr>
            <w:tcW w:w="2382" w:type="dxa"/>
            <w:vAlign w:val="center"/>
          </w:tcPr>
          <w:p w14:paraId="5E65BE17">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服务标准、期限、效率(培训等）</w:t>
            </w:r>
          </w:p>
        </w:tc>
        <w:tc>
          <w:tcPr>
            <w:tcW w:w="5332" w:type="dxa"/>
            <w:vAlign w:val="center"/>
          </w:tcPr>
          <w:p w14:paraId="72AD10D3">
            <w:pPr>
              <w:spacing w:line="360" w:lineRule="exact"/>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详见本部分内容</w:t>
            </w:r>
          </w:p>
        </w:tc>
      </w:tr>
      <w:tr w14:paraId="0696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4A7445DE">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w:t>
            </w:r>
          </w:p>
        </w:tc>
        <w:tc>
          <w:tcPr>
            <w:tcW w:w="2382" w:type="dxa"/>
            <w:vAlign w:val="center"/>
          </w:tcPr>
          <w:p w14:paraId="2ED9597B">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验收标准</w:t>
            </w:r>
          </w:p>
        </w:tc>
        <w:tc>
          <w:tcPr>
            <w:tcW w:w="5332" w:type="dxa"/>
            <w:vAlign w:val="center"/>
          </w:tcPr>
          <w:p w14:paraId="4C5E866E">
            <w:pPr>
              <w:spacing w:line="360" w:lineRule="exact"/>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通过采购人组织的专家评审。</w:t>
            </w:r>
          </w:p>
        </w:tc>
      </w:tr>
      <w:tr w14:paraId="19BC6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72AE7A69">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w:t>
            </w:r>
          </w:p>
        </w:tc>
        <w:tc>
          <w:tcPr>
            <w:tcW w:w="2382" w:type="dxa"/>
            <w:vAlign w:val="center"/>
          </w:tcPr>
          <w:p w14:paraId="3498446D">
            <w:pPr>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现场踏勘</w:t>
            </w:r>
          </w:p>
        </w:tc>
        <w:tc>
          <w:tcPr>
            <w:tcW w:w="5332" w:type="dxa"/>
            <w:vAlign w:val="center"/>
          </w:tcPr>
          <w:p w14:paraId="2054CF6A">
            <w:pPr>
              <w:spacing w:line="360" w:lineRule="exact"/>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项目不统一组织现场勘察，投标人可自行对本项目现场和周围环境进行勘察。勘察现场所发生的费用由投标人自己承担。不论何种原因所造成，在勘察过程中，投标人自行对由此次踏勘现场而造成的死亡、人身伤害、财产损失、损害以及任何其它损失、损害和引起的费用和开支承担责任。</w:t>
            </w:r>
          </w:p>
        </w:tc>
      </w:tr>
      <w:tr w14:paraId="1F67C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2" w:type="dxa"/>
            <w:vAlign w:val="center"/>
          </w:tcPr>
          <w:p w14:paraId="6C66FDAF">
            <w:pPr>
              <w:spacing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w:t>
            </w:r>
          </w:p>
        </w:tc>
        <w:tc>
          <w:tcPr>
            <w:tcW w:w="2382" w:type="dxa"/>
            <w:vAlign w:val="center"/>
          </w:tcPr>
          <w:p w14:paraId="4F0D6A39">
            <w:pPr>
              <w:spacing w:line="360" w:lineRule="exact"/>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演示时间及地点</w:t>
            </w:r>
          </w:p>
        </w:tc>
        <w:tc>
          <w:tcPr>
            <w:tcW w:w="5332" w:type="dxa"/>
            <w:vAlign w:val="center"/>
          </w:tcPr>
          <w:p w14:paraId="0F675C25">
            <w:pPr>
              <w:spacing w:line="36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无</w:t>
            </w:r>
          </w:p>
        </w:tc>
      </w:tr>
    </w:tbl>
    <w:p w14:paraId="406395FB">
      <w:pPr>
        <w:spacing w:line="360" w:lineRule="auto"/>
        <w:rPr>
          <w:rFonts w:ascii="宋体" w:hAnsi="宋体" w:cs="宋体"/>
          <w:color w:val="000000" w:themeColor="text1"/>
          <w:sz w:val="24"/>
          <w:szCs w:val="24"/>
          <w:highlight w:val="none"/>
          <w14:textFill>
            <w14:solidFill>
              <w14:schemeClr w14:val="tx1"/>
            </w14:solidFill>
          </w14:textFill>
        </w:rPr>
      </w:pPr>
    </w:p>
    <w:p w14:paraId="43BB26BB">
      <w:pPr>
        <w:widowControl/>
        <w:jc w:val="left"/>
        <w:rPr>
          <w:rFonts w:ascii="宋体" w:hAnsi="宋体" w:cs="宋体"/>
          <w:color w:val="000000" w:themeColor="text1"/>
          <w:sz w:val="24"/>
          <w:szCs w:val="24"/>
          <w:highlight w:val="none"/>
          <w14:textFill>
            <w14:solidFill>
              <w14:schemeClr w14:val="tx1"/>
            </w14:solidFill>
          </w14:textFill>
        </w:rPr>
      </w:pPr>
      <w:r>
        <w:rPr>
          <w:rFonts w:ascii="宋体" w:hAnsi="宋体" w:cs="宋体"/>
          <w:color w:val="000000" w:themeColor="text1"/>
          <w:sz w:val="24"/>
          <w:szCs w:val="24"/>
          <w:highlight w:val="none"/>
          <w14:textFill>
            <w14:solidFill>
              <w14:schemeClr w14:val="tx1"/>
            </w14:solidFill>
          </w14:textFill>
        </w:rPr>
        <w:br w:type="page"/>
      </w:r>
    </w:p>
    <w:p w14:paraId="3DE6EF85">
      <w:pPr>
        <w:spacing w:line="360" w:lineRule="auto"/>
        <w:rPr>
          <w:rFonts w:ascii="宋体" w:hAnsi="宋体" w:cs="宋体"/>
          <w:color w:val="000000" w:themeColor="text1"/>
          <w:sz w:val="24"/>
          <w:szCs w:val="24"/>
          <w:highlight w:val="none"/>
          <w14:textFill>
            <w14:solidFill>
              <w14:schemeClr w14:val="tx1"/>
            </w14:solidFill>
          </w14:textFill>
        </w:rPr>
      </w:pPr>
    </w:p>
    <w:p w14:paraId="79EFDF55">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一、商务要求：</w:t>
      </w:r>
    </w:p>
    <w:tbl>
      <w:tblPr>
        <w:tblStyle w:val="35"/>
        <w:tblW w:w="8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132"/>
        <w:gridCol w:w="6326"/>
      </w:tblGrid>
      <w:tr w14:paraId="7EAC02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132" w:type="dxa"/>
            <w:tcBorders>
              <w:top w:val="single" w:color="auto" w:sz="4" w:space="0"/>
              <w:left w:val="single" w:color="auto" w:sz="4" w:space="0"/>
              <w:bottom w:val="single" w:color="auto" w:sz="4" w:space="0"/>
              <w:right w:val="single" w:color="auto" w:sz="4" w:space="0"/>
            </w:tcBorders>
            <w:vAlign w:val="center"/>
          </w:tcPr>
          <w:p w14:paraId="36BB11F9">
            <w:pPr>
              <w:spacing w:line="264" w:lineRule="auto"/>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w:t>
            </w:r>
          </w:p>
        </w:tc>
        <w:tc>
          <w:tcPr>
            <w:tcW w:w="6326" w:type="dxa"/>
            <w:tcBorders>
              <w:top w:val="single" w:color="auto" w:sz="4" w:space="0"/>
              <w:left w:val="single" w:color="auto" w:sz="4" w:space="0"/>
              <w:bottom w:val="single" w:color="auto" w:sz="4" w:space="0"/>
              <w:right w:val="single" w:color="auto" w:sz="4" w:space="0"/>
            </w:tcBorders>
            <w:vAlign w:val="center"/>
          </w:tcPr>
          <w:p w14:paraId="38579C2A">
            <w:pPr>
              <w:spacing w:line="264" w:lineRule="auto"/>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要 求</w:t>
            </w:r>
          </w:p>
        </w:tc>
      </w:tr>
      <w:tr w14:paraId="313D99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132" w:type="dxa"/>
            <w:tcBorders>
              <w:top w:val="single" w:color="auto" w:sz="4" w:space="0"/>
              <w:left w:val="single" w:color="auto" w:sz="4" w:space="0"/>
              <w:bottom w:val="single" w:color="auto" w:sz="4" w:space="0"/>
              <w:right w:val="single" w:color="auto" w:sz="4" w:space="0"/>
            </w:tcBorders>
            <w:vAlign w:val="center"/>
          </w:tcPr>
          <w:p w14:paraId="3617564C">
            <w:pPr>
              <w:spacing w:line="264"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★1、服务期</w:t>
            </w:r>
          </w:p>
        </w:tc>
        <w:tc>
          <w:tcPr>
            <w:tcW w:w="6326" w:type="dxa"/>
            <w:tcBorders>
              <w:top w:val="single" w:color="auto" w:sz="4" w:space="0"/>
              <w:left w:val="single" w:color="auto" w:sz="4" w:space="0"/>
              <w:bottom w:val="single" w:color="auto" w:sz="4" w:space="0"/>
              <w:right w:val="single" w:color="auto" w:sz="4" w:space="0"/>
            </w:tcBorders>
            <w:vAlign w:val="center"/>
          </w:tcPr>
          <w:p w14:paraId="697C28C4">
            <w:pPr>
              <w:spacing w:line="264" w:lineRule="auto"/>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1年，具体履约时间以合同签订时间为准</w:t>
            </w:r>
            <w:r>
              <w:rPr>
                <w:rFonts w:hint="eastAsia" w:ascii="宋体" w:hAnsi="宋体" w:cs="宋体"/>
                <w:color w:val="000000" w:themeColor="text1"/>
                <w:szCs w:val="21"/>
                <w:highlight w:val="none"/>
                <w14:textFill>
                  <w14:solidFill>
                    <w14:schemeClr w14:val="tx1"/>
                  </w14:solidFill>
                </w14:textFill>
              </w:rPr>
              <w:t>。</w:t>
            </w:r>
          </w:p>
        </w:tc>
      </w:tr>
      <w:tr w14:paraId="39C2F5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132" w:type="dxa"/>
            <w:tcBorders>
              <w:top w:val="single" w:color="auto" w:sz="4" w:space="0"/>
              <w:left w:val="single" w:color="auto" w:sz="4" w:space="0"/>
              <w:bottom w:val="single" w:color="auto" w:sz="4" w:space="0"/>
              <w:right w:val="single" w:color="auto" w:sz="4" w:space="0"/>
            </w:tcBorders>
            <w:vAlign w:val="center"/>
          </w:tcPr>
          <w:p w14:paraId="57C3408B">
            <w:pPr>
              <w:spacing w:line="264"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2、服务地点</w:t>
            </w:r>
          </w:p>
        </w:tc>
        <w:tc>
          <w:tcPr>
            <w:tcW w:w="6326" w:type="dxa"/>
            <w:tcBorders>
              <w:top w:val="single" w:color="auto" w:sz="4" w:space="0"/>
              <w:left w:val="single" w:color="auto" w:sz="4" w:space="0"/>
              <w:bottom w:val="single" w:color="auto" w:sz="4" w:space="0"/>
              <w:right w:val="single" w:color="auto" w:sz="4" w:space="0"/>
            </w:tcBorders>
            <w:vAlign w:val="center"/>
          </w:tcPr>
          <w:p w14:paraId="0EC1FF6F">
            <w:pPr>
              <w:spacing w:line="264"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采购人指定地点</w:t>
            </w:r>
          </w:p>
        </w:tc>
      </w:tr>
      <w:tr w14:paraId="53A23F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132" w:type="dxa"/>
            <w:tcBorders>
              <w:top w:val="single" w:color="auto" w:sz="4" w:space="0"/>
              <w:left w:val="single" w:color="auto" w:sz="4" w:space="0"/>
              <w:bottom w:val="single" w:color="auto" w:sz="4" w:space="0"/>
              <w:right w:val="single" w:color="auto" w:sz="4" w:space="0"/>
            </w:tcBorders>
            <w:vAlign w:val="center"/>
          </w:tcPr>
          <w:p w14:paraId="07A3BCC8">
            <w:pPr>
              <w:spacing w:line="264"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★3、付款条件</w:t>
            </w:r>
          </w:p>
        </w:tc>
        <w:tc>
          <w:tcPr>
            <w:tcW w:w="6326" w:type="dxa"/>
            <w:tcBorders>
              <w:top w:val="single" w:color="auto" w:sz="4" w:space="0"/>
              <w:left w:val="single" w:color="auto" w:sz="4" w:space="0"/>
              <w:bottom w:val="single" w:color="auto" w:sz="4" w:space="0"/>
              <w:right w:val="single" w:color="auto" w:sz="4" w:space="0"/>
            </w:tcBorders>
            <w:vAlign w:val="center"/>
          </w:tcPr>
          <w:p w14:paraId="3AD38DC2">
            <w:pPr>
              <w:spacing w:line="264" w:lineRule="auto"/>
              <w:jc w:val="left"/>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一、市政道路及排水管网养护付款：</w:t>
            </w:r>
          </w:p>
          <w:p w14:paraId="3CB7339A">
            <w:pPr>
              <w:spacing w:line="264" w:lineRule="auto"/>
              <w:jc w:val="left"/>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1、合同签订且满足实施条件后7个工作日支付市政道路及排水管网养护资金款项的40%作为预付款；</w:t>
            </w:r>
          </w:p>
          <w:p w14:paraId="047B5CD9">
            <w:pPr>
              <w:spacing w:line="264" w:lineRule="auto"/>
              <w:jc w:val="left"/>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2、剩余金额按实际发生工程量每月按实结算。</w:t>
            </w:r>
          </w:p>
          <w:p w14:paraId="07524860">
            <w:pPr>
              <w:spacing w:line="264" w:lineRule="auto"/>
              <w:jc w:val="lef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二、污水泵站养护付款：</w:t>
            </w:r>
          </w:p>
          <w:p w14:paraId="47B98CD4">
            <w:pPr>
              <w:pStyle w:val="2"/>
              <w:jc w:val="left"/>
              <w:rPr>
                <w:rFonts w:hint="eastAsia" w:ascii="宋体" w:hAnsi="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cs="宋体"/>
                <w:b w:val="0"/>
                <w:bCs w:val="0"/>
                <w:color w:val="000000" w:themeColor="text1"/>
                <w:sz w:val="21"/>
                <w:szCs w:val="21"/>
                <w:highlight w:val="none"/>
                <w:lang w:val="en-US" w:eastAsia="zh-CN"/>
                <w14:textFill>
                  <w14:solidFill>
                    <w14:schemeClr w14:val="tx1"/>
                  </w14:solidFill>
                </w14:textFill>
              </w:rPr>
              <w:t>1、合同签订且满足实施条件后7个工作日支付污水泵站养护资金款项的40%作为预付款；</w:t>
            </w:r>
          </w:p>
          <w:p w14:paraId="03A3626D">
            <w:pPr>
              <w:rPr>
                <w:rFonts w:hint="eastAsia" w:ascii="宋体" w:hAnsi="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cs="宋体"/>
                <w:b w:val="0"/>
                <w:bCs w:val="0"/>
                <w:color w:val="000000" w:themeColor="text1"/>
                <w:sz w:val="21"/>
                <w:szCs w:val="21"/>
                <w:highlight w:val="none"/>
                <w:lang w:val="en-US" w:eastAsia="zh-CN"/>
                <w14:textFill>
                  <w14:solidFill>
                    <w14:schemeClr w14:val="tx1"/>
                  </w14:solidFill>
                </w14:textFill>
              </w:rPr>
              <w:t>2、2025年12月10日支付2025年污水泵站养护资金款项的剩余金额；</w:t>
            </w:r>
          </w:p>
          <w:p w14:paraId="222FCA94">
            <w:pPr>
              <w:pStyle w:val="2"/>
              <w:jc w:val="left"/>
              <w:rPr>
                <w:rFonts w:hint="default"/>
                <w:color w:val="000000" w:themeColor="text1"/>
                <w:highlight w:val="none"/>
                <w:lang w:val="en-US" w:eastAsia="zh-CN"/>
                <w14:textFill>
                  <w14:solidFill>
                    <w14:schemeClr w14:val="tx1"/>
                  </w14:solidFill>
                </w14:textFill>
              </w:rPr>
            </w:pPr>
            <w:r>
              <w:rPr>
                <w:rFonts w:hint="eastAsia" w:ascii="宋体" w:hAnsi="宋体" w:cs="宋体"/>
                <w:b w:val="0"/>
                <w:bCs w:val="0"/>
                <w:color w:val="000000" w:themeColor="text1"/>
                <w:sz w:val="21"/>
                <w:szCs w:val="21"/>
                <w:highlight w:val="none"/>
                <w:lang w:val="en-US" w:eastAsia="zh-CN"/>
                <w14:textFill>
                  <w14:solidFill>
                    <w14:schemeClr w14:val="tx1"/>
                  </w14:solidFill>
                </w14:textFill>
              </w:rPr>
              <w:t>3、完成项目验收后7个工作日内支付污水泵站养护剩余资金款项。</w:t>
            </w:r>
          </w:p>
        </w:tc>
      </w:tr>
      <w:tr w14:paraId="177F6D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132" w:type="dxa"/>
            <w:tcBorders>
              <w:top w:val="single" w:color="auto" w:sz="4" w:space="0"/>
              <w:left w:val="single" w:color="auto" w:sz="4" w:space="0"/>
              <w:bottom w:val="single" w:color="auto" w:sz="4" w:space="0"/>
              <w:right w:val="single" w:color="auto" w:sz="4" w:space="0"/>
            </w:tcBorders>
            <w:vAlign w:val="center"/>
          </w:tcPr>
          <w:p w14:paraId="0873C2B6">
            <w:pPr>
              <w:spacing w:line="264"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4、履约保证金</w:t>
            </w:r>
          </w:p>
        </w:tc>
        <w:tc>
          <w:tcPr>
            <w:tcW w:w="6326" w:type="dxa"/>
            <w:tcBorders>
              <w:top w:val="single" w:color="auto" w:sz="4" w:space="0"/>
              <w:left w:val="single" w:color="auto" w:sz="4" w:space="0"/>
              <w:bottom w:val="single" w:color="auto" w:sz="4" w:space="0"/>
              <w:right w:val="single" w:color="auto" w:sz="4" w:space="0"/>
            </w:tcBorders>
            <w:vAlign w:val="center"/>
          </w:tcPr>
          <w:p w14:paraId="608A92CF">
            <w:pPr>
              <w:spacing w:line="264"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无</w:t>
            </w:r>
          </w:p>
        </w:tc>
      </w:tr>
    </w:tbl>
    <w:p w14:paraId="70DC27AF">
      <w:pPr>
        <w:widowControl/>
        <w:jc w:val="left"/>
        <w:rPr>
          <w:rFonts w:cs="仿宋" w:asciiTheme="minorEastAsia" w:hAnsiTheme="minorEastAsia" w:eastAsiaTheme="minorEastAsia"/>
          <w:color w:val="000000" w:themeColor="text1"/>
          <w:sz w:val="24"/>
          <w:szCs w:val="28"/>
          <w:highlight w:val="none"/>
          <w14:textFill>
            <w14:solidFill>
              <w14:schemeClr w14:val="tx1"/>
            </w14:solidFill>
          </w14:textFill>
        </w:rPr>
      </w:pPr>
      <w:r>
        <w:rPr>
          <w:rFonts w:cs="仿宋" w:asciiTheme="minorEastAsia" w:hAnsiTheme="minorEastAsia" w:eastAsiaTheme="minorEastAsia"/>
          <w:color w:val="000000" w:themeColor="text1"/>
          <w:sz w:val="24"/>
          <w:szCs w:val="28"/>
          <w:highlight w:val="none"/>
          <w14:textFill>
            <w14:solidFill>
              <w14:schemeClr w14:val="tx1"/>
            </w14:solidFill>
          </w14:textFill>
        </w:rPr>
        <w:br w:type="page"/>
      </w:r>
    </w:p>
    <w:p w14:paraId="1AD20736">
      <w:pPr>
        <w:spacing w:line="360" w:lineRule="auto"/>
        <w:jc w:val="left"/>
        <w:outlineLvl w:val="2"/>
        <w:rPr>
          <w:rFonts w:cs="仿宋" w:asciiTheme="minorEastAsia" w:hAnsiTheme="minorEastAsia" w:eastAsiaTheme="minorEastAsia"/>
          <w:color w:val="000000" w:themeColor="text1"/>
          <w:sz w:val="24"/>
          <w:szCs w:val="28"/>
          <w:highlight w:val="none"/>
          <w14:textFill>
            <w14:solidFill>
              <w14:schemeClr w14:val="tx1"/>
            </w14:solidFill>
          </w14:textFill>
        </w:rPr>
      </w:pPr>
      <w:bookmarkStart w:id="51" w:name="_Toc136017643"/>
      <w:bookmarkStart w:id="52" w:name="_Toc136345091"/>
      <w:bookmarkStart w:id="53" w:name="_Toc8046"/>
      <w:r>
        <w:rPr>
          <w:rFonts w:hint="eastAsia" w:cs="仿宋" w:asciiTheme="minorEastAsia" w:hAnsiTheme="minorEastAsia" w:eastAsiaTheme="minorEastAsia"/>
          <w:color w:val="000000" w:themeColor="text1"/>
          <w:sz w:val="24"/>
          <w:szCs w:val="28"/>
          <w:highlight w:val="none"/>
          <w14:textFill>
            <w14:solidFill>
              <w14:schemeClr w14:val="tx1"/>
            </w14:solidFill>
          </w14:textFill>
        </w:rPr>
        <w:t>二、技术要求</w:t>
      </w:r>
      <w:bookmarkEnd w:id="51"/>
      <w:bookmarkEnd w:id="52"/>
      <w:bookmarkEnd w:id="53"/>
    </w:p>
    <w:p w14:paraId="3A1323BC">
      <w:pPr>
        <w:widowControl/>
        <w:numPr>
          <w:ilvl w:val="0"/>
          <w:numId w:val="0"/>
        </w:numPr>
        <w:autoSpaceDE w:val="0"/>
        <w:autoSpaceDN w:val="0"/>
        <w:spacing w:before="120" w:beforeLines="50" w:line="360" w:lineRule="auto"/>
        <w:textAlignment w:val="bottom"/>
        <w:rPr>
          <w:rFonts w:hint="eastAsia" w:ascii="Arial" w:hAnsi="Arial"/>
          <w:b/>
          <w:bCs/>
          <w:color w:val="000000" w:themeColor="text1"/>
          <w:szCs w:val="21"/>
          <w:highlight w:val="none"/>
          <w14:textFill>
            <w14:solidFill>
              <w14:schemeClr w14:val="tx1"/>
            </w14:solidFill>
          </w14:textFill>
        </w:rPr>
      </w:pPr>
      <w:bookmarkStart w:id="54" w:name="_Toc136017651"/>
      <w:r>
        <w:rPr>
          <w:rFonts w:hint="eastAsia" w:ascii="Arial" w:hAnsi="Arial"/>
          <w:b/>
          <w:bCs/>
          <w:color w:val="000000" w:themeColor="text1"/>
          <w:szCs w:val="21"/>
          <w:highlight w:val="none"/>
          <w:lang w:eastAsia="zh-CN"/>
          <w14:textFill>
            <w14:solidFill>
              <w14:schemeClr w14:val="tx1"/>
            </w14:solidFill>
          </w14:textFill>
        </w:rPr>
        <w:t>（</w:t>
      </w:r>
      <w:r>
        <w:rPr>
          <w:rFonts w:hint="eastAsia" w:ascii="Arial" w:hAnsi="Arial"/>
          <w:b/>
          <w:bCs/>
          <w:color w:val="000000" w:themeColor="text1"/>
          <w:szCs w:val="21"/>
          <w:highlight w:val="none"/>
          <w:lang w:val="en-US" w:eastAsia="zh-CN"/>
          <w14:textFill>
            <w14:solidFill>
              <w14:schemeClr w14:val="tx1"/>
            </w14:solidFill>
          </w14:textFill>
        </w:rPr>
        <w:t>一</w:t>
      </w:r>
      <w:r>
        <w:rPr>
          <w:rFonts w:hint="eastAsia" w:ascii="Arial" w:hAnsi="Arial"/>
          <w:b/>
          <w:bCs/>
          <w:color w:val="000000" w:themeColor="text1"/>
          <w:szCs w:val="21"/>
          <w:highlight w:val="none"/>
          <w:lang w:eastAsia="zh-CN"/>
          <w14:textFill>
            <w14:solidFill>
              <w14:schemeClr w14:val="tx1"/>
            </w14:solidFill>
          </w14:textFill>
        </w:rPr>
        <w:t>）</w:t>
      </w:r>
      <w:r>
        <w:rPr>
          <w:rFonts w:hint="eastAsia" w:ascii="Arial" w:hAnsi="Arial"/>
          <w:b/>
          <w:bCs/>
          <w:color w:val="000000" w:themeColor="text1"/>
          <w:szCs w:val="21"/>
          <w:highlight w:val="none"/>
          <w14:textFill>
            <w14:solidFill>
              <w14:schemeClr w14:val="tx1"/>
            </w14:solidFill>
          </w14:textFill>
        </w:rPr>
        <w:t>采购标的需执行的国家相关标准、行业标准、地方标准或者其他标准规范</w:t>
      </w:r>
    </w:p>
    <w:p w14:paraId="0C2341D9">
      <w:pPr>
        <w:widowControl/>
        <w:numPr>
          <w:ilvl w:val="0"/>
          <w:numId w:val="1"/>
        </w:numPr>
        <w:autoSpaceDE w:val="0"/>
        <w:autoSpaceDN w:val="0"/>
        <w:spacing w:line="360" w:lineRule="auto"/>
        <w:textAlignment w:val="bottom"/>
        <w:rPr>
          <w:rFonts w:hint="eastAsia" w:ascii="Arial" w:hAnsi="Arial"/>
          <w:color w:val="000000" w:themeColor="text1"/>
          <w:szCs w:val="21"/>
          <w:highlight w:val="none"/>
          <w14:textFill>
            <w14:solidFill>
              <w14:schemeClr w14:val="tx1"/>
            </w14:solidFill>
          </w14:textFill>
        </w:rPr>
      </w:pPr>
      <w:r>
        <w:rPr>
          <w:rFonts w:hint="eastAsia" w:ascii="Arial" w:hAnsi="Arial"/>
          <w:color w:val="000000" w:themeColor="text1"/>
          <w:szCs w:val="21"/>
          <w:highlight w:val="none"/>
          <w14:textFill>
            <w14:solidFill>
              <w14:schemeClr w14:val="tx1"/>
            </w14:solidFill>
          </w14:textFill>
        </w:rPr>
        <w:t>《城市桥梁养护技术规程》（DB3302/T1082-2017）；</w:t>
      </w:r>
    </w:p>
    <w:p w14:paraId="3FC7D24E">
      <w:pPr>
        <w:widowControl/>
        <w:numPr>
          <w:ilvl w:val="0"/>
          <w:numId w:val="1"/>
        </w:numPr>
        <w:autoSpaceDE w:val="0"/>
        <w:autoSpaceDN w:val="0"/>
        <w:spacing w:line="360" w:lineRule="auto"/>
        <w:textAlignment w:val="bottom"/>
        <w:rPr>
          <w:rFonts w:hint="eastAsia" w:ascii="Arial" w:hAnsi="Arial"/>
          <w:color w:val="000000" w:themeColor="text1"/>
          <w:szCs w:val="21"/>
          <w:highlight w:val="none"/>
          <w14:textFill>
            <w14:solidFill>
              <w14:schemeClr w14:val="tx1"/>
            </w14:solidFill>
          </w14:textFill>
        </w:rPr>
      </w:pPr>
      <w:r>
        <w:rPr>
          <w:rFonts w:hint="eastAsia" w:ascii="Arial" w:hAnsi="Arial"/>
          <w:color w:val="000000" w:themeColor="text1"/>
          <w:szCs w:val="21"/>
          <w:highlight w:val="none"/>
          <w14:textFill>
            <w14:solidFill>
              <w14:schemeClr w14:val="tx1"/>
            </w14:solidFill>
          </w14:textFill>
        </w:rPr>
        <w:t>《城市道路养护技术规程》（DB3302/T 1069-2016）；</w:t>
      </w:r>
    </w:p>
    <w:p w14:paraId="477DA800">
      <w:pPr>
        <w:widowControl/>
        <w:numPr>
          <w:ilvl w:val="0"/>
          <w:numId w:val="1"/>
        </w:numPr>
        <w:autoSpaceDE w:val="0"/>
        <w:autoSpaceDN w:val="0"/>
        <w:spacing w:line="360" w:lineRule="auto"/>
        <w:textAlignment w:val="bottom"/>
        <w:rPr>
          <w:rFonts w:hint="eastAsia" w:ascii="Arial" w:hAnsi="Arial"/>
          <w:color w:val="000000" w:themeColor="text1"/>
          <w:szCs w:val="21"/>
          <w:highlight w:val="none"/>
          <w14:textFill>
            <w14:solidFill>
              <w14:schemeClr w14:val="tx1"/>
            </w14:solidFill>
          </w14:textFill>
        </w:rPr>
      </w:pPr>
      <w:r>
        <w:rPr>
          <w:rFonts w:hint="eastAsia" w:ascii="Arial" w:hAnsi="Arial"/>
          <w:color w:val="000000" w:themeColor="text1"/>
          <w:szCs w:val="21"/>
          <w:highlight w:val="none"/>
          <w14:textFill>
            <w14:solidFill>
              <w14:schemeClr w14:val="tx1"/>
            </w14:solidFill>
          </w14:textFill>
        </w:rPr>
        <w:t>《公路桥涵养护规范》（JTG H11—2004）；</w:t>
      </w:r>
    </w:p>
    <w:p w14:paraId="76EB63A7">
      <w:pPr>
        <w:widowControl/>
        <w:numPr>
          <w:ilvl w:val="0"/>
          <w:numId w:val="1"/>
        </w:numPr>
        <w:autoSpaceDE w:val="0"/>
        <w:autoSpaceDN w:val="0"/>
        <w:spacing w:line="360" w:lineRule="auto"/>
        <w:textAlignment w:val="bottom"/>
        <w:rPr>
          <w:rFonts w:hint="eastAsia" w:ascii="Arial" w:hAnsi="Arial"/>
          <w:color w:val="000000" w:themeColor="text1"/>
          <w:szCs w:val="21"/>
          <w:highlight w:val="none"/>
          <w14:textFill>
            <w14:solidFill>
              <w14:schemeClr w14:val="tx1"/>
            </w14:solidFill>
          </w14:textFill>
        </w:rPr>
      </w:pPr>
      <w:r>
        <w:rPr>
          <w:rFonts w:hint="eastAsia" w:ascii="Arial" w:hAnsi="Arial"/>
          <w:color w:val="000000" w:themeColor="text1"/>
          <w:szCs w:val="21"/>
          <w:highlight w:val="none"/>
          <w14:textFill>
            <w14:solidFill>
              <w14:schemeClr w14:val="tx1"/>
            </w14:solidFill>
          </w14:textFill>
        </w:rPr>
        <w:t>《公路桥梁技术状况评定标准》（JTG/T H21-2011）；</w:t>
      </w:r>
    </w:p>
    <w:p w14:paraId="14EBEA94">
      <w:pPr>
        <w:widowControl/>
        <w:numPr>
          <w:ilvl w:val="0"/>
          <w:numId w:val="1"/>
        </w:numPr>
        <w:autoSpaceDE w:val="0"/>
        <w:autoSpaceDN w:val="0"/>
        <w:spacing w:line="360" w:lineRule="auto"/>
        <w:textAlignment w:val="bottom"/>
        <w:rPr>
          <w:rFonts w:hint="eastAsia" w:ascii="Arial" w:hAnsi="Arial"/>
          <w:color w:val="000000" w:themeColor="text1"/>
          <w:szCs w:val="21"/>
          <w:highlight w:val="none"/>
          <w14:textFill>
            <w14:solidFill>
              <w14:schemeClr w14:val="tx1"/>
            </w14:solidFill>
          </w14:textFill>
        </w:rPr>
      </w:pPr>
      <w:r>
        <w:rPr>
          <w:rFonts w:hint="eastAsia" w:ascii="Arial" w:hAnsi="Arial"/>
          <w:color w:val="000000" w:themeColor="text1"/>
          <w:szCs w:val="21"/>
          <w:highlight w:val="none"/>
          <w14:textFill>
            <w14:solidFill>
              <w14:schemeClr w14:val="tx1"/>
            </w14:solidFill>
          </w14:textFill>
        </w:rPr>
        <w:t>《浙江省城镇排水管道运行与维护技术规程》（DB33/T1124-2016）；</w:t>
      </w:r>
    </w:p>
    <w:p w14:paraId="1122EBB0">
      <w:pPr>
        <w:widowControl/>
        <w:numPr>
          <w:ilvl w:val="0"/>
          <w:numId w:val="1"/>
        </w:numPr>
        <w:autoSpaceDE w:val="0"/>
        <w:autoSpaceDN w:val="0"/>
        <w:spacing w:line="360" w:lineRule="auto"/>
        <w:textAlignment w:val="bottom"/>
        <w:rPr>
          <w:rFonts w:hint="eastAsia" w:ascii="Arial" w:hAnsi="Arial"/>
          <w:color w:val="000000" w:themeColor="text1"/>
          <w:szCs w:val="21"/>
          <w:highlight w:val="none"/>
          <w14:textFill>
            <w14:solidFill>
              <w14:schemeClr w14:val="tx1"/>
            </w14:solidFill>
          </w14:textFill>
        </w:rPr>
      </w:pPr>
      <w:r>
        <w:rPr>
          <w:rFonts w:hint="eastAsia" w:ascii="Arial" w:hAnsi="Arial"/>
          <w:color w:val="000000" w:themeColor="text1"/>
          <w:szCs w:val="21"/>
          <w:highlight w:val="none"/>
          <w14:textFill>
            <w14:solidFill>
              <w14:schemeClr w14:val="tx1"/>
            </w14:solidFill>
          </w14:textFill>
        </w:rPr>
        <w:t>《城镇排水管渠与泵站维护技术规程》（CJJ68-2007）；</w:t>
      </w:r>
    </w:p>
    <w:p w14:paraId="4D52FFD6">
      <w:pPr>
        <w:widowControl/>
        <w:numPr>
          <w:ilvl w:val="0"/>
          <w:numId w:val="1"/>
        </w:numPr>
        <w:autoSpaceDE w:val="0"/>
        <w:autoSpaceDN w:val="0"/>
        <w:spacing w:line="360" w:lineRule="auto"/>
        <w:textAlignment w:val="bottom"/>
        <w:rPr>
          <w:rFonts w:hint="eastAsia" w:ascii="Arial" w:hAnsi="Arial"/>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《城镇排水管道维护安全技术规程》（CJJ6-2009）；</w:t>
      </w:r>
    </w:p>
    <w:p w14:paraId="6C4DDAB6">
      <w:pPr>
        <w:widowControl/>
        <w:numPr>
          <w:ilvl w:val="0"/>
          <w:numId w:val="1"/>
        </w:numPr>
        <w:autoSpaceDE w:val="0"/>
        <w:autoSpaceDN w:val="0"/>
        <w:spacing w:line="360" w:lineRule="auto"/>
        <w:textAlignment w:val="bottom"/>
        <w:rPr>
          <w:rFonts w:ascii="Arial" w:hAnsi="Arial"/>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《排水管道电视和声纳检测评估技术规程》（DB31/T444-2009）；</w:t>
      </w:r>
    </w:p>
    <w:p w14:paraId="7421E022">
      <w:pPr>
        <w:widowControl/>
        <w:numPr>
          <w:ilvl w:val="0"/>
          <w:numId w:val="1"/>
        </w:numPr>
        <w:autoSpaceDE w:val="0"/>
        <w:autoSpaceDN w:val="0"/>
        <w:spacing w:line="360" w:lineRule="auto"/>
        <w:textAlignment w:val="bottom"/>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《给排水管道工程施工及验收规范》（GB50268-2008）；</w:t>
      </w:r>
    </w:p>
    <w:p w14:paraId="0DECDA20">
      <w:pPr>
        <w:widowControl/>
        <w:numPr>
          <w:ilvl w:val="0"/>
          <w:numId w:val="1"/>
        </w:numPr>
        <w:autoSpaceDE w:val="0"/>
        <w:autoSpaceDN w:val="0"/>
        <w:spacing w:line="360" w:lineRule="auto"/>
        <w:textAlignment w:val="bottom"/>
        <w:rPr>
          <w:rFonts w:ascii="Arial" w:hAnsi="Arial"/>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《消防给水及消火栓系统技术规范》GB 50974-2014；</w:t>
      </w:r>
    </w:p>
    <w:p w14:paraId="5B62F68E">
      <w:pPr>
        <w:widowControl/>
        <w:numPr>
          <w:ilvl w:val="0"/>
          <w:numId w:val="1"/>
        </w:numPr>
        <w:autoSpaceDE w:val="0"/>
        <w:autoSpaceDN w:val="0"/>
        <w:spacing w:line="360" w:lineRule="auto"/>
        <w:textAlignment w:val="bottom"/>
        <w:rPr>
          <w:rFonts w:hint="eastAsia" w:ascii="Arial" w:hAnsi="Arial"/>
          <w:color w:val="000000" w:themeColor="text1"/>
          <w:szCs w:val="21"/>
          <w:highlight w:val="none"/>
          <w14:textFill>
            <w14:solidFill>
              <w14:schemeClr w14:val="tx1"/>
            </w14:solidFill>
          </w14:textFill>
        </w:rPr>
      </w:pPr>
      <w:r>
        <w:rPr>
          <w:rFonts w:hint="eastAsia" w:ascii="Arial" w:hAnsi="Arial"/>
          <w:color w:val="000000" w:themeColor="text1"/>
          <w:szCs w:val="21"/>
          <w:highlight w:val="none"/>
          <w14:textFill>
            <w14:solidFill>
              <w14:schemeClr w14:val="tx1"/>
            </w14:solidFill>
          </w14:textFill>
        </w:rPr>
        <w:t>浙江省、宁波市及北仑区有关政策规定以及其它采购人认可的标准及规范。</w:t>
      </w:r>
    </w:p>
    <w:p w14:paraId="10FCABDD">
      <w:pPr>
        <w:widowControl/>
        <w:autoSpaceDE w:val="0"/>
        <w:autoSpaceDN w:val="0"/>
        <w:spacing w:line="360" w:lineRule="auto"/>
        <w:textAlignment w:val="bottom"/>
        <w:rPr>
          <w:rFonts w:hint="eastAsia" w:ascii="Arial" w:hAnsi="Arial"/>
          <w:color w:val="000000" w:themeColor="text1"/>
          <w:szCs w:val="21"/>
          <w:highlight w:val="none"/>
          <w14:textFill>
            <w14:solidFill>
              <w14:schemeClr w14:val="tx1"/>
            </w14:solidFill>
          </w14:textFill>
        </w:rPr>
      </w:pPr>
      <w:r>
        <w:rPr>
          <w:rFonts w:hint="eastAsia" w:ascii="Arial" w:hAnsi="Arial"/>
          <w:color w:val="000000" w:themeColor="text1"/>
          <w:szCs w:val="21"/>
          <w:highlight w:val="none"/>
          <w14:textFill>
            <w14:solidFill>
              <w14:schemeClr w14:val="tx1"/>
            </w14:solidFill>
          </w14:textFill>
        </w:rPr>
        <w:t xml:space="preserve">    注：本技术要求所列的规范、标准不意味着全部的或最新的，供应商必须执行国家、地方、有关机构所有相关的技术规范与标准，且确保所采用的技术规范、标准必须是国家或有关机构发布的最新版本，无论此版本在此有无提及。</w:t>
      </w:r>
    </w:p>
    <w:p w14:paraId="51D4CE3F">
      <w:pPr>
        <w:widowControl/>
        <w:numPr>
          <w:ilvl w:val="0"/>
          <w:numId w:val="0"/>
        </w:numPr>
        <w:autoSpaceDE w:val="0"/>
        <w:autoSpaceDN w:val="0"/>
        <w:spacing w:line="360" w:lineRule="auto"/>
        <w:textAlignment w:val="bottom"/>
        <w:rPr>
          <w:rFonts w:hint="eastAsia" w:ascii="Arial" w:hAnsi="Arial"/>
          <w:b/>
          <w:bCs/>
          <w:color w:val="000000" w:themeColor="text1"/>
          <w:szCs w:val="21"/>
          <w:highlight w:val="none"/>
          <w14:textFill>
            <w14:solidFill>
              <w14:schemeClr w14:val="tx1"/>
            </w14:solidFill>
          </w14:textFill>
        </w:rPr>
      </w:pPr>
      <w:r>
        <w:rPr>
          <w:rFonts w:hint="eastAsia" w:ascii="Arial" w:hAnsi="Arial"/>
          <w:b/>
          <w:bCs/>
          <w:color w:val="000000" w:themeColor="text1"/>
          <w:szCs w:val="21"/>
          <w:highlight w:val="none"/>
          <w:lang w:eastAsia="zh-CN"/>
          <w14:textFill>
            <w14:solidFill>
              <w14:schemeClr w14:val="tx1"/>
            </w14:solidFill>
          </w14:textFill>
        </w:rPr>
        <w:t>（</w:t>
      </w:r>
      <w:r>
        <w:rPr>
          <w:rFonts w:hint="eastAsia" w:ascii="Arial" w:hAnsi="Arial"/>
          <w:b/>
          <w:bCs/>
          <w:color w:val="000000" w:themeColor="text1"/>
          <w:szCs w:val="21"/>
          <w:highlight w:val="none"/>
          <w:lang w:val="en-US" w:eastAsia="zh-CN"/>
          <w14:textFill>
            <w14:solidFill>
              <w14:schemeClr w14:val="tx1"/>
            </w14:solidFill>
          </w14:textFill>
        </w:rPr>
        <w:t>二</w:t>
      </w:r>
      <w:r>
        <w:rPr>
          <w:rFonts w:hint="eastAsia" w:ascii="Arial" w:hAnsi="Arial"/>
          <w:b/>
          <w:bCs/>
          <w:color w:val="000000" w:themeColor="text1"/>
          <w:szCs w:val="21"/>
          <w:highlight w:val="none"/>
          <w:lang w:eastAsia="zh-CN"/>
          <w14:textFill>
            <w14:solidFill>
              <w14:schemeClr w14:val="tx1"/>
            </w14:solidFill>
          </w14:textFill>
        </w:rPr>
        <w:t>）</w:t>
      </w:r>
      <w:r>
        <w:rPr>
          <w:rFonts w:hint="eastAsia" w:ascii="Arial" w:hAnsi="Arial"/>
          <w:b/>
          <w:bCs/>
          <w:color w:val="000000" w:themeColor="text1"/>
          <w:szCs w:val="21"/>
          <w:highlight w:val="none"/>
          <w14:textFill>
            <w14:solidFill>
              <w14:schemeClr w14:val="tx1"/>
            </w14:solidFill>
          </w14:textFill>
        </w:rPr>
        <w:t>采购标的需满足的质量、安全、技术规格、物理特性等要求及采购标的需满足的服务标准、期限、效率等要求</w:t>
      </w:r>
    </w:p>
    <w:p w14:paraId="08CF64A8">
      <w:pPr>
        <w:widowControl/>
        <w:numPr>
          <w:ilvl w:val="0"/>
          <w:numId w:val="2"/>
        </w:numPr>
        <w:autoSpaceDE w:val="0"/>
        <w:autoSpaceDN w:val="0"/>
        <w:spacing w:line="360" w:lineRule="auto"/>
        <w:textAlignment w:val="bottom"/>
        <w:rPr>
          <w:rFonts w:hint="eastAsia" w:ascii="Arial" w:hAnsi="Arial"/>
          <w:b/>
          <w:bCs/>
          <w:color w:val="000000" w:themeColor="text1"/>
          <w:highlight w:val="none"/>
          <w14:textFill>
            <w14:solidFill>
              <w14:schemeClr w14:val="tx1"/>
            </w14:solidFill>
          </w14:textFill>
        </w:rPr>
      </w:pPr>
      <w:r>
        <w:rPr>
          <w:rFonts w:hint="eastAsia" w:ascii="Arial" w:hAnsi="Arial"/>
          <w:b/>
          <w:bCs/>
          <w:color w:val="000000" w:themeColor="text1"/>
          <w:highlight w:val="none"/>
          <w14:textFill>
            <w14:solidFill>
              <w14:schemeClr w14:val="tx1"/>
            </w14:solidFill>
          </w14:textFill>
        </w:rPr>
        <w:t>服务区域：</w:t>
      </w:r>
    </w:p>
    <w:p w14:paraId="43A9A81C">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bookmarkStart w:id="55" w:name="_Hlk128646697"/>
      <w:r>
        <w:rPr>
          <w:rFonts w:hint="eastAsia" w:ascii="Arial" w:hAnsi="Arial"/>
          <w:color w:val="000000" w:themeColor="text1"/>
          <w:szCs w:val="21"/>
          <w:highlight w:val="none"/>
          <w14:textFill>
            <w14:solidFill>
              <w14:schemeClr w14:val="tx1"/>
            </w14:solidFill>
          </w14:textFill>
        </w:rPr>
        <w:t>大榭区域</w:t>
      </w:r>
      <w:r>
        <w:rPr>
          <w:rFonts w:ascii="Arial" w:hAnsi="Arial"/>
          <w:color w:val="000000" w:themeColor="text1"/>
          <w:szCs w:val="21"/>
          <w:highlight w:val="none"/>
          <w14:textFill>
            <w14:solidFill>
              <w14:schemeClr w14:val="tx1"/>
            </w14:solidFill>
          </w14:textFill>
        </w:rPr>
        <w:t>内</w:t>
      </w:r>
      <w:r>
        <w:rPr>
          <w:rFonts w:hint="eastAsia" w:ascii="Arial" w:hAnsi="Arial"/>
          <w:color w:val="000000" w:themeColor="text1"/>
          <w:szCs w:val="21"/>
          <w:highlight w:val="none"/>
          <w14:textFill>
            <w14:solidFill>
              <w14:schemeClr w14:val="tx1"/>
            </w14:solidFill>
          </w14:textFill>
        </w:rPr>
        <w:t>的所有</w:t>
      </w:r>
      <w:r>
        <w:rPr>
          <w:rFonts w:hint="eastAsia" w:ascii="Arial" w:hAnsi="Arial" w:cs="Arial"/>
          <w:bCs/>
          <w:color w:val="000000" w:themeColor="text1"/>
          <w:szCs w:val="21"/>
          <w:highlight w:val="none"/>
          <w14:textFill>
            <w14:solidFill>
              <w14:schemeClr w14:val="tx1"/>
            </w14:solidFill>
          </w14:textFill>
        </w:rPr>
        <w:t>城市道路（含人行道）、桥梁、</w:t>
      </w:r>
      <w:r>
        <w:rPr>
          <w:rFonts w:ascii="Arial" w:hAnsi="Arial" w:cs="Arial"/>
          <w:bCs/>
          <w:color w:val="000000" w:themeColor="text1"/>
          <w:szCs w:val="21"/>
          <w:highlight w:val="none"/>
          <w14:textFill>
            <w14:solidFill>
              <w14:schemeClr w14:val="tx1"/>
            </w14:solidFill>
          </w14:textFill>
        </w:rPr>
        <w:t>隧道</w:t>
      </w:r>
      <w:r>
        <w:rPr>
          <w:rFonts w:hint="eastAsia" w:ascii="Arial" w:hAnsi="Arial" w:cs="Arial"/>
          <w:bCs/>
          <w:color w:val="000000" w:themeColor="text1"/>
          <w:szCs w:val="21"/>
          <w:highlight w:val="none"/>
          <w14:textFill>
            <w14:solidFill>
              <w14:schemeClr w14:val="tx1"/>
            </w14:solidFill>
          </w14:textFill>
        </w:rPr>
        <w:t>、市政</w:t>
      </w:r>
      <w:r>
        <w:rPr>
          <w:rFonts w:ascii="Arial" w:hAnsi="Arial" w:cs="Arial"/>
          <w:bCs/>
          <w:color w:val="000000" w:themeColor="text1"/>
          <w:szCs w:val="21"/>
          <w:highlight w:val="none"/>
          <w14:textFill>
            <w14:solidFill>
              <w14:schemeClr w14:val="tx1"/>
            </w14:solidFill>
          </w14:textFill>
        </w:rPr>
        <w:t>排水管网</w:t>
      </w:r>
      <w:r>
        <w:rPr>
          <w:rFonts w:hint="eastAsia" w:ascii="宋体" w:hAnsi="宋体" w:cs="宋体"/>
          <w:color w:val="000000" w:themeColor="text1"/>
          <w:szCs w:val="21"/>
          <w:highlight w:val="none"/>
          <w14:textFill>
            <w14:solidFill>
              <w14:schemeClr w14:val="tx1"/>
            </w14:solidFill>
          </w14:textFill>
        </w:rPr>
        <w:t>、市政消火栓</w:t>
      </w:r>
      <w:r>
        <w:rPr>
          <w:rFonts w:hint="eastAsia" w:ascii="Arial" w:hAnsi="Arial" w:cs="Arial"/>
          <w:bCs/>
          <w:color w:val="000000" w:themeColor="text1"/>
          <w:szCs w:val="21"/>
          <w:highlight w:val="none"/>
          <w14:textFill>
            <w14:solidFill>
              <w14:schemeClr w14:val="tx1"/>
            </w14:solidFill>
          </w14:textFill>
        </w:rPr>
        <w:t>及排水固定泵站养护、日常</w:t>
      </w:r>
      <w:r>
        <w:rPr>
          <w:rFonts w:ascii="Arial" w:hAnsi="Arial" w:cs="Arial"/>
          <w:bCs/>
          <w:color w:val="000000" w:themeColor="text1"/>
          <w:szCs w:val="21"/>
          <w:highlight w:val="none"/>
          <w14:textFill>
            <w14:solidFill>
              <w14:schemeClr w14:val="tx1"/>
            </w14:solidFill>
          </w14:textFill>
        </w:rPr>
        <w:t>巡查</w:t>
      </w:r>
      <w:r>
        <w:rPr>
          <w:rFonts w:hint="eastAsia" w:ascii="Arial" w:hAnsi="Arial" w:cs="Arial"/>
          <w:bCs/>
          <w:color w:val="000000" w:themeColor="text1"/>
          <w:szCs w:val="21"/>
          <w:highlight w:val="none"/>
          <w14:textFill>
            <w14:solidFill>
              <w14:schemeClr w14:val="tx1"/>
            </w14:solidFill>
          </w14:textFill>
        </w:rPr>
        <w:t>以及防台防汛等极端天气及重大保障等应急综合服务。</w:t>
      </w:r>
    </w:p>
    <w:bookmarkEnd w:id="55"/>
    <w:p w14:paraId="344D67B7">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olor w:val="000000" w:themeColor="text1"/>
          <w:szCs w:val="21"/>
          <w:highlight w:val="none"/>
          <w14:textFill>
            <w14:solidFill>
              <w14:schemeClr w14:val="tx1"/>
            </w14:solidFill>
          </w14:textFill>
        </w:rPr>
        <w:t>注：各供应商在投标时应熟悉</w:t>
      </w:r>
      <w:r>
        <w:rPr>
          <w:rFonts w:ascii="Arial" w:hAnsi="Arial"/>
          <w:color w:val="000000" w:themeColor="text1"/>
          <w:szCs w:val="21"/>
          <w:highlight w:val="none"/>
          <w14:textFill>
            <w14:solidFill>
              <w14:schemeClr w14:val="tx1"/>
            </w14:solidFill>
          </w14:textFill>
        </w:rPr>
        <w:t>并了解大榭</w:t>
      </w:r>
      <w:r>
        <w:rPr>
          <w:rFonts w:hint="eastAsia" w:ascii="Arial" w:hAnsi="Arial"/>
          <w:color w:val="000000" w:themeColor="text1"/>
          <w:szCs w:val="21"/>
          <w:highlight w:val="none"/>
          <w14:textFill>
            <w14:solidFill>
              <w14:schemeClr w14:val="tx1"/>
            </w14:solidFill>
          </w14:textFill>
        </w:rPr>
        <w:t>的</w:t>
      </w:r>
      <w:r>
        <w:rPr>
          <w:rFonts w:ascii="Arial" w:hAnsi="Arial"/>
          <w:color w:val="000000" w:themeColor="text1"/>
          <w:szCs w:val="21"/>
          <w:highlight w:val="none"/>
          <w14:textFill>
            <w14:solidFill>
              <w14:schemeClr w14:val="tx1"/>
            </w14:solidFill>
          </w14:textFill>
        </w:rPr>
        <w:t>整体情况</w:t>
      </w:r>
      <w:r>
        <w:rPr>
          <w:rFonts w:hint="eastAsia" w:ascii="Arial" w:hAnsi="Arial"/>
          <w:color w:val="000000" w:themeColor="text1"/>
          <w:szCs w:val="21"/>
          <w:highlight w:val="none"/>
          <w14:textFill>
            <w14:solidFill>
              <w14:schemeClr w14:val="tx1"/>
            </w14:solidFill>
          </w14:textFill>
        </w:rPr>
        <w:t>，供应商如有需要自行组织现场踏勘，以充分了解项目实施位置、服务范围、周边情况、施工所需的进出现场的方式、手段、路径以及任何其他足以影响报价的情况，任何因忽视或误解现场或延误工期情况而导致的索赔或费用申请将不予受理。</w:t>
      </w:r>
    </w:p>
    <w:p w14:paraId="38FE5EE3">
      <w:pPr>
        <w:widowControl/>
        <w:numPr>
          <w:ilvl w:val="0"/>
          <w:numId w:val="2"/>
        </w:numPr>
        <w:autoSpaceDE w:val="0"/>
        <w:autoSpaceDN w:val="0"/>
        <w:spacing w:line="360" w:lineRule="auto"/>
        <w:textAlignment w:val="bottom"/>
        <w:rPr>
          <w:rFonts w:hint="eastAsia" w:ascii="Arial" w:hAnsi="Arial"/>
          <w:b/>
          <w:bCs/>
          <w:color w:val="000000" w:themeColor="text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服务期限：</w:t>
      </w:r>
    </w:p>
    <w:p w14:paraId="5359E9AD">
      <w:pPr>
        <w:widowControl/>
        <w:autoSpaceDE w:val="0"/>
        <w:autoSpaceDN w:val="0"/>
        <w:spacing w:line="360" w:lineRule="auto"/>
        <w:ind w:firstLine="420" w:firstLineChars="200"/>
        <w:textAlignment w:val="bottom"/>
        <w:rPr>
          <w:rFonts w:hint="eastAsia" w:ascii="Arial" w:hAnsi="Arial"/>
          <w:b/>
          <w:bCs/>
          <w:color w:val="000000" w:themeColor="text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1年，自合同签订之日起1年，</w:t>
      </w:r>
      <w:r>
        <w:rPr>
          <w:rFonts w:hint="eastAsia" w:ascii="宋体" w:hAnsi="宋体" w:cs="宋体"/>
          <w:color w:val="000000" w:themeColor="text1"/>
          <w:szCs w:val="21"/>
          <w:highlight w:val="none"/>
          <w14:textFill>
            <w14:solidFill>
              <w14:schemeClr w14:val="tx1"/>
            </w14:solidFill>
          </w14:textFill>
        </w:rPr>
        <w:t>具体履约时间以合同签订时间为准。</w:t>
      </w:r>
    </w:p>
    <w:p w14:paraId="5FF32FB3">
      <w:pPr>
        <w:widowControl/>
        <w:numPr>
          <w:ilvl w:val="0"/>
          <w:numId w:val="2"/>
        </w:numPr>
        <w:autoSpaceDE w:val="0"/>
        <w:autoSpaceDN w:val="0"/>
        <w:spacing w:line="360" w:lineRule="auto"/>
        <w:textAlignment w:val="bottom"/>
        <w:rPr>
          <w:rFonts w:hint="eastAsia" w:ascii="Arial" w:hAnsi="Arial"/>
          <w:b/>
          <w:bCs/>
          <w:color w:val="000000" w:themeColor="text1"/>
          <w:highlight w:val="none"/>
          <w14:textFill>
            <w14:solidFill>
              <w14:schemeClr w14:val="tx1"/>
            </w14:solidFill>
          </w14:textFill>
        </w:rPr>
      </w:pPr>
      <w:r>
        <w:rPr>
          <w:rFonts w:hint="eastAsia" w:ascii="Arial" w:hAnsi="Arial"/>
          <w:b/>
          <w:bCs/>
          <w:color w:val="000000" w:themeColor="text1"/>
          <w:highlight w:val="none"/>
          <w14:textFill>
            <w14:solidFill>
              <w14:schemeClr w14:val="tx1"/>
            </w14:solidFill>
          </w14:textFill>
        </w:rPr>
        <w:t>基本服务内容：</w:t>
      </w:r>
    </w:p>
    <w:p w14:paraId="33F6CA04">
      <w:pPr>
        <w:widowControl/>
        <w:numPr>
          <w:ilvl w:val="0"/>
          <w:numId w:val="3"/>
        </w:numPr>
        <w:spacing w:line="360" w:lineRule="auto"/>
        <w:ind w:firstLine="399" w:firstLineChars="190"/>
        <w:rPr>
          <w:rFonts w:hint="eastAsia" w:ascii="Arial" w:hAnsi="Arial" w:cs="Arial"/>
          <w:bCs/>
          <w:color w:val="000000" w:themeColor="text1"/>
          <w:szCs w:val="21"/>
          <w:highlight w:val="none"/>
          <w14:textFill>
            <w14:solidFill>
              <w14:schemeClr w14:val="tx1"/>
            </w14:solidFill>
          </w14:textFill>
        </w:rPr>
      </w:pPr>
      <w:bookmarkStart w:id="56" w:name="_Hlk108679233"/>
      <w:r>
        <w:rPr>
          <w:rFonts w:hint="eastAsia" w:ascii="Arial" w:hAnsi="Arial" w:cs="Arial"/>
          <w:bCs/>
          <w:color w:val="000000" w:themeColor="text1"/>
          <w:szCs w:val="21"/>
          <w:highlight w:val="none"/>
          <w14:textFill>
            <w14:solidFill>
              <w14:schemeClr w14:val="tx1"/>
            </w14:solidFill>
          </w14:textFill>
        </w:rPr>
        <w:t>城市道路（含人行道）、桥梁、隧道</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排水管网、排水固定泵站</w:t>
      </w:r>
      <w:r>
        <w:rPr>
          <w:rFonts w:hint="eastAsia" w:ascii="宋体" w:hAnsi="宋体" w:cs="宋体"/>
          <w:color w:val="000000" w:themeColor="text1"/>
          <w:szCs w:val="21"/>
          <w:highlight w:val="none"/>
          <w14:textFill>
            <w14:solidFill>
              <w14:schemeClr w14:val="tx1"/>
            </w14:solidFill>
          </w14:textFill>
        </w:rPr>
        <w:t>、市政消火栓</w:t>
      </w:r>
      <w:r>
        <w:rPr>
          <w:rFonts w:hint="eastAsia" w:ascii="Arial" w:hAnsi="Arial" w:cs="Arial"/>
          <w:bCs/>
          <w:color w:val="000000" w:themeColor="text1"/>
          <w:szCs w:val="21"/>
          <w:highlight w:val="none"/>
          <w14:textFill>
            <w14:solidFill>
              <w14:schemeClr w14:val="tx1"/>
            </w14:solidFill>
          </w14:textFill>
        </w:rPr>
        <w:t>的定期巡查；</w:t>
      </w:r>
    </w:p>
    <w:p w14:paraId="01BA4896">
      <w:pPr>
        <w:widowControl/>
        <w:numPr>
          <w:ilvl w:val="0"/>
          <w:numId w:val="3"/>
        </w:numPr>
        <w:spacing w:line="360" w:lineRule="auto"/>
        <w:ind w:firstLine="399" w:firstLineChars="19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日常养护、专项养护等为保证城市道路（含人行道）、桥梁、</w:t>
      </w:r>
      <w:r>
        <w:rPr>
          <w:rFonts w:ascii="Arial" w:hAnsi="Arial" w:cs="Arial"/>
          <w:bCs/>
          <w:color w:val="000000" w:themeColor="text1"/>
          <w:szCs w:val="21"/>
          <w:highlight w:val="none"/>
          <w14:textFill>
            <w14:solidFill>
              <w14:schemeClr w14:val="tx1"/>
            </w14:solidFill>
          </w14:textFill>
        </w:rPr>
        <w:t>隧道、</w:t>
      </w:r>
      <w:r>
        <w:rPr>
          <w:rFonts w:hint="eastAsia" w:ascii="Arial" w:hAnsi="Arial" w:cs="Arial"/>
          <w:bCs/>
          <w:color w:val="000000" w:themeColor="text1"/>
          <w:szCs w:val="21"/>
          <w:highlight w:val="none"/>
          <w14:textFill>
            <w14:solidFill>
              <w14:schemeClr w14:val="tx1"/>
            </w14:solidFill>
          </w14:textFill>
        </w:rPr>
        <w:t>排水管网、排水固定泵站</w:t>
      </w:r>
      <w:r>
        <w:rPr>
          <w:rFonts w:hint="eastAsia" w:ascii="宋体" w:hAnsi="宋体" w:cs="宋体"/>
          <w:color w:val="000000" w:themeColor="text1"/>
          <w:szCs w:val="21"/>
          <w:highlight w:val="none"/>
          <w14:textFill>
            <w14:solidFill>
              <w14:schemeClr w14:val="tx1"/>
            </w14:solidFill>
          </w14:textFill>
        </w:rPr>
        <w:t>、市政消火栓</w:t>
      </w:r>
      <w:r>
        <w:rPr>
          <w:rFonts w:ascii="Arial" w:hAnsi="Arial"/>
          <w:color w:val="000000" w:themeColor="text1"/>
          <w:highlight w:val="none"/>
          <w14:textFill>
            <w14:solidFill>
              <w14:schemeClr w14:val="tx1"/>
            </w14:solidFill>
          </w14:textFill>
        </w:rPr>
        <w:t>的</w:t>
      </w:r>
      <w:r>
        <w:rPr>
          <w:rFonts w:hint="eastAsia" w:ascii="Arial" w:hAnsi="Arial"/>
          <w:color w:val="000000" w:themeColor="text1"/>
          <w:highlight w:val="none"/>
          <w14:textFill>
            <w14:solidFill>
              <w14:schemeClr w14:val="tx1"/>
            </w14:solidFill>
          </w14:textFill>
        </w:rPr>
        <w:t>完整性和正常使用功能的预防性养护</w:t>
      </w:r>
      <w:r>
        <w:rPr>
          <w:rFonts w:hint="eastAsia" w:ascii="Arial" w:hAnsi="Arial" w:cs="Arial"/>
          <w:bCs/>
          <w:color w:val="000000" w:themeColor="text1"/>
          <w:szCs w:val="21"/>
          <w:highlight w:val="none"/>
          <w14:textFill>
            <w14:solidFill>
              <w14:schemeClr w14:val="tx1"/>
            </w14:solidFill>
          </w14:textFill>
        </w:rPr>
        <w:t>，包括：</w:t>
      </w:r>
    </w:p>
    <w:p w14:paraId="4A6581B4">
      <w:pPr>
        <w:widowControl/>
        <w:numPr>
          <w:ilvl w:val="0"/>
          <w:numId w:val="4"/>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沥青路面及人行道</w:t>
      </w:r>
      <w:r>
        <w:rPr>
          <w:rFonts w:ascii="Arial" w:hAnsi="Arial" w:cs="Arial"/>
          <w:bCs/>
          <w:color w:val="000000" w:themeColor="text1"/>
          <w:szCs w:val="21"/>
          <w:highlight w:val="none"/>
          <w14:textFill>
            <w14:solidFill>
              <w14:schemeClr w14:val="tx1"/>
            </w14:solidFill>
          </w14:textFill>
        </w:rPr>
        <w:t>养护</w:t>
      </w:r>
      <w:r>
        <w:rPr>
          <w:rFonts w:hint="eastAsia" w:ascii="Arial" w:hAnsi="Arial" w:cs="Arial"/>
          <w:bCs/>
          <w:color w:val="000000" w:themeColor="text1"/>
          <w:szCs w:val="21"/>
          <w:highlight w:val="none"/>
          <w14:textFill>
            <w14:solidFill>
              <w14:schemeClr w14:val="tx1"/>
            </w14:solidFill>
          </w14:textFill>
        </w:rPr>
        <w:t>及维修（含零星坑洞修补、裂缝修补、结构维修、沥青路面小中修等）、砼路面及人行道维修（包含结构层处理、零星坑洞修补及裂缝封闭）、路缘石及路平石的维修及更换（含混凝土靠背维修）等；</w:t>
      </w:r>
    </w:p>
    <w:p w14:paraId="35468AC9">
      <w:pPr>
        <w:widowControl/>
        <w:numPr>
          <w:ilvl w:val="0"/>
          <w:numId w:val="4"/>
        </w:numPr>
        <w:spacing w:line="360" w:lineRule="auto"/>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桥梁养护及维修（含裂缝封闭、伸缩缝清理及修复、零星坑洞修补及桥梁局部缺陷修复、栏板更换）等；</w:t>
      </w:r>
    </w:p>
    <w:p w14:paraId="15586E68">
      <w:pPr>
        <w:widowControl/>
        <w:numPr>
          <w:ilvl w:val="0"/>
          <w:numId w:val="4"/>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隧道</w:t>
      </w:r>
      <w:r>
        <w:rPr>
          <w:rFonts w:ascii="Arial" w:hAnsi="Arial" w:cs="Arial"/>
          <w:bCs/>
          <w:color w:val="000000" w:themeColor="text1"/>
          <w:szCs w:val="21"/>
          <w:highlight w:val="none"/>
          <w14:textFill>
            <w14:solidFill>
              <w14:schemeClr w14:val="tx1"/>
            </w14:solidFill>
          </w14:textFill>
        </w:rPr>
        <w:t>养护</w:t>
      </w:r>
      <w:r>
        <w:rPr>
          <w:rFonts w:hint="eastAsia" w:ascii="Arial" w:hAnsi="Arial" w:cs="Arial"/>
          <w:bCs/>
          <w:color w:val="000000" w:themeColor="text1"/>
          <w:szCs w:val="21"/>
          <w:highlight w:val="none"/>
          <w14:textFill>
            <w14:solidFill>
              <w14:schemeClr w14:val="tx1"/>
            </w14:solidFill>
          </w14:textFill>
        </w:rPr>
        <w:t>及维修</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含沥青</w:t>
      </w:r>
      <w:r>
        <w:rPr>
          <w:rFonts w:ascii="Arial" w:hAnsi="Arial" w:cs="Arial"/>
          <w:bCs/>
          <w:color w:val="000000" w:themeColor="text1"/>
          <w:szCs w:val="21"/>
          <w:highlight w:val="none"/>
          <w14:textFill>
            <w14:solidFill>
              <w14:schemeClr w14:val="tx1"/>
            </w14:solidFill>
          </w14:textFill>
        </w:rPr>
        <w:t>路面</w:t>
      </w:r>
      <w:r>
        <w:rPr>
          <w:rFonts w:hint="eastAsia" w:ascii="Arial" w:hAnsi="Arial" w:cs="Arial"/>
          <w:bCs/>
          <w:color w:val="000000" w:themeColor="text1"/>
          <w:szCs w:val="21"/>
          <w:highlight w:val="none"/>
          <w14:textFill>
            <w14:solidFill>
              <w14:schemeClr w14:val="tx1"/>
            </w14:solidFill>
          </w14:textFill>
        </w:rPr>
        <w:t>修复</w:t>
      </w:r>
      <w:r>
        <w:rPr>
          <w:rFonts w:ascii="Arial" w:hAnsi="Arial" w:cs="Arial"/>
          <w:bCs/>
          <w:color w:val="000000" w:themeColor="text1"/>
          <w:szCs w:val="21"/>
          <w:highlight w:val="none"/>
          <w14:textFill>
            <w14:solidFill>
              <w14:schemeClr w14:val="tx1"/>
            </w14:solidFill>
          </w14:textFill>
        </w:rPr>
        <w:t>、横截沟</w:t>
      </w:r>
      <w:r>
        <w:rPr>
          <w:rFonts w:hint="eastAsia" w:ascii="Arial" w:hAnsi="Arial" w:cs="Arial"/>
          <w:bCs/>
          <w:color w:val="000000" w:themeColor="text1"/>
          <w:szCs w:val="21"/>
          <w:highlight w:val="none"/>
          <w14:textFill>
            <w14:solidFill>
              <w14:schemeClr w14:val="tx1"/>
            </w14:solidFill>
          </w14:textFill>
        </w:rPr>
        <w:t>清理及</w:t>
      </w:r>
      <w:r>
        <w:rPr>
          <w:rFonts w:ascii="Arial" w:hAnsi="Arial" w:cs="Arial"/>
          <w:bCs/>
          <w:color w:val="000000" w:themeColor="text1"/>
          <w:szCs w:val="21"/>
          <w:highlight w:val="none"/>
          <w14:textFill>
            <w14:solidFill>
              <w14:schemeClr w14:val="tx1"/>
            </w14:solidFill>
          </w14:textFill>
        </w:rPr>
        <w:t>维修</w:t>
      </w:r>
      <w:r>
        <w:rPr>
          <w:rFonts w:hint="eastAsia" w:ascii="Arial" w:hAnsi="Arial" w:cs="Arial"/>
          <w:bCs/>
          <w:color w:val="000000" w:themeColor="text1"/>
          <w:szCs w:val="21"/>
          <w:highlight w:val="none"/>
          <w14:textFill>
            <w14:solidFill>
              <w14:schemeClr w14:val="tx1"/>
            </w14:solidFill>
          </w14:textFill>
        </w:rPr>
        <w:t>、</w:t>
      </w:r>
      <w:r>
        <w:rPr>
          <w:rFonts w:ascii="Arial" w:hAnsi="Arial" w:cs="Arial"/>
          <w:bCs/>
          <w:color w:val="000000" w:themeColor="text1"/>
          <w:szCs w:val="21"/>
          <w:highlight w:val="none"/>
          <w14:textFill>
            <w14:solidFill>
              <w14:schemeClr w14:val="tx1"/>
            </w14:solidFill>
          </w14:textFill>
        </w:rPr>
        <w:t>装饰面板修复</w:t>
      </w:r>
      <w:r>
        <w:rPr>
          <w:rFonts w:hint="eastAsia" w:ascii="Arial" w:hAnsi="Arial" w:cs="Arial"/>
          <w:bCs/>
          <w:color w:val="000000" w:themeColor="text1"/>
          <w:szCs w:val="21"/>
          <w:highlight w:val="none"/>
          <w14:textFill>
            <w14:solidFill>
              <w14:schemeClr w14:val="tx1"/>
            </w14:solidFill>
          </w14:textFill>
        </w:rPr>
        <w:t>或</w:t>
      </w:r>
      <w:r>
        <w:rPr>
          <w:rFonts w:ascii="Arial" w:hAnsi="Arial" w:cs="Arial"/>
          <w:bCs/>
          <w:color w:val="000000" w:themeColor="text1"/>
          <w:szCs w:val="21"/>
          <w:highlight w:val="none"/>
          <w14:textFill>
            <w14:solidFill>
              <w14:schemeClr w14:val="tx1"/>
            </w14:solidFill>
          </w14:textFill>
        </w:rPr>
        <w:t>更换）</w:t>
      </w:r>
      <w:r>
        <w:rPr>
          <w:rFonts w:hint="eastAsia" w:ascii="Arial" w:hAnsi="Arial" w:cs="Arial"/>
          <w:bCs/>
          <w:color w:val="000000" w:themeColor="text1"/>
          <w:szCs w:val="21"/>
          <w:highlight w:val="none"/>
          <w14:textFill>
            <w14:solidFill>
              <w14:schemeClr w14:val="tx1"/>
            </w14:solidFill>
          </w14:textFill>
        </w:rPr>
        <w:t>等；</w:t>
      </w:r>
    </w:p>
    <w:p w14:paraId="03510D6E">
      <w:pPr>
        <w:widowControl/>
        <w:numPr>
          <w:ilvl w:val="0"/>
          <w:numId w:val="4"/>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排水管网疏通、清淤、破损修复及检测，检查井及进水口清捞、处置物外运等；</w:t>
      </w:r>
    </w:p>
    <w:p w14:paraId="26A869A0">
      <w:pPr>
        <w:widowControl/>
        <w:numPr>
          <w:ilvl w:val="0"/>
          <w:numId w:val="4"/>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全区边沟清理、边沟及其附属设施维修；</w:t>
      </w:r>
    </w:p>
    <w:p w14:paraId="79EB48D1">
      <w:pPr>
        <w:widowControl/>
        <w:numPr>
          <w:ilvl w:val="0"/>
          <w:numId w:val="4"/>
        </w:numPr>
        <w:spacing w:line="360" w:lineRule="auto"/>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泵站、闸门内设施设备的维修及保养等；</w:t>
      </w:r>
    </w:p>
    <w:p w14:paraId="67908A1B">
      <w:pPr>
        <w:widowControl/>
        <w:numPr>
          <w:ilvl w:val="0"/>
          <w:numId w:val="4"/>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市政消火栓配套阀门后的管道、消火栓及消火栓配件的巡查、养护和维修等工作。</w:t>
      </w:r>
    </w:p>
    <w:p w14:paraId="35214480">
      <w:pPr>
        <w:widowControl/>
        <w:numPr>
          <w:ilvl w:val="0"/>
          <w:numId w:val="4"/>
        </w:numPr>
        <w:spacing w:line="360" w:lineRule="auto"/>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建立</w:t>
      </w:r>
      <w:r>
        <w:rPr>
          <w:rFonts w:ascii="Arial" w:hAnsi="Arial" w:cs="Arial"/>
          <w:bCs/>
          <w:color w:val="000000" w:themeColor="text1"/>
          <w:szCs w:val="21"/>
          <w:highlight w:val="none"/>
          <w14:textFill>
            <w14:solidFill>
              <w14:schemeClr w14:val="tx1"/>
            </w14:solidFill>
          </w14:textFill>
        </w:rPr>
        <w:t>巡查档案</w:t>
      </w:r>
      <w:r>
        <w:rPr>
          <w:rFonts w:hint="eastAsia" w:ascii="Arial" w:hAnsi="Arial" w:cs="Arial"/>
          <w:bCs/>
          <w:color w:val="000000" w:themeColor="text1"/>
          <w:szCs w:val="21"/>
          <w:highlight w:val="none"/>
          <w14:textFill>
            <w14:solidFill>
              <w14:schemeClr w14:val="tx1"/>
            </w14:solidFill>
          </w14:textFill>
        </w:rPr>
        <w:t>；</w:t>
      </w:r>
    </w:p>
    <w:p w14:paraId="789AE92C">
      <w:pPr>
        <w:widowControl/>
        <w:numPr>
          <w:ilvl w:val="0"/>
          <w:numId w:val="4"/>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每周</w:t>
      </w:r>
      <w:r>
        <w:rPr>
          <w:rFonts w:ascii="Arial" w:hAnsi="Arial" w:cs="Arial"/>
          <w:bCs/>
          <w:color w:val="000000" w:themeColor="text1"/>
          <w:szCs w:val="21"/>
          <w:highlight w:val="none"/>
          <w14:textFill>
            <w14:solidFill>
              <w14:schemeClr w14:val="tx1"/>
            </w14:solidFill>
          </w14:textFill>
        </w:rPr>
        <w:t>一次的全岛巡查包括违章排放、私自接管</w:t>
      </w:r>
      <w:r>
        <w:rPr>
          <w:rFonts w:hint="eastAsia" w:ascii="Arial" w:hAnsi="Arial" w:cs="Arial"/>
          <w:bCs/>
          <w:color w:val="000000" w:themeColor="text1"/>
          <w:szCs w:val="21"/>
          <w:highlight w:val="none"/>
          <w14:textFill>
            <w14:solidFill>
              <w14:schemeClr w14:val="tx1"/>
            </w14:solidFill>
          </w14:textFill>
        </w:rPr>
        <w:t>以及</w:t>
      </w:r>
      <w:r>
        <w:rPr>
          <w:rFonts w:ascii="Arial" w:hAnsi="Arial" w:cs="Arial"/>
          <w:bCs/>
          <w:color w:val="000000" w:themeColor="text1"/>
          <w:szCs w:val="21"/>
          <w:highlight w:val="none"/>
          <w14:textFill>
            <w14:solidFill>
              <w14:schemeClr w14:val="tx1"/>
            </w14:solidFill>
          </w14:textFill>
        </w:rPr>
        <w:t>影响管道排水的工程施工等</w:t>
      </w:r>
      <w:r>
        <w:rPr>
          <w:rFonts w:hint="eastAsia" w:ascii="Arial" w:hAnsi="Arial" w:cs="Arial"/>
          <w:bCs/>
          <w:color w:val="000000" w:themeColor="text1"/>
          <w:szCs w:val="21"/>
          <w:highlight w:val="none"/>
          <w14:textFill>
            <w14:solidFill>
              <w14:schemeClr w14:val="tx1"/>
            </w14:solidFill>
          </w14:textFill>
        </w:rPr>
        <w:t>；</w:t>
      </w:r>
    </w:p>
    <w:p w14:paraId="1967D157">
      <w:pPr>
        <w:widowControl/>
        <w:numPr>
          <w:ilvl w:val="0"/>
          <w:numId w:val="3"/>
        </w:numPr>
        <w:spacing w:line="360" w:lineRule="auto"/>
        <w:ind w:firstLine="399" w:firstLineChars="19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各类创建迎检测评活动保障、防汛防台、防雪抗冻等应急处理工作和其他临时性任务；</w:t>
      </w:r>
      <w:r>
        <w:rPr>
          <w:rFonts w:hint="eastAsia" w:ascii="宋体" w:hAnsi="宋体" w:cs="宋体"/>
          <w:color w:val="000000" w:themeColor="text1"/>
          <w:szCs w:val="21"/>
          <w:highlight w:val="none"/>
          <w14:textFill>
            <w14:solidFill>
              <w14:schemeClr w14:val="tx1"/>
            </w14:solidFill>
          </w14:textFill>
        </w:rPr>
        <w:t>防台防汛等极端天气及重大保障；</w:t>
      </w:r>
    </w:p>
    <w:p w14:paraId="116AF9D8">
      <w:pPr>
        <w:widowControl/>
        <w:numPr>
          <w:ilvl w:val="0"/>
          <w:numId w:val="3"/>
        </w:numPr>
        <w:spacing w:line="360" w:lineRule="auto"/>
        <w:ind w:firstLine="399" w:firstLineChars="19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在养护期间，新移交的城市道路（含人行道）、桥梁、隧道</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排水管网、排水固定泵站</w:t>
      </w:r>
      <w:r>
        <w:rPr>
          <w:rFonts w:hint="eastAsia" w:ascii="宋体" w:hAnsi="宋体" w:cs="宋体"/>
          <w:color w:val="000000" w:themeColor="text1"/>
          <w:szCs w:val="21"/>
          <w:highlight w:val="none"/>
          <w14:textFill>
            <w14:solidFill>
              <w14:schemeClr w14:val="tx1"/>
            </w14:solidFill>
          </w14:textFill>
        </w:rPr>
        <w:t>、市政消火栓</w:t>
      </w:r>
      <w:r>
        <w:rPr>
          <w:rFonts w:hint="eastAsia" w:ascii="Arial" w:hAnsi="Arial" w:cs="Arial"/>
          <w:bCs/>
          <w:color w:val="000000" w:themeColor="text1"/>
          <w:szCs w:val="21"/>
          <w:highlight w:val="none"/>
          <w14:textFill>
            <w14:solidFill>
              <w14:schemeClr w14:val="tx1"/>
            </w14:solidFill>
          </w14:textFill>
        </w:rPr>
        <w:t>定期巡查、</w:t>
      </w:r>
      <w:r>
        <w:rPr>
          <w:rFonts w:hint="eastAsia" w:ascii="Arial" w:hAnsi="Arial"/>
          <w:color w:val="000000" w:themeColor="text1"/>
          <w:highlight w:val="none"/>
          <w14:textFill>
            <w14:solidFill>
              <w14:schemeClr w14:val="tx1"/>
            </w14:solidFill>
          </w14:textFill>
        </w:rPr>
        <w:t>预防性养护等作业</w:t>
      </w:r>
      <w:r>
        <w:rPr>
          <w:rFonts w:hint="eastAsia" w:ascii="Arial" w:hAnsi="Arial" w:cs="Arial"/>
          <w:bCs/>
          <w:color w:val="000000" w:themeColor="text1"/>
          <w:szCs w:val="21"/>
          <w:highlight w:val="none"/>
          <w14:textFill>
            <w14:solidFill>
              <w14:schemeClr w14:val="tx1"/>
            </w14:solidFill>
          </w14:textFill>
        </w:rPr>
        <w:t>；</w:t>
      </w:r>
    </w:p>
    <w:p w14:paraId="5BC0B004">
      <w:pPr>
        <w:widowControl/>
        <w:numPr>
          <w:ilvl w:val="0"/>
          <w:numId w:val="3"/>
        </w:numPr>
        <w:spacing w:line="360" w:lineRule="auto"/>
        <w:ind w:firstLine="399" w:firstLineChars="19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采购人下达的城市道路（含人行道）的大面积维修、结构性维修或改造等及本区域内的其它养护工作</w:t>
      </w:r>
      <w:r>
        <w:rPr>
          <w:rFonts w:hint="eastAsia" w:ascii="Arial" w:hAnsi="Arial"/>
          <w:color w:val="000000" w:themeColor="text1"/>
          <w:highlight w:val="none"/>
          <w14:textFill>
            <w14:solidFill>
              <w14:schemeClr w14:val="tx1"/>
            </w14:solidFill>
          </w14:textFill>
        </w:rPr>
        <w:t>。</w:t>
      </w:r>
    </w:p>
    <w:p w14:paraId="2EC76671">
      <w:pPr>
        <w:widowControl/>
        <w:numPr>
          <w:ilvl w:val="0"/>
          <w:numId w:val="3"/>
        </w:numPr>
        <w:spacing w:line="360" w:lineRule="auto"/>
        <w:ind w:firstLine="399" w:firstLineChars="190"/>
        <w:rPr>
          <w:rFonts w:hint="eastAsia" w:ascii="Arial" w:hAnsi="Arial" w:cs="Arial"/>
          <w:bCs/>
          <w:color w:val="000000" w:themeColor="text1"/>
          <w:szCs w:val="21"/>
          <w:highlight w:val="none"/>
          <w14:textFill>
            <w14:solidFill>
              <w14:schemeClr w14:val="tx1"/>
            </w14:solidFill>
          </w14:textFill>
        </w:rPr>
      </w:pPr>
      <w:r>
        <w:rPr>
          <w:rFonts w:hint="eastAsia" w:ascii="Arial" w:hAnsi="Arial"/>
          <w:color w:val="000000" w:themeColor="text1"/>
          <w:highlight w:val="none"/>
          <w14:textFill>
            <w14:solidFill>
              <w14:schemeClr w14:val="tx1"/>
            </w14:solidFill>
          </w14:textFill>
        </w:rPr>
        <w:t>其它</w:t>
      </w:r>
      <w:r>
        <w:rPr>
          <w:rFonts w:ascii="Arial" w:hAnsi="Arial"/>
          <w:color w:val="000000" w:themeColor="text1"/>
          <w:highlight w:val="none"/>
          <w14:textFill>
            <w14:solidFill>
              <w14:schemeClr w14:val="tx1"/>
            </w14:solidFill>
          </w14:textFill>
        </w:rPr>
        <w:t>市政设施</w:t>
      </w:r>
      <w:r>
        <w:rPr>
          <w:rFonts w:hint="eastAsia" w:ascii="Arial" w:hAnsi="Arial"/>
          <w:color w:val="000000" w:themeColor="text1"/>
          <w:highlight w:val="none"/>
          <w14:textFill>
            <w14:solidFill>
              <w14:schemeClr w14:val="tx1"/>
            </w14:solidFill>
          </w14:textFill>
        </w:rPr>
        <w:t>综合养护</w:t>
      </w:r>
      <w:r>
        <w:rPr>
          <w:rFonts w:ascii="Arial" w:hAnsi="Arial"/>
          <w:color w:val="000000" w:themeColor="text1"/>
          <w:highlight w:val="none"/>
          <w14:textFill>
            <w14:solidFill>
              <w14:schemeClr w14:val="tx1"/>
            </w14:solidFill>
          </w14:textFill>
        </w:rPr>
        <w:t>项目</w:t>
      </w:r>
      <w:r>
        <w:rPr>
          <w:rFonts w:hint="eastAsia" w:ascii="Arial" w:hAnsi="Arial"/>
          <w:color w:val="000000" w:themeColor="text1"/>
          <w:highlight w:val="none"/>
          <w14:textFill>
            <w14:solidFill>
              <w14:schemeClr w14:val="tx1"/>
            </w14:solidFill>
          </w14:textFill>
        </w:rPr>
        <w:t>。</w:t>
      </w:r>
    </w:p>
    <w:p w14:paraId="10A8ACC6">
      <w:pPr>
        <w:widowControl/>
        <w:numPr>
          <w:ilvl w:val="0"/>
          <w:numId w:val="3"/>
        </w:numPr>
        <w:spacing w:line="360" w:lineRule="auto"/>
        <w:ind w:firstLine="399" w:firstLineChars="19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污水提升泵站运营、维护、管理</w:t>
      </w:r>
      <w:r>
        <w:rPr>
          <w:rFonts w:hint="eastAsia" w:ascii="Arial" w:hAnsi="Arial" w:cs="Arial"/>
          <w:bCs/>
          <w:color w:val="000000" w:themeColor="text1"/>
          <w:szCs w:val="21"/>
          <w:highlight w:val="none"/>
          <w:lang w:eastAsia="zh-CN"/>
          <w14:textFill>
            <w14:solidFill>
              <w14:schemeClr w14:val="tx1"/>
            </w14:solidFill>
          </w14:textFill>
        </w:rPr>
        <w:t>。</w:t>
      </w:r>
    </w:p>
    <w:bookmarkEnd w:id="56"/>
    <w:p w14:paraId="19E68E66">
      <w:pPr>
        <w:widowControl/>
        <w:numPr>
          <w:ilvl w:val="0"/>
          <w:numId w:val="2"/>
        </w:numPr>
        <w:autoSpaceDE w:val="0"/>
        <w:autoSpaceDN w:val="0"/>
        <w:spacing w:line="360" w:lineRule="auto"/>
        <w:textAlignment w:val="bottom"/>
        <w:rPr>
          <w:rFonts w:hint="eastAsia" w:ascii="Arial" w:hAnsi="Arial"/>
          <w:b/>
          <w:bCs/>
          <w:color w:val="000000" w:themeColor="text1"/>
          <w:highlight w:val="none"/>
          <w14:textFill>
            <w14:solidFill>
              <w14:schemeClr w14:val="tx1"/>
            </w14:solidFill>
          </w14:textFill>
        </w:rPr>
      </w:pPr>
      <w:r>
        <w:rPr>
          <w:rFonts w:hint="eastAsia" w:ascii="Arial" w:hAnsi="Arial"/>
          <w:b/>
          <w:bCs/>
          <w:color w:val="000000" w:themeColor="text1"/>
          <w:highlight w:val="none"/>
          <w14:textFill>
            <w14:solidFill>
              <w14:schemeClr w14:val="tx1"/>
            </w14:solidFill>
          </w14:textFill>
        </w:rPr>
        <w:t>服务要求：</w:t>
      </w:r>
    </w:p>
    <w:p w14:paraId="4CF735C0">
      <w:pPr>
        <w:widowControl/>
        <w:numPr>
          <w:ilvl w:val="0"/>
          <w:numId w:val="5"/>
        </w:numPr>
        <w:autoSpaceDE w:val="0"/>
        <w:autoSpaceDN w:val="0"/>
        <w:spacing w:line="360" w:lineRule="auto"/>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总则</w:t>
      </w:r>
    </w:p>
    <w:p w14:paraId="5D2A0671">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养护期间，养护单位应严格按照各专业</w:t>
      </w:r>
      <w:r>
        <w:rPr>
          <w:rFonts w:hint="eastAsia" w:ascii="Arial" w:hAnsi="Arial"/>
          <w:color w:val="000000" w:themeColor="text1"/>
          <w:szCs w:val="21"/>
          <w:highlight w:val="none"/>
          <w14:textFill>
            <w14:solidFill>
              <w14:schemeClr w14:val="tx1"/>
            </w14:solidFill>
          </w14:textFill>
        </w:rPr>
        <w:t>相关的养护作业标准、规范、规程和采购人的管理规定开展本项目。</w:t>
      </w:r>
    </w:p>
    <w:p w14:paraId="37A2B7B0">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对本项目实施所需的劳动力、材料、设备、施工用水电和服务由养护单位自行组织，由此产生的费用自行承担，所配置的人员（包括以后新增人员及接收人员）不与采购人发生劳资关系，人员的工资由养护单位自行发放。养护单位对本项目所需的管理用房及人员食宿自行解决。</w:t>
      </w:r>
    </w:p>
    <w:p w14:paraId="4778A66C">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必须严格执行采购人制定的安全生产制度及其它各项规章制度，项目合同期内重视安全生产工作，确保合同期内不发生安全责任事故。如发生安全责任事故，由养护单位承担后果。</w:t>
      </w:r>
    </w:p>
    <w:p w14:paraId="3E109477">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养护期间，遵守地方政府和有关部门对养护现场交通、施工噪音、环境保护和安全文明施工要求。协调项目实施期间与附近居民的关系，避免由于项目实施造成附近居民投诉。</w:t>
      </w:r>
    </w:p>
    <w:p w14:paraId="46BC06C6">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建立健全一路一档、一桥一档制度，在进场后迅速完善养护维修流程、质量保证体系，并向采购人提交养护施工组织设计、养护手册、养护频次和重点部位规划、基础设施量统计表、应急预案等文件。</w:t>
      </w:r>
    </w:p>
    <w:p w14:paraId="78DDD5A1">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养护期间内，未经采购人同意，不得在承包范围内从事各种与本项目内容无关的活动。</w:t>
      </w:r>
    </w:p>
    <w:p w14:paraId="2CEFC66C">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按实施季节、天气及时段不同及时向采购人相关科室上报作息时间，但须得到相关科室同意方可实施。</w:t>
      </w:r>
    </w:p>
    <w:p w14:paraId="59D9B2C6">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负责进行保险理赔事项的技术支持、协助进行维权处理工作。</w:t>
      </w:r>
    </w:p>
    <w:p w14:paraId="56F8AD18">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负责编制本月度养护维修情况报告、下月养护维修计划、年度养护维修计划及年度养护维修预算报告，并组织实施经采购人认可的养护维修及运行管理计划，在确定的设施养护维修项目及运行管理职责内合理使用养护维修经费。台帐等资料及提交时间详见下表。</w:t>
      </w:r>
    </w:p>
    <w:tbl>
      <w:tblPr>
        <w:tblStyle w:val="35"/>
        <w:tblW w:w="0" w:type="auto"/>
        <w:tblInd w:w="10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535"/>
        <w:gridCol w:w="1140"/>
        <w:gridCol w:w="4635"/>
      </w:tblGrid>
      <w:tr w14:paraId="13BD96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blHeader/>
        </w:trPr>
        <w:tc>
          <w:tcPr>
            <w:tcW w:w="2535" w:type="dxa"/>
            <w:noWrap w:val="0"/>
            <w:vAlign w:val="top"/>
          </w:tcPr>
          <w:p w14:paraId="756EF4D8">
            <w:pPr>
              <w:spacing w:line="400" w:lineRule="exact"/>
              <w:jc w:val="center"/>
              <w:outlineLvl w:val="1"/>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资料及文件名称</w:t>
            </w:r>
          </w:p>
        </w:tc>
        <w:tc>
          <w:tcPr>
            <w:tcW w:w="1140" w:type="dxa"/>
            <w:noWrap w:val="0"/>
            <w:vAlign w:val="top"/>
          </w:tcPr>
          <w:p w14:paraId="050A02FB">
            <w:pPr>
              <w:spacing w:line="400" w:lineRule="exact"/>
              <w:jc w:val="center"/>
              <w:outlineLvl w:val="1"/>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份数</w:t>
            </w:r>
          </w:p>
        </w:tc>
        <w:tc>
          <w:tcPr>
            <w:tcW w:w="4635" w:type="dxa"/>
            <w:noWrap w:val="0"/>
            <w:vAlign w:val="top"/>
          </w:tcPr>
          <w:p w14:paraId="592F5708">
            <w:pPr>
              <w:spacing w:line="400" w:lineRule="exact"/>
              <w:jc w:val="center"/>
              <w:outlineLvl w:val="1"/>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提交时间</w:t>
            </w:r>
          </w:p>
        </w:tc>
      </w:tr>
      <w:tr w14:paraId="1A43F8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5" w:type="dxa"/>
            <w:noWrap w:val="0"/>
            <w:vAlign w:val="center"/>
          </w:tcPr>
          <w:p w14:paraId="674BC9EC">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本月度养护维修情况报告</w:t>
            </w:r>
          </w:p>
        </w:tc>
        <w:tc>
          <w:tcPr>
            <w:tcW w:w="1140" w:type="dxa"/>
            <w:noWrap w:val="0"/>
            <w:vAlign w:val="center"/>
          </w:tcPr>
          <w:p w14:paraId="18352C48">
            <w:pPr>
              <w:spacing w:line="400" w:lineRule="exact"/>
              <w:jc w:val="center"/>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每月2份</w:t>
            </w:r>
          </w:p>
        </w:tc>
        <w:tc>
          <w:tcPr>
            <w:tcW w:w="4635" w:type="dxa"/>
            <w:noWrap w:val="0"/>
            <w:vAlign w:val="top"/>
          </w:tcPr>
          <w:p w14:paraId="42EA4106">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下月10日，如遇节假日顺延至下周周一。</w:t>
            </w:r>
          </w:p>
        </w:tc>
      </w:tr>
      <w:tr w14:paraId="3D9123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5" w:type="dxa"/>
            <w:noWrap w:val="0"/>
            <w:vAlign w:val="center"/>
          </w:tcPr>
          <w:p w14:paraId="169C851F">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下月养护维修计划</w:t>
            </w:r>
          </w:p>
        </w:tc>
        <w:tc>
          <w:tcPr>
            <w:tcW w:w="1140" w:type="dxa"/>
            <w:noWrap w:val="0"/>
            <w:vAlign w:val="center"/>
          </w:tcPr>
          <w:p w14:paraId="374EDD25">
            <w:pPr>
              <w:spacing w:line="400" w:lineRule="exact"/>
              <w:jc w:val="center"/>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每月2份</w:t>
            </w:r>
          </w:p>
        </w:tc>
        <w:tc>
          <w:tcPr>
            <w:tcW w:w="4635" w:type="dxa"/>
            <w:noWrap w:val="0"/>
            <w:vAlign w:val="top"/>
          </w:tcPr>
          <w:p w14:paraId="39862AB0">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每月10日，如遇节假日顺延至下周周一。</w:t>
            </w:r>
          </w:p>
        </w:tc>
      </w:tr>
      <w:tr w14:paraId="5AEA32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5" w:type="dxa"/>
            <w:noWrap w:val="0"/>
            <w:vAlign w:val="center"/>
          </w:tcPr>
          <w:p w14:paraId="125D2B30">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年度养护维修计划</w:t>
            </w:r>
          </w:p>
        </w:tc>
        <w:tc>
          <w:tcPr>
            <w:tcW w:w="1140" w:type="dxa"/>
            <w:noWrap w:val="0"/>
            <w:vAlign w:val="center"/>
          </w:tcPr>
          <w:p w14:paraId="40687429">
            <w:pPr>
              <w:spacing w:line="400" w:lineRule="exact"/>
              <w:jc w:val="center"/>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每年2份</w:t>
            </w:r>
          </w:p>
        </w:tc>
        <w:tc>
          <w:tcPr>
            <w:tcW w:w="4635" w:type="dxa"/>
            <w:noWrap w:val="0"/>
            <w:vAlign w:val="top"/>
          </w:tcPr>
          <w:p w14:paraId="3B0774B6">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合同期开始后45日内。</w:t>
            </w:r>
          </w:p>
        </w:tc>
      </w:tr>
      <w:tr w14:paraId="018D37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5" w:type="dxa"/>
            <w:noWrap w:val="0"/>
            <w:vAlign w:val="center"/>
          </w:tcPr>
          <w:p w14:paraId="794B6155">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年度养护维修预算报告</w:t>
            </w:r>
          </w:p>
        </w:tc>
        <w:tc>
          <w:tcPr>
            <w:tcW w:w="1140" w:type="dxa"/>
            <w:noWrap w:val="0"/>
            <w:vAlign w:val="center"/>
          </w:tcPr>
          <w:p w14:paraId="4FC4E686">
            <w:pPr>
              <w:spacing w:line="400" w:lineRule="exact"/>
              <w:jc w:val="center"/>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每年2份</w:t>
            </w:r>
          </w:p>
        </w:tc>
        <w:tc>
          <w:tcPr>
            <w:tcW w:w="4635" w:type="dxa"/>
            <w:noWrap w:val="0"/>
            <w:vAlign w:val="top"/>
          </w:tcPr>
          <w:p w14:paraId="3ED05E9A">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合同期开始后45日内。</w:t>
            </w:r>
          </w:p>
        </w:tc>
      </w:tr>
      <w:tr w14:paraId="23E9AD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5" w:type="dxa"/>
            <w:noWrap w:val="0"/>
            <w:vAlign w:val="center"/>
          </w:tcPr>
          <w:p w14:paraId="2955544F">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年度</w:t>
            </w:r>
            <w:r>
              <w:rPr>
                <w:rFonts w:ascii="Arial" w:hAnsi="Arial" w:cs="Arial"/>
                <w:bCs/>
                <w:color w:val="000000" w:themeColor="text1"/>
                <w:szCs w:val="21"/>
                <w:highlight w:val="none"/>
                <w14:textFill>
                  <w14:solidFill>
                    <w14:schemeClr w14:val="tx1"/>
                  </w14:solidFill>
                </w14:textFill>
              </w:rPr>
              <w:t>养护维修情况总结</w:t>
            </w:r>
          </w:p>
        </w:tc>
        <w:tc>
          <w:tcPr>
            <w:tcW w:w="1140" w:type="dxa"/>
            <w:noWrap w:val="0"/>
            <w:vAlign w:val="center"/>
          </w:tcPr>
          <w:p w14:paraId="1AAE2870">
            <w:pPr>
              <w:spacing w:line="400" w:lineRule="exact"/>
              <w:jc w:val="center"/>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每年2份</w:t>
            </w:r>
          </w:p>
        </w:tc>
        <w:tc>
          <w:tcPr>
            <w:tcW w:w="4635" w:type="dxa"/>
            <w:noWrap w:val="0"/>
            <w:vAlign w:val="top"/>
          </w:tcPr>
          <w:p w14:paraId="6CAECEDF">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年度合同期</w:t>
            </w:r>
            <w:r>
              <w:rPr>
                <w:rFonts w:ascii="Arial" w:hAnsi="Arial" w:cs="Arial"/>
                <w:bCs/>
                <w:color w:val="000000" w:themeColor="text1"/>
                <w:szCs w:val="21"/>
                <w:highlight w:val="none"/>
                <w14:textFill>
                  <w14:solidFill>
                    <w14:schemeClr w14:val="tx1"/>
                  </w14:solidFill>
                </w14:textFill>
              </w:rPr>
              <w:t>结束后</w:t>
            </w:r>
            <w:r>
              <w:rPr>
                <w:rFonts w:hint="eastAsia" w:ascii="Arial" w:hAnsi="Arial" w:cs="Arial"/>
                <w:bCs/>
                <w:color w:val="000000" w:themeColor="text1"/>
                <w:szCs w:val="21"/>
                <w:highlight w:val="none"/>
                <w14:textFill>
                  <w14:solidFill>
                    <w14:schemeClr w14:val="tx1"/>
                  </w14:solidFill>
                </w14:textFill>
              </w:rPr>
              <w:t>10日</w:t>
            </w:r>
            <w:r>
              <w:rPr>
                <w:rFonts w:ascii="Arial" w:hAnsi="Arial" w:cs="Arial"/>
                <w:bCs/>
                <w:color w:val="000000" w:themeColor="text1"/>
                <w:szCs w:val="21"/>
                <w:highlight w:val="none"/>
                <w14:textFill>
                  <w14:solidFill>
                    <w14:schemeClr w14:val="tx1"/>
                  </w14:solidFill>
                </w14:textFill>
              </w:rPr>
              <w:t>内</w:t>
            </w:r>
          </w:p>
        </w:tc>
      </w:tr>
    </w:tbl>
    <w:p w14:paraId="01D04E57">
      <w:pPr>
        <w:widowControl/>
        <w:numPr>
          <w:ilvl w:val="0"/>
          <w:numId w:val="6"/>
        </w:numPr>
        <w:autoSpaceDE w:val="0"/>
        <w:autoSpaceDN w:val="0"/>
        <w:spacing w:before="120" w:beforeLines="50"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养护期间，必须按采购人所订的考核细则规定履行。对采购人在日常考核、监督中提出的存在问题，要及时予以整改，同一问题被连续二次发现未及时整改的，将加倍处罚。</w:t>
      </w:r>
    </w:p>
    <w:p w14:paraId="74D8279D">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对于新政策文件规定出台等不可抗力情况导致交通改道、基础保养等特殊要求的维修，需按采购人要求做好专项方案和计划作业书，报采购人和相关单位审批通过后方可实施。</w:t>
      </w:r>
    </w:p>
    <w:p w14:paraId="0E1E4744">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养护单位应为对财产和养护机械设备办理保险。</w:t>
      </w:r>
    </w:p>
    <w:p w14:paraId="4DCD3759">
      <w:pPr>
        <w:widowControl/>
        <w:numPr>
          <w:ilvl w:val="0"/>
          <w:numId w:val="6"/>
        </w:numPr>
        <w:autoSpaceDE w:val="0"/>
        <w:autoSpaceDN w:val="0"/>
        <w:spacing w:line="360" w:lineRule="auto"/>
        <w:textAlignment w:val="bottom"/>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在做好日常养护等工作的同时，必须无条件服从采购人安排的市、区及中心布置的各类创建迎检测评活动保障、防汛防台、防雪抗冻等应急处理工作和其他临时性（如智慧城管案件、市民信访案件等）任务。</w:t>
      </w:r>
    </w:p>
    <w:p w14:paraId="6EEF4CA8">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bookmarkStart w:id="57" w:name="_Hlk130457996"/>
      <w:r>
        <w:rPr>
          <w:rFonts w:hint="eastAsia" w:ascii="Arial" w:hAnsi="Arial" w:cs="Arial"/>
          <w:bCs/>
          <w:color w:val="000000" w:themeColor="text1"/>
          <w:szCs w:val="21"/>
          <w:highlight w:val="none"/>
          <w14:textFill>
            <w14:solidFill>
              <w14:schemeClr w14:val="tx1"/>
            </w14:solidFill>
          </w14:textFill>
        </w:rPr>
        <w:t>如在合同服务期内，因采购人进行管理体制改革、机构整合等重大调整，本合同自行终止，养护单位不得提出索赔。</w:t>
      </w:r>
    </w:p>
    <w:bookmarkEnd w:id="57"/>
    <w:p w14:paraId="6CF85A20">
      <w:pPr>
        <w:widowControl/>
        <w:numPr>
          <w:ilvl w:val="0"/>
          <w:numId w:val="5"/>
        </w:numPr>
        <w:autoSpaceDE w:val="0"/>
        <w:autoSpaceDN w:val="0"/>
        <w:spacing w:line="360" w:lineRule="auto"/>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b/>
          <w:color w:val="000000" w:themeColor="text1"/>
          <w:highlight w:val="none"/>
          <w14:textFill>
            <w14:solidFill>
              <w14:schemeClr w14:val="tx1"/>
            </w14:solidFill>
          </w14:textFill>
        </w:rPr>
        <w:t>工作过程实行“三定”原则：定人、定车、定时</w:t>
      </w:r>
    </w:p>
    <w:p w14:paraId="3C608D08">
      <w:pPr>
        <w:widowControl/>
        <w:numPr>
          <w:ilvl w:val="0"/>
          <w:numId w:val="7"/>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定人：即项目部常备人员一经确认，中途不得随意更换（如有特殊原因须要更换，报采购人同意），养护人员统一着反光背心、工作服。</w:t>
      </w:r>
    </w:p>
    <w:p w14:paraId="6AB6C99B">
      <w:pPr>
        <w:widowControl/>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ascii="Arial" w:hAnsi="Arial" w:cs="Arial"/>
          <w:bCs/>
          <w:color w:val="000000" w:themeColor="text1"/>
          <w:szCs w:val="21"/>
          <w:highlight w:val="none"/>
          <w14:textFill>
            <w14:solidFill>
              <w14:schemeClr w14:val="tx1"/>
            </w14:solidFill>
          </w14:textFill>
        </w:rPr>
        <w:t>专项养护（按</w:t>
      </w:r>
      <w:r>
        <w:rPr>
          <w:rFonts w:hint="eastAsia" w:ascii="Arial" w:hAnsi="Arial" w:cs="Arial"/>
          <w:bCs/>
          <w:color w:val="000000" w:themeColor="text1"/>
          <w:szCs w:val="21"/>
          <w:highlight w:val="none"/>
          <w14:textFill>
            <w14:solidFill>
              <w14:schemeClr w14:val="tx1"/>
            </w14:solidFill>
          </w14:textFill>
        </w:rPr>
        <w:t>采购</w:t>
      </w:r>
      <w:r>
        <w:rPr>
          <w:rFonts w:ascii="Arial" w:hAnsi="Arial" w:cs="Arial"/>
          <w:bCs/>
          <w:color w:val="000000" w:themeColor="text1"/>
          <w:szCs w:val="21"/>
          <w:highlight w:val="none"/>
          <w14:textFill>
            <w14:solidFill>
              <w14:schemeClr w14:val="tx1"/>
            </w14:solidFill>
          </w14:textFill>
        </w:rPr>
        <w:t>人相关制度明确）和较大养护作业</w:t>
      </w:r>
      <w:r>
        <w:rPr>
          <w:rFonts w:hint="eastAsia" w:ascii="Arial" w:hAnsi="Arial" w:cs="Arial"/>
          <w:bCs/>
          <w:color w:val="000000" w:themeColor="text1"/>
          <w:szCs w:val="21"/>
          <w:highlight w:val="none"/>
          <w14:textFill>
            <w14:solidFill>
              <w14:schemeClr w14:val="tx1"/>
            </w14:solidFill>
          </w14:textFill>
        </w:rPr>
        <w:t>项目经理</w:t>
      </w:r>
      <w:r>
        <w:rPr>
          <w:rFonts w:ascii="Arial" w:hAnsi="Arial" w:cs="Arial"/>
          <w:bCs/>
          <w:color w:val="000000" w:themeColor="text1"/>
          <w:szCs w:val="21"/>
          <w:highlight w:val="none"/>
          <w14:textFill>
            <w14:solidFill>
              <w14:schemeClr w14:val="tx1"/>
            </w14:solidFill>
          </w14:textFill>
        </w:rPr>
        <w:t>和施工员必须到场，有较大安全隐患的作业（由</w:t>
      </w:r>
      <w:r>
        <w:rPr>
          <w:rFonts w:hint="eastAsia" w:ascii="Arial" w:hAnsi="Arial" w:cs="Arial"/>
          <w:bCs/>
          <w:color w:val="000000" w:themeColor="text1"/>
          <w:szCs w:val="21"/>
          <w:highlight w:val="none"/>
          <w14:textFill>
            <w14:solidFill>
              <w14:schemeClr w14:val="tx1"/>
            </w14:solidFill>
          </w14:textFill>
        </w:rPr>
        <w:t>采购人</w:t>
      </w:r>
      <w:r>
        <w:rPr>
          <w:rFonts w:ascii="Arial" w:hAnsi="Arial" w:cs="Arial"/>
          <w:bCs/>
          <w:color w:val="000000" w:themeColor="text1"/>
          <w:szCs w:val="21"/>
          <w:highlight w:val="none"/>
          <w14:textFill>
            <w14:solidFill>
              <w14:schemeClr w14:val="tx1"/>
            </w14:solidFill>
          </w14:textFill>
        </w:rPr>
        <w:t>明确）安全员必须到场。</w:t>
      </w:r>
    </w:p>
    <w:p w14:paraId="1F12A2D5">
      <w:pPr>
        <w:widowControl/>
        <w:numPr>
          <w:ilvl w:val="0"/>
          <w:numId w:val="7"/>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定车：养护单位车辆一经确认，不得将该车用于其他项目用途，若需更换的，报采购人书面同意后方可进/退场。车辆随车附带安全警示设备。</w:t>
      </w:r>
    </w:p>
    <w:p w14:paraId="5D8C58A2">
      <w:pPr>
        <w:widowControl/>
        <w:numPr>
          <w:ilvl w:val="0"/>
          <w:numId w:val="7"/>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定时：路况巡查不少于1次/天（巡查频率要求养护所在区域内的市政设施每日全覆盖巡查）；</w:t>
      </w:r>
    </w:p>
    <w:p w14:paraId="638B2134">
      <w:pPr>
        <w:widowControl/>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桥面巡查不少于1次/天，遇台风天，雨雪冰冻等恶劣气候和特殊情况时需适当增加检查频率。</w:t>
      </w:r>
    </w:p>
    <w:p w14:paraId="73106415">
      <w:pPr>
        <w:widowControl/>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应采购人要求需进行应急抢修的，进场不得超过2小时，抢修自进场至完工一般不得超过48小时。</w:t>
      </w:r>
    </w:p>
    <w:p w14:paraId="797A2972">
      <w:pPr>
        <w:widowControl/>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遇到雨雪等极端天气时，养护单位应每天进行不少于四次（每6小时一次）的路面积水、结冰、积雪检查工作（按往年惯例，极端天气按60天/年计）。</w:t>
      </w:r>
    </w:p>
    <w:p w14:paraId="6E93B468">
      <w:pPr>
        <w:widowControl/>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消火栓每月至少进行一次全面巡检；每季度至少进行一次保养；每年至少进行两次放水检查，重大节日或庆祝活动之前专门检查一次。消火栓及阀门后的管道损坏漏水应在30分钟内到达现场止水维修，并在24小时内修复。</w:t>
      </w:r>
    </w:p>
    <w:p w14:paraId="0AE1E041">
      <w:pPr>
        <w:widowControl/>
        <w:numPr>
          <w:ilvl w:val="0"/>
          <w:numId w:val="5"/>
        </w:numPr>
        <w:autoSpaceDE w:val="0"/>
        <w:autoSpaceDN w:val="0"/>
        <w:spacing w:line="360" w:lineRule="auto"/>
        <w:textAlignment w:val="bottom"/>
        <w:rPr>
          <w:rFonts w:hint="eastAsia" w:ascii="Arial" w:hAnsi="Arial" w:cs="Arial"/>
          <w:b/>
          <w:color w:val="000000" w:themeColor="text1"/>
          <w:szCs w:val="21"/>
          <w:highlight w:val="none"/>
          <w14:textFill>
            <w14:solidFill>
              <w14:schemeClr w14:val="tx1"/>
            </w14:solidFill>
          </w14:textFill>
        </w:rPr>
      </w:pPr>
      <w:bookmarkStart w:id="58" w:name="_Hlk133513110"/>
      <w:r>
        <w:rPr>
          <w:rFonts w:hint="eastAsia" w:ascii="Arial" w:hAnsi="Arial" w:cs="Arial"/>
          <w:b/>
          <w:color w:val="000000" w:themeColor="text1"/>
          <w:szCs w:val="21"/>
          <w:highlight w:val="none"/>
          <w14:textFill>
            <w14:solidFill>
              <w14:schemeClr w14:val="tx1"/>
            </w14:solidFill>
          </w14:textFill>
        </w:rPr>
        <w:t>常备设施设备及紧急抢修物资</w:t>
      </w:r>
    </w:p>
    <w:p w14:paraId="5744ADF2">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常备巡查车辆：2辆专门用于巡查的</w:t>
      </w:r>
      <w:r>
        <w:rPr>
          <w:rFonts w:hint="eastAsia" w:ascii="Arial" w:hAnsi="Arial" w:cs="Arial"/>
          <w:bCs/>
          <w:color w:val="000000" w:themeColor="text1"/>
          <w:szCs w:val="21"/>
          <w:highlight w:val="none"/>
          <w:lang w:val="en-US" w:eastAsia="zh-CN"/>
          <w14:textFill>
            <w14:solidFill>
              <w14:schemeClr w14:val="tx1"/>
            </w14:solidFill>
          </w14:textFill>
        </w:rPr>
        <w:t>车龄在五年以内的</w:t>
      </w:r>
      <w:r>
        <w:rPr>
          <w:rFonts w:hint="eastAsia" w:ascii="Arial" w:hAnsi="Arial" w:cs="Arial"/>
          <w:bCs/>
          <w:color w:val="000000" w:themeColor="text1"/>
          <w:szCs w:val="21"/>
          <w:highlight w:val="none"/>
          <w14:textFill>
            <w14:solidFill>
              <w14:schemeClr w14:val="tx1"/>
            </w14:solidFill>
          </w14:textFill>
        </w:rPr>
        <w:t>皮卡和若干辆电瓶车。</w:t>
      </w:r>
    </w:p>
    <w:p w14:paraId="77442383">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常备作业车辆：2辆专门用于养护的轻卡、1辆清洗车（3吨及以上）。</w:t>
      </w:r>
    </w:p>
    <w:p w14:paraId="11543116">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基本机械：3台发电机、1台切割机、1台平板打夯机、1台小型压路机、1台圆形球面切割机、1台裂缝灌封机、管道冲洗疏通设备、cctv检测设备、安全设施（包括有毒气体检测仪、安全绳、空气呼吸器、鼓风机和安全防护服等）和检查井封堵用气囊（DN300、DN400、DN500、DN600、DN700-1000、DN1000-DN1500和DN1500）等。</w:t>
      </w:r>
    </w:p>
    <w:p w14:paraId="4CC8B85A">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常备基本设施：标准反光锥、标准水码、反光作业指示牌、反光交通指示牌、排水泵（防台另计）、交通锥链接杆、泄水孔和管道疏通工具，防爆警示灯等。</w:t>
      </w:r>
    </w:p>
    <w:bookmarkEnd w:id="58"/>
    <w:p w14:paraId="32889CE5">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常备基本抢险物资：气体灭火器、灭火砂、融雪剂、草包、麻袋、强排水泵、排水车、疏通车。</w:t>
      </w:r>
    </w:p>
    <w:p w14:paraId="6A077EE1">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常备基本维修物资：冷补沥青，快速水泥，道路花岗岩条石，混凝土道路侧石，花岗岩人行道，人行道小方砖。</w:t>
      </w:r>
    </w:p>
    <w:p w14:paraId="2CF2C62F">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紧急抢修物资：养护单位必须承诺与采购</w:t>
      </w:r>
      <w:r>
        <w:rPr>
          <w:rFonts w:ascii="Arial" w:hAnsi="Arial" w:cs="Arial"/>
          <w:bCs/>
          <w:color w:val="000000" w:themeColor="text1"/>
          <w:szCs w:val="21"/>
          <w:highlight w:val="none"/>
          <w14:textFill>
            <w14:solidFill>
              <w14:schemeClr w14:val="tx1"/>
            </w14:solidFill>
          </w14:textFill>
        </w:rPr>
        <w:t>文件中规定的</w:t>
      </w:r>
      <w:r>
        <w:rPr>
          <w:rFonts w:hint="eastAsia" w:ascii="Arial" w:hAnsi="Arial" w:cs="Arial"/>
          <w:bCs/>
          <w:color w:val="000000" w:themeColor="text1"/>
          <w:szCs w:val="21"/>
          <w:highlight w:val="none"/>
          <w14:textFill>
            <w14:solidFill>
              <w14:schemeClr w14:val="tx1"/>
            </w14:solidFill>
          </w14:textFill>
        </w:rPr>
        <w:t>常备</w:t>
      </w:r>
      <w:r>
        <w:rPr>
          <w:rFonts w:ascii="Arial" w:hAnsi="Arial" w:cs="Arial"/>
          <w:bCs/>
          <w:color w:val="000000" w:themeColor="text1"/>
          <w:szCs w:val="21"/>
          <w:highlight w:val="none"/>
          <w14:textFill>
            <w14:solidFill>
              <w14:schemeClr w14:val="tx1"/>
            </w14:solidFill>
          </w14:textFill>
        </w:rPr>
        <w:t>基本抢</w:t>
      </w:r>
      <w:r>
        <w:rPr>
          <w:rFonts w:hint="eastAsia" w:ascii="Arial" w:hAnsi="Arial" w:cs="Arial"/>
          <w:bCs/>
          <w:color w:val="000000" w:themeColor="text1"/>
          <w:szCs w:val="21"/>
          <w:highlight w:val="none"/>
          <w14:textFill>
            <w14:solidFill>
              <w14:schemeClr w14:val="tx1"/>
            </w14:solidFill>
          </w14:textFill>
        </w:rPr>
        <w:t>险</w:t>
      </w:r>
      <w:r>
        <w:rPr>
          <w:rFonts w:ascii="Arial" w:hAnsi="Arial" w:cs="Arial"/>
          <w:bCs/>
          <w:color w:val="000000" w:themeColor="text1"/>
          <w:szCs w:val="21"/>
          <w:highlight w:val="none"/>
          <w14:textFill>
            <w14:solidFill>
              <w14:schemeClr w14:val="tx1"/>
            </w14:solidFill>
          </w14:textFill>
        </w:rPr>
        <w:t>物资</w:t>
      </w:r>
      <w:r>
        <w:rPr>
          <w:rFonts w:hint="eastAsia" w:ascii="Arial" w:hAnsi="Arial" w:cs="Arial"/>
          <w:bCs/>
          <w:color w:val="000000" w:themeColor="text1"/>
          <w:szCs w:val="21"/>
          <w:highlight w:val="none"/>
          <w14:textFill>
            <w14:solidFill>
              <w14:schemeClr w14:val="tx1"/>
            </w14:solidFill>
          </w14:textFill>
        </w:rPr>
        <w:t>、</w:t>
      </w:r>
      <w:r>
        <w:rPr>
          <w:rFonts w:ascii="Arial" w:hAnsi="Arial" w:cs="Arial"/>
          <w:bCs/>
          <w:color w:val="000000" w:themeColor="text1"/>
          <w:szCs w:val="21"/>
          <w:highlight w:val="none"/>
          <w14:textFill>
            <w14:solidFill>
              <w14:schemeClr w14:val="tx1"/>
            </w14:solidFill>
          </w14:textFill>
        </w:rPr>
        <w:t>常备基本维修物资</w:t>
      </w:r>
      <w:r>
        <w:rPr>
          <w:rFonts w:hint="eastAsia" w:ascii="Arial" w:hAnsi="Arial" w:cs="Arial"/>
          <w:bCs/>
          <w:color w:val="000000" w:themeColor="text1"/>
          <w:szCs w:val="21"/>
          <w:highlight w:val="none"/>
          <w14:textFill>
            <w14:solidFill>
              <w14:schemeClr w14:val="tx1"/>
            </w14:solidFill>
          </w14:textFill>
        </w:rPr>
        <w:t>的供应单位有良好合作</w:t>
      </w:r>
      <w:r>
        <w:rPr>
          <w:rFonts w:ascii="Arial" w:hAnsi="Arial" w:cs="Arial"/>
          <w:bCs/>
          <w:color w:val="000000" w:themeColor="text1"/>
          <w:szCs w:val="21"/>
          <w:highlight w:val="none"/>
          <w14:textFill>
            <w14:solidFill>
              <w14:schemeClr w14:val="tx1"/>
            </w14:solidFill>
          </w14:textFill>
        </w:rPr>
        <w:t>关系</w:t>
      </w:r>
      <w:r>
        <w:rPr>
          <w:rFonts w:hint="eastAsia" w:ascii="Arial" w:hAnsi="Arial" w:cs="Arial"/>
          <w:bCs/>
          <w:color w:val="000000" w:themeColor="text1"/>
          <w:szCs w:val="21"/>
          <w:highlight w:val="none"/>
          <w14:textFill>
            <w14:solidFill>
              <w14:schemeClr w14:val="tx1"/>
            </w14:solidFill>
          </w14:textFill>
        </w:rPr>
        <w:t>，一旦需要紧急抢修时，要求在2小时内到场。</w:t>
      </w:r>
    </w:p>
    <w:p w14:paraId="3CC2FF51">
      <w:pPr>
        <w:widowControl/>
        <w:spacing w:line="360" w:lineRule="auto"/>
        <w:ind w:firstLine="420" w:firstLineChars="200"/>
        <w:rPr>
          <w:rFonts w:hint="default" w:ascii="Arial" w:hAnsi="Arial" w:eastAsia="宋体" w:cs="Arial"/>
          <w:bCs/>
          <w:color w:val="000000" w:themeColor="text1"/>
          <w:szCs w:val="21"/>
          <w:highlight w:val="none"/>
          <w:lang w:val="en-US" w:eastAsia="zh-CN"/>
          <w14:textFill>
            <w14:solidFill>
              <w14:schemeClr w14:val="tx1"/>
            </w14:solidFill>
          </w14:textFill>
        </w:rPr>
      </w:pPr>
      <w:bookmarkStart w:id="59" w:name="_Hlk108678845"/>
      <w:r>
        <w:rPr>
          <w:rFonts w:hint="eastAsia" w:ascii="宋体" w:hAnsi="宋体" w:cs="宋体"/>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lang w:val="en-US" w:eastAsia="zh-CN"/>
          <w14:textFill>
            <w14:solidFill>
              <w14:schemeClr w14:val="tx1"/>
            </w14:solidFill>
          </w14:textFill>
        </w:rPr>
        <w:t>投标时提供以上设备自有或者租赁的承诺函（承诺函格式自拟）。</w:t>
      </w:r>
    </w:p>
    <w:p w14:paraId="542A3F12">
      <w:pPr>
        <w:widowControl/>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注：</w:t>
      </w:r>
      <w:r>
        <w:rPr>
          <w:rFonts w:hint="eastAsia" w:ascii="Arial" w:hAnsi="Arial" w:cs="Arial"/>
          <w:bCs/>
          <w:color w:val="000000" w:themeColor="text1"/>
          <w:szCs w:val="21"/>
          <w:highlight w:val="none"/>
          <w14:textFill>
            <w14:solidFill>
              <w14:schemeClr w14:val="tx1"/>
            </w14:solidFill>
          </w14:textFill>
        </w:rPr>
        <w:t>上述设施设备及紧急抢修物资由供应商提供，机械设备</w:t>
      </w:r>
      <w:r>
        <w:rPr>
          <w:rFonts w:ascii="Arial" w:hAnsi="Arial" w:cs="Arial"/>
          <w:bCs/>
          <w:color w:val="000000" w:themeColor="text1"/>
          <w:szCs w:val="21"/>
          <w:highlight w:val="none"/>
          <w14:textFill>
            <w14:solidFill>
              <w14:schemeClr w14:val="tx1"/>
            </w14:solidFill>
          </w14:textFill>
        </w:rPr>
        <w:t>可</w:t>
      </w:r>
      <w:r>
        <w:rPr>
          <w:rFonts w:hint="eastAsia" w:ascii="Arial" w:hAnsi="Arial" w:cs="Arial"/>
          <w:bCs/>
          <w:color w:val="000000" w:themeColor="text1"/>
          <w:szCs w:val="21"/>
          <w:highlight w:val="none"/>
          <w14:textFill>
            <w14:solidFill>
              <w14:schemeClr w14:val="tx1"/>
            </w14:solidFill>
          </w14:textFill>
        </w:rPr>
        <w:t>自有也可</w:t>
      </w:r>
      <w:r>
        <w:rPr>
          <w:rFonts w:ascii="Arial" w:hAnsi="Arial" w:cs="Arial"/>
          <w:bCs/>
          <w:color w:val="000000" w:themeColor="text1"/>
          <w:szCs w:val="21"/>
          <w:highlight w:val="none"/>
          <w14:textFill>
            <w14:solidFill>
              <w14:schemeClr w14:val="tx1"/>
            </w14:solidFill>
          </w14:textFill>
        </w:rPr>
        <w:t>租赁</w:t>
      </w:r>
      <w:r>
        <w:rPr>
          <w:rFonts w:hint="eastAsia" w:ascii="Arial" w:hAnsi="Arial" w:cs="Arial"/>
          <w:bCs/>
          <w:color w:val="000000" w:themeColor="text1"/>
          <w:szCs w:val="21"/>
          <w:highlight w:val="none"/>
          <w14:textFill>
            <w14:solidFill>
              <w14:schemeClr w14:val="tx1"/>
            </w14:solidFill>
          </w14:textFill>
        </w:rPr>
        <w:t>，自有</w:t>
      </w:r>
      <w:r>
        <w:rPr>
          <w:rFonts w:ascii="Arial" w:hAnsi="Arial" w:cs="Arial"/>
          <w:bCs/>
          <w:color w:val="000000" w:themeColor="text1"/>
          <w:szCs w:val="21"/>
          <w:highlight w:val="none"/>
          <w14:textFill>
            <w14:solidFill>
              <w14:schemeClr w14:val="tx1"/>
            </w14:solidFill>
          </w14:textFill>
        </w:rPr>
        <w:t>的提供车辆行驶证</w:t>
      </w:r>
      <w:r>
        <w:rPr>
          <w:rFonts w:hint="eastAsia" w:ascii="Arial" w:hAnsi="Arial" w:cs="Arial"/>
          <w:bCs/>
          <w:color w:val="000000" w:themeColor="text1"/>
          <w:szCs w:val="21"/>
          <w:highlight w:val="none"/>
          <w14:textFill>
            <w14:solidFill>
              <w14:schemeClr w14:val="tx1"/>
            </w14:solidFill>
          </w14:textFill>
        </w:rPr>
        <w:t>及</w:t>
      </w:r>
      <w:r>
        <w:rPr>
          <w:rFonts w:ascii="Arial" w:hAnsi="Arial" w:cs="Arial"/>
          <w:bCs/>
          <w:color w:val="000000" w:themeColor="text1"/>
          <w:szCs w:val="21"/>
          <w:highlight w:val="none"/>
          <w14:textFill>
            <w14:solidFill>
              <w14:schemeClr w14:val="tx1"/>
            </w14:solidFill>
          </w14:textFill>
        </w:rPr>
        <w:t>购置发票，其余</w:t>
      </w:r>
      <w:r>
        <w:rPr>
          <w:rFonts w:hint="eastAsia" w:ascii="Arial" w:hAnsi="Arial" w:cs="Arial"/>
          <w:bCs/>
          <w:color w:val="000000" w:themeColor="text1"/>
          <w:szCs w:val="21"/>
          <w:highlight w:val="none"/>
          <w14:textFill>
            <w14:solidFill>
              <w14:schemeClr w14:val="tx1"/>
            </w14:solidFill>
          </w14:textFill>
        </w:rPr>
        <w:t>机械</w:t>
      </w:r>
      <w:r>
        <w:rPr>
          <w:rFonts w:ascii="Arial" w:hAnsi="Arial" w:cs="Arial"/>
          <w:bCs/>
          <w:color w:val="000000" w:themeColor="text1"/>
          <w:szCs w:val="21"/>
          <w:highlight w:val="none"/>
          <w14:textFill>
            <w14:solidFill>
              <w14:schemeClr w14:val="tx1"/>
            </w14:solidFill>
          </w14:textFill>
        </w:rPr>
        <w:t>设备提供购置发票</w:t>
      </w:r>
      <w:r>
        <w:rPr>
          <w:rFonts w:hint="eastAsia" w:ascii="Arial" w:hAnsi="Arial" w:cs="Arial"/>
          <w:bCs/>
          <w:color w:val="000000" w:themeColor="text1"/>
          <w:szCs w:val="21"/>
          <w:highlight w:val="none"/>
          <w14:textFill>
            <w14:solidFill>
              <w14:schemeClr w14:val="tx1"/>
            </w14:solidFill>
          </w14:textFill>
        </w:rPr>
        <w:t>；如为租赁，还须在以上证明资料的基础上提供租赁协议</w:t>
      </w:r>
      <w:r>
        <w:rPr>
          <w:rFonts w:hint="eastAsia" w:ascii="Arial" w:hAnsi="Arial" w:cs="Arial"/>
          <w:bCs/>
          <w:color w:val="000000" w:themeColor="text1"/>
          <w:szCs w:val="21"/>
          <w:highlight w:val="none"/>
          <w:lang w:eastAsia="zh-CN"/>
          <w14:textFill>
            <w14:solidFill>
              <w14:schemeClr w14:val="tx1"/>
            </w14:solidFill>
          </w14:textFill>
        </w:rPr>
        <w:t>。</w:t>
      </w:r>
      <w:r>
        <w:rPr>
          <w:rFonts w:hint="eastAsia" w:ascii="Arial" w:hAnsi="Arial" w:cs="Arial"/>
          <w:bCs/>
          <w:color w:val="000000" w:themeColor="text1"/>
          <w:szCs w:val="21"/>
          <w:highlight w:val="none"/>
          <w:lang w:val="en-US" w:eastAsia="zh-CN"/>
          <w14:textFill>
            <w14:solidFill>
              <w14:schemeClr w14:val="tx1"/>
            </w14:solidFill>
          </w14:textFill>
        </w:rPr>
        <w:t>自有和租赁的证明材料需在供应商收到中标通知书后5个工作日内向招标人提供，</w:t>
      </w:r>
      <w:r>
        <w:rPr>
          <w:rFonts w:hint="eastAsia" w:ascii="Arial" w:hAnsi="Arial" w:cs="Arial"/>
          <w:bCs/>
          <w:color w:val="000000" w:themeColor="text1"/>
          <w:szCs w:val="21"/>
          <w:highlight w:val="none"/>
          <w14:textFill>
            <w14:solidFill>
              <w14:schemeClr w14:val="tx1"/>
            </w14:solidFill>
          </w14:textFill>
        </w:rPr>
        <w:t>同时供应商应配置相应的物资堆料与机械停放场所，以便于随时调用。</w:t>
      </w:r>
    </w:p>
    <w:bookmarkEnd w:id="59"/>
    <w:p w14:paraId="012B3454">
      <w:pPr>
        <w:widowControl/>
        <w:numPr>
          <w:ilvl w:val="0"/>
          <w:numId w:val="5"/>
        </w:numPr>
        <w:autoSpaceDE w:val="0"/>
        <w:autoSpaceDN w:val="0"/>
        <w:spacing w:line="360" w:lineRule="auto"/>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大榭污水提升泵站运营、维护、管理</w:t>
      </w:r>
    </w:p>
    <w:p w14:paraId="7B75D428">
      <w:pPr>
        <w:numPr>
          <w:ilvl w:val="0"/>
          <w:numId w:val="0"/>
        </w:numPr>
        <w:spacing w:line="360" w:lineRule="auto"/>
        <w:ind w:firstLine="422" w:firstLineChars="200"/>
        <w:jc w:val="left"/>
        <w:rPr>
          <w:rFonts w:hint="eastAsia" w:ascii="Times New Roman" w:hAnsi="Times New Roman" w:eastAsia="宋体" w:cs="Times New Roman"/>
          <w:b/>
          <w:bCs/>
          <w:color w:val="000000" w:themeColor="text1"/>
          <w:sz w:val="21"/>
          <w:szCs w:val="21"/>
          <w:highlight w:val="none"/>
          <w:lang w:val="en-US" w:eastAsia="zh-CN"/>
          <w14:textFill>
            <w14:solidFill>
              <w14:schemeClr w14:val="tx1"/>
            </w14:solidFill>
          </w14:textFill>
        </w:rPr>
      </w:pPr>
      <w:r>
        <w:rPr>
          <w:rFonts w:hint="eastAsia" w:eastAsia="宋体" w:cs="Times New Roman"/>
          <w:b/>
          <w:bCs/>
          <w:color w:val="000000" w:themeColor="text1"/>
          <w:sz w:val="21"/>
          <w:szCs w:val="21"/>
          <w:highlight w:val="none"/>
          <w:lang w:val="en-US" w:eastAsia="zh-CN"/>
          <w14:textFill>
            <w14:solidFill>
              <w14:schemeClr w14:val="tx1"/>
            </w14:solidFill>
          </w14:textFill>
        </w:rPr>
        <w:t>1）服务</w:t>
      </w:r>
      <w:r>
        <w:rPr>
          <w:rFonts w:hint="eastAsia" w:ascii="Times New Roman" w:hAnsi="Times New Roman" w:eastAsia="宋体" w:cs="Times New Roman"/>
          <w:b/>
          <w:bCs/>
          <w:color w:val="000000" w:themeColor="text1"/>
          <w:sz w:val="21"/>
          <w:szCs w:val="21"/>
          <w:highlight w:val="none"/>
          <w:lang w:val="en-US" w:eastAsia="zh-CN"/>
          <w14:textFill>
            <w14:solidFill>
              <w14:schemeClr w14:val="tx1"/>
            </w14:solidFill>
          </w14:textFill>
        </w:rPr>
        <w:t>范围</w:t>
      </w:r>
    </w:p>
    <w:p w14:paraId="19AF1E28">
      <w:pPr>
        <w:numPr>
          <w:ilvl w:val="0"/>
          <w:numId w:val="0"/>
        </w:numPr>
        <w:spacing w:line="360" w:lineRule="auto"/>
        <w:ind w:firstLine="420" w:firstLineChars="200"/>
        <w:jc w:val="left"/>
        <w:rPr>
          <w:rFonts w:hint="eastAsia"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pPr>
      <w:r>
        <w:rPr>
          <w:rFonts w:hint="eastAsia" w:eastAsia="宋体" w:cs="Times New Roman"/>
          <w:b w:val="0"/>
          <w:bCs w:val="0"/>
          <w:color w:val="000000" w:themeColor="text1"/>
          <w:sz w:val="21"/>
          <w:szCs w:val="21"/>
          <w:highlight w:val="none"/>
          <w:lang w:val="en-US" w:eastAsia="zh-CN"/>
          <w14:textFill>
            <w14:solidFill>
              <w14:schemeClr w14:val="tx1"/>
            </w14:solidFill>
          </w14:textFill>
        </w:rPr>
        <w:t>a.</w:t>
      </w:r>
      <w:r>
        <w:rPr>
          <w:rFonts w:hint="eastAsia"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东港南路与兴港路交叉口污水提升泵站、以及泵站围墙内设施设备、管道。</w:t>
      </w:r>
    </w:p>
    <w:p w14:paraId="221BA17F">
      <w:pPr>
        <w:numPr>
          <w:ilvl w:val="0"/>
          <w:numId w:val="0"/>
        </w:numPr>
        <w:spacing w:line="360" w:lineRule="auto"/>
        <w:ind w:firstLine="420" w:firstLineChars="200"/>
        <w:jc w:val="left"/>
        <w:rPr>
          <w:rFonts w:hint="eastAsia"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pPr>
      <w:r>
        <w:rPr>
          <w:rFonts w:hint="eastAsia" w:eastAsia="宋体" w:cs="Times New Roman"/>
          <w:b w:val="0"/>
          <w:bCs w:val="0"/>
          <w:color w:val="000000" w:themeColor="text1"/>
          <w:sz w:val="21"/>
          <w:szCs w:val="21"/>
          <w:highlight w:val="none"/>
          <w:lang w:val="en-US" w:eastAsia="zh-CN"/>
          <w14:textFill>
            <w14:solidFill>
              <w14:schemeClr w14:val="tx1"/>
            </w14:solidFill>
          </w14:textFill>
        </w:rPr>
        <w:t>b.</w:t>
      </w:r>
      <w:r>
        <w:rPr>
          <w:rFonts w:hint="eastAsia"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榭南污水提升泵站，以及泵站围墙内设施设备、泵站至污水处理厂的</w:t>
      </w:r>
      <w:r>
        <w:rPr>
          <w:rFonts w:hint="eastAsia" w:ascii="宋体" w:hAnsi="宋体"/>
          <w:color w:val="000000" w:themeColor="text1"/>
          <w:sz w:val="21"/>
          <w:szCs w:val="21"/>
          <w:highlight w:val="none"/>
          <w:lang w:val="en-US" w:eastAsia="zh-CN"/>
          <w14:textFill>
            <w14:solidFill>
              <w14:schemeClr w14:val="tx1"/>
            </w14:solidFill>
          </w14:textFill>
        </w:rPr>
        <w:t>DN800管道长度10.08公里（含主材），更换跨河DN800普通钢管，长度约80米，厚度10mm，用于污水。防腐标准按现行国家标准执行</w:t>
      </w:r>
      <w:r>
        <w:rPr>
          <w:rFonts w:hint="eastAsia"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w:t>
      </w:r>
    </w:p>
    <w:p w14:paraId="5EF15F4C">
      <w:pPr>
        <w:numPr>
          <w:ilvl w:val="0"/>
          <w:numId w:val="0"/>
        </w:numPr>
        <w:spacing w:line="360" w:lineRule="auto"/>
        <w:ind w:firstLine="420" w:firstLineChars="200"/>
        <w:jc w:val="left"/>
        <w:rPr>
          <w:rFonts w:hint="eastAsia"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pPr>
      <w:r>
        <w:rPr>
          <w:rFonts w:hint="eastAsia" w:eastAsia="宋体" w:cs="Times New Roman"/>
          <w:b w:val="0"/>
          <w:bCs w:val="0"/>
          <w:color w:val="000000" w:themeColor="text1"/>
          <w:sz w:val="21"/>
          <w:szCs w:val="21"/>
          <w:highlight w:val="none"/>
          <w:lang w:val="en-US" w:eastAsia="zh-CN"/>
          <w14:textFill>
            <w14:solidFill>
              <w14:schemeClr w14:val="tx1"/>
            </w14:solidFill>
          </w14:textFill>
        </w:rPr>
        <w:t>c.</w:t>
      </w:r>
      <w:r>
        <w:rPr>
          <w:rFonts w:hint="eastAsia"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榭东北污水提升泵站设备。</w:t>
      </w:r>
    </w:p>
    <w:p w14:paraId="261E2735">
      <w:pPr>
        <w:numPr>
          <w:ilvl w:val="0"/>
          <w:numId w:val="0"/>
        </w:numPr>
        <w:spacing w:line="360" w:lineRule="auto"/>
        <w:ind w:firstLine="422" w:firstLineChars="200"/>
        <w:jc w:val="left"/>
        <w:rPr>
          <w:rFonts w:hint="eastAsia" w:ascii="Times New Roman" w:hAnsi="Times New Roman" w:eastAsia="宋体" w:cs="Times New Roman"/>
          <w:b/>
          <w:bCs/>
          <w:color w:val="000000" w:themeColor="text1"/>
          <w:sz w:val="21"/>
          <w:szCs w:val="21"/>
          <w:highlight w:val="none"/>
          <w:lang w:val="en-US" w:eastAsia="zh-CN"/>
          <w14:textFill>
            <w14:solidFill>
              <w14:schemeClr w14:val="tx1"/>
            </w14:solidFill>
          </w14:textFill>
        </w:rPr>
      </w:pPr>
      <w:r>
        <w:rPr>
          <w:rFonts w:hint="eastAsia" w:eastAsia="宋体" w:cs="Times New Roman"/>
          <w:b/>
          <w:bCs/>
          <w:color w:val="000000" w:themeColor="text1"/>
          <w:sz w:val="21"/>
          <w:szCs w:val="21"/>
          <w:highlight w:val="none"/>
          <w:lang w:val="en-US" w:eastAsia="zh-CN"/>
          <w14:textFill>
            <w14:solidFill>
              <w14:schemeClr w14:val="tx1"/>
            </w14:solidFill>
          </w14:textFill>
        </w:rPr>
        <w:t>2）服务</w:t>
      </w:r>
      <w:r>
        <w:rPr>
          <w:rFonts w:hint="eastAsia" w:ascii="Times New Roman" w:hAnsi="Times New Roman" w:eastAsia="宋体" w:cs="Times New Roman"/>
          <w:b/>
          <w:bCs/>
          <w:color w:val="000000" w:themeColor="text1"/>
          <w:sz w:val="21"/>
          <w:szCs w:val="21"/>
          <w:highlight w:val="none"/>
          <w:lang w:val="en-US" w:eastAsia="zh-CN"/>
          <w14:textFill>
            <w14:solidFill>
              <w14:schemeClr w14:val="tx1"/>
            </w14:solidFill>
          </w14:textFill>
        </w:rPr>
        <w:t>内容</w:t>
      </w:r>
    </w:p>
    <w:p w14:paraId="64C21F62">
      <w:pPr>
        <w:numPr>
          <w:ilvl w:val="0"/>
          <w:numId w:val="0"/>
        </w:numPr>
        <w:spacing w:line="360" w:lineRule="auto"/>
        <w:ind w:firstLine="420" w:firstLineChars="200"/>
        <w:jc w:val="left"/>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 xml:space="preserve"> 榭南污水提升泵站、东港南路与兴港路交叉口污水提升泵站、榭东北污水提升泵站的运行、维护、管理，包括对提升泵站、设施、管道的巡视、检查、日常维修、年度维修、抢修、抢险等，污水泵站远控系统维护，以及运行安全承担全部责任。榭南泵站，榭北兴港路泵站远控系统的日常运营维护。如有设备更换的需经采购人确认后实施，设备更换的相关费用由采购人承担。本项目设备维修指的是对设施设备进行一定的修理或调整，使其恢复原有功能或正常运行的状态。而设备更换则是指彻底替换原本的设施设备，以新的设备来替代原有设备。</w:t>
      </w:r>
    </w:p>
    <w:p w14:paraId="1A716C34">
      <w:pPr>
        <w:numPr>
          <w:ilvl w:val="0"/>
          <w:numId w:val="0"/>
        </w:numPr>
        <w:spacing w:line="360" w:lineRule="auto"/>
        <w:ind w:firstLine="420" w:firstLineChars="200"/>
        <w:jc w:val="left"/>
        <w:rPr>
          <w:rFonts w:hint="eastAsia"/>
          <w:color w:val="000000" w:themeColor="text1"/>
          <w:szCs w:val="21"/>
          <w:highlight w:val="none"/>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榭南污水提升泵站、东港南路与兴港路交叉口污水提升泵站、榭东北污水提升泵站维护系统清单（现有泵站主要设施设备清单）</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2545"/>
        <w:gridCol w:w="1220"/>
        <w:gridCol w:w="2085"/>
        <w:gridCol w:w="1805"/>
      </w:tblGrid>
      <w:tr w14:paraId="5022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25B5BD48">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序号</w:t>
            </w:r>
          </w:p>
        </w:tc>
        <w:tc>
          <w:tcPr>
            <w:tcW w:w="2545" w:type="dxa"/>
            <w:noWrap w:val="0"/>
            <w:vAlign w:val="center"/>
          </w:tcPr>
          <w:p w14:paraId="1757EAB7">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设备或材料名称</w:t>
            </w:r>
          </w:p>
        </w:tc>
        <w:tc>
          <w:tcPr>
            <w:tcW w:w="1220" w:type="dxa"/>
            <w:noWrap w:val="0"/>
            <w:vAlign w:val="center"/>
          </w:tcPr>
          <w:p w14:paraId="1E70AA83">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数量</w:t>
            </w:r>
          </w:p>
        </w:tc>
        <w:tc>
          <w:tcPr>
            <w:tcW w:w="2085" w:type="dxa"/>
            <w:noWrap w:val="0"/>
            <w:vAlign w:val="center"/>
          </w:tcPr>
          <w:p w14:paraId="5821C6B8">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型号\技术规格</w:t>
            </w:r>
          </w:p>
        </w:tc>
        <w:tc>
          <w:tcPr>
            <w:tcW w:w="1805" w:type="dxa"/>
            <w:noWrap w:val="0"/>
            <w:vAlign w:val="center"/>
          </w:tcPr>
          <w:p w14:paraId="5201EE61">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b/>
                <w:bCs/>
                <w:color w:val="000000" w:themeColor="text1"/>
                <w:sz w:val="21"/>
                <w:szCs w:val="21"/>
                <w:highlight w:val="none"/>
                <w:lang w:val="en-US" w:eastAsia="zh-CN"/>
                <w14:textFill>
                  <w14:solidFill>
                    <w14:schemeClr w14:val="tx1"/>
                  </w14:solidFill>
                </w14:textFill>
              </w:rPr>
              <w:t>功率</w:t>
            </w:r>
          </w:p>
        </w:tc>
      </w:tr>
      <w:tr w14:paraId="7FC0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16" w:type="dxa"/>
            <w:gridSpan w:val="5"/>
            <w:noWrap w:val="0"/>
            <w:vAlign w:val="top"/>
          </w:tcPr>
          <w:p w14:paraId="48880264">
            <w:pPr>
              <w:numPr>
                <w:ilvl w:val="0"/>
                <w:numId w:val="0"/>
              </w:numPr>
              <w:spacing w:line="360" w:lineRule="auto"/>
              <w:jc w:val="center"/>
              <w:rPr>
                <w:rFonts w:hint="eastAsia"/>
                <w:color w:val="000000" w:themeColor="text1"/>
                <w:szCs w:val="21"/>
                <w:highlight w:val="none"/>
                <w:vertAlign w:val="baseline"/>
                <w:lang w:val="en-US" w:eastAsia="zh-CN"/>
                <w14:textFill>
                  <w14:solidFill>
                    <w14:schemeClr w14:val="tx1"/>
                  </w14:solidFill>
                </w14:textFill>
              </w:rPr>
            </w:pPr>
            <w:r>
              <w:rPr>
                <w:rFonts w:hint="eastAsia" w:ascii="宋体" w:hAnsi="宋体" w:eastAsia="宋体" w:cs="Times New Roman"/>
                <w:b/>
                <w:bCs/>
                <w:color w:val="000000" w:themeColor="text1"/>
                <w:sz w:val="21"/>
                <w:szCs w:val="21"/>
                <w:highlight w:val="none"/>
                <w14:textFill>
                  <w14:solidFill>
                    <w14:schemeClr w14:val="tx1"/>
                  </w14:solidFill>
                </w14:textFill>
              </w:rPr>
              <w:t>东港南路与兴港路交叉口污水提升泵站</w:t>
            </w:r>
          </w:p>
        </w:tc>
      </w:tr>
      <w:tr w14:paraId="54E9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4A747AF4">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545" w:type="dxa"/>
            <w:noWrap w:val="0"/>
            <w:vAlign w:val="center"/>
          </w:tcPr>
          <w:p w14:paraId="0AAFC77B">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预装式变电站</w:t>
            </w:r>
          </w:p>
        </w:tc>
        <w:tc>
          <w:tcPr>
            <w:tcW w:w="1220" w:type="dxa"/>
            <w:noWrap w:val="0"/>
            <w:vAlign w:val="center"/>
          </w:tcPr>
          <w:p w14:paraId="6F7C581F">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05C29940">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YBM-100-10/0.4</w:t>
            </w:r>
          </w:p>
        </w:tc>
        <w:tc>
          <w:tcPr>
            <w:tcW w:w="1805" w:type="dxa"/>
            <w:noWrap w:val="0"/>
            <w:vAlign w:val="center"/>
          </w:tcPr>
          <w:p w14:paraId="3D798157">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p>
        </w:tc>
      </w:tr>
      <w:tr w14:paraId="6A99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3F457F81">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2</w:t>
            </w:r>
          </w:p>
        </w:tc>
        <w:tc>
          <w:tcPr>
            <w:tcW w:w="2545" w:type="dxa"/>
            <w:noWrap w:val="0"/>
            <w:vAlign w:val="center"/>
          </w:tcPr>
          <w:p w14:paraId="2F35A965">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柴  油  机</w:t>
            </w:r>
          </w:p>
        </w:tc>
        <w:tc>
          <w:tcPr>
            <w:tcW w:w="1220" w:type="dxa"/>
            <w:noWrap w:val="0"/>
            <w:vAlign w:val="center"/>
          </w:tcPr>
          <w:p w14:paraId="75D3B223">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16E0DAB2">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HT4106ZD</w:t>
            </w:r>
          </w:p>
        </w:tc>
        <w:tc>
          <w:tcPr>
            <w:tcW w:w="1805" w:type="dxa"/>
            <w:noWrap w:val="0"/>
            <w:vAlign w:val="center"/>
          </w:tcPr>
          <w:p w14:paraId="3CEE0B47">
            <w:pPr>
              <w:pStyle w:val="142"/>
              <w:widowControl w:val="0"/>
              <w:spacing w:afterLines="0" w:line="400" w:lineRule="exact"/>
              <w:ind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50kw</w:t>
            </w:r>
          </w:p>
        </w:tc>
      </w:tr>
      <w:tr w14:paraId="35EC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262D6CDC">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545" w:type="dxa"/>
            <w:noWrap w:val="0"/>
            <w:vAlign w:val="center"/>
          </w:tcPr>
          <w:p w14:paraId="2B350FE0">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等离子除臭设备</w:t>
            </w:r>
          </w:p>
        </w:tc>
        <w:tc>
          <w:tcPr>
            <w:tcW w:w="1220" w:type="dxa"/>
            <w:noWrap w:val="0"/>
            <w:vAlign w:val="center"/>
          </w:tcPr>
          <w:p w14:paraId="19D228AD">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2</w:t>
            </w:r>
          </w:p>
        </w:tc>
        <w:tc>
          <w:tcPr>
            <w:tcW w:w="2085" w:type="dxa"/>
            <w:noWrap w:val="0"/>
            <w:vAlign w:val="center"/>
          </w:tcPr>
          <w:p w14:paraId="10302199">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DFSD-DLZ-1000</w:t>
            </w:r>
          </w:p>
        </w:tc>
        <w:tc>
          <w:tcPr>
            <w:tcW w:w="1805" w:type="dxa"/>
            <w:noWrap w:val="0"/>
            <w:vAlign w:val="center"/>
          </w:tcPr>
          <w:p w14:paraId="52D8C8AB">
            <w:pPr>
              <w:pStyle w:val="142"/>
              <w:widowControl w:val="0"/>
              <w:spacing w:afterLines="0" w:line="400" w:lineRule="exact"/>
              <w:ind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2kw</w:t>
            </w:r>
          </w:p>
        </w:tc>
      </w:tr>
      <w:tr w14:paraId="58F42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469F0438">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4</w:t>
            </w:r>
          </w:p>
        </w:tc>
        <w:tc>
          <w:tcPr>
            <w:tcW w:w="2545" w:type="dxa"/>
            <w:noWrap w:val="0"/>
            <w:vAlign w:val="center"/>
          </w:tcPr>
          <w:p w14:paraId="1D009803">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电磁流量计</w:t>
            </w:r>
          </w:p>
        </w:tc>
        <w:tc>
          <w:tcPr>
            <w:tcW w:w="1220" w:type="dxa"/>
            <w:noWrap w:val="0"/>
            <w:vAlign w:val="center"/>
          </w:tcPr>
          <w:p w14:paraId="1E650921">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2CE716FE">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LUT420</w:t>
            </w:r>
          </w:p>
        </w:tc>
        <w:tc>
          <w:tcPr>
            <w:tcW w:w="1805" w:type="dxa"/>
            <w:noWrap w:val="0"/>
            <w:vAlign w:val="center"/>
          </w:tcPr>
          <w:p w14:paraId="351E83DD">
            <w:pPr>
              <w:pStyle w:val="142"/>
              <w:widowControl w:val="0"/>
              <w:spacing w:afterLines="0" w:line="400" w:lineRule="exact"/>
              <w:ind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p>
        </w:tc>
      </w:tr>
      <w:tr w14:paraId="0A4D3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67C28A55">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5</w:t>
            </w:r>
          </w:p>
        </w:tc>
        <w:tc>
          <w:tcPr>
            <w:tcW w:w="2545" w:type="dxa"/>
            <w:noWrap w:val="0"/>
            <w:vAlign w:val="center"/>
          </w:tcPr>
          <w:p w14:paraId="63C5F960">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电动葫芦</w:t>
            </w:r>
          </w:p>
        </w:tc>
        <w:tc>
          <w:tcPr>
            <w:tcW w:w="1220" w:type="dxa"/>
            <w:noWrap w:val="0"/>
            <w:vAlign w:val="center"/>
          </w:tcPr>
          <w:p w14:paraId="05870B9F">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2</w:t>
            </w:r>
          </w:p>
        </w:tc>
        <w:tc>
          <w:tcPr>
            <w:tcW w:w="2085" w:type="dxa"/>
            <w:noWrap w:val="0"/>
            <w:vAlign w:val="center"/>
          </w:tcPr>
          <w:p w14:paraId="47BA4D76">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CD1</w:t>
            </w:r>
          </w:p>
        </w:tc>
        <w:tc>
          <w:tcPr>
            <w:tcW w:w="1805" w:type="dxa"/>
            <w:noWrap w:val="0"/>
            <w:vAlign w:val="center"/>
          </w:tcPr>
          <w:p w14:paraId="500FD0A9">
            <w:pPr>
              <w:pStyle w:val="142"/>
              <w:widowControl w:val="0"/>
              <w:spacing w:afterLines="0" w:line="400" w:lineRule="exact"/>
              <w:ind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0.4kw</w:t>
            </w:r>
          </w:p>
        </w:tc>
      </w:tr>
      <w:tr w14:paraId="7D21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425E46DB">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6</w:t>
            </w:r>
          </w:p>
        </w:tc>
        <w:tc>
          <w:tcPr>
            <w:tcW w:w="2545" w:type="dxa"/>
            <w:noWrap w:val="0"/>
            <w:vAlign w:val="center"/>
          </w:tcPr>
          <w:p w14:paraId="30B0BC96">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粉碎机</w:t>
            </w:r>
          </w:p>
        </w:tc>
        <w:tc>
          <w:tcPr>
            <w:tcW w:w="1220" w:type="dxa"/>
            <w:noWrap w:val="0"/>
            <w:vAlign w:val="center"/>
          </w:tcPr>
          <w:p w14:paraId="28ECC9D9">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2</w:t>
            </w:r>
          </w:p>
        </w:tc>
        <w:tc>
          <w:tcPr>
            <w:tcW w:w="2085" w:type="dxa"/>
            <w:noWrap w:val="0"/>
            <w:vAlign w:val="center"/>
          </w:tcPr>
          <w:p w14:paraId="69C2D1D6">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FS800x300</w:t>
            </w:r>
          </w:p>
        </w:tc>
        <w:tc>
          <w:tcPr>
            <w:tcW w:w="1805" w:type="dxa"/>
            <w:noWrap w:val="0"/>
            <w:vAlign w:val="center"/>
          </w:tcPr>
          <w:p w14:paraId="3A8917DE">
            <w:pPr>
              <w:pStyle w:val="142"/>
              <w:widowControl w:val="0"/>
              <w:spacing w:afterLines="0" w:line="400" w:lineRule="exact"/>
              <w:ind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p>
        </w:tc>
      </w:tr>
      <w:tr w14:paraId="52E4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05DBD902">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7</w:t>
            </w:r>
          </w:p>
        </w:tc>
        <w:tc>
          <w:tcPr>
            <w:tcW w:w="2545" w:type="dxa"/>
            <w:noWrap w:val="0"/>
            <w:vAlign w:val="center"/>
          </w:tcPr>
          <w:p w14:paraId="035B8E73">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不锈钢闸门</w:t>
            </w:r>
          </w:p>
        </w:tc>
        <w:tc>
          <w:tcPr>
            <w:tcW w:w="1220" w:type="dxa"/>
            <w:noWrap w:val="0"/>
            <w:vAlign w:val="center"/>
          </w:tcPr>
          <w:p w14:paraId="4C4F857B">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2</w:t>
            </w:r>
          </w:p>
        </w:tc>
        <w:tc>
          <w:tcPr>
            <w:tcW w:w="2085" w:type="dxa"/>
            <w:noWrap w:val="0"/>
            <w:vAlign w:val="center"/>
          </w:tcPr>
          <w:p w14:paraId="19AC0965">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800x800</w:t>
            </w:r>
          </w:p>
        </w:tc>
        <w:tc>
          <w:tcPr>
            <w:tcW w:w="1805" w:type="dxa"/>
            <w:noWrap w:val="0"/>
            <w:vAlign w:val="center"/>
          </w:tcPr>
          <w:p w14:paraId="64E21149">
            <w:pPr>
              <w:pStyle w:val="142"/>
              <w:widowControl w:val="0"/>
              <w:spacing w:afterLines="0" w:line="400" w:lineRule="exact"/>
              <w:ind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1.1kw</w:t>
            </w:r>
          </w:p>
        </w:tc>
      </w:tr>
      <w:tr w14:paraId="4DF0D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5CCEFED3">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8</w:t>
            </w:r>
          </w:p>
        </w:tc>
        <w:tc>
          <w:tcPr>
            <w:tcW w:w="2545" w:type="dxa"/>
            <w:noWrap w:val="0"/>
            <w:vAlign w:val="center"/>
          </w:tcPr>
          <w:p w14:paraId="1157E083">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格栅机</w:t>
            </w:r>
          </w:p>
        </w:tc>
        <w:tc>
          <w:tcPr>
            <w:tcW w:w="1220" w:type="dxa"/>
            <w:noWrap w:val="0"/>
            <w:vAlign w:val="center"/>
          </w:tcPr>
          <w:p w14:paraId="3BC8B7EF">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2</w:t>
            </w:r>
          </w:p>
        </w:tc>
        <w:tc>
          <w:tcPr>
            <w:tcW w:w="2085" w:type="dxa"/>
            <w:noWrap w:val="0"/>
            <w:vAlign w:val="center"/>
          </w:tcPr>
          <w:p w14:paraId="52D23C6A">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FS300X250 </w:t>
            </w:r>
          </w:p>
        </w:tc>
        <w:tc>
          <w:tcPr>
            <w:tcW w:w="1805" w:type="dxa"/>
            <w:noWrap w:val="0"/>
            <w:vAlign w:val="center"/>
          </w:tcPr>
          <w:p w14:paraId="2EFA63B2">
            <w:pPr>
              <w:pStyle w:val="142"/>
              <w:widowControl w:val="0"/>
              <w:spacing w:afterLines="0" w:line="400" w:lineRule="exact"/>
              <w:ind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p>
        </w:tc>
      </w:tr>
      <w:tr w14:paraId="75EC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649B11D7">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9</w:t>
            </w:r>
          </w:p>
        </w:tc>
        <w:tc>
          <w:tcPr>
            <w:tcW w:w="2545" w:type="dxa"/>
            <w:noWrap w:val="0"/>
            <w:vAlign w:val="center"/>
          </w:tcPr>
          <w:p w14:paraId="1505DB2B">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潜污泵</w:t>
            </w:r>
          </w:p>
        </w:tc>
        <w:tc>
          <w:tcPr>
            <w:tcW w:w="1220" w:type="dxa"/>
            <w:noWrap w:val="0"/>
            <w:vAlign w:val="center"/>
          </w:tcPr>
          <w:p w14:paraId="5EF243F1">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2F820274">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200WQ250-11-15</w:t>
            </w:r>
          </w:p>
        </w:tc>
        <w:tc>
          <w:tcPr>
            <w:tcW w:w="1805" w:type="dxa"/>
            <w:noWrap w:val="0"/>
            <w:vAlign w:val="center"/>
          </w:tcPr>
          <w:p w14:paraId="59F675FD">
            <w:pPr>
              <w:pStyle w:val="142"/>
              <w:widowControl w:val="0"/>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15kw</w:t>
            </w:r>
          </w:p>
        </w:tc>
      </w:tr>
      <w:tr w14:paraId="2939E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7ADA1447">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10</w:t>
            </w:r>
          </w:p>
        </w:tc>
        <w:tc>
          <w:tcPr>
            <w:tcW w:w="2545" w:type="dxa"/>
            <w:noWrap w:val="0"/>
            <w:vAlign w:val="center"/>
          </w:tcPr>
          <w:p w14:paraId="661F2239">
            <w:pPr>
              <w:pStyle w:val="142"/>
              <w:widowControl w:val="0"/>
              <w:spacing w:afterLines="0" w:line="400" w:lineRule="exact"/>
              <w:ind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PLC模块</w:t>
            </w:r>
          </w:p>
        </w:tc>
        <w:tc>
          <w:tcPr>
            <w:tcW w:w="1220" w:type="dxa"/>
            <w:noWrap w:val="0"/>
            <w:vAlign w:val="center"/>
          </w:tcPr>
          <w:p w14:paraId="0C18DC01">
            <w:pPr>
              <w:pStyle w:val="142"/>
              <w:widowControl w:val="0"/>
              <w:spacing w:afterLines="0" w:line="400" w:lineRule="exact"/>
              <w:ind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w:t>
            </w:r>
          </w:p>
        </w:tc>
        <w:tc>
          <w:tcPr>
            <w:tcW w:w="2085" w:type="dxa"/>
            <w:noWrap w:val="0"/>
            <w:vAlign w:val="center"/>
          </w:tcPr>
          <w:p w14:paraId="0AA7651D">
            <w:pPr>
              <w:pStyle w:val="142"/>
              <w:widowControl w:val="0"/>
              <w:spacing w:afterLines="0" w:line="400" w:lineRule="exact"/>
              <w:ind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S7-200</w:t>
            </w:r>
          </w:p>
        </w:tc>
        <w:tc>
          <w:tcPr>
            <w:tcW w:w="1805" w:type="dxa"/>
            <w:noWrap w:val="0"/>
            <w:vAlign w:val="center"/>
          </w:tcPr>
          <w:p w14:paraId="4187DDC2">
            <w:pPr>
              <w:pStyle w:val="142"/>
              <w:widowControl w:val="0"/>
              <w:numPr>
                <w:ilvl w:val="0"/>
                <w:numId w:val="0"/>
              </w:numPr>
              <w:spacing w:afterLines="0" w:line="400" w:lineRule="exact"/>
              <w:ind w:left="0" w:leftChars="0" w:firstLine="0" w:firstLineChars="0"/>
              <w:jc w:val="center"/>
              <w:rPr>
                <w:rFonts w:hint="eastAsia"/>
                <w:color w:val="000000" w:themeColor="text1"/>
                <w:sz w:val="21"/>
                <w:szCs w:val="21"/>
                <w:highlight w:val="none"/>
                <w:vertAlign w:val="baseline"/>
                <w:lang w:val="en-US" w:eastAsia="zh-CN"/>
                <w14:textFill>
                  <w14:solidFill>
                    <w14:schemeClr w14:val="tx1"/>
                  </w14:solidFill>
                </w14:textFill>
              </w:rPr>
            </w:pPr>
          </w:p>
        </w:tc>
      </w:tr>
      <w:tr w14:paraId="4759E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1D124890">
            <w:pPr>
              <w:pStyle w:val="142"/>
              <w:widowControl w:val="0"/>
              <w:numPr>
                <w:ilvl w:val="0"/>
                <w:numId w:val="0"/>
              </w:numPr>
              <w:spacing w:afterLines="0" w:line="400" w:lineRule="exact"/>
              <w:ind w:left="0" w:leftChars="0" w:firstLine="0" w:firstLineChars="0"/>
              <w:jc w:val="center"/>
              <w:rPr>
                <w:rFonts w:hint="default"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11</w:t>
            </w:r>
          </w:p>
        </w:tc>
        <w:tc>
          <w:tcPr>
            <w:tcW w:w="7655" w:type="dxa"/>
            <w:gridSpan w:val="4"/>
            <w:noWrap w:val="0"/>
            <w:vAlign w:val="center"/>
          </w:tcPr>
          <w:p w14:paraId="3A84516B">
            <w:pPr>
              <w:pStyle w:val="142"/>
              <w:widowControl w:val="0"/>
              <w:numPr>
                <w:ilvl w:val="0"/>
                <w:numId w:val="0"/>
              </w:numPr>
              <w:spacing w:afterLines="0" w:line="400" w:lineRule="exact"/>
              <w:ind w:left="0" w:leftChars="0" w:firstLine="0" w:firstLineChars="0"/>
              <w:jc w:val="center"/>
              <w:rPr>
                <w:rFonts w:hint="default"/>
                <w:color w:val="000000" w:themeColor="text1"/>
                <w:sz w:val="21"/>
                <w:szCs w:val="21"/>
                <w:highlight w:val="none"/>
                <w:vertAlign w:val="baseli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泵站占地约1000平方米，管理用房一幢及配套附属设施，</w:t>
            </w:r>
            <w:r>
              <w:rPr>
                <w:rFonts w:hint="eastAsia" w:ascii="宋体" w:hAnsi="宋体"/>
                <w:color w:val="000000" w:themeColor="text1"/>
                <w:sz w:val="21"/>
                <w:szCs w:val="21"/>
                <w:highlight w:val="none"/>
                <w:lang w:val="en-US" w:eastAsia="zh-CN"/>
                <w14:textFill>
                  <w14:solidFill>
                    <w14:schemeClr w14:val="tx1"/>
                  </w14:solidFill>
                </w14:textFill>
              </w:rPr>
              <w:t>于2016年12月投入使用</w:t>
            </w:r>
          </w:p>
        </w:tc>
      </w:tr>
      <w:tr w14:paraId="3769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16" w:type="dxa"/>
            <w:gridSpan w:val="5"/>
            <w:noWrap w:val="0"/>
            <w:vAlign w:val="center"/>
          </w:tcPr>
          <w:p w14:paraId="5187F955">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榭南污水提升泵站</w:t>
            </w:r>
          </w:p>
        </w:tc>
      </w:tr>
      <w:tr w14:paraId="0867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199AF57D">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545" w:type="dxa"/>
            <w:noWrap w:val="0"/>
            <w:vAlign w:val="center"/>
          </w:tcPr>
          <w:p w14:paraId="5CEB6973">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1#出水电动碟阀</w:t>
            </w:r>
          </w:p>
        </w:tc>
        <w:tc>
          <w:tcPr>
            <w:tcW w:w="1220" w:type="dxa"/>
            <w:noWrap w:val="0"/>
            <w:vAlign w:val="center"/>
          </w:tcPr>
          <w:p w14:paraId="5978D755">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47016C4D">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D971X-10</w:t>
            </w:r>
          </w:p>
        </w:tc>
        <w:tc>
          <w:tcPr>
            <w:tcW w:w="1805" w:type="dxa"/>
            <w:noWrap w:val="0"/>
            <w:vAlign w:val="center"/>
          </w:tcPr>
          <w:p w14:paraId="4D360DD7">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0.55kw</w:t>
            </w:r>
          </w:p>
        </w:tc>
      </w:tr>
      <w:tr w14:paraId="6386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2FD66A60">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2</w:t>
            </w:r>
          </w:p>
        </w:tc>
        <w:tc>
          <w:tcPr>
            <w:tcW w:w="2545" w:type="dxa"/>
            <w:noWrap w:val="0"/>
            <w:vAlign w:val="center"/>
          </w:tcPr>
          <w:p w14:paraId="7A35F030">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1#出水止回阀 </w:t>
            </w:r>
          </w:p>
        </w:tc>
        <w:tc>
          <w:tcPr>
            <w:tcW w:w="1220" w:type="dxa"/>
            <w:noWrap w:val="0"/>
            <w:vAlign w:val="center"/>
          </w:tcPr>
          <w:p w14:paraId="651BE269">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2F56A905">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DHH44X  </w:t>
            </w:r>
          </w:p>
        </w:tc>
        <w:tc>
          <w:tcPr>
            <w:tcW w:w="1805" w:type="dxa"/>
            <w:noWrap w:val="0"/>
            <w:vAlign w:val="center"/>
          </w:tcPr>
          <w:p w14:paraId="2FA3A9E0">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r>
      <w:tr w14:paraId="06B6B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6BA63DDD">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545" w:type="dxa"/>
            <w:noWrap w:val="0"/>
            <w:vAlign w:val="center"/>
          </w:tcPr>
          <w:p w14:paraId="561DE179">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1#进水电动碟阀</w:t>
            </w:r>
          </w:p>
        </w:tc>
        <w:tc>
          <w:tcPr>
            <w:tcW w:w="1220" w:type="dxa"/>
            <w:noWrap w:val="0"/>
            <w:vAlign w:val="center"/>
          </w:tcPr>
          <w:p w14:paraId="1A31EDA8">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4B7208E7">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D971X-10 </w:t>
            </w:r>
          </w:p>
        </w:tc>
        <w:tc>
          <w:tcPr>
            <w:tcW w:w="1805" w:type="dxa"/>
            <w:noWrap w:val="0"/>
            <w:vAlign w:val="center"/>
          </w:tcPr>
          <w:p w14:paraId="534269A3">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0.55kw</w:t>
            </w:r>
          </w:p>
        </w:tc>
      </w:tr>
      <w:tr w14:paraId="70512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56DB40FF">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4</w:t>
            </w:r>
          </w:p>
        </w:tc>
        <w:tc>
          <w:tcPr>
            <w:tcW w:w="2545" w:type="dxa"/>
            <w:noWrap w:val="0"/>
            <w:vAlign w:val="center"/>
          </w:tcPr>
          <w:p w14:paraId="465081C7">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1#进水立式污水泵</w:t>
            </w:r>
          </w:p>
        </w:tc>
        <w:tc>
          <w:tcPr>
            <w:tcW w:w="1220" w:type="dxa"/>
            <w:noWrap w:val="0"/>
            <w:vAlign w:val="center"/>
          </w:tcPr>
          <w:p w14:paraId="5DF4A696">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58C128FE">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WLB500-17-45 </w:t>
            </w:r>
          </w:p>
        </w:tc>
        <w:tc>
          <w:tcPr>
            <w:tcW w:w="1805" w:type="dxa"/>
            <w:noWrap w:val="0"/>
            <w:vAlign w:val="center"/>
          </w:tcPr>
          <w:p w14:paraId="3AB9BE3A">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45kw</w:t>
            </w:r>
          </w:p>
        </w:tc>
      </w:tr>
      <w:tr w14:paraId="09F56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164CE18E">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5</w:t>
            </w:r>
          </w:p>
        </w:tc>
        <w:tc>
          <w:tcPr>
            <w:tcW w:w="2545" w:type="dxa"/>
            <w:noWrap w:val="0"/>
            <w:vAlign w:val="center"/>
          </w:tcPr>
          <w:p w14:paraId="2F7C797B">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2#出水电动碟阀</w:t>
            </w:r>
          </w:p>
        </w:tc>
        <w:tc>
          <w:tcPr>
            <w:tcW w:w="1220" w:type="dxa"/>
            <w:noWrap w:val="0"/>
            <w:vAlign w:val="center"/>
          </w:tcPr>
          <w:p w14:paraId="7FF579A2">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7BBCE2D3">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D971X-10</w:t>
            </w:r>
          </w:p>
        </w:tc>
        <w:tc>
          <w:tcPr>
            <w:tcW w:w="1805" w:type="dxa"/>
            <w:noWrap w:val="0"/>
            <w:vAlign w:val="center"/>
          </w:tcPr>
          <w:p w14:paraId="75663C27">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0.55kw</w:t>
            </w:r>
          </w:p>
        </w:tc>
      </w:tr>
      <w:tr w14:paraId="08956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1EFA1D8D">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6</w:t>
            </w:r>
          </w:p>
        </w:tc>
        <w:tc>
          <w:tcPr>
            <w:tcW w:w="2545" w:type="dxa"/>
            <w:noWrap w:val="0"/>
            <w:vAlign w:val="center"/>
          </w:tcPr>
          <w:p w14:paraId="67D99310">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2#出水止回阀</w:t>
            </w:r>
          </w:p>
        </w:tc>
        <w:tc>
          <w:tcPr>
            <w:tcW w:w="1220" w:type="dxa"/>
            <w:noWrap w:val="0"/>
            <w:vAlign w:val="center"/>
          </w:tcPr>
          <w:p w14:paraId="7247A532">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76454542">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DHH44X</w:t>
            </w:r>
          </w:p>
        </w:tc>
        <w:tc>
          <w:tcPr>
            <w:tcW w:w="1805" w:type="dxa"/>
            <w:noWrap w:val="0"/>
            <w:vAlign w:val="center"/>
          </w:tcPr>
          <w:p w14:paraId="10E0352B">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r>
      <w:tr w14:paraId="4DE3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410E654D">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7</w:t>
            </w:r>
          </w:p>
        </w:tc>
        <w:tc>
          <w:tcPr>
            <w:tcW w:w="2545" w:type="dxa"/>
            <w:noWrap w:val="0"/>
            <w:vAlign w:val="center"/>
          </w:tcPr>
          <w:p w14:paraId="5485989A">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2#进水电动碟阀</w:t>
            </w:r>
          </w:p>
        </w:tc>
        <w:tc>
          <w:tcPr>
            <w:tcW w:w="1220" w:type="dxa"/>
            <w:noWrap w:val="0"/>
            <w:vAlign w:val="center"/>
          </w:tcPr>
          <w:p w14:paraId="11F01615">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754A3EC6">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D971X-10</w:t>
            </w:r>
          </w:p>
        </w:tc>
        <w:tc>
          <w:tcPr>
            <w:tcW w:w="1805" w:type="dxa"/>
            <w:noWrap w:val="0"/>
            <w:vAlign w:val="center"/>
          </w:tcPr>
          <w:p w14:paraId="0730F970">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0.55kw</w:t>
            </w:r>
          </w:p>
        </w:tc>
      </w:tr>
      <w:tr w14:paraId="44CC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04DD8A0C">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8</w:t>
            </w:r>
          </w:p>
        </w:tc>
        <w:tc>
          <w:tcPr>
            <w:tcW w:w="2545" w:type="dxa"/>
            <w:noWrap w:val="0"/>
            <w:vAlign w:val="center"/>
          </w:tcPr>
          <w:p w14:paraId="1C6FEB88">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2#进水立式污水泵 </w:t>
            </w:r>
          </w:p>
        </w:tc>
        <w:tc>
          <w:tcPr>
            <w:tcW w:w="1220" w:type="dxa"/>
            <w:noWrap w:val="0"/>
            <w:vAlign w:val="center"/>
          </w:tcPr>
          <w:p w14:paraId="5008DE8A">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7EF9DBE8">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WLB500-17-45</w:t>
            </w:r>
          </w:p>
        </w:tc>
        <w:tc>
          <w:tcPr>
            <w:tcW w:w="1805" w:type="dxa"/>
            <w:noWrap w:val="0"/>
            <w:vAlign w:val="center"/>
          </w:tcPr>
          <w:p w14:paraId="117F963F">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45kw</w:t>
            </w:r>
          </w:p>
        </w:tc>
      </w:tr>
      <w:tr w14:paraId="1899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15A53ED0">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9</w:t>
            </w:r>
          </w:p>
        </w:tc>
        <w:tc>
          <w:tcPr>
            <w:tcW w:w="2545" w:type="dxa"/>
            <w:noWrap w:val="0"/>
            <w:vAlign w:val="center"/>
          </w:tcPr>
          <w:p w14:paraId="2CB54388">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3#出水手动碟阀 </w:t>
            </w:r>
          </w:p>
        </w:tc>
        <w:tc>
          <w:tcPr>
            <w:tcW w:w="1220" w:type="dxa"/>
            <w:noWrap w:val="0"/>
            <w:vAlign w:val="center"/>
          </w:tcPr>
          <w:p w14:paraId="31C136C7">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5EC90971">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D371X-10 </w:t>
            </w:r>
          </w:p>
        </w:tc>
        <w:tc>
          <w:tcPr>
            <w:tcW w:w="1805" w:type="dxa"/>
            <w:noWrap w:val="0"/>
            <w:vAlign w:val="center"/>
          </w:tcPr>
          <w:p w14:paraId="41C86F2F">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r>
      <w:tr w14:paraId="72E44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2BA443B9">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10</w:t>
            </w:r>
          </w:p>
        </w:tc>
        <w:tc>
          <w:tcPr>
            <w:tcW w:w="2545" w:type="dxa"/>
            <w:noWrap w:val="0"/>
            <w:vAlign w:val="center"/>
          </w:tcPr>
          <w:p w14:paraId="7A89C7B4">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3#出水止回阀 </w:t>
            </w:r>
          </w:p>
        </w:tc>
        <w:tc>
          <w:tcPr>
            <w:tcW w:w="1220" w:type="dxa"/>
            <w:noWrap w:val="0"/>
            <w:vAlign w:val="center"/>
          </w:tcPr>
          <w:p w14:paraId="3B738E23">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34A715ED">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DHH44X </w:t>
            </w:r>
          </w:p>
        </w:tc>
        <w:tc>
          <w:tcPr>
            <w:tcW w:w="1805" w:type="dxa"/>
            <w:noWrap w:val="0"/>
            <w:vAlign w:val="center"/>
          </w:tcPr>
          <w:p w14:paraId="011784A5">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r>
      <w:tr w14:paraId="3BD9B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4ADCCCE8">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11</w:t>
            </w:r>
          </w:p>
        </w:tc>
        <w:tc>
          <w:tcPr>
            <w:tcW w:w="2545" w:type="dxa"/>
            <w:noWrap w:val="0"/>
            <w:vAlign w:val="center"/>
          </w:tcPr>
          <w:p w14:paraId="49126902">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3#进水电动碟阀 </w:t>
            </w:r>
          </w:p>
        </w:tc>
        <w:tc>
          <w:tcPr>
            <w:tcW w:w="1220" w:type="dxa"/>
            <w:noWrap w:val="0"/>
            <w:vAlign w:val="center"/>
          </w:tcPr>
          <w:p w14:paraId="68863F29">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4D77FD48">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D971X-10 </w:t>
            </w:r>
          </w:p>
        </w:tc>
        <w:tc>
          <w:tcPr>
            <w:tcW w:w="1805" w:type="dxa"/>
            <w:noWrap w:val="0"/>
            <w:vAlign w:val="center"/>
          </w:tcPr>
          <w:p w14:paraId="724EE22E">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0.55kw</w:t>
            </w:r>
          </w:p>
        </w:tc>
      </w:tr>
      <w:tr w14:paraId="04CC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0F8A3680">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12</w:t>
            </w:r>
          </w:p>
        </w:tc>
        <w:tc>
          <w:tcPr>
            <w:tcW w:w="2545" w:type="dxa"/>
            <w:noWrap w:val="0"/>
            <w:vAlign w:val="center"/>
          </w:tcPr>
          <w:p w14:paraId="5BE25ED9">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3#进水立式污水泵</w:t>
            </w:r>
          </w:p>
        </w:tc>
        <w:tc>
          <w:tcPr>
            <w:tcW w:w="1220" w:type="dxa"/>
            <w:noWrap w:val="0"/>
            <w:vAlign w:val="center"/>
          </w:tcPr>
          <w:p w14:paraId="5AC15F4C">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1C524C22">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WLB500-17-45</w:t>
            </w:r>
          </w:p>
        </w:tc>
        <w:tc>
          <w:tcPr>
            <w:tcW w:w="1805" w:type="dxa"/>
            <w:noWrap w:val="0"/>
            <w:vAlign w:val="center"/>
          </w:tcPr>
          <w:p w14:paraId="28521558">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45kw</w:t>
            </w:r>
          </w:p>
        </w:tc>
      </w:tr>
      <w:tr w14:paraId="651D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31E0D68C">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13</w:t>
            </w:r>
          </w:p>
        </w:tc>
        <w:tc>
          <w:tcPr>
            <w:tcW w:w="2545" w:type="dxa"/>
            <w:noWrap w:val="0"/>
            <w:vAlign w:val="center"/>
          </w:tcPr>
          <w:p w14:paraId="41F77681">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单轨电动葫芦 </w:t>
            </w:r>
          </w:p>
        </w:tc>
        <w:tc>
          <w:tcPr>
            <w:tcW w:w="1220" w:type="dxa"/>
            <w:noWrap w:val="0"/>
            <w:vAlign w:val="center"/>
          </w:tcPr>
          <w:p w14:paraId="3D68C3EF">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53B1490C">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CD1</w:t>
            </w:r>
          </w:p>
        </w:tc>
        <w:tc>
          <w:tcPr>
            <w:tcW w:w="1805" w:type="dxa"/>
            <w:noWrap w:val="0"/>
            <w:vAlign w:val="center"/>
          </w:tcPr>
          <w:p w14:paraId="3F5F5064">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r>
      <w:tr w14:paraId="2CDF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4489EDAA">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14</w:t>
            </w:r>
          </w:p>
        </w:tc>
        <w:tc>
          <w:tcPr>
            <w:tcW w:w="2545" w:type="dxa"/>
            <w:noWrap w:val="0"/>
            <w:vAlign w:val="center"/>
          </w:tcPr>
          <w:p w14:paraId="0472C151">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回转式格栅除污机</w:t>
            </w:r>
          </w:p>
        </w:tc>
        <w:tc>
          <w:tcPr>
            <w:tcW w:w="1220" w:type="dxa"/>
            <w:noWrap w:val="0"/>
            <w:vAlign w:val="center"/>
          </w:tcPr>
          <w:p w14:paraId="7F3570BE">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2BC624CE">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HG2000 </w:t>
            </w:r>
          </w:p>
        </w:tc>
        <w:tc>
          <w:tcPr>
            <w:tcW w:w="1805" w:type="dxa"/>
            <w:noWrap w:val="0"/>
            <w:vAlign w:val="center"/>
          </w:tcPr>
          <w:p w14:paraId="575B7B80">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1.5kw</w:t>
            </w:r>
          </w:p>
        </w:tc>
      </w:tr>
      <w:tr w14:paraId="3985F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0A74ED27">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15</w:t>
            </w:r>
          </w:p>
        </w:tc>
        <w:tc>
          <w:tcPr>
            <w:tcW w:w="2545" w:type="dxa"/>
            <w:noWrap w:val="0"/>
            <w:vAlign w:val="center"/>
          </w:tcPr>
          <w:p w14:paraId="336B326E">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螺杆式起闭机 </w:t>
            </w:r>
          </w:p>
        </w:tc>
        <w:tc>
          <w:tcPr>
            <w:tcW w:w="1220" w:type="dxa"/>
            <w:noWrap w:val="0"/>
            <w:vAlign w:val="center"/>
          </w:tcPr>
          <w:p w14:paraId="16A7FE68">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4</w:t>
            </w:r>
          </w:p>
        </w:tc>
        <w:tc>
          <w:tcPr>
            <w:tcW w:w="2085" w:type="dxa"/>
            <w:noWrap w:val="0"/>
            <w:vAlign w:val="center"/>
          </w:tcPr>
          <w:p w14:paraId="37AB6A0B">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SDQ1-4</w:t>
            </w:r>
          </w:p>
        </w:tc>
        <w:tc>
          <w:tcPr>
            <w:tcW w:w="1805" w:type="dxa"/>
            <w:noWrap w:val="0"/>
            <w:vAlign w:val="center"/>
          </w:tcPr>
          <w:p w14:paraId="4A62FD31">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1.1kw</w:t>
            </w:r>
          </w:p>
        </w:tc>
      </w:tr>
      <w:tr w14:paraId="1F2B0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4032552A">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16</w:t>
            </w:r>
          </w:p>
        </w:tc>
        <w:tc>
          <w:tcPr>
            <w:tcW w:w="2545" w:type="dxa"/>
            <w:noWrap w:val="0"/>
            <w:vAlign w:val="center"/>
          </w:tcPr>
          <w:p w14:paraId="244B61D6">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潜水排污泵</w:t>
            </w:r>
          </w:p>
        </w:tc>
        <w:tc>
          <w:tcPr>
            <w:tcW w:w="1220" w:type="dxa"/>
            <w:noWrap w:val="0"/>
            <w:vAlign w:val="center"/>
          </w:tcPr>
          <w:p w14:paraId="044D312E">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6BD6674C">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WQK1250-8.5-55 </w:t>
            </w:r>
          </w:p>
        </w:tc>
        <w:tc>
          <w:tcPr>
            <w:tcW w:w="1805" w:type="dxa"/>
            <w:noWrap w:val="0"/>
            <w:vAlign w:val="center"/>
          </w:tcPr>
          <w:p w14:paraId="4E53A8A6">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5.5kw</w:t>
            </w:r>
          </w:p>
        </w:tc>
      </w:tr>
      <w:tr w14:paraId="22B4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2D0E0B6E">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17</w:t>
            </w:r>
          </w:p>
        </w:tc>
        <w:tc>
          <w:tcPr>
            <w:tcW w:w="2545" w:type="dxa"/>
            <w:noWrap w:val="0"/>
            <w:vAlign w:val="center"/>
          </w:tcPr>
          <w:p w14:paraId="2B94908C">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总出水电动碟阀</w:t>
            </w:r>
          </w:p>
        </w:tc>
        <w:tc>
          <w:tcPr>
            <w:tcW w:w="1220" w:type="dxa"/>
            <w:noWrap w:val="0"/>
            <w:vAlign w:val="center"/>
          </w:tcPr>
          <w:p w14:paraId="35619869">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085" w:type="dxa"/>
            <w:noWrap w:val="0"/>
            <w:vAlign w:val="center"/>
          </w:tcPr>
          <w:p w14:paraId="411D751E">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D941X-10 </w:t>
            </w:r>
          </w:p>
        </w:tc>
        <w:tc>
          <w:tcPr>
            <w:tcW w:w="1805" w:type="dxa"/>
            <w:noWrap w:val="0"/>
            <w:vAlign w:val="center"/>
          </w:tcPr>
          <w:p w14:paraId="39AB8984">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0.55kw</w:t>
            </w:r>
          </w:p>
        </w:tc>
      </w:tr>
      <w:tr w14:paraId="55DE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5E830735">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18</w:t>
            </w:r>
          </w:p>
        </w:tc>
        <w:tc>
          <w:tcPr>
            <w:tcW w:w="2545" w:type="dxa"/>
            <w:noWrap w:val="0"/>
            <w:vAlign w:val="center"/>
          </w:tcPr>
          <w:p w14:paraId="45BA16A5">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无线液位检测系统 </w:t>
            </w:r>
          </w:p>
        </w:tc>
        <w:tc>
          <w:tcPr>
            <w:tcW w:w="1220" w:type="dxa"/>
            <w:noWrap w:val="0"/>
            <w:vAlign w:val="center"/>
          </w:tcPr>
          <w:p w14:paraId="3C14D687">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23CCB934">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GK2300</w:t>
            </w:r>
          </w:p>
        </w:tc>
        <w:tc>
          <w:tcPr>
            <w:tcW w:w="1805" w:type="dxa"/>
            <w:noWrap w:val="0"/>
            <w:vAlign w:val="center"/>
          </w:tcPr>
          <w:p w14:paraId="00D3FA6A">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r>
      <w:tr w14:paraId="3B72A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2F668898">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19</w:t>
            </w:r>
          </w:p>
        </w:tc>
        <w:tc>
          <w:tcPr>
            <w:tcW w:w="7655" w:type="dxa"/>
            <w:gridSpan w:val="4"/>
            <w:noWrap w:val="0"/>
            <w:vAlign w:val="center"/>
          </w:tcPr>
          <w:p w14:paraId="1C432167">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占地约600平方米，管理用房一幢、沉井及配套附属设施，</w:t>
            </w:r>
            <w:r>
              <w:rPr>
                <w:rFonts w:hint="eastAsia" w:ascii="宋体" w:hAnsi="宋体"/>
                <w:color w:val="000000" w:themeColor="text1"/>
                <w:sz w:val="21"/>
                <w:szCs w:val="21"/>
                <w:highlight w:val="none"/>
                <w:lang w:val="en-US" w:eastAsia="zh-CN"/>
                <w14:textFill>
                  <w14:solidFill>
                    <w14:schemeClr w14:val="tx1"/>
                  </w14:solidFill>
                </w14:textFill>
              </w:rPr>
              <w:t>于2003年6月投入使用</w:t>
            </w:r>
            <w:r>
              <w:rPr>
                <w:rFonts w:hint="eastAsia" w:ascii="宋体" w:hAnsi="宋体"/>
                <w:color w:val="000000" w:themeColor="text1"/>
                <w:sz w:val="21"/>
                <w:szCs w:val="21"/>
                <w:highlight w:val="none"/>
                <w:lang w:val="en-US" w:eastAsia="zh-CN"/>
                <w14:textFill>
                  <w14:solidFill>
                    <w14:schemeClr w14:val="tx1"/>
                  </w14:solidFill>
                </w14:textFill>
              </w:rPr>
              <w:t>，DN800管道长度10.08公里（含主材），更换跨河DN800普通钢管，长度约80米，厚度10mm，用于污水。防腐标准按现行国家标准执行。</w:t>
            </w:r>
          </w:p>
        </w:tc>
      </w:tr>
      <w:tr w14:paraId="0EC6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8516" w:type="dxa"/>
            <w:gridSpan w:val="5"/>
            <w:noWrap w:val="0"/>
            <w:vAlign w:val="center"/>
          </w:tcPr>
          <w:p w14:paraId="75B21E79">
            <w:pPr>
              <w:pStyle w:val="142"/>
              <w:widowControl w:val="0"/>
              <w:numPr>
                <w:ilvl w:val="0"/>
                <w:numId w:val="0"/>
              </w:numPr>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榭东北污水提升泵站</w:t>
            </w:r>
          </w:p>
        </w:tc>
      </w:tr>
      <w:tr w14:paraId="793D2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03DFD734">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545" w:type="dxa"/>
            <w:noWrap w:val="0"/>
            <w:vAlign w:val="center"/>
          </w:tcPr>
          <w:p w14:paraId="4FC4BCF0">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COD仪</w:t>
            </w:r>
          </w:p>
        </w:tc>
        <w:tc>
          <w:tcPr>
            <w:tcW w:w="1220" w:type="dxa"/>
            <w:noWrap w:val="0"/>
            <w:vAlign w:val="center"/>
          </w:tcPr>
          <w:p w14:paraId="20DE7880">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5E0FC65D">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c>
          <w:tcPr>
            <w:tcW w:w="1805" w:type="dxa"/>
            <w:vMerge w:val="restart"/>
            <w:noWrap w:val="0"/>
            <w:vAlign w:val="center"/>
          </w:tcPr>
          <w:p w14:paraId="02F333D1">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p w14:paraId="2D104772">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p w14:paraId="6B8D9C64">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r>
      <w:tr w14:paraId="2A3B5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26A88A58">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2</w:t>
            </w:r>
          </w:p>
        </w:tc>
        <w:tc>
          <w:tcPr>
            <w:tcW w:w="2545" w:type="dxa"/>
            <w:noWrap w:val="0"/>
            <w:vAlign w:val="center"/>
          </w:tcPr>
          <w:p w14:paraId="6B4C54A4">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氨氮仪</w:t>
            </w:r>
          </w:p>
        </w:tc>
        <w:tc>
          <w:tcPr>
            <w:tcW w:w="1220" w:type="dxa"/>
            <w:noWrap w:val="0"/>
            <w:vAlign w:val="center"/>
          </w:tcPr>
          <w:p w14:paraId="79933C79">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06E6D8A5">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c>
          <w:tcPr>
            <w:tcW w:w="1805" w:type="dxa"/>
            <w:vMerge w:val="continue"/>
            <w:noWrap w:val="0"/>
            <w:vAlign w:val="center"/>
          </w:tcPr>
          <w:p w14:paraId="15E795F7">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r>
      <w:tr w14:paraId="02F02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4844F750">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3</w:t>
            </w:r>
          </w:p>
        </w:tc>
        <w:tc>
          <w:tcPr>
            <w:tcW w:w="2545" w:type="dxa"/>
            <w:noWrap w:val="0"/>
            <w:vAlign w:val="center"/>
          </w:tcPr>
          <w:p w14:paraId="5A69C1EE">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总磷仪</w:t>
            </w:r>
          </w:p>
        </w:tc>
        <w:tc>
          <w:tcPr>
            <w:tcW w:w="1220" w:type="dxa"/>
            <w:noWrap w:val="0"/>
            <w:vAlign w:val="center"/>
          </w:tcPr>
          <w:p w14:paraId="2F98B240">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5909EEB0">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c>
          <w:tcPr>
            <w:tcW w:w="1805" w:type="dxa"/>
            <w:vMerge w:val="continue"/>
            <w:noWrap w:val="0"/>
            <w:vAlign w:val="center"/>
          </w:tcPr>
          <w:p w14:paraId="20DE381B">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r>
      <w:tr w14:paraId="72D30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2D62AB17">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4</w:t>
            </w:r>
          </w:p>
        </w:tc>
        <w:tc>
          <w:tcPr>
            <w:tcW w:w="2545" w:type="dxa"/>
            <w:noWrap w:val="0"/>
            <w:vAlign w:val="center"/>
          </w:tcPr>
          <w:p w14:paraId="632EEB4D">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流量计</w:t>
            </w:r>
          </w:p>
        </w:tc>
        <w:tc>
          <w:tcPr>
            <w:tcW w:w="1220" w:type="dxa"/>
            <w:noWrap w:val="0"/>
            <w:vAlign w:val="center"/>
          </w:tcPr>
          <w:p w14:paraId="178EFC9F">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35A0F45F">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c>
          <w:tcPr>
            <w:tcW w:w="1805" w:type="dxa"/>
            <w:vMerge w:val="continue"/>
            <w:noWrap w:val="0"/>
            <w:vAlign w:val="center"/>
          </w:tcPr>
          <w:p w14:paraId="669A456A">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r>
      <w:tr w14:paraId="3EDF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70A0DE81">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5</w:t>
            </w:r>
          </w:p>
        </w:tc>
        <w:tc>
          <w:tcPr>
            <w:tcW w:w="2545" w:type="dxa"/>
            <w:noWrap w:val="0"/>
            <w:vAlign w:val="center"/>
          </w:tcPr>
          <w:p w14:paraId="0084FEAE">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数采仪</w:t>
            </w:r>
          </w:p>
        </w:tc>
        <w:tc>
          <w:tcPr>
            <w:tcW w:w="1220" w:type="dxa"/>
            <w:noWrap w:val="0"/>
            <w:vAlign w:val="center"/>
          </w:tcPr>
          <w:p w14:paraId="2D0B4674">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1</w:t>
            </w:r>
          </w:p>
        </w:tc>
        <w:tc>
          <w:tcPr>
            <w:tcW w:w="2085" w:type="dxa"/>
            <w:noWrap w:val="0"/>
            <w:vAlign w:val="center"/>
          </w:tcPr>
          <w:p w14:paraId="1527D950">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c>
          <w:tcPr>
            <w:tcW w:w="1805" w:type="dxa"/>
            <w:vMerge w:val="continue"/>
            <w:noWrap w:val="0"/>
            <w:vAlign w:val="center"/>
          </w:tcPr>
          <w:p w14:paraId="5B6ECAF7">
            <w:pPr>
              <w:pStyle w:val="142"/>
              <w:widowControl w:val="0"/>
              <w:spacing w:afterLines="0" w:line="400" w:lineRule="exact"/>
              <w:ind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p>
        </w:tc>
      </w:tr>
      <w:tr w14:paraId="4D49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1" w:type="dxa"/>
            <w:noWrap w:val="0"/>
            <w:vAlign w:val="center"/>
          </w:tcPr>
          <w:p w14:paraId="119BDB9D">
            <w:pPr>
              <w:pStyle w:val="142"/>
              <w:widowControl w:val="0"/>
              <w:numPr>
                <w:ilvl w:val="0"/>
                <w:numId w:val="0"/>
              </w:numPr>
              <w:spacing w:afterLines="0" w:line="400" w:lineRule="exact"/>
              <w:ind w:left="0" w:leftChars="0" w:firstLine="0" w:firstLineChars="0"/>
              <w:jc w:val="center"/>
              <w:rPr>
                <w:rFonts w:hint="eastAsia"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6</w:t>
            </w:r>
          </w:p>
        </w:tc>
        <w:tc>
          <w:tcPr>
            <w:tcW w:w="7655" w:type="dxa"/>
            <w:gridSpan w:val="4"/>
            <w:noWrap w:val="0"/>
            <w:vAlign w:val="center"/>
          </w:tcPr>
          <w:p w14:paraId="6CE1B3E2">
            <w:pPr>
              <w:pStyle w:val="142"/>
              <w:widowControl w:val="0"/>
              <w:numPr>
                <w:ilvl w:val="0"/>
                <w:numId w:val="0"/>
              </w:numPr>
              <w:spacing w:afterLines="0" w:line="400" w:lineRule="exact"/>
              <w:ind w:left="0" w:leftChars="0" w:firstLine="0" w:firstLineChars="0"/>
              <w:jc w:val="center"/>
              <w:rPr>
                <w:rFonts w:hint="default" w:ascii="宋体" w:hAnsi="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占地约700平方米，排海管道约800米，管理用房一幢及高位井一个，</w:t>
            </w:r>
            <w:r>
              <w:rPr>
                <w:rFonts w:hint="eastAsia" w:ascii="宋体" w:hAnsi="宋体"/>
                <w:color w:val="000000" w:themeColor="text1"/>
                <w:sz w:val="21"/>
                <w:szCs w:val="21"/>
                <w:highlight w:val="none"/>
                <w:lang w:val="en-US" w:eastAsia="zh-CN"/>
                <w14:textFill>
                  <w14:solidFill>
                    <w14:schemeClr w14:val="tx1"/>
                  </w14:solidFill>
                </w14:textFill>
              </w:rPr>
              <w:t>于2010年9月投入使用</w:t>
            </w:r>
          </w:p>
        </w:tc>
      </w:tr>
    </w:tbl>
    <w:tbl>
      <w:tblPr>
        <w:tblStyle w:val="35"/>
        <w:tblW w:w="0" w:type="auto"/>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9"/>
        <w:gridCol w:w="2518"/>
        <w:gridCol w:w="1635"/>
        <w:gridCol w:w="1080"/>
        <w:gridCol w:w="1080"/>
        <w:gridCol w:w="1337"/>
      </w:tblGrid>
      <w:tr w14:paraId="5B5F6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539" w:type="dxa"/>
            <w:gridSpan w:val="6"/>
            <w:tcBorders>
              <w:top w:val="single" w:color="000000" w:sz="4" w:space="0"/>
              <w:left w:val="single" w:color="000000" w:sz="4" w:space="0"/>
              <w:bottom w:val="single" w:color="000000" w:sz="4" w:space="0"/>
              <w:right w:val="single" w:color="000000" w:sz="4" w:space="0"/>
            </w:tcBorders>
            <w:noWrap/>
            <w:vAlign w:val="center"/>
          </w:tcPr>
          <w:p w14:paraId="1812A079">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其他备件</w:t>
            </w:r>
          </w:p>
        </w:tc>
      </w:tr>
      <w:tr w14:paraId="29589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62A8CABC">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序号</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38943D16">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品名</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4A27730F">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型号</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9B7A5B8">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规格</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591573F">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单位</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24A1B099">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数量</w:t>
            </w:r>
          </w:p>
        </w:tc>
      </w:tr>
      <w:tr w14:paraId="4DEE8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3F24C39E">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36AC055A">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电动蝶阀</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6A9D4772">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D971X-10Q</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0CA34C94">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DN500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71AB561F">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台</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22C822C0">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3</w:t>
            </w:r>
          </w:p>
        </w:tc>
      </w:tr>
      <w:tr w14:paraId="39FF5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3195F7E5">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2</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7A802D5D">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电动蝶阀</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0DC74163">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D971X-10Q</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FEBB75E">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DN400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540D2EC">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台</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00FB82E5">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3</w:t>
            </w:r>
          </w:p>
        </w:tc>
      </w:tr>
      <w:tr w14:paraId="3CCC5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407C0D6C">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3</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74D26D93">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电动蝶阀</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62A73D6B">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D942X-10Q</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845EBE8">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DN600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997C4AF">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台</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5077A391">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w:t>
            </w:r>
          </w:p>
        </w:tc>
      </w:tr>
      <w:tr w14:paraId="3ED45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18A8B98C">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4</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6D755FBA">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手动蝶阀</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396CCE13">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D342X-10Q</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973CA1A">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DN800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5C97865">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台</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4B6B9FDF">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w:t>
            </w:r>
          </w:p>
        </w:tc>
      </w:tr>
      <w:tr w14:paraId="11E4F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298759E8">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5</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6698E5F4">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止回阀</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36885733">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HH44K-10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55583D8">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DN400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E98D0A8">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台</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425E2B15">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w:t>
            </w:r>
          </w:p>
        </w:tc>
      </w:tr>
      <w:tr w14:paraId="48A37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0590A051">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6</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757010B7">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不锈钢水泵控制箱</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078876D0">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600*900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4971A44">
            <w:pPr>
              <w:pStyle w:val="142"/>
              <w:widowControl w:val="0"/>
              <w:numPr>
                <w:ilvl w:val="0"/>
                <w:numId w:val="0"/>
              </w:numPr>
              <w:spacing w:afterLines="0" w:line="400" w:lineRule="exact"/>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81A4F26">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套</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70BCDF1C">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w:t>
            </w:r>
          </w:p>
        </w:tc>
      </w:tr>
      <w:tr w14:paraId="18510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09765E40">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7</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2DC8A25B">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指示灯及按钮</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32D9AAC8">
            <w:pPr>
              <w:pStyle w:val="142"/>
              <w:widowControl w:val="0"/>
              <w:numPr>
                <w:ilvl w:val="0"/>
                <w:numId w:val="0"/>
              </w:numPr>
              <w:spacing w:afterLines="0" w:line="400" w:lineRule="exact"/>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1A0C321">
            <w:pPr>
              <w:pStyle w:val="142"/>
              <w:widowControl w:val="0"/>
              <w:numPr>
                <w:ilvl w:val="0"/>
                <w:numId w:val="0"/>
              </w:numPr>
              <w:spacing w:afterLines="0" w:line="400" w:lineRule="exact"/>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2175B61C">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个</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7F61D8FB">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35</w:t>
            </w:r>
          </w:p>
        </w:tc>
      </w:tr>
      <w:tr w14:paraId="5AB47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16D2AB58">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8</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496C41E4">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段子</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047807E8">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4*10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78350B8C">
            <w:pPr>
              <w:pStyle w:val="142"/>
              <w:widowControl w:val="0"/>
              <w:numPr>
                <w:ilvl w:val="0"/>
                <w:numId w:val="0"/>
              </w:numPr>
              <w:spacing w:afterLines="0" w:line="400" w:lineRule="exact"/>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B72948B">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套</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7536713A">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7</w:t>
            </w:r>
          </w:p>
        </w:tc>
      </w:tr>
      <w:tr w14:paraId="0F0D9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10C6967B">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9</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6651DC7B">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空开</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6225D6CC">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63A</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B58939F">
            <w:pPr>
              <w:pStyle w:val="142"/>
              <w:widowControl w:val="0"/>
              <w:numPr>
                <w:ilvl w:val="0"/>
                <w:numId w:val="0"/>
              </w:numPr>
              <w:spacing w:afterLines="0" w:line="400" w:lineRule="exact"/>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77E42003">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个</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3B79FD25">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10</w:t>
            </w:r>
          </w:p>
        </w:tc>
      </w:tr>
      <w:tr w14:paraId="2EFDC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10F0FCAA">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10</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475BBE30">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接触器</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7AC8CF75">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1810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DE66CD5">
            <w:pPr>
              <w:pStyle w:val="142"/>
              <w:widowControl w:val="0"/>
              <w:numPr>
                <w:ilvl w:val="0"/>
                <w:numId w:val="0"/>
              </w:numPr>
              <w:spacing w:afterLines="0" w:line="400" w:lineRule="exact"/>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08A0DB4">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套</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3CDD74A5">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14</w:t>
            </w:r>
          </w:p>
        </w:tc>
      </w:tr>
      <w:tr w14:paraId="64511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118C13E7">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11</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13C5A654">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接触器</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232F7500">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3TF34</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66E3CB2">
            <w:pPr>
              <w:pStyle w:val="142"/>
              <w:widowControl w:val="0"/>
              <w:numPr>
                <w:ilvl w:val="0"/>
                <w:numId w:val="0"/>
              </w:numPr>
              <w:spacing w:afterLines="0" w:line="400" w:lineRule="exact"/>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43DEBDC">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套</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72C950D8">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7</w:t>
            </w:r>
          </w:p>
        </w:tc>
      </w:tr>
      <w:tr w14:paraId="64658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371DC8AA">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12</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5EF5148E">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雨水井</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77DFFCD5">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DN700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7809F699">
            <w:pPr>
              <w:pStyle w:val="142"/>
              <w:widowControl w:val="0"/>
              <w:numPr>
                <w:ilvl w:val="0"/>
                <w:numId w:val="0"/>
              </w:numPr>
              <w:spacing w:afterLines="0" w:line="400" w:lineRule="exact"/>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8DA8602">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个</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0E245CDC">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w:t>
            </w:r>
          </w:p>
        </w:tc>
      </w:tr>
      <w:tr w14:paraId="3725E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11956841">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13</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26DB980A">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阀门专用螺丝</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45C27549">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国标</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5432381">
            <w:pPr>
              <w:pStyle w:val="142"/>
              <w:widowControl w:val="0"/>
              <w:numPr>
                <w:ilvl w:val="0"/>
                <w:numId w:val="0"/>
              </w:numPr>
              <w:spacing w:afterLines="0" w:line="400" w:lineRule="exact"/>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7E7C1197">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套</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68F4890C">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9</w:t>
            </w:r>
          </w:p>
        </w:tc>
      </w:tr>
      <w:tr w14:paraId="71785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9" w:type="dxa"/>
            <w:tcBorders>
              <w:top w:val="single" w:color="000000" w:sz="4" w:space="0"/>
              <w:left w:val="single" w:color="000000" w:sz="4" w:space="0"/>
              <w:bottom w:val="single" w:color="000000" w:sz="4" w:space="0"/>
              <w:right w:val="single" w:color="000000" w:sz="4" w:space="0"/>
            </w:tcBorders>
            <w:noWrap/>
            <w:vAlign w:val="center"/>
          </w:tcPr>
          <w:p w14:paraId="747C709F">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14</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116B0820">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阀门垫圈</w:t>
            </w:r>
          </w:p>
        </w:tc>
        <w:tc>
          <w:tcPr>
            <w:tcW w:w="1635" w:type="dxa"/>
            <w:tcBorders>
              <w:top w:val="single" w:color="000000" w:sz="4" w:space="0"/>
              <w:left w:val="single" w:color="000000" w:sz="4" w:space="0"/>
              <w:bottom w:val="single" w:color="000000" w:sz="4" w:space="0"/>
              <w:right w:val="single" w:color="000000" w:sz="4" w:space="0"/>
            </w:tcBorders>
            <w:noWrap/>
            <w:vAlign w:val="center"/>
          </w:tcPr>
          <w:p w14:paraId="5FF09E2E">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400-800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0A380EF">
            <w:pPr>
              <w:pStyle w:val="142"/>
              <w:widowControl w:val="0"/>
              <w:numPr>
                <w:ilvl w:val="0"/>
                <w:numId w:val="0"/>
              </w:numPr>
              <w:spacing w:afterLines="0" w:line="400" w:lineRule="exact"/>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933A4EE">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套</w:t>
            </w:r>
          </w:p>
        </w:tc>
        <w:tc>
          <w:tcPr>
            <w:tcW w:w="1337" w:type="dxa"/>
            <w:tcBorders>
              <w:top w:val="single" w:color="000000" w:sz="4" w:space="0"/>
              <w:left w:val="single" w:color="000000" w:sz="4" w:space="0"/>
              <w:bottom w:val="single" w:color="000000" w:sz="4" w:space="0"/>
              <w:right w:val="single" w:color="000000" w:sz="4" w:space="0"/>
            </w:tcBorders>
            <w:noWrap/>
            <w:vAlign w:val="center"/>
          </w:tcPr>
          <w:p w14:paraId="237534DD">
            <w:pPr>
              <w:pStyle w:val="142"/>
              <w:widowControl w:val="0"/>
              <w:numPr>
                <w:ilvl w:val="0"/>
                <w:numId w:val="0"/>
              </w:numPr>
              <w:spacing w:afterLines="0" w:line="400" w:lineRule="exact"/>
              <w:ind w:firstLine="0" w:firstLineChars="0"/>
              <w:jc w:val="center"/>
              <w:rPr>
                <w:rFonts w:hint="eastAsia" w:ascii="宋体" w:hAnsi="宋体" w:eastAsia="宋体" w:cs="Times New Roman"/>
                <w:i w:val="0"/>
                <w:iCs w:val="0"/>
                <w:color w:val="000000" w:themeColor="text1"/>
                <w:sz w:val="21"/>
                <w:szCs w:val="21"/>
                <w:highlight w:val="none"/>
                <w:u w:val="none"/>
                <w14:textFill>
                  <w14:solidFill>
                    <w14:schemeClr w14:val="tx1"/>
                  </w14:solidFill>
                </w14:textFill>
              </w:rPr>
            </w:pPr>
            <w:r>
              <w:rPr>
                <w:rFonts w:hint="eastAsia" w:ascii="宋体" w:hAnsi="宋体" w:eastAsia="宋体" w:cs="Times New Roman"/>
                <w:i w:val="0"/>
                <w:iCs w:val="0"/>
                <w:color w:val="000000" w:themeColor="text1"/>
                <w:kern w:val="0"/>
                <w:sz w:val="21"/>
                <w:szCs w:val="21"/>
                <w:highlight w:val="none"/>
                <w:u w:val="none"/>
                <w:lang w:val="en-US" w:eastAsia="zh-CN" w:bidi="ar"/>
                <w14:textFill>
                  <w14:solidFill>
                    <w14:schemeClr w14:val="tx1"/>
                  </w14:solidFill>
                </w14:textFill>
              </w:rPr>
              <w:t>9</w:t>
            </w:r>
          </w:p>
        </w:tc>
      </w:tr>
    </w:tbl>
    <w:p w14:paraId="7947A63E">
      <w:pPr>
        <w:numPr>
          <w:ilvl w:val="0"/>
          <w:numId w:val="0"/>
        </w:numPr>
        <w:spacing w:line="360" w:lineRule="auto"/>
        <w:ind w:firstLine="420" w:firstLineChars="200"/>
        <w:jc w:val="left"/>
        <w:rPr>
          <w:rFonts w:hint="default" w:ascii="宋体" w:hAnsi="宋体" w:eastAsia="宋体" w:cs="Times New Roman"/>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Times New Roman"/>
          <w:b w:val="0"/>
          <w:bCs w:val="0"/>
          <w:color w:val="000000" w:themeColor="text1"/>
          <w:sz w:val="21"/>
          <w:szCs w:val="21"/>
          <w:highlight w:val="none"/>
          <w:lang w:val="en-US" w:eastAsia="zh-CN"/>
          <w14:textFill>
            <w14:solidFill>
              <w14:schemeClr w14:val="tx1"/>
            </w14:solidFill>
          </w14:textFill>
        </w:rPr>
        <w:t>备注：以上为采购人提供清单，包括但不仅限于以上内容，具体设备设施清单以三个污水泵站现有的为准。</w:t>
      </w:r>
      <w:r>
        <w:rPr>
          <w:rFonts w:hint="eastAsia" w:ascii="宋体" w:hAnsi="宋体"/>
          <w:color w:val="000000" w:themeColor="text1"/>
          <w:sz w:val="21"/>
          <w:szCs w:val="21"/>
          <w:highlight w:val="none"/>
          <w:lang w:val="en-US" w:eastAsia="zh-CN"/>
          <w14:textFill>
            <w14:solidFill>
              <w14:schemeClr w14:val="tx1"/>
            </w14:solidFill>
          </w14:textFill>
        </w:rPr>
        <w:t>其他备件如需采购，费用由采购人承担。</w:t>
      </w:r>
      <w:r>
        <w:rPr>
          <w:rFonts w:hint="eastAsia" w:ascii="宋体" w:hAnsi="宋体"/>
          <w:color w:val="000000" w:themeColor="text1"/>
          <w:sz w:val="21"/>
          <w:szCs w:val="21"/>
          <w:highlight w:val="none"/>
          <w:lang w:val="en-US" w:eastAsia="zh-CN"/>
          <w14:textFill>
            <w14:solidFill>
              <w14:schemeClr w14:val="tx1"/>
            </w14:solidFill>
          </w14:textFill>
        </w:rPr>
        <w:t>投标人报价时应综合考虑污水泵站使用年限对应的运营养护成本。</w:t>
      </w:r>
    </w:p>
    <w:p w14:paraId="76E842AE">
      <w:pPr>
        <w:numPr>
          <w:ilvl w:val="0"/>
          <w:numId w:val="0"/>
        </w:numPr>
        <w:spacing w:line="360" w:lineRule="auto"/>
        <w:ind w:firstLine="422" w:firstLineChars="200"/>
        <w:jc w:val="left"/>
        <w:rPr>
          <w:rFonts w:hint="eastAsia" w:ascii="宋体" w:hAnsi="宋体" w:eastAsia="宋体" w:cs="Times New Roman"/>
          <w:b/>
          <w:bCs/>
          <w:color w:val="000000" w:themeColor="text1"/>
          <w:szCs w:val="21"/>
          <w:highlight w:val="none"/>
          <w:lang w:val="en-US" w:eastAsia="zh-CN"/>
          <w14:textFill>
            <w14:solidFill>
              <w14:schemeClr w14:val="tx1"/>
            </w14:solidFill>
          </w14:textFill>
        </w:rPr>
      </w:pPr>
      <w:r>
        <w:rPr>
          <w:rFonts w:hint="eastAsia" w:ascii="宋体" w:hAnsi="宋体" w:eastAsia="宋体" w:cs="Times New Roman"/>
          <w:b/>
          <w:bCs/>
          <w:color w:val="000000" w:themeColor="text1"/>
          <w:szCs w:val="21"/>
          <w:highlight w:val="none"/>
          <w:lang w:val="en-US" w:eastAsia="zh-CN"/>
          <w14:textFill>
            <w14:solidFill>
              <w14:schemeClr w14:val="tx1"/>
            </w14:solidFill>
          </w14:textFill>
        </w:rPr>
        <w:t>3）具体运行管理要求</w:t>
      </w:r>
    </w:p>
    <w:p w14:paraId="6CEAD0F1">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a.负责系统软件的运行。</w:t>
      </w:r>
    </w:p>
    <w:p w14:paraId="7EFC7726">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b.每日远程检查仪器运行状态, 检查数据传输系统是否正常，如发现数据有持续异常情况，应前往站点进行检查。</w:t>
      </w:r>
    </w:p>
    <w:p w14:paraId="6BE1F4E3">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c.每月2次对站点设备进行现场维护，现场维护内容包括：</w:t>
      </w:r>
    </w:p>
    <w:p w14:paraId="5F82A123">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①</w:t>
      </w:r>
      <w:r>
        <w:rPr>
          <w:rFonts w:hint="eastAsia" w:ascii="宋体" w:hAnsi="宋体" w:eastAsia="宋体" w:cs="Times New Roman"/>
          <w:color w:val="000000" w:themeColor="text1"/>
          <w:szCs w:val="21"/>
          <w:highlight w:val="none"/>
          <w:lang w:val="en-US" w:eastAsia="zh-CN"/>
          <w14:textFill>
            <w14:solidFill>
              <w14:schemeClr w14:val="tx1"/>
            </w14:solidFill>
          </w14:textFill>
        </w:rPr>
        <w:t>检查各台仪器设备的运行状态和主要技术参数，判断运行是否正常。</w:t>
      </w:r>
    </w:p>
    <w:p w14:paraId="1AF7434B">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②</w:t>
      </w:r>
      <w:r>
        <w:rPr>
          <w:rFonts w:hint="eastAsia" w:ascii="宋体" w:hAnsi="宋体" w:eastAsia="宋体" w:cs="Times New Roman"/>
          <w:color w:val="000000" w:themeColor="text1"/>
          <w:szCs w:val="21"/>
          <w:highlight w:val="none"/>
          <w:lang w:val="en-US" w:eastAsia="zh-CN"/>
          <w14:textFill>
            <w14:solidFill>
              <w14:schemeClr w14:val="tx1"/>
            </w14:solidFill>
          </w14:textFill>
        </w:rPr>
        <w:t>检查内部管路是否通畅，检查管路是否清洁，必要时进行清洗。</w:t>
      </w:r>
    </w:p>
    <w:p w14:paraId="7963438B">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③</w:t>
      </w:r>
      <w:r>
        <w:rPr>
          <w:rFonts w:hint="eastAsia" w:ascii="宋体" w:hAnsi="宋体" w:eastAsia="宋体" w:cs="Times New Roman"/>
          <w:color w:val="000000" w:themeColor="text1"/>
          <w:szCs w:val="21"/>
          <w:highlight w:val="none"/>
          <w:lang w:val="en-US" w:eastAsia="zh-CN"/>
          <w14:textFill>
            <w14:solidFill>
              <w14:schemeClr w14:val="tx1"/>
            </w14:solidFill>
          </w14:textFill>
        </w:rPr>
        <w:t>观察数据采集传输仪运行情况，并检查连接处有无损坏, 对数据进行抽样检查，对比数据采集仪及上位机接收到的数据是否一致。</w:t>
      </w:r>
    </w:p>
    <w:p w14:paraId="613F4E81">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④</w:t>
      </w:r>
      <w:r>
        <w:rPr>
          <w:rFonts w:hint="eastAsia" w:ascii="宋体" w:hAnsi="宋体" w:eastAsia="宋体" w:cs="Times New Roman"/>
          <w:color w:val="000000" w:themeColor="text1"/>
          <w:szCs w:val="21"/>
          <w:highlight w:val="none"/>
          <w:lang w:val="en-US" w:eastAsia="zh-CN"/>
          <w14:textFill>
            <w14:solidFill>
              <w14:schemeClr w14:val="tx1"/>
            </w14:solidFill>
          </w14:textFill>
        </w:rPr>
        <w:t>其他预防性维护。</w:t>
      </w:r>
    </w:p>
    <w:p w14:paraId="71649B68">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⑤</w:t>
      </w:r>
      <w:r>
        <w:rPr>
          <w:rFonts w:hint="eastAsia" w:ascii="宋体" w:hAnsi="宋体" w:eastAsia="宋体" w:cs="Times New Roman"/>
          <w:color w:val="000000" w:themeColor="text1"/>
          <w:szCs w:val="21"/>
          <w:highlight w:val="none"/>
          <w:lang w:val="en-US" w:eastAsia="zh-CN"/>
          <w14:textFill>
            <w14:solidFill>
              <w14:schemeClr w14:val="tx1"/>
            </w14:solidFill>
          </w14:textFill>
        </w:rPr>
        <w:t>保持各仪器管路通畅，出水正常，无漏液。</w:t>
      </w:r>
    </w:p>
    <w:p w14:paraId="46E4F895">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⑥</w:t>
      </w:r>
      <w:r>
        <w:rPr>
          <w:rFonts w:hint="eastAsia" w:ascii="宋体" w:hAnsi="宋体" w:eastAsia="宋体" w:cs="Times New Roman"/>
          <w:color w:val="000000" w:themeColor="text1"/>
          <w:szCs w:val="21"/>
          <w:highlight w:val="none"/>
          <w:lang w:val="en-US" w:eastAsia="zh-CN"/>
          <w14:textFill>
            <w14:solidFill>
              <w14:schemeClr w14:val="tx1"/>
            </w14:solidFill>
          </w14:textFill>
        </w:rPr>
        <w:t>对电源控制器等辅助设备要进行经常性检查。</w:t>
      </w:r>
    </w:p>
    <w:p w14:paraId="49537699">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⑦</w:t>
      </w:r>
      <w:r>
        <w:rPr>
          <w:rFonts w:hint="eastAsia" w:ascii="宋体" w:hAnsi="宋体" w:eastAsia="宋体" w:cs="Times New Roman"/>
          <w:color w:val="000000" w:themeColor="text1"/>
          <w:szCs w:val="21"/>
          <w:highlight w:val="none"/>
          <w:lang w:val="en-US" w:eastAsia="zh-CN"/>
          <w14:textFill>
            <w14:solidFill>
              <w14:schemeClr w14:val="tx1"/>
            </w14:solidFill>
          </w14:textFill>
        </w:rPr>
        <w:t>操作人员在对系统进行日常维护时，应作好巡检记录，巡检记录应包含该系统运行状况、系统辅助设备运行状况、系统校准工作等必检项目和记录，以及仪器使用说明书中规定的其他检查项目和维护保养、维修记录。</w:t>
      </w:r>
    </w:p>
    <w:p w14:paraId="51093866">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d.仪器的检修：</w:t>
      </w:r>
    </w:p>
    <w:p w14:paraId="73DED620">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①</w:t>
      </w:r>
      <w:r>
        <w:rPr>
          <w:rFonts w:hint="eastAsia" w:ascii="宋体" w:hAnsi="宋体" w:eastAsia="宋体" w:cs="Times New Roman"/>
          <w:color w:val="000000" w:themeColor="text1"/>
          <w:szCs w:val="21"/>
          <w:highlight w:val="none"/>
          <w:lang w:val="en-US" w:eastAsia="zh-CN"/>
          <w14:textFill>
            <w14:solidFill>
              <w14:schemeClr w14:val="tx1"/>
            </w14:solidFill>
          </w14:textFill>
        </w:rPr>
        <w:t>发现故障或接到故障通知，应在24 小时内赶到现场进行处理。</w:t>
      </w:r>
    </w:p>
    <w:p w14:paraId="27099761">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②</w:t>
      </w:r>
      <w:r>
        <w:rPr>
          <w:rFonts w:hint="eastAsia" w:ascii="宋体" w:hAnsi="宋体" w:eastAsia="宋体" w:cs="Times New Roman"/>
          <w:color w:val="000000" w:themeColor="text1"/>
          <w:szCs w:val="21"/>
          <w:highlight w:val="none"/>
          <w:lang w:val="en-US" w:eastAsia="zh-CN"/>
          <w14:textFill>
            <w14:solidFill>
              <w14:schemeClr w14:val="tx1"/>
            </w14:solidFill>
          </w14:textFill>
        </w:rPr>
        <w:t>对于一些容易诊断的故障，现场进行针对性维修，维修时间不应超过8 小时；对不易诊断和维修的仪器故障，应在48小时内排除故障；若需要仪器厂商维修，不应超过3日；难以修复的，应及时通报采购方和污水处理厂。</w:t>
      </w:r>
    </w:p>
    <w:p w14:paraId="1476C0BC">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③</w:t>
      </w:r>
      <w:r>
        <w:rPr>
          <w:rFonts w:hint="eastAsia" w:ascii="宋体" w:hAnsi="宋体" w:eastAsia="宋体" w:cs="Times New Roman"/>
          <w:color w:val="000000" w:themeColor="text1"/>
          <w:szCs w:val="21"/>
          <w:highlight w:val="none"/>
          <w:lang w:val="en-US" w:eastAsia="zh-CN"/>
          <w14:textFill>
            <w14:solidFill>
              <w14:schemeClr w14:val="tx1"/>
            </w14:solidFill>
          </w14:textFill>
        </w:rPr>
        <w:t>仪器经过维修后，在正常使用和运行之前应确保维修内容全部完成，性能通过检测程序。（维修设备产生的费用由中标人承担）</w:t>
      </w:r>
    </w:p>
    <w:p w14:paraId="22967980">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④</w:t>
      </w:r>
      <w:r>
        <w:rPr>
          <w:rFonts w:hint="eastAsia" w:ascii="宋体" w:hAnsi="宋体" w:eastAsia="宋体" w:cs="Times New Roman"/>
          <w:color w:val="000000" w:themeColor="text1"/>
          <w:szCs w:val="21"/>
          <w:highlight w:val="none"/>
          <w:lang w:val="en-US" w:eastAsia="zh-CN"/>
          <w14:textFill>
            <w14:solidFill>
              <w14:schemeClr w14:val="tx1"/>
            </w14:solidFill>
          </w14:textFill>
        </w:rPr>
        <w:t>应备有足够的备品备件及备用仪器，并不断调整和补充各种备品备件及备用仪器的存储数量。</w:t>
      </w:r>
    </w:p>
    <w:p w14:paraId="41370281">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e.建立健全制度，做到一站一档，包括仪器的生产厂家、系统的安装单位和竣工验收记录、例行检查维护记录等。</w:t>
      </w:r>
    </w:p>
    <w:p w14:paraId="28C85EA0">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f</w:t>
      </w:r>
      <w:r>
        <w:rPr>
          <w:rFonts w:ascii="宋体" w:hAnsi="宋体"/>
          <w:color w:val="000000" w:themeColor="text1"/>
          <w:szCs w:val="21"/>
          <w:highlight w:val="none"/>
          <w14:textFill>
            <w14:solidFill>
              <w14:schemeClr w14:val="tx1"/>
            </w14:solidFill>
          </w14:textFill>
        </w:rPr>
        <w:t>.</w:t>
      </w:r>
      <w:r>
        <w:rPr>
          <w:rFonts w:hint="eastAsia" w:ascii="宋体" w:hAnsi="宋体" w:eastAsia="宋体" w:cs="Times New Roman"/>
          <w:color w:val="000000" w:themeColor="text1"/>
          <w:szCs w:val="21"/>
          <w:highlight w:val="none"/>
          <w:lang w:val="en-US" w:eastAsia="zh-CN"/>
          <w14:textFill>
            <w14:solidFill>
              <w14:schemeClr w14:val="tx1"/>
            </w14:solidFill>
          </w14:textFill>
        </w:rPr>
        <w:t>现场记录应在现场及时填写，应清晰、完整，有专业维护人员的签字。</w:t>
      </w:r>
    </w:p>
    <w:p w14:paraId="6F66BA58">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g</w:t>
      </w:r>
      <w:r>
        <w:rPr>
          <w:rFonts w:ascii="宋体" w:hAnsi="宋体"/>
          <w:color w:val="000000" w:themeColor="text1"/>
          <w:szCs w:val="21"/>
          <w:highlight w:val="none"/>
          <w14:textFill>
            <w14:solidFill>
              <w14:schemeClr w14:val="tx1"/>
            </w14:solidFill>
          </w14:textFill>
        </w:rPr>
        <w:t>.</w:t>
      </w:r>
      <w:r>
        <w:rPr>
          <w:rFonts w:hint="eastAsia" w:ascii="宋体" w:hAnsi="宋体" w:eastAsia="宋体" w:cs="Times New Roman"/>
          <w:color w:val="000000" w:themeColor="text1"/>
          <w:szCs w:val="21"/>
          <w:highlight w:val="none"/>
          <w:lang w:val="en-US" w:eastAsia="zh-CN"/>
          <w14:textFill>
            <w14:solidFill>
              <w14:schemeClr w14:val="tx1"/>
            </w14:solidFill>
          </w14:textFill>
        </w:rPr>
        <w:t>定期汇总监控数据日报、月报和年报。</w:t>
      </w:r>
    </w:p>
    <w:p w14:paraId="0670482E">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h</w:t>
      </w:r>
      <w:r>
        <w:rPr>
          <w:rFonts w:ascii="宋体" w:hAnsi="宋体"/>
          <w:color w:val="000000" w:themeColor="text1"/>
          <w:szCs w:val="21"/>
          <w:highlight w:val="none"/>
          <w14:textFill>
            <w14:solidFill>
              <w14:schemeClr w14:val="tx1"/>
            </w14:solidFill>
          </w14:textFill>
        </w:rPr>
        <w:t>.</w:t>
      </w:r>
      <w:r>
        <w:rPr>
          <w:rFonts w:hint="eastAsia" w:ascii="宋体" w:hAnsi="宋体" w:eastAsia="宋体" w:cs="Times New Roman"/>
          <w:color w:val="000000" w:themeColor="text1"/>
          <w:szCs w:val="21"/>
          <w:highlight w:val="none"/>
          <w:lang w:val="en-US" w:eastAsia="zh-CN"/>
          <w14:textFill>
            <w14:solidFill>
              <w14:schemeClr w14:val="tx1"/>
            </w14:solidFill>
          </w14:textFill>
        </w:rPr>
        <w:t>每季形成运行管理工作报告报采购人。</w:t>
      </w:r>
    </w:p>
    <w:p w14:paraId="3FA04F56">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i</w:t>
      </w:r>
      <w:r>
        <w:rPr>
          <w:rFonts w:ascii="宋体" w:hAnsi="宋体"/>
          <w:color w:val="000000" w:themeColor="text1"/>
          <w:szCs w:val="21"/>
          <w:highlight w:val="none"/>
          <w14:textFill>
            <w14:solidFill>
              <w14:schemeClr w14:val="tx1"/>
            </w14:solidFill>
          </w14:textFill>
        </w:rPr>
        <w:t>.</w:t>
      </w:r>
      <w:r>
        <w:rPr>
          <w:rFonts w:hint="eastAsia" w:ascii="宋体" w:hAnsi="宋体" w:eastAsia="宋体" w:cs="Times New Roman"/>
          <w:color w:val="000000" w:themeColor="text1"/>
          <w:szCs w:val="21"/>
          <w:highlight w:val="none"/>
          <w:lang w:val="en-US" w:eastAsia="zh-CN"/>
          <w14:textFill>
            <w14:solidFill>
              <w14:schemeClr w14:val="tx1"/>
            </w14:solidFill>
          </w14:textFill>
        </w:rPr>
        <w:t>中标人必须服从大榭污水处理厂对污水管网的运行调控。</w:t>
      </w:r>
    </w:p>
    <w:p w14:paraId="75D9C1CE">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j</w:t>
      </w:r>
      <w:r>
        <w:rPr>
          <w:rFonts w:ascii="宋体" w:hAnsi="宋体"/>
          <w:color w:val="000000" w:themeColor="text1"/>
          <w:szCs w:val="21"/>
          <w:highlight w:val="none"/>
          <w14:textFill>
            <w14:solidFill>
              <w14:schemeClr w14:val="tx1"/>
            </w14:solidFill>
          </w14:textFill>
        </w:rPr>
        <w:t>.</w:t>
      </w:r>
      <w:r>
        <w:rPr>
          <w:rFonts w:hint="eastAsia" w:ascii="宋体" w:hAnsi="宋体" w:eastAsia="宋体" w:cs="Times New Roman"/>
          <w:color w:val="000000" w:themeColor="text1"/>
          <w:szCs w:val="21"/>
          <w:highlight w:val="none"/>
          <w:lang w:val="en-US" w:eastAsia="zh-CN"/>
          <w14:textFill>
            <w14:solidFill>
              <w14:schemeClr w14:val="tx1"/>
            </w14:solidFill>
          </w14:textFill>
        </w:rPr>
        <w:t>中标人中标后须做好泵站应急预案。</w:t>
      </w:r>
    </w:p>
    <w:p w14:paraId="49F31069">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4)大榭开发区污水提升泵站管理考核办法</w:t>
      </w:r>
    </w:p>
    <w:p w14:paraId="4460A3E1">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a</w:t>
      </w:r>
      <w:r>
        <w:rPr>
          <w:rFonts w:ascii="宋体" w:hAnsi="宋体"/>
          <w:color w:val="000000" w:themeColor="text1"/>
          <w:szCs w:val="21"/>
          <w:highlight w:val="none"/>
          <w14:textFill>
            <w14:solidFill>
              <w14:schemeClr w14:val="tx1"/>
            </w14:solidFill>
          </w14:textFill>
        </w:rPr>
        <w:t>.</w:t>
      </w:r>
      <w:r>
        <w:rPr>
          <w:rFonts w:hint="eastAsia" w:ascii="宋体" w:hAnsi="宋体" w:eastAsia="宋体" w:cs="Times New Roman"/>
          <w:color w:val="000000" w:themeColor="text1"/>
          <w:szCs w:val="21"/>
          <w:highlight w:val="none"/>
          <w:lang w:val="en-US" w:eastAsia="zh-CN"/>
          <w14:textFill>
            <w14:solidFill>
              <w14:schemeClr w14:val="tx1"/>
            </w14:solidFill>
          </w14:textFill>
        </w:rPr>
        <w:t>考核范围：东港南路与兴港路交叉口污水提升泵站、榭南污水提升泵站、榭东北污水提升泵站。</w:t>
      </w:r>
    </w:p>
    <w:p w14:paraId="08906E75">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b</w:t>
      </w:r>
      <w:r>
        <w:rPr>
          <w:rFonts w:ascii="宋体" w:hAnsi="宋体"/>
          <w:color w:val="000000" w:themeColor="text1"/>
          <w:szCs w:val="21"/>
          <w:highlight w:val="none"/>
          <w14:textFill>
            <w14:solidFill>
              <w14:schemeClr w14:val="tx1"/>
            </w14:solidFill>
          </w14:textFill>
        </w:rPr>
        <w:t>.</w:t>
      </w:r>
      <w:r>
        <w:rPr>
          <w:rFonts w:hint="eastAsia" w:ascii="宋体" w:hAnsi="宋体" w:eastAsia="宋体" w:cs="Times New Roman"/>
          <w:color w:val="000000" w:themeColor="text1"/>
          <w:szCs w:val="21"/>
          <w:highlight w:val="none"/>
          <w:lang w:val="en-US" w:eastAsia="zh-CN"/>
          <w14:textFill>
            <w14:solidFill>
              <w14:schemeClr w14:val="tx1"/>
            </w14:solidFill>
          </w14:textFill>
        </w:rPr>
        <w:t>考核内容：考核总分共100分，分季度考核及半年度考核，具体详见附表。</w:t>
      </w:r>
    </w:p>
    <w:p w14:paraId="12D06F9B">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c</w:t>
      </w:r>
      <w:r>
        <w:rPr>
          <w:rFonts w:ascii="宋体" w:hAnsi="宋体"/>
          <w:color w:val="000000" w:themeColor="text1"/>
          <w:szCs w:val="21"/>
          <w:highlight w:val="none"/>
          <w14:textFill>
            <w14:solidFill>
              <w14:schemeClr w14:val="tx1"/>
            </w14:solidFill>
          </w14:textFill>
        </w:rPr>
        <w:t>.</w:t>
      </w:r>
      <w:r>
        <w:rPr>
          <w:rFonts w:hint="eastAsia" w:ascii="宋体" w:hAnsi="宋体" w:eastAsia="宋体" w:cs="Times New Roman"/>
          <w:color w:val="000000" w:themeColor="text1"/>
          <w:szCs w:val="21"/>
          <w:highlight w:val="none"/>
          <w:lang w:val="en-US" w:eastAsia="zh-CN"/>
          <w14:textFill>
            <w14:solidFill>
              <w14:schemeClr w14:val="tx1"/>
            </w14:solidFill>
          </w14:textFill>
        </w:rPr>
        <w:t>考核时间及方式：①考核方式为查看台账资料、现场检查等；②年度考核得分由季度考核和半年度考核组成，各占50%；季度考核每3个月1次，半年度考核每6个月1次，各次平均分为季度考核和半年度考核得分。</w:t>
      </w:r>
    </w:p>
    <w:p w14:paraId="033451AA">
      <w:pPr>
        <w:numPr>
          <w:ilvl w:val="0"/>
          <w:numId w:val="0"/>
        </w:numPr>
        <w:spacing w:line="360" w:lineRule="auto"/>
        <w:ind w:firstLine="420" w:firstLineChars="200"/>
        <w:jc w:val="left"/>
        <w:rPr>
          <w:rFonts w:hint="eastAsia" w:ascii="宋体" w:hAnsi="宋体" w:eastAsia="宋体" w:cs="Times New Roman"/>
          <w:color w:val="000000" w:themeColor="text1"/>
          <w:szCs w:val="21"/>
          <w:highlight w:val="none"/>
          <w:lang w:val="en-US" w:eastAsia="zh-CN"/>
          <w14:textFill>
            <w14:solidFill>
              <w14:schemeClr w14:val="tx1"/>
            </w14:solidFill>
          </w14:textFill>
        </w:rPr>
        <w:sectPr>
          <w:headerReference r:id="rId9" w:type="default"/>
          <w:pgSz w:w="11906" w:h="16838"/>
          <w:pgMar w:top="1440" w:right="1803" w:bottom="1440" w:left="1803" w:header="851" w:footer="850" w:gutter="0"/>
          <w:pgNumType w:fmt="decimal"/>
          <w:cols w:space="720" w:num="1"/>
          <w:docGrid w:linePitch="312" w:charSpace="0"/>
        </w:sectPr>
      </w:pPr>
      <w:r>
        <w:rPr>
          <w:rFonts w:hint="eastAsia" w:ascii="宋体" w:hAnsi="宋体" w:eastAsia="宋体" w:cs="Times New Roman"/>
          <w:color w:val="000000" w:themeColor="text1"/>
          <w:szCs w:val="21"/>
          <w:highlight w:val="none"/>
          <w:lang w:val="en-US" w:eastAsia="zh-CN"/>
          <w14:textFill>
            <w14:solidFill>
              <w14:schemeClr w14:val="tx1"/>
            </w14:solidFill>
          </w14:textFill>
        </w:rPr>
        <w:t>d</w:t>
      </w:r>
      <w:r>
        <w:rPr>
          <w:rFonts w:ascii="宋体" w:hAnsi="宋体"/>
          <w:color w:val="000000" w:themeColor="text1"/>
          <w:szCs w:val="21"/>
          <w:highlight w:val="none"/>
          <w14:textFill>
            <w14:solidFill>
              <w14:schemeClr w14:val="tx1"/>
            </w14:solidFill>
          </w14:textFill>
        </w:rPr>
        <w:t>.</w:t>
      </w:r>
      <w:r>
        <w:rPr>
          <w:rFonts w:hint="eastAsia" w:ascii="宋体" w:hAnsi="宋体" w:eastAsia="宋体" w:cs="Times New Roman"/>
          <w:color w:val="000000" w:themeColor="text1"/>
          <w:szCs w:val="21"/>
          <w:highlight w:val="none"/>
          <w:lang w:val="en-US" w:eastAsia="zh-CN"/>
          <w14:textFill>
            <w14:solidFill>
              <w14:schemeClr w14:val="tx1"/>
            </w14:solidFill>
          </w14:textFill>
        </w:rPr>
        <w:t>年度考核结果分四个级别，90分以上为优秀、85-90分为良好，80-85分为合格，80分以下为不合格。考核由宁波市北仑区人民政府大榭街道办事处负责实施。</w:t>
      </w:r>
    </w:p>
    <w:p w14:paraId="4D1E522E">
      <w:pPr>
        <w:pStyle w:val="143"/>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right="0" w:firstLine="0"/>
        <w:jc w:val="center"/>
        <w:textAlignment w:val="auto"/>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大</w:t>
      </w:r>
      <w:r>
        <w:rPr>
          <w:color w:val="000000" w:themeColor="text1"/>
          <w:spacing w:val="0"/>
          <w:w w:val="100"/>
          <w:position w:val="0"/>
          <w:sz w:val="21"/>
          <w:szCs w:val="21"/>
          <w:highlight w:val="none"/>
          <w:lang w:val="zh-CN" w:eastAsia="zh-CN" w:bidi="zh-CN"/>
          <w14:textFill>
            <w14:solidFill>
              <w14:schemeClr w14:val="tx1"/>
            </w14:solidFill>
          </w14:textFill>
        </w:rPr>
        <w:t>榭开发</w:t>
      </w:r>
      <w:r>
        <w:rPr>
          <w:color w:val="000000" w:themeColor="text1"/>
          <w:spacing w:val="0"/>
          <w:w w:val="100"/>
          <w:position w:val="0"/>
          <w:sz w:val="21"/>
          <w:szCs w:val="21"/>
          <w:highlight w:val="none"/>
          <w14:textFill>
            <w14:solidFill>
              <w14:schemeClr w14:val="tx1"/>
            </w14:solidFill>
          </w14:textFill>
        </w:rPr>
        <w:t>区污水提升泵站管理</w:t>
      </w:r>
      <w:r>
        <w:rPr>
          <w:rFonts w:hint="eastAsia"/>
          <w:color w:val="000000" w:themeColor="text1"/>
          <w:spacing w:val="0"/>
          <w:w w:val="100"/>
          <w:position w:val="0"/>
          <w:sz w:val="21"/>
          <w:szCs w:val="21"/>
          <w:highlight w:val="none"/>
          <w:lang w:val="en-US" w:eastAsia="zh-CN"/>
          <w14:textFill>
            <w14:solidFill>
              <w14:schemeClr w14:val="tx1"/>
            </w14:solidFill>
          </w14:textFill>
        </w:rPr>
        <w:t>季度</w:t>
      </w:r>
      <w:r>
        <w:rPr>
          <w:color w:val="000000" w:themeColor="text1"/>
          <w:spacing w:val="0"/>
          <w:w w:val="100"/>
          <w:position w:val="0"/>
          <w:sz w:val="21"/>
          <w:szCs w:val="21"/>
          <w:highlight w:val="none"/>
          <w14:textFill>
            <w14:solidFill>
              <w14:schemeClr w14:val="tx1"/>
            </w14:solidFill>
          </w14:textFill>
        </w:rPr>
        <w:t>考核表</w:t>
      </w:r>
    </w:p>
    <w:tbl>
      <w:tblPr>
        <w:tblStyle w:val="35"/>
        <w:tblW w:w="0" w:type="auto"/>
        <w:jc w:val="center"/>
        <w:tblLayout w:type="fixed"/>
        <w:tblCellMar>
          <w:top w:w="0" w:type="dxa"/>
          <w:left w:w="10" w:type="dxa"/>
          <w:bottom w:w="0" w:type="dxa"/>
          <w:right w:w="10" w:type="dxa"/>
        </w:tblCellMar>
      </w:tblPr>
      <w:tblGrid>
        <w:gridCol w:w="630"/>
        <w:gridCol w:w="907"/>
        <w:gridCol w:w="510"/>
        <w:gridCol w:w="3833"/>
        <w:gridCol w:w="592"/>
        <w:gridCol w:w="1034"/>
      </w:tblGrid>
      <w:tr w14:paraId="07ECB032">
        <w:tblPrEx>
          <w:tblCellMar>
            <w:top w:w="0" w:type="dxa"/>
            <w:left w:w="10" w:type="dxa"/>
            <w:bottom w:w="0" w:type="dxa"/>
            <w:right w:w="10" w:type="dxa"/>
          </w:tblCellMar>
        </w:tblPrEx>
        <w:trPr>
          <w:trHeight w:val="369" w:hRule="exact"/>
          <w:jc w:val="center"/>
        </w:trPr>
        <w:tc>
          <w:tcPr>
            <w:tcW w:w="630" w:type="dxa"/>
            <w:tcBorders>
              <w:top w:val="single" w:color="auto" w:sz="4" w:space="0"/>
              <w:left w:val="single" w:color="auto" w:sz="4" w:space="0"/>
            </w:tcBorders>
            <w:noWrap w:val="0"/>
            <w:vAlign w:val="center"/>
          </w:tcPr>
          <w:p w14:paraId="2C11332C">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序号</w:t>
            </w:r>
          </w:p>
        </w:tc>
        <w:tc>
          <w:tcPr>
            <w:tcW w:w="907" w:type="dxa"/>
            <w:tcBorders>
              <w:top w:val="single" w:color="auto" w:sz="4" w:space="0"/>
              <w:left w:val="single" w:color="auto" w:sz="4" w:space="0"/>
            </w:tcBorders>
            <w:noWrap w:val="0"/>
            <w:vAlign w:val="center"/>
          </w:tcPr>
          <w:p w14:paraId="5A615A6B">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考评内容</w:t>
            </w:r>
          </w:p>
        </w:tc>
        <w:tc>
          <w:tcPr>
            <w:tcW w:w="4343" w:type="dxa"/>
            <w:gridSpan w:val="2"/>
            <w:tcBorders>
              <w:top w:val="single" w:color="auto" w:sz="4" w:space="0"/>
              <w:left w:val="single" w:color="auto" w:sz="4" w:space="0"/>
            </w:tcBorders>
            <w:noWrap w:val="0"/>
            <w:vAlign w:val="center"/>
          </w:tcPr>
          <w:p w14:paraId="70F86FD4">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评分标准</w:t>
            </w:r>
          </w:p>
        </w:tc>
        <w:tc>
          <w:tcPr>
            <w:tcW w:w="592" w:type="dxa"/>
            <w:tcBorders>
              <w:top w:val="single" w:color="auto" w:sz="4" w:space="0"/>
              <w:left w:val="single" w:color="auto" w:sz="4" w:space="0"/>
            </w:tcBorders>
            <w:noWrap w:val="0"/>
            <w:vAlign w:val="center"/>
          </w:tcPr>
          <w:p w14:paraId="0C3E5D00">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扣分</w:t>
            </w:r>
          </w:p>
        </w:tc>
        <w:tc>
          <w:tcPr>
            <w:tcW w:w="1034" w:type="dxa"/>
            <w:tcBorders>
              <w:top w:val="single" w:color="auto" w:sz="4" w:space="0"/>
              <w:left w:val="single" w:color="auto" w:sz="4" w:space="0"/>
              <w:right w:val="single" w:color="auto" w:sz="4" w:space="0"/>
            </w:tcBorders>
            <w:noWrap w:val="0"/>
            <w:vAlign w:val="center"/>
          </w:tcPr>
          <w:p w14:paraId="71C180CF">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扣分原因</w:t>
            </w:r>
          </w:p>
        </w:tc>
      </w:tr>
      <w:tr w14:paraId="1D49ED96">
        <w:tblPrEx>
          <w:tblCellMar>
            <w:top w:w="0" w:type="dxa"/>
            <w:left w:w="10" w:type="dxa"/>
            <w:bottom w:w="0" w:type="dxa"/>
            <w:right w:w="10" w:type="dxa"/>
          </w:tblCellMar>
        </w:tblPrEx>
        <w:trPr>
          <w:trHeight w:val="369" w:hRule="exact"/>
          <w:jc w:val="center"/>
        </w:trPr>
        <w:tc>
          <w:tcPr>
            <w:tcW w:w="630" w:type="dxa"/>
            <w:vMerge w:val="restart"/>
            <w:tcBorders>
              <w:top w:val="single" w:color="auto" w:sz="4" w:space="0"/>
              <w:left w:val="single" w:color="auto" w:sz="4" w:space="0"/>
            </w:tcBorders>
            <w:noWrap w:val="0"/>
            <w:vAlign w:val="center"/>
          </w:tcPr>
          <w:p w14:paraId="55909B1E">
            <w:pPr>
              <w:widowControl w:val="0"/>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p>
        </w:tc>
        <w:tc>
          <w:tcPr>
            <w:tcW w:w="907" w:type="dxa"/>
            <w:vMerge w:val="restart"/>
            <w:tcBorders>
              <w:top w:val="single" w:color="auto" w:sz="4" w:space="0"/>
              <w:left w:val="single" w:color="auto" w:sz="4" w:space="0"/>
            </w:tcBorders>
            <w:noWrap w:val="0"/>
            <w:vAlign w:val="center"/>
          </w:tcPr>
          <w:p w14:paraId="641CCAF3">
            <w:pPr>
              <w:pStyle w:val="144"/>
              <w:keepNext w:val="0"/>
              <w:keepLines w:val="0"/>
              <w:widowControl w:val="0"/>
              <w:shd w:val="clear" w:color="auto" w:fill="auto"/>
              <w:bidi w:val="0"/>
              <w:spacing w:before="0" w:after="6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基础</w:t>
            </w:r>
          </w:p>
          <w:p w14:paraId="0FEB526F">
            <w:pPr>
              <w:pStyle w:val="144"/>
              <w:keepNext w:val="0"/>
              <w:keepLines w:val="0"/>
              <w:widowControl w:val="0"/>
              <w:shd w:val="clear" w:color="auto" w:fill="auto"/>
              <w:bidi w:val="0"/>
              <w:spacing w:before="0" w:after="6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管理</w:t>
            </w:r>
          </w:p>
          <w:p w14:paraId="12EDA818">
            <w:pPr>
              <w:pStyle w:val="144"/>
              <w:keepNext w:val="0"/>
              <w:keepLines w:val="0"/>
              <w:widowControl w:val="0"/>
              <w:shd w:val="clear" w:color="auto" w:fill="auto"/>
              <w:bidi w:val="0"/>
              <w:spacing w:before="0" w:after="6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25</w:t>
            </w: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分</w:t>
            </w:r>
          </w:p>
        </w:tc>
        <w:tc>
          <w:tcPr>
            <w:tcW w:w="510" w:type="dxa"/>
            <w:tcBorders>
              <w:top w:val="single" w:color="auto" w:sz="4" w:space="0"/>
              <w:left w:val="single" w:color="auto" w:sz="4" w:space="0"/>
            </w:tcBorders>
            <w:noWrap w:val="0"/>
            <w:vAlign w:val="center"/>
          </w:tcPr>
          <w:p w14:paraId="6F184AA8">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tcBorders>
            <w:noWrap w:val="0"/>
            <w:vAlign w:val="center"/>
          </w:tcPr>
          <w:p w14:paraId="50290401">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管理有组织框架</w:t>
            </w:r>
          </w:p>
        </w:tc>
        <w:tc>
          <w:tcPr>
            <w:tcW w:w="592" w:type="dxa"/>
            <w:tcBorders>
              <w:top w:val="single" w:color="auto" w:sz="4" w:space="0"/>
              <w:left w:val="single" w:color="auto" w:sz="4" w:space="0"/>
            </w:tcBorders>
            <w:noWrap w:val="0"/>
            <w:vAlign w:val="center"/>
          </w:tcPr>
          <w:p w14:paraId="0F62E57B">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7E6069A4">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7ABD7B2">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3761D941">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6C20D621">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38CA9DCD">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1DF6E293">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有良好的管理制度并上墙公布</w:t>
            </w:r>
          </w:p>
        </w:tc>
        <w:tc>
          <w:tcPr>
            <w:tcW w:w="592" w:type="dxa"/>
            <w:tcBorders>
              <w:top w:val="single" w:color="auto" w:sz="4" w:space="0"/>
              <w:left w:val="single" w:color="auto" w:sz="4" w:space="0"/>
            </w:tcBorders>
            <w:noWrap w:val="0"/>
            <w:vAlign w:val="center"/>
          </w:tcPr>
          <w:p w14:paraId="569E1635">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29BAF8DF">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6E0054E8">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26ED753F">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56F3D73E">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681EA67E">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4FF7B542">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值班管理人员在岗</w:t>
            </w:r>
          </w:p>
        </w:tc>
        <w:tc>
          <w:tcPr>
            <w:tcW w:w="592" w:type="dxa"/>
            <w:tcBorders>
              <w:top w:val="single" w:color="auto" w:sz="4" w:space="0"/>
              <w:left w:val="single" w:color="auto" w:sz="4" w:space="0"/>
            </w:tcBorders>
            <w:noWrap w:val="0"/>
            <w:vAlign w:val="center"/>
          </w:tcPr>
          <w:p w14:paraId="59BA1845">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08C1A708">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2340A9BA">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65A139C6">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365EBDF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449AD69A">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3A434CFD">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值班人员善装整齐，没有穿短裤、拖鞋等现象</w:t>
            </w:r>
          </w:p>
        </w:tc>
        <w:tc>
          <w:tcPr>
            <w:tcW w:w="592" w:type="dxa"/>
            <w:tcBorders>
              <w:top w:val="single" w:color="auto" w:sz="4" w:space="0"/>
              <w:left w:val="single" w:color="auto" w:sz="4" w:space="0"/>
            </w:tcBorders>
            <w:noWrap w:val="0"/>
            <w:vAlign w:val="center"/>
          </w:tcPr>
          <w:p w14:paraId="31A6EBE0">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21CD0E87">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6B9A0A06">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2BE77881">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330D3BF7">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6FECC23F">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2FCE82C1">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值班人员不得在站内抽烟</w:t>
            </w:r>
          </w:p>
        </w:tc>
        <w:tc>
          <w:tcPr>
            <w:tcW w:w="592" w:type="dxa"/>
            <w:tcBorders>
              <w:top w:val="single" w:color="auto" w:sz="4" w:space="0"/>
              <w:left w:val="single" w:color="auto" w:sz="4" w:space="0"/>
            </w:tcBorders>
            <w:noWrap w:val="0"/>
            <w:vAlign w:val="center"/>
          </w:tcPr>
          <w:p w14:paraId="25DD2CB7">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3CA6F616">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A7DB361">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13D327F1">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62EF8D79">
            <w:pPr>
              <w:pStyle w:val="144"/>
              <w:keepNext w:val="0"/>
              <w:keepLines w:val="0"/>
              <w:widowControl w:val="0"/>
              <w:shd w:val="clear" w:color="auto" w:fill="auto"/>
              <w:bidi w:val="0"/>
              <w:spacing w:before="0" w:after="6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18BA3AF6">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36D44D4D">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非管理人员不得进入站内</w:t>
            </w:r>
          </w:p>
        </w:tc>
        <w:tc>
          <w:tcPr>
            <w:tcW w:w="592" w:type="dxa"/>
            <w:tcBorders>
              <w:top w:val="single" w:color="auto" w:sz="4" w:space="0"/>
              <w:left w:val="single" w:color="auto" w:sz="4" w:space="0"/>
            </w:tcBorders>
            <w:noWrap w:val="0"/>
            <w:vAlign w:val="center"/>
          </w:tcPr>
          <w:p w14:paraId="26CCE94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5C30C8F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52BB91E">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2B221623">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0668B43F">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34C52A57">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4E7E2F2F">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规范填写值班记录表格</w:t>
            </w:r>
          </w:p>
        </w:tc>
        <w:tc>
          <w:tcPr>
            <w:tcW w:w="592" w:type="dxa"/>
            <w:tcBorders>
              <w:top w:val="single" w:color="auto" w:sz="4" w:space="0"/>
              <w:left w:val="single" w:color="auto" w:sz="4" w:space="0"/>
            </w:tcBorders>
            <w:noWrap w:val="0"/>
            <w:vAlign w:val="center"/>
          </w:tcPr>
          <w:p w14:paraId="19B7014B">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78A0E9D1">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76BB6346">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157FCCF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061E5D7D">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455C784B">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247F6FCE">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规范填写设备检修表格</w:t>
            </w:r>
          </w:p>
        </w:tc>
        <w:tc>
          <w:tcPr>
            <w:tcW w:w="592" w:type="dxa"/>
            <w:tcBorders>
              <w:top w:val="single" w:color="auto" w:sz="4" w:space="0"/>
              <w:left w:val="single" w:color="auto" w:sz="4" w:space="0"/>
            </w:tcBorders>
            <w:noWrap w:val="0"/>
            <w:vAlign w:val="center"/>
          </w:tcPr>
          <w:p w14:paraId="7845EE3F">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6FB8B0CC">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D7033BC">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6E597565">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34C9F394">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1CD1F627">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6D909470">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台账记录不存在涂改现象</w:t>
            </w:r>
          </w:p>
        </w:tc>
        <w:tc>
          <w:tcPr>
            <w:tcW w:w="592" w:type="dxa"/>
            <w:tcBorders>
              <w:top w:val="single" w:color="auto" w:sz="4" w:space="0"/>
              <w:left w:val="single" w:color="auto" w:sz="4" w:space="0"/>
            </w:tcBorders>
            <w:noWrap w:val="0"/>
            <w:vAlign w:val="center"/>
          </w:tcPr>
          <w:p w14:paraId="3D4D106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783D9B2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61A8A51D">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5AE586B5">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113CFCE7">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6556D3D8">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346D3AED">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工作台面干净整洁</w:t>
            </w:r>
          </w:p>
        </w:tc>
        <w:tc>
          <w:tcPr>
            <w:tcW w:w="592" w:type="dxa"/>
            <w:tcBorders>
              <w:top w:val="single" w:color="auto" w:sz="4" w:space="0"/>
              <w:left w:val="single" w:color="auto" w:sz="4" w:space="0"/>
            </w:tcBorders>
            <w:noWrap w:val="0"/>
            <w:vAlign w:val="center"/>
          </w:tcPr>
          <w:p w14:paraId="1E089A26">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1B01196E">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3470321">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3119E5E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01957FF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4B609E5F">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4C0F906C">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不得利用污水泵站的房屋、院落进行经营活动</w:t>
            </w:r>
          </w:p>
        </w:tc>
        <w:tc>
          <w:tcPr>
            <w:tcW w:w="592" w:type="dxa"/>
            <w:tcBorders>
              <w:top w:val="single" w:color="auto" w:sz="4" w:space="0"/>
              <w:left w:val="single" w:color="auto" w:sz="4" w:space="0"/>
            </w:tcBorders>
            <w:noWrap w:val="0"/>
            <w:vAlign w:val="center"/>
          </w:tcPr>
          <w:p w14:paraId="008C98EE">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0B6DB6CB">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7FA9D810">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5BFDF58D">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61422E6C">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4783C126">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255D6B83">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泵站内部环境井然有序无杂物堆放、卫生良好</w:t>
            </w:r>
          </w:p>
        </w:tc>
        <w:tc>
          <w:tcPr>
            <w:tcW w:w="592" w:type="dxa"/>
            <w:tcBorders>
              <w:top w:val="single" w:color="auto" w:sz="4" w:space="0"/>
              <w:left w:val="single" w:color="auto" w:sz="4" w:space="0"/>
            </w:tcBorders>
            <w:noWrap w:val="0"/>
            <w:vAlign w:val="center"/>
          </w:tcPr>
          <w:p w14:paraId="65990C3F">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1A5A965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7D866ED4">
        <w:tblPrEx>
          <w:tblCellMar>
            <w:top w:w="0" w:type="dxa"/>
            <w:left w:w="10" w:type="dxa"/>
            <w:bottom w:w="0" w:type="dxa"/>
            <w:right w:w="10" w:type="dxa"/>
          </w:tblCellMar>
        </w:tblPrEx>
        <w:trPr>
          <w:trHeight w:val="369" w:hRule="exact"/>
          <w:jc w:val="center"/>
        </w:trPr>
        <w:tc>
          <w:tcPr>
            <w:tcW w:w="630" w:type="dxa"/>
            <w:vMerge w:val="restart"/>
            <w:tcBorders>
              <w:top w:val="single" w:color="auto" w:sz="4" w:space="0"/>
              <w:left w:val="single" w:color="auto" w:sz="4" w:space="0"/>
            </w:tcBorders>
            <w:noWrap w:val="0"/>
            <w:vAlign w:val="center"/>
          </w:tcPr>
          <w:p w14:paraId="38A022F8">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lang w:val="en-US" w:eastAsia="zh-CN"/>
                <w14:textFill>
                  <w14:solidFill>
                    <w14:schemeClr w14:val="tx1"/>
                  </w14:solidFill>
                </w14:textFill>
              </w:rPr>
              <w:t>二</w:t>
            </w:r>
          </w:p>
        </w:tc>
        <w:tc>
          <w:tcPr>
            <w:tcW w:w="907" w:type="dxa"/>
            <w:vMerge w:val="restart"/>
            <w:tcBorders>
              <w:top w:val="single" w:color="auto" w:sz="4" w:space="0"/>
              <w:left w:val="single" w:color="auto" w:sz="4" w:space="0"/>
            </w:tcBorders>
            <w:noWrap w:val="0"/>
            <w:vAlign w:val="center"/>
          </w:tcPr>
          <w:p w14:paraId="73CB78A9">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设备</w:t>
            </w:r>
          </w:p>
          <w:p w14:paraId="0732461C">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管理</w:t>
            </w:r>
          </w:p>
          <w:p w14:paraId="032540D9">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26</w:t>
            </w: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分</w:t>
            </w:r>
          </w:p>
        </w:tc>
        <w:tc>
          <w:tcPr>
            <w:tcW w:w="510" w:type="dxa"/>
            <w:tcBorders>
              <w:top w:val="single" w:color="auto" w:sz="4" w:space="0"/>
              <w:left w:val="single" w:color="auto" w:sz="4" w:space="0"/>
            </w:tcBorders>
            <w:noWrap w:val="0"/>
            <w:vAlign w:val="center"/>
          </w:tcPr>
          <w:p w14:paraId="2082FA89">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tcBorders>
            <w:noWrap w:val="0"/>
            <w:vAlign w:val="center"/>
          </w:tcPr>
          <w:p w14:paraId="5D3327EE">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开展定期检修检測设备且有记录</w:t>
            </w:r>
          </w:p>
        </w:tc>
        <w:tc>
          <w:tcPr>
            <w:tcW w:w="592" w:type="dxa"/>
            <w:tcBorders>
              <w:top w:val="single" w:color="auto" w:sz="4" w:space="0"/>
              <w:left w:val="single" w:color="auto" w:sz="4" w:space="0"/>
            </w:tcBorders>
            <w:noWrap w:val="0"/>
            <w:vAlign w:val="center"/>
          </w:tcPr>
          <w:p w14:paraId="3A00C5BD">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419FEABD">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62DF89D">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66EF67C8">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2B9C7C1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7B289A4A">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tcBorders>
            <w:noWrap w:val="0"/>
            <w:vAlign w:val="center"/>
          </w:tcPr>
          <w:p w14:paraId="414A3261">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开展设备。养工作</w:t>
            </w:r>
            <w:r>
              <w:rPr>
                <w:rFonts w:hint="eastAsia" w:ascii="宋体" w:hAnsi="宋体" w:eastAsia="宋体" w:cs="宋体"/>
                <w:color w:val="000000" w:themeColor="text1"/>
                <w:spacing w:val="0"/>
                <w:w w:val="100"/>
                <w:position w:val="0"/>
                <w:sz w:val="21"/>
                <w:szCs w:val="21"/>
                <w:highlight w:val="none"/>
                <w:lang w:val="zh-CN" w:eastAsia="zh-CN" w:bidi="zh-CN"/>
                <w14:textFill>
                  <w14:solidFill>
                    <w14:schemeClr w14:val="tx1"/>
                  </w14:solidFill>
                </w14:textFill>
              </w:rPr>
              <w:t>并记录</w:t>
            </w:r>
          </w:p>
        </w:tc>
        <w:tc>
          <w:tcPr>
            <w:tcW w:w="592" w:type="dxa"/>
            <w:tcBorders>
              <w:top w:val="single" w:color="auto" w:sz="4" w:space="0"/>
              <w:left w:val="single" w:color="auto" w:sz="4" w:space="0"/>
            </w:tcBorders>
            <w:noWrap w:val="0"/>
            <w:vAlign w:val="center"/>
          </w:tcPr>
          <w:p w14:paraId="5A71B29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2B95F376">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6CE04CF0">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4DAF7FE7">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2B1CFBCE">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1153F3A8">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tcBorders>
            <w:noWrap w:val="0"/>
            <w:vAlign w:val="center"/>
          </w:tcPr>
          <w:p w14:paraId="70EE7F63">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运行过程中夸异常现象未及时上报</w:t>
            </w:r>
          </w:p>
        </w:tc>
        <w:tc>
          <w:tcPr>
            <w:tcW w:w="592" w:type="dxa"/>
            <w:tcBorders>
              <w:top w:val="single" w:color="auto" w:sz="4" w:space="0"/>
              <w:left w:val="single" w:color="auto" w:sz="4" w:space="0"/>
            </w:tcBorders>
            <w:noWrap w:val="0"/>
            <w:vAlign w:val="center"/>
          </w:tcPr>
          <w:p w14:paraId="6462338B">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456230F4">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105A329">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0EF63FB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78DABE69">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1727DC0B">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4</w:t>
            </w:r>
          </w:p>
        </w:tc>
        <w:tc>
          <w:tcPr>
            <w:tcW w:w="3833" w:type="dxa"/>
            <w:tcBorders>
              <w:top w:val="single" w:color="auto" w:sz="4" w:space="0"/>
              <w:left w:val="single" w:color="auto" w:sz="4" w:space="0"/>
            </w:tcBorders>
            <w:noWrap w:val="0"/>
            <w:vAlign w:val="center"/>
          </w:tcPr>
          <w:p w14:paraId="630BBD35">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站内标志标牌设置规范并保持整洁</w:t>
            </w:r>
          </w:p>
        </w:tc>
        <w:tc>
          <w:tcPr>
            <w:tcW w:w="592" w:type="dxa"/>
            <w:tcBorders>
              <w:top w:val="single" w:color="auto" w:sz="4" w:space="0"/>
              <w:left w:val="single" w:color="auto" w:sz="4" w:space="0"/>
            </w:tcBorders>
            <w:noWrap w:val="0"/>
            <w:vAlign w:val="center"/>
          </w:tcPr>
          <w:p w14:paraId="3AC7BCED">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77D409CC">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7845570B">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366A6C4E">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1A72AB8C">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7EE4AFE9">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4</w:t>
            </w:r>
          </w:p>
        </w:tc>
        <w:tc>
          <w:tcPr>
            <w:tcW w:w="3833" w:type="dxa"/>
            <w:tcBorders>
              <w:top w:val="single" w:color="auto" w:sz="4" w:space="0"/>
              <w:left w:val="single" w:color="auto" w:sz="4" w:space="0"/>
            </w:tcBorders>
            <w:noWrap w:val="0"/>
            <w:vAlign w:val="center"/>
          </w:tcPr>
          <w:p w14:paraId="2F6FD897">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其他设备无缺陷</w:t>
            </w:r>
          </w:p>
        </w:tc>
        <w:tc>
          <w:tcPr>
            <w:tcW w:w="592" w:type="dxa"/>
            <w:tcBorders>
              <w:top w:val="single" w:color="auto" w:sz="4" w:space="0"/>
              <w:left w:val="single" w:color="auto" w:sz="4" w:space="0"/>
            </w:tcBorders>
            <w:noWrap w:val="0"/>
            <w:vAlign w:val="center"/>
          </w:tcPr>
          <w:p w14:paraId="5D06466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2524825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6588A4CD">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4C8414B1">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7EED61CD">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613FDB95">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33B1C6C4">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备用发电机运行良好</w:t>
            </w:r>
          </w:p>
        </w:tc>
        <w:tc>
          <w:tcPr>
            <w:tcW w:w="592" w:type="dxa"/>
            <w:tcBorders>
              <w:top w:val="single" w:color="auto" w:sz="4" w:space="0"/>
              <w:left w:val="single" w:color="auto" w:sz="4" w:space="0"/>
            </w:tcBorders>
            <w:noWrap w:val="0"/>
            <w:vAlign w:val="center"/>
          </w:tcPr>
          <w:p w14:paraId="4A0A7F8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5AC412C2">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4014AD6">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59E6BE5B">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35D5277D">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443243C4">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2A30E021">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污水池无明显漂浮物及垃圾</w:t>
            </w:r>
          </w:p>
        </w:tc>
        <w:tc>
          <w:tcPr>
            <w:tcW w:w="592" w:type="dxa"/>
            <w:tcBorders>
              <w:top w:val="single" w:color="auto" w:sz="4" w:space="0"/>
              <w:left w:val="single" w:color="auto" w:sz="4" w:space="0"/>
            </w:tcBorders>
            <w:noWrap w:val="0"/>
            <w:vAlign w:val="center"/>
          </w:tcPr>
          <w:p w14:paraId="0FD63F07">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128CCD33">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75B6598">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2147104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4EF7CEE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1C54CDB1">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tcBorders>
            <w:noWrap w:val="0"/>
            <w:vAlign w:val="center"/>
          </w:tcPr>
          <w:p w14:paraId="5B391FC0">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直班人员熟练掌握泵站运行设备的基本操作</w:t>
            </w:r>
          </w:p>
        </w:tc>
        <w:tc>
          <w:tcPr>
            <w:tcW w:w="592" w:type="dxa"/>
            <w:tcBorders>
              <w:top w:val="single" w:color="auto" w:sz="4" w:space="0"/>
              <w:left w:val="single" w:color="auto" w:sz="4" w:space="0"/>
            </w:tcBorders>
            <w:noWrap w:val="0"/>
            <w:vAlign w:val="center"/>
          </w:tcPr>
          <w:p w14:paraId="0CAF718B">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4B94993E">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78E39191">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74757C7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656F4B4C">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4F2971BA">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143F5106">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站内照明系统运行良好并无缺失现象</w:t>
            </w:r>
          </w:p>
        </w:tc>
        <w:tc>
          <w:tcPr>
            <w:tcW w:w="592" w:type="dxa"/>
            <w:tcBorders>
              <w:top w:val="single" w:color="auto" w:sz="4" w:space="0"/>
              <w:left w:val="single" w:color="auto" w:sz="4" w:space="0"/>
            </w:tcBorders>
            <w:noWrap w:val="0"/>
            <w:vAlign w:val="center"/>
          </w:tcPr>
          <w:p w14:paraId="4137F8A1">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32254D4B">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63772E3">
        <w:tblPrEx>
          <w:tblCellMar>
            <w:top w:w="0" w:type="dxa"/>
            <w:left w:w="10" w:type="dxa"/>
            <w:bottom w:w="0" w:type="dxa"/>
            <w:right w:w="10" w:type="dxa"/>
          </w:tblCellMar>
        </w:tblPrEx>
        <w:trPr>
          <w:trHeight w:val="369" w:hRule="exact"/>
          <w:jc w:val="center"/>
        </w:trPr>
        <w:tc>
          <w:tcPr>
            <w:tcW w:w="630" w:type="dxa"/>
            <w:vMerge w:val="restart"/>
            <w:tcBorders>
              <w:top w:val="single" w:color="auto" w:sz="4" w:space="0"/>
              <w:left w:val="single" w:color="auto" w:sz="4" w:space="0"/>
            </w:tcBorders>
            <w:noWrap w:val="0"/>
            <w:vAlign w:val="center"/>
          </w:tcPr>
          <w:p w14:paraId="12AF9151">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lang w:val="en-US" w:eastAsia="zh-CN"/>
                <w14:textFill>
                  <w14:solidFill>
                    <w14:schemeClr w14:val="tx1"/>
                  </w14:solidFill>
                </w14:textFill>
              </w:rPr>
              <w:t>三</w:t>
            </w:r>
          </w:p>
        </w:tc>
        <w:tc>
          <w:tcPr>
            <w:tcW w:w="907" w:type="dxa"/>
            <w:vMerge w:val="restart"/>
            <w:tcBorders>
              <w:top w:val="single" w:color="auto" w:sz="4" w:space="0"/>
              <w:left w:val="single" w:color="auto" w:sz="4" w:space="0"/>
            </w:tcBorders>
            <w:noWrap w:val="0"/>
            <w:vAlign w:val="center"/>
          </w:tcPr>
          <w:p w14:paraId="2AB39464">
            <w:pPr>
              <w:pStyle w:val="144"/>
              <w:keepNext w:val="0"/>
              <w:keepLines w:val="0"/>
              <w:widowControl w:val="0"/>
              <w:shd w:val="clear" w:color="auto" w:fill="auto"/>
              <w:bidi w:val="0"/>
              <w:spacing w:before="0" w:after="0" w:line="179" w:lineRule="exact"/>
              <w:ind w:left="160" w:right="0" w:firstLine="20"/>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lang w:val="en-US" w:eastAsia="zh-CN"/>
                <w14:textFill>
                  <w14:solidFill>
                    <w14:schemeClr w14:val="tx1"/>
                  </w14:solidFill>
                </w14:textFill>
              </w:rPr>
              <w:t>安全管理40分</w:t>
            </w:r>
          </w:p>
        </w:tc>
        <w:tc>
          <w:tcPr>
            <w:tcW w:w="510" w:type="dxa"/>
            <w:tcBorders>
              <w:top w:val="single" w:color="auto" w:sz="4" w:space="0"/>
              <w:left w:val="single" w:color="auto" w:sz="4" w:space="0"/>
            </w:tcBorders>
            <w:noWrap w:val="0"/>
            <w:vAlign w:val="center"/>
          </w:tcPr>
          <w:p w14:paraId="1D98DB10">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tcBorders>
            <w:noWrap w:val="0"/>
            <w:vAlign w:val="center"/>
          </w:tcPr>
          <w:p w14:paraId="361D5DB8">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私拉乱接电源</w:t>
            </w:r>
          </w:p>
        </w:tc>
        <w:tc>
          <w:tcPr>
            <w:tcW w:w="592" w:type="dxa"/>
            <w:tcBorders>
              <w:top w:val="single" w:color="auto" w:sz="4" w:space="0"/>
              <w:left w:val="single" w:color="auto" w:sz="4" w:space="0"/>
            </w:tcBorders>
            <w:noWrap w:val="0"/>
            <w:vAlign w:val="center"/>
          </w:tcPr>
          <w:p w14:paraId="2F83D4BB">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0D0D81F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A053927">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736DDC73">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48BF4EF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7104175B">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20</w:t>
            </w:r>
          </w:p>
        </w:tc>
        <w:tc>
          <w:tcPr>
            <w:tcW w:w="3833" w:type="dxa"/>
            <w:tcBorders>
              <w:top w:val="single" w:color="auto" w:sz="4" w:space="0"/>
              <w:left w:val="single" w:color="auto" w:sz="4" w:space="0"/>
            </w:tcBorders>
            <w:noWrap w:val="0"/>
            <w:vAlign w:val="center"/>
          </w:tcPr>
          <w:p w14:paraId="5FEB37C3">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未发生安全生产事故</w:t>
            </w:r>
          </w:p>
        </w:tc>
        <w:tc>
          <w:tcPr>
            <w:tcW w:w="592" w:type="dxa"/>
            <w:tcBorders>
              <w:top w:val="single" w:color="auto" w:sz="4" w:space="0"/>
              <w:left w:val="single" w:color="auto" w:sz="4" w:space="0"/>
            </w:tcBorders>
            <w:noWrap w:val="0"/>
            <w:vAlign w:val="center"/>
          </w:tcPr>
          <w:p w14:paraId="4B62790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5F166C97">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5D7D8BE">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425F430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5EB75735">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195679A4">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79B205A1">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对管理人员定期开展安全教育</w:t>
            </w:r>
          </w:p>
        </w:tc>
        <w:tc>
          <w:tcPr>
            <w:tcW w:w="592" w:type="dxa"/>
            <w:tcBorders>
              <w:top w:val="single" w:color="auto" w:sz="4" w:space="0"/>
              <w:left w:val="single" w:color="auto" w:sz="4" w:space="0"/>
            </w:tcBorders>
            <w:noWrap w:val="0"/>
            <w:vAlign w:val="center"/>
          </w:tcPr>
          <w:p w14:paraId="3D4AF63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2A97CE2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694B691">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23B14A92">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7A70FEFA">
            <w:pPr>
              <w:pStyle w:val="144"/>
              <w:keepNext w:val="0"/>
              <w:keepLines w:val="0"/>
              <w:widowControl w:val="0"/>
              <w:shd w:val="clear" w:color="auto" w:fill="auto"/>
              <w:bidi w:val="0"/>
              <w:spacing w:before="0" w:after="0" w:line="179" w:lineRule="exact"/>
              <w:ind w:left="160" w:right="0" w:firstLine="2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01FDAEA8">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2</w:t>
            </w:r>
          </w:p>
        </w:tc>
        <w:tc>
          <w:tcPr>
            <w:tcW w:w="3833" w:type="dxa"/>
            <w:tcBorders>
              <w:top w:val="single" w:color="auto" w:sz="4" w:space="0"/>
              <w:left w:val="single" w:color="auto" w:sz="4" w:space="0"/>
            </w:tcBorders>
            <w:noWrap w:val="0"/>
            <w:vAlign w:val="center"/>
          </w:tcPr>
          <w:p w14:paraId="1F0C764C">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站内有必要的安全保护设备</w:t>
            </w:r>
          </w:p>
        </w:tc>
        <w:tc>
          <w:tcPr>
            <w:tcW w:w="592" w:type="dxa"/>
            <w:tcBorders>
              <w:top w:val="single" w:color="auto" w:sz="4" w:space="0"/>
              <w:left w:val="single" w:color="auto" w:sz="4" w:space="0"/>
            </w:tcBorders>
            <w:noWrap w:val="0"/>
            <w:vAlign w:val="center"/>
          </w:tcPr>
          <w:p w14:paraId="3C23EE65">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2A9A7E58">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4AFBB30">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67271856">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2AF87115">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09CFBD7D">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tcBorders>
            <w:noWrap w:val="0"/>
            <w:vAlign w:val="center"/>
          </w:tcPr>
          <w:p w14:paraId="7ECC8884">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为工作人员办理意外伤害保险</w:t>
            </w:r>
          </w:p>
        </w:tc>
        <w:tc>
          <w:tcPr>
            <w:tcW w:w="592" w:type="dxa"/>
            <w:tcBorders>
              <w:top w:val="single" w:color="auto" w:sz="4" w:space="0"/>
              <w:left w:val="single" w:color="auto" w:sz="4" w:space="0"/>
            </w:tcBorders>
            <w:noWrap w:val="0"/>
            <w:vAlign w:val="center"/>
          </w:tcPr>
          <w:p w14:paraId="69F7526F">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5A84B6E8">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D9AF6E5">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7E9CF531">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08C6FE37">
            <w:pPr>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0D5835F7">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4</w:t>
            </w:r>
          </w:p>
        </w:tc>
        <w:tc>
          <w:tcPr>
            <w:tcW w:w="3833" w:type="dxa"/>
            <w:tcBorders>
              <w:top w:val="single" w:color="auto" w:sz="4" w:space="0"/>
              <w:left w:val="single" w:color="auto" w:sz="4" w:space="0"/>
            </w:tcBorders>
            <w:noWrap w:val="0"/>
            <w:vAlign w:val="center"/>
          </w:tcPr>
          <w:p w14:paraId="75EB6F38">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有应急管理预案</w:t>
            </w:r>
          </w:p>
        </w:tc>
        <w:tc>
          <w:tcPr>
            <w:tcW w:w="592" w:type="dxa"/>
            <w:tcBorders>
              <w:top w:val="single" w:color="auto" w:sz="4" w:space="0"/>
              <w:left w:val="single" w:color="auto" w:sz="4" w:space="0"/>
            </w:tcBorders>
            <w:noWrap w:val="0"/>
            <w:vAlign w:val="center"/>
          </w:tcPr>
          <w:p w14:paraId="6494806B">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61BB9347">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C975C01">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3FA4E4F1">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0793FC9B">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4A7F0222">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tcBorders>
            <w:noWrap w:val="0"/>
            <w:vAlign w:val="center"/>
          </w:tcPr>
          <w:p w14:paraId="784EE0C1">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特种操作持证上岗</w:t>
            </w:r>
          </w:p>
        </w:tc>
        <w:tc>
          <w:tcPr>
            <w:tcW w:w="592" w:type="dxa"/>
            <w:tcBorders>
              <w:top w:val="single" w:color="auto" w:sz="4" w:space="0"/>
              <w:left w:val="single" w:color="auto" w:sz="4" w:space="0"/>
            </w:tcBorders>
            <w:noWrap w:val="0"/>
            <w:vAlign w:val="center"/>
          </w:tcPr>
          <w:p w14:paraId="314960C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10BFC93F">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36AD8E7">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2B75670A">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318B59A5">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1A83CC49">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tcBorders>
            <w:noWrap w:val="0"/>
            <w:vAlign w:val="center"/>
          </w:tcPr>
          <w:p w14:paraId="71AB1EC4">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消防设备良好</w:t>
            </w:r>
          </w:p>
        </w:tc>
        <w:tc>
          <w:tcPr>
            <w:tcW w:w="592" w:type="dxa"/>
            <w:tcBorders>
              <w:top w:val="single" w:color="auto" w:sz="4" w:space="0"/>
              <w:left w:val="single" w:color="auto" w:sz="4" w:space="0"/>
            </w:tcBorders>
            <w:noWrap w:val="0"/>
            <w:vAlign w:val="center"/>
          </w:tcPr>
          <w:p w14:paraId="083B1EC4">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3EC16FDB">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7CE246B">
        <w:tblPrEx>
          <w:tblCellMar>
            <w:top w:w="0" w:type="dxa"/>
            <w:left w:w="10" w:type="dxa"/>
            <w:bottom w:w="0" w:type="dxa"/>
            <w:right w:w="10" w:type="dxa"/>
          </w:tblCellMar>
        </w:tblPrEx>
        <w:trPr>
          <w:trHeight w:val="369" w:hRule="exact"/>
          <w:jc w:val="center"/>
        </w:trPr>
        <w:tc>
          <w:tcPr>
            <w:tcW w:w="630" w:type="dxa"/>
            <w:vMerge w:val="restart"/>
            <w:tcBorders>
              <w:top w:val="single" w:color="auto" w:sz="4" w:space="0"/>
              <w:left w:val="single" w:color="auto" w:sz="4" w:space="0"/>
            </w:tcBorders>
            <w:noWrap w:val="0"/>
            <w:vAlign w:val="center"/>
          </w:tcPr>
          <w:p w14:paraId="02A179C8">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lang w:val="en-US" w:eastAsia="zh-CN"/>
                <w14:textFill>
                  <w14:solidFill>
                    <w14:schemeClr w14:val="tx1"/>
                  </w14:solidFill>
                </w14:textFill>
              </w:rPr>
              <w:t>四</w:t>
            </w:r>
          </w:p>
        </w:tc>
        <w:tc>
          <w:tcPr>
            <w:tcW w:w="907" w:type="dxa"/>
            <w:vMerge w:val="restart"/>
            <w:tcBorders>
              <w:top w:val="single" w:color="auto" w:sz="4" w:space="0"/>
              <w:left w:val="single" w:color="auto" w:sz="4" w:space="0"/>
            </w:tcBorders>
            <w:noWrap w:val="0"/>
            <w:vAlign w:val="center"/>
          </w:tcPr>
          <w:p w14:paraId="6BB93929">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站外</w:t>
            </w:r>
          </w:p>
          <w:p w14:paraId="68211D42">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管理</w:t>
            </w:r>
          </w:p>
          <w:p w14:paraId="54CFE35F">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9</w:t>
            </w: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分</w:t>
            </w:r>
          </w:p>
        </w:tc>
        <w:tc>
          <w:tcPr>
            <w:tcW w:w="510" w:type="dxa"/>
            <w:tcBorders>
              <w:top w:val="single" w:color="auto" w:sz="4" w:space="0"/>
              <w:left w:val="single" w:color="auto" w:sz="4" w:space="0"/>
            </w:tcBorders>
            <w:noWrap w:val="0"/>
            <w:vAlign w:val="center"/>
          </w:tcPr>
          <w:p w14:paraId="5F87B2DC">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tcBorders>
            <w:noWrap w:val="0"/>
            <w:vAlign w:val="center"/>
          </w:tcPr>
          <w:p w14:paraId="72960E1D">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室外区域保持清洁卫生，无杂物</w:t>
            </w:r>
          </w:p>
        </w:tc>
        <w:tc>
          <w:tcPr>
            <w:tcW w:w="592" w:type="dxa"/>
            <w:tcBorders>
              <w:top w:val="single" w:color="auto" w:sz="4" w:space="0"/>
              <w:left w:val="single" w:color="auto" w:sz="4" w:space="0"/>
            </w:tcBorders>
            <w:noWrap w:val="0"/>
            <w:vAlign w:val="center"/>
          </w:tcPr>
          <w:p w14:paraId="1E838809">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670B2FCE">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67EF443D">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tcBorders>
            <w:noWrap w:val="0"/>
            <w:vAlign w:val="center"/>
          </w:tcPr>
          <w:p w14:paraId="36E69502">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tcBorders>
            <w:noWrap w:val="0"/>
            <w:vAlign w:val="center"/>
          </w:tcPr>
          <w:p w14:paraId="16C1710C">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tcBorders>
            <w:noWrap w:val="0"/>
            <w:vAlign w:val="center"/>
          </w:tcPr>
          <w:p w14:paraId="50962046">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tcBorders>
            <w:noWrap w:val="0"/>
            <w:vAlign w:val="center"/>
          </w:tcPr>
          <w:p w14:paraId="16F2D6BF">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绿植及时修剪、维护，无干枯草皮、枯树</w:t>
            </w:r>
          </w:p>
        </w:tc>
        <w:tc>
          <w:tcPr>
            <w:tcW w:w="592" w:type="dxa"/>
            <w:tcBorders>
              <w:top w:val="single" w:color="auto" w:sz="4" w:space="0"/>
              <w:left w:val="single" w:color="auto" w:sz="4" w:space="0"/>
            </w:tcBorders>
            <w:noWrap w:val="0"/>
            <w:vAlign w:val="center"/>
          </w:tcPr>
          <w:p w14:paraId="48441ED5">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right w:val="single" w:color="auto" w:sz="4" w:space="0"/>
            </w:tcBorders>
            <w:noWrap w:val="0"/>
            <w:vAlign w:val="center"/>
          </w:tcPr>
          <w:p w14:paraId="6D73B387">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A030B5A">
        <w:tblPrEx>
          <w:tblCellMar>
            <w:top w:w="0" w:type="dxa"/>
            <w:left w:w="10" w:type="dxa"/>
            <w:bottom w:w="0" w:type="dxa"/>
            <w:right w:w="10" w:type="dxa"/>
          </w:tblCellMar>
        </w:tblPrEx>
        <w:trPr>
          <w:trHeight w:val="369" w:hRule="exact"/>
          <w:jc w:val="center"/>
        </w:trPr>
        <w:tc>
          <w:tcPr>
            <w:tcW w:w="630" w:type="dxa"/>
            <w:vMerge w:val="continue"/>
            <w:tcBorders>
              <w:left w:val="single" w:color="auto" w:sz="4" w:space="0"/>
              <w:bottom w:val="single" w:color="auto" w:sz="4" w:space="0"/>
            </w:tcBorders>
            <w:noWrap w:val="0"/>
            <w:vAlign w:val="center"/>
          </w:tcPr>
          <w:p w14:paraId="04A6911C">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vMerge w:val="continue"/>
            <w:tcBorders>
              <w:left w:val="single" w:color="auto" w:sz="4" w:space="0"/>
              <w:bottom w:val="single" w:color="auto" w:sz="4" w:space="0"/>
            </w:tcBorders>
            <w:noWrap w:val="0"/>
            <w:vAlign w:val="center"/>
          </w:tcPr>
          <w:p w14:paraId="73C2EA36">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510" w:type="dxa"/>
            <w:tcBorders>
              <w:top w:val="single" w:color="auto" w:sz="4" w:space="0"/>
              <w:left w:val="single" w:color="auto" w:sz="4" w:space="0"/>
              <w:bottom w:val="single" w:color="auto" w:sz="4" w:space="0"/>
            </w:tcBorders>
            <w:noWrap w:val="0"/>
            <w:vAlign w:val="center"/>
          </w:tcPr>
          <w:p w14:paraId="55044B85">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3</w:t>
            </w:r>
          </w:p>
        </w:tc>
        <w:tc>
          <w:tcPr>
            <w:tcW w:w="3833" w:type="dxa"/>
            <w:tcBorders>
              <w:top w:val="single" w:color="auto" w:sz="4" w:space="0"/>
              <w:left w:val="single" w:color="auto" w:sz="4" w:space="0"/>
              <w:bottom w:val="single" w:color="auto" w:sz="4" w:space="0"/>
            </w:tcBorders>
            <w:noWrap w:val="0"/>
            <w:vAlign w:val="center"/>
          </w:tcPr>
          <w:p w14:paraId="70773CA8">
            <w:pPr>
              <w:pStyle w:val="144"/>
              <w:keepNext w:val="0"/>
              <w:keepLines w:val="0"/>
              <w:widowControl w:val="0"/>
              <w:shd w:val="clear" w:color="auto" w:fill="auto"/>
              <w:bidi w:val="0"/>
              <w:spacing w:before="0" w:after="0" w:line="240" w:lineRule="auto"/>
              <w:ind w:left="0" w:right="0" w:firstLine="84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好，无安会隐患、翎失现象</w:t>
            </w:r>
          </w:p>
        </w:tc>
        <w:tc>
          <w:tcPr>
            <w:tcW w:w="592" w:type="dxa"/>
            <w:tcBorders>
              <w:top w:val="single" w:color="auto" w:sz="4" w:space="0"/>
              <w:left w:val="single" w:color="auto" w:sz="4" w:space="0"/>
              <w:bottom w:val="single" w:color="auto" w:sz="4" w:space="0"/>
            </w:tcBorders>
            <w:noWrap w:val="0"/>
            <w:vAlign w:val="center"/>
          </w:tcPr>
          <w:p w14:paraId="375A2C3E">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09C9CFDC">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6A3D775">
        <w:tblPrEx>
          <w:tblCellMar>
            <w:top w:w="0" w:type="dxa"/>
            <w:left w:w="10" w:type="dxa"/>
            <w:bottom w:w="0" w:type="dxa"/>
            <w:right w:w="10" w:type="dxa"/>
          </w:tblCellMar>
        </w:tblPrEx>
        <w:trPr>
          <w:trHeight w:val="369" w:hRule="exac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14:paraId="2C7F903E">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907" w:type="dxa"/>
            <w:tcBorders>
              <w:top w:val="single" w:color="auto" w:sz="4" w:space="0"/>
              <w:left w:val="single" w:color="auto" w:sz="4" w:space="0"/>
              <w:bottom w:val="single" w:color="auto" w:sz="4" w:space="0"/>
              <w:right w:val="single" w:color="auto" w:sz="4" w:space="0"/>
            </w:tcBorders>
            <w:noWrap w:val="0"/>
            <w:vAlign w:val="center"/>
          </w:tcPr>
          <w:p w14:paraId="2ED55685">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合计</w:t>
            </w:r>
          </w:p>
        </w:tc>
        <w:tc>
          <w:tcPr>
            <w:tcW w:w="510" w:type="dxa"/>
            <w:tcBorders>
              <w:top w:val="single" w:color="auto" w:sz="4" w:space="0"/>
              <w:left w:val="single" w:color="auto" w:sz="4" w:space="0"/>
              <w:bottom w:val="single" w:color="auto" w:sz="4" w:space="0"/>
              <w:right w:val="single" w:color="auto" w:sz="4" w:space="0"/>
            </w:tcBorders>
            <w:noWrap w:val="0"/>
            <w:vAlign w:val="center"/>
          </w:tcPr>
          <w:p w14:paraId="57D236D5">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pacing w:val="0"/>
                <w:w w:val="100"/>
                <w:position w:val="0"/>
                <w:sz w:val="21"/>
                <w:szCs w:val="21"/>
                <w:highlight w:val="none"/>
                <w14:textFill>
                  <w14:solidFill>
                    <w14:schemeClr w14:val="tx1"/>
                  </w14:solidFill>
                </w14:textFill>
              </w:rPr>
              <w:t>100</w:t>
            </w:r>
          </w:p>
        </w:tc>
        <w:tc>
          <w:tcPr>
            <w:tcW w:w="3833" w:type="dxa"/>
            <w:tcBorders>
              <w:top w:val="single" w:color="auto" w:sz="4" w:space="0"/>
              <w:left w:val="single" w:color="auto" w:sz="4" w:space="0"/>
              <w:bottom w:val="single" w:color="auto" w:sz="4" w:space="0"/>
              <w:right w:val="single" w:color="auto" w:sz="4" w:space="0"/>
            </w:tcBorders>
            <w:noWrap w:val="0"/>
            <w:vAlign w:val="center"/>
          </w:tcPr>
          <w:p w14:paraId="4E8B258F">
            <w:pPr>
              <w:pStyle w:val="144"/>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0"/>
                <w:w w:val="100"/>
                <w:position w:val="0"/>
                <w:sz w:val="21"/>
                <w:szCs w:val="21"/>
                <w:highlight w:val="none"/>
                <w14:textFill>
                  <w14:solidFill>
                    <w14:schemeClr w14:val="tx1"/>
                  </w14:solidFill>
                </w14:textFill>
              </w:rPr>
              <w:t>考核得分</w:t>
            </w:r>
          </w:p>
        </w:tc>
        <w:tc>
          <w:tcPr>
            <w:tcW w:w="592" w:type="dxa"/>
            <w:tcBorders>
              <w:top w:val="single" w:color="auto" w:sz="4" w:space="0"/>
              <w:left w:val="single" w:color="auto" w:sz="4" w:space="0"/>
              <w:bottom w:val="single" w:color="auto" w:sz="4" w:space="0"/>
              <w:right w:val="single" w:color="auto" w:sz="4" w:space="0"/>
            </w:tcBorders>
            <w:noWrap w:val="0"/>
            <w:vAlign w:val="center"/>
          </w:tcPr>
          <w:p w14:paraId="14741DAE">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6FE2492D">
            <w:pPr>
              <w:widowControl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08CBA44">
        <w:tblPrEx>
          <w:tblCellMar>
            <w:top w:w="0" w:type="dxa"/>
            <w:left w:w="10" w:type="dxa"/>
            <w:bottom w:w="0" w:type="dxa"/>
            <w:right w:w="10" w:type="dxa"/>
          </w:tblCellMar>
        </w:tblPrEx>
        <w:trPr>
          <w:trHeight w:val="369" w:hRule="exact"/>
          <w:jc w:val="center"/>
        </w:trPr>
        <w:tc>
          <w:tcPr>
            <w:tcW w:w="7506" w:type="dxa"/>
            <w:gridSpan w:val="6"/>
            <w:tcBorders>
              <w:top w:val="single" w:color="auto" w:sz="4" w:space="0"/>
              <w:left w:val="single" w:color="auto" w:sz="4" w:space="0"/>
              <w:bottom w:val="single" w:color="auto" w:sz="4" w:space="0"/>
              <w:right w:val="single" w:color="auto" w:sz="4" w:space="0"/>
            </w:tcBorders>
            <w:noWrap w:val="0"/>
            <w:vAlign w:val="center"/>
          </w:tcPr>
          <w:p w14:paraId="5677947E">
            <w:pPr>
              <w:widowControl w:val="0"/>
              <w:jc w:val="left"/>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考核人员：                                          考核时间：  年  月  日</w:t>
            </w:r>
          </w:p>
        </w:tc>
      </w:tr>
    </w:tbl>
    <w:p w14:paraId="74A16D1D">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宋体" w:hAnsi="宋体" w:eastAsia="宋体" w:cs="Times New Roman"/>
          <w:color w:val="000000" w:themeColor="text1"/>
          <w:sz w:val="21"/>
          <w:szCs w:val="21"/>
          <w:highlight w:val="none"/>
          <w:lang w:val="en-US" w:eastAsia="zh-CN"/>
          <w14:textFill>
            <w14:solidFill>
              <w14:schemeClr w14:val="tx1"/>
            </w14:solidFill>
          </w14:textFill>
        </w:rPr>
        <w:sectPr>
          <w:pgSz w:w="11907" w:h="16840"/>
          <w:pgMar w:top="1304" w:right="1588" w:bottom="1304" w:left="1588" w:header="720" w:footer="720" w:gutter="0"/>
          <w:pgNumType w:fmt="decimal"/>
          <w:cols w:space="720" w:num="1"/>
          <w:docGrid w:linePitch="286" w:charSpace="0"/>
        </w:sectPr>
      </w:pPr>
    </w:p>
    <w:p w14:paraId="3B75054C">
      <w:pPr>
        <w:pStyle w:val="143"/>
        <w:keepNext w:val="0"/>
        <w:keepLines w:val="0"/>
        <w:widowControl w:val="0"/>
        <w:shd w:val="clear" w:color="auto" w:fill="auto"/>
        <w:bidi w:val="0"/>
        <w:spacing w:before="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大</w:t>
      </w:r>
      <w:r>
        <w:rPr>
          <w:color w:val="000000" w:themeColor="text1"/>
          <w:spacing w:val="0"/>
          <w:w w:val="100"/>
          <w:position w:val="0"/>
          <w:sz w:val="21"/>
          <w:szCs w:val="21"/>
          <w:highlight w:val="none"/>
          <w:lang w:val="zh-CN" w:eastAsia="zh-CN" w:bidi="zh-CN"/>
          <w14:textFill>
            <w14:solidFill>
              <w14:schemeClr w14:val="tx1"/>
            </w14:solidFill>
          </w14:textFill>
        </w:rPr>
        <w:t>榭开发</w:t>
      </w:r>
      <w:r>
        <w:rPr>
          <w:color w:val="000000" w:themeColor="text1"/>
          <w:spacing w:val="0"/>
          <w:w w:val="100"/>
          <w:position w:val="0"/>
          <w:sz w:val="21"/>
          <w:szCs w:val="21"/>
          <w:highlight w:val="none"/>
          <w14:textFill>
            <w14:solidFill>
              <w14:schemeClr w14:val="tx1"/>
            </w14:solidFill>
          </w14:textFill>
        </w:rPr>
        <w:t>区污水提升泵站管理半年度考核表</w:t>
      </w:r>
    </w:p>
    <w:tbl>
      <w:tblPr>
        <w:tblStyle w:val="35"/>
        <w:tblW w:w="0" w:type="auto"/>
        <w:jc w:val="center"/>
        <w:tblLayout w:type="fixed"/>
        <w:tblCellMar>
          <w:top w:w="0" w:type="dxa"/>
          <w:left w:w="10" w:type="dxa"/>
          <w:bottom w:w="0" w:type="dxa"/>
          <w:right w:w="10" w:type="dxa"/>
        </w:tblCellMar>
      </w:tblPr>
      <w:tblGrid>
        <w:gridCol w:w="469"/>
        <w:gridCol w:w="768"/>
        <w:gridCol w:w="478"/>
        <w:gridCol w:w="4609"/>
        <w:gridCol w:w="698"/>
        <w:gridCol w:w="908"/>
      </w:tblGrid>
      <w:tr w14:paraId="3A2080BF">
        <w:tblPrEx>
          <w:tblCellMar>
            <w:top w:w="0" w:type="dxa"/>
            <w:left w:w="10" w:type="dxa"/>
            <w:bottom w:w="0" w:type="dxa"/>
            <w:right w:w="10" w:type="dxa"/>
          </w:tblCellMar>
        </w:tblPrEx>
        <w:trPr>
          <w:trHeight w:val="794" w:hRule="exact"/>
          <w:jc w:val="center"/>
        </w:trPr>
        <w:tc>
          <w:tcPr>
            <w:tcW w:w="0" w:type="auto"/>
            <w:tcBorders>
              <w:top w:val="single" w:color="auto" w:sz="4" w:space="0"/>
              <w:left w:val="single" w:color="auto" w:sz="4" w:space="0"/>
            </w:tcBorders>
            <w:noWrap w:val="0"/>
            <w:vAlign w:val="center"/>
          </w:tcPr>
          <w:p w14:paraId="37381D6B">
            <w:pPr>
              <w:pStyle w:val="144"/>
              <w:keepNext w:val="0"/>
              <w:keepLines w:val="0"/>
              <w:widowControl w:val="0"/>
              <w:shd w:val="clear" w:color="auto" w:fill="auto"/>
              <w:bidi w:val="0"/>
              <w:spacing w:before="0" w:after="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序号</w:t>
            </w:r>
          </w:p>
        </w:tc>
        <w:tc>
          <w:tcPr>
            <w:tcW w:w="0" w:type="auto"/>
            <w:tcBorders>
              <w:top w:val="single" w:color="auto" w:sz="4" w:space="0"/>
              <w:left w:val="single" w:color="auto" w:sz="4" w:space="0"/>
            </w:tcBorders>
            <w:noWrap w:val="0"/>
            <w:vAlign w:val="center"/>
          </w:tcPr>
          <w:p w14:paraId="75A6F084">
            <w:pPr>
              <w:pStyle w:val="144"/>
              <w:keepNext w:val="0"/>
              <w:keepLines w:val="0"/>
              <w:widowControl w:val="0"/>
              <w:shd w:val="clear" w:color="auto" w:fill="auto"/>
              <w:bidi w:val="0"/>
              <w:spacing w:before="0" w:after="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考核内容</w:t>
            </w:r>
          </w:p>
        </w:tc>
        <w:tc>
          <w:tcPr>
            <w:tcW w:w="0" w:type="auto"/>
            <w:tcBorders>
              <w:top w:val="single" w:color="auto" w:sz="4" w:space="0"/>
              <w:left w:val="single" w:color="auto" w:sz="4" w:space="0"/>
            </w:tcBorders>
            <w:noWrap w:val="0"/>
            <w:vAlign w:val="center"/>
          </w:tcPr>
          <w:p w14:paraId="45452375">
            <w:pPr>
              <w:pStyle w:val="144"/>
              <w:keepNext w:val="0"/>
              <w:keepLines w:val="0"/>
              <w:widowControl w:val="0"/>
              <w:shd w:val="clear" w:color="auto" w:fill="auto"/>
              <w:bidi w:val="0"/>
              <w:spacing w:before="0" w:after="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分值</w:t>
            </w:r>
          </w:p>
        </w:tc>
        <w:tc>
          <w:tcPr>
            <w:tcW w:w="4609" w:type="dxa"/>
            <w:tcBorders>
              <w:top w:val="single" w:color="auto" w:sz="4" w:space="0"/>
              <w:left w:val="single" w:color="auto" w:sz="4" w:space="0"/>
            </w:tcBorders>
            <w:noWrap w:val="0"/>
            <w:vAlign w:val="center"/>
          </w:tcPr>
          <w:p w14:paraId="0E5A37D0">
            <w:pPr>
              <w:pStyle w:val="144"/>
              <w:keepNext w:val="0"/>
              <w:keepLines w:val="0"/>
              <w:widowControl w:val="0"/>
              <w:shd w:val="clear" w:color="auto" w:fill="auto"/>
              <w:bidi w:val="0"/>
              <w:spacing w:before="0" w:after="0" w:line="240" w:lineRule="auto"/>
              <w:ind w:left="0" w:right="0" w:firstLine="58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评分标准（每一项扣完为止）</w:t>
            </w:r>
          </w:p>
        </w:tc>
        <w:tc>
          <w:tcPr>
            <w:tcW w:w="698" w:type="dxa"/>
            <w:tcBorders>
              <w:top w:val="single" w:color="auto" w:sz="4" w:space="0"/>
              <w:left w:val="single" w:color="auto" w:sz="4" w:space="0"/>
            </w:tcBorders>
            <w:noWrap w:val="0"/>
            <w:vAlign w:val="center"/>
          </w:tcPr>
          <w:p w14:paraId="4F44D595">
            <w:pPr>
              <w:pStyle w:val="144"/>
              <w:keepNext w:val="0"/>
              <w:keepLines w:val="0"/>
              <w:widowControl w:val="0"/>
              <w:shd w:val="clear" w:color="auto" w:fill="auto"/>
              <w:bidi w:val="0"/>
              <w:spacing w:before="0" w:after="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扣分</w:t>
            </w:r>
          </w:p>
        </w:tc>
        <w:tc>
          <w:tcPr>
            <w:tcW w:w="908" w:type="dxa"/>
            <w:tcBorders>
              <w:top w:val="single" w:color="auto" w:sz="4" w:space="0"/>
              <w:left w:val="single" w:color="auto" w:sz="4" w:space="0"/>
              <w:right w:val="single" w:color="auto" w:sz="4" w:space="0"/>
            </w:tcBorders>
            <w:noWrap w:val="0"/>
            <w:vAlign w:val="center"/>
          </w:tcPr>
          <w:p w14:paraId="5A5F3E80">
            <w:pPr>
              <w:pStyle w:val="144"/>
              <w:keepNext w:val="0"/>
              <w:keepLines w:val="0"/>
              <w:widowControl w:val="0"/>
              <w:shd w:val="clear" w:color="auto" w:fill="auto"/>
              <w:bidi w:val="0"/>
              <w:spacing w:before="0" w:after="0" w:line="240" w:lineRule="auto"/>
              <w:ind w:left="0" w:right="0" w:firstLine="0"/>
              <w:jc w:val="center"/>
              <w:rPr>
                <w:rFonts w:hint="default" w:eastAsia="宋体"/>
                <w:color w:val="000000" w:themeColor="text1"/>
                <w:sz w:val="21"/>
                <w:szCs w:val="21"/>
                <w:highlight w:val="none"/>
                <w:lang w:val="en-US" w:eastAsia="zh-CN"/>
                <w14:textFill>
                  <w14:solidFill>
                    <w14:schemeClr w14:val="tx1"/>
                  </w14:solidFill>
                </w14:textFill>
              </w:rPr>
            </w:pPr>
            <w:r>
              <w:rPr>
                <w:rFonts w:hint="eastAsia"/>
                <w:color w:val="000000" w:themeColor="text1"/>
                <w:spacing w:val="0"/>
                <w:w w:val="100"/>
                <w:position w:val="0"/>
                <w:sz w:val="21"/>
                <w:szCs w:val="21"/>
                <w:highlight w:val="none"/>
                <w:lang w:val="en-US" w:eastAsia="zh-CN"/>
                <w14:textFill>
                  <w14:solidFill>
                    <w14:schemeClr w14:val="tx1"/>
                  </w14:solidFill>
                </w14:textFill>
              </w:rPr>
              <w:t>扣分原因</w:t>
            </w:r>
          </w:p>
        </w:tc>
      </w:tr>
      <w:tr w14:paraId="4FD818C9">
        <w:tblPrEx>
          <w:tblCellMar>
            <w:top w:w="0" w:type="dxa"/>
            <w:left w:w="10" w:type="dxa"/>
            <w:bottom w:w="0" w:type="dxa"/>
            <w:right w:w="10" w:type="dxa"/>
          </w:tblCellMar>
        </w:tblPrEx>
        <w:trPr>
          <w:trHeight w:val="794" w:hRule="exact"/>
          <w:jc w:val="center"/>
        </w:trPr>
        <w:tc>
          <w:tcPr>
            <w:tcW w:w="0" w:type="auto"/>
            <w:vMerge w:val="restart"/>
            <w:tcBorders>
              <w:top w:val="single" w:color="auto" w:sz="4" w:space="0"/>
              <w:left w:val="single" w:color="auto" w:sz="4" w:space="0"/>
            </w:tcBorders>
            <w:noWrap w:val="0"/>
            <w:vAlign w:val="center"/>
          </w:tcPr>
          <w:p w14:paraId="4B6DE186">
            <w:pPr>
              <w:widowControl w:val="0"/>
              <w:jc w:val="center"/>
              <w:rPr>
                <w:rFonts w:hint="eastAsia"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一</w:t>
            </w:r>
          </w:p>
        </w:tc>
        <w:tc>
          <w:tcPr>
            <w:tcW w:w="0" w:type="auto"/>
            <w:vMerge w:val="restart"/>
            <w:tcBorders>
              <w:top w:val="single" w:color="auto" w:sz="4" w:space="0"/>
              <w:left w:val="single" w:color="auto" w:sz="4" w:space="0"/>
            </w:tcBorders>
            <w:noWrap w:val="0"/>
            <w:vAlign w:val="center"/>
          </w:tcPr>
          <w:p w14:paraId="4560DDCE">
            <w:pPr>
              <w:pStyle w:val="144"/>
              <w:keepNext w:val="0"/>
              <w:keepLines w:val="0"/>
              <w:widowControl w:val="0"/>
              <w:shd w:val="clear" w:color="auto" w:fill="auto"/>
              <w:bidi w:val="0"/>
              <w:spacing w:before="0" w:after="4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管理体系</w:t>
            </w:r>
          </w:p>
          <w:p w14:paraId="6322B7BE">
            <w:pPr>
              <w:pStyle w:val="144"/>
              <w:keepNext w:val="0"/>
              <w:keepLines w:val="0"/>
              <w:widowControl w:val="0"/>
              <w:shd w:val="clear" w:color="auto" w:fill="auto"/>
              <w:bidi w:val="0"/>
              <w:spacing w:before="0" w:after="0" w:line="240" w:lineRule="auto"/>
              <w:ind w:right="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（30 分）</w:t>
            </w:r>
          </w:p>
        </w:tc>
        <w:tc>
          <w:tcPr>
            <w:tcW w:w="0" w:type="auto"/>
            <w:tcBorders>
              <w:top w:val="single" w:color="auto" w:sz="4" w:space="0"/>
              <w:left w:val="single" w:color="auto" w:sz="4" w:space="0"/>
            </w:tcBorders>
            <w:noWrap w:val="0"/>
            <w:vAlign w:val="center"/>
          </w:tcPr>
          <w:p w14:paraId="2E59D091">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5</w:t>
            </w:r>
          </w:p>
        </w:tc>
        <w:tc>
          <w:tcPr>
            <w:tcW w:w="4609" w:type="dxa"/>
            <w:tcBorders>
              <w:top w:val="single" w:color="auto" w:sz="4" w:space="0"/>
              <w:left w:val="single" w:color="auto" w:sz="4" w:space="0"/>
            </w:tcBorders>
            <w:noWrap w:val="0"/>
            <w:vAlign w:val="center"/>
          </w:tcPr>
          <w:p w14:paraId="4CFBF639">
            <w:pPr>
              <w:pStyle w:val="144"/>
              <w:keepNext w:val="0"/>
              <w:keepLines w:val="0"/>
              <w:widowControl w:val="0"/>
              <w:shd w:val="clear" w:color="auto" w:fill="auto"/>
              <w:bidi w:val="0"/>
              <w:spacing w:before="0" w:after="0" w:line="198"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建立内部管理体系，明确3个污水提升泵站的负 责部门、岗位、人员。管理体系不健全的，每一处扣1分。</w:t>
            </w:r>
          </w:p>
        </w:tc>
        <w:tc>
          <w:tcPr>
            <w:tcW w:w="698" w:type="dxa"/>
            <w:tcBorders>
              <w:top w:val="single" w:color="auto" w:sz="4" w:space="0"/>
              <w:left w:val="single" w:color="auto" w:sz="4" w:space="0"/>
            </w:tcBorders>
            <w:noWrap w:val="0"/>
            <w:vAlign w:val="center"/>
          </w:tcPr>
          <w:p w14:paraId="3C681497">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15153865">
            <w:pPr>
              <w:widowControl w:val="0"/>
              <w:jc w:val="center"/>
              <w:rPr>
                <w:color w:val="000000" w:themeColor="text1"/>
                <w:sz w:val="21"/>
                <w:szCs w:val="21"/>
                <w:highlight w:val="none"/>
                <w14:textFill>
                  <w14:solidFill>
                    <w14:schemeClr w14:val="tx1"/>
                  </w14:solidFill>
                </w14:textFill>
              </w:rPr>
            </w:pPr>
          </w:p>
        </w:tc>
      </w:tr>
      <w:tr w14:paraId="46229CF6">
        <w:tblPrEx>
          <w:tblCellMar>
            <w:top w:w="0" w:type="dxa"/>
            <w:left w:w="10" w:type="dxa"/>
            <w:bottom w:w="0" w:type="dxa"/>
            <w:right w:w="10" w:type="dxa"/>
          </w:tblCellMar>
        </w:tblPrEx>
        <w:trPr>
          <w:trHeight w:val="794" w:hRule="exact"/>
          <w:jc w:val="center"/>
        </w:trPr>
        <w:tc>
          <w:tcPr>
            <w:tcW w:w="0" w:type="auto"/>
            <w:vMerge w:val="continue"/>
            <w:tcBorders>
              <w:left w:val="single" w:color="auto" w:sz="4" w:space="0"/>
            </w:tcBorders>
            <w:noWrap w:val="0"/>
            <w:vAlign w:val="center"/>
          </w:tcPr>
          <w:p w14:paraId="3E44AC4D">
            <w:pPr>
              <w:jc w:val="center"/>
              <w:rPr>
                <w:color w:val="000000" w:themeColor="text1"/>
                <w:sz w:val="21"/>
                <w:szCs w:val="21"/>
                <w:highlight w:val="none"/>
                <w14:textFill>
                  <w14:solidFill>
                    <w14:schemeClr w14:val="tx1"/>
                  </w14:solidFill>
                </w14:textFill>
              </w:rPr>
            </w:pPr>
          </w:p>
        </w:tc>
        <w:tc>
          <w:tcPr>
            <w:tcW w:w="0" w:type="auto"/>
            <w:vMerge w:val="continue"/>
            <w:tcBorders>
              <w:left w:val="single" w:color="auto" w:sz="4" w:space="0"/>
            </w:tcBorders>
            <w:noWrap w:val="0"/>
            <w:vAlign w:val="center"/>
          </w:tcPr>
          <w:p w14:paraId="05D1B115">
            <w:pPr>
              <w:jc w:val="center"/>
              <w:rPr>
                <w:color w:val="000000" w:themeColor="text1"/>
                <w:sz w:val="21"/>
                <w:szCs w:val="21"/>
                <w:highlight w:val="none"/>
                <w14:textFill>
                  <w14:solidFill>
                    <w14:schemeClr w14:val="tx1"/>
                  </w14:solidFill>
                </w14:textFill>
              </w:rPr>
            </w:pPr>
          </w:p>
        </w:tc>
        <w:tc>
          <w:tcPr>
            <w:tcW w:w="0" w:type="auto"/>
            <w:tcBorders>
              <w:top w:val="single" w:color="auto" w:sz="4" w:space="0"/>
              <w:left w:val="single" w:color="auto" w:sz="4" w:space="0"/>
            </w:tcBorders>
            <w:noWrap w:val="0"/>
            <w:vAlign w:val="center"/>
          </w:tcPr>
          <w:p w14:paraId="66790875">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10</w:t>
            </w:r>
          </w:p>
        </w:tc>
        <w:tc>
          <w:tcPr>
            <w:tcW w:w="4609" w:type="dxa"/>
            <w:tcBorders>
              <w:top w:val="single" w:color="auto" w:sz="4" w:space="0"/>
              <w:left w:val="single" w:color="auto" w:sz="4" w:space="0"/>
            </w:tcBorders>
            <w:noWrap w:val="0"/>
            <w:vAlign w:val="center"/>
          </w:tcPr>
          <w:p w14:paraId="7776A01B">
            <w:pPr>
              <w:pStyle w:val="144"/>
              <w:keepNext w:val="0"/>
              <w:keepLines w:val="0"/>
              <w:widowControl w:val="0"/>
              <w:shd w:val="clear" w:color="auto" w:fill="auto"/>
              <w:bidi w:val="0"/>
              <w:spacing w:before="0" w:after="0" w:line="196"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建立内部管理制度，明确岗位职责、管理标准（包 括应急预案）以及安全生产等操作规程等。管理 制度不齐全的，每一处扣2分。</w:t>
            </w:r>
          </w:p>
        </w:tc>
        <w:tc>
          <w:tcPr>
            <w:tcW w:w="698" w:type="dxa"/>
            <w:tcBorders>
              <w:top w:val="single" w:color="auto" w:sz="4" w:space="0"/>
              <w:left w:val="single" w:color="auto" w:sz="4" w:space="0"/>
            </w:tcBorders>
            <w:noWrap w:val="0"/>
            <w:vAlign w:val="center"/>
          </w:tcPr>
          <w:p w14:paraId="4CB78C6D">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42CBEC0A">
            <w:pPr>
              <w:widowControl w:val="0"/>
              <w:jc w:val="center"/>
              <w:rPr>
                <w:color w:val="000000" w:themeColor="text1"/>
                <w:sz w:val="21"/>
                <w:szCs w:val="21"/>
                <w:highlight w:val="none"/>
                <w14:textFill>
                  <w14:solidFill>
                    <w14:schemeClr w14:val="tx1"/>
                  </w14:solidFill>
                </w14:textFill>
              </w:rPr>
            </w:pPr>
          </w:p>
        </w:tc>
      </w:tr>
      <w:tr w14:paraId="7EA948BC">
        <w:tblPrEx>
          <w:tblCellMar>
            <w:top w:w="0" w:type="dxa"/>
            <w:left w:w="10" w:type="dxa"/>
            <w:bottom w:w="0" w:type="dxa"/>
            <w:right w:w="10" w:type="dxa"/>
          </w:tblCellMar>
        </w:tblPrEx>
        <w:trPr>
          <w:trHeight w:val="794" w:hRule="exact"/>
          <w:jc w:val="center"/>
        </w:trPr>
        <w:tc>
          <w:tcPr>
            <w:tcW w:w="0" w:type="auto"/>
            <w:vMerge w:val="continue"/>
            <w:tcBorders>
              <w:left w:val="single" w:color="auto" w:sz="4" w:space="0"/>
            </w:tcBorders>
            <w:noWrap w:val="0"/>
            <w:vAlign w:val="center"/>
          </w:tcPr>
          <w:p w14:paraId="606BCB98">
            <w:pPr>
              <w:jc w:val="center"/>
              <w:rPr>
                <w:color w:val="000000" w:themeColor="text1"/>
                <w:sz w:val="21"/>
                <w:szCs w:val="21"/>
                <w:highlight w:val="none"/>
                <w14:textFill>
                  <w14:solidFill>
                    <w14:schemeClr w14:val="tx1"/>
                  </w14:solidFill>
                </w14:textFill>
              </w:rPr>
            </w:pPr>
          </w:p>
        </w:tc>
        <w:tc>
          <w:tcPr>
            <w:tcW w:w="0" w:type="auto"/>
            <w:vMerge w:val="continue"/>
            <w:tcBorders>
              <w:left w:val="single" w:color="auto" w:sz="4" w:space="0"/>
            </w:tcBorders>
            <w:noWrap w:val="0"/>
            <w:vAlign w:val="center"/>
          </w:tcPr>
          <w:p w14:paraId="0865BADD">
            <w:pPr>
              <w:jc w:val="center"/>
              <w:rPr>
                <w:color w:val="000000" w:themeColor="text1"/>
                <w:sz w:val="21"/>
                <w:szCs w:val="21"/>
                <w:highlight w:val="none"/>
                <w14:textFill>
                  <w14:solidFill>
                    <w14:schemeClr w14:val="tx1"/>
                  </w14:solidFill>
                </w14:textFill>
              </w:rPr>
            </w:pPr>
          </w:p>
        </w:tc>
        <w:tc>
          <w:tcPr>
            <w:tcW w:w="0" w:type="auto"/>
            <w:tcBorders>
              <w:top w:val="single" w:color="auto" w:sz="4" w:space="0"/>
              <w:left w:val="single" w:color="auto" w:sz="4" w:space="0"/>
            </w:tcBorders>
            <w:noWrap w:val="0"/>
            <w:vAlign w:val="center"/>
          </w:tcPr>
          <w:p w14:paraId="3F5F06B3">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10</w:t>
            </w:r>
          </w:p>
        </w:tc>
        <w:tc>
          <w:tcPr>
            <w:tcW w:w="4609" w:type="dxa"/>
            <w:tcBorders>
              <w:top w:val="single" w:color="auto" w:sz="4" w:space="0"/>
              <w:left w:val="single" w:color="auto" w:sz="4" w:space="0"/>
            </w:tcBorders>
            <w:noWrap w:val="0"/>
            <w:vAlign w:val="center"/>
          </w:tcPr>
          <w:p w14:paraId="3D888BCA">
            <w:pPr>
              <w:pStyle w:val="144"/>
              <w:keepNext w:val="0"/>
              <w:keepLines w:val="0"/>
              <w:widowControl w:val="0"/>
              <w:shd w:val="clear" w:color="auto" w:fill="auto"/>
              <w:bidi w:val="0"/>
              <w:spacing w:before="0" w:after="0" w:line="195"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建立污水提升泵站运行台帐资料，包括工作制度、巡查监督情况，以及运行、维修等信息记录。台 账资料不完善的，每一处扣2分。</w:t>
            </w:r>
          </w:p>
        </w:tc>
        <w:tc>
          <w:tcPr>
            <w:tcW w:w="698" w:type="dxa"/>
            <w:tcBorders>
              <w:top w:val="single" w:color="auto" w:sz="4" w:space="0"/>
              <w:left w:val="single" w:color="auto" w:sz="4" w:space="0"/>
            </w:tcBorders>
            <w:noWrap w:val="0"/>
            <w:vAlign w:val="center"/>
          </w:tcPr>
          <w:p w14:paraId="4E531483">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12DF2C75">
            <w:pPr>
              <w:widowControl w:val="0"/>
              <w:jc w:val="center"/>
              <w:rPr>
                <w:color w:val="000000" w:themeColor="text1"/>
                <w:sz w:val="21"/>
                <w:szCs w:val="21"/>
                <w:highlight w:val="none"/>
                <w14:textFill>
                  <w14:solidFill>
                    <w14:schemeClr w14:val="tx1"/>
                  </w14:solidFill>
                </w14:textFill>
              </w:rPr>
            </w:pPr>
          </w:p>
        </w:tc>
      </w:tr>
      <w:tr w14:paraId="4C656844">
        <w:tblPrEx>
          <w:tblCellMar>
            <w:top w:w="0" w:type="dxa"/>
            <w:left w:w="10" w:type="dxa"/>
            <w:bottom w:w="0" w:type="dxa"/>
            <w:right w:w="10" w:type="dxa"/>
          </w:tblCellMar>
        </w:tblPrEx>
        <w:trPr>
          <w:trHeight w:val="794" w:hRule="exact"/>
          <w:jc w:val="center"/>
        </w:trPr>
        <w:tc>
          <w:tcPr>
            <w:tcW w:w="0" w:type="auto"/>
            <w:vMerge w:val="continue"/>
            <w:tcBorders>
              <w:left w:val="single" w:color="auto" w:sz="4" w:space="0"/>
            </w:tcBorders>
            <w:noWrap w:val="0"/>
            <w:vAlign w:val="center"/>
          </w:tcPr>
          <w:p w14:paraId="6A857B1A">
            <w:pPr>
              <w:jc w:val="center"/>
              <w:rPr>
                <w:color w:val="000000" w:themeColor="text1"/>
                <w:sz w:val="21"/>
                <w:szCs w:val="21"/>
                <w:highlight w:val="none"/>
                <w14:textFill>
                  <w14:solidFill>
                    <w14:schemeClr w14:val="tx1"/>
                  </w14:solidFill>
                </w14:textFill>
              </w:rPr>
            </w:pPr>
          </w:p>
        </w:tc>
        <w:tc>
          <w:tcPr>
            <w:tcW w:w="0" w:type="auto"/>
            <w:vMerge w:val="continue"/>
            <w:tcBorders>
              <w:left w:val="single" w:color="auto" w:sz="4" w:space="0"/>
            </w:tcBorders>
            <w:noWrap w:val="0"/>
            <w:vAlign w:val="center"/>
          </w:tcPr>
          <w:p w14:paraId="4E554BD6">
            <w:pPr>
              <w:jc w:val="center"/>
              <w:rPr>
                <w:color w:val="000000" w:themeColor="text1"/>
                <w:sz w:val="21"/>
                <w:szCs w:val="21"/>
                <w:highlight w:val="none"/>
                <w14:textFill>
                  <w14:solidFill>
                    <w14:schemeClr w14:val="tx1"/>
                  </w14:solidFill>
                </w14:textFill>
              </w:rPr>
            </w:pPr>
          </w:p>
        </w:tc>
        <w:tc>
          <w:tcPr>
            <w:tcW w:w="0" w:type="auto"/>
            <w:tcBorders>
              <w:top w:val="single" w:color="auto" w:sz="4" w:space="0"/>
              <w:left w:val="single" w:color="auto" w:sz="4" w:space="0"/>
            </w:tcBorders>
            <w:noWrap w:val="0"/>
            <w:vAlign w:val="center"/>
          </w:tcPr>
          <w:p w14:paraId="68EA6689">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5</w:t>
            </w:r>
          </w:p>
        </w:tc>
        <w:tc>
          <w:tcPr>
            <w:tcW w:w="4609" w:type="dxa"/>
            <w:tcBorders>
              <w:top w:val="single" w:color="auto" w:sz="4" w:space="0"/>
              <w:left w:val="single" w:color="auto" w:sz="4" w:space="0"/>
            </w:tcBorders>
            <w:noWrap w:val="0"/>
            <w:vAlign w:val="center"/>
          </w:tcPr>
          <w:p w14:paraId="160B512C">
            <w:pPr>
              <w:pStyle w:val="144"/>
              <w:keepNext w:val="0"/>
              <w:keepLines w:val="0"/>
              <w:widowControl w:val="0"/>
              <w:shd w:val="clear" w:color="auto" w:fill="auto"/>
              <w:bidi w:val="0"/>
              <w:spacing w:before="0" w:after="0" w:line="202"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建立运维计划，年终有总结，及时上报相关统计 报表。未建立或未及时上报，每一处扣2分。</w:t>
            </w:r>
          </w:p>
        </w:tc>
        <w:tc>
          <w:tcPr>
            <w:tcW w:w="698" w:type="dxa"/>
            <w:tcBorders>
              <w:top w:val="single" w:color="auto" w:sz="4" w:space="0"/>
              <w:left w:val="single" w:color="auto" w:sz="4" w:space="0"/>
            </w:tcBorders>
            <w:noWrap w:val="0"/>
            <w:vAlign w:val="center"/>
          </w:tcPr>
          <w:p w14:paraId="773CE226">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3EDB7572">
            <w:pPr>
              <w:widowControl w:val="0"/>
              <w:jc w:val="center"/>
              <w:rPr>
                <w:color w:val="000000" w:themeColor="text1"/>
                <w:sz w:val="21"/>
                <w:szCs w:val="21"/>
                <w:highlight w:val="none"/>
                <w14:textFill>
                  <w14:solidFill>
                    <w14:schemeClr w14:val="tx1"/>
                  </w14:solidFill>
                </w14:textFill>
              </w:rPr>
            </w:pPr>
          </w:p>
        </w:tc>
      </w:tr>
      <w:tr w14:paraId="1FF5EBCC">
        <w:tblPrEx>
          <w:tblCellMar>
            <w:top w:w="0" w:type="dxa"/>
            <w:left w:w="10" w:type="dxa"/>
            <w:bottom w:w="0" w:type="dxa"/>
            <w:right w:w="10" w:type="dxa"/>
          </w:tblCellMar>
        </w:tblPrEx>
        <w:trPr>
          <w:trHeight w:val="794" w:hRule="exact"/>
          <w:jc w:val="center"/>
        </w:trPr>
        <w:tc>
          <w:tcPr>
            <w:tcW w:w="0" w:type="auto"/>
            <w:vMerge w:val="restart"/>
            <w:tcBorders>
              <w:top w:val="single" w:color="auto" w:sz="4" w:space="0"/>
              <w:left w:val="single" w:color="auto" w:sz="4" w:space="0"/>
            </w:tcBorders>
            <w:noWrap w:val="0"/>
            <w:vAlign w:val="center"/>
          </w:tcPr>
          <w:p w14:paraId="2EADE137">
            <w:pPr>
              <w:pStyle w:val="144"/>
              <w:keepNext w:val="0"/>
              <w:keepLines w:val="0"/>
              <w:widowControl w:val="0"/>
              <w:shd w:val="clear" w:color="auto" w:fill="auto"/>
              <w:bidi w:val="0"/>
              <w:spacing w:before="0" w:after="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二</w:t>
            </w:r>
          </w:p>
        </w:tc>
        <w:tc>
          <w:tcPr>
            <w:tcW w:w="0" w:type="auto"/>
            <w:vMerge w:val="restart"/>
            <w:tcBorders>
              <w:top w:val="single" w:color="auto" w:sz="4" w:space="0"/>
              <w:left w:val="single" w:color="auto" w:sz="4" w:space="0"/>
            </w:tcBorders>
            <w:noWrap w:val="0"/>
            <w:vAlign w:val="center"/>
          </w:tcPr>
          <w:p w14:paraId="4764457E">
            <w:pPr>
              <w:pStyle w:val="144"/>
              <w:keepNext w:val="0"/>
              <w:keepLines w:val="0"/>
              <w:widowControl w:val="0"/>
              <w:shd w:val="clear" w:color="auto" w:fill="auto"/>
              <w:bidi w:val="0"/>
              <w:spacing w:before="0" w:after="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实效管理</w:t>
            </w:r>
          </w:p>
          <w:p w14:paraId="3832023A">
            <w:pPr>
              <w:pStyle w:val="144"/>
              <w:keepNext w:val="0"/>
              <w:keepLines w:val="0"/>
              <w:widowControl w:val="0"/>
              <w:shd w:val="clear" w:color="auto" w:fill="auto"/>
              <w:bidi w:val="0"/>
              <w:spacing w:before="0" w:after="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（40 分）</w:t>
            </w:r>
          </w:p>
        </w:tc>
        <w:tc>
          <w:tcPr>
            <w:tcW w:w="0" w:type="auto"/>
            <w:tcBorders>
              <w:top w:val="single" w:color="auto" w:sz="4" w:space="0"/>
              <w:left w:val="single" w:color="auto" w:sz="4" w:space="0"/>
            </w:tcBorders>
            <w:noWrap w:val="0"/>
            <w:vAlign w:val="center"/>
          </w:tcPr>
          <w:p w14:paraId="3B7A9063">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10</w:t>
            </w:r>
          </w:p>
        </w:tc>
        <w:tc>
          <w:tcPr>
            <w:tcW w:w="4609" w:type="dxa"/>
            <w:tcBorders>
              <w:top w:val="single" w:color="auto" w:sz="4" w:space="0"/>
              <w:left w:val="single" w:color="auto" w:sz="4" w:space="0"/>
            </w:tcBorders>
            <w:noWrap w:val="0"/>
            <w:vAlign w:val="center"/>
          </w:tcPr>
          <w:p w14:paraId="7CE65EEC">
            <w:pPr>
              <w:pStyle w:val="144"/>
              <w:keepNext w:val="0"/>
              <w:keepLines w:val="0"/>
              <w:widowControl w:val="0"/>
              <w:shd w:val="clear" w:color="auto" w:fill="auto"/>
              <w:bidi w:val="0"/>
              <w:spacing w:before="0" w:after="0" w:line="198"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站内设施设备运行良好稳定，标识标牌齐全。发现一处不符合的，每次扣1分</w:t>
            </w:r>
          </w:p>
        </w:tc>
        <w:tc>
          <w:tcPr>
            <w:tcW w:w="698" w:type="dxa"/>
            <w:tcBorders>
              <w:top w:val="single" w:color="auto" w:sz="4" w:space="0"/>
              <w:left w:val="single" w:color="auto" w:sz="4" w:space="0"/>
            </w:tcBorders>
            <w:noWrap w:val="0"/>
            <w:vAlign w:val="center"/>
          </w:tcPr>
          <w:p w14:paraId="7305705A">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2B152A98">
            <w:pPr>
              <w:widowControl w:val="0"/>
              <w:jc w:val="center"/>
              <w:rPr>
                <w:color w:val="000000" w:themeColor="text1"/>
                <w:sz w:val="21"/>
                <w:szCs w:val="21"/>
                <w:highlight w:val="none"/>
                <w14:textFill>
                  <w14:solidFill>
                    <w14:schemeClr w14:val="tx1"/>
                  </w14:solidFill>
                </w14:textFill>
              </w:rPr>
            </w:pPr>
          </w:p>
        </w:tc>
      </w:tr>
      <w:tr w14:paraId="702E583F">
        <w:tblPrEx>
          <w:tblCellMar>
            <w:top w:w="0" w:type="dxa"/>
            <w:left w:w="10" w:type="dxa"/>
            <w:bottom w:w="0" w:type="dxa"/>
            <w:right w:w="10" w:type="dxa"/>
          </w:tblCellMar>
        </w:tblPrEx>
        <w:trPr>
          <w:trHeight w:val="794" w:hRule="exact"/>
          <w:jc w:val="center"/>
        </w:trPr>
        <w:tc>
          <w:tcPr>
            <w:tcW w:w="0" w:type="auto"/>
            <w:vMerge w:val="continue"/>
            <w:tcBorders>
              <w:left w:val="single" w:color="auto" w:sz="4" w:space="0"/>
            </w:tcBorders>
            <w:noWrap w:val="0"/>
            <w:vAlign w:val="center"/>
          </w:tcPr>
          <w:p w14:paraId="4EE1D002">
            <w:pPr>
              <w:jc w:val="center"/>
              <w:rPr>
                <w:color w:val="000000" w:themeColor="text1"/>
                <w:sz w:val="21"/>
                <w:szCs w:val="21"/>
                <w:highlight w:val="none"/>
                <w14:textFill>
                  <w14:solidFill>
                    <w14:schemeClr w14:val="tx1"/>
                  </w14:solidFill>
                </w14:textFill>
              </w:rPr>
            </w:pPr>
          </w:p>
        </w:tc>
        <w:tc>
          <w:tcPr>
            <w:tcW w:w="0" w:type="auto"/>
            <w:vMerge w:val="continue"/>
            <w:tcBorders>
              <w:left w:val="single" w:color="auto" w:sz="4" w:space="0"/>
            </w:tcBorders>
            <w:noWrap w:val="0"/>
            <w:vAlign w:val="center"/>
          </w:tcPr>
          <w:p w14:paraId="2A11A0FC">
            <w:pPr>
              <w:jc w:val="center"/>
              <w:rPr>
                <w:color w:val="000000" w:themeColor="text1"/>
                <w:sz w:val="21"/>
                <w:szCs w:val="21"/>
                <w:highlight w:val="none"/>
                <w14:textFill>
                  <w14:solidFill>
                    <w14:schemeClr w14:val="tx1"/>
                  </w14:solidFill>
                </w14:textFill>
              </w:rPr>
            </w:pPr>
          </w:p>
        </w:tc>
        <w:tc>
          <w:tcPr>
            <w:tcW w:w="0" w:type="auto"/>
            <w:tcBorders>
              <w:top w:val="single" w:color="auto" w:sz="4" w:space="0"/>
              <w:left w:val="single" w:color="auto" w:sz="4" w:space="0"/>
            </w:tcBorders>
            <w:noWrap w:val="0"/>
            <w:vAlign w:val="center"/>
          </w:tcPr>
          <w:p w14:paraId="19C133E4">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10</w:t>
            </w:r>
          </w:p>
        </w:tc>
        <w:tc>
          <w:tcPr>
            <w:tcW w:w="4609" w:type="dxa"/>
            <w:tcBorders>
              <w:top w:val="single" w:color="auto" w:sz="4" w:space="0"/>
              <w:left w:val="single" w:color="auto" w:sz="4" w:space="0"/>
            </w:tcBorders>
            <w:noWrap w:val="0"/>
            <w:vAlign w:val="center"/>
          </w:tcPr>
          <w:p w14:paraId="2CC746F4">
            <w:pPr>
              <w:pStyle w:val="144"/>
              <w:keepNext w:val="0"/>
              <w:keepLines w:val="0"/>
              <w:widowControl w:val="0"/>
              <w:shd w:val="clear" w:color="auto" w:fill="auto"/>
              <w:bidi w:val="0"/>
              <w:spacing w:before="0" w:after="0" w:line="193"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站内设施设备维护、检测及时到位。发现一处不符合的，每次扣1分。</w:t>
            </w:r>
          </w:p>
        </w:tc>
        <w:tc>
          <w:tcPr>
            <w:tcW w:w="698" w:type="dxa"/>
            <w:tcBorders>
              <w:top w:val="single" w:color="auto" w:sz="4" w:space="0"/>
              <w:left w:val="single" w:color="auto" w:sz="4" w:space="0"/>
            </w:tcBorders>
            <w:noWrap w:val="0"/>
            <w:vAlign w:val="center"/>
          </w:tcPr>
          <w:p w14:paraId="767A677F">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57AF164E">
            <w:pPr>
              <w:widowControl w:val="0"/>
              <w:jc w:val="center"/>
              <w:rPr>
                <w:color w:val="000000" w:themeColor="text1"/>
                <w:sz w:val="21"/>
                <w:szCs w:val="21"/>
                <w:highlight w:val="none"/>
                <w14:textFill>
                  <w14:solidFill>
                    <w14:schemeClr w14:val="tx1"/>
                  </w14:solidFill>
                </w14:textFill>
              </w:rPr>
            </w:pPr>
          </w:p>
        </w:tc>
      </w:tr>
      <w:tr w14:paraId="15369662">
        <w:tblPrEx>
          <w:tblCellMar>
            <w:top w:w="0" w:type="dxa"/>
            <w:left w:w="10" w:type="dxa"/>
            <w:bottom w:w="0" w:type="dxa"/>
            <w:right w:w="10" w:type="dxa"/>
          </w:tblCellMar>
        </w:tblPrEx>
        <w:trPr>
          <w:trHeight w:val="794" w:hRule="exact"/>
          <w:jc w:val="center"/>
        </w:trPr>
        <w:tc>
          <w:tcPr>
            <w:tcW w:w="0" w:type="auto"/>
            <w:vMerge w:val="continue"/>
            <w:tcBorders>
              <w:left w:val="single" w:color="auto" w:sz="4" w:space="0"/>
            </w:tcBorders>
            <w:noWrap w:val="0"/>
            <w:vAlign w:val="center"/>
          </w:tcPr>
          <w:p w14:paraId="4FC42FE9">
            <w:pPr>
              <w:jc w:val="center"/>
              <w:rPr>
                <w:color w:val="000000" w:themeColor="text1"/>
                <w:sz w:val="21"/>
                <w:szCs w:val="21"/>
                <w:highlight w:val="none"/>
                <w14:textFill>
                  <w14:solidFill>
                    <w14:schemeClr w14:val="tx1"/>
                  </w14:solidFill>
                </w14:textFill>
              </w:rPr>
            </w:pPr>
          </w:p>
        </w:tc>
        <w:tc>
          <w:tcPr>
            <w:tcW w:w="0" w:type="auto"/>
            <w:vMerge w:val="continue"/>
            <w:tcBorders>
              <w:left w:val="single" w:color="auto" w:sz="4" w:space="0"/>
            </w:tcBorders>
            <w:noWrap w:val="0"/>
            <w:vAlign w:val="center"/>
          </w:tcPr>
          <w:p w14:paraId="7DDAC8AD">
            <w:pPr>
              <w:jc w:val="center"/>
              <w:rPr>
                <w:color w:val="000000" w:themeColor="text1"/>
                <w:sz w:val="21"/>
                <w:szCs w:val="21"/>
                <w:highlight w:val="none"/>
                <w14:textFill>
                  <w14:solidFill>
                    <w14:schemeClr w14:val="tx1"/>
                  </w14:solidFill>
                </w14:textFill>
              </w:rPr>
            </w:pPr>
          </w:p>
        </w:tc>
        <w:tc>
          <w:tcPr>
            <w:tcW w:w="0" w:type="auto"/>
            <w:tcBorders>
              <w:top w:val="single" w:color="auto" w:sz="4" w:space="0"/>
              <w:left w:val="single" w:color="auto" w:sz="4" w:space="0"/>
            </w:tcBorders>
            <w:noWrap w:val="0"/>
            <w:vAlign w:val="center"/>
          </w:tcPr>
          <w:p w14:paraId="77BB6443">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10</w:t>
            </w:r>
          </w:p>
        </w:tc>
        <w:tc>
          <w:tcPr>
            <w:tcW w:w="4609" w:type="dxa"/>
            <w:tcBorders>
              <w:top w:val="single" w:color="auto" w:sz="4" w:space="0"/>
              <w:left w:val="single" w:color="auto" w:sz="4" w:space="0"/>
            </w:tcBorders>
            <w:noWrap w:val="0"/>
            <w:vAlign w:val="center"/>
          </w:tcPr>
          <w:p w14:paraId="1B85861F">
            <w:pPr>
              <w:pStyle w:val="144"/>
              <w:keepNext w:val="0"/>
              <w:keepLines w:val="0"/>
              <w:widowControl w:val="0"/>
              <w:shd w:val="clear" w:color="auto" w:fill="auto"/>
              <w:bidi w:val="0"/>
              <w:spacing w:before="0" w:after="0" w:line="192"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发现设备故障、管道渗漏、污水直接排海等，能及时排查原因并上报相关部门。渗漏水能及时止水，</w:t>
            </w:r>
            <w:r>
              <w:rPr>
                <w:rFonts w:hint="eastAsia"/>
                <w:color w:val="000000" w:themeColor="text1"/>
                <w:spacing w:val="0"/>
                <w:w w:val="100"/>
                <w:position w:val="0"/>
                <w:sz w:val="21"/>
                <w:szCs w:val="21"/>
                <w:highlight w:val="none"/>
                <w:lang w:val="en-US" w:eastAsia="zh-CN"/>
                <w14:textFill>
                  <w14:solidFill>
                    <w14:schemeClr w14:val="tx1"/>
                  </w14:solidFill>
                </w14:textFill>
              </w:rPr>
              <w:t>在24小时内完成维修，</w:t>
            </w:r>
            <w:r>
              <w:rPr>
                <w:color w:val="000000" w:themeColor="text1"/>
                <w:spacing w:val="0"/>
                <w:w w:val="100"/>
                <w:position w:val="0"/>
                <w:sz w:val="21"/>
                <w:szCs w:val="21"/>
                <w:highlight w:val="none"/>
                <w14:textFill>
                  <w14:solidFill>
                    <w14:schemeClr w14:val="tx1"/>
                  </w14:solidFill>
                </w14:textFill>
              </w:rPr>
              <w:t>发现一处不符合的，每次扣2分。</w:t>
            </w:r>
          </w:p>
        </w:tc>
        <w:tc>
          <w:tcPr>
            <w:tcW w:w="698" w:type="dxa"/>
            <w:tcBorders>
              <w:top w:val="single" w:color="auto" w:sz="4" w:space="0"/>
              <w:left w:val="single" w:color="auto" w:sz="4" w:space="0"/>
            </w:tcBorders>
            <w:noWrap w:val="0"/>
            <w:vAlign w:val="center"/>
          </w:tcPr>
          <w:p w14:paraId="1B4BDE40">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3E89E866">
            <w:pPr>
              <w:widowControl w:val="0"/>
              <w:jc w:val="center"/>
              <w:rPr>
                <w:color w:val="000000" w:themeColor="text1"/>
                <w:sz w:val="21"/>
                <w:szCs w:val="21"/>
                <w:highlight w:val="none"/>
                <w14:textFill>
                  <w14:solidFill>
                    <w14:schemeClr w14:val="tx1"/>
                  </w14:solidFill>
                </w14:textFill>
              </w:rPr>
            </w:pPr>
          </w:p>
        </w:tc>
      </w:tr>
      <w:tr w14:paraId="50D5C63E">
        <w:tblPrEx>
          <w:tblCellMar>
            <w:top w:w="0" w:type="dxa"/>
            <w:left w:w="10" w:type="dxa"/>
            <w:bottom w:w="0" w:type="dxa"/>
            <w:right w:w="10" w:type="dxa"/>
          </w:tblCellMar>
        </w:tblPrEx>
        <w:trPr>
          <w:trHeight w:val="794" w:hRule="exact"/>
          <w:jc w:val="center"/>
        </w:trPr>
        <w:tc>
          <w:tcPr>
            <w:tcW w:w="0" w:type="auto"/>
            <w:vMerge w:val="continue"/>
            <w:tcBorders>
              <w:left w:val="single" w:color="auto" w:sz="4" w:space="0"/>
            </w:tcBorders>
            <w:noWrap w:val="0"/>
            <w:vAlign w:val="center"/>
          </w:tcPr>
          <w:p w14:paraId="001EADBA">
            <w:pPr>
              <w:jc w:val="center"/>
              <w:rPr>
                <w:color w:val="000000" w:themeColor="text1"/>
                <w:sz w:val="21"/>
                <w:szCs w:val="21"/>
                <w:highlight w:val="none"/>
                <w14:textFill>
                  <w14:solidFill>
                    <w14:schemeClr w14:val="tx1"/>
                  </w14:solidFill>
                </w14:textFill>
              </w:rPr>
            </w:pPr>
          </w:p>
        </w:tc>
        <w:tc>
          <w:tcPr>
            <w:tcW w:w="0" w:type="auto"/>
            <w:vMerge w:val="continue"/>
            <w:tcBorders>
              <w:left w:val="single" w:color="auto" w:sz="4" w:space="0"/>
            </w:tcBorders>
            <w:noWrap w:val="0"/>
            <w:vAlign w:val="center"/>
          </w:tcPr>
          <w:p w14:paraId="2DAEFB83">
            <w:pPr>
              <w:jc w:val="center"/>
              <w:rPr>
                <w:color w:val="000000" w:themeColor="text1"/>
                <w:sz w:val="21"/>
                <w:szCs w:val="21"/>
                <w:highlight w:val="none"/>
                <w14:textFill>
                  <w14:solidFill>
                    <w14:schemeClr w14:val="tx1"/>
                  </w14:solidFill>
                </w14:textFill>
              </w:rPr>
            </w:pPr>
          </w:p>
        </w:tc>
        <w:tc>
          <w:tcPr>
            <w:tcW w:w="0" w:type="auto"/>
            <w:tcBorders>
              <w:top w:val="single" w:color="auto" w:sz="4" w:space="0"/>
              <w:left w:val="single" w:color="auto" w:sz="4" w:space="0"/>
            </w:tcBorders>
            <w:noWrap w:val="0"/>
            <w:vAlign w:val="center"/>
          </w:tcPr>
          <w:p w14:paraId="7C89910F">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10</w:t>
            </w:r>
          </w:p>
        </w:tc>
        <w:tc>
          <w:tcPr>
            <w:tcW w:w="4609" w:type="dxa"/>
            <w:tcBorders>
              <w:top w:val="single" w:color="auto" w:sz="4" w:space="0"/>
              <w:left w:val="single" w:color="auto" w:sz="4" w:space="0"/>
            </w:tcBorders>
            <w:noWrap w:val="0"/>
            <w:vAlign w:val="center"/>
          </w:tcPr>
          <w:p w14:paraId="5908A791">
            <w:pPr>
              <w:pStyle w:val="144"/>
              <w:keepNext w:val="0"/>
              <w:keepLines w:val="0"/>
              <w:widowControl w:val="0"/>
              <w:shd w:val="clear" w:color="auto" w:fill="auto"/>
              <w:bidi w:val="0"/>
              <w:spacing w:before="0" w:after="0" w:line="193"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开展应急演练或学习，接受社会公众的监督，妥善处理各类事件。发现一处每次扣2分。</w:t>
            </w:r>
          </w:p>
        </w:tc>
        <w:tc>
          <w:tcPr>
            <w:tcW w:w="698" w:type="dxa"/>
            <w:tcBorders>
              <w:top w:val="single" w:color="auto" w:sz="4" w:space="0"/>
              <w:left w:val="single" w:color="auto" w:sz="4" w:space="0"/>
            </w:tcBorders>
            <w:noWrap w:val="0"/>
            <w:vAlign w:val="center"/>
          </w:tcPr>
          <w:p w14:paraId="5F8489C0">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399431F6">
            <w:pPr>
              <w:widowControl w:val="0"/>
              <w:jc w:val="center"/>
              <w:rPr>
                <w:color w:val="000000" w:themeColor="text1"/>
                <w:sz w:val="21"/>
                <w:szCs w:val="21"/>
                <w:highlight w:val="none"/>
                <w14:textFill>
                  <w14:solidFill>
                    <w14:schemeClr w14:val="tx1"/>
                  </w14:solidFill>
                </w14:textFill>
              </w:rPr>
            </w:pPr>
          </w:p>
        </w:tc>
      </w:tr>
      <w:tr w14:paraId="79D0C93F">
        <w:tblPrEx>
          <w:tblCellMar>
            <w:top w:w="0" w:type="dxa"/>
            <w:left w:w="10" w:type="dxa"/>
            <w:bottom w:w="0" w:type="dxa"/>
            <w:right w:w="10" w:type="dxa"/>
          </w:tblCellMar>
        </w:tblPrEx>
        <w:trPr>
          <w:trHeight w:val="794" w:hRule="exact"/>
          <w:jc w:val="center"/>
        </w:trPr>
        <w:tc>
          <w:tcPr>
            <w:tcW w:w="0" w:type="auto"/>
            <w:vMerge w:val="restart"/>
            <w:tcBorders>
              <w:top w:val="single" w:color="auto" w:sz="4" w:space="0"/>
              <w:left w:val="single" w:color="auto" w:sz="4" w:space="0"/>
            </w:tcBorders>
            <w:noWrap w:val="0"/>
            <w:vAlign w:val="center"/>
          </w:tcPr>
          <w:p w14:paraId="5D1F4230">
            <w:pPr>
              <w:pStyle w:val="144"/>
              <w:keepNext w:val="0"/>
              <w:keepLines w:val="0"/>
              <w:widowControl w:val="0"/>
              <w:shd w:val="clear" w:color="auto" w:fill="auto"/>
              <w:bidi w:val="0"/>
              <w:spacing w:before="0" w:after="0" w:line="240" w:lineRule="auto"/>
              <w:ind w:left="0" w:right="0" w:firstLine="0"/>
              <w:jc w:val="center"/>
              <w:rPr>
                <w:color w:val="000000" w:themeColor="text1"/>
                <w:sz w:val="21"/>
                <w:szCs w:val="21"/>
                <w:highlight w:val="none"/>
                <w14:textFill>
                  <w14:solidFill>
                    <w14:schemeClr w14:val="tx1"/>
                  </w14:solidFill>
                </w14:textFill>
              </w:rPr>
            </w:pPr>
            <w:r>
              <w:rPr>
                <w:i/>
                <w:iCs/>
                <w:color w:val="000000" w:themeColor="text1"/>
                <w:spacing w:val="0"/>
                <w:w w:val="100"/>
                <w:position w:val="0"/>
                <w:sz w:val="21"/>
                <w:szCs w:val="21"/>
                <w:highlight w:val="none"/>
                <w14:textFill>
                  <w14:solidFill>
                    <w14:schemeClr w14:val="tx1"/>
                  </w14:solidFill>
                </w14:textFill>
              </w:rPr>
              <w:t>三</w:t>
            </w:r>
          </w:p>
        </w:tc>
        <w:tc>
          <w:tcPr>
            <w:tcW w:w="0" w:type="auto"/>
            <w:vMerge w:val="restart"/>
            <w:tcBorders>
              <w:top w:val="single" w:color="auto" w:sz="4" w:space="0"/>
              <w:left w:val="single" w:color="auto" w:sz="4" w:space="0"/>
            </w:tcBorders>
            <w:noWrap w:val="0"/>
            <w:vAlign w:val="center"/>
          </w:tcPr>
          <w:p w14:paraId="6BDA1855">
            <w:pPr>
              <w:pStyle w:val="144"/>
              <w:keepNext w:val="0"/>
              <w:keepLines w:val="0"/>
              <w:widowControl w:val="0"/>
              <w:shd w:val="clear" w:color="auto" w:fill="auto"/>
              <w:bidi w:val="0"/>
              <w:spacing w:before="0" w:after="4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安全生产</w:t>
            </w:r>
          </w:p>
          <w:p w14:paraId="3EF69FCA">
            <w:pPr>
              <w:pStyle w:val="144"/>
              <w:keepNext w:val="0"/>
              <w:keepLines w:val="0"/>
              <w:widowControl w:val="0"/>
              <w:shd w:val="clear" w:color="auto" w:fill="auto"/>
              <w:bidi w:val="0"/>
              <w:spacing w:before="0" w:after="0" w:line="240" w:lineRule="auto"/>
              <w:ind w:right="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（20 分）</w:t>
            </w:r>
          </w:p>
        </w:tc>
        <w:tc>
          <w:tcPr>
            <w:tcW w:w="0" w:type="auto"/>
            <w:tcBorders>
              <w:top w:val="single" w:color="auto" w:sz="4" w:space="0"/>
              <w:left w:val="single" w:color="auto" w:sz="4" w:space="0"/>
            </w:tcBorders>
            <w:noWrap w:val="0"/>
            <w:vAlign w:val="center"/>
          </w:tcPr>
          <w:p w14:paraId="026DD238">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3</w:t>
            </w:r>
          </w:p>
        </w:tc>
        <w:tc>
          <w:tcPr>
            <w:tcW w:w="4609" w:type="dxa"/>
            <w:tcBorders>
              <w:top w:val="single" w:color="auto" w:sz="4" w:space="0"/>
              <w:left w:val="single" w:color="auto" w:sz="4" w:space="0"/>
            </w:tcBorders>
            <w:noWrap w:val="0"/>
            <w:vAlign w:val="center"/>
          </w:tcPr>
          <w:p w14:paraId="679512FC">
            <w:pPr>
              <w:pStyle w:val="144"/>
              <w:keepNext w:val="0"/>
              <w:keepLines w:val="0"/>
              <w:widowControl w:val="0"/>
              <w:shd w:val="clear" w:color="auto" w:fill="auto"/>
              <w:bidi w:val="0"/>
              <w:spacing w:before="0" w:after="0" w:line="198"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定期开展安全教育，做好岗前培训。发现一处不符合的，每次扣1分</w:t>
            </w:r>
          </w:p>
        </w:tc>
        <w:tc>
          <w:tcPr>
            <w:tcW w:w="698" w:type="dxa"/>
            <w:tcBorders>
              <w:top w:val="single" w:color="auto" w:sz="4" w:space="0"/>
              <w:left w:val="single" w:color="auto" w:sz="4" w:space="0"/>
            </w:tcBorders>
            <w:noWrap w:val="0"/>
            <w:vAlign w:val="center"/>
          </w:tcPr>
          <w:p w14:paraId="6E6C6CD7">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62D0D716">
            <w:pPr>
              <w:widowControl w:val="0"/>
              <w:jc w:val="center"/>
              <w:rPr>
                <w:color w:val="000000" w:themeColor="text1"/>
                <w:sz w:val="21"/>
                <w:szCs w:val="21"/>
                <w:highlight w:val="none"/>
                <w14:textFill>
                  <w14:solidFill>
                    <w14:schemeClr w14:val="tx1"/>
                  </w14:solidFill>
                </w14:textFill>
              </w:rPr>
            </w:pPr>
          </w:p>
        </w:tc>
      </w:tr>
      <w:tr w14:paraId="2CE953AB">
        <w:tblPrEx>
          <w:tblCellMar>
            <w:top w:w="0" w:type="dxa"/>
            <w:left w:w="10" w:type="dxa"/>
            <w:bottom w:w="0" w:type="dxa"/>
            <w:right w:w="10" w:type="dxa"/>
          </w:tblCellMar>
        </w:tblPrEx>
        <w:trPr>
          <w:trHeight w:val="794" w:hRule="exact"/>
          <w:jc w:val="center"/>
        </w:trPr>
        <w:tc>
          <w:tcPr>
            <w:tcW w:w="0" w:type="auto"/>
            <w:vMerge w:val="continue"/>
            <w:tcBorders>
              <w:left w:val="single" w:color="auto" w:sz="4" w:space="0"/>
            </w:tcBorders>
            <w:noWrap w:val="0"/>
            <w:vAlign w:val="center"/>
          </w:tcPr>
          <w:p w14:paraId="340BBF01">
            <w:pPr>
              <w:jc w:val="center"/>
              <w:rPr>
                <w:color w:val="000000" w:themeColor="text1"/>
                <w:sz w:val="21"/>
                <w:szCs w:val="21"/>
                <w:highlight w:val="none"/>
                <w14:textFill>
                  <w14:solidFill>
                    <w14:schemeClr w14:val="tx1"/>
                  </w14:solidFill>
                </w14:textFill>
              </w:rPr>
            </w:pPr>
          </w:p>
        </w:tc>
        <w:tc>
          <w:tcPr>
            <w:tcW w:w="0" w:type="auto"/>
            <w:vMerge w:val="continue"/>
            <w:tcBorders>
              <w:left w:val="single" w:color="auto" w:sz="4" w:space="0"/>
            </w:tcBorders>
            <w:noWrap w:val="0"/>
            <w:vAlign w:val="center"/>
          </w:tcPr>
          <w:p w14:paraId="2F92DD2E">
            <w:pPr>
              <w:jc w:val="center"/>
              <w:rPr>
                <w:color w:val="000000" w:themeColor="text1"/>
                <w:sz w:val="21"/>
                <w:szCs w:val="21"/>
                <w:highlight w:val="none"/>
                <w14:textFill>
                  <w14:solidFill>
                    <w14:schemeClr w14:val="tx1"/>
                  </w14:solidFill>
                </w14:textFill>
              </w:rPr>
            </w:pPr>
          </w:p>
        </w:tc>
        <w:tc>
          <w:tcPr>
            <w:tcW w:w="0" w:type="auto"/>
            <w:tcBorders>
              <w:top w:val="single" w:color="auto" w:sz="4" w:space="0"/>
              <w:left w:val="single" w:color="auto" w:sz="4" w:space="0"/>
            </w:tcBorders>
            <w:noWrap w:val="0"/>
            <w:vAlign w:val="center"/>
          </w:tcPr>
          <w:p w14:paraId="00A74F3E">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4</w:t>
            </w:r>
          </w:p>
        </w:tc>
        <w:tc>
          <w:tcPr>
            <w:tcW w:w="4609" w:type="dxa"/>
            <w:tcBorders>
              <w:top w:val="single" w:color="auto" w:sz="4" w:space="0"/>
              <w:left w:val="single" w:color="auto" w:sz="4" w:space="0"/>
            </w:tcBorders>
            <w:noWrap w:val="0"/>
            <w:vAlign w:val="center"/>
          </w:tcPr>
          <w:p w14:paraId="57235366">
            <w:pPr>
              <w:pStyle w:val="144"/>
              <w:keepNext w:val="0"/>
              <w:keepLines w:val="0"/>
              <w:widowControl w:val="0"/>
              <w:shd w:val="clear" w:color="auto" w:fill="auto"/>
              <w:bidi w:val="0"/>
              <w:spacing w:before="0" w:after="0" w:line="198"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维修施工时应设置警示标志、护栏等设施，施工时应穿戴相应的防护用具，特种作业时必须持证 上岗。发现一处不符合的，每次扣1分</w:t>
            </w:r>
          </w:p>
        </w:tc>
        <w:tc>
          <w:tcPr>
            <w:tcW w:w="698" w:type="dxa"/>
            <w:tcBorders>
              <w:top w:val="single" w:color="auto" w:sz="4" w:space="0"/>
              <w:left w:val="single" w:color="auto" w:sz="4" w:space="0"/>
            </w:tcBorders>
            <w:noWrap w:val="0"/>
            <w:vAlign w:val="center"/>
          </w:tcPr>
          <w:p w14:paraId="0161E517">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5F00809F">
            <w:pPr>
              <w:widowControl w:val="0"/>
              <w:jc w:val="center"/>
              <w:rPr>
                <w:color w:val="000000" w:themeColor="text1"/>
                <w:sz w:val="21"/>
                <w:szCs w:val="21"/>
                <w:highlight w:val="none"/>
                <w14:textFill>
                  <w14:solidFill>
                    <w14:schemeClr w14:val="tx1"/>
                  </w14:solidFill>
                </w14:textFill>
              </w:rPr>
            </w:pPr>
          </w:p>
        </w:tc>
      </w:tr>
      <w:tr w14:paraId="16B499B7">
        <w:tblPrEx>
          <w:tblCellMar>
            <w:top w:w="0" w:type="dxa"/>
            <w:left w:w="10" w:type="dxa"/>
            <w:bottom w:w="0" w:type="dxa"/>
            <w:right w:w="10" w:type="dxa"/>
          </w:tblCellMar>
        </w:tblPrEx>
        <w:trPr>
          <w:trHeight w:val="794" w:hRule="exact"/>
          <w:jc w:val="center"/>
        </w:trPr>
        <w:tc>
          <w:tcPr>
            <w:tcW w:w="0" w:type="auto"/>
            <w:vMerge w:val="continue"/>
            <w:tcBorders>
              <w:left w:val="single" w:color="auto" w:sz="4" w:space="0"/>
            </w:tcBorders>
            <w:noWrap w:val="0"/>
            <w:vAlign w:val="center"/>
          </w:tcPr>
          <w:p w14:paraId="57696EC7">
            <w:pPr>
              <w:jc w:val="center"/>
              <w:rPr>
                <w:color w:val="000000" w:themeColor="text1"/>
                <w:sz w:val="21"/>
                <w:szCs w:val="21"/>
                <w:highlight w:val="none"/>
                <w14:textFill>
                  <w14:solidFill>
                    <w14:schemeClr w14:val="tx1"/>
                  </w14:solidFill>
                </w14:textFill>
              </w:rPr>
            </w:pPr>
          </w:p>
        </w:tc>
        <w:tc>
          <w:tcPr>
            <w:tcW w:w="0" w:type="auto"/>
            <w:vMerge w:val="continue"/>
            <w:tcBorders>
              <w:left w:val="single" w:color="auto" w:sz="4" w:space="0"/>
            </w:tcBorders>
            <w:noWrap w:val="0"/>
            <w:vAlign w:val="center"/>
          </w:tcPr>
          <w:p w14:paraId="15E261BA">
            <w:pPr>
              <w:jc w:val="center"/>
              <w:rPr>
                <w:color w:val="000000" w:themeColor="text1"/>
                <w:sz w:val="21"/>
                <w:szCs w:val="21"/>
                <w:highlight w:val="none"/>
                <w14:textFill>
                  <w14:solidFill>
                    <w14:schemeClr w14:val="tx1"/>
                  </w14:solidFill>
                </w14:textFill>
              </w:rPr>
            </w:pPr>
          </w:p>
        </w:tc>
        <w:tc>
          <w:tcPr>
            <w:tcW w:w="0" w:type="auto"/>
            <w:tcBorders>
              <w:top w:val="single" w:color="auto" w:sz="4" w:space="0"/>
              <w:left w:val="single" w:color="auto" w:sz="4" w:space="0"/>
            </w:tcBorders>
            <w:noWrap w:val="0"/>
            <w:vAlign w:val="center"/>
          </w:tcPr>
          <w:p w14:paraId="10B6FE7F">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3</w:t>
            </w:r>
          </w:p>
        </w:tc>
        <w:tc>
          <w:tcPr>
            <w:tcW w:w="4609" w:type="dxa"/>
            <w:tcBorders>
              <w:top w:val="single" w:color="auto" w:sz="4" w:space="0"/>
              <w:left w:val="single" w:color="auto" w:sz="4" w:space="0"/>
            </w:tcBorders>
            <w:noWrap w:val="0"/>
            <w:vAlign w:val="center"/>
          </w:tcPr>
          <w:p w14:paraId="7F997E02">
            <w:pPr>
              <w:pStyle w:val="144"/>
              <w:keepNext w:val="0"/>
              <w:keepLines w:val="0"/>
              <w:widowControl w:val="0"/>
              <w:shd w:val="clear" w:color="auto" w:fill="auto"/>
              <w:bidi w:val="0"/>
              <w:spacing w:before="0" w:after="0" w:line="203"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配置安全防护用具，消防设施良好。发现一处不符合的，每次扣1分</w:t>
            </w:r>
          </w:p>
        </w:tc>
        <w:tc>
          <w:tcPr>
            <w:tcW w:w="698" w:type="dxa"/>
            <w:tcBorders>
              <w:top w:val="single" w:color="auto" w:sz="4" w:space="0"/>
              <w:left w:val="single" w:color="auto" w:sz="4" w:space="0"/>
            </w:tcBorders>
            <w:noWrap w:val="0"/>
            <w:vAlign w:val="center"/>
          </w:tcPr>
          <w:p w14:paraId="1FB0DA56">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617154D6">
            <w:pPr>
              <w:widowControl w:val="0"/>
              <w:jc w:val="center"/>
              <w:rPr>
                <w:color w:val="000000" w:themeColor="text1"/>
                <w:sz w:val="21"/>
                <w:szCs w:val="21"/>
                <w:highlight w:val="none"/>
                <w14:textFill>
                  <w14:solidFill>
                    <w14:schemeClr w14:val="tx1"/>
                  </w14:solidFill>
                </w14:textFill>
              </w:rPr>
            </w:pPr>
          </w:p>
        </w:tc>
      </w:tr>
      <w:tr w14:paraId="16D884D8">
        <w:tblPrEx>
          <w:tblCellMar>
            <w:top w:w="0" w:type="dxa"/>
            <w:left w:w="10" w:type="dxa"/>
            <w:bottom w:w="0" w:type="dxa"/>
            <w:right w:w="10" w:type="dxa"/>
          </w:tblCellMar>
        </w:tblPrEx>
        <w:trPr>
          <w:trHeight w:val="794" w:hRule="exact"/>
          <w:jc w:val="center"/>
        </w:trPr>
        <w:tc>
          <w:tcPr>
            <w:tcW w:w="0" w:type="auto"/>
            <w:vMerge w:val="continue"/>
            <w:tcBorders>
              <w:left w:val="single" w:color="auto" w:sz="4" w:space="0"/>
            </w:tcBorders>
            <w:noWrap w:val="0"/>
            <w:vAlign w:val="center"/>
          </w:tcPr>
          <w:p w14:paraId="664F9067">
            <w:pPr>
              <w:jc w:val="center"/>
              <w:rPr>
                <w:color w:val="000000" w:themeColor="text1"/>
                <w:sz w:val="21"/>
                <w:szCs w:val="21"/>
                <w:highlight w:val="none"/>
                <w14:textFill>
                  <w14:solidFill>
                    <w14:schemeClr w14:val="tx1"/>
                  </w14:solidFill>
                </w14:textFill>
              </w:rPr>
            </w:pPr>
          </w:p>
        </w:tc>
        <w:tc>
          <w:tcPr>
            <w:tcW w:w="0" w:type="auto"/>
            <w:vMerge w:val="continue"/>
            <w:tcBorders>
              <w:left w:val="single" w:color="auto" w:sz="4" w:space="0"/>
            </w:tcBorders>
            <w:noWrap w:val="0"/>
            <w:vAlign w:val="center"/>
          </w:tcPr>
          <w:p w14:paraId="3D54CE89">
            <w:pPr>
              <w:jc w:val="center"/>
              <w:rPr>
                <w:color w:val="000000" w:themeColor="text1"/>
                <w:sz w:val="21"/>
                <w:szCs w:val="21"/>
                <w:highlight w:val="none"/>
                <w14:textFill>
                  <w14:solidFill>
                    <w14:schemeClr w14:val="tx1"/>
                  </w14:solidFill>
                </w14:textFill>
              </w:rPr>
            </w:pPr>
          </w:p>
        </w:tc>
        <w:tc>
          <w:tcPr>
            <w:tcW w:w="0" w:type="auto"/>
            <w:tcBorders>
              <w:top w:val="single" w:color="auto" w:sz="4" w:space="0"/>
              <w:left w:val="single" w:color="auto" w:sz="4" w:space="0"/>
            </w:tcBorders>
            <w:noWrap w:val="0"/>
            <w:vAlign w:val="center"/>
          </w:tcPr>
          <w:p w14:paraId="33D5D672">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10</w:t>
            </w:r>
          </w:p>
        </w:tc>
        <w:tc>
          <w:tcPr>
            <w:tcW w:w="4609" w:type="dxa"/>
            <w:tcBorders>
              <w:top w:val="single" w:color="auto" w:sz="4" w:space="0"/>
              <w:left w:val="single" w:color="auto" w:sz="4" w:space="0"/>
            </w:tcBorders>
            <w:noWrap w:val="0"/>
            <w:vAlign w:val="center"/>
          </w:tcPr>
          <w:p w14:paraId="005B6A9F">
            <w:pPr>
              <w:pStyle w:val="144"/>
              <w:keepNext w:val="0"/>
              <w:keepLines w:val="0"/>
              <w:widowControl w:val="0"/>
              <w:shd w:val="clear" w:color="auto" w:fill="auto"/>
              <w:bidi w:val="0"/>
              <w:spacing w:before="0" w:after="0" w:line="198"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发生安全事故的，每起扣10分。</w:t>
            </w:r>
          </w:p>
          <w:p w14:paraId="2AECE462">
            <w:pPr>
              <w:pStyle w:val="144"/>
              <w:keepNext w:val="0"/>
              <w:keepLines w:val="0"/>
              <w:widowControl w:val="0"/>
              <w:shd w:val="clear" w:color="auto" w:fill="auto"/>
              <w:bidi w:val="0"/>
              <w:spacing w:before="0" w:after="0" w:line="198" w:lineRule="exact"/>
              <w:ind w:left="960" w:right="0" w:hanging="96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注：安全事故扣分不受限制，发生安全死亡事故 判年度不合格。</w:t>
            </w:r>
          </w:p>
        </w:tc>
        <w:tc>
          <w:tcPr>
            <w:tcW w:w="698" w:type="dxa"/>
            <w:tcBorders>
              <w:top w:val="single" w:color="auto" w:sz="4" w:space="0"/>
              <w:left w:val="single" w:color="auto" w:sz="4" w:space="0"/>
            </w:tcBorders>
            <w:noWrap w:val="0"/>
            <w:vAlign w:val="center"/>
          </w:tcPr>
          <w:p w14:paraId="7C76416A">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270A88CF">
            <w:pPr>
              <w:widowControl w:val="0"/>
              <w:jc w:val="center"/>
              <w:rPr>
                <w:color w:val="000000" w:themeColor="text1"/>
                <w:sz w:val="21"/>
                <w:szCs w:val="21"/>
                <w:highlight w:val="none"/>
                <w14:textFill>
                  <w14:solidFill>
                    <w14:schemeClr w14:val="tx1"/>
                  </w14:solidFill>
                </w14:textFill>
              </w:rPr>
            </w:pPr>
          </w:p>
        </w:tc>
      </w:tr>
      <w:tr w14:paraId="0E9A3D29">
        <w:tblPrEx>
          <w:tblCellMar>
            <w:top w:w="0" w:type="dxa"/>
            <w:left w:w="10" w:type="dxa"/>
            <w:bottom w:w="0" w:type="dxa"/>
            <w:right w:w="10" w:type="dxa"/>
          </w:tblCellMar>
        </w:tblPrEx>
        <w:trPr>
          <w:trHeight w:val="794" w:hRule="exact"/>
          <w:jc w:val="center"/>
        </w:trPr>
        <w:tc>
          <w:tcPr>
            <w:tcW w:w="0" w:type="auto"/>
            <w:vMerge w:val="restart"/>
            <w:tcBorders>
              <w:top w:val="single" w:color="auto" w:sz="4" w:space="0"/>
              <w:left w:val="single" w:color="auto" w:sz="4" w:space="0"/>
            </w:tcBorders>
            <w:noWrap w:val="0"/>
            <w:vAlign w:val="center"/>
          </w:tcPr>
          <w:p w14:paraId="434E8134">
            <w:pPr>
              <w:pStyle w:val="144"/>
              <w:keepNext w:val="0"/>
              <w:keepLines w:val="0"/>
              <w:widowControl w:val="0"/>
              <w:shd w:val="clear" w:color="auto" w:fill="auto"/>
              <w:bidi w:val="0"/>
              <w:spacing w:before="0" w:after="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四</w:t>
            </w:r>
          </w:p>
        </w:tc>
        <w:tc>
          <w:tcPr>
            <w:tcW w:w="0" w:type="auto"/>
            <w:vMerge w:val="restart"/>
            <w:tcBorders>
              <w:top w:val="single" w:color="auto" w:sz="4" w:space="0"/>
              <w:left w:val="single" w:color="auto" w:sz="4" w:space="0"/>
            </w:tcBorders>
            <w:noWrap w:val="0"/>
            <w:vAlign w:val="center"/>
          </w:tcPr>
          <w:p w14:paraId="04D32EFC">
            <w:pPr>
              <w:pStyle w:val="144"/>
              <w:keepNext w:val="0"/>
              <w:keepLines w:val="0"/>
              <w:widowControl w:val="0"/>
              <w:shd w:val="clear" w:color="auto" w:fill="auto"/>
              <w:bidi w:val="0"/>
              <w:spacing w:before="0" w:after="4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泵站管理</w:t>
            </w:r>
          </w:p>
          <w:p w14:paraId="42D4470A">
            <w:pPr>
              <w:pStyle w:val="144"/>
              <w:keepNext w:val="0"/>
              <w:keepLines w:val="0"/>
              <w:widowControl w:val="0"/>
              <w:shd w:val="clear" w:color="auto" w:fill="auto"/>
              <w:bidi w:val="0"/>
              <w:spacing w:before="0" w:after="0" w:line="240" w:lineRule="auto"/>
              <w:ind w:right="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（10 分）</w:t>
            </w:r>
          </w:p>
        </w:tc>
        <w:tc>
          <w:tcPr>
            <w:tcW w:w="0" w:type="auto"/>
            <w:tcBorders>
              <w:top w:val="single" w:color="auto" w:sz="4" w:space="0"/>
              <w:left w:val="single" w:color="auto" w:sz="4" w:space="0"/>
            </w:tcBorders>
            <w:noWrap w:val="0"/>
            <w:vAlign w:val="center"/>
          </w:tcPr>
          <w:p w14:paraId="10E3A3B4">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5</w:t>
            </w:r>
          </w:p>
        </w:tc>
        <w:tc>
          <w:tcPr>
            <w:tcW w:w="4609" w:type="dxa"/>
            <w:tcBorders>
              <w:top w:val="single" w:color="auto" w:sz="4" w:space="0"/>
              <w:left w:val="single" w:color="auto" w:sz="4" w:space="0"/>
            </w:tcBorders>
            <w:noWrap w:val="0"/>
            <w:vAlign w:val="center"/>
          </w:tcPr>
          <w:p w14:paraId="53C981D7">
            <w:pPr>
              <w:pStyle w:val="144"/>
              <w:keepNext w:val="0"/>
              <w:keepLines w:val="0"/>
              <w:widowControl w:val="0"/>
              <w:shd w:val="clear" w:color="auto" w:fill="auto"/>
              <w:bidi w:val="0"/>
              <w:spacing w:before="0" w:after="0" w:line="193"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工作人员形象得体，工作环境整洁。发现一处不符合的，每次扣1分</w:t>
            </w:r>
          </w:p>
        </w:tc>
        <w:tc>
          <w:tcPr>
            <w:tcW w:w="698" w:type="dxa"/>
            <w:tcBorders>
              <w:top w:val="single" w:color="auto" w:sz="4" w:space="0"/>
              <w:left w:val="single" w:color="auto" w:sz="4" w:space="0"/>
            </w:tcBorders>
            <w:noWrap w:val="0"/>
            <w:vAlign w:val="center"/>
          </w:tcPr>
          <w:p w14:paraId="60948485">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05083F55">
            <w:pPr>
              <w:widowControl w:val="0"/>
              <w:jc w:val="center"/>
              <w:rPr>
                <w:color w:val="000000" w:themeColor="text1"/>
                <w:sz w:val="21"/>
                <w:szCs w:val="21"/>
                <w:highlight w:val="none"/>
                <w14:textFill>
                  <w14:solidFill>
                    <w14:schemeClr w14:val="tx1"/>
                  </w14:solidFill>
                </w14:textFill>
              </w:rPr>
            </w:pPr>
          </w:p>
        </w:tc>
      </w:tr>
      <w:tr w14:paraId="7E27FEE8">
        <w:tblPrEx>
          <w:tblCellMar>
            <w:top w:w="0" w:type="dxa"/>
            <w:left w:w="10" w:type="dxa"/>
            <w:bottom w:w="0" w:type="dxa"/>
            <w:right w:w="10" w:type="dxa"/>
          </w:tblCellMar>
        </w:tblPrEx>
        <w:trPr>
          <w:trHeight w:val="794" w:hRule="exact"/>
          <w:jc w:val="center"/>
        </w:trPr>
        <w:tc>
          <w:tcPr>
            <w:tcW w:w="0" w:type="auto"/>
            <w:vMerge w:val="continue"/>
            <w:tcBorders>
              <w:left w:val="single" w:color="auto" w:sz="4" w:space="0"/>
            </w:tcBorders>
            <w:noWrap w:val="0"/>
            <w:vAlign w:val="center"/>
          </w:tcPr>
          <w:p w14:paraId="2395BEB2">
            <w:pPr>
              <w:jc w:val="center"/>
              <w:rPr>
                <w:color w:val="000000" w:themeColor="text1"/>
                <w:sz w:val="21"/>
                <w:szCs w:val="21"/>
                <w:highlight w:val="none"/>
                <w14:textFill>
                  <w14:solidFill>
                    <w14:schemeClr w14:val="tx1"/>
                  </w14:solidFill>
                </w14:textFill>
              </w:rPr>
            </w:pPr>
          </w:p>
        </w:tc>
        <w:tc>
          <w:tcPr>
            <w:tcW w:w="0" w:type="auto"/>
            <w:vMerge w:val="continue"/>
            <w:tcBorders>
              <w:left w:val="single" w:color="auto" w:sz="4" w:space="0"/>
            </w:tcBorders>
            <w:noWrap w:val="0"/>
            <w:vAlign w:val="center"/>
          </w:tcPr>
          <w:p w14:paraId="4754F78F">
            <w:pPr>
              <w:jc w:val="center"/>
              <w:rPr>
                <w:color w:val="000000" w:themeColor="text1"/>
                <w:sz w:val="21"/>
                <w:szCs w:val="21"/>
                <w:highlight w:val="none"/>
                <w14:textFill>
                  <w14:solidFill>
                    <w14:schemeClr w14:val="tx1"/>
                  </w14:solidFill>
                </w14:textFill>
              </w:rPr>
            </w:pPr>
          </w:p>
        </w:tc>
        <w:tc>
          <w:tcPr>
            <w:tcW w:w="0" w:type="auto"/>
            <w:tcBorders>
              <w:top w:val="single" w:color="auto" w:sz="4" w:space="0"/>
              <w:left w:val="single" w:color="auto" w:sz="4" w:space="0"/>
            </w:tcBorders>
            <w:noWrap w:val="0"/>
            <w:vAlign w:val="center"/>
          </w:tcPr>
          <w:p w14:paraId="293CD1F6">
            <w:pPr>
              <w:pStyle w:val="144"/>
              <w:keepNext w:val="0"/>
              <w:keepLines w:val="0"/>
              <w:widowControl w:val="0"/>
              <w:shd w:val="clear" w:color="auto" w:fill="auto"/>
              <w:bidi w:val="0"/>
              <w:spacing w:before="0" w:after="0" w:line="240" w:lineRule="auto"/>
              <w:ind w:left="0" w:right="0" w:firstLine="180"/>
              <w:jc w:val="both"/>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5</w:t>
            </w:r>
          </w:p>
        </w:tc>
        <w:tc>
          <w:tcPr>
            <w:tcW w:w="4609" w:type="dxa"/>
            <w:tcBorders>
              <w:top w:val="single" w:color="auto" w:sz="4" w:space="0"/>
              <w:left w:val="single" w:color="auto" w:sz="4" w:space="0"/>
            </w:tcBorders>
            <w:noWrap w:val="0"/>
            <w:vAlign w:val="center"/>
          </w:tcPr>
          <w:p w14:paraId="1FFB527D">
            <w:pPr>
              <w:pStyle w:val="144"/>
              <w:keepNext w:val="0"/>
              <w:keepLines w:val="0"/>
              <w:widowControl w:val="0"/>
              <w:shd w:val="clear" w:color="auto" w:fill="auto"/>
              <w:bidi w:val="0"/>
              <w:spacing w:before="0" w:after="0" w:line="198" w:lineRule="exact"/>
              <w:ind w:left="0" w:right="0" w:firstLine="0"/>
              <w:jc w:val="left"/>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环境卫生清洁，植被良好，围墙等维护良好。发现一处不符合的，每次扣1分</w:t>
            </w:r>
          </w:p>
        </w:tc>
        <w:tc>
          <w:tcPr>
            <w:tcW w:w="698" w:type="dxa"/>
            <w:tcBorders>
              <w:top w:val="single" w:color="auto" w:sz="4" w:space="0"/>
              <w:left w:val="single" w:color="auto" w:sz="4" w:space="0"/>
            </w:tcBorders>
            <w:noWrap w:val="0"/>
            <w:vAlign w:val="center"/>
          </w:tcPr>
          <w:p w14:paraId="2000B3D0">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1D8E55AC">
            <w:pPr>
              <w:widowControl w:val="0"/>
              <w:jc w:val="center"/>
              <w:rPr>
                <w:color w:val="000000" w:themeColor="text1"/>
                <w:sz w:val="21"/>
                <w:szCs w:val="21"/>
                <w:highlight w:val="none"/>
                <w14:textFill>
                  <w14:solidFill>
                    <w14:schemeClr w14:val="tx1"/>
                  </w14:solidFill>
                </w14:textFill>
              </w:rPr>
            </w:pPr>
          </w:p>
        </w:tc>
      </w:tr>
      <w:tr w14:paraId="6241A517">
        <w:tblPrEx>
          <w:tblCellMar>
            <w:top w:w="0" w:type="dxa"/>
            <w:left w:w="10" w:type="dxa"/>
            <w:bottom w:w="0" w:type="dxa"/>
            <w:right w:w="10" w:type="dxa"/>
          </w:tblCellMar>
        </w:tblPrEx>
        <w:trPr>
          <w:trHeight w:val="604" w:hRule="exact"/>
          <w:jc w:val="center"/>
        </w:trPr>
        <w:tc>
          <w:tcPr>
            <w:tcW w:w="0" w:type="auto"/>
            <w:tcBorders>
              <w:top w:val="single" w:color="auto" w:sz="4" w:space="0"/>
              <w:left w:val="single" w:color="auto" w:sz="4" w:space="0"/>
            </w:tcBorders>
            <w:noWrap w:val="0"/>
            <w:vAlign w:val="center"/>
          </w:tcPr>
          <w:p w14:paraId="4C7F5859">
            <w:pPr>
              <w:widowControl w:val="0"/>
              <w:jc w:val="center"/>
              <w:rPr>
                <w:color w:val="000000" w:themeColor="text1"/>
                <w:sz w:val="21"/>
                <w:szCs w:val="21"/>
                <w:highlight w:val="none"/>
                <w14:textFill>
                  <w14:solidFill>
                    <w14:schemeClr w14:val="tx1"/>
                  </w14:solidFill>
                </w14:textFill>
              </w:rPr>
            </w:pPr>
          </w:p>
        </w:tc>
        <w:tc>
          <w:tcPr>
            <w:tcW w:w="0" w:type="auto"/>
            <w:tcBorders>
              <w:top w:val="single" w:color="auto" w:sz="4" w:space="0"/>
              <w:left w:val="single" w:color="auto" w:sz="4" w:space="0"/>
            </w:tcBorders>
            <w:noWrap w:val="0"/>
            <w:vAlign w:val="center"/>
          </w:tcPr>
          <w:p w14:paraId="12120F3B">
            <w:pPr>
              <w:pStyle w:val="144"/>
              <w:keepNext w:val="0"/>
              <w:keepLines w:val="0"/>
              <w:widowControl w:val="0"/>
              <w:shd w:val="clear" w:color="auto" w:fill="auto"/>
              <w:bidi w:val="0"/>
              <w:spacing w:before="0" w:after="0" w:line="240" w:lineRule="auto"/>
              <w:ind w:left="0" w:right="0" w:firstLine="16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合计：</w:t>
            </w:r>
          </w:p>
        </w:tc>
        <w:tc>
          <w:tcPr>
            <w:tcW w:w="0" w:type="auto"/>
            <w:tcBorders>
              <w:top w:val="single" w:color="auto" w:sz="4" w:space="0"/>
              <w:left w:val="single" w:color="auto" w:sz="4" w:space="0"/>
            </w:tcBorders>
            <w:noWrap w:val="0"/>
            <w:vAlign w:val="center"/>
          </w:tcPr>
          <w:p w14:paraId="13711A2E">
            <w:pPr>
              <w:pStyle w:val="144"/>
              <w:keepNext w:val="0"/>
              <w:keepLines w:val="0"/>
              <w:widowControl w:val="0"/>
              <w:shd w:val="clear" w:color="auto" w:fill="auto"/>
              <w:bidi w:val="0"/>
              <w:spacing w:before="0" w:after="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100</w:t>
            </w:r>
          </w:p>
        </w:tc>
        <w:tc>
          <w:tcPr>
            <w:tcW w:w="4609" w:type="dxa"/>
            <w:tcBorders>
              <w:top w:val="single" w:color="auto" w:sz="4" w:space="0"/>
              <w:left w:val="single" w:color="auto" w:sz="4" w:space="0"/>
            </w:tcBorders>
            <w:noWrap w:val="0"/>
            <w:vAlign w:val="center"/>
          </w:tcPr>
          <w:p w14:paraId="20F627ED">
            <w:pPr>
              <w:pStyle w:val="144"/>
              <w:keepNext w:val="0"/>
              <w:keepLines w:val="0"/>
              <w:widowControl w:val="0"/>
              <w:shd w:val="clear" w:color="auto" w:fill="auto"/>
              <w:bidi w:val="0"/>
              <w:spacing w:before="0" w:after="0" w:line="240" w:lineRule="auto"/>
              <w:ind w:left="0" w:right="14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得分：</w:t>
            </w:r>
          </w:p>
        </w:tc>
        <w:tc>
          <w:tcPr>
            <w:tcW w:w="698" w:type="dxa"/>
            <w:tcBorders>
              <w:top w:val="single" w:color="auto" w:sz="4" w:space="0"/>
              <w:left w:val="single" w:color="auto" w:sz="4" w:space="0"/>
            </w:tcBorders>
            <w:noWrap w:val="0"/>
            <w:vAlign w:val="center"/>
          </w:tcPr>
          <w:p w14:paraId="786BF808">
            <w:pPr>
              <w:widowControl w:val="0"/>
              <w:jc w:val="center"/>
              <w:rPr>
                <w:color w:val="000000" w:themeColor="text1"/>
                <w:sz w:val="21"/>
                <w:szCs w:val="21"/>
                <w:highlight w:val="none"/>
                <w14:textFill>
                  <w14:solidFill>
                    <w14:schemeClr w14:val="tx1"/>
                  </w14:solidFill>
                </w14:textFill>
              </w:rPr>
            </w:pPr>
          </w:p>
        </w:tc>
        <w:tc>
          <w:tcPr>
            <w:tcW w:w="908" w:type="dxa"/>
            <w:tcBorders>
              <w:top w:val="single" w:color="auto" w:sz="4" w:space="0"/>
              <w:left w:val="single" w:color="auto" w:sz="4" w:space="0"/>
              <w:right w:val="single" w:color="auto" w:sz="4" w:space="0"/>
            </w:tcBorders>
            <w:noWrap w:val="0"/>
            <w:vAlign w:val="center"/>
          </w:tcPr>
          <w:p w14:paraId="5D63ADE7">
            <w:pPr>
              <w:widowControl w:val="0"/>
              <w:jc w:val="center"/>
              <w:rPr>
                <w:color w:val="000000" w:themeColor="text1"/>
                <w:sz w:val="21"/>
                <w:szCs w:val="21"/>
                <w:highlight w:val="none"/>
                <w14:textFill>
                  <w14:solidFill>
                    <w14:schemeClr w14:val="tx1"/>
                  </w14:solidFill>
                </w14:textFill>
              </w:rPr>
            </w:pPr>
          </w:p>
        </w:tc>
      </w:tr>
      <w:tr w14:paraId="2B1658FF">
        <w:tblPrEx>
          <w:tblCellMar>
            <w:top w:w="0" w:type="dxa"/>
            <w:left w:w="10" w:type="dxa"/>
            <w:bottom w:w="0" w:type="dxa"/>
            <w:right w:w="10" w:type="dxa"/>
          </w:tblCellMar>
        </w:tblPrEx>
        <w:trPr>
          <w:trHeight w:val="412" w:hRule="exact"/>
          <w:jc w:val="center"/>
        </w:trPr>
        <w:tc>
          <w:tcPr>
            <w:tcW w:w="7930" w:type="dxa"/>
            <w:gridSpan w:val="6"/>
            <w:tcBorders>
              <w:top w:val="single" w:color="auto" w:sz="4" w:space="0"/>
              <w:left w:val="single" w:color="auto" w:sz="4" w:space="0"/>
              <w:bottom w:val="single" w:color="auto" w:sz="4" w:space="0"/>
              <w:right w:val="single" w:color="auto" w:sz="4" w:space="0"/>
            </w:tcBorders>
            <w:noWrap w:val="0"/>
            <w:vAlign w:val="center"/>
          </w:tcPr>
          <w:p w14:paraId="4C08AB10">
            <w:pPr>
              <w:pStyle w:val="144"/>
              <w:keepNext w:val="0"/>
              <w:keepLines w:val="0"/>
              <w:widowControl w:val="0"/>
              <w:shd w:val="clear" w:color="auto" w:fill="auto"/>
              <w:tabs>
                <w:tab w:val="left" w:pos="3248"/>
                <w:tab w:val="left" w:pos="4274"/>
                <w:tab w:val="left" w:pos="5070"/>
              </w:tabs>
              <w:bidi w:val="0"/>
              <w:spacing w:before="0" w:after="0" w:line="240" w:lineRule="auto"/>
              <w:ind w:left="0" w:right="0" w:firstLine="0"/>
              <w:jc w:val="center"/>
              <w:rPr>
                <w:color w:val="000000" w:themeColor="text1"/>
                <w:sz w:val="21"/>
                <w:szCs w:val="21"/>
                <w:highlight w:val="none"/>
                <w14:textFill>
                  <w14:solidFill>
                    <w14:schemeClr w14:val="tx1"/>
                  </w14:solidFill>
                </w14:textFill>
              </w:rPr>
            </w:pPr>
            <w:r>
              <w:rPr>
                <w:color w:val="000000" w:themeColor="text1"/>
                <w:spacing w:val="0"/>
                <w:w w:val="100"/>
                <w:position w:val="0"/>
                <w:sz w:val="21"/>
                <w:szCs w:val="21"/>
                <w:highlight w:val="none"/>
                <w14:textFill>
                  <w14:solidFill>
                    <w14:schemeClr w14:val="tx1"/>
                  </w14:solidFill>
                </w14:textFill>
              </w:rPr>
              <w:t>考核人员：</w:t>
            </w:r>
            <w:r>
              <w:rPr>
                <w:color w:val="000000" w:themeColor="text1"/>
                <w:spacing w:val="0"/>
                <w:w w:val="100"/>
                <w:position w:val="0"/>
                <w:sz w:val="21"/>
                <w:szCs w:val="21"/>
                <w:highlight w:val="none"/>
                <w14:textFill>
                  <w14:solidFill>
                    <w14:schemeClr w14:val="tx1"/>
                  </w14:solidFill>
                </w14:textFill>
              </w:rPr>
              <w:tab/>
            </w:r>
            <w:r>
              <w:rPr>
                <w:color w:val="000000" w:themeColor="text1"/>
                <w:spacing w:val="0"/>
                <w:w w:val="100"/>
                <w:position w:val="0"/>
                <w:sz w:val="21"/>
                <w:szCs w:val="21"/>
                <w:highlight w:val="none"/>
                <w14:textFill>
                  <w14:solidFill>
                    <w14:schemeClr w14:val="tx1"/>
                  </w14:solidFill>
                </w14:textFill>
              </w:rPr>
              <w:t>考核时间：</w:t>
            </w:r>
            <w:r>
              <w:rPr>
                <w:color w:val="000000" w:themeColor="text1"/>
                <w:spacing w:val="0"/>
                <w:w w:val="100"/>
                <w:position w:val="0"/>
                <w:sz w:val="21"/>
                <w:szCs w:val="21"/>
                <w:highlight w:val="none"/>
                <w14:textFill>
                  <w14:solidFill>
                    <w14:schemeClr w14:val="tx1"/>
                  </w14:solidFill>
                </w14:textFill>
              </w:rPr>
              <w:tab/>
            </w:r>
            <w:r>
              <w:rPr>
                <w:color w:val="000000" w:themeColor="text1"/>
                <w:spacing w:val="0"/>
                <w:w w:val="100"/>
                <w:position w:val="0"/>
                <w:sz w:val="21"/>
                <w:szCs w:val="21"/>
                <w:highlight w:val="none"/>
                <w14:textFill>
                  <w14:solidFill>
                    <w14:schemeClr w14:val="tx1"/>
                  </w14:solidFill>
                </w14:textFill>
              </w:rPr>
              <w:t>年 月</w:t>
            </w:r>
            <w:r>
              <w:rPr>
                <w:color w:val="000000" w:themeColor="text1"/>
                <w:spacing w:val="0"/>
                <w:w w:val="100"/>
                <w:position w:val="0"/>
                <w:sz w:val="21"/>
                <w:szCs w:val="21"/>
                <w:highlight w:val="none"/>
                <w14:textFill>
                  <w14:solidFill>
                    <w14:schemeClr w14:val="tx1"/>
                  </w14:solidFill>
                </w14:textFill>
              </w:rPr>
              <w:tab/>
            </w:r>
            <w:r>
              <w:rPr>
                <w:color w:val="000000" w:themeColor="text1"/>
                <w:spacing w:val="0"/>
                <w:w w:val="100"/>
                <w:position w:val="0"/>
                <w:sz w:val="21"/>
                <w:szCs w:val="21"/>
                <w:highlight w:val="none"/>
                <w14:textFill>
                  <w14:solidFill>
                    <w14:schemeClr w14:val="tx1"/>
                  </w14:solidFill>
                </w14:textFill>
              </w:rPr>
              <w:t>日</w:t>
            </w:r>
          </w:p>
        </w:tc>
      </w:tr>
    </w:tbl>
    <w:p w14:paraId="79F85A4E">
      <w:pPr>
        <w:widowControl/>
        <w:numPr>
          <w:ilvl w:val="-1"/>
          <w:numId w:val="0"/>
        </w:numPr>
        <w:autoSpaceDE w:val="0"/>
        <w:autoSpaceDN w:val="0"/>
        <w:spacing w:line="360" w:lineRule="auto"/>
        <w:ind w:left="420" w:firstLine="0"/>
        <w:textAlignment w:val="bottom"/>
        <w:rPr>
          <w:rFonts w:hint="eastAsia" w:ascii="Arial" w:hAnsi="Arial" w:cs="Arial"/>
          <w:b/>
          <w:color w:val="000000" w:themeColor="text1"/>
          <w:szCs w:val="21"/>
          <w:highlight w:val="none"/>
          <w14:textFill>
            <w14:solidFill>
              <w14:schemeClr w14:val="tx1"/>
            </w14:solidFill>
          </w14:textFill>
        </w:rPr>
      </w:pPr>
    </w:p>
    <w:p w14:paraId="40222D5B">
      <w:pPr>
        <w:widowControl/>
        <w:numPr>
          <w:ilvl w:val="0"/>
          <w:numId w:val="5"/>
        </w:numPr>
        <w:autoSpaceDE w:val="0"/>
        <w:autoSpaceDN w:val="0"/>
        <w:spacing w:line="360" w:lineRule="auto"/>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工作指令</w:t>
      </w:r>
    </w:p>
    <w:p w14:paraId="5EE03D06">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养护单位须严格执行采购人的工作指令，工作指令包括：应急指令、常规指令和重要指令。</w:t>
      </w:r>
    </w:p>
    <w:p w14:paraId="1C1DFE42">
      <w:pPr>
        <w:widowControl/>
        <w:numPr>
          <w:ilvl w:val="0"/>
          <w:numId w:val="9"/>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应急指令”是指任务没有预见性或预见性不强的情况下，由采购人电话通知养护单位联系人后，养护单位必须马上落实的工作任务的指令。养护单位接到该指令后，必须先组织落实并拍照留取证据，完成后再完善书面签证程序。</w:t>
      </w:r>
    </w:p>
    <w:p w14:paraId="701E2188">
      <w:pPr>
        <w:widowControl/>
        <w:numPr>
          <w:ilvl w:val="0"/>
          <w:numId w:val="9"/>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 xml:space="preserve">“常规指令”是指任务预见性较强或实施依据较充分，主要有两种情况，第一种是采购人发现病害要求养护单位尽快处理的简易指令、第二种是养护单位自行发现病害经采购人口头同意后尽快实施的简易指令，指令流程为“养护单位口头上报经采购人同意实施→养护单位留取工作前现状照片、工作过程照片、工作后成果照片→完成书面程序”。书面程序：养护单位填写“病害上报单（附病害照片）”→填写“常规养护任务实施单（附过程照片）”→采购人填写“验收单”。 </w:t>
      </w:r>
    </w:p>
    <w:p w14:paraId="6E17E076">
      <w:pPr>
        <w:widowControl/>
        <w:numPr>
          <w:ilvl w:val="0"/>
          <w:numId w:val="9"/>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重要指令”是指需养护单位完成工程量较大或维修部位较关键或任务较重要或工程量清单之外的工作内容，指令流程为“采购人下达书面任务→养护单位接收书面任务→适时完成过程资料→组织联合验收→完善竣工资料”。</w:t>
      </w:r>
    </w:p>
    <w:p w14:paraId="283C6811">
      <w:pPr>
        <w:widowControl/>
        <w:numPr>
          <w:ilvl w:val="0"/>
          <w:numId w:val="5"/>
        </w:numPr>
        <w:autoSpaceDE w:val="0"/>
        <w:autoSpaceDN w:val="0"/>
        <w:spacing w:line="360" w:lineRule="auto"/>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基本要求</w:t>
      </w:r>
    </w:p>
    <w:p w14:paraId="0B21939D">
      <w:pPr>
        <w:widowControl/>
        <w:numPr>
          <w:ilvl w:val="0"/>
          <w:numId w:val="10"/>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城市道路（含人行道）、桥梁、</w:t>
      </w:r>
      <w:r>
        <w:rPr>
          <w:rFonts w:ascii="Arial" w:hAnsi="Arial" w:cs="Arial"/>
          <w:bCs/>
          <w:color w:val="000000" w:themeColor="text1"/>
          <w:szCs w:val="21"/>
          <w:highlight w:val="none"/>
          <w14:textFill>
            <w14:solidFill>
              <w14:schemeClr w14:val="tx1"/>
            </w14:solidFill>
          </w14:textFill>
        </w:rPr>
        <w:t>隧道</w:t>
      </w:r>
      <w:r>
        <w:rPr>
          <w:rFonts w:hint="eastAsia" w:ascii="Arial" w:hAnsi="Arial" w:cs="Arial"/>
          <w:bCs/>
          <w:color w:val="000000" w:themeColor="text1"/>
          <w:szCs w:val="21"/>
          <w:highlight w:val="none"/>
          <w14:textFill>
            <w14:solidFill>
              <w14:schemeClr w14:val="tx1"/>
            </w14:solidFill>
          </w14:textFill>
        </w:rPr>
        <w:t>：</w:t>
      </w:r>
    </w:p>
    <w:p w14:paraId="7B1D3D39">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每月自行巡查发现问题数量不得低于城管月底处置案件数量的80%，及时发现各类路（桥）面的病害并立即采取有效措施予以养护维修（同时需采集维修前后的图片），确保路（桥）面平整整洁、运行状况良好。</w:t>
      </w:r>
    </w:p>
    <w:p w14:paraId="009B00DC">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沥青路（桥）面铺装层的小病害应发现一处及时处理一处。裂缝宽度在10mm以内的，应及时采用热沥青灌缝处理；宽度在10mm以上的，应采用细粒式热拌沥青混合料或乳化沥青混合料填缝；沥青面层泛油应及时在泛油层撒细沙处理；坑洞、坑槽应及时采用填筑沥青混合料处理。</w:t>
      </w:r>
    </w:p>
    <w:p w14:paraId="75B09FFE">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沥青路（桥）面出现拥包、车辙、整体脱皮等，而因基层、垫层或结构物变形造成的，应及时上报，按规定处理。</w:t>
      </w:r>
    </w:p>
    <w:p w14:paraId="4272DE47">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路缘石、盲道、人行道小方块等松动、缺失、破损的，应发现一处及时处理一处，如因基层等结构性病害造成的，应及时上报，按规定处理。</w:t>
      </w:r>
    </w:p>
    <w:p w14:paraId="01599A6C">
      <w:pPr>
        <w:widowControl/>
        <w:numPr>
          <w:ilvl w:val="0"/>
          <w:numId w:val="11"/>
        </w:numPr>
        <w:tabs>
          <w:tab w:val="left" w:pos="0"/>
          <w:tab w:val="clear" w:pos="425"/>
        </w:tabs>
        <w:spacing w:line="360" w:lineRule="auto"/>
        <w:ind w:left="0" w:firstLine="42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混凝土构件出现破损、裂缝、露筋、振动异常等的，应及时上报，按规定处理。</w:t>
      </w:r>
    </w:p>
    <w:p w14:paraId="5EF78E0D">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按要求</w:t>
      </w:r>
      <w:r>
        <w:rPr>
          <w:rFonts w:ascii="Arial" w:hAnsi="Arial" w:cs="Arial"/>
          <w:bCs/>
          <w:color w:val="000000" w:themeColor="text1"/>
          <w:szCs w:val="21"/>
          <w:highlight w:val="none"/>
          <w14:textFill>
            <w14:solidFill>
              <w14:schemeClr w14:val="tx1"/>
            </w14:solidFill>
          </w14:textFill>
        </w:rPr>
        <w:t>对</w:t>
      </w:r>
      <w:r>
        <w:rPr>
          <w:rFonts w:hint="eastAsia" w:ascii="Arial" w:hAnsi="Arial" w:cs="Arial"/>
          <w:bCs/>
          <w:color w:val="000000" w:themeColor="text1"/>
          <w:szCs w:val="21"/>
          <w:highlight w:val="none"/>
          <w14:textFill>
            <w14:solidFill>
              <w14:schemeClr w14:val="tx1"/>
            </w14:solidFill>
          </w14:textFill>
        </w:rPr>
        <w:t>边沟、涵洞进行</w:t>
      </w:r>
      <w:r>
        <w:rPr>
          <w:rFonts w:ascii="Arial" w:hAnsi="Arial" w:cs="Arial"/>
          <w:bCs/>
          <w:color w:val="000000" w:themeColor="text1"/>
          <w:szCs w:val="21"/>
          <w:highlight w:val="none"/>
          <w14:textFill>
            <w14:solidFill>
              <w14:schemeClr w14:val="tx1"/>
            </w14:solidFill>
          </w14:textFill>
        </w:rPr>
        <w:t>清理</w:t>
      </w:r>
      <w:r>
        <w:rPr>
          <w:rFonts w:hint="eastAsia" w:ascii="Arial" w:hAnsi="Arial" w:cs="Arial"/>
          <w:bCs/>
          <w:color w:val="000000" w:themeColor="text1"/>
          <w:szCs w:val="21"/>
          <w:highlight w:val="none"/>
          <w14:textFill>
            <w14:solidFill>
              <w14:schemeClr w14:val="tx1"/>
            </w14:solidFill>
          </w14:textFill>
        </w:rPr>
        <w:t>，保持汛期边沟、涵洞干净整洁。</w:t>
      </w:r>
    </w:p>
    <w:p w14:paraId="1C732991">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定期进行桥梁上部结构、下部结构、桥面系附属设施、道路面层、道路附属设施的检查工作。</w:t>
      </w:r>
    </w:p>
    <w:p w14:paraId="75E4DB40">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防撞墩安放应保持与原设施相一致，安放牢固，不得有松动现象，埋置深度不得低于150mm。</w:t>
      </w:r>
    </w:p>
    <w:p w14:paraId="7B236732">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伸缩缝和泄水孔的定期清理，具体以采购人任务单为准。</w:t>
      </w:r>
    </w:p>
    <w:p w14:paraId="53566807">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栏板及时</w:t>
      </w:r>
      <w:r>
        <w:rPr>
          <w:rFonts w:ascii="Arial" w:hAnsi="Arial" w:cs="Arial"/>
          <w:bCs/>
          <w:color w:val="000000" w:themeColor="text1"/>
          <w:szCs w:val="21"/>
          <w:highlight w:val="none"/>
          <w14:textFill>
            <w14:solidFill>
              <w14:schemeClr w14:val="tx1"/>
            </w14:solidFill>
          </w14:textFill>
        </w:rPr>
        <w:t>清理，并对有松动或者破损的进行修复。</w:t>
      </w:r>
    </w:p>
    <w:p w14:paraId="23A742B6">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遇到雨雪等极端天气时，发现天气对行车或行人造成重大影响的，可采取先疏导、后上报、再处理的措施。</w:t>
      </w:r>
    </w:p>
    <w:p w14:paraId="111CA923">
      <w:pPr>
        <w:widowControl/>
        <w:numPr>
          <w:ilvl w:val="0"/>
          <w:numId w:val="11"/>
        </w:numPr>
        <w:tabs>
          <w:tab w:val="left" w:pos="0"/>
          <w:tab w:val="clear" w:pos="425"/>
        </w:tabs>
        <w:spacing w:line="360" w:lineRule="auto"/>
        <w:ind w:left="0" w:firstLine="42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如桥（路）面发生因第三方责任（如车撞）造成损坏的，养护单位接采购人通知后，须在固定相关损失现场状况后实施先修复、再向第三方（或第三方的委托人或保险公司）结算。</w:t>
      </w:r>
    </w:p>
    <w:p w14:paraId="40D826F4">
      <w:pPr>
        <w:widowControl/>
        <w:numPr>
          <w:ilvl w:val="0"/>
          <w:numId w:val="11"/>
        </w:numPr>
        <w:tabs>
          <w:tab w:val="left" w:pos="0"/>
          <w:tab w:val="clear" w:pos="425"/>
        </w:tabs>
        <w:spacing w:line="360" w:lineRule="auto"/>
        <w:ind w:left="0" w:firstLine="42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隧道横截沟及时清理，</w:t>
      </w:r>
      <w:r>
        <w:rPr>
          <w:rFonts w:ascii="Arial" w:hAnsi="Arial" w:cs="Arial"/>
          <w:bCs/>
          <w:color w:val="000000" w:themeColor="text1"/>
          <w:szCs w:val="21"/>
          <w:highlight w:val="none"/>
          <w14:textFill>
            <w14:solidFill>
              <w14:schemeClr w14:val="tx1"/>
            </w14:solidFill>
          </w14:textFill>
        </w:rPr>
        <w:t>如遇突发</w:t>
      </w:r>
      <w:r>
        <w:rPr>
          <w:rFonts w:hint="eastAsia" w:ascii="Arial" w:hAnsi="Arial" w:cs="Arial"/>
          <w:bCs/>
          <w:color w:val="000000" w:themeColor="text1"/>
          <w:szCs w:val="21"/>
          <w:highlight w:val="none"/>
          <w14:textFill>
            <w14:solidFill>
              <w14:schemeClr w14:val="tx1"/>
            </w14:solidFill>
          </w14:textFill>
        </w:rPr>
        <w:t>情况</w:t>
      </w:r>
      <w:r>
        <w:rPr>
          <w:rFonts w:ascii="Arial" w:hAnsi="Arial" w:cs="Arial"/>
          <w:bCs/>
          <w:color w:val="000000" w:themeColor="text1"/>
          <w:szCs w:val="21"/>
          <w:highlight w:val="none"/>
          <w14:textFill>
            <w14:solidFill>
              <w14:schemeClr w14:val="tx1"/>
            </w14:solidFill>
          </w14:textFill>
        </w:rPr>
        <w:t>，应</w:t>
      </w:r>
      <w:r>
        <w:rPr>
          <w:rFonts w:hint="eastAsia" w:ascii="Arial" w:hAnsi="Arial" w:cs="Arial"/>
          <w:bCs/>
          <w:color w:val="000000" w:themeColor="text1"/>
          <w:szCs w:val="21"/>
          <w:highlight w:val="none"/>
          <w14:textFill>
            <w14:solidFill>
              <w14:schemeClr w14:val="tx1"/>
            </w14:solidFill>
          </w14:textFill>
        </w:rPr>
        <w:t>及时</w:t>
      </w:r>
      <w:r>
        <w:rPr>
          <w:rFonts w:ascii="Arial" w:hAnsi="Arial" w:cs="Arial"/>
          <w:bCs/>
          <w:color w:val="000000" w:themeColor="text1"/>
          <w:szCs w:val="21"/>
          <w:highlight w:val="none"/>
          <w14:textFill>
            <w14:solidFill>
              <w14:schemeClr w14:val="tx1"/>
            </w14:solidFill>
          </w14:textFill>
        </w:rPr>
        <w:t>到位清理或</w:t>
      </w:r>
      <w:r>
        <w:rPr>
          <w:rFonts w:hint="eastAsia" w:ascii="Arial" w:hAnsi="Arial" w:cs="Arial"/>
          <w:bCs/>
          <w:color w:val="000000" w:themeColor="text1"/>
          <w:szCs w:val="21"/>
          <w:highlight w:val="none"/>
          <w14:textFill>
            <w14:solidFill>
              <w14:schemeClr w14:val="tx1"/>
            </w14:solidFill>
          </w14:textFill>
        </w:rPr>
        <w:t>修复</w:t>
      </w:r>
      <w:r>
        <w:rPr>
          <w:rFonts w:ascii="Arial" w:hAnsi="Arial" w:cs="Arial"/>
          <w:bCs/>
          <w:color w:val="000000" w:themeColor="text1"/>
          <w:szCs w:val="21"/>
          <w:highlight w:val="none"/>
          <w14:textFill>
            <w14:solidFill>
              <w14:schemeClr w14:val="tx1"/>
            </w14:solidFill>
          </w14:textFill>
        </w:rPr>
        <w:t>。</w:t>
      </w:r>
    </w:p>
    <w:p w14:paraId="5E3E310C">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隧道装饰板</w:t>
      </w:r>
      <w:r>
        <w:rPr>
          <w:rFonts w:ascii="Arial" w:hAnsi="Arial" w:cs="Arial"/>
          <w:bCs/>
          <w:color w:val="000000" w:themeColor="text1"/>
          <w:szCs w:val="21"/>
          <w:highlight w:val="none"/>
          <w14:textFill>
            <w14:solidFill>
              <w14:schemeClr w14:val="tx1"/>
            </w14:solidFill>
          </w14:textFill>
        </w:rPr>
        <w:t>如发生破损或掉落，应</w:t>
      </w:r>
      <w:r>
        <w:rPr>
          <w:rFonts w:hint="eastAsia" w:ascii="Arial" w:hAnsi="Arial" w:cs="Arial"/>
          <w:bCs/>
          <w:color w:val="000000" w:themeColor="text1"/>
          <w:szCs w:val="21"/>
          <w:highlight w:val="none"/>
          <w14:textFill>
            <w14:solidFill>
              <w14:schemeClr w14:val="tx1"/>
            </w14:solidFill>
          </w14:textFill>
        </w:rPr>
        <w:t>及时</w:t>
      </w:r>
      <w:r>
        <w:rPr>
          <w:rFonts w:ascii="Arial" w:hAnsi="Arial" w:cs="Arial"/>
          <w:bCs/>
          <w:color w:val="000000" w:themeColor="text1"/>
          <w:szCs w:val="21"/>
          <w:highlight w:val="none"/>
          <w14:textFill>
            <w14:solidFill>
              <w14:schemeClr w14:val="tx1"/>
            </w14:solidFill>
          </w14:textFill>
        </w:rPr>
        <w:t>对其进行修复</w:t>
      </w:r>
      <w:r>
        <w:rPr>
          <w:rFonts w:hint="eastAsia" w:ascii="Arial" w:hAnsi="Arial" w:cs="Arial"/>
          <w:bCs/>
          <w:color w:val="000000" w:themeColor="text1"/>
          <w:szCs w:val="21"/>
          <w:highlight w:val="none"/>
          <w14:textFill>
            <w14:solidFill>
              <w14:schemeClr w14:val="tx1"/>
            </w14:solidFill>
          </w14:textFill>
        </w:rPr>
        <w:t>或更换。</w:t>
      </w:r>
    </w:p>
    <w:p w14:paraId="4659C558">
      <w:pPr>
        <w:widowControl/>
        <w:numPr>
          <w:ilvl w:val="0"/>
          <w:numId w:val="10"/>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排水管网、排水固定泵站</w:t>
      </w:r>
    </w:p>
    <w:p w14:paraId="24C01E90">
      <w:pPr>
        <w:widowControl/>
        <w:numPr>
          <w:ilvl w:val="0"/>
          <w:numId w:val="12"/>
        </w:numPr>
        <w:tabs>
          <w:tab w:val="left" w:pos="220"/>
          <w:tab w:val="clear" w:pos="425"/>
        </w:tabs>
        <w:spacing w:line="360" w:lineRule="auto"/>
        <w:ind w:left="5" w:firstLine="415"/>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按《城镇排水管渠与泵站维护技术规程》（CJJ68-2007）、《城镇排水管道维护安全技术规程》（CJJ6-2009）、《城镇排水设施养护作业安全技术规程》、《有限空间作业安全技术规程》（DB23/T 1791-2006）、等相关规程、规定进行养护维修作业。</w:t>
      </w:r>
    </w:p>
    <w:p w14:paraId="42AAA791">
      <w:pPr>
        <w:widowControl/>
        <w:numPr>
          <w:ilvl w:val="0"/>
          <w:numId w:val="12"/>
        </w:numPr>
        <w:tabs>
          <w:tab w:val="left" w:pos="220"/>
          <w:tab w:val="clear" w:pos="425"/>
        </w:tabs>
        <w:spacing w:line="360" w:lineRule="auto"/>
        <w:ind w:left="5" w:firstLine="415"/>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及时疏通泄水孔、泄水井、地面窨井、排水管等，确保排水管网畅通、无堵塞、无缺失、无破损、无积水。</w:t>
      </w:r>
    </w:p>
    <w:p w14:paraId="1D304060">
      <w:pPr>
        <w:widowControl/>
        <w:numPr>
          <w:ilvl w:val="0"/>
          <w:numId w:val="12"/>
        </w:numPr>
        <w:tabs>
          <w:tab w:val="left" w:pos="0"/>
          <w:tab w:val="clear" w:pos="425"/>
        </w:tabs>
        <w:spacing w:line="360" w:lineRule="auto"/>
        <w:ind w:left="5" w:firstLine="415"/>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管道疏通后，达到排水畅通，管道内积淤深度达到《城镇排水管渠与泵站维护技术规程》（CJJ68-2007）市政养护验收标准以及《城镇排水管道维护安全技术规程》（CJJ6-2009）标准，且要求做到管道内无石块、水泥砂浆等物。</w:t>
      </w:r>
    </w:p>
    <w:p w14:paraId="0F047062">
      <w:pPr>
        <w:widowControl/>
        <w:numPr>
          <w:ilvl w:val="0"/>
          <w:numId w:val="12"/>
        </w:numPr>
        <w:tabs>
          <w:tab w:val="left" w:pos="0"/>
          <w:tab w:val="clear" w:pos="425"/>
        </w:tabs>
        <w:spacing w:line="360" w:lineRule="auto"/>
        <w:ind w:left="5" w:firstLine="415"/>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在疏通工作完成后，必须将管道内疏通出的淤泥等管道淤堵物，通过密封的淤泥运输车等专用车辆外运至合法处理地进行处理，保证淤泥在运输及处理过程中不造成二次污染。</w:t>
      </w:r>
    </w:p>
    <w:p w14:paraId="5D5E8E0D">
      <w:pPr>
        <w:widowControl/>
        <w:numPr>
          <w:ilvl w:val="0"/>
          <w:numId w:val="12"/>
        </w:numPr>
        <w:tabs>
          <w:tab w:val="left" w:pos="0"/>
          <w:tab w:val="clear" w:pos="425"/>
        </w:tabs>
        <w:spacing w:line="360" w:lineRule="auto"/>
        <w:ind w:left="5" w:firstLine="415"/>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管道检测符合《排水管道电视和声纳检测评估技术规程》DB31/T444-2009。</w:t>
      </w:r>
    </w:p>
    <w:p w14:paraId="2AF90530">
      <w:pPr>
        <w:widowControl/>
        <w:numPr>
          <w:ilvl w:val="0"/>
          <w:numId w:val="12"/>
        </w:numPr>
        <w:tabs>
          <w:tab w:val="left" w:pos="0"/>
          <w:tab w:val="clear" w:pos="425"/>
        </w:tabs>
        <w:spacing w:line="360" w:lineRule="auto"/>
        <w:ind w:left="5" w:firstLine="415"/>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提升井作业时，需要2人以上共同进行维护保养，工作时需切断电源，穿戴好绝缘手套和绝缘靴，保证工作人员自身安全。</w:t>
      </w:r>
    </w:p>
    <w:p w14:paraId="05C85CEA">
      <w:pPr>
        <w:widowControl/>
        <w:numPr>
          <w:ilvl w:val="0"/>
          <w:numId w:val="12"/>
        </w:numPr>
        <w:tabs>
          <w:tab w:val="left" w:pos="0"/>
          <w:tab w:val="clear" w:pos="425"/>
        </w:tabs>
        <w:spacing w:line="360" w:lineRule="auto"/>
        <w:ind w:left="5" w:firstLine="415"/>
        <w:rPr>
          <w:rFonts w:hint="eastAsia" w:ascii="宋体" w:hAnsi="宋体"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破损井盖维修、更换：根据采购人要求，更换井盖。优先使用采购人提供的井盖，更换的井盖必须与采购人提供的井盖一致，经采购人确认后使用。</w:t>
      </w:r>
    </w:p>
    <w:p w14:paraId="4E6FED48">
      <w:pPr>
        <w:widowControl/>
        <w:numPr>
          <w:ilvl w:val="0"/>
          <w:numId w:val="12"/>
        </w:numPr>
        <w:tabs>
          <w:tab w:val="left" w:pos="0"/>
          <w:tab w:val="clear" w:pos="425"/>
        </w:tabs>
        <w:spacing w:line="360" w:lineRule="auto"/>
        <w:ind w:left="5" w:firstLine="415"/>
        <w:rPr>
          <w:rFonts w:ascii="Arial" w:hAnsi="Arial" w:cs="Arial"/>
          <w:bCs/>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泵站机电设备运行日常养护服务主要包括以下内容：机电设备维修养护、辅助设施维修养护、泵站建筑物维修养护、附属设施维修养护、物料动力消耗。所有泵站必须每周巡查一次，并确保所有泵站正常运行</w:t>
      </w:r>
      <w:r>
        <w:rPr>
          <w:rFonts w:hint="eastAsia" w:ascii="Arial" w:hAnsi="Arial" w:cs="Arial"/>
          <w:bCs/>
          <w:color w:val="000000" w:themeColor="text1"/>
          <w:szCs w:val="21"/>
          <w:highlight w:val="none"/>
          <w14:textFill>
            <w14:solidFill>
              <w14:schemeClr w14:val="tx1"/>
            </w14:solidFill>
          </w14:textFill>
        </w:rPr>
        <w:t>。</w:t>
      </w:r>
    </w:p>
    <w:p w14:paraId="2130C7CC">
      <w:pPr>
        <w:widowControl/>
        <w:numPr>
          <w:ilvl w:val="0"/>
          <w:numId w:val="12"/>
        </w:numPr>
        <w:tabs>
          <w:tab w:val="left" w:pos="0"/>
          <w:tab w:val="clear" w:pos="425"/>
        </w:tabs>
        <w:spacing w:line="360" w:lineRule="auto"/>
        <w:ind w:left="5" w:firstLine="415"/>
        <w:rPr>
          <w:rFonts w:ascii="Arial" w:hAnsi="Arial" w:cs="Arial"/>
          <w:bCs/>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暴雨、台风等灾害天气各泵站均需要派人</w:t>
      </w:r>
      <w:r>
        <w:rPr>
          <w:rFonts w:ascii="宋体" w:hAnsi="宋体"/>
          <w:color w:val="000000" w:themeColor="text1"/>
          <w:szCs w:val="21"/>
          <w:highlight w:val="none"/>
          <w14:textFill>
            <w14:solidFill>
              <w14:schemeClr w14:val="tx1"/>
            </w14:solidFill>
          </w14:textFill>
        </w:rPr>
        <w:t>24</w:t>
      </w:r>
      <w:r>
        <w:rPr>
          <w:rFonts w:hint="eastAsia" w:ascii="宋体" w:hAnsi="宋体"/>
          <w:color w:val="000000" w:themeColor="text1"/>
          <w:szCs w:val="21"/>
          <w:highlight w:val="none"/>
          <w14:textFill>
            <w14:solidFill>
              <w14:schemeClr w14:val="tx1"/>
            </w14:solidFill>
          </w14:textFill>
        </w:rPr>
        <w:t>小时值守。</w:t>
      </w:r>
    </w:p>
    <w:p w14:paraId="2D3E582E">
      <w:pPr>
        <w:widowControl/>
        <w:numPr>
          <w:ilvl w:val="0"/>
          <w:numId w:val="12"/>
        </w:numPr>
        <w:tabs>
          <w:tab w:val="left" w:pos="0"/>
          <w:tab w:val="clear" w:pos="425"/>
        </w:tabs>
        <w:spacing w:line="360" w:lineRule="auto"/>
        <w:ind w:left="5" w:firstLine="415"/>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每周巡查及值守人员由</w:t>
      </w: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名专业技术维修人员和</w:t>
      </w: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名高、低配设备作业人员（具有高配证或低配证）组成，人员必须熟练操作水泵启、闭，能处理应急事件。</w:t>
      </w:r>
    </w:p>
    <w:p w14:paraId="494E3DE5">
      <w:pPr>
        <w:widowControl/>
        <w:numPr>
          <w:ilvl w:val="0"/>
          <w:numId w:val="10"/>
        </w:numPr>
        <w:spacing w:line="360" w:lineRule="auto"/>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市政消火栓</w:t>
      </w:r>
    </w:p>
    <w:p w14:paraId="07D6C378">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a</w:t>
      </w:r>
      <w:r>
        <w:rPr>
          <w:rFonts w:ascii="Arial" w:hAnsi="Arial" w:cs="Arial"/>
          <w:bCs/>
          <w:color w:val="000000" w:themeColor="text1"/>
          <w:szCs w:val="21"/>
          <w:highlight w:val="none"/>
          <w14:textFill>
            <w14:solidFill>
              <w14:schemeClr w14:val="tx1"/>
            </w14:solidFill>
          </w14:textFill>
        </w:rPr>
        <w:t xml:space="preserve">. </w:t>
      </w:r>
      <w:r>
        <w:rPr>
          <w:rFonts w:hint="eastAsia" w:ascii="Arial" w:hAnsi="Arial" w:cs="Arial"/>
          <w:bCs/>
          <w:color w:val="000000" w:themeColor="text1"/>
          <w:szCs w:val="21"/>
          <w:highlight w:val="none"/>
          <w14:textFill>
            <w14:solidFill>
              <w14:schemeClr w14:val="tx1"/>
            </w14:solidFill>
          </w14:textFill>
        </w:rPr>
        <w:t>按《消防给水及消火栓系统技术规范》GB 50974-2014等相关规程、规定进行养护维修作业。</w:t>
      </w:r>
    </w:p>
    <w:p w14:paraId="2CB27841">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b</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 xml:space="preserve"> 消火栓每月至少进行一次全面巡检；每季度至少进行一次保养；每年至少进行两次放水检查，重大节日或庆祝活动之前专门检查一次。消火栓及阀门后的管道损坏漏水应在30分钟内到达现场止水维修，并在24小时内修复。</w:t>
      </w:r>
    </w:p>
    <w:p w14:paraId="2FD2CD40">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c</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 xml:space="preserve"> 建立消火栓资料，明确具体位置并进行统一编号，根据变更情况及时更新并报消防部门备案；如实记录消火栓的巡检、新增、移位、拆除、维修、保养等信息，建立管理台账并填报统计报表。</w:t>
      </w:r>
    </w:p>
    <w:p w14:paraId="7A002440">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d</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 xml:space="preserve"> 消火栓因各种原因需移位或拆除的，经有关部门同意后才能按规定实施，并报消火栓管理部门和监管部门备案。</w:t>
      </w:r>
    </w:p>
    <w:p w14:paraId="6219BF25">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e</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 xml:space="preserve"> 参加验收新建市政消火栓，并接收通过验收的消火栓和相关资料。</w:t>
      </w:r>
    </w:p>
    <w:p w14:paraId="645167BF">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f. 加强安全教育，注意文明施工，并做好各种安全标志等，防止因施工造成的安全事故。</w:t>
      </w:r>
    </w:p>
    <w:p w14:paraId="71B471A5">
      <w:pPr>
        <w:widowControl/>
        <w:numPr>
          <w:ilvl w:val="0"/>
          <w:numId w:val="10"/>
        </w:numPr>
        <w:spacing w:line="360" w:lineRule="auto"/>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防台防汛等极端天气及重大保障应急综合服务</w:t>
      </w:r>
    </w:p>
    <w:p w14:paraId="13773890">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a</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防台防汛等极端天气及重大保障期间，应积极主动做好以下应急保障工作。</w:t>
      </w:r>
    </w:p>
    <w:p w14:paraId="1577C293">
      <w:pPr>
        <w:spacing w:line="360" w:lineRule="auto"/>
        <w:ind w:left="142" w:firstLine="283" w:firstLineChars="135"/>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①切实做好应急保障各项准备工作。建立和完善应急保障期间安全生产工作责任制，指定专门人员负责应急保障期间安全生产工作。做好专业技术人员及专业设备的配备，培训和演练抢险队伍，提高气象灾害应急处置能力。</w:t>
      </w:r>
    </w:p>
    <w:p w14:paraId="297624EE">
      <w:pPr>
        <w:spacing w:line="360" w:lineRule="auto"/>
        <w:ind w:firstLine="399" w:firstLineChars="19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②加强排水设施日常管护。进一步强化排水设施日常维护管理工作，做好排水管网摸底调查工作，加强排水管道疏浚，确保汛期城市排水管网畅通。</w:t>
      </w:r>
    </w:p>
    <w:p w14:paraId="61B49DAB">
      <w:pPr>
        <w:spacing w:line="360" w:lineRule="auto"/>
        <w:ind w:firstLine="399" w:firstLineChars="19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③落实预案，做好汛期应急处置和值守工作。完善防汛抢修预案和应急措施，切实加强对重要设施、重点部位的应急准备工作，落实应急抢险队伍组织，检修抢险设备，做好抢险预案，完善值班制度，提前做好疏浚抢险设施、设备、人员准备，确保迅速准确排出险情。   </w:t>
      </w:r>
    </w:p>
    <w:p w14:paraId="7A0E730B">
      <w:pPr>
        <w:spacing w:line="360" w:lineRule="auto"/>
        <w:ind w:firstLine="399" w:firstLineChars="19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④应急综合服务期间须投入</w:t>
      </w:r>
      <w:r>
        <w:rPr>
          <w:rFonts w:ascii="宋体" w:hAnsi="宋体"/>
          <w:color w:val="000000" w:themeColor="text1"/>
          <w:szCs w:val="21"/>
          <w:highlight w:val="none"/>
          <w14:textFill>
            <w14:solidFill>
              <w14:schemeClr w14:val="tx1"/>
            </w14:solidFill>
          </w14:textFill>
        </w:rPr>
        <w:t>的防台防汛应急小组及人员、设备要求</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610"/>
        <w:gridCol w:w="1553"/>
        <w:gridCol w:w="1450"/>
        <w:gridCol w:w="1258"/>
        <w:gridCol w:w="1421"/>
      </w:tblGrid>
      <w:tr w14:paraId="1FC4A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230" w:type="dxa"/>
            <w:vMerge w:val="restart"/>
            <w:noWrap w:val="0"/>
            <w:vAlign w:val="top"/>
          </w:tcPr>
          <w:p w14:paraId="08BBB459">
            <w:pPr>
              <w:rPr>
                <w:rFonts w:hint="eastAsia"/>
                <w:color w:val="000000" w:themeColor="text1"/>
                <w:szCs w:val="22"/>
                <w:highlight w:val="none"/>
                <w:vertAlign w:val="baseline"/>
                <w:lang w:eastAsia="zh-CN"/>
                <w14:textFill>
                  <w14:solidFill>
                    <w14:schemeClr w14:val="tx1"/>
                  </w14:solidFill>
                </w14:textFill>
              </w:rPr>
            </w:pPr>
          </w:p>
          <w:p w14:paraId="329616F2">
            <w:pPr>
              <w:ind w:firstLine="210" w:firstLineChars="100"/>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名称</w:t>
            </w:r>
          </w:p>
        </w:tc>
        <w:tc>
          <w:tcPr>
            <w:tcW w:w="1610" w:type="dxa"/>
            <w:vMerge w:val="restart"/>
            <w:noWrap w:val="0"/>
            <w:vAlign w:val="top"/>
          </w:tcPr>
          <w:p w14:paraId="0AB32853">
            <w:pPr>
              <w:rPr>
                <w:rFonts w:hint="eastAsia"/>
                <w:color w:val="000000" w:themeColor="text1"/>
                <w:szCs w:val="22"/>
                <w:highlight w:val="none"/>
                <w:vertAlign w:val="baseline"/>
                <w:lang w:eastAsia="zh-CN"/>
                <w14:textFill>
                  <w14:solidFill>
                    <w14:schemeClr w14:val="tx1"/>
                  </w14:solidFill>
                </w14:textFill>
              </w:rPr>
            </w:pPr>
          </w:p>
          <w:p w14:paraId="1F53C038">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工作地点</w:t>
            </w:r>
          </w:p>
        </w:tc>
        <w:tc>
          <w:tcPr>
            <w:tcW w:w="3003" w:type="dxa"/>
            <w:gridSpan w:val="2"/>
            <w:noWrap w:val="0"/>
            <w:vAlign w:val="top"/>
          </w:tcPr>
          <w:p w14:paraId="01D6C36C">
            <w:pPr>
              <w:ind w:firstLine="630" w:firstLineChars="300"/>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设备</w:t>
            </w:r>
          </w:p>
        </w:tc>
        <w:tc>
          <w:tcPr>
            <w:tcW w:w="2679" w:type="dxa"/>
            <w:gridSpan w:val="2"/>
            <w:noWrap w:val="0"/>
            <w:vAlign w:val="top"/>
          </w:tcPr>
          <w:p w14:paraId="0C468EB3">
            <w:pPr>
              <w:ind w:firstLine="840" w:firstLineChars="400"/>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人员要求</w:t>
            </w:r>
          </w:p>
        </w:tc>
      </w:tr>
      <w:tr w14:paraId="3250A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230" w:type="dxa"/>
            <w:vMerge w:val="continue"/>
            <w:noWrap w:val="0"/>
            <w:vAlign w:val="top"/>
          </w:tcPr>
          <w:p w14:paraId="3E047701">
            <w:pPr>
              <w:rPr>
                <w:color w:val="000000" w:themeColor="text1"/>
                <w:szCs w:val="22"/>
                <w:highlight w:val="none"/>
                <w:vertAlign w:val="baseline"/>
                <w14:textFill>
                  <w14:solidFill>
                    <w14:schemeClr w14:val="tx1"/>
                  </w14:solidFill>
                </w14:textFill>
              </w:rPr>
            </w:pPr>
          </w:p>
        </w:tc>
        <w:tc>
          <w:tcPr>
            <w:tcW w:w="1610" w:type="dxa"/>
            <w:vMerge w:val="continue"/>
            <w:noWrap w:val="0"/>
            <w:vAlign w:val="top"/>
          </w:tcPr>
          <w:p w14:paraId="11BE46B2">
            <w:pPr>
              <w:rPr>
                <w:color w:val="000000" w:themeColor="text1"/>
                <w:szCs w:val="22"/>
                <w:highlight w:val="none"/>
                <w:vertAlign w:val="baseline"/>
                <w14:textFill>
                  <w14:solidFill>
                    <w14:schemeClr w14:val="tx1"/>
                  </w14:solidFill>
                </w14:textFill>
              </w:rPr>
            </w:pPr>
          </w:p>
        </w:tc>
        <w:tc>
          <w:tcPr>
            <w:tcW w:w="1553" w:type="dxa"/>
            <w:noWrap w:val="0"/>
            <w:vAlign w:val="top"/>
          </w:tcPr>
          <w:p w14:paraId="56387740">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已有</w:t>
            </w:r>
          </w:p>
        </w:tc>
        <w:tc>
          <w:tcPr>
            <w:tcW w:w="1450" w:type="dxa"/>
            <w:noWrap w:val="0"/>
            <w:vAlign w:val="top"/>
          </w:tcPr>
          <w:p w14:paraId="729698F6">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需配</w:t>
            </w:r>
          </w:p>
        </w:tc>
        <w:tc>
          <w:tcPr>
            <w:tcW w:w="1258" w:type="dxa"/>
            <w:noWrap w:val="0"/>
            <w:vAlign w:val="top"/>
          </w:tcPr>
          <w:p w14:paraId="0BC7A624">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待命阶段</w:t>
            </w:r>
          </w:p>
        </w:tc>
        <w:tc>
          <w:tcPr>
            <w:tcW w:w="1421" w:type="dxa"/>
            <w:noWrap w:val="0"/>
            <w:vAlign w:val="top"/>
          </w:tcPr>
          <w:p w14:paraId="38BEC370">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防守阶段</w:t>
            </w:r>
          </w:p>
        </w:tc>
      </w:tr>
      <w:tr w14:paraId="5D49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30" w:type="dxa"/>
            <w:noWrap w:val="0"/>
            <w:vAlign w:val="top"/>
          </w:tcPr>
          <w:p w14:paraId="23A0CA05">
            <w:pPr>
              <w:jc w:val="center"/>
              <w:rPr>
                <w:rFonts w:hint="eastAsia"/>
                <w:color w:val="000000" w:themeColor="text1"/>
                <w:szCs w:val="22"/>
                <w:highlight w:val="none"/>
                <w:vertAlign w:val="baseline"/>
                <w:lang w:eastAsia="zh-CN"/>
                <w14:textFill>
                  <w14:solidFill>
                    <w14:schemeClr w14:val="tx1"/>
                  </w14:solidFill>
                </w14:textFill>
              </w:rPr>
            </w:pPr>
          </w:p>
          <w:p w14:paraId="589289F9">
            <w:pPr>
              <w:jc w:val="center"/>
              <w:rPr>
                <w:rFonts w:hint="eastAsia"/>
                <w:color w:val="000000" w:themeColor="text1"/>
                <w:szCs w:val="22"/>
                <w:highlight w:val="none"/>
                <w:vertAlign w:val="baseline"/>
                <w:lang w:eastAsia="zh-CN"/>
                <w14:textFill>
                  <w14:solidFill>
                    <w14:schemeClr w14:val="tx1"/>
                  </w14:solidFill>
                </w14:textFill>
              </w:rPr>
            </w:pPr>
          </w:p>
          <w:p w14:paraId="7E2311F3">
            <w:pPr>
              <w:jc w:val="center"/>
              <w:rPr>
                <w:rFonts w:hint="eastAsia"/>
                <w:color w:val="000000" w:themeColor="text1"/>
                <w:szCs w:val="22"/>
                <w:highlight w:val="none"/>
                <w:vertAlign w:val="baseline"/>
                <w:lang w:eastAsia="zh-CN"/>
                <w14:textFill>
                  <w14:solidFill>
                    <w14:schemeClr w14:val="tx1"/>
                  </w14:solidFill>
                </w14:textFill>
              </w:rPr>
            </w:pPr>
          </w:p>
          <w:p w14:paraId="7D820FCC">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大榭医院</w:t>
            </w:r>
          </w:p>
        </w:tc>
        <w:tc>
          <w:tcPr>
            <w:tcW w:w="1610" w:type="dxa"/>
            <w:noWrap w:val="0"/>
            <w:vAlign w:val="top"/>
          </w:tcPr>
          <w:p w14:paraId="608DCE78">
            <w:pPr>
              <w:rPr>
                <w:rFonts w:hint="eastAsia"/>
                <w:color w:val="000000" w:themeColor="text1"/>
                <w:szCs w:val="22"/>
                <w:highlight w:val="none"/>
                <w:vertAlign w:val="baseline"/>
                <w:lang w:eastAsia="zh-CN"/>
                <w14:textFill>
                  <w14:solidFill>
                    <w14:schemeClr w14:val="tx1"/>
                  </w14:solidFill>
                </w14:textFill>
              </w:rPr>
            </w:pPr>
          </w:p>
          <w:p w14:paraId="1ECA347E">
            <w:pPr>
              <w:rPr>
                <w:rFonts w:hint="eastAsia"/>
                <w:color w:val="000000" w:themeColor="text1"/>
                <w:szCs w:val="22"/>
                <w:highlight w:val="none"/>
                <w:vertAlign w:val="baseline"/>
                <w:lang w:eastAsia="zh-CN"/>
                <w14:textFill>
                  <w14:solidFill>
                    <w14:schemeClr w14:val="tx1"/>
                  </w14:solidFill>
                </w14:textFill>
              </w:rPr>
            </w:pPr>
          </w:p>
          <w:p w14:paraId="71254D00">
            <w:pPr>
              <w:rPr>
                <w:rFonts w:hint="eastAsia"/>
                <w:color w:val="000000" w:themeColor="text1"/>
                <w:szCs w:val="22"/>
                <w:highlight w:val="none"/>
                <w:vertAlign w:val="baseline"/>
                <w:lang w:eastAsia="zh-CN"/>
                <w14:textFill>
                  <w14:solidFill>
                    <w14:schemeClr w14:val="tx1"/>
                  </w14:solidFill>
                </w14:textFill>
              </w:rPr>
            </w:pPr>
          </w:p>
          <w:p w14:paraId="23315126">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兴岛南路大榭医院门口</w:t>
            </w:r>
          </w:p>
        </w:tc>
        <w:tc>
          <w:tcPr>
            <w:tcW w:w="1553" w:type="dxa"/>
            <w:noWrap w:val="0"/>
            <w:vAlign w:val="top"/>
          </w:tcPr>
          <w:p w14:paraId="640EAE80">
            <w:pPr>
              <w:rPr>
                <w:rFonts w:hint="default"/>
                <w:color w:val="000000" w:themeColor="text1"/>
                <w:szCs w:val="22"/>
                <w:highlight w:val="none"/>
                <w:vertAlign w:val="baseline"/>
                <w:lang w:val="en-US"/>
                <w14:textFill>
                  <w14:solidFill>
                    <w14:schemeClr w14:val="tx1"/>
                  </w14:solidFill>
                </w14:textFill>
              </w:rPr>
            </w:pPr>
            <w:r>
              <w:rPr>
                <w:rFonts w:hint="eastAsia"/>
                <w:color w:val="000000" w:themeColor="text1"/>
                <w:sz w:val="18"/>
                <w:szCs w:val="18"/>
                <w:highlight w:val="none"/>
                <w:vertAlign w:val="baseline"/>
                <w:lang w:eastAsia="zh-CN"/>
                <w14:textFill>
                  <w14:solidFill>
                    <w14:schemeClr w14:val="tx1"/>
                  </w14:solidFill>
                </w14:textFill>
              </w:rPr>
              <w:t>固定泵</w:t>
            </w:r>
            <w:r>
              <w:rPr>
                <w:rFonts w:hint="eastAsia"/>
                <w:color w:val="000000" w:themeColor="text1"/>
                <w:sz w:val="18"/>
                <w:szCs w:val="18"/>
                <w:highlight w:val="none"/>
                <w:vertAlign w:val="baseline"/>
                <w:lang w:val="en-US" w:eastAsia="zh-CN"/>
                <w14:textFill>
                  <w14:solidFill>
                    <w14:schemeClr w14:val="tx1"/>
                  </w14:solidFill>
                </w14:textFill>
              </w:rPr>
              <w:t>2台（75KW、30KW各1台），250KW发动机1台,600立方/小时移动柴油泵1台</w:t>
            </w:r>
          </w:p>
        </w:tc>
        <w:tc>
          <w:tcPr>
            <w:tcW w:w="1450" w:type="dxa"/>
            <w:noWrap w:val="0"/>
            <w:vAlign w:val="top"/>
          </w:tcPr>
          <w:p w14:paraId="7F42A49F">
            <w:pPr>
              <w:rPr>
                <w:color w:val="000000" w:themeColor="text1"/>
                <w:szCs w:val="22"/>
                <w:highlight w:val="none"/>
                <w:vertAlign w:val="baseline"/>
                <w14:textFill>
                  <w14:solidFill>
                    <w14:schemeClr w14:val="tx1"/>
                  </w14:solidFill>
                </w14:textFill>
              </w:rPr>
            </w:pPr>
          </w:p>
        </w:tc>
        <w:tc>
          <w:tcPr>
            <w:tcW w:w="1258" w:type="dxa"/>
            <w:noWrap w:val="0"/>
            <w:vAlign w:val="top"/>
          </w:tcPr>
          <w:p w14:paraId="00515607">
            <w:pPr>
              <w:rPr>
                <w:rFonts w:hint="eastAsia"/>
                <w:color w:val="000000" w:themeColor="text1"/>
                <w:szCs w:val="22"/>
                <w:highlight w:val="none"/>
                <w:vertAlign w:val="baseline"/>
                <w:lang w:eastAsia="zh-CN"/>
                <w14:textFill>
                  <w14:solidFill>
                    <w14:schemeClr w14:val="tx1"/>
                  </w14:solidFill>
                </w14:textFill>
              </w:rPr>
            </w:pPr>
          </w:p>
          <w:p w14:paraId="0336A26A">
            <w:pPr>
              <w:rPr>
                <w:rFonts w:hint="eastAsia"/>
                <w:color w:val="000000" w:themeColor="text1"/>
                <w:szCs w:val="22"/>
                <w:highlight w:val="none"/>
                <w:vertAlign w:val="baseline"/>
                <w:lang w:eastAsia="zh-CN"/>
                <w14:textFill>
                  <w14:solidFill>
                    <w14:schemeClr w14:val="tx1"/>
                  </w14:solidFill>
                </w14:textFill>
              </w:rPr>
            </w:pPr>
          </w:p>
          <w:p w14:paraId="7E6150D8">
            <w:pPr>
              <w:rPr>
                <w:rFonts w:hint="eastAsia"/>
                <w:color w:val="000000" w:themeColor="text1"/>
                <w:szCs w:val="22"/>
                <w:highlight w:val="none"/>
                <w:vertAlign w:val="baseline"/>
                <w:lang w:eastAsia="zh-CN"/>
                <w14:textFill>
                  <w14:solidFill>
                    <w14:schemeClr w14:val="tx1"/>
                  </w14:solidFill>
                </w14:textFill>
              </w:rPr>
            </w:pPr>
          </w:p>
          <w:p w14:paraId="6869EDC1">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c>
          <w:tcPr>
            <w:tcW w:w="1421" w:type="dxa"/>
            <w:noWrap w:val="0"/>
            <w:vAlign w:val="top"/>
          </w:tcPr>
          <w:p w14:paraId="3DE93853">
            <w:pPr>
              <w:rPr>
                <w:rFonts w:hint="eastAsia"/>
                <w:color w:val="000000" w:themeColor="text1"/>
                <w:szCs w:val="22"/>
                <w:highlight w:val="none"/>
                <w:vertAlign w:val="baseline"/>
                <w:lang w:eastAsia="zh-CN"/>
                <w14:textFill>
                  <w14:solidFill>
                    <w14:schemeClr w14:val="tx1"/>
                  </w14:solidFill>
                </w14:textFill>
              </w:rPr>
            </w:pPr>
          </w:p>
          <w:p w14:paraId="7D1CB5B0">
            <w:pPr>
              <w:rPr>
                <w:rFonts w:hint="eastAsia"/>
                <w:color w:val="000000" w:themeColor="text1"/>
                <w:szCs w:val="22"/>
                <w:highlight w:val="none"/>
                <w:vertAlign w:val="baseline"/>
                <w:lang w:eastAsia="zh-CN"/>
                <w14:textFill>
                  <w14:solidFill>
                    <w14:schemeClr w14:val="tx1"/>
                  </w14:solidFill>
                </w14:textFill>
              </w:rPr>
            </w:pPr>
          </w:p>
          <w:p w14:paraId="14700265">
            <w:pPr>
              <w:rPr>
                <w:rFonts w:hint="eastAsia"/>
                <w:color w:val="000000" w:themeColor="text1"/>
                <w:szCs w:val="22"/>
                <w:highlight w:val="none"/>
                <w:vertAlign w:val="baseline"/>
                <w:lang w:eastAsia="zh-CN"/>
                <w14:textFill>
                  <w14:solidFill>
                    <w14:schemeClr w14:val="tx1"/>
                  </w14:solidFill>
                </w14:textFill>
              </w:rPr>
            </w:pPr>
          </w:p>
          <w:p w14:paraId="42FF7A94">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4人</w:t>
            </w:r>
          </w:p>
        </w:tc>
      </w:tr>
      <w:tr w14:paraId="4CE4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230" w:type="dxa"/>
            <w:noWrap w:val="0"/>
            <w:vAlign w:val="top"/>
          </w:tcPr>
          <w:p w14:paraId="43A11A3E">
            <w:pPr>
              <w:rPr>
                <w:rFonts w:hint="eastAsia"/>
                <w:color w:val="000000" w:themeColor="text1"/>
                <w:szCs w:val="22"/>
                <w:highlight w:val="none"/>
                <w:vertAlign w:val="baseline"/>
                <w:lang w:eastAsia="zh-CN"/>
                <w14:textFill>
                  <w14:solidFill>
                    <w14:schemeClr w14:val="tx1"/>
                  </w14:solidFill>
                </w14:textFill>
              </w:rPr>
            </w:pPr>
          </w:p>
          <w:p w14:paraId="5D6C09F3">
            <w:pPr>
              <w:ind w:firstLine="210" w:firstLineChars="100"/>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船厂</w:t>
            </w:r>
          </w:p>
        </w:tc>
        <w:tc>
          <w:tcPr>
            <w:tcW w:w="1610" w:type="dxa"/>
            <w:noWrap w:val="0"/>
            <w:vAlign w:val="top"/>
          </w:tcPr>
          <w:p w14:paraId="306A25AF">
            <w:pPr>
              <w:rPr>
                <w:rFonts w:hint="eastAsia"/>
                <w:color w:val="000000" w:themeColor="text1"/>
                <w:szCs w:val="22"/>
                <w:highlight w:val="none"/>
                <w:vertAlign w:val="baseline"/>
                <w:lang w:eastAsia="zh-CN"/>
                <w14:textFill>
                  <w14:solidFill>
                    <w14:schemeClr w14:val="tx1"/>
                  </w14:solidFill>
                </w14:textFill>
              </w:rPr>
            </w:pPr>
          </w:p>
          <w:p w14:paraId="427BF13A">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滨海南路信创路</w:t>
            </w:r>
          </w:p>
        </w:tc>
        <w:tc>
          <w:tcPr>
            <w:tcW w:w="1553" w:type="dxa"/>
            <w:noWrap w:val="0"/>
            <w:vAlign w:val="top"/>
          </w:tcPr>
          <w:p w14:paraId="5F5D56A8">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11KW</w:t>
            </w:r>
            <w:r>
              <w:rPr>
                <w:rFonts w:hint="eastAsia"/>
                <w:color w:val="000000" w:themeColor="text1"/>
                <w:sz w:val="18"/>
                <w:szCs w:val="18"/>
                <w:highlight w:val="none"/>
                <w:vertAlign w:val="baseline"/>
                <w:lang w:eastAsia="zh-CN"/>
                <w14:textFill>
                  <w14:solidFill>
                    <w14:schemeClr w14:val="tx1"/>
                  </w14:solidFill>
                </w14:textFill>
              </w:rPr>
              <w:t>固定泵</w:t>
            </w:r>
            <w:r>
              <w:rPr>
                <w:rFonts w:hint="eastAsia"/>
                <w:color w:val="000000" w:themeColor="text1"/>
                <w:sz w:val="18"/>
                <w:szCs w:val="18"/>
                <w:highlight w:val="none"/>
                <w:vertAlign w:val="baseline"/>
                <w:lang w:val="en-US" w:eastAsia="zh-CN"/>
                <w14:textFill>
                  <w14:solidFill>
                    <w14:schemeClr w14:val="tx1"/>
                  </w14:solidFill>
                </w14:textFill>
              </w:rPr>
              <w:t>1台，50KW发动机1台</w:t>
            </w:r>
          </w:p>
        </w:tc>
        <w:tc>
          <w:tcPr>
            <w:tcW w:w="1450" w:type="dxa"/>
            <w:noWrap w:val="0"/>
            <w:vAlign w:val="top"/>
          </w:tcPr>
          <w:p w14:paraId="2B356574">
            <w:pPr>
              <w:rPr>
                <w:color w:val="000000" w:themeColor="text1"/>
                <w:szCs w:val="22"/>
                <w:highlight w:val="none"/>
                <w:vertAlign w:val="baseline"/>
                <w14:textFill>
                  <w14:solidFill>
                    <w14:schemeClr w14:val="tx1"/>
                  </w14:solidFill>
                </w14:textFill>
              </w:rPr>
            </w:pPr>
          </w:p>
        </w:tc>
        <w:tc>
          <w:tcPr>
            <w:tcW w:w="1258" w:type="dxa"/>
            <w:noWrap w:val="0"/>
            <w:vAlign w:val="top"/>
          </w:tcPr>
          <w:p w14:paraId="5CDFCD90">
            <w:pPr>
              <w:rPr>
                <w:rFonts w:hint="eastAsia"/>
                <w:color w:val="000000" w:themeColor="text1"/>
                <w:szCs w:val="22"/>
                <w:highlight w:val="none"/>
                <w:vertAlign w:val="baseline"/>
                <w:lang w:eastAsia="zh-CN"/>
                <w14:textFill>
                  <w14:solidFill>
                    <w14:schemeClr w14:val="tx1"/>
                  </w14:solidFill>
                </w14:textFill>
              </w:rPr>
            </w:pPr>
          </w:p>
          <w:p w14:paraId="00BE89CD">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1人</w:t>
            </w:r>
          </w:p>
        </w:tc>
        <w:tc>
          <w:tcPr>
            <w:tcW w:w="1421" w:type="dxa"/>
            <w:noWrap w:val="0"/>
            <w:vAlign w:val="top"/>
          </w:tcPr>
          <w:p w14:paraId="0CF7C0BE">
            <w:pPr>
              <w:rPr>
                <w:rFonts w:hint="eastAsia"/>
                <w:color w:val="000000" w:themeColor="text1"/>
                <w:szCs w:val="22"/>
                <w:highlight w:val="none"/>
                <w:vertAlign w:val="baseline"/>
                <w:lang w:eastAsia="zh-CN"/>
                <w14:textFill>
                  <w14:solidFill>
                    <w14:schemeClr w14:val="tx1"/>
                  </w14:solidFill>
                </w14:textFill>
              </w:rPr>
            </w:pPr>
          </w:p>
          <w:p w14:paraId="4624D723">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3AC98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230" w:type="dxa"/>
            <w:noWrap w:val="0"/>
            <w:vAlign w:val="top"/>
          </w:tcPr>
          <w:p w14:paraId="0E604102">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榭西邻里中心</w:t>
            </w:r>
          </w:p>
        </w:tc>
        <w:tc>
          <w:tcPr>
            <w:tcW w:w="1610" w:type="dxa"/>
            <w:noWrap w:val="0"/>
            <w:vAlign w:val="top"/>
          </w:tcPr>
          <w:p w14:paraId="2A2BBF68">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东湖路雪窦山路</w:t>
            </w:r>
          </w:p>
        </w:tc>
        <w:tc>
          <w:tcPr>
            <w:tcW w:w="1553" w:type="dxa"/>
            <w:noWrap w:val="0"/>
            <w:vAlign w:val="top"/>
          </w:tcPr>
          <w:p w14:paraId="13B0AC77">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45KW</w:t>
            </w:r>
            <w:r>
              <w:rPr>
                <w:rFonts w:hint="eastAsia"/>
                <w:color w:val="000000" w:themeColor="text1"/>
                <w:sz w:val="18"/>
                <w:szCs w:val="18"/>
                <w:highlight w:val="none"/>
                <w:vertAlign w:val="baseline"/>
                <w:lang w:eastAsia="zh-CN"/>
                <w14:textFill>
                  <w14:solidFill>
                    <w14:schemeClr w14:val="tx1"/>
                  </w14:solidFill>
                </w14:textFill>
              </w:rPr>
              <w:t>固定泵</w:t>
            </w:r>
            <w:r>
              <w:rPr>
                <w:rFonts w:hint="eastAsia"/>
                <w:color w:val="000000" w:themeColor="text1"/>
                <w:sz w:val="18"/>
                <w:szCs w:val="18"/>
                <w:highlight w:val="none"/>
                <w:vertAlign w:val="baseline"/>
                <w:lang w:val="en-US" w:eastAsia="zh-CN"/>
                <w14:textFill>
                  <w14:solidFill>
                    <w14:schemeClr w14:val="tx1"/>
                  </w14:solidFill>
                </w14:textFill>
              </w:rPr>
              <w:t>1台，150KW发动机1台</w:t>
            </w:r>
          </w:p>
        </w:tc>
        <w:tc>
          <w:tcPr>
            <w:tcW w:w="1450" w:type="dxa"/>
            <w:noWrap w:val="0"/>
            <w:vAlign w:val="top"/>
          </w:tcPr>
          <w:p w14:paraId="1BF8C05B">
            <w:pPr>
              <w:rPr>
                <w:color w:val="000000" w:themeColor="text1"/>
                <w:szCs w:val="22"/>
                <w:highlight w:val="none"/>
                <w:vertAlign w:val="baseline"/>
                <w14:textFill>
                  <w14:solidFill>
                    <w14:schemeClr w14:val="tx1"/>
                  </w14:solidFill>
                </w14:textFill>
              </w:rPr>
            </w:pPr>
          </w:p>
        </w:tc>
        <w:tc>
          <w:tcPr>
            <w:tcW w:w="1258" w:type="dxa"/>
            <w:noWrap w:val="0"/>
            <w:vAlign w:val="top"/>
          </w:tcPr>
          <w:p w14:paraId="120C97F0">
            <w:pPr>
              <w:rPr>
                <w:rFonts w:hint="eastAsia"/>
                <w:color w:val="000000" w:themeColor="text1"/>
                <w:szCs w:val="22"/>
                <w:highlight w:val="none"/>
                <w:vertAlign w:val="baseline"/>
                <w:lang w:eastAsia="zh-CN"/>
                <w14:textFill>
                  <w14:solidFill>
                    <w14:schemeClr w14:val="tx1"/>
                  </w14:solidFill>
                </w14:textFill>
              </w:rPr>
            </w:pPr>
          </w:p>
          <w:p w14:paraId="1D413085">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1人</w:t>
            </w:r>
          </w:p>
        </w:tc>
        <w:tc>
          <w:tcPr>
            <w:tcW w:w="1421" w:type="dxa"/>
            <w:noWrap w:val="0"/>
            <w:vAlign w:val="top"/>
          </w:tcPr>
          <w:p w14:paraId="1BA9B95C">
            <w:pPr>
              <w:rPr>
                <w:rFonts w:hint="eastAsia"/>
                <w:color w:val="000000" w:themeColor="text1"/>
                <w:szCs w:val="22"/>
                <w:highlight w:val="none"/>
                <w:vertAlign w:val="baseline"/>
                <w:lang w:eastAsia="zh-CN"/>
                <w14:textFill>
                  <w14:solidFill>
                    <w14:schemeClr w14:val="tx1"/>
                  </w14:solidFill>
                </w14:textFill>
              </w:rPr>
            </w:pPr>
          </w:p>
          <w:p w14:paraId="67CCAE77">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47D1F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230" w:type="dxa"/>
            <w:vMerge w:val="restart"/>
            <w:noWrap w:val="0"/>
            <w:vAlign w:val="top"/>
          </w:tcPr>
          <w:p w14:paraId="0169B7CD">
            <w:pPr>
              <w:rPr>
                <w:rFonts w:hint="eastAsia"/>
                <w:color w:val="000000" w:themeColor="text1"/>
                <w:szCs w:val="22"/>
                <w:highlight w:val="none"/>
                <w:vertAlign w:val="baseline"/>
                <w:lang w:eastAsia="zh-CN"/>
                <w14:textFill>
                  <w14:solidFill>
                    <w14:schemeClr w14:val="tx1"/>
                  </w14:solidFill>
                </w14:textFill>
              </w:rPr>
            </w:pPr>
          </w:p>
          <w:p w14:paraId="455B2E23">
            <w:pPr>
              <w:rPr>
                <w:rFonts w:hint="eastAsia"/>
                <w:color w:val="000000" w:themeColor="text1"/>
                <w:szCs w:val="22"/>
                <w:highlight w:val="none"/>
                <w:vertAlign w:val="baseline"/>
                <w:lang w:eastAsia="zh-CN"/>
                <w14:textFill>
                  <w14:solidFill>
                    <w14:schemeClr w14:val="tx1"/>
                  </w14:solidFill>
                </w14:textFill>
              </w:rPr>
            </w:pPr>
          </w:p>
          <w:p w14:paraId="5E08D10A">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环岛西路</w:t>
            </w:r>
          </w:p>
        </w:tc>
        <w:tc>
          <w:tcPr>
            <w:tcW w:w="1610" w:type="dxa"/>
            <w:vMerge w:val="restart"/>
            <w:noWrap w:val="0"/>
            <w:vAlign w:val="top"/>
          </w:tcPr>
          <w:p w14:paraId="30459BC5">
            <w:pPr>
              <w:rPr>
                <w:rFonts w:hint="eastAsia"/>
                <w:color w:val="000000" w:themeColor="text1"/>
                <w:szCs w:val="22"/>
                <w:highlight w:val="none"/>
                <w:vertAlign w:val="baseline"/>
                <w:lang w:eastAsia="zh-CN"/>
                <w14:textFill>
                  <w14:solidFill>
                    <w14:schemeClr w14:val="tx1"/>
                  </w14:solidFill>
                </w14:textFill>
              </w:rPr>
            </w:pPr>
          </w:p>
          <w:p w14:paraId="3BE7460A">
            <w:pPr>
              <w:rPr>
                <w:rFonts w:hint="eastAsia"/>
                <w:color w:val="000000" w:themeColor="text1"/>
                <w:szCs w:val="22"/>
                <w:highlight w:val="none"/>
                <w:vertAlign w:val="baseline"/>
                <w:lang w:eastAsia="zh-CN"/>
                <w14:textFill>
                  <w14:solidFill>
                    <w14:schemeClr w14:val="tx1"/>
                  </w14:solidFill>
                </w14:textFill>
              </w:rPr>
            </w:pPr>
          </w:p>
          <w:p w14:paraId="1833E6CA">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兴港路</w:t>
            </w:r>
          </w:p>
        </w:tc>
        <w:tc>
          <w:tcPr>
            <w:tcW w:w="1553" w:type="dxa"/>
            <w:noWrap w:val="0"/>
            <w:vAlign w:val="top"/>
          </w:tcPr>
          <w:p w14:paraId="688F4FDE">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11KW</w:t>
            </w:r>
            <w:r>
              <w:rPr>
                <w:rFonts w:hint="eastAsia"/>
                <w:color w:val="000000" w:themeColor="text1"/>
                <w:sz w:val="18"/>
                <w:szCs w:val="18"/>
                <w:highlight w:val="none"/>
                <w:vertAlign w:val="baseline"/>
                <w:lang w:eastAsia="zh-CN"/>
                <w14:textFill>
                  <w14:solidFill>
                    <w14:schemeClr w14:val="tx1"/>
                  </w14:solidFill>
                </w14:textFill>
              </w:rPr>
              <w:t>固定泵</w:t>
            </w:r>
            <w:r>
              <w:rPr>
                <w:rFonts w:hint="eastAsia"/>
                <w:color w:val="000000" w:themeColor="text1"/>
                <w:sz w:val="18"/>
                <w:szCs w:val="18"/>
                <w:highlight w:val="none"/>
                <w:vertAlign w:val="baseline"/>
                <w:lang w:val="en-US" w:eastAsia="zh-CN"/>
                <w14:textFill>
                  <w14:solidFill>
                    <w14:schemeClr w14:val="tx1"/>
                  </w14:solidFill>
                </w14:textFill>
              </w:rPr>
              <w:t>1台</w:t>
            </w:r>
          </w:p>
        </w:tc>
        <w:tc>
          <w:tcPr>
            <w:tcW w:w="1450" w:type="dxa"/>
            <w:noWrap w:val="0"/>
            <w:vAlign w:val="top"/>
          </w:tcPr>
          <w:p w14:paraId="1681F38C">
            <w:pPr>
              <w:rPr>
                <w:color w:val="000000" w:themeColor="text1"/>
                <w:szCs w:val="22"/>
                <w:highlight w:val="none"/>
                <w:vertAlign w:val="baseline"/>
                <w14:textFill>
                  <w14:solidFill>
                    <w14:schemeClr w14:val="tx1"/>
                  </w14:solidFill>
                </w14:textFill>
              </w:rPr>
            </w:pPr>
          </w:p>
        </w:tc>
        <w:tc>
          <w:tcPr>
            <w:tcW w:w="1258" w:type="dxa"/>
            <w:vMerge w:val="restart"/>
            <w:noWrap w:val="0"/>
            <w:vAlign w:val="top"/>
          </w:tcPr>
          <w:p w14:paraId="643212B7">
            <w:pPr>
              <w:jc w:val="center"/>
              <w:rPr>
                <w:rFonts w:hint="eastAsia"/>
                <w:color w:val="000000" w:themeColor="text1"/>
                <w:szCs w:val="22"/>
                <w:highlight w:val="none"/>
                <w:vertAlign w:val="baseline"/>
                <w:lang w:eastAsia="zh-CN"/>
                <w14:textFill>
                  <w14:solidFill>
                    <w14:schemeClr w14:val="tx1"/>
                  </w14:solidFill>
                </w14:textFill>
              </w:rPr>
            </w:pPr>
          </w:p>
          <w:p w14:paraId="7EB11AD4">
            <w:pPr>
              <w:jc w:val="center"/>
              <w:rPr>
                <w:rFonts w:hint="eastAsia"/>
                <w:color w:val="000000" w:themeColor="text1"/>
                <w:szCs w:val="22"/>
                <w:highlight w:val="none"/>
                <w:vertAlign w:val="baseline"/>
                <w:lang w:eastAsia="zh-CN"/>
                <w14:textFill>
                  <w14:solidFill>
                    <w14:schemeClr w14:val="tx1"/>
                  </w14:solidFill>
                </w14:textFill>
              </w:rPr>
            </w:pPr>
          </w:p>
          <w:p w14:paraId="3BADB168">
            <w:pPr>
              <w:jc w:val="center"/>
              <w:rPr>
                <w:rFonts w:hint="eastAsia"/>
                <w:color w:val="000000" w:themeColor="text1"/>
                <w:szCs w:val="22"/>
                <w:highlight w:val="none"/>
                <w:vertAlign w:val="baseline"/>
                <w:lang w:eastAsia="zh-CN"/>
                <w14:textFill>
                  <w14:solidFill>
                    <w14:schemeClr w14:val="tx1"/>
                  </w14:solidFill>
                </w14:textFill>
              </w:rPr>
            </w:pPr>
          </w:p>
          <w:p w14:paraId="6A639E8E">
            <w:pPr>
              <w:jc w:val="cente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3人</w:t>
            </w:r>
          </w:p>
        </w:tc>
        <w:tc>
          <w:tcPr>
            <w:tcW w:w="1421" w:type="dxa"/>
            <w:vMerge w:val="restart"/>
            <w:noWrap w:val="0"/>
            <w:vAlign w:val="top"/>
          </w:tcPr>
          <w:p w14:paraId="5924828E">
            <w:pPr>
              <w:rPr>
                <w:rFonts w:hint="eastAsia"/>
                <w:color w:val="000000" w:themeColor="text1"/>
                <w:szCs w:val="22"/>
                <w:highlight w:val="none"/>
                <w:vertAlign w:val="baseline"/>
                <w:lang w:eastAsia="zh-CN"/>
                <w14:textFill>
                  <w14:solidFill>
                    <w14:schemeClr w14:val="tx1"/>
                  </w14:solidFill>
                </w14:textFill>
              </w:rPr>
            </w:pPr>
          </w:p>
          <w:p w14:paraId="39D054E4">
            <w:pPr>
              <w:rPr>
                <w:rFonts w:hint="eastAsia"/>
                <w:color w:val="000000" w:themeColor="text1"/>
                <w:szCs w:val="22"/>
                <w:highlight w:val="none"/>
                <w:vertAlign w:val="baseline"/>
                <w:lang w:eastAsia="zh-CN"/>
                <w14:textFill>
                  <w14:solidFill>
                    <w14:schemeClr w14:val="tx1"/>
                  </w14:solidFill>
                </w14:textFill>
              </w:rPr>
            </w:pPr>
          </w:p>
          <w:p w14:paraId="5602F977">
            <w:pPr>
              <w:rPr>
                <w:rFonts w:hint="eastAsia"/>
                <w:color w:val="000000" w:themeColor="text1"/>
                <w:szCs w:val="22"/>
                <w:highlight w:val="none"/>
                <w:vertAlign w:val="baseline"/>
                <w:lang w:eastAsia="zh-CN"/>
                <w14:textFill>
                  <w14:solidFill>
                    <w14:schemeClr w14:val="tx1"/>
                  </w14:solidFill>
                </w14:textFill>
              </w:rPr>
            </w:pPr>
          </w:p>
          <w:p w14:paraId="27628A7E">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5人</w:t>
            </w:r>
          </w:p>
        </w:tc>
      </w:tr>
      <w:tr w14:paraId="5BE0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30" w:type="dxa"/>
            <w:vMerge w:val="continue"/>
            <w:noWrap w:val="0"/>
            <w:vAlign w:val="top"/>
          </w:tcPr>
          <w:p w14:paraId="6148FC86">
            <w:pPr>
              <w:rPr>
                <w:color w:val="000000" w:themeColor="text1"/>
                <w:szCs w:val="22"/>
                <w:highlight w:val="none"/>
                <w:vertAlign w:val="baseline"/>
                <w14:textFill>
                  <w14:solidFill>
                    <w14:schemeClr w14:val="tx1"/>
                  </w14:solidFill>
                </w14:textFill>
              </w:rPr>
            </w:pPr>
          </w:p>
        </w:tc>
        <w:tc>
          <w:tcPr>
            <w:tcW w:w="1610" w:type="dxa"/>
            <w:vMerge w:val="continue"/>
            <w:noWrap w:val="0"/>
            <w:vAlign w:val="top"/>
          </w:tcPr>
          <w:p w14:paraId="4D16025C">
            <w:pPr>
              <w:rPr>
                <w:rFonts w:hint="eastAsia" w:eastAsia="宋体"/>
                <w:color w:val="000000" w:themeColor="text1"/>
                <w:szCs w:val="22"/>
                <w:highlight w:val="none"/>
                <w:vertAlign w:val="baseline"/>
                <w:lang w:eastAsia="zh-CN"/>
                <w14:textFill>
                  <w14:solidFill>
                    <w14:schemeClr w14:val="tx1"/>
                  </w14:solidFill>
                </w14:textFill>
              </w:rPr>
            </w:pPr>
          </w:p>
        </w:tc>
        <w:tc>
          <w:tcPr>
            <w:tcW w:w="1553" w:type="dxa"/>
            <w:noWrap w:val="0"/>
            <w:vAlign w:val="top"/>
          </w:tcPr>
          <w:p w14:paraId="051208C2">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400立方/小时移动柴油泵1台</w:t>
            </w:r>
          </w:p>
        </w:tc>
        <w:tc>
          <w:tcPr>
            <w:tcW w:w="1450" w:type="dxa"/>
            <w:noWrap w:val="0"/>
            <w:vAlign w:val="top"/>
          </w:tcPr>
          <w:p w14:paraId="13EC9AA1">
            <w:pPr>
              <w:rPr>
                <w:color w:val="000000" w:themeColor="text1"/>
                <w:szCs w:val="22"/>
                <w:highlight w:val="none"/>
                <w:vertAlign w:val="baseline"/>
                <w14:textFill>
                  <w14:solidFill>
                    <w14:schemeClr w14:val="tx1"/>
                  </w14:solidFill>
                </w14:textFill>
              </w:rPr>
            </w:pPr>
          </w:p>
        </w:tc>
        <w:tc>
          <w:tcPr>
            <w:tcW w:w="1258" w:type="dxa"/>
            <w:vMerge w:val="continue"/>
            <w:noWrap w:val="0"/>
            <w:vAlign w:val="top"/>
          </w:tcPr>
          <w:p w14:paraId="40134C2C">
            <w:pPr>
              <w:rPr>
                <w:color w:val="000000" w:themeColor="text1"/>
                <w:szCs w:val="22"/>
                <w:highlight w:val="none"/>
                <w:vertAlign w:val="baseline"/>
                <w14:textFill>
                  <w14:solidFill>
                    <w14:schemeClr w14:val="tx1"/>
                  </w14:solidFill>
                </w14:textFill>
              </w:rPr>
            </w:pPr>
          </w:p>
        </w:tc>
        <w:tc>
          <w:tcPr>
            <w:tcW w:w="1421" w:type="dxa"/>
            <w:vMerge w:val="continue"/>
            <w:noWrap w:val="0"/>
            <w:vAlign w:val="top"/>
          </w:tcPr>
          <w:p w14:paraId="0B64034A">
            <w:pPr>
              <w:rPr>
                <w:color w:val="000000" w:themeColor="text1"/>
                <w:szCs w:val="22"/>
                <w:highlight w:val="none"/>
                <w:vertAlign w:val="baseline"/>
                <w14:textFill>
                  <w14:solidFill>
                    <w14:schemeClr w14:val="tx1"/>
                  </w14:solidFill>
                </w14:textFill>
              </w:rPr>
            </w:pPr>
          </w:p>
        </w:tc>
      </w:tr>
      <w:tr w14:paraId="69849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30" w:type="dxa"/>
            <w:vMerge w:val="continue"/>
            <w:noWrap w:val="0"/>
            <w:vAlign w:val="top"/>
          </w:tcPr>
          <w:p w14:paraId="154B3D2E">
            <w:pPr>
              <w:rPr>
                <w:color w:val="000000" w:themeColor="text1"/>
                <w:szCs w:val="22"/>
                <w:highlight w:val="none"/>
                <w:vertAlign w:val="baseline"/>
                <w14:textFill>
                  <w14:solidFill>
                    <w14:schemeClr w14:val="tx1"/>
                  </w14:solidFill>
                </w14:textFill>
              </w:rPr>
            </w:pPr>
          </w:p>
        </w:tc>
        <w:tc>
          <w:tcPr>
            <w:tcW w:w="1610" w:type="dxa"/>
            <w:noWrap w:val="0"/>
            <w:vAlign w:val="top"/>
          </w:tcPr>
          <w:p w14:paraId="4C45092B">
            <w:pPr>
              <w:rPr>
                <w:rFonts w:hint="eastAsia" w:ascii="Calibri" w:hAnsi="Calibri" w:eastAsia="宋体" w:cs="Times New Roman"/>
                <w:color w:val="000000" w:themeColor="text1"/>
                <w:kern w:val="2"/>
                <w:sz w:val="21"/>
                <w:szCs w:val="24"/>
                <w:highlight w:val="none"/>
                <w:vertAlign w:val="baseline"/>
                <w:lang w:val="en-US" w:eastAsia="zh-CN" w:bidi="ar-SA"/>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环岛西路长塘桥</w:t>
            </w:r>
          </w:p>
        </w:tc>
        <w:tc>
          <w:tcPr>
            <w:tcW w:w="1553" w:type="dxa"/>
            <w:noWrap w:val="0"/>
            <w:vAlign w:val="top"/>
          </w:tcPr>
          <w:p w14:paraId="79CC58BE">
            <w:pPr>
              <w:rPr>
                <w:rFonts w:hint="eastAsia" w:ascii="Calibri" w:hAnsi="Calibri" w:eastAsia="宋体" w:cs="Times New Roman"/>
                <w:color w:val="000000" w:themeColor="text1"/>
                <w:kern w:val="2"/>
                <w:sz w:val="21"/>
                <w:szCs w:val="24"/>
                <w:highlight w:val="none"/>
                <w:vertAlign w:val="baseline"/>
                <w:lang w:val="en-US" w:eastAsia="zh-CN" w:bidi="ar-SA"/>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11KW</w:t>
            </w:r>
            <w:r>
              <w:rPr>
                <w:rFonts w:hint="eastAsia"/>
                <w:color w:val="000000" w:themeColor="text1"/>
                <w:sz w:val="18"/>
                <w:szCs w:val="18"/>
                <w:highlight w:val="none"/>
                <w:vertAlign w:val="baseline"/>
                <w:lang w:eastAsia="zh-CN"/>
                <w14:textFill>
                  <w14:solidFill>
                    <w14:schemeClr w14:val="tx1"/>
                  </w14:solidFill>
                </w14:textFill>
              </w:rPr>
              <w:t>固定泵</w:t>
            </w:r>
            <w:r>
              <w:rPr>
                <w:rFonts w:hint="eastAsia"/>
                <w:color w:val="000000" w:themeColor="text1"/>
                <w:sz w:val="18"/>
                <w:szCs w:val="18"/>
                <w:highlight w:val="none"/>
                <w:vertAlign w:val="baseline"/>
                <w:lang w:val="en-US" w:eastAsia="zh-CN"/>
                <w14:textFill>
                  <w14:solidFill>
                    <w14:schemeClr w14:val="tx1"/>
                  </w14:solidFill>
                </w14:textFill>
              </w:rPr>
              <w:t>2台</w:t>
            </w:r>
          </w:p>
        </w:tc>
        <w:tc>
          <w:tcPr>
            <w:tcW w:w="1450" w:type="dxa"/>
            <w:noWrap w:val="0"/>
            <w:vAlign w:val="top"/>
          </w:tcPr>
          <w:p w14:paraId="2DD2ECF5">
            <w:pPr>
              <w:rPr>
                <w:color w:val="000000" w:themeColor="text1"/>
                <w:szCs w:val="22"/>
                <w:highlight w:val="none"/>
                <w:vertAlign w:val="baseline"/>
                <w14:textFill>
                  <w14:solidFill>
                    <w14:schemeClr w14:val="tx1"/>
                  </w14:solidFill>
                </w14:textFill>
              </w:rPr>
            </w:pPr>
          </w:p>
        </w:tc>
        <w:tc>
          <w:tcPr>
            <w:tcW w:w="1258" w:type="dxa"/>
            <w:vMerge w:val="continue"/>
            <w:noWrap w:val="0"/>
            <w:vAlign w:val="top"/>
          </w:tcPr>
          <w:p w14:paraId="45DA39BA">
            <w:pPr>
              <w:rPr>
                <w:color w:val="000000" w:themeColor="text1"/>
                <w:szCs w:val="22"/>
                <w:highlight w:val="none"/>
                <w:vertAlign w:val="baseline"/>
                <w14:textFill>
                  <w14:solidFill>
                    <w14:schemeClr w14:val="tx1"/>
                  </w14:solidFill>
                </w14:textFill>
              </w:rPr>
            </w:pPr>
          </w:p>
        </w:tc>
        <w:tc>
          <w:tcPr>
            <w:tcW w:w="1421" w:type="dxa"/>
            <w:vMerge w:val="continue"/>
            <w:noWrap w:val="0"/>
            <w:vAlign w:val="top"/>
          </w:tcPr>
          <w:p w14:paraId="0A750019">
            <w:pPr>
              <w:rPr>
                <w:color w:val="000000" w:themeColor="text1"/>
                <w:szCs w:val="22"/>
                <w:highlight w:val="none"/>
                <w:vertAlign w:val="baseline"/>
                <w14:textFill>
                  <w14:solidFill>
                    <w14:schemeClr w14:val="tx1"/>
                  </w14:solidFill>
                </w14:textFill>
              </w:rPr>
            </w:pPr>
          </w:p>
        </w:tc>
      </w:tr>
      <w:tr w14:paraId="0F61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30" w:type="dxa"/>
            <w:noWrap w:val="0"/>
            <w:vAlign w:val="top"/>
          </w:tcPr>
          <w:p w14:paraId="1DCD70F2">
            <w:pPr>
              <w:rPr>
                <w:rFonts w:hint="eastAsia"/>
                <w:color w:val="000000" w:themeColor="text1"/>
                <w:szCs w:val="22"/>
                <w:highlight w:val="none"/>
                <w:vertAlign w:val="baseline"/>
                <w:lang w:eastAsia="zh-CN"/>
                <w14:textFill>
                  <w14:solidFill>
                    <w14:schemeClr w14:val="tx1"/>
                  </w14:solidFill>
                </w14:textFill>
              </w:rPr>
            </w:pPr>
          </w:p>
          <w:p w14:paraId="367DD1B1">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东港北路</w:t>
            </w:r>
          </w:p>
        </w:tc>
        <w:tc>
          <w:tcPr>
            <w:tcW w:w="1610" w:type="dxa"/>
            <w:noWrap w:val="0"/>
            <w:vAlign w:val="top"/>
          </w:tcPr>
          <w:p w14:paraId="317D2E0C">
            <w:pPr>
              <w:rPr>
                <w:rFonts w:hint="eastAsia"/>
                <w:color w:val="000000" w:themeColor="text1"/>
                <w:szCs w:val="22"/>
                <w:highlight w:val="none"/>
                <w:vertAlign w:val="baseline"/>
                <w:lang w:eastAsia="zh-CN"/>
                <w14:textFill>
                  <w14:solidFill>
                    <w14:schemeClr w14:val="tx1"/>
                  </w14:solidFill>
                </w14:textFill>
              </w:rPr>
            </w:pPr>
          </w:p>
          <w:p w14:paraId="5699E1BE">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环岛北路口</w:t>
            </w:r>
          </w:p>
        </w:tc>
        <w:tc>
          <w:tcPr>
            <w:tcW w:w="1553" w:type="dxa"/>
            <w:noWrap w:val="0"/>
            <w:vAlign w:val="top"/>
          </w:tcPr>
          <w:p w14:paraId="0A35A0C3">
            <w:pPr>
              <w:rPr>
                <w:color w:val="000000" w:themeColor="text1"/>
                <w:szCs w:val="22"/>
                <w:highlight w:val="none"/>
                <w:vertAlign w:val="baseline"/>
                <w14:textFill>
                  <w14:solidFill>
                    <w14:schemeClr w14:val="tx1"/>
                  </w14:solidFill>
                </w14:textFill>
              </w:rPr>
            </w:pPr>
          </w:p>
        </w:tc>
        <w:tc>
          <w:tcPr>
            <w:tcW w:w="1450" w:type="dxa"/>
            <w:noWrap w:val="0"/>
            <w:vAlign w:val="top"/>
          </w:tcPr>
          <w:p w14:paraId="338CC4F5">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160立方/小时移动汽油泵1台</w:t>
            </w:r>
          </w:p>
        </w:tc>
        <w:tc>
          <w:tcPr>
            <w:tcW w:w="1258" w:type="dxa"/>
            <w:noWrap w:val="0"/>
            <w:vAlign w:val="top"/>
          </w:tcPr>
          <w:p w14:paraId="362E2C27">
            <w:pPr>
              <w:rPr>
                <w:rFonts w:hint="eastAsia"/>
                <w:color w:val="000000" w:themeColor="text1"/>
                <w:szCs w:val="22"/>
                <w:highlight w:val="none"/>
                <w:vertAlign w:val="baseline"/>
                <w:lang w:eastAsia="zh-CN"/>
                <w14:textFill>
                  <w14:solidFill>
                    <w14:schemeClr w14:val="tx1"/>
                  </w14:solidFill>
                </w14:textFill>
              </w:rPr>
            </w:pPr>
          </w:p>
          <w:p w14:paraId="63B2B368">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1人</w:t>
            </w:r>
          </w:p>
        </w:tc>
        <w:tc>
          <w:tcPr>
            <w:tcW w:w="1421" w:type="dxa"/>
            <w:noWrap w:val="0"/>
            <w:vAlign w:val="top"/>
          </w:tcPr>
          <w:p w14:paraId="0B05B2B5">
            <w:pPr>
              <w:rPr>
                <w:rFonts w:hint="eastAsia"/>
                <w:color w:val="000000" w:themeColor="text1"/>
                <w:szCs w:val="22"/>
                <w:highlight w:val="none"/>
                <w:vertAlign w:val="baseline"/>
                <w:lang w:eastAsia="zh-CN"/>
                <w14:textFill>
                  <w14:solidFill>
                    <w14:schemeClr w14:val="tx1"/>
                  </w14:solidFill>
                </w14:textFill>
              </w:rPr>
            </w:pPr>
          </w:p>
          <w:p w14:paraId="380893C9">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1388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30" w:type="dxa"/>
            <w:noWrap w:val="0"/>
            <w:vAlign w:val="top"/>
          </w:tcPr>
          <w:p w14:paraId="02EE8D57">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环岛北路</w:t>
            </w:r>
          </w:p>
        </w:tc>
        <w:tc>
          <w:tcPr>
            <w:tcW w:w="1610" w:type="dxa"/>
            <w:noWrap w:val="0"/>
            <w:vAlign w:val="top"/>
          </w:tcPr>
          <w:p w14:paraId="04907CC3">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中海油</w:t>
            </w:r>
            <w:r>
              <w:rPr>
                <w:rFonts w:hint="eastAsia"/>
                <w:color w:val="000000" w:themeColor="text1"/>
                <w:szCs w:val="22"/>
                <w:highlight w:val="none"/>
                <w:vertAlign w:val="baseline"/>
                <w:lang w:val="en-US" w:eastAsia="zh-CN"/>
                <w14:textFill>
                  <w14:solidFill>
                    <w14:schemeClr w14:val="tx1"/>
                  </w14:solidFill>
                </w14:textFill>
              </w:rPr>
              <w:t>9号门-新奥燃气</w:t>
            </w:r>
          </w:p>
        </w:tc>
        <w:tc>
          <w:tcPr>
            <w:tcW w:w="1553" w:type="dxa"/>
            <w:noWrap w:val="0"/>
            <w:vAlign w:val="top"/>
          </w:tcPr>
          <w:p w14:paraId="4B687D09">
            <w:pPr>
              <w:rPr>
                <w:color w:val="000000" w:themeColor="text1"/>
                <w:szCs w:val="22"/>
                <w:highlight w:val="none"/>
                <w:vertAlign w:val="baseline"/>
                <w14:textFill>
                  <w14:solidFill>
                    <w14:schemeClr w14:val="tx1"/>
                  </w14:solidFill>
                </w14:textFill>
              </w:rPr>
            </w:pPr>
          </w:p>
        </w:tc>
        <w:tc>
          <w:tcPr>
            <w:tcW w:w="1450" w:type="dxa"/>
            <w:noWrap w:val="0"/>
            <w:vAlign w:val="top"/>
          </w:tcPr>
          <w:p w14:paraId="40164D95">
            <w:pPr>
              <w:rPr>
                <w:color w:val="000000" w:themeColor="text1"/>
                <w:szCs w:val="22"/>
                <w:highlight w:val="none"/>
                <w:vertAlign w:val="baseline"/>
                <w14:textFill>
                  <w14:solidFill>
                    <w14:schemeClr w14:val="tx1"/>
                  </w14:solidFill>
                </w14:textFill>
              </w:rPr>
            </w:pPr>
          </w:p>
        </w:tc>
        <w:tc>
          <w:tcPr>
            <w:tcW w:w="1258" w:type="dxa"/>
            <w:noWrap w:val="0"/>
            <w:vAlign w:val="top"/>
          </w:tcPr>
          <w:p w14:paraId="1A47C411">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c>
          <w:tcPr>
            <w:tcW w:w="1421" w:type="dxa"/>
            <w:noWrap w:val="0"/>
            <w:vAlign w:val="top"/>
          </w:tcPr>
          <w:p w14:paraId="3F831308">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12BD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0" w:type="dxa"/>
            <w:noWrap w:val="0"/>
            <w:vAlign w:val="top"/>
          </w:tcPr>
          <w:p w14:paraId="7F04F8D7">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滨海东路</w:t>
            </w:r>
          </w:p>
        </w:tc>
        <w:tc>
          <w:tcPr>
            <w:tcW w:w="1610" w:type="dxa"/>
            <w:noWrap w:val="0"/>
            <w:vAlign w:val="top"/>
          </w:tcPr>
          <w:p w14:paraId="374D1EF3">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碧海蓝湾二期</w:t>
            </w:r>
          </w:p>
        </w:tc>
        <w:tc>
          <w:tcPr>
            <w:tcW w:w="1553" w:type="dxa"/>
            <w:noWrap w:val="0"/>
            <w:vAlign w:val="top"/>
          </w:tcPr>
          <w:p w14:paraId="217BEC17">
            <w:pPr>
              <w:rPr>
                <w:color w:val="000000" w:themeColor="text1"/>
                <w:szCs w:val="22"/>
                <w:highlight w:val="none"/>
                <w:vertAlign w:val="baseline"/>
                <w14:textFill>
                  <w14:solidFill>
                    <w14:schemeClr w14:val="tx1"/>
                  </w14:solidFill>
                </w14:textFill>
              </w:rPr>
            </w:pPr>
          </w:p>
        </w:tc>
        <w:tc>
          <w:tcPr>
            <w:tcW w:w="1450" w:type="dxa"/>
            <w:noWrap w:val="0"/>
            <w:vAlign w:val="top"/>
          </w:tcPr>
          <w:p w14:paraId="61177DB7">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160立方/小时移动汽油泵1台</w:t>
            </w:r>
          </w:p>
        </w:tc>
        <w:tc>
          <w:tcPr>
            <w:tcW w:w="1258" w:type="dxa"/>
            <w:noWrap w:val="0"/>
            <w:vAlign w:val="top"/>
          </w:tcPr>
          <w:p w14:paraId="632FCF73">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c>
          <w:tcPr>
            <w:tcW w:w="1421" w:type="dxa"/>
            <w:noWrap w:val="0"/>
            <w:vAlign w:val="top"/>
          </w:tcPr>
          <w:p w14:paraId="412C450A">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10FE6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0" w:type="dxa"/>
            <w:noWrap w:val="0"/>
            <w:vAlign w:val="top"/>
          </w:tcPr>
          <w:p w14:paraId="4972E689">
            <w:pPr>
              <w:rPr>
                <w:rFonts w:hint="eastAsia"/>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原油码头</w:t>
            </w:r>
          </w:p>
        </w:tc>
        <w:tc>
          <w:tcPr>
            <w:tcW w:w="1610" w:type="dxa"/>
            <w:noWrap w:val="0"/>
            <w:vAlign w:val="top"/>
          </w:tcPr>
          <w:p w14:paraId="0E3AD893">
            <w:pPr>
              <w:rPr>
                <w:rFonts w:hint="eastAsia"/>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原油码头</w:t>
            </w:r>
          </w:p>
        </w:tc>
        <w:tc>
          <w:tcPr>
            <w:tcW w:w="1553" w:type="dxa"/>
            <w:noWrap w:val="0"/>
            <w:vAlign w:val="top"/>
          </w:tcPr>
          <w:p w14:paraId="2ACA71D2">
            <w:pPr>
              <w:rPr>
                <w:color w:val="000000" w:themeColor="text1"/>
                <w:szCs w:val="22"/>
                <w:highlight w:val="none"/>
                <w:vertAlign w:val="baseline"/>
                <w14:textFill>
                  <w14:solidFill>
                    <w14:schemeClr w14:val="tx1"/>
                  </w14:solidFill>
                </w14:textFill>
              </w:rPr>
            </w:pPr>
          </w:p>
        </w:tc>
        <w:tc>
          <w:tcPr>
            <w:tcW w:w="1450" w:type="dxa"/>
            <w:noWrap w:val="0"/>
            <w:vAlign w:val="top"/>
          </w:tcPr>
          <w:p w14:paraId="6A9112C7">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160立方/小时移动汽油泵1台</w:t>
            </w:r>
          </w:p>
        </w:tc>
        <w:tc>
          <w:tcPr>
            <w:tcW w:w="1258" w:type="dxa"/>
            <w:noWrap w:val="0"/>
            <w:vAlign w:val="top"/>
          </w:tcPr>
          <w:p w14:paraId="6319A535">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c>
          <w:tcPr>
            <w:tcW w:w="1421" w:type="dxa"/>
            <w:noWrap w:val="0"/>
            <w:vAlign w:val="top"/>
          </w:tcPr>
          <w:p w14:paraId="6DA97C27">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77C5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0" w:type="dxa"/>
            <w:noWrap w:val="0"/>
            <w:vAlign w:val="top"/>
          </w:tcPr>
          <w:p w14:paraId="6DA23071">
            <w:pPr>
              <w:rPr>
                <w:rFonts w:hint="eastAsia"/>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榭南巡查</w:t>
            </w:r>
          </w:p>
        </w:tc>
        <w:tc>
          <w:tcPr>
            <w:tcW w:w="1610" w:type="dxa"/>
            <w:noWrap w:val="0"/>
            <w:vAlign w:val="top"/>
          </w:tcPr>
          <w:p w14:paraId="13B0CE5B">
            <w:pPr>
              <w:rPr>
                <w:rFonts w:hint="default"/>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val="en-US" w:eastAsia="zh-CN"/>
                <w14:textFill>
                  <w14:solidFill>
                    <w14:schemeClr w14:val="tx1"/>
                  </w14:solidFill>
                </w14:textFill>
              </w:rPr>
              <w:t>7号路-</w:t>
            </w:r>
            <w:r>
              <w:rPr>
                <w:rFonts w:hint="eastAsia"/>
                <w:color w:val="000000" w:themeColor="text1"/>
                <w:szCs w:val="22"/>
                <w:highlight w:val="none"/>
                <w:vertAlign w:val="baseline"/>
                <w:lang w:eastAsia="zh-CN"/>
                <w14:textFill>
                  <w14:solidFill>
                    <w14:schemeClr w14:val="tx1"/>
                  </w14:solidFill>
                </w14:textFill>
              </w:rPr>
              <w:t>南岗隧道</w:t>
            </w:r>
            <w:r>
              <w:rPr>
                <w:rFonts w:hint="eastAsia"/>
                <w:color w:val="000000" w:themeColor="text1"/>
                <w:szCs w:val="22"/>
                <w:highlight w:val="none"/>
                <w:vertAlign w:val="baseline"/>
                <w:lang w:val="en-US" w:eastAsia="zh-CN"/>
                <w14:textFill>
                  <w14:solidFill>
                    <w14:schemeClr w14:val="tx1"/>
                  </w14:solidFill>
                </w14:textFill>
              </w:rPr>
              <w:t>-孚竹村</w:t>
            </w:r>
          </w:p>
        </w:tc>
        <w:tc>
          <w:tcPr>
            <w:tcW w:w="1553" w:type="dxa"/>
            <w:noWrap w:val="0"/>
            <w:vAlign w:val="top"/>
          </w:tcPr>
          <w:p w14:paraId="33469327">
            <w:pPr>
              <w:rPr>
                <w:color w:val="000000" w:themeColor="text1"/>
                <w:szCs w:val="22"/>
                <w:highlight w:val="none"/>
                <w:vertAlign w:val="baseline"/>
                <w14:textFill>
                  <w14:solidFill>
                    <w14:schemeClr w14:val="tx1"/>
                  </w14:solidFill>
                </w14:textFill>
              </w:rPr>
            </w:pPr>
          </w:p>
        </w:tc>
        <w:tc>
          <w:tcPr>
            <w:tcW w:w="1450" w:type="dxa"/>
            <w:noWrap w:val="0"/>
            <w:vAlign w:val="top"/>
          </w:tcPr>
          <w:p w14:paraId="20D9BE4D">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80立方/小时移动汽油泵1台</w:t>
            </w:r>
          </w:p>
        </w:tc>
        <w:tc>
          <w:tcPr>
            <w:tcW w:w="1258" w:type="dxa"/>
            <w:noWrap w:val="0"/>
            <w:vAlign w:val="top"/>
          </w:tcPr>
          <w:p w14:paraId="2BD34F8E">
            <w:pPr>
              <w:rPr>
                <w:color w:val="000000" w:themeColor="text1"/>
                <w:szCs w:val="22"/>
                <w:highlight w:val="none"/>
                <w:vertAlign w:val="baseline"/>
                <w14:textFill>
                  <w14:solidFill>
                    <w14:schemeClr w14:val="tx1"/>
                  </w14:solidFill>
                </w14:textFill>
              </w:rPr>
            </w:pPr>
          </w:p>
        </w:tc>
        <w:tc>
          <w:tcPr>
            <w:tcW w:w="1421" w:type="dxa"/>
            <w:noWrap w:val="0"/>
            <w:vAlign w:val="top"/>
          </w:tcPr>
          <w:p w14:paraId="0571406A">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巡查员</w:t>
            </w:r>
            <w:r>
              <w:rPr>
                <w:rFonts w:hint="eastAsia"/>
                <w:color w:val="000000" w:themeColor="text1"/>
                <w:szCs w:val="22"/>
                <w:highlight w:val="none"/>
                <w:vertAlign w:val="baseline"/>
                <w:lang w:val="en-US" w:eastAsia="zh-CN"/>
                <w14:textFill>
                  <w14:solidFill>
                    <w14:schemeClr w14:val="tx1"/>
                  </w14:solidFill>
                </w14:textFill>
              </w:rPr>
              <w:t>3人（应急排水及杂物清理）</w:t>
            </w:r>
          </w:p>
        </w:tc>
      </w:tr>
      <w:tr w14:paraId="1535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0" w:type="dxa"/>
            <w:noWrap w:val="0"/>
            <w:vAlign w:val="top"/>
          </w:tcPr>
          <w:p w14:paraId="365E49F2">
            <w:pPr>
              <w:rPr>
                <w:rFonts w:hint="eastAsia"/>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榭北巡查</w:t>
            </w:r>
          </w:p>
        </w:tc>
        <w:tc>
          <w:tcPr>
            <w:tcW w:w="1610" w:type="dxa"/>
            <w:noWrap w:val="0"/>
            <w:vAlign w:val="top"/>
          </w:tcPr>
          <w:p w14:paraId="2A9A5D5D">
            <w:pPr>
              <w:rPr>
                <w:rFonts w:hint="default"/>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val="en-US" w:eastAsia="zh-CN"/>
                <w14:textFill>
                  <w14:solidFill>
                    <w14:schemeClr w14:val="tx1"/>
                  </w14:solidFill>
                </w14:textFill>
              </w:rPr>
              <w:t>7号路-榭西-孚竹村</w:t>
            </w:r>
          </w:p>
        </w:tc>
        <w:tc>
          <w:tcPr>
            <w:tcW w:w="1553" w:type="dxa"/>
            <w:noWrap w:val="0"/>
            <w:vAlign w:val="top"/>
          </w:tcPr>
          <w:p w14:paraId="064BE459">
            <w:pPr>
              <w:rPr>
                <w:color w:val="000000" w:themeColor="text1"/>
                <w:szCs w:val="22"/>
                <w:highlight w:val="none"/>
                <w:vertAlign w:val="baseline"/>
                <w14:textFill>
                  <w14:solidFill>
                    <w14:schemeClr w14:val="tx1"/>
                  </w14:solidFill>
                </w14:textFill>
              </w:rPr>
            </w:pPr>
          </w:p>
        </w:tc>
        <w:tc>
          <w:tcPr>
            <w:tcW w:w="1450" w:type="dxa"/>
            <w:noWrap w:val="0"/>
            <w:vAlign w:val="top"/>
          </w:tcPr>
          <w:p w14:paraId="27319648">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80立方/小时移动汽油泵1台</w:t>
            </w:r>
          </w:p>
        </w:tc>
        <w:tc>
          <w:tcPr>
            <w:tcW w:w="1258" w:type="dxa"/>
            <w:noWrap w:val="0"/>
            <w:vAlign w:val="top"/>
          </w:tcPr>
          <w:p w14:paraId="03904259">
            <w:pPr>
              <w:rPr>
                <w:color w:val="000000" w:themeColor="text1"/>
                <w:szCs w:val="22"/>
                <w:highlight w:val="none"/>
                <w:vertAlign w:val="baseline"/>
                <w14:textFill>
                  <w14:solidFill>
                    <w14:schemeClr w14:val="tx1"/>
                  </w14:solidFill>
                </w14:textFill>
              </w:rPr>
            </w:pPr>
          </w:p>
        </w:tc>
        <w:tc>
          <w:tcPr>
            <w:tcW w:w="1421" w:type="dxa"/>
            <w:noWrap w:val="0"/>
            <w:vAlign w:val="top"/>
          </w:tcPr>
          <w:p w14:paraId="219CA6D0">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巡查员</w:t>
            </w:r>
            <w:r>
              <w:rPr>
                <w:rFonts w:hint="eastAsia"/>
                <w:color w:val="000000" w:themeColor="text1"/>
                <w:szCs w:val="22"/>
                <w:highlight w:val="none"/>
                <w:vertAlign w:val="baseline"/>
                <w:lang w:val="en-US" w:eastAsia="zh-CN"/>
                <w14:textFill>
                  <w14:solidFill>
                    <w14:schemeClr w14:val="tx1"/>
                  </w14:solidFill>
                </w14:textFill>
              </w:rPr>
              <w:t>3人（应急排水及杂物清理）</w:t>
            </w:r>
          </w:p>
        </w:tc>
      </w:tr>
      <w:tr w14:paraId="426E0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0" w:type="dxa"/>
            <w:noWrap w:val="0"/>
            <w:vAlign w:val="top"/>
          </w:tcPr>
          <w:p w14:paraId="7241C094">
            <w:pPr>
              <w:rPr>
                <w:rFonts w:hint="eastAsia"/>
                <w:color w:val="000000" w:themeColor="text1"/>
                <w:szCs w:val="22"/>
                <w:highlight w:val="none"/>
                <w:vertAlign w:val="baseline"/>
                <w:lang w:eastAsia="zh-CN"/>
                <w14:textFill>
                  <w14:solidFill>
                    <w14:schemeClr w14:val="tx1"/>
                  </w14:solidFill>
                </w14:textFill>
              </w:rPr>
            </w:pPr>
          </w:p>
          <w:p w14:paraId="5FF849A9">
            <w:pPr>
              <w:ind w:firstLine="210" w:firstLineChars="100"/>
              <w:rPr>
                <w:rFonts w:hint="eastAsia"/>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合计</w:t>
            </w:r>
          </w:p>
        </w:tc>
        <w:tc>
          <w:tcPr>
            <w:tcW w:w="1610" w:type="dxa"/>
            <w:noWrap w:val="0"/>
            <w:vAlign w:val="top"/>
          </w:tcPr>
          <w:p w14:paraId="3F2BA48C">
            <w:pPr>
              <w:rPr>
                <w:rFonts w:hint="eastAsia"/>
                <w:color w:val="000000" w:themeColor="text1"/>
                <w:szCs w:val="22"/>
                <w:highlight w:val="none"/>
                <w:vertAlign w:val="baseline"/>
                <w:lang w:val="en-US" w:eastAsia="zh-CN"/>
                <w14:textFill>
                  <w14:solidFill>
                    <w14:schemeClr w14:val="tx1"/>
                  </w14:solidFill>
                </w14:textFill>
              </w:rPr>
            </w:pPr>
          </w:p>
        </w:tc>
        <w:tc>
          <w:tcPr>
            <w:tcW w:w="1553" w:type="dxa"/>
            <w:noWrap w:val="0"/>
            <w:vAlign w:val="top"/>
          </w:tcPr>
          <w:p w14:paraId="3ECE89B0">
            <w:pPr>
              <w:rPr>
                <w:color w:val="000000" w:themeColor="text1"/>
                <w:szCs w:val="22"/>
                <w:highlight w:val="none"/>
                <w:vertAlign w:val="baseline"/>
                <w14:textFill>
                  <w14:solidFill>
                    <w14:schemeClr w14:val="tx1"/>
                  </w14:solidFill>
                </w14:textFill>
              </w:rPr>
            </w:pPr>
          </w:p>
        </w:tc>
        <w:tc>
          <w:tcPr>
            <w:tcW w:w="1450" w:type="dxa"/>
            <w:noWrap w:val="0"/>
            <w:vAlign w:val="top"/>
          </w:tcPr>
          <w:p w14:paraId="47C47237">
            <w:pPr>
              <w:rPr>
                <w:rFonts w:hint="default"/>
                <w:color w:val="000000" w:themeColor="text1"/>
                <w:sz w:val="18"/>
                <w:szCs w:val="18"/>
                <w:highlight w:val="none"/>
                <w:vertAlign w:val="baseline"/>
                <w:lang w:val="en-US" w:eastAsia="zh-CN"/>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160立方/小时3台，80立方/小时2台</w:t>
            </w:r>
          </w:p>
        </w:tc>
        <w:tc>
          <w:tcPr>
            <w:tcW w:w="1258" w:type="dxa"/>
            <w:noWrap w:val="0"/>
            <w:vAlign w:val="top"/>
          </w:tcPr>
          <w:p w14:paraId="5DCBEAFB">
            <w:pPr>
              <w:rPr>
                <w:rFonts w:hint="eastAsia"/>
                <w:color w:val="000000" w:themeColor="text1"/>
                <w:szCs w:val="22"/>
                <w:highlight w:val="none"/>
                <w:vertAlign w:val="baseline"/>
                <w:lang w:val="en-US" w:eastAsia="zh-CN"/>
                <w14:textFill>
                  <w14:solidFill>
                    <w14:schemeClr w14:val="tx1"/>
                  </w14:solidFill>
                </w14:textFill>
              </w:rPr>
            </w:pPr>
          </w:p>
          <w:p w14:paraId="1F37F9A7">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val="en-US" w:eastAsia="zh-CN"/>
                <w14:textFill>
                  <w14:solidFill>
                    <w14:schemeClr w14:val="tx1"/>
                  </w14:solidFill>
                </w14:textFill>
              </w:rPr>
              <w:t>12人</w:t>
            </w:r>
          </w:p>
        </w:tc>
        <w:tc>
          <w:tcPr>
            <w:tcW w:w="1421" w:type="dxa"/>
            <w:noWrap w:val="0"/>
            <w:vAlign w:val="top"/>
          </w:tcPr>
          <w:p w14:paraId="07A1064D">
            <w:pPr>
              <w:rPr>
                <w:rFonts w:hint="eastAsia"/>
                <w:color w:val="000000" w:themeColor="text1"/>
                <w:szCs w:val="22"/>
                <w:highlight w:val="none"/>
                <w:vertAlign w:val="baseline"/>
                <w:lang w:val="en-US" w:eastAsia="zh-CN"/>
                <w14:textFill>
                  <w14:solidFill>
                    <w14:schemeClr w14:val="tx1"/>
                  </w14:solidFill>
                </w14:textFill>
              </w:rPr>
            </w:pPr>
          </w:p>
          <w:p w14:paraId="3BD6B30B">
            <w:pPr>
              <w:rPr>
                <w:rFonts w:hint="default"/>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val="en-US" w:eastAsia="zh-CN"/>
                <w14:textFill>
                  <w14:solidFill>
                    <w14:schemeClr w14:val="tx1"/>
                  </w14:solidFill>
                </w14:textFill>
              </w:rPr>
              <w:t>27人</w:t>
            </w:r>
          </w:p>
        </w:tc>
      </w:tr>
      <w:tr w14:paraId="1001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8522" w:type="dxa"/>
            <w:gridSpan w:val="6"/>
            <w:noWrap w:val="0"/>
            <w:vAlign w:val="top"/>
          </w:tcPr>
          <w:p w14:paraId="1902D208">
            <w:pPr>
              <w:rPr>
                <w:rFonts w:hint="default"/>
                <w:color w:val="000000" w:themeColor="text1"/>
                <w:szCs w:val="22"/>
                <w:highlight w:val="none"/>
                <w:vertAlign w:val="baseline"/>
                <w:lang w:val="en-US" w:eastAsia="zh-CN"/>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剩余1台160立方/小时排水泵及80立方/小时排水泵50立方/小时作为应急备用。具体以采购人指令为准，防台防汛小组人员配备水泵的，相关人员必须能熟练操作水泵。</w:t>
            </w:r>
          </w:p>
        </w:tc>
      </w:tr>
    </w:tbl>
    <w:p w14:paraId="621FB432">
      <w:pPr>
        <w:spacing w:line="360" w:lineRule="auto"/>
        <w:ind w:firstLine="399" w:firstLineChars="19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⑤加大排水设施巡查。全面排查排水设施，引起路面积水，应在1小时内到达现场进行处理。排查期间，做好交通组织和文明施工，确保道路交通安全畅通。密切监控相关结构设施、排水设施，确保设施安全运行。</w:t>
      </w:r>
    </w:p>
    <w:p w14:paraId="693EA68F">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⑥加大宣传和协调工作。应向社会、市民公布暴雨积水点举报电话，信息畅通。</w:t>
      </w:r>
    </w:p>
    <w:p w14:paraId="74CA0C66">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b</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接到井盖缺失通知后</w:t>
      </w:r>
      <w:r>
        <w:rPr>
          <w:rFonts w:ascii="宋体" w:hAnsi="宋体"/>
          <w:color w:val="000000" w:themeColor="text1"/>
          <w:szCs w:val="21"/>
          <w:highlight w:val="none"/>
          <w14:textFill>
            <w14:solidFill>
              <w14:schemeClr w14:val="tx1"/>
            </w14:solidFill>
          </w14:textFill>
        </w:rPr>
        <w:t>0.5</w:t>
      </w:r>
      <w:r>
        <w:rPr>
          <w:rFonts w:hint="eastAsia" w:ascii="宋体" w:hAnsi="宋体"/>
          <w:color w:val="000000" w:themeColor="text1"/>
          <w:szCs w:val="21"/>
          <w:highlight w:val="none"/>
          <w14:textFill>
            <w14:solidFill>
              <w14:schemeClr w14:val="tx1"/>
            </w14:solidFill>
          </w14:textFill>
        </w:rPr>
        <w:t>小时内到达现场进行处理，更换或者设立明显标志。</w:t>
      </w:r>
    </w:p>
    <w:p w14:paraId="1570B677">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c</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认真落实社会投诉工作，建立24小时值班制度，落实解决各类投诉问题，</w:t>
      </w:r>
    </w:p>
    <w:p w14:paraId="16C30F38">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d</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不发生有责媒体报道事件，不发生重大有责新闻曝光。</w:t>
      </w:r>
    </w:p>
    <w:p w14:paraId="5704672D">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e</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认真完成领导或相关部门的指令性、突击性任务。</w:t>
      </w:r>
    </w:p>
    <w:p w14:paraId="25F1599E">
      <w:pPr>
        <w:widowControl/>
        <w:numPr>
          <w:ilvl w:val="0"/>
          <w:numId w:val="10"/>
        </w:numPr>
        <w:spacing w:line="360" w:lineRule="auto"/>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其它：</w:t>
      </w:r>
    </w:p>
    <w:p w14:paraId="4D96E08C">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a</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安全作业、应急处置、文明施工管理</w:t>
      </w:r>
    </w:p>
    <w:p w14:paraId="5E1FA027">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①应认真贯彻“安全第一、预防为主”的方针，自觉遵守，严格执行国家有关劳动保护与安全生产的法律法规。建立安全管理体系，完善各项安全管理制度，落实各级安全责任制，做好日常管理工作，杜绝各类事故。</w:t>
      </w:r>
    </w:p>
    <w:p w14:paraId="601116D6">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②应建立应急防灾组织体系，建立防灾机制，落实管理责任，做好突发性事故的应急处置预案，组成与灾害防治、处置工作相适应的抢险组织联络网，积极、妥善处理突发应急事件。</w:t>
      </w:r>
    </w:p>
    <w:p w14:paraId="543476E9">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③应注重文明施工与环境保护，根据养护作业实际情况，制定文明施工与环境保护具体措施，最大限度地减少对附近区域市容环卫和交通运行影响。</w:t>
      </w:r>
    </w:p>
    <w:p w14:paraId="6575E11C">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④相关的养护维修操作应由接受过专业技术培训，持有工岗位资格证书的人员进行，并配备与维护作业相应的安全防护设备和用品。</w:t>
      </w:r>
    </w:p>
    <w:p w14:paraId="1205F6EF">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⑤每年应有组织、有计划地对管道养护工进行安全生产和专业技术培训，要求：每年必须有一定比例人数培训，并建立培训档案；每月至少召开一次全体养护人员参加的安全生产会议，并有相应的台帐记录。</w:t>
      </w:r>
    </w:p>
    <w:p w14:paraId="0D2C2310">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⑥养护作业人员应按规定统一着装，在道路上从事养护作业时，必须穿戴配有反光标志的安全警示服并正确佩戴和使用劳动防护用品。</w:t>
      </w:r>
      <w:r>
        <w:rPr>
          <w:rFonts w:hint="eastAsia" w:ascii="宋体" w:hAnsi="宋体" w:cs="宋体"/>
          <w:color w:val="000000" w:themeColor="text1"/>
          <w:szCs w:val="21"/>
          <w:highlight w:val="none"/>
          <w14:textFill>
            <w14:solidFill>
              <w14:schemeClr w14:val="tx1"/>
            </w14:solidFill>
          </w14:textFill>
        </w:rPr>
        <w:t>各种安全防护装备须达到国家标准。</w:t>
      </w:r>
    </w:p>
    <w:p w14:paraId="02B1940B">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⑦养护人员对养护部位</w:t>
      </w:r>
      <w:r>
        <w:rPr>
          <w:rFonts w:ascii="宋体" w:hAnsi="宋体"/>
          <w:color w:val="000000" w:themeColor="text1"/>
          <w:szCs w:val="21"/>
          <w:highlight w:val="none"/>
          <w14:textFill>
            <w14:solidFill>
              <w14:schemeClr w14:val="tx1"/>
            </w14:solidFill>
          </w14:textFill>
        </w:rPr>
        <w:t>进行工作</w:t>
      </w:r>
      <w:r>
        <w:rPr>
          <w:rFonts w:hint="eastAsia" w:ascii="宋体" w:hAnsi="宋体"/>
          <w:color w:val="000000" w:themeColor="text1"/>
          <w:szCs w:val="21"/>
          <w:highlight w:val="none"/>
          <w14:textFill>
            <w14:solidFill>
              <w14:schemeClr w14:val="tx1"/>
            </w14:solidFill>
          </w14:textFill>
        </w:rPr>
        <w:t>时，应对</w:t>
      </w:r>
      <w:r>
        <w:rPr>
          <w:rFonts w:ascii="宋体" w:hAnsi="宋体"/>
          <w:color w:val="000000" w:themeColor="text1"/>
          <w:szCs w:val="21"/>
          <w:highlight w:val="none"/>
          <w14:textFill>
            <w14:solidFill>
              <w14:schemeClr w14:val="tx1"/>
            </w14:solidFill>
          </w14:textFill>
        </w:rPr>
        <w:t>周边</w:t>
      </w:r>
      <w:r>
        <w:rPr>
          <w:rFonts w:hint="eastAsia" w:ascii="宋体" w:hAnsi="宋体"/>
          <w:color w:val="000000" w:themeColor="text1"/>
          <w:szCs w:val="21"/>
          <w:highlight w:val="none"/>
          <w14:textFill>
            <w14:solidFill>
              <w14:schemeClr w14:val="tx1"/>
            </w14:solidFill>
          </w14:textFill>
        </w:rPr>
        <w:t>及</w:t>
      </w:r>
      <w:r>
        <w:rPr>
          <w:rFonts w:ascii="宋体" w:hAnsi="宋体"/>
          <w:color w:val="000000" w:themeColor="text1"/>
          <w:szCs w:val="21"/>
          <w:highlight w:val="none"/>
          <w14:textFill>
            <w14:solidFill>
              <w14:schemeClr w14:val="tx1"/>
            </w14:solidFill>
          </w14:textFill>
        </w:rPr>
        <w:t>养护部位进行检查</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以防意外发生。</w:t>
      </w:r>
    </w:p>
    <w:p w14:paraId="3D024CB5">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⑧在养护维修操作前，专职安全管理人员须编制书面安全操作方案，并对排水管道养护工进行安全技术交底。</w:t>
      </w:r>
    </w:p>
    <w:p w14:paraId="70478339">
      <w:pPr>
        <w:spacing w:line="360" w:lineRule="auto"/>
        <w:ind w:left="403"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⑨养护维修单位必须配备相应的安全检测设备。</w:t>
      </w:r>
    </w:p>
    <w:p w14:paraId="2E2A3698">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⑩维护作业区域应采取设置安全警示标志或警示护栏等防护措施；在区域的交通主干道作业时，应指派专人维护现场秩序；夜间作业时，应在作业区域周边明显处设置警示灯；作业完毕，应及时清除障碍物。</w:t>
      </w:r>
    </w:p>
    <w:p w14:paraId="0FD7DA17">
      <w:pPr>
        <w:spacing w:line="360" w:lineRule="auto"/>
        <w:ind w:left="403" w:firstLine="420" w:firstLineChars="200"/>
        <w:outlineLvl w:val="1"/>
        <w:rPr>
          <w:color w:val="000000" w:themeColor="text1"/>
          <w:highlight w:val="none"/>
          <w14:textFill>
            <w14:solidFill>
              <w14:schemeClr w14:val="tx1"/>
            </w14:solidFill>
          </w14:textFill>
        </w:rPr>
      </w:pPr>
      <w:bookmarkStart w:id="60" w:name="_Toc378090017"/>
      <w:bookmarkStart w:id="61" w:name="_Toc334101538"/>
      <w:r>
        <w:rPr>
          <w:rFonts w:hint="eastAsia" w:ascii="宋体" w:hAnsi="宋体"/>
          <w:b/>
          <w:bCs/>
          <w:color w:val="000000" w:themeColor="text1"/>
          <w:highlight w:val="none"/>
          <w14:textFill>
            <w14:solidFill>
              <w14:schemeClr w14:val="tx1"/>
            </w14:solidFill>
          </w14:textFill>
        </w:rPr>
        <w:t>b</w:t>
      </w:r>
      <w:r>
        <w:rPr>
          <w:rFonts w:ascii="宋体" w:hAnsi="宋体"/>
          <w:b/>
          <w:bCs/>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中标供应商</w:t>
      </w:r>
      <w:r>
        <w:rPr>
          <w:color w:val="000000" w:themeColor="text1"/>
          <w:highlight w:val="none"/>
          <w14:textFill>
            <w14:solidFill>
              <w14:schemeClr w14:val="tx1"/>
            </w14:solidFill>
          </w14:textFill>
        </w:rPr>
        <w:t>必须为全体作业员工购买社保</w:t>
      </w:r>
      <w:r>
        <w:rPr>
          <w:rFonts w:hint="eastAsia"/>
          <w:color w:val="000000" w:themeColor="text1"/>
          <w:highlight w:val="none"/>
          <w14:textFill>
            <w14:solidFill>
              <w14:schemeClr w14:val="tx1"/>
            </w14:solidFill>
          </w14:textFill>
        </w:rPr>
        <w:t>及人身意外险</w:t>
      </w:r>
      <w:r>
        <w:rPr>
          <w:color w:val="000000" w:themeColor="text1"/>
          <w:highlight w:val="none"/>
          <w14:textFill>
            <w14:solidFill>
              <w14:schemeClr w14:val="tx1"/>
            </w14:solidFill>
          </w14:textFill>
        </w:rPr>
        <w:t>，必须重视安全生产工作，确保全年不出安全生产责任事故。</w:t>
      </w:r>
      <w:r>
        <w:rPr>
          <w:rFonts w:hint="eastAsia"/>
          <w:color w:val="000000" w:themeColor="text1"/>
          <w:highlight w:val="none"/>
          <w14:textFill>
            <w14:solidFill>
              <w14:schemeClr w14:val="tx1"/>
            </w14:solidFill>
          </w14:textFill>
        </w:rPr>
        <w:t>在养护过程中</w:t>
      </w:r>
      <w:r>
        <w:rPr>
          <w:color w:val="000000" w:themeColor="text1"/>
          <w:highlight w:val="none"/>
          <w14:textFill>
            <w14:solidFill>
              <w14:schemeClr w14:val="tx1"/>
            </w14:solidFill>
          </w14:textFill>
        </w:rPr>
        <w:t>如发生</w:t>
      </w:r>
      <w:r>
        <w:rPr>
          <w:rFonts w:hint="eastAsia"/>
          <w:color w:val="000000" w:themeColor="text1"/>
          <w:highlight w:val="none"/>
          <w14:textFill>
            <w14:solidFill>
              <w14:schemeClr w14:val="tx1"/>
            </w14:solidFill>
          </w14:textFill>
        </w:rPr>
        <w:t>人员（包括不仅限于作业人员、行人等）伤亡的</w:t>
      </w:r>
      <w:r>
        <w:rPr>
          <w:color w:val="000000" w:themeColor="text1"/>
          <w:highlight w:val="none"/>
          <w14:textFill>
            <w14:solidFill>
              <w14:schemeClr w14:val="tx1"/>
            </w14:solidFill>
          </w14:textFill>
        </w:rPr>
        <w:t>安全生产责任事故或交通事故，由</w:t>
      </w:r>
      <w:r>
        <w:rPr>
          <w:rFonts w:hint="eastAsia"/>
          <w:color w:val="000000" w:themeColor="text1"/>
          <w:highlight w:val="none"/>
          <w14:textFill>
            <w14:solidFill>
              <w14:schemeClr w14:val="tx1"/>
            </w14:solidFill>
          </w14:textFill>
        </w:rPr>
        <w:t>中标供应商</w:t>
      </w:r>
      <w:r>
        <w:rPr>
          <w:color w:val="000000" w:themeColor="text1"/>
          <w:highlight w:val="none"/>
          <w14:textFill>
            <w14:solidFill>
              <w14:schemeClr w14:val="tx1"/>
            </w14:solidFill>
          </w14:textFill>
        </w:rPr>
        <w:t>承担一切责任及损失</w:t>
      </w:r>
      <w:r>
        <w:rPr>
          <w:rFonts w:hint="eastAsia"/>
          <w:color w:val="000000" w:themeColor="text1"/>
          <w:highlight w:val="none"/>
          <w14:textFill>
            <w14:solidFill>
              <w14:schemeClr w14:val="tx1"/>
            </w14:solidFill>
          </w14:textFill>
        </w:rPr>
        <w:t>，采购人有权终止合同</w:t>
      </w:r>
      <w:r>
        <w:rPr>
          <w:color w:val="000000" w:themeColor="text1"/>
          <w:highlight w:val="none"/>
          <w14:textFill>
            <w14:solidFill>
              <w14:schemeClr w14:val="tx1"/>
            </w14:solidFill>
          </w14:textFill>
        </w:rPr>
        <w:t>。</w:t>
      </w:r>
      <w:bookmarkEnd w:id="60"/>
      <w:bookmarkEnd w:id="61"/>
    </w:p>
    <w:p w14:paraId="4FEF61B2">
      <w:pPr>
        <w:spacing w:line="360" w:lineRule="auto"/>
        <w:ind w:left="403" w:firstLine="420" w:firstLineChars="200"/>
        <w:outlineLvl w:val="1"/>
        <w:rPr>
          <w:rFonts w:hint="eastAsia" w:ascii="Arial" w:hAnsi="Arial" w:cs="Arial"/>
          <w:bCs/>
          <w:color w:val="000000" w:themeColor="text1"/>
          <w:szCs w:val="21"/>
          <w:highlight w:val="none"/>
          <w14:textFill>
            <w14:solidFill>
              <w14:schemeClr w14:val="tx1"/>
            </w14:solidFill>
          </w14:textFill>
        </w:rPr>
      </w:pPr>
      <w:r>
        <w:rPr>
          <w:rFonts w:ascii="宋体" w:hAnsi="宋体" w:cs="Arial"/>
          <w:b/>
          <w:color w:val="000000" w:themeColor="text1"/>
          <w:szCs w:val="21"/>
          <w:highlight w:val="none"/>
          <w14:textFill>
            <w14:solidFill>
              <w14:schemeClr w14:val="tx1"/>
            </w14:solidFill>
          </w14:textFill>
        </w:rPr>
        <w:t>c.</w:t>
      </w:r>
      <w:r>
        <w:rPr>
          <w:rFonts w:hint="eastAsia" w:ascii="Arial" w:hAnsi="Arial" w:cs="Arial"/>
          <w:bCs/>
          <w:color w:val="000000" w:themeColor="text1"/>
          <w:szCs w:val="21"/>
          <w:highlight w:val="none"/>
          <w14:textFill>
            <w14:solidFill>
              <w14:schemeClr w14:val="tx1"/>
            </w14:solidFill>
          </w14:textFill>
        </w:rPr>
        <w:t>做好城管案件、市民信访案件中的设施维修等现场处理工作。处置率达到100%，及时处理率达到100%，收到城管案件信息后，在12小时内完成案件派发，紧急案件2小时内完成案件派发工作。</w:t>
      </w:r>
    </w:p>
    <w:p w14:paraId="7CB74B6E">
      <w:pPr>
        <w:widowControl/>
        <w:numPr>
          <w:ilvl w:val="0"/>
          <w:numId w:val="5"/>
        </w:numPr>
        <w:autoSpaceDE w:val="0"/>
        <w:autoSpaceDN w:val="0"/>
        <w:spacing w:line="360" w:lineRule="auto"/>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保修责任</w:t>
      </w:r>
    </w:p>
    <w:p w14:paraId="60B27B42">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沥青坑槽修补（面积≤5m</w:t>
      </w:r>
      <w:r>
        <w:rPr>
          <w:rFonts w:hint="eastAsia" w:ascii="Arial" w:hAnsi="Arial" w:cs="Arial"/>
          <w:bCs/>
          <w:color w:val="000000" w:themeColor="text1"/>
          <w:szCs w:val="21"/>
          <w:highlight w:val="none"/>
          <w:vertAlign w:val="superscript"/>
          <w14:textFill>
            <w14:solidFill>
              <w14:schemeClr w14:val="tx1"/>
            </w14:solidFill>
          </w14:textFill>
        </w:rPr>
        <w:t>2</w:t>
      </w:r>
      <w:r>
        <w:rPr>
          <w:rFonts w:hint="eastAsia" w:ascii="Arial" w:hAnsi="Arial" w:cs="Arial"/>
          <w:bCs/>
          <w:color w:val="000000" w:themeColor="text1"/>
          <w:szCs w:val="21"/>
          <w:highlight w:val="none"/>
          <w14:textFill>
            <w14:solidFill>
              <w14:schemeClr w14:val="tx1"/>
            </w14:solidFill>
          </w14:textFill>
        </w:rPr>
        <w:t>）的保修期为6个月，人行道维修、沥青路面摊铺及其它维修保修期为12个月。</w:t>
      </w:r>
    </w:p>
    <w:p w14:paraId="6CFB8116">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保修期内针对相同破损位置的重复修复不计入结算金额。修补沥青坑槽时，因天气等特殊因素影响造成养护单位无法按相关标准进行修复的，允许养护单位用冷材料直接填补以作应急处理，但应在天气好转后48小时内完成二次修复工作。在春节、专项检查等沥青厂统一停工期间，允许采用冷材料切割修补。气温低于10℃时，应使用保温车等设备进行坑槽热料修补。</w:t>
      </w:r>
    </w:p>
    <w:p w14:paraId="68569B97">
      <w:pPr>
        <w:widowControl/>
        <w:numPr>
          <w:ilvl w:val="0"/>
          <w:numId w:val="5"/>
        </w:numPr>
        <w:autoSpaceDE w:val="0"/>
        <w:autoSpaceDN w:val="0"/>
        <w:spacing w:line="360" w:lineRule="auto"/>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违约罚则</w:t>
      </w:r>
    </w:p>
    <w:p w14:paraId="1C7E49CE">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养护单位未履行工作过程中“定人”原则，未经采购人同意更换项目经理每次处人民币20000元的违约金；</w:t>
      </w:r>
      <w:r>
        <w:rPr>
          <w:rFonts w:ascii="Arial" w:hAnsi="Arial" w:cs="Arial"/>
          <w:bCs/>
          <w:color w:val="000000" w:themeColor="text1"/>
          <w:szCs w:val="21"/>
          <w:highlight w:val="none"/>
          <w14:textFill>
            <w14:solidFill>
              <w14:schemeClr w14:val="tx1"/>
            </w14:solidFill>
          </w14:textFill>
        </w:rPr>
        <w:t>专项养护和较大养护作业</w:t>
      </w:r>
      <w:r>
        <w:rPr>
          <w:rFonts w:hint="eastAsia" w:ascii="Arial" w:hAnsi="Arial" w:cs="Arial"/>
          <w:bCs/>
          <w:color w:val="000000" w:themeColor="text1"/>
          <w:szCs w:val="21"/>
          <w:highlight w:val="none"/>
          <w14:textFill>
            <w14:solidFill>
              <w14:schemeClr w14:val="tx1"/>
            </w14:solidFill>
          </w14:textFill>
        </w:rPr>
        <w:t>项目经理</w:t>
      </w:r>
      <w:r>
        <w:rPr>
          <w:rFonts w:ascii="Arial" w:hAnsi="Arial" w:cs="Arial"/>
          <w:bCs/>
          <w:color w:val="000000" w:themeColor="text1"/>
          <w:szCs w:val="21"/>
          <w:highlight w:val="none"/>
          <w14:textFill>
            <w14:solidFill>
              <w14:schemeClr w14:val="tx1"/>
            </w14:solidFill>
          </w14:textFill>
        </w:rPr>
        <w:t>和施工员</w:t>
      </w:r>
      <w:r>
        <w:rPr>
          <w:rFonts w:hint="eastAsia" w:ascii="Arial" w:hAnsi="Arial" w:cs="Arial"/>
          <w:bCs/>
          <w:color w:val="000000" w:themeColor="text1"/>
          <w:szCs w:val="21"/>
          <w:highlight w:val="none"/>
          <w14:textFill>
            <w14:solidFill>
              <w14:schemeClr w14:val="tx1"/>
            </w14:solidFill>
          </w14:textFill>
        </w:rPr>
        <w:t>未</w:t>
      </w:r>
      <w:r>
        <w:rPr>
          <w:rFonts w:ascii="Arial" w:hAnsi="Arial" w:cs="Arial"/>
          <w:bCs/>
          <w:color w:val="000000" w:themeColor="text1"/>
          <w:szCs w:val="21"/>
          <w:highlight w:val="none"/>
          <w14:textFill>
            <w14:solidFill>
              <w14:schemeClr w14:val="tx1"/>
            </w14:solidFill>
          </w14:textFill>
        </w:rPr>
        <w:t>到场</w:t>
      </w:r>
      <w:r>
        <w:rPr>
          <w:rFonts w:hint="eastAsia" w:ascii="Arial" w:hAnsi="Arial" w:cs="Arial"/>
          <w:bCs/>
          <w:color w:val="000000" w:themeColor="text1"/>
          <w:szCs w:val="21"/>
          <w:highlight w:val="none"/>
          <w14:textFill>
            <w14:solidFill>
              <w14:schemeClr w14:val="tx1"/>
            </w14:solidFill>
          </w14:textFill>
        </w:rPr>
        <w:t>或</w:t>
      </w:r>
      <w:r>
        <w:rPr>
          <w:rFonts w:ascii="Arial" w:hAnsi="Arial" w:cs="Arial"/>
          <w:bCs/>
          <w:color w:val="000000" w:themeColor="text1"/>
          <w:szCs w:val="21"/>
          <w:highlight w:val="none"/>
          <w14:textFill>
            <w14:solidFill>
              <w14:schemeClr w14:val="tx1"/>
            </w14:solidFill>
          </w14:textFill>
        </w:rPr>
        <w:t>有较大安全隐患的作业安全员</w:t>
      </w:r>
      <w:r>
        <w:rPr>
          <w:rFonts w:hint="eastAsia" w:ascii="Arial" w:hAnsi="Arial" w:cs="Arial"/>
          <w:bCs/>
          <w:color w:val="000000" w:themeColor="text1"/>
          <w:szCs w:val="21"/>
          <w:highlight w:val="none"/>
          <w14:textFill>
            <w14:solidFill>
              <w14:schemeClr w14:val="tx1"/>
            </w14:solidFill>
          </w14:textFill>
        </w:rPr>
        <w:t>未</w:t>
      </w:r>
      <w:r>
        <w:rPr>
          <w:rFonts w:ascii="Arial" w:hAnsi="Arial" w:cs="Arial"/>
          <w:bCs/>
          <w:color w:val="000000" w:themeColor="text1"/>
          <w:szCs w:val="21"/>
          <w:highlight w:val="none"/>
          <w14:textFill>
            <w14:solidFill>
              <w14:schemeClr w14:val="tx1"/>
            </w14:solidFill>
          </w14:textFill>
        </w:rPr>
        <w:t>到场</w:t>
      </w:r>
      <w:r>
        <w:rPr>
          <w:rFonts w:hint="eastAsia" w:ascii="Arial" w:hAnsi="Arial" w:cs="Arial"/>
          <w:bCs/>
          <w:color w:val="000000" w:themeColor="text1"/>
          <w:szCs w:val="21"/>
          <w:highlight w:val="none"/>
          <w14:textFill>
            <w14:solidFill>
              <w14:schemeClr w14:val="tx1"/>
            </w14:solidFill>
          </w14:textFill>
        </w:rPr>
        <w:t>，按缺勤扣除人民币2000元/次/人。</w:t>
      </w:r>
    </w:p>
    <w:p w14:paraId="0F5DF8BA">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养护单位未履行工作过程中“定车”原则，未经采购人同意更换车辆每次处人民币2000元的违约金。</w:t>
      </w:r>
    </w:p>
    <w:p w14:paraId="24A3499E">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养护单位未履行工作过程中“定时”原则，若采购人抽查属实的，每次处人民币1000元的违约金。</w:t>
      </w:r>
    </w:p>
    <w:p w14:paraId="36713238">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经采购人抽查常备设施设备及紧急抢修物资等缺失的，每发现一次处人民币1000元的违约金。</w:t>
      </w:r>
    </w:p>
    <w:p w14:paraId="04CE7400">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养护单位未及时、准确地执行采购人工作指令的，每发现一次处人民币5000元/次的违约金。</w:t>
      </w:r>
    </w:p>
    <w:p w14:paraId="35B6F926">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养护要求未达到招标文件基本要求的，每发现一项不符合标准处扣人民币1000元的违约金。</w:t>
      </w:r>
    </w:p>
    <w:p w14:paraId="7EED6F26">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养护质量未达到各项养护质量验收标准的，每发现一项不符合标准处扣人民币1000元的违约金，同时养护单位在接到采购人整改通知后立即无偿返工。</w:t>
      </w:r>
    </w:p>
    <w:p w14:paraId="6090F4D6">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在工程量审查、签证过程中，每发现养护单位上报工程量超过实际工程量15%时，直接扣除虚报工程量部分，并对养护单位进行处罚，第一次处人民币1000元的违约金，第二次处人民币5000元的违约金，第三次处人民币10000元的违约金，第四次采购人有权单方终止合同，扣除费用直接从当月养护费用中扣除。</w:t>
      </w:r>
    </w:p>
    <w:p w14:paraId="50378E20">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养护单位如因自身人员出现伤亡事故、造成较大影响的，由养护单位在自行处理好伤亡事故之后，每次处50000元的违约金且采购人有权单方终止合同。</w:t>
      </w:r>
    </w:p>
    <w:p w14:paraId="10712B78">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养护过程中，养护单位未做好临时围挡工作或因围挡封闭或警示不到位，造成过往车辆或行人伤害的，由养护单位承担全部责任，在自行处理有关赔偿事项后，对养护单位每次处以10000元的违约金。</w:t>
      </w:r>
    </w:p>
    <w:p w14:paraId="465A67FF">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养护单位未按照采购人要求做好养护资料的，每发现一次处人民币500元的违约金，养护单位在接到采购人整改通知一周内完善内业资料。</w:t>
      </w:r>
    </w:p>
    <w:p w14:paraId="1C44CD14">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对于因养护单位养护的市政设施受损而被市民投诉，经采购人核实确认后，每次处人民币1000元的违约金，如被媒体曝光或造成恶劣影响的，经采购人核实确认后，第一次处人民币2500元的违约金，第二次处人民币5000元的违约金，第三次处人民币10000元的违约金，以此类推。</w:t>
      </w:r>
    </w:p>
    <w:p w14:paraId="41ECDD02">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按有关规定做好文明施工、安全施工的，每发现一起，处人民币1000元的违约金，因野蛮施工造成不良社会影响的，每发现一起，处人民币5000元的违约金，因文明施工、安全施工不到位造成安全生产事故的，每发现一起，处人民币10000元的违约金并承担全部责任。</w:t>
      </w:r>
    </w:p>
    <w:p w14:paraId="479D80B3">
      <w:pPr>
        <w:widowControl/>
        <w:numPr>
          <w:ilvl w:val="0"/>
          <w:numId w:val="2"/>
        </w:numPr>
        <w:autoSpaceDE w:val="0"/>
        <w:autoSpaceDN w:val="0"/>
        <w:spacing w:line="360" w:lineRule="auto"/>
        <w:textAlignment w:val="bottom"/>
        <w:rPr>
          <w:rFonts w:hint="eastAsia" w:ascii="Arial" w:hAnsi="Arial"/>
          <w:b/>
          <w:bCs/>
          <w:color w:val="000000" w:themeColor="text1"/>
          <w:highlight w:val="none"/>
          <w14:textFill>
            <w14:solidFill>
              <w14:schemeClr w14:val="tx1"/>
            </w14:solidFill>
          </w14:textFill>
        </w:rPr>
      </w:pPr>
      <w:r>
        <w:rPr>
          <w:rFonts w:hint="eastAsia" w:ascii="Arial" w:hAnsi="Arial"/>
          <w:b/>
          <w:bCs/>
          <w:color w:val="000000" w:themeColor="text1"/>
          <w:highlight w:val="none"/>
          <w14:textFill>
            <w14:solidFill>
              <w14:schemeClr w14:val="tx1"/>
            </w14:solidFill>
          </w14:textFill>
        </w:rPr>
        <w:t>人员配置：</w:t>
      </w:r>
    </w:p>
    <w:p w14:paraId="3D028900">
      <w:pPr>
        <w:widowControl/>
        <w:numPr>
          <w:ilvl w:val="0"/>
          <w:numId w:val="14"/>
        </w:numPr>
        <w:autoSpaceDE w:val="0"/>
        <w:autoSpaceDN w:val="0"/>
        <w:spacing w:line="360" w:lineRule="auto"/>
        <w:textAlignment w:val="bottom"/>
        <w:rPr>
          <w:rFonts w:hint="eastAsia" w:ascii="Arial" w:hAnsi="Arial"/>
          <w:bCs/>
          <w:color w:val="000000" w:themeColor="text1"/>
          <w:szCs w:val="21"/>
          <w:highlight w:val="none"/>
          <w14:textFill>
            <w14:solidFill>
              <w14:schemeClr w14:val="tx1"/>
            </w14:solidFill>
          </w14:textFill>
        </w:rPr>
      </w:pPr>
      <w:r>
        <w:rPr>
          <w:rFonts w:hint="eastAsia" w:ascii="Arial" w:hAnsi="Arial"/>
          <w:bCs/>
          <w:color w:val="000000" w:themeColor="text1"/>
          <w:szCs w:val="21"/>
          <w:highlight w:val="none"/>
          <w14:textFill>
            <w14:solidFill>
              <w14:schemeClr w14:val="tx1"/>
            </w14:solidFill>
          </w14:textFill>
        </w:rPr>
        <w:t>针对本项目，供应商成立项目部。项目部由常备人员及养护作业人员组成。</w:t>
      </w:r>
    </w:p>
    <w:p w14:paraId="2B20908D">
      <w:pPr>
        <w:widowControl/>
        <w:autoSpaceDE w:val="0"/>
        <w:autoSpaceDN w:val="0"/>
        <w:spacing w:line="360" w:lineRule="auto"/>
        <w:ind w:left="400"/>
        <w:textAlignment w:val="bottom"/>
        <w:rPr>
          <w:rFonts w:hint="eastAsia" w:ascii="Arial" w:hAnsi="Arial"/>
          <w:b/>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Arial" w:hAnsi="Arial"/>
          <w:b/>
          <w:bCs/>
          <w:color w:val="000000" w:themeColor="text1"/>
          <w:szCs w:val="21"/>
          <w:highlight w:val="none"/>
          <w14:textFill>
            <w14:solidFill>
              <w14:schemeClr w14:val="tx1"/>
            </w14:solidFill>
          </w14:textFill>
        </w:rPr>
        <w:t>1）常</w:t>
      </w:r>
      <w:r>
        <w:rPr>
          <w:rFonts w:hint="eastAsia" w:ascii="Arial" w:hAnsi="Arial"/>
          <w:b/>
          <w:color w:val="000000" w:themeColor="text1"/>
          <w:szCs w:val="21"/>
          <w:highlight w:val="none"/>
          <w14:textFill>
            <w14:solidFill>
              <w14:schemeClr w14:val="tx1"/>
            </w14:solidFill>
          </w14:textFill>
        </w:rPr>
        <w:t>备人员（含巡查人员）：</w:t>
      </w:r>
    </w:p>
    <w:p w14:paraId="5BF13332">
      <w:pPr>
        <w:widowControl/>
        <w:autoSpaceDE w:val="0"/>
        <w:autoSpaceDN w:val="0"/>
        <w:spacing w:line="360" w:lineRule="auto"/>
        <w:ind w:firstLine="420" w:firstLineChars="200"/>
        <w:textAlignment w:val="bottom"/>
        <w:rPr>
          <w:rFonts w:hint="eastAsia" w:ascii="Arial" w:hAnsi="Arial"/>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项目经理：供应商拟派项目经理1名。项目经理具有二级及以上注册</w:t>
      </w:r>
      <w:r>
        <w:rPr>
          <w:rFonts w:hint="eastAsia" w:ascii="Arial" w:hAnsi="Arial"/>
          <w:color w:val="000000" w:themeColor="text1"/>
          <w:szCs w:val="21"/>
          <w:highlight w:val="none"/>
          <w14:textFill>
            <w14:solidFill>
              <w14:schemeClr w14:val="tx1"/>
            </w14:solidFill>
          </w14:textFill>
        </w:rPr>
        <w:t>建造师同时具有有效</w:t>
      </w:r>
      <w:r>
        <w:rPr>
          <w:rFonts w:ascii="Arial" w:hAnsi="Arial"/>
          <w:color w:val="000000" w:themeColor="text1"/>
          <w:szCs w:val="21"/>
          <w:highlight w:val="none"/>
          <w14:textFill>
            <w14:solidFill>
              <w14:schemeClr w14:val="tx1"/>
            </w14:solidFill>
          </w14:textFill>
        </w:rPr>
        <w:t>的</w:t>
      </w:r>
      <w:r>
        <w:rPr>
          <w:rFonts w:hint="eastAsia" w:ascii="Arial" w:hAnsi="Arial"/>
          <w:color w:val="000000" w:themeColor="text1"/>
          <w:szCs w:val="21"/>
          <w:highlight w:val="none"/>
          <w14:textFill>
            <w14:solidFill>
              <w14:schemeClr w14:val="tx1"/>
            </w14:solidFill>
          </w14:textFill>
        </w:rPr>
        <w:t>安全生产考核合格证书（B证）资格且注册专业为市政公用工程。项目经理为供应商现有的正式在职员工，投标文件中提供拟投入本项目经理的执业资格证书复印件、安全生产考核合格证书（B证）复印件，以上内容均加盖公章。</w:t>
      </w:r>
    </w:p>
    <w:p w14:paraId="11BD9563">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养管人员：质量安全员1名，施工员（联络人）1名，资料员1名，</w:t>
      </w:r>
      <w:r>
        <w:rPr>
          <w:rFonts w:hint="eastAsia" w:ascii="Arial" w:hAnsi="Arial"/>
          <w:color w:val="000000" w:themeColor="text1"/>
          <w:szCs w:val="21"/>
          <w:highlight w:val="none"/>
          <w14:textFill>
            <w14:solidFill>
              <w14:schemeClr w14:val="tx1"/>
            </w14:solidFill>
          </w14:textFill>
        </w:rPr>
        <w:t>其它养管人员（含巡查人员）6名</w:t>
      </w:r>
      <w:r>
        <w:rPr>
          <w:rFonts w:hint="eastAsia" w:ascii="Arial" w:hAnsi="Arial" w:cs="Arial"/>
          <w:bCs/>
          <w:color w:val="000000" w:themeColor="text1"/>
          <w:szCs w:val="21"/>
          <w:highlight w:val="none"/>
          <w14:textFill>
            <w14:solidFill>
              <w14:schemeClr w14:val="tx1"/>
            </w14:solidFill>
          </w14:textFill>
        </w:rPr>
        <w:t>。</w:t>
      </w:r>
    </w:p>
    <w:p w14:paraId="545D8D79">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上述人员数量为最低配置要求，供应商可根据自身情况酌情增加，人员为供应商现有的正式在职员工，投标文件中提供拟上述人员开标前近三个月供应商为其所缴纳社保证明（由社保部门出具并盖章的社保证明为准），以上内容均加盖公章。</w:t>
      </w:r>
    </w:p>
    <w:p w14:paraId="622BA8B6">
      <w:pPr>
        <w:widowControl/>
        <w:autoSpaceDE w:val="0"/>
        <w:autoSpaceDN w:val="0"/>
        <w:spacing w:line="360" w:lineRule="auto"/>
        <w:ind w:firstLine="420" w:firstLineChars="200"/>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2）养护作业人员：</w:t>
      </w:r>
    </w:p>
    <w:p w14:paraId="7C47EB8B">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由供应商自行配置。</w:t>
      </w:r>
    </w:p>
    <w:p w14:paraId="6D929FBB">
      <w:pPr>
        <w:widowControl/>
        <w:numPr>
          <w:ilvl w:val="0"/>
          <w:numId w:val="2"/>
        </w:numPr>
        <w:autoSpaceDE w:val="0"/>
        <w:autoSpaceDN w:val="0"/>
        <w:spacing w:line="360" w:lineRule="auto"/>
        <w:textAlignment w:val="bottom"/>
        <w:rPr>
          <w:rFonts w:hint="eastAsia" w:ascii="Arial" w:hAnsi="Arial"/>
          <w:b/>
          <w:bCs/>
          <w:color w:val="000000" w:themeColor="text1"/>
          <w:highlight w:val="none"/>
          <w14:textFill>
            <w14:solidFill>
              <w14:schemeClr w14:val="tx1"/>
            </w14:solidFill>
          </w14:textFill>
        </w:rPr>
      </w:pPr>
      <w:r>
        <w:rPr>
          <w:rFonts w:hint="eastAsia" w:ascii="Arial" w:hAnsi="Arial"/>
          <w:b/>
          <w:bCs/>
          <w:color w:val="000000" w:themeColor="text1"/>
          <w:highlight w:val="none"/>
          <w14:textFill>
            <w14:solidFill>
              <w14:schemeClr w14:val="tx1"/>
            </w14:solidFill>
          </w14:textFill>
        </w:rPr>
        <w:t>车辆配置：</w:t>
      </w:r>
    </w:p>
    <w:p w14:paraId="22F9DB9C">
      <w:pPr>
        <w:widowControl/>
        <w:autoSpaceDE w:val="0"/>
        <w:autoSpaceDN w:val="0"/>
        <w:spacing w:line="360" w:lineRule="auto"/>
        <w:ind w:firstLine="42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本项目车辆配置不少于本章第3条“服务要求”的第3款“常备设施设备及紧急抢修物资”中第1项“常备巡查车辆”和第2项“常备作业车辆”要求。</w:t>
      </w:r>
      <w:bookmarkStart w:id="62" w:name="_Hlk108680986"/>
      <w:r>
        <w:rPr>
          <w:rFonts w:hint="eastAsia" w:ascii="Arial" w:hAnsi="Arial" w:cs="Arial"/>
          <w:bCs/>
          <w:color w:val="000000" w:themeColor="text1"/>
          <w:szCs w:val="21"/>
          <w:highlight w:val="none"/>
          <w14:textFill>
            <w14:solidFill>
              <w14:schemeClr w14:val="tx1"/>
            </w14:solidFill>
          </w14:textFill>
        </w:rPr>
        <w:t>上述车辆由供应商自行解决，</w:t>
      </w:r>
      <w:r>
        <w:rPr>
          <w:rFonts w:hint="eastAsia" w:ascii="Arial" w:hAnsi="Arial"/>
          <w:color w:val="000000" w:themeColor="text1"/>
          <w:szCs w:val="21"/>
          <w:highlight w:val="none"/>
          <w14:textFill>
            <w14:solidFill>
              <w14:schemeClr w14:val="tx1"/>
            </w14:solidFill>
          </w14:textFill>
        </w:rPr>
        <w:t>若为自有的，投标文件中提供车辆购置税发票复印件、车辆行驶证复印件，均加盖公章；若为租赁的，投标文件中提供租赁合同复印件、车辆所属人购置税发票复印件及车辆行驶证复印件，均加盖公章。</w:t>
      </w:r>
      <w:bookmarkEnd w:id="62"/>
    </w:p>
    <w:p w14:paraId="35A016DF">
      <w:pPr>
        <w:widowControl/>
        <w:numPr>
          <w:ilvl w:val="0"/>
          <w:numId w:val="2"/>
        </w:numPr>
        <w:autoSpaceDE w:val="0"/>
        <w:autoSpaceDN w:val="0"/>
        <w:spacing w:line="360" w:lineRule="auto"/>
        <w:textAlignment w:val="bottom"/>
        <w:rPr>
          <w:rFonts w:hint="eastAsia" w:ascii="Arial" w:hAnsi="Arial"/>
          <w:b/>
          <w:color w:val="000000" w:themeColor="text1"/>
          <w:highlight w:val="none"/>
          <w14:textFill>
            <w14:solidFill>
              <w14:schemeClr w14:val="tx1"/>
            </w14:solidFill>
          </w14:textFill>
        </w:rPr>
      </w:pPr>
      <w:r>
        <w:rPr>
          <w:rFonts w:hint="eastAsia" w:ascii="Arial" w:hAnsi="Arial"/>
          <w:b/>
          <w:color w:val="000000" w:themeColor="text1"/>
          <w:highlight w:val="none"/>
          <w14:textFill>
            <w14:solidFill>
              <w14:schemeClr w14:val="tx1"/>
            </w14:solidFill>
          </w14:textFill>
        </w:rPr>
        <w:t>经费支付及考核：</w:t>
      </w:r>
    </w:p>
    <w:p w14:paraId="3017D86B">
      <w:pPr>
        <w:widowControl/>
        <w:numPr>
          <w:ilvl w:val="0"/>
          <w:numId w:val="15"/>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经费按月度支付，支付金额分为</w:t>
      </w:r>
      <w:r>
        <w:rPr>
          <w:rFonts w:hint="eastAsia" w:ascii="Arial" w:hAnsi="Arial" w:cs="Arial"/>
          <w:bCs/>
          <w:color w:val="000000" w:themeColor="text1"/>
          <w:szCs w:val="21"/>
          <w:highlight w:val="none"/>
          <w:lang w:val="en-US" w:eastAsia="zh-CN"/>
          <w14:textFill>
            <w14:solidFill>
              <w14:schemeClr w14:val="tx1"/>
            </w14:solidFill>
          </w14:textFill>
        </w:rPr>
        <w:t>两</w:t>
      </w:r>
      <w:r>
        <w:rPr>
          <w:rFonts w:hint="eastAsia" w:ascii="Arial" w:hAnsi="Arial" w:cs="Arial"/>
          <w:bCs/>
          <w:color w:val="000000" w:themeColor="text1"/>
          <w:szCs w:val="21"/>
          <w:highlight w:val="none"/>
          <w14:textFill>
            <w14:solidFill>
              <w14:schemeClr w14:val="tx1"/>
            </w14:solidFill>
          </w14:textFill>
        </w:rPr>
        <w:t>部分1、合同签订且满足实施条件后支付合同款项的40%作为预付款；2、剩余合同金额按实际发生工程量每月按实结算。</w:t>
      </w:r>
    </w:p>
    <w:p w14:paraId="5DFB4531">
      <w:pPr>
        <w:widowControl/>
        <w:numPr>
          <w:ilvl w:val="0"/>
          <w:numId w:val="15"/>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采购人将在每月会同有关部门或</w:t>
      </w:r>
      <w:r>
        <w:rPr>
          <w:rFonts w:ascii="Arial" w:hAnsi="Arial" w:cs="Arial"/>
          <w:bCs/>
          <w:color w:val="000000" w:themeColor="text1"/>
          <w:szCs w:val="21"/>
          <w:highlight w:val="none"/>
          <w14:textFill>
            <w14:solidFill>
              <w14:schemeClr w14:val="tx1"/>
            </w14:solidFill>
          </w14:textFill>
        </w:rPr>
        <w:t>第三方机构</w:t>
      </w:r>
      <w:r>
        <w:rPr>
          <w:rFonts w:hint="eastAsia" w:ascii="Arial" w:hAnsi="Arial" w:cs="Arial"/>
          <w:bCs/>
          <w:color w:val="000000" w:themeColor="text1"/>
          <w:szCs w:val="21"/>
          <w:highlight w:val="none"/>
          <w14:textFill>
            <w14:solidFill>
              <w14:schemeClr w14:val="tx1"/>
            </w14:solidFill>
          </w14:textFill>
        </w:rPr>
        <w:t>对养护单位进行日常考核及月现场考核：</w:t>
      </w:r>
    </w:p>
    <w:p w14:paraId="3E48D075">
      <w:pPr>
        <w:numPr>
          <w:ilvl w:val="0"/>
          <w:numId w:val="16"/>
        </w:num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日常考核得分=在</w:t>
      </w:r>
      <w:r>
        <w:rPr>
          <w:rFonts w:ascii="宋体" w:hAnsi="宋体"/>
          <w:color w:val="000000" w:themeColor="text1"/>
          <w:szCs w:val="21"/>
          <w:highlight w:val="none"/>
          <w14:textFill>
            <w14:solidFill>
              <w14:schemeClr w14:val="tx1"/>
            </w14:solidFill>
          </w14:textFill>
        </w:rPr>
        <w:t>月周期内</w:t>
      </w:r>
      <w:r>
        <w:rPr>
          <w:rFonts w:hint="eastAsia" w:ascii="宋体" w:hAnsi="宋体"/>
          <w:color w:val="000000" w:themeColor="text1"/>
          <w:szCs w:val="21"/>
          <w:highlight w:val="none"/>
          <w14:textFill>
            <w14:solidFill>
              <w14:schemeClr w14:val="tx1"/>
            </w14:solidFill>
          </w14:textFill>
        </w:rPr>
        <w:t>所有</w:t>
      </w:r>
      <w:r>
        <w:rPr>
          <w:rFonts w:ascii="宋体" w:hAnsi="宋体"/>
          <w:color w:val="000000" w:themeColor="text1"/>
          <w:szCs w:val="21"/>
          <w:highlight w:val="none"/>
          <w14:textFill>
            <w14:solidFill>
              <w14:schemeClr w14:val="tx1"/>
            </w14:solidFill>
          </w14:textFill>
        </w:rPr>
        <w:t>养护项目</w:t>
      </w:r>
      <w:r>
        <w:rPr>
          <w:rFonts w:hint="eastAsia" w:ascii="宋体" w:hAnsi="宋体"/>
          <w:color w:val="000000" w:themeColor="text1"/>
          <w:szCs w:val="21"/>
          <w:highlight w:val="none"/>
          <w14:textFill>
            <w14:solidFill>
              <w14:schemeClr w14:val="tx1"/>
            </w14:solidFill>
          </w14:textFill>
        </w:rPr>
        <w:t>考核</w:t>
      </w:r>
      <w:r>
        <w:rPr>
          <w:rFonts w:ascii="宋体" w:hAnsi="宋体"/>
          <w:color w:val="000000" w:themeColor="text1"/>
          <w:szCs w:val="21"/>
          <w:highlight w:val="none"/>
          <w14:textFill>
            <w14:solidFill>
              <w14:schemeClr w14:val="tx1"/>
            </w14:solidFill>
          </w14:textFill>
        </w:rPr>
        <w:t>完成的最终得分。</w:t>
      </w:r>
    </w:p>
    <w:p w14:paraId="7A996E56">
      <w:pPr>
        <w:numPr>
          <w:ilvl w:val="0"/>
          <w:numId w:val="16"/>
        </w:num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月现场考核得分=所有考核养护项目平均分。</w:t>
      </w:r>
    </w:p>
    <w:p w14:paraId="51950AB6">
      <w:pPr>
        <w:numPr>
          <w:ilvl w:val="0"/>
          <w:numId w:val="16"/>
        </w:num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综合考核分在90分（含）以上的为优秀，应付金额为全额月度养护经费；</w:t>
      </w:r>
    </w:p>
    <w:p w14:paraId="4569CB78">
      <w:pPr>
        <w:numPr>
          <w:ilvl w:val="0"/>
          <w:numId w:val="16"/>
        </w:num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综合考核分在80（含）~90分的为良好，每低于90分1分扣除月度养护经费的4%；</w:t>
      </w:r>
    </w:p>
    <w:p w14:paraId="0FBC9736">
      <w:pPr>
        <w:numPr>
          <w:ilvl w:val="0"/>
          <w:numId w:val="16"/>
        </w:num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综合考核分在80分以下的为不合格，应付金额为核拨全额月度养护经费的50%，如连续两个月度不合格，采购人有权单方解除合同。</w:t>
      </w:r>
    </w:p>
    <w:p w14:paraId="5A0191BE">
      <w:pPr>
        <w:numPr>
          <w:ilvl w:val="0"/>
          <w:numId w:val="16"/>
        </w:numPr>
        <w:spacing w:line="360" w:lineRule="auto"/>
        <w:rPr>
          <w:rFonts w:ascii="Arial" w:hAnsi="Arial"/>
          <w:bCs/>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养护单位在当月养护工作中有获得上级主管部门或行业通报表扬或在迎检应急等任务中表现突出的，则采</w:t>
      </w:r>
      <w:r>
        <w:rPr>
          <w:rFonts w:hint="eastAsia" w:ascii="Arial" w:hAnsi="Arial"/>
          <w:bCs/>
          <w:color w:val="000000" w:themeColor="text1"/>
          <w:szCs w:val="21"/>
          <w:highlight w:val="none"/>
          <w14:textFill>
            <w14:solidFill>
              <w14:schemeClr w14:val="tx1"/>
            </w14:solidFill>
          </w14:textFill>
        </w:rPr>
        <w:t>购人可相应的在当月考核中予以加分。</w:t>
      </w:r>
    </w:p>
    <w:p w14:paraId="6AB0ED08">
      <w:pPr>
        <w:numPr>
          <w:ilvl w:val="0"/>
          <w:numId w:val="16"/>
        </w:num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合同履行期间，养护单位承诺的投标报价不因市场因素和政策因素的变动而调整。</w:t>
      </w:r>
    </w:p>
    <w:p w14:paraId="3E348B17">
      <w:pPr>
        <w:numPr>
          <w:ilvl w:val="0"/>
          <w:numId w:val="16"/>
        </w:numPr>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合同履行期间，如发生不可抗力或自然灾害而造成设施缺损或因规划建设需要而需移位、拆除的，其维护或拆迁所需的费用以双方签证认可的联系单为准，产生的费用原则上计入发生期间所对应的月份中。</w:t>
      </w:r>
    </w:p>
    <w:p w14:paraId="31C59F0D">
      <w:pPr>
        <w:widowControl/>
        <w:numPr>
          <w:ilvl w:val="0"/>
          <w:numId w:val="0"/>
        </w:numPr>
        <w:autoSpaceDE w:val="0"/>
        <w:autoSpaceDN w:val="0"/>
        <w:spacing w:line="360" w:lineRule="auto"/>
        <w:textAlignment w:val="bottom"/>
        <w:rPr>
          <w:rFonts w:hint="eastAsia" w:ascii="Arial" w:hAnsi="Arial"/>
          <w:b/>
          <w:color w:val="000000" w:themeColor="text1"/>
          <w:highlight w:val="none"/>
          <w14:textFill>
            <w14:solidFill>
              <w14:schemeClr w14:val="tx1"/>
            </w14:solidFill>
          </w14:textFill>
        </w:rPr>
      </w:pPr>
      <w:r>
        <w:rPr>
          <w:rFonts w:hint="eastAsia" w:ascii="Arial" w:hAnsi="Arial"/>
          <w:b/>
          <w:color w:val="000000" w:themeColor="text1"/>
          <w:highlight w:val="none"/>
          <w:lang w:eastAsia="zh-CN"/>
          <w14:textFill>
            <w14:solidFill>
              <w14:schemeClr w14:val="tx1"/>
            </w14:solidFill>
          </w14:textFill>
        </w:rPr>
        <w:t>（</w:t>
      </w:r>
      <w:r>
        <w:rPr>
          <w:rFonts w:hint="eastAsia" w:ascii="Arial" w:hAnsi="Arial"/>
          <w:b/>
          <w:color w:val="000000" w:themeColor="text1"/>
          <w:highlight w:val="none"/>
          <w:lang w:val="en-US" w:eastAsia="zh-CN"/>
          <w14:textFill>
            <w14:solidFill>
              <w14:schemeClr w14:val="tx1"/>
            </w14:solidFill>
          </w14:textFill>
        </w:rPr>
        <w:t>三</w:t>
      </w:r>
      <w:r>
        <w:rPr>
          <w:rFonts w:hint="eastAsia" w:ascii="Arial" w:hAnsi="Arial"/>
          <w:b/>
          <w:color w:val="000000" w:themeColor="text1"/>
          <w:highlight w:val="none"/>
          <w:lang w:eastAsia="zh-CN"/>
          <w14:textFill>
            <w14:solidFill>
              <w14:schemeClr w14:val="tx1"/>
            </w14:solidFill>
          </w14:textFill>
        </w:rPr>
        <w:t>）</w:t>
      </w:r>
      <w:r>
        <w:rPr>
          <w:rFonts w:hint="eastAsia" w:ascii="Arial" w:hAnsi="Arial"/>
          <w:b/>
          <w:color w:val="000000" w:themeColor="text1"/>
          <w:highlight w:val="none"/>
          <w14:textFill>
            <w14:solidFill>
              <w14:schemeClr w14:val="tx1"/>
            </w14:solidFill>
          </w14:textFill>
        </w:rPr>
        <w:t>采购标的的验收标准</w:t>
      </w:r>
    </w:p>
    <w:p w14:paraId="78EAD0D7">
      <w:pPr>
        <w:widowControl/>
        <w:numPr>
          <w:ilvl w:val="0"/>
          <w:numId w:val="17"/>
        </w:numPr>
        <w:autoSpaceDE w:val="0"/>
        <w:autoSpaceDN w:val="0"/>
        <w:spacing w:line="360" w:lineRule="auto"/>
        <w:textAlignment w:val="bottom"/>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总体验收标准：城市道路养护技术规程（DB3302/T 1069-2016）、城市桥梁养护技术规程（DB3302/T 1082-2017）、《消防给水及消火栓系统技术规范》GB 50974-2014</w:t>
      </w:r>
    </w:p>
    <w:p w14:paraId="17F4D846">
      <w:pPr>
        <w:spacing w:line="360" w:lineRule="auto"/>
        <w:ind w:firstLine="420" w:firstLineChars="200"/>
        <w:rPr>
          <w:rFonts w:ascii="宋体" w:hAnsi="宋体" w:cs="宋体"/>
          <w:color w:val="000000" w:themeColor="text1"/>
          <w:szCs w:val="21"/>
          <w:highlight w:val="none"/>
          <w14:textFill>
            <w14:solidFill>
              <w14:schemeClr w14:val="tx1"/>
            </w14:solidFill>
          </w14:textFill>
        </w:rPr>
        <w:sectPr>
          <w:headerReference r:id="rId10" w:type="default"/>
          <w:pgSz w:w="11907" w:h="16840"/>
          <w:pgMar w:top="1276" w:right="1701" w:bottom="1276" w:left="1701" w:header="720" w:footer="720" w:gutter="0"/>
          <w:cols w:space="720" w:num="1"/>
          <w:docGrid w:type="linesAndChars" w:linePitch="285" w:charSpace="0"/>
        </w:sectPr>
      </w:pPr>
      <w:r>
        <w:rPr>
          <w:rFonts w:hint="eastAsia" w:ascii="宋体" w:hAnsi="宋体" w:cs="宋体"/>
          <w:b/>
          <w:color w:val="000000" w:themeColor="text1"/>
          <w:highlight w:val="none"/>
          <w14:textFill>
            <w14:solidFill>
              <w14:schemeClr w14:val="tx1"/>
            </w14:solidFill>
          </w14:textFill>
        </w:rPr>
        <w:t>考核评分表：见招标文件附件，具体以采购人最终提供的为准</w:t>
      </w:r>
      <w:r>
        <w:rPr>
          <w:rFonts w:hint="eastAsia" w:ascii="宋体" w:hAnsi="宋体" w:cs="宋体"/>
          <w:color w:val="000000" w:themeColor="text1"/>
          <w:szCs w:val="21"/>
          <w:highlight w:val="none"/>
          <w14:textFill>
            <w14:solidFill>
              <w14:schemeClr w14:val="tx1"/>
            </w14:solidFill>
          </w14:textFill>
        </w:rPr>
        <w:t>。</w:t>
      </w:r>
      <w:bookmarkEnd w:id="54"/>
    </w:p>
    <w:p w14:paraId="3A02D422">
      <w:pPr>
        <w:pStyle w:val="3"/>
        <w:spacing w:beforeLines="0" w:afterLines="0" w:line="360" w:lineRule="auto"/>
        <w:rPr>
          <w:rFonts w:ascii="宋体" w:hAnsi="宋体"/>
          <w:color w:val="000000" w:themeColor="text1"/>
          <w:sz w:val="32"/>
          <w:szCs w:val="32"/>
          <w:highlight w:val="none"/>
          <w14:textFill>
            <w14:solidFill>
              <w14:schemeClr w14:val="tx1"/>
            </w14:solidFill>
          </w14:textFill>
        </w:rPr>
      </w:pPr>
      <w:bookmarkStart w:id="63" w:name="_Toc298230958"/>
      <w:bookmarkStart w:id="64" w:name="_Toc14705"/>
      <w:r>
        <w:rPr>
          <w:rFonts w:hint="eastAsia" w:ascii="宋体" w:hAnsi="宋体"/>
          <w:color w:val="000000" w:themeColor="text1"/>
          <w:sz w:val="32"/>
          <w:szCs w:val="32"/>
          <w:highlight w:val="none"/>
          <w14:textFill>
            <w14:solidFill>
              <w14:schemeClr w14:val="tx1"/>
            </w14:solidFill>
          </w14:textFill>
        </w:rPr>
        <w:t>第三部分  投标资料表</w:t>
      </w:r>
      <w:bookmarkEnd w:id="63"/>
      <w:bookmarkEnd w:id="64"/>
    </w:p>
    <w:p w14:paraId="4FF9A41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本部分关于本次招标项目的具体要求是对 “投标人须知</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和</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合同格式</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的相关条款的补充和修改，如有矛盾，应以此为准。</w:t>
      </w:r>
    </w:p>
    <w:tbl>
      <w:tblPr>
        <w:tblStyle w:val="35"/>
        <w:tblW w:w="8613" w:type="dxa"/>
        <w:tblInd w:w="0" w:type="dxa"/>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7512"/>
      </w:tblGrid>
      <w:tr w14:paraId="7A756CF9">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40" w:hRule="atLeast"/>
          <w:tblHeader/>
        </w:trPr>
        <w:tc>
          <w:tcPr>
            <w:tcW w:w="1101" w:type="dxa"/>
            <w:vAlign w:val="center"/>
          </w:tcPr>
          <w:p w14:paraId="4D606C8E">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条款号</w:t>
            </w:r>
          </w:p>
        </w:tc>
        <w:tc>
          <w:tcPr>
            <w:tcW w:w="7512" w:type="dxa"/>
            <w:vAlign w:val="center"/>
          </w:tcPr>
          <w:p w14:paraId="6C6CF3C4">
            <w:pPr>
              <w:spacing w:before="143" w:beforeLines="50" w:line="360" w:lineRule="auto"/>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条款内容</w:t>
            </w:r>
          </w:p>
        </w:tc>
      </w:tr>
      <w:tr w14:paraId="786D475B">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Merge w:val="restart"/>
            <w:vAlign w:val="center"/>
          </w:tcPr>
          <w:p w14:paraId="05B7BFA5">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w:t>
            </w:r>
          </w:p>
        </w:tc>
        <w:tc>
          <w:tcPr>
            <w:tcW w:w="7512" w:type="dxa"/>
            <w:vAlign w:val="center"/>
          </w:tcPr>
          <w:p w14:paraId="5EC51A5A">
            <w:pPr>
              <w:spacing w:line="360" w:lineRule="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采购人：</w:t>
            </w:r>
            <w:r>
              <w:rPr>
                <w:rFonts w:hint="eastAsia" w:ascii="宋体" w:hAnsi="宋体"/>
                <w:color w:val="000000" w:themeColor="text1"/>
                <w:highlight w:val="none"/>
                <w:lang w:eastAsia="zh-CN"/>
                <w14:textFill>
                  <w14:solidFill>
                    <w14:schemeClr w14:val="tx1"/>
                  </w14:solidFill>
                </w14:textFill>
              </w:rPr>
              <w:t>宁波市北仑区人民政府大榭街道办事处</w:t>
            </w:r>
          </w:p>
          <w:p w14:paraId="715561F5">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地  址：</w:t>
            </w:r>
            <w:r>
              <w:rPr>
                <w:rFonts w:hint="eastAsia" w:ascii="宋体" w:hAnsi="宋体"/>
                <w:color w:val="000000" w:themeColor="text1"/>
                <w:highlight w:val="none"/>
                <w14:textFill>
                  <w14:solidFill>
                    <w14:schemeClr w14:val="tx1"/>
                  </w14:solidFill>
                </w14:textFill>
              </w:rPr>
              <w:t>宁波大榭滨海</w:t>
            </w:r>
            <w:r>
              <w:rPr>
                <w:rFonts w:hint="eastAsia" w:ascii="宋体" w:hAnsi="宋体"/>
                <w:color w:val="000000" w:themeColor="text1"/>
                <w:highlight w:val="none"/>
                <w:lang w:val="en-US" w:eastAsia="zh-CN"/>
                <w14:textFill>
                  <w14:solidFill>
                    <w14:schemeClr w14:val="tx1"/>
                  </w14:solidFill>
                </w14:textFill>
              </w:rPr>
              <w:t>南</w:t>
            </w:r>
            <w:r>
              <w:rPr>
                <w:rFonts w:hint="eastAsia" w:ascii="宋体" w:hAnsi="宋体"/>
                <w:color w:val="000000" w:themeColor="text1"/>
                <w:highlight w:val="none"/>
                <w14:textFill>
                  <w14:solidFill>
                    <w14:schemeClr w14:val="tx1"/>
                  </w14:solidFill>
                </w14:textFill>
              </w:rPr>
              <w:t>路</w:t>
            </w:r>
            <w:r>
              <w:rPr>
                <w:rFonts w:hint="eastAsia" w:ascii="宋体" w:hAnsi="宋体"/>
                <w:color w:val="000000" w:themeColor="text1"/>
                <w:highlight w:val="none"/>
                <w:lang w:val="en-US" w:eastAsia="zh-CN"/>
                <w14:textFill>
                  <w14:solidFill>
                    <w14:schemeClr w14:val="tx1"/>
                  </w14:solidFill>
                </w14:textFill>
              </w:rPr>
              <w:t>111</w:t>
            </w:r>
            <w:r>
              <w:rPr>
                <w:rFonts w:hint="eastAsia" w:ascii="宋体" w:hAnsi="宋体"/>
                <w:color w:val="000000" w:themeColor="text1"/>
                <w:highlight w:val="none"/>
                <w14:textFill>
                  <w14:solidFill>
                    <w14:schemeClr w14:val="tx1"/>
                  </w14:solidFill>
                </w14:textFill>
              </w:rPr>
              <w:t>号</w:t>
            </w:r>
          </w:p>
          <w:p w14:paraId="734A4588">
            <w:pPr>
              <w:spacing w:line="360" w:lineRule="auto"/>
              <w:rPr>
                <w:rFonts w:ascii="宋体" w:hAnsi="宋体" w:cs="Arial"/>
                <w:color w:val="000000" w:themeColor="text1"/>
                <w:szCs w:val="2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电</w:t>
            </w:r>
            <w:r>
              <w:rPr>
                <w:rFonts w:hint="eastAsia" w:ascii="宋体" w:hAnsi="宋体" w:cs="Arial"/>
                <w:color w:val="000000" w:themeColor="text1"/>
                <w:szCs w:val="21"/>
                <w:highlight w:val="none"/>
                <w14:textFill>
                  <w14:solidFill>
                    <w14:schemeClr w14:val="tx1"/>
                  </w14:solidFill>
                </w14:textFill>
              </w:rPr>
              <w:t xml:space="preserve">  话：</w:t>
            </w:r>
            <w:r>
              <w:rPr>
                <w:rFonts w:hint="eastAsia" w:ascii="宋体" w:hAnsi="宋体" w:cs="宋体"/>
                <w:color w:val="000000" w:themeColor="text1"/>
                <w:highlight w:val="none"/>
                <w:u w:val="none"/>
                <w14:textFill>
                  <w14:solidFill>
                    <w14:schemeClr w14:val="tx1"/>
                  </w14:solidFill>
                </w14:textFill>
              </w:rPr>
              <w:t>0574-892831</w:t>
            </w:r>
            <w:r>
              <w:rPr>
                <w:rFonts w:hint="eastAsia" w:ascii="宋体" w:hAnsi="宋体" w:cs="宋体"/>
                <w:color w:val="000000" w:themeColor="text1"/>
                <w:highlight w:val="none"/>
                <w:u w:val="none"/>
                <w:lang w:val="en-US" w:eastAsia="zh-CN"/>
                <w14:textFill>
                  <w14:solidFill>
                    <w14:schemeClr w14:val="tx1"/>
                  </w14:solidFill>
                </w14:textFill>
              </w:rPr>
              <w:t>01</w:t>
            </w:r>
          </w:p>
          <w:p w14:paraId="5405B739">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Arial"/>
                <w:color w:val="000000" w:themeColor="text1"/>
                <w:szCs w:val="21"/>
                <w:highlight w:val="none"/>
                <w14:textFill>
                  <w14:solidFill>
                    <w14:schemeClr w14:val="tx1"/>
                  </w14:solidFill>
                </w14:textFill>
              </w:rPr>
              <w:t>联系人：李老师</w:t>
            </w:r>
          </w:p>
        </w:tc>
      </w:tr>
      <w:tr w14:paraId="633433A3">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717" w:hRule="atLeast"/>
        </w:trPr>
        <w:tc>
          <w:tcPr>
            <w:tcW w:w="1101" w:type="dxa"/>
            <w:vMerge w:val="continue"/>
            <w:vAlign w:val="center"/>
          </w:tcPr>
          <w:p w14:paraId="6EDFE1A1">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p>
        </w:tc>
        <w:tc>
          <w:tcPr>
            <w:tcW w:w="7512" w:type="dxa"/>
            <w:vAlign w:val="center"/>
          </w:tcPr>
          <w:p w14:paraId="34BB9D65">
            <w:pPr>
              <w:spacing w:line="360" w:lineRule="auto"/>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采购代理机构名称：宁波国际投资咨询有限公司</w:t>
            </w:r>
          </w:p>
          <w:p w14:paraId="780BA5D1">
            <w:pPr>
              <w:spacing w:line="360" w:lineRule="auto"/>
              <w:rPr>
                <w:rFonts w:ascii="宋体" w:hAnsi="宋体" w:cs="宋体"/>
                <w:bCs/>
                <w:color w:val="000000" w:themeColor="text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地    址：  </w:t>
            </w:r>
            <w:r>
              <w:rPr>
                <w:rFonts w:hint="eastAsia" w:ascii="宋体" w:hAnsi="宋体" w:cs="Arial"/>
                <w:color w:val="000000" w:themeColor="text1"/>
                <w:szCs w:val="21"/>
                <w:highlight w:val="none"/>
                <w14:textFill>
                  <w14:solidFill>
                    <w14:schemeClr w14:val="tx1"/>
                  </w14:solidFill>
                </w14:textFill>
              </w:rPr>
              <w:t>宁波市世纪大道北段555号名汇东方大厦19楼1921室</w:t>
            </w:r>
          </w:p>
          <w:p w14:paraId="00CE74F0">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邮    编：  315040</w:t>
            </w:r>
          </w:p>
          <w:p w14:paraId="58B7E300">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电    话：  </w:t>
            </w:r>
            <w:r>
              <w:rPr>
                <w:rFonts w:hint="eastAsia" w:ascii="宋体" w:hAnsi="宋体" w:cs="宋体"/>
                <w:color w:val="000000" w:themeColor="text1"/>
                <w:szCs w:val="21"/>
                <w:highlight w:val="none"/>
                <w14:textFill>
                  <w14:solidFill>
                    <w14:schemeClr w14:val="tx1"/>
                  </w14:solidFill>
                </w14:textFill>
              </w:rPr>
              <w:t>0574－55717459</w:t>
            </w:r>
          </w:p>
          <w:p w14:paraId="3994784F">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电子邮件：  </w:t>
            </w:r>
            <w:r>
              <w:rPr>
                <w:rFonts w:hint="eastAsia" w:ascii="宋体" w:hAnsi="宋体" w:cs="宋体"/>
                <w:color w:val="000000" w:themeColor="text1"/>
                <w:highlight w:val="none"/>
                <w14:textFill>
                  <w14:solidFill>
                    <w14:schemeClr w14:val="tx1"/>
                  </w14:solidFill>
                </w14:textFill>
              </w:rPr>
              <w:t>287950116@qq.com</w:t>
            </w:r>
          </w:p>
          <w:p w14:paraId="5ED51F99">
            <w:pPr>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联 系 人：  袁航、</w:t>
            </w:r>
            <w:r>
              <w:rPr>
                <w:rFonts w:hint="eastAsia" w:ascii="宋体" w:hAnsi="宋体"/>
                <w:color w:val="000000" w:themeColor="text1"/>
                <w:szCs w:val="21"/>
                <w:highlight w:val="none"/>
                <w:lang w:val="en-US" w:eastAsia="zh-CN"/>
                <w14:textFill>
                  <w14:solidFill>
                    <w14:schemeClr w14:val="tx1"/>
                  </w14:solidFill>
                </w14:textFill>
              </w:rPr>
              <w:t>王雯倩</w:t>
            </w:r>
          </w:p>
        </w:tc>
      </w:tr>
      <w:tr w14:paraId="1D4298E5">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96" w:hRule="atLeast"/>
        </w:trPr>
        <w:tc>
          <w:tcPr>
            <w:tcW w:w="1101" w:type="dxa"/>
            <w:vMerge w:val="continue"/>
            <w:vAlign w:val="center"/>
          </w:tcPr>
          <w:p w14:paraId="05DB816E">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p>
        </w:tc>
        <w:tc>
          <w:tcPr>
            <w:tcW w:w="7512" w:type="dxa"/>
            <w:vAlign w:val="center"/>
          </w:tcPr>
          <w:p w14:paraId="195FAC10">
            <w:pPr>
              <w:adjustRightInd w:val="0"/>
              <w:snapToGrid w:val="0"/>
              <w:spacing w:line="360" w:lineRule="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项目名称：</w:t>
            </w:r>
            <w:r>
              <w:rPr>
                <w:rFonts w:hint="eastAsia" w:asciiTheme="minorEastAsia" w:hAnsiTheme="minorEastAsia" w:eastAsiaTheme="minorEastAsia"/>
                <w:color w:val="000000" w:themeColor="text1"/>
                <w:szCs w:val="21"/>
                <w:highlight w:val="none"/>
                <w:u w:val="single"/>
                <w:lang w:eastAsia="zh-CN"/>
                <w14:textFill>
                  <w14:solidFill>
                    <w14:schemeClr w14:val="tx1"/>
                  </w14:solidFill>
                </w14:textFill>
              </w:rPr>
              <w:t>2025年大榭市政道路及排水管网综合养护项目</w:t>
            </w:r>
          </w:p>
        </w:tc>
      </w:tr>
      <w:tr w14:paraId="15D0EFF0">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5DC63952">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w:t>
            </w:r>
          </w:p>
        </w:tc>
        <w:tc>
          <w:tcPr>
            <w:tcW w:w="7512" w:type="dxa"/>
            <w:vAlign w:val="center"/>
          </w:tcPr>
          <w:p w14:paraId="77A6F9C5">
            <w:pPr>
              <w:spacing w:line="36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招标范围：详见招标文件第二部分“招标项目需求”。</w:t>
            </w:r>
          </w:p>
        </w:tc>
      </w:tr>
      <w:tr w14:paraId="7D891F88">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020C6680">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w:t>
            </w:r>
          </w:p>
        </w:tc>
        <w:tc>
          <w:tcPr>
            <w:tcW w:w="7512" w:type="dxa"/>
            <w:vAlign w:val="center"/>
          </w:tcPr>
          <w:p w14:paraId="4EDBFCB0">
            <w:pPr>
              <w:spacing w:line="36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本项目不允许转包、分包。</w:t>
            </w:r>
          </w:p>
        </w:tc>
      </w:tr>
      <w:tr w14:paraId="063E37EE">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26CC16F2">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4.1</w:t>
            </w:r>
          </w:p>
        </w:tc>
        <w:tc>
          <w:tcPr>
            <w:tcW w:w="7512" w:type="dxa"/>
            <w:vAlign w:val="center"/>
          </w:tcPr>
          <w:p w14:paraId="7FAD9923">
            <w:pPr>
              <w:spacing w:line="36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合格投标人的资格要求（本项目采用资格后审）：详见采购公告“二、申请人的资格要求”                   </w:t>
            </w:r>
          </w:p>
        </w:tc>
      </w:tr>
      <w:tr w14:paraId="5F2DBF96">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38792C2E">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8.1</w:t>
            </w:r>
          </w:p>
        </w:tc>
        <w:tc>
          <w:tcPr>
            <w:tcW w:w="7512" w:type="dxa"/>
            <w:vAlign w:val="center"/>
          </w:tcPr>
          <w:p w14:paraId="561057DD">
            <w:pPr>
              <w:spacing w:line="36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现场考察：不组织</w:t>
            </w:r>
          </w:p>
          <w:p w14:paraId="2CD84B32">
            <w:pPr>
              <w:spacing w:line="36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答疑会：</w:t>
            </w:r>
            <w:r>
              <w:rPr>
                <w:rFonts w:hint="eastAsia" w:ascii="宋体" w:hAnsi="宋体" w:cs="宋体"/>
                <w:color w:val="000000" w:themeColor="text1"/>
                <w:szCs w:val="21"/>
                <w:highlight w:val="none"/>
                <w14:textFill>
                  <w14:solidFill>
                    <w14:schemeClr w14:val="tx1"/>
                  </w14:solidFill>
                </w14:textFill>
              </w:rPr>
              <w:t>不组织</w:t>
            </w:r>
          </w:p>
        </w:tc>
      </w:tr>
      <w:tr w14:paraId="71887A6A">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4D81A029">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9.1</w:t>
            </w:r>
          </w:p>
        </w:tc>
        <w:tc>
          <w:tcPr>
            <w:tcW w:w="7512" w:type="dxa"/>
            <w:vAlign w:val="center"/>
          </w:tcPr>
          <w:p w14:paraId="43932322">
            <w:pPr>
              <w:widowControl/>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投标文件组成：本项目实行网上投标，投标人应准备以下投标文件：</w:t>
            </w:r>
          </w:p>
          <w:p w14:paraId="6E6CD2F5">
            <w:pPr>
              <w:widowControl/>
              <w:spacing w:line="360" w:lineRule="auto"/>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9.1.1.资格文件</w:t>
            </w:r>
          </w:p>
          <w:p w14:paraId="54019D4C">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（1）符合参加政府采购活动应当具备的一般条件的承诺函；</w:t>
            </w:r>
          </w:p>
          <w:p w14:paraId="1E917F00">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（2）有效的企业法人营业执照（或事业法人登记证）、其他组织（个体工商户的营业执照或者民办非企业单位登记证书复印件。投标人如果有名称变更的，应提供由行政主管部门出具的变更证明文件；</w:t>
            </w:r>
          </w:p>
          <w:p w14:paraId="4D62E739">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（3）落实政府采购政策需满足的资格要求（如有）；</w:t>
            </w:r>
          </w:p>
          <w:p w14:paraId="7424C27E">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（4）投标人的特定条件的证明文件（如有）。</w:t>
            </w:r>
          </w:p>
          <w:p w14:paraId="7F9A6BA4">
            <w:pPr>
              <w:widowControl/>
              <w:spacing w:line="360" w:lineRule="auto"/>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9.1.2.商务技术文件</w:t>
            </w:r>
          </w:p>
          <w:p w14:paraId="255BC5E3">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（1）单位负责人的身份证明或单位负责人授权书（投标人的代表若不为单位负责人的，必须提交单位负责人授权书），并提供单位负责人和授权代表的身份证正反两面复印件；</w:t>
            </w:r>
          </w:p>
          <w:p w14:paraId="35FE1229">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（2）投标人基本情况表；</w:t>
            </w:r>
          </w:p>
          <w:p w14:paraId="45F16F99">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（3）联合协议（如有）；</w:t>
            </w:r>
          </w:p>
          <w:p w14:paraId="6A03D72D">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（4）分包意向协议（如有）；</w:t>
            </w:r>
          </w:p>
          <w:p w14:paraId="79808D5F">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（5）技术条款偏离表；</w:t>
            </w:r>
          </w:p>
          <w:p w14:paraId="3D8C1D44">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（6）商务条款偏离表；</w:t>
            </w:r>
          </w:p>
          <w:p w14:paraId="41A4203C">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（7）第五部分“评标办法”中“评分标准”要求提供的资料（如有需提供）。</w:t>
            </w:r>
          </w:p>
          <w:p w14:paraId="016AAB8E">
            <w:pPr>
              <w:widowControl/>
              <w:spacing w:line="360" w:lineRule="auto"/>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9.1.3.报价文件</w:t>
            </w:r>
          </w:p>
          <w:p w14:paraId="50017DCD">
            <w:pPr>
              <w:tabs>
                <w:tab w:val="left" w:pos="1418"/>
              </w:tabs>
              <w:spacing w:line="360" w:lineRule="auto"/>
              <w:ind w:firstLine="42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（1）投标函；</w:t>
            </w:r>
          </w:p>
          <w:p w14:paraId="1E3F3DBA">
            <w:pPr>
              <w:tabs>
                <w:tab w:val="left" w:pos="1418"/>
              </w:tabs>
              <w:spacing w:line="360" w:lineRule="auto"/>
              <w:ind w:firstLine="42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（2）开标一览表；</w:t>
            </w:r>
          </w:p>
          <w:p w14:paraId="37511DA4">
            <w:pPr>
              <w:tabs>
                <w:tab w:val="left" w:pos="1418"/>
              </w:tabs>
              <w:spacing w:line="360" w:lineRule="auto"/>
              <w:ind w:firstLine="42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（3）投标分项报价表；</w:t>
            </w:r>
          </w:p>
          <w:p w14:paraId="19735BD8">
            <w:pPr>
              <w:tabs>
                <w:tab w:val="left" w:pos="1418"/>
              </w:tabs>
              <w:spacing w:line="360" w:lineRule="auto"/>
              <w:ind w:firstLine="42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（4）享受政府采购价格优惠政策需提供的证明资料（如有）。</w:t>
            </w:r>
          </w:p>
          <w:p w14:paraId="18778B01">
            <w:pPr>
              <w:widowControl/>
              <w:spacing w:line="360" w:lineRule="auto"/>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附件1：中小企业声明函</w:t>
            </w:r>
          </w:p>
          <w:p w14:paraId="2B8E34AA">
            <w:pPr>
              <w:widowControl/>
              <w:spacing w:line="360" w:lineRule="auto"/>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附件2：残疾人福利性单位声明函</w:t>
            </w:r>
          </w:p>
          <w:p w14:paraId="28BBA2B3">
            <w:pPr>
              <w:widowControl/>
              <w:spacing w:line="360" w:lineRule="auto"/>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9.1.4.注意事项</w:t>
            </w:r>
          </w:p>
          <w:p w14:paraId="7541C941">
            <w:pPr>
              <w:widowControl/>
              <w:spacing w:line="360" w:lineRule="auto"/>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★（1）电子投标文件中所须加盖公章部分均采用 CA 签章。</w:t>
            </w:r>
          </w:p>
          <w:p w14:paraId="3B91F456">
            <w:pPr>
              <w:numPr>
                <w:ilvl w:val="0"/>
                <w:numId w:val="18"/>
              </w:numPr>
              <w:spacing w:line="40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上述组成投标文件的各项资料中本招标文件的有规定格式的，应统一按本招标文件的规定格式填写。未有规定格式的资料，投标人应自行编制，但至少要包含以上要求的内容。</w:t>
            </w:r>
          </w:p>
          <w:p w14:paraId="3E24F01A">
            <w:pPr>
              <w:numPr>
                <w:ilvl w:val="0"/>
                <w:numId w:val="18"/>
              </w:numPr>
              <w:spacing w:line="40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中由委托代理人签字的，投标文件应附法定代表人签署的授权委托书。联合体投标的，投标文件除联合体协议书及招标文件要求须联合体双方盖章外，其余招标文件要求投标人盖章处只需联合体的牵头人盖章。</w:t>
            </w:r>
          </w:p>
        </w:tc>
      </w:tr>
      <w:tr w14:paraId="0E0991BA">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684355B9">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10.1</w:t>
            </w:r>
          </w:p>
        </w:tc>
        <w:tc>
          <w:tcPr>
            <w:tcW w:w="7512" w:type="dxa"/>
            <w:vAlign w:val="center"/>
          </w:tcPr>
          <w:p w14:paraId="04F5A52F">
            <w:pPr>
              <w:spacing w:line="360" w:lineRule="auto"/>
              <w:rPr>
                <w:rFonts w:hint="eastAsia" w:ascii="宋体" w:hAnsi="宋体" w:cs="宋体"/>
                <w:iCs/>
                <w:color w:val="000000" w:themeColor="text1"/>
                <w:szCs w:val="21"/>
                <w:highlight w:val="none"/>
                <w14:textFill>
                  <w14:solidFill>
                    <w14:schemeClr w14:val="tx1"/>
                  </w14:solidFill>
                </w14:textFill>
              </w:rPr>
            </w:pPr>
            <w:r>
              <w:rPr>
                <w:rFonts w:hint="eastAsia" w:ascii="宋体" w:hAnsi="宋体" w:cs="宋体"/>
                <w:iCs/>
                <w:color w:val="000000" w:themeColor="text1"/>
                <w:szCs w:val="21"/>
                <w:highlight w:val="none"/>
                <w14:textFill>
                  <w14:solidFill>
                    <w14:schemeClr w14:val="tx1"/>
                  </w14:solidFill>
                </w14:textFill>
              </w:rPr>
              <w:t>本项目投标报价应是完成完整一个年度养护服务的人民币报价，其中分为日常巡查、排水固定泵养护及防台防汛等重大应急保障服务，排水工程维修，道路工程维修，桥梁工程维修，</w:t>
            </w:r>
            <w:r>
              <w:rPr>
                <w:rFonts w:hint="eastAsia" w:ascii="宋体" w:hAnsi="宋体" w:cs="宋体"/>
                <w:iCs/>
                <w:color w:val="000000" w:themeColor="text1"/>
                <w:szCs w:val="21"/>
                <w:highlight w:val="none"/>
                <w:lang w:val="en-US" w:eastAsia="zh-CN"/>
                <w14:textFill>
                  <w14:solidFill>
                    <w14:schemeClr w14:val="tx1"/>
                  </w14:solidFill>
                </w14:textFill>
              </w:rPr>
              <w:t>污水泵站运营、维护、管理</w:t>
            </w:r>
            <w:r>
              <w:rPr>
                <w:rFonts w:hint="eastAsia" w:ascii="宋体" w:hAnsi="宋体" w:cs="宋体"/>
                <w:iCs/>
                <w:color w:val="000000" w:themeColor="text1"/>
                <w:szCs w:val="21"/>
                <w:highlight w:val="none"/>
                <w:lang w:val="en-US" w:eastAsia="zh-CN"/>
                <w14:textFill>
                  <w14:solidFill>
                    <w14:schemeClr w14:val="tx1"/>
                  </w14:solidFill>
                </w14:textFill>
              </w:rPr>
              <w:t>，</w:t>
            </w:r>
            <w:r>
              <w:rPr>
                <w:rFonts w:hint="eastAsia" w:ascii="宋体" w:hAnsi="宋体" w:cs="宋体"/>
                <w:iCs/>
                <w:color w:val="000000" w:themeColor="text1"/>
                <w:szCs w:val="21"/>
                <w:highlight w:val="none"/>
                <w14:textFill>
                  <w14:solidFill>
                    <w14:schemeClr w14:val="tx1"/>
                  </w14:solidFill>
                </w14:textFill>
              </w:rPr>
              <w:t>零星人工、机械使用费（含应急），市政消火栓维修等组成：</w:t>
            </w:r>
          </w:p>
          <w:p w14:paraId="3D818EA3">
            <w:pPr>
              <w:spacing w:line="360" w:lineRule="auto"/>
              <w:rPr>
                <w:rFonts w:hint="eastAsia" w:ascii="宋体" w:hAnsi="宋体" w:cs="宋体"/>
                <w:iCs/>
                <w:color w:val="000000" w:themeColor="text1"/>
                <w:szCs w:val="21"/>
                <w:highlight w:val="none"/>
                <w14:textFill>
                  <w14:solidFill>
                    <w14:schemeClr w14:val="tx1"/>
                  </w14:solidFill>
                </w14:textFill>
              </w:rPr>
            </w:pPr>
            <w:r>
              <w:rPr>
                <w:rFonts w:hint="eastAsia" w:ascii="宋体" w:hAnsi="宋体" w:cs="宋体"/>
                <w:iCs/>
                <w:color w:val="000000" w:themeColor="text1"/>
                <w:szCs w:val="21"/>
                <w:highlight w:val="none"/>
                <w14:textFill>
                  <w14:solidFill>
                    <w14:schemeClr w14:val="tx1"/>
                  </w14:solidFill>
                </w14:textFill>
              </w:rPr>
              <w:t>1）日常巡查、排水固定泵养护及防台防汛等重大应急保障服务：包括日常巡查、排水固定泵养护、防台防汛等重大应急保障服务的所有费用，具体详见分部分项工程量清单。</w:t>
            </w:r>
          </w:p>
          <w:p w14:paraId="519736FA">
            <w:pPr>
              <w:spacing w:line="360" w:lineRule="auto"/>
              <w:rPr>
                <w:rFonts w:hint="eastAsia" w:ascii="宋体" w:hAnsi="宋体" w:cs="宋体"/>
                <w:iCs/>
                <w:color w:val="000000" w:themeColor="text1"/>
                <w:szCs w:val="21"/>
                <w:highlight w:val="none"/>
                <w14:textFill>
                  <w14:solidFill>
                    <w14:schemeClr w14:val="tx1"/>
                  </w14:solidFill>
                </w14:textFill>
              </w:rPr>
            </w:pPr>
            <w:r>
              <w:rPr>
                <w:rFonts w:hint="eastAsia" w:ascii="宋体" w:hAnsi="宋体" w:cs="宋体"/>
                <w:iCs/>
                <w:color w:val="000000" w:themeColor="text1"/>
                <w:szCs w:val="21"/>
                <w:highlight w:val="none"/>
                <w14:textFill>
                  <w14:solidFill>
                    <w14:schemeClr w14:val="tx1"/>
                  </w14:solidFill>
                </w14:textFill>
              </w:rPr>
              <w:t>注：此费用由供应商按要求进行报价，为固定投标报价，签署合同时该价格固定不变。</w:t>
            </w:r>
          </w:p>
          <w:p w14:paraId="725D1511">
            <w:pPr>
              <w:numPr>
                <w:ilvl w:val="0"/>
                <w:numId w:val="19"/>
              </w:numPr>
              <w:spacing w:line="360" w:lineRule="auto"/>
              <w:rPr>
                <w:rFonts w:hint="eastAsia" w:ascii="宋体" w:hAnsi="宋体" w:cs="宋体"/>
                <w:iCs/>
                <w:color w:val="000000" w:themeColor="text1"/>
                <w:szCs w:val="21"/>
                <w:highlight w:val="none"/>
                <w14:textFill>
                  <w14:solidFill>
                    <w14:schemeClr w14:val="tx1"/>
                  </w14:solidFill>
                </w14:textFill>
              </w:rPr>
            </w:pPr>
            <w:r>
              <w:rPr>
                <w:rFonts w:hint="eastAsia" w:ascii="宋体" w:hAnsi="宋体" w:cs="宋体"/>
                <w:iCs/>
                <w:color w:val="000000" w:themeColor="text1"/>
                <w:szCs w:val="21"/>
                <w:highlight w:val="none"/>
                <w14:textFill>
                  <w14:solidFill>
                    <w14:schemeClr w14:val="tx1"/>
                  </w14:solidFill>
                </w14:textFill>
              </w:rPr>
              <w:t>道路工程维修、排水工程维修、桥梁工程维修、市政消火栓维修、机械使用费及零星人工费用（含应急）：采用全费用综合单价进行报价，包含人工费、材料费、机械费、管理费、利润及各种规费、税费、安全文明施工等所有费用以及一定范围内的风险费。</w:t>
            </w:r>
          </w:p>
          <w:p w14:paraId="416EEF7E">
            <w:pPr>
              <w:numPr>
                <w:ilvl w:val="0"/>
                <w:numId w:val="0"/>
              </w:numPr>
              <w:spacing w:line="360" w:lineRule="auto"/>
              <w:rPr>
                <w:rFonts w:ascii="宋体" w:hAnsi="宋体" w:cs="宋体"/>
                <w:iCs/>
                <w:color w:val="000000" w:themeColor="text1"/>
                <w:szCs w:val="21"/>
                <w:highlight w:val="none"/>
                <w14:textFill>
                  <w14:solidFill>
                    <w14:schemeClr w14:val="tx1"/>
                  </w14:solidFill>
                </w14:textFill>
              </w:rPr>
            </w:pPr>
            <w:r>
              <w:rPr>
                <w:rFonts w:hint="eastAsia" w:ascii="宋体" w:hAnsi="宋体" w:cs="宋体"/>
                <w:iCs/>
                <w:color w:val="000000" w:themeColor="text1"/>
                <w:szCs w:val="21"/>
                <w:highlight w:val="none"/>
                <w:lang w:val="en-US" w:eastAsia="zh-CN"/>
                <w14:textFill>
                  <w14:solidFill>
                    <w14:schemeClr w14:val="tx1"/>
                  </w14:solidFill>
                </w14:textFill>
              </w:rPr>
              <w:t>注：</w:t>
            </w:r>
            <w:r>
              <w:rPr>
                <w:rFonts w:hint="eastAsia" w:ascii="宋体" w:hAnsi="宋体" w:cs="宋体"/>
                <w:iCs/>
                <w:color w:val="000000" w:themeColor="text1"/>
                <w:szCs w:val="21"/>
                <w:highlight w:val="none"/>
                <w14:textFill>
                  <w14:solidFill>
                    <w14:schemeClr w14:val="tx1"/>
                  </w14:solidFill>
                </w14:textFill>
              </w:rPr>
              <w:t>此费用由供应商按要求进行报价</w:t>
            </w:r>
            <w:r>
              <w:rPr>
                <w:rFonts w:hint="eastAsia" w:ascii="宋体" w:hAnsi="宋体" w:cs="宋体"/>
                <w:iCs/>
                <w:color w:val="000000" w:themeColor="text1"/>
                <w:szCs w:val="21"/>
                <w:highlight w:val="none"/>
                <w:lang w:eastAsia="zh-CN"/>
                <w14:textFill>
                  <w14:solidFill>
                    <w14:schemeClr w14:val="tx1"/>
                  </w14:solidFill>
                </w14:textFill>
              </w:rPr>
              <w:t>，</w:t>
            </w:r>
            <w:r>
              <w:rPr>
                <w:rFonts w:hint="eastAsia" w:ascii="宋体" w:hAnsi="宋体" w:cs="宋体"/>
                <w:iCs/>
                <w:color w:val="000000" w:themeColor="text1"/>
                <w:szCs w:val="21"/>
                <w:highlight w:val="none"/>
                <w14:textFill>
                  <w14:solidFill>
                    <w14:schemeClr w14:val="tx1"/>
                  </w14:solidFill>
                </w14:textFill>
              </w:rPr>
              <w:t>签署合同时该单价固定不变，工程量按实结算。</w:t>
            </w:r>
          </w:p>
          <w:p w14:paraId="52476DEC">
            <w:pPr>
              <w:spacing w:line="360" w:lineRule="auto"/>
              <w:rPr>
                <w:rFonts w:ascii="宋体" w:hAnsi="宋体" w:cs="宋体"/>
                <w:iCs/>
                <w:color w:val="000000" w:themeColor="text1"/>
                <w:szCs w:val="21"/>
                <w:highlight w:val="none"/>
                <w14:textFill>
                  <w14:solidFill>
                    <w14:schemeClr w14:val="tx1"/>
                  </w14:solidFill>
                </w14:textFill>
              </w:rPr>
            </w:pPr>
            <w:r>
              <w:rPr>
                <w:rFonts w:hint="eastAsia" w:ascii="宋体" w:hAnsi="宋体" w:cs="宋体"/>
                <w:iCs/>
                <w:color w:val="000000" w:themeColor="text1"/>
                <w:szCs w:val="21"/>
                <w:highlight w:val="none"/>
                <w14:textFill>
                  <w14:solidFill>
                    <w14:schemeClr w14:val="tx1"/>
                  </w14:solidFill>
                </w14:textFill>
              </w:rPr>
              <w:t>投标人应承担其参加本招标活动自身所发生的费用。</w:t>
            </w:r>
          </w:p>
          <w:p w14:paraId="7962FA72">
            <w:pPr>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iCs/>
                <w:color w:val="000000" w:themeColor="text1"/>
                <w:szCs w:val="21"/>
                <w:highlight w:val="none"/>
                <w14:textFill>
                  <w14:solidFill>
                    <w14:schemeClr w14:val="tx1"/>
                  </w14:solidFill>
                </w14:textFill>
              </w:rPr>
              <w:t>项目实施过程中可能发生的风险和费用均由中标人承担。</w:t>
            </w:r>
          </w:p>
        </w:tc>
      </w:tr>
      <w:tr w14:paraId="2C1FD5CF">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70CE5AEE">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10.5</w:t>
            </w:r>
          </w:p>
        </w:tc>
        <w:tc>
          <w:tcPr>
            <w:tcW w:w="7512" w:type="dxa"/>
            <w:vAlign w:val="center"/>
          </w:tcPr>
          <w:p w14:paraId="0409FBC4">
            <w:pPr>
              <w:spacing w:before="143" w:beforeLines="50" w:line="360" w:lineRule="auto"/>
              <w:rPr>
                <w:rFonts w:ascii="宋体" w:hAnsi="宋体" w:cs="宋体"/>
                <w:b/>
                <w:color w:val="000000" w:themeColor="text1"/>
                <w:szCs w:val="21"/>
                <w:highlight w:val="none"/>
                <w14:textFill>
                  <w14:solidFill>
                    <w14:schemeClr w14:val="tx1"/>
                  </w14:solidFill>
                </w14:textFill>
              </w:rPr>
            </w:pPr>
            <w:r>
              <w:rPr>
                <w:rFonts w:hint="eastAsia" w:ascii="Arial" w:hAnsi="Arial"/>
                <w:b/>
                <w:color w:val="000000" w:themeColor="text1"/>
                <w:szCs w:val="21"/>
                <w:highlight w:val="none"/>
                <w14:textFill>
                  <w14:solidFill>
                    <w14:schemeClr w14:val="tx1"/>
                  </w14:solidFill>
                </w14:textFill>
              </w:rPr>
              <w:t>本次招标的</w:t>
            </w:r>
            <w:r>
              <w:rPr>
                <w:rFonts w:hint="eastAsia" w:ascii="Arial" w:hAnsi="Arial" w:cs="Arial"/>
                <w:b/>
                <w:color w:val="000000" w:themeColor="text1"/>
                <w:szCs w:val="21"/>
                <w:highlight w:val="none"/>
                <w14:textFill>
                  <w14:solidFill>
                    <w14:schemeClr w14:val="tx1"/>
                  </w14:solidFill>
                </w14:textFill>
              </w:rPr>
              <w:t>预算金额：人民币</w:t>
            </w:r>
            <w:r>
              <w:rPr>
                <w:rFonts w:hint="eastAsia" w:ascii="Arial" w:hAnsi="Arial" w:cs="Arial"/>
                <w:b/>
                <w:color w:val="000000" w:themeColor="text1"/>
                <w:szCs w:val="21"/>
                <w:highlight w:val="none"/>
                <w:lang w:val="en-US" w:eastAsia="zh-CN"/>
                <w14:textFill>
                  <w14:solidFill>
                    <w14:schemeClr w14:val="tx1"/>
                  </w14:solidFill>
                </w14:textFill>
              </w:rPr>
              <w:t>7335000</w:t>
            </w:r>
            <w:r>
              <w:rPr>
                <w:rFonts w:hint="eastAsia" w:ascii="Arial" w:hAnsi="Arial" w:cs="Arial"/>
                <w:b/>
                <w:color w:val="000000" w:themeColor="text1"/>
                <w:szCs w:val="21"/>
                <w:highlight w:val="none"/>
                <w14:textFill>
                  <w14:solidFill>
                    <w14:schemeClr w14:val="tx1"/>
                  </w14:solidFill>
                </w14:textFill>
              </w:rPr>
              <w:t>元；最高限价（招标控制价）：人民币</w:t>
            </w:r>
            <w:r>
              <w:rPr>
                <w:rFonts w:hint="eastAsia" w:ascii="Arial" w:hAnsi="Arial" w:cs="Arial"/>
                <w:b/>
                <w:color w:val="000000" w:themeColor="text1"/>
                <w:szCs w:val="21"/>
                <w:highlight w:val="none"/>
                <w:lang w:val="en-US" w:eastAsia="zh-CN"/>
                <w14:textFill>
                  <w14:solidFill>
                    <w14:schemeClr w14:val="tx1"/>
                  </w14:solidFill>
                </w14:textFill>
              </w:rPr>
              <w:t>7334682.46</w:t>
            </w:r>
            <w:r>
              <w:rPr>
                <w:rFonts w:hint="eastAsia" w:ascii="Arial" w:hAnsi="Arial" w:cs="Arial"/>
                <w:b/>
                <w:color w:val="000000" w:themeColor="text1"/>
                <w:szCs w:val="21"/>
                <w:highlight w:val="none"/>
                <w14:textFill>
                  <w14:solidFill>
                    <w14:schemeClr w14:val="tx1"/>
                  </w14:solidFill>
                </w14:textFill>
              </w:rPr>
              <w:t>元</w:t>
            </w:r>
            <w:r>
              <w:rPr>
                <w:rFonts w:hint="eastAsia" w:ascii="Arial" w:hAnsi="Arial" w:cs="Arial"/>
                <w:b/>
                <w:color w:val="000000" w:themeColor="text1"/>
                <w:szCs w:val="21"/>
                <w:highlight w:val="none"/>
                <w14:textFill>
                  <w14:solidFill>
                    <w14:schemeClr w14:val="tx1"/>
                  </w14:solidFill>
                </w14:textFill>
              </w:rPr>
              <w:t>。</w:t>
            </w:r>
            <w:r>
              <w:rPr>
                <w:rFonts w:hint="eastAsia" w:ascii="Arial" w:hAnsi="Arial" w:cs="Arial"/>
                <w:b/>
                <w:color w:val="000000" w:themeColor="text1"/>
                <w:szCs w:val="21"/>
                <w:highlight w:val="none"/>
                <w14:textFill>
                  <w14:solidFill>
                    <w14:schemeClr w14:val="tx1"/>
                  </w14:solidFill>
                </w14:textFill>
              </w:rPr>
              <w:t>供应商的各分部分项综合单价不得高于招标控制价中各分部分项综合单价。投标报价超过最高限价（招标控制价）的或供应商的各分部分项综合单价超过招标控制价中各分部分项综合单价的</w:t>
            </w:r>
            <w:r>
              <w:rPr>
                <w:rFonts w:hint="eastAsia" w:ascii="Arial" w:hAnsi="Arial"/>
                <w:b/>
                <w:color w:val="000000" w:themeColor="text1"/>
                <w:szCs w:val="21"/>
                <w:highlight w:val="none"/>
                <w14:textFill>
                  <w14:solidFill>
                    <w14:schemeClr w14:val="tx1"/>
                  </w14:solidFill>
                </w14:textFill>
              </w:rPr>
              <w:t>作无效标处理。注：最高限价（招标控制价）另册提供，详见招标文件附件。</w:t>
            </w:r>
          </w:p>
        </w:tc>
      </w:tr>
      <w:tr w14:paraId="42126BFE">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7B49120F">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11.3</w:t>
            </w:r>
          </w:p>
        </w:tc>
        <w:tc>
          <w:tcPr>
            <w:tcW w:w="7512" w:type="dxa"/>
            <w:vAlign w:val="center"/>
          </w:tcPr>
          <w:p w14:paraId="0690B57A">
            <w:pPr>
              <w:widowControl/>
              <w:spacing w:line="360" w:lineRule="auto"/>
              <w:rPr>
                <w:rFonts w:cs="宋体" w:asciiTheme="minorEastAsia" w:hAnsiTheme="minorEastAsia" w:eastAsiaTheme="minorEastAsia"/>
                <w:b/>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投标文件数量要求：</w:t>
            </w:r>
          </w:p>
          <w:p w14:paraId="60E86718">
            <w:pPr>
              <w:widowControl/>
              <w:spacing w:line="360" w:lineRule="auto"/>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w:t>
            </w: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1、上传到政府采购云平台的电子投标文件（含资格文件 1 份、商务技术文件 1 份、报价文件 1 份）。</w:t>
            </w:r>
          </w:p>
          <w:p w14:paraId="404F5060">
            <w:pPr>
              <w:widowControl/>
              <w:spacing w:line="360" w:lineRule="auto"/>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2、以 U 盘形式存储的电子备份投标文件（含资格文件 1 份、商务技术文件 1 份、报价文件1 份）。</w:t>
            </w:r>
          </w:p>
          <w:p w14:paraId="516706A4">
            <w:pPr>
              <w:widowControl/>
              <w:spacing w:line="360" w:lineRule="auto"/>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注：（1）电子备份投标文件不作实质性要求，是否提交由投标人自行决定。</w:t>
            </w:r>
          </w:p>
        </w:tc>
      </w:tr>
      <w:tr w14:paraId="2C96329A">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4B25E5FA">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12.1</w:t>
            </w:r>
          </w:p>
        </w:tc>
        <w:tc>
          <w:tcPr>
            <w:tcW w:w="7512" w:type="dxa"/>
            <w:vAlign w:val="center"/>
          </w:tcPr>
          <w:p w14:paraId="0C75F678">
            <w:pPr>
              <w:spacing w:before="143" w:beforeLines="50"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投标有效期</w:t>
            </w:r>
            <w:r>
              <w:rPr>
                <w:rFonts w:hint="eastAsia" w:ascii="宋体" w:hAnsi="宋体" w:cs="宋体"/>
                <w:color w:val="000000" w:themeColor="text1"/>
                <w:szCs w:val="21"/>
                <w:highlight w:val="none"/>
                <w14:textFill>
                  <w14:solidFill>
                    <w14:schemeClr w14:val="tx1"/>
                  </w14:solidFill>
                </w14:textFill>
              </w:rPr>
              <w:t>： 90 天</w:t>
            </w:r>
          </w:p>
        </w:tc>
      </w:tr>
      <w:tr w14:paraId="2C17A719">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7D926BFF">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13.1</w:t>
            </w:r>
          </w:p>
        </w:tc>
        <w:tc>
          <w:tcPr>
            <w:tcW w:w="7512" w:type="dxa"/>
            <w:vAlign w:val="center"/>
          </w:tcPr>
          <w:p w14:paraId="1D8F3A19">
            <w:pPr>
              <w:spacing w:line="360" w:lineRule="auto"/>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投标保证金金额：无</w:t>
            </w:r>
          </w:p>
        </w:tc>
      </w:tr>
      <w:tr w14:paraId="4F4EA839">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0D882CDF">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15.1</w:t>
            </w:r>
          </w:p>
        </w:tc>
        <w:tc>
          <w:tcPr>
            <w:tcW w:w="7512" w:type="dxa"/>
            <w:vAlign w:val="center"/>
          </w:tcPr>
          <w:p w14:paraId="4258780E">
            <w:pPr>
              <w:spacing w:before="143" w:beforeLines="50"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投标截止时间：</w:t>
            </w:r>
            <w:r>
              <w:rPr>
                <w:rFonts w:hint="eastAsia" w:ascii="宋体" w:hAnsi="宋体" w:cs="宋体"/>
                <w:color w:val="000000" w:themeColor="text1"/>
                <w:szCs w:val="21"/>
                <w:highlight w:val="none"/>
                <w:u w:val="single"/>
                <w14:textFill>
                  <w14:solidFill>
                    <w14:schemeClr w14:val="tx1"/>
                  </w14:solidFill>
                </w14:textFill>
              </w:rPr>
              <w:t>202</w:t>
            </w:r>
            <w:r>
              <w:rPr>
                <w:rFonts w:hint="eastAsia" w:ascii="宋体" w:hAnsi="宋体" w:cs="宋体"/>
                <w:color w:val="000000" w:themeColor="text1"/>
                <w:szCs w:val="21"/>
                <w:highlight w:val="none"/>
                <w:u w:val="single"/>
                <w:lang w:val="en-US" w:eastAsia="zh-CN"/>
                <w14:textFill>
                  <w14:solidFill>
                    <w14:schemeClr w14:val="tx1"/>
                  </w14:solidFill>
                </w14:textFill>
              </w:rPr>
              <w:t>5</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lang w:val="en-US" w:eastAsia="zh-CN"/>
                <w14:textFill>
                  <w14:solidFill>
                    <w14:schemeClr w14:val="tx1"/>
                  </w14:solidFill>
                </w14:textFill>
              </w:rPr>
              <w:t>7</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lang w:val="en-US" w:eastAsia="zh-CN"/>
                <w14:textFill>
                  <w14:solidFill>
                    <w14:schemeClr w14:val="tx1"/>
                  </w14:solidFill>
                </w14:textFill>
              </w:rPr>
              <w:t>8</w:t>
            </w: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color w:val="000000" w:themeColor="text1"/>
                <w:szCs w:val="21"/>
                <w:highlight w:val="none"/>
                <w:u w:val="single"/>
                <w:lang w:val="en-US" w:eastAsia="zh-CN"/>
                <w14:textFill>
                  <w14:solidFill>
                    <w14:schemeClr w14:val="tx1"/>
                  </w14:solidFill>
                </w14:textFill>
              </w:rPr>
              <w:t>09</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u w:val="single"/>
                <w:lang w:val="en-US" w:eastAsia="zh-CN"/>
                <w14:textFill>
                  <w14:solidFill>
                    <w14:schemeClr w14:val="tx1"/>
                  </w14:solidFill>
                </w14:textFill>
              </w:rPr>
              <w:t>3</w:t>
            </w:r>
            <w:r>
              <w:rPr>
                <w:rFonts w:hint="eastAsia" w:ascii="宋体" w:hAnsi="宋体" w:cs="宋体"/>
                <w:color w:val="000000" w:themeColor="text1"/>
                <w:szCs w:val="21"/>
                <w:highlight w:val="none"/>
                <w:u w:val="single"/>
                <w14:textFill>
                  <w14:solidFill>
                    <w14:schemeClr w14:val="tx1"/>
                  </w14:solidFill>
                </w14:textFill>
              </w:rPr>
              <w:t>0</w:t>
            </w:r>
            <w:r>
              <w:rPr>
                <w:rFonts w:hint="eastAsia" w:ascii="宋体" w:hAnsi="宋体" w:cs="宋体"/>
                <w:color w:val="000000" w:themeColor="text1"/>
                <w:szCs w:val="21"/>
                <w:highlight w:val="none"/>
                <w14:textFill>
                  <w14:solidFill>
                    <w14:schemeClr w14:val="tx1"/>
                  </w14:solidFill>
                </w14:textFill>
              </w:rPr>
              <w:t>（北京时间）。</w:t>
            </w:r>
          </w:p>
        </w:tc>
      </w:tr>
      <w:tr w14:paraId="58441411">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7EFF0CFC">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28.1</w:t>
            </w:r>
          </w:p>
        </w:tc>
        <w:tc>
          <w:tcPr>
            <w:tcW w:w="7512" w:type="dxa"/>
            <w:vAlign w:val="center"/>
          </w:tcPr>
          <w:p w14:paraId="2C283B62">
            <w:pPr>
              <w:numPr>
                <w:ilvl w:val="0"/>
                <w:numId w:val="20"/>
              </w:numPr>
              <w:spacing w:line="360" w:lineRule="auto"/>
              <w:jc w:val="left"/>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本项目招标代理服务费为46006元整。</w:t>
            </w:r>
          </w:p>
          <w:p w14:paraId="59A15CAD">
            <w:pPr>
              <w:numPr>
                <w:ilvl w:val="0"/>
                <w:numId w:val="20"/>
              </w:numPr>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中标人负责承担中标服务费，并应在采购代理机构发出中标通知书5个工作日内向采购代理机构支付中标服务费。</w:t>
            </w:r>
          </w:p>
          <w:p w14:paraId="58C5B836">
            <w:pPr>
              <w:spacing w:line="440" w:lineRule="exact"/>
              <w:jc w:val="left"/>
              <w:rPr>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3.中标服务费只收现金、银行票汇款、电汇款。</w:t>
            </w:r>
            <w:r>
              <w:rPr>
                <w:rFonts w:ascii="宋体" w:hAnsi="宋体"/>
                <w:color w:val="000000" w:themeColor="text1"/>
                <w:szCs w:val="21"/>
                <w:highlight w:val="none"/>
                <w14:textFill>
                  <w14:solidFill>
                    <w14:schemeClr w14:val="tx1"/>
                  </w14:solidFill>
                </w14:textFill>
              </w:rPr>
              <w:t>请按下述开户银行及账号汇款（汇款单上应注明汇款用途及招标编号</w:t>
            </w:r>
            <w:r>
              <w:rPr>
                <w:rFonts w:hint="eastAsia" w:ascii="宋体" w:hAnsi="宋体"/>
                <w:color w:val="000000" w:themeColor="text1"/>
                <w:szCs w:val="21"/>
                <w:highlight w:val="none"/>
                <w14:textFill>
                  <w14:solidFill>
                    <w14:schemeClr w14:val="tx1"/>
                  </w14:solidFill>
                </w14:textFill>
              </w:rPr>
              <w:t>）：</w:t>
            </w:r>
          </w:p>
          <w:p w14:paraId="064E19D6">
            <w:pPr>
              <w:spacing w:line="360" w:lineRule="auto"/>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 xml:space="preserve">采购代理机构名称：宁波国际投资咨询有限公司  </w:t>
            </w:r>
          </w:p>
          <w:p w14:paraId="3D1387D2">
            <w:pPr>
              <w:spacing w:line="360" w:lineRule="auto"/>
              <w:jc w:val="left"/>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户名：宁波国际投资咨询有限公司</w:t>
            </w:r>
          </w:p>
          <w:p w14:paraId="0AEECCF0">
            <w:pPr>
              <w:spacing w:line="360" w:lineRule="auto"/>
              <w:jc w:val="left"/>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开户银行：上海浦东发展银行宁波解放路支行</w:t>
            </w:r>
          </w:p>
          <w:p w14:paraId="541F6D39">
            <w:pPr>
              <w:spacing w:line="360" w:lineRule="auto"/>
              <w:jc w:val="left"/>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账号：94150078801400000630</w:t>
            </w:r>
          </w:p>
          <w:p w14:paraId="3BD0C1FF">
            <w:pPr>
              <w:spacing w:line="360" w:lineRule="auto"/>
              <w:jc w:val="left"/>
              <w:rPr>
                <w:rFonts w:hint="default" w:hAnsi="宋体" w:eastAsia="宋体"/>
                <w:b/>
                <w:bCs/>
                <w:color w:val="000000" w:themeColor="text1"/>
                <w:highlight w:val="none"/>
                <w:lang w:val="en-US" w:eastAsia="zh-CN"/>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4.中标单位需向控制价编制单位支付控制价编制费用19044元。</w:t>
            </w:r>
          </w:p>
        </w:tc>
      </w:tr>
      <w:tr w14:paraId="0213519A">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vAlign w:val="center"/>
          </w:tcPr>
          <w:p w14:paraId="41396048">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29</w:t>
            </w:r>
          </w:p>
        </w:tc>
        <w:tc>
          <w:tcPr>
            <w:tcW w:w="7512" w:type="dxa"/>
            <w:vAlign w:val="center"/>
          </w:tcPr>
          <w:p w14:paraId="4351118A">
            <w:pPr>
              <w:spacing w:line="360" w:lineRule="auto"/>
              <w:ind w:left="788" w:hanging="787" w:hangingChars="375"/>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发布本项目招标公告、中标公示的媒体：</w:t>
            </w:r>
          </w:p>
          <w:p w14:paraId="2900A5CE">
            <w:pPr>
              <w:spacing w:line="360" w:lineRule="auto"/>
              <w:ind w:left="788" w:hanging="787" w:hangingChars="375"/>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浙江政府采购网</w:t>
            </w:r>
            <w:r>
              <w:rPr>
                <w:rFonts w:hint="eastAsia" w:ascii="宋体" w:hAnsi="宋体" w:cs="宋体"/>
                <w:color w:val="000000" w:themeColor="text1"/>
                <w:szCs w:val="21"/>
                <w:highlight w:val="none"/>
                <w14:textFill>
                  <w14:solidFill>
                    <w14:schemeClr w14:val="tx1"/>
                  </w14:solidFill>
                </w14:textFill>
              </w:rPr>
              <w:t>https://zfcg.czt.zj.gov.cn/</w:t>
            </w:r>
          </w:p>
          <w:p w14:paraId="579594B8">
            <w:pPr>
              <w:spacing w:line="360" w:lineRule="auto"/>
              <w:rPr>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宁波政府采购网</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"http://www.nbzfcg.cn" </w:instrText>
            </w:r>
            <w:r>
              <w:rPr>
                <w:color w:val="000000" w:themeColor="text1"/>
                <w:highlight w:val="none"/>
                <w14:textFill>
                  <w14:solidFill>
                    <w14:schemeClr w14:val="tx1"/>
                  </w14:solidFill>
                </w14:textFill>
              </w:rPr>
              <w:fldChar w:fldCharType="separate"/>
            </w:r>
            <w:r>
              <w:rPr>
                <w:rStyle w:val="42"/>
                <w:rFonts w:asciiTheme="minorEastAsia" w:hAnsiTheme="minorEastAsia" w:eastAsiaTheme="minorEastAsia"/>
                <w:color w:val="000000" w:themeColor="text1"/>
                <w:szCs w:val="21"/>
                <w:highlight w:val="none"/>
                <w14:textFill>
                  <w14:solidFill>
                    <w14:schemeClr w14:val="tx1"/>
                  </w14:solidFill>
                </w14:textFill>
              </w:rPr>
              <w:t>www.nbzf</w:t>
            </w:r>
            <w:bookmarkStart w:id="65" w:name="_Hlt237917837"/>
            <w:bookmarkStart w:id="66" w:name="_Hlt237917838"/>
            <w:r>
              <w:rPr>
                <w:rStyle w:val="42"/>
                <w:rFonts w:asciiTheme="minorEastAsia" w:hAnsiTheme="minorEastAsia" w:eastAsiaTheme="minorEastAsia"/>
                <w:color w:val="000000" w:themeColor="text1"/>
                <w:szCs w:val="21"/>
                <w:highlight w:val="none"/>
                <w14:textFill>
                  <w14:solidFill>
                    <w14:schemeClr w14:val="tx1"/>
                  </w14:solidFill>
                </w14:textFill>
              </w:rPr>
              <w:t>c</w:t>
            </w:r>
            <w:bookmarkEnd w:id="65"/>
            <w:bookmarkEnd w:id="66"/>
            <w:bookmarkStart w:id="67" w:name="_Hlt237842726"/>
            <w:bookmarkStart w:id="68" w:name="_Hlt237842727"/>
            <w:bookmarkStart w:id="69" w:name="_Hlt237842683"/>
            <w:bookmarkStart w:id="70" w:name="_Hlt237842684"/>
            <w:r>
              <w:rPr>
                <w:rStyle w:val="42"/>
                <w:rFonts w:asciiTheme="minorEastAsia" w:hAnsiTheme="minorEastAsia" w:eastAsiaTheme="minorEastAsia"/>
                <w:color w:val="000000" w:themeColor="text1"/>
                <w:szCs w:val="21"/>
                <w:highlight w:val="none"/>
                <w14:textFill>
                  <w14:solidFill>
                    <w14:schemeClr w14:val="tx1"/>
                  </w14:solidFill>
                </w14:textFill>
              </w:rPr>
              <w:t>g</w:t>
            </w:r>
            <w:bookmarkEnd w:id="67"/>
            <w:bookmarkEnd w:id="68"/>
            <w:bookmarkEnd w:id="69"/>
            <w:bookmarkEnd w:id="70"/>
            <w:r>
              <w:rPr>
                <w:rStyle w:val="42"/>
                <w:rFonts w:asciiTheme="minorEastAsia" w:hAnsiTheme="minorEastAsia" w:eastAsiaTheme="minorEastAsia"/>
                <w:color w:val="000000" w:themeColor="text1"/>
                <w:szCs w:val="21"/>
                <w:highlight w:val="none"/>
                <w14:textFill>
                  <w14:solidFill>
                    <w14:schemeClr w14:val="tx1"/>
                  </w14:solidFill>
                </w14:textFill>
              </w:rPr>
              <w:t>.cn</w:t>
            </w:r>
            <w:r>
              <w:rPr>
                <w:rStyle w:val="42"/>
                <w:rFonts w:asciiTheme="minorEastAsia" w:hAnsiTheme="minorEastAsia" w:eastAsiaTheme="minorEastAsia"/>
                <w:color w:val="000000" w:themeColor="text1"/>
                <w:szCs w:val="21"/>
                <w:highlight w:val="none"/>
                <w14:textFill>
                  <w14:solidFill>
                    <w14:schemeClr w14:val="tx1"/>
                  </w14:solidFill>
                </w14:textFill>
              </w:rPr>
              <w:fldChar w:fldCharType="end"/>
            </w:r>
          </w:p>
        </w:tc>
      </w:tr>
      <w:tr w14:paraId="76953450">
        <w:tblPrEx>
          <w:tblBorders>
            <w:top w:val="single" w:color="000000" w:sz="12" w:space="0"/>
            <w:left w:val="single" w:color="000000" w:sz="12" w:space="0"/>
            <w:bottom w:val="single" w:color="auto" w:sz="4"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0" w:hRule="atLeast"/>
        </w:trPr>
        <w:tc>
          <w:tcPr>
            <w:tcW w:w="1101" w:type="dxa"/>
            <w:tcBorders>
              <w:bottom w:val="single" w:color="auto" w:sz="12" w:space="0"/>
            </w:tcBorders>
            <w:vAlign w:val="center"/>
          </w:tcPr>
          <w:p w14:paraId="09134657">
            <w:pPr>
              <w:spacing w:before="143" w:beforeLines="50" w:line="360"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31.1</w:t>
            </w:r>
          </w:p>
        </w:tc>
        <w:tc>
          <w:tcPr>
            <w:tcW w:w="7512" w:type="dxa"/>
            <w:tcBorders>
              <w:bottom w:val="single" w:color="auto" w:sz="12" w:space="0"/>
            </w:tcBorders>
            <w:vAlign w:val="center"/>
          </w:tcPr>
          <w:p w14:paraId="057C2B61">
            <w:pPr>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本项目对应的中小企业划分标准所属行业：未列明服务行业</w:t>
            </w:r>
          </w:p>
        </w:tc>
      </w:tr>
    </w:tbl>
    <w:p w14:paraId="5AF735A5">
      <w:pPr>
        <w:widowControl/>
        <w:spacing w:line="360" w:lineRule="auto"/>
        <w:ind w:firstLine="420" w:firstLineChars="200"/>
        <w:jc w:val="left"/>
        <w:rPr>
          <w:rFonts w:ascii="宋体" w:hAnsi="宋体" w:cs="宋体"/>
          <w:color w:val="000000" w:themeColor="text1"/>
          <w:szCs w:val="21"/>
          <w:highlight w:val="none"/>
          <w:u w:val="single"/>
          <w14:textFill>
            <w14:solidFill>
              <w14:schemeClr w14:val="tx1"/>
            </w14:solidFill>
          </w14:textFill>
        </w:rPr>
        <w:sectPr>
          <w:headerReference r:id="rId11" w:type="default"/>
          <w:footerReference r:id="rId13" w:type="default"/>
          <w:headerReference r:id="rId12" w:type="even"/>
          <w:pgSz w:w="11907" w:h="16840"/>
          <w:pgMar w:top="1276" w:right="1701" w:bottom="1560" w:left="1701" w:header="720" w:footer="720" w:gutter="0"/>
          <w:cols w:space="720" w:num="1"/>
          <w:docGrid w:type="linesAndChars" w:linePitch="286" w:charSpace="0"/>
        </w:sectPr>
      </w:pPr>
    </w:p>
    <w:p w14:paraId="4E9D8E27">
      <w:pPr>
        <w:pStyle w:val="3"/>
        <w:spacing w:before="286" w:after="286"/>
        <w:rPr>
          <w:color w:val="000000" w:themeColor="text1"/>
          <w:sz w:val="32"/>
          <w:szCs w:val="32"/>
          <w:highlight w:val="none"/>
          <w14:textFill>
            <w14:solidFill>
              <w14:schemeClr w14:val="tx1"/>
            </w14:solidFill>
          </w14:textFill>
        </w:rPr>
        <w:sectPr>
          <w:headerReference r:id="rId14" w:type="default"/>
          <w:type w:val="continuous"/>
          <w:pgSz w:w="11907" w:h="16840"/>
          <w:pgMar w:top="1111" w:right="1701" w:bottom="1428" w:left="1701" w:header="720" w:footer="720" w:gutter="0"/>
          <w:cols w:space="720" w:num="1"/>
          <w:docGrid w:type="linesAndChars" w:linePitch="286" w:charSpace="0"/>
        </w:sectPr>
      </w:pPr>
      <w:bookmarkStart w:id="71" w:name="_Toc316649292"/>
    </w:p>
    <w:p w14:paraId="76693C24">
      <w:pPr>
        <w:pStyle w:val="3"/>
        <w:spacing w:before="286" w:after="286"/>
        <w:rPr>
          <w:color w:val="000000" w:themeColor="text1"/>
          <w:sz w:val="32"/>
          <w:szCs w:val="32"/>
          <w:highlight w:val="none"/>
          <w14:textFill>
            <w14:solidFill>
              <w14:schemeClr w14:val="tx1"/>
            </w14:solidFill>
          </w14:textFill>
        </w:rPr>
      </w:pPr>
    </w:p>
    <w:p w14:paraId="2F9C4D1E">
      <w:pPr>
        <w:pStyle w:val="3"/>
        <w:spacing w:before="286" w:after="286"/>
        <w:rPr>
          <w:color w:val="000000" w:themeColor="text1"/>
          <w:sz w:val="32"/>
          <w:szCs w:val="32"/>
          <w:highlight w:val="none"/>
          <w14:textFill>
            <w14:solidFill>
              <w14:schemeClr w14:val="tx1"/>
            </w14:solidFill>
          </w14:textFill>
        </w:rPr>
      </w:pPr>
      <w:bookmarkStart w:id="72" w:name="_Toc22855"/>
      <w:r>
        <w:rPr>
          <w:rFonts w:hint="eastAsia"/>
          <w:color w:val="000000" w:themeColor="text1"/>
          <w:sz w:val="32"/>
          <w:szCs w:val="32"/>
          <w:highlight w:val="none"/>
          <w14:textFill>
            <w14:solidFill>
              <w14:schemeClr w14:val="tx1"/>
            </w14:solidFill>
          </w14:textFill>
        </w:rPr>
        <w:t>第四部分投标人须知</w:t>
      </w:r>
      <w:bookmarkEnd w:id="71"/>
      <w:bookmarkEnd w:id="72"/>
    </w:p>
    <w:p w14:paraId="1962E71C">
      <w:pPr>
        <w:jc w:val="center"/>
        <w:outlineLvl w:val="1"/>
        <w:rPr>
          <w:rFonts w:ascii="宋体" w:hAnsi="宋体" w:cs="宋体"/>
          <w:b/>
          <w:color w:val="000000" w:themeColor="text1"/>
          <w:sz w:val="28"/>
          <w:highlight w:val="none"/>
          <w14:textFill>
            <w14:solidFill>
              <w14:schemeClr w14:val="tx1"/>
            </w14:solidFill>
          </w14:textFill>
        </w:rPr>
      </w:pPr>
      <w:bookmarkStart w:id="73" w:name="_Toc31841"/>
      <w:bookmarkStart w:id="74" w:name="_Toc520902394"/>
      <w:bookmarkStart w:id="75" w:name="_Toc513798900"/>
      <w:bookmarkStart w:id="76" w:name="_Toc136017630"/>
      <w:bookmarkStart w:id="77" w:name="_Toc440276561"/>
      <w:bookmarkStart w:id="78" w:name="_Toc513799071"/>
      <w:bookmarkStart w:id="79" w:name="_Toc136345101"/>
      <w:bookmarkStart w:id="80" w:name="_Toc316649293"/>
      <w:bookmarkStart w:id="81" w:name="_Toc501721199"/>
      <w:bookmarkStart w:id="82" w:name="_Toc481153658"/>
      <w:bookmarkStart w:id="83" w:name="_Toc501721427"/>
      <w:bookmarkStart w:id="84" w:name="_Toc501721316"/>
      <w:bookmarkStart w:id="85" w:name="_Toc481153623"/>
      <w:bookmarkStart w:id="86" w:name="_Toc502819341"/>
      <w:bookmarkStart w:id="87" w:name="_Toc497935707"/>
      <w:r>
        <w:rPr>
          <w:rFonts w:hint="eastAsia" w:ascii="宋体" w:hAnsi="宋体" w:cs="宋体"/>
          <w:b/>
          <w:color w:val="000000" w:themeColor="text1"/>
          <w:sz w:val="28"/>
          <w:highlight w:val="none"/>
          <w14:textFill>
            <w14:solidFill>
              <w14:schemeClr w14:val="tx1"/>
            </w14:solidFill>
          </w14:textFill>
        </w:rPr>
        <w:t>A  总则</w:t>
      </w:r>
      <w:bookmarkEnd w:id="73"/>
      <w:bookmarkEnd w:id="74"/>
      <w:bookmarkEnd w:id="75"/>
      <w:bookmarkEnd w:id="76"/>
      <w:bookmarkEnd w:id="77"/>
      <w:bookmarkEnd w:id="78"/>
      <w:bookmarkEnd w:id="79"/>
    </w:p>
    <w:p w14:paraId="5F8336E6">
      <w:pPr>
        <w:spacing w:line="360" w:lineRule="auto"/>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   适用范围</w:t>
      </w:r>
    </w:p>
    <w:p w14:paraId="284F23BF">
      <w:pP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本招标文件适用于本项目的招标、投标、开标、资格审查及信用信息查询、评标、定标、合同、验收等行为（法律、法规另有规定的，从其规定）。</w:t>
      </w:r>
    </w:p>
    <w:p w14:paraId="46EEA7B6">
      <w:pPr>
        <w:spacing w:line="360" w:lineRule="auto"/>
        <w:rPr>
          <w:rFonts w:ascii="宋体" w:hAnsi="宋体" w:cs="宋体"/>
          <w:b/>
          <w:color w:val="000000" w:themeColor="text1"/>
          <w:szCs w:val="21"/>
          <w:highlight w:val="none"/>
          <w14:textFill>
            <w14:solidFill>
              <w14:schemeClr w14:val="tx1"/>
            </w14:solidFill>
          </w14:textFill>
        </w:rPr>
      </w:pPr>
    </w:p>
    <w:p w14:paraId="574B4225">
      <w:pPr>
        <w:spacing w:line="360" w:lineRule="auto"/>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   定义</w:t>
      </w:r>
    </w:p>
    <w:p w14:paraId="6041E41C">
      <w:pPr>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2.1</w:t>
      </w:r>
      <w:r>
        <w:rPr>
          <w:rFonts w:hint="eastAsia" w:ascii="宋体" w:hAnsi="宋体" w:cs="宋体"/>
          <w:color w:val="000000" w:themeColor="text1"/>
          <w:szCs w:val="21"/>
          <w:highlight w:val="none"/>
          <w14:textFill>
            <w14:solidFill>
              <w14:schemeClr w14:val="tx1"/>
            </w14:solidFill>
          </w14:textFill>
        </w:rPr>
        <w:t xml:space="preserve">  “采购人”、“采购代理机构”和“项目名称”：</w:t>
      </w:r>
      <w:r>
        <w:rPr>
          <w:rFonts w:ascii="宋体" w:hAnsi="宋体" w:cs="宋体"/>
          <w:color w:val="000000" w:themeColor="text1"/>
          <w:szCs w:val="21"/>
          <w:highlight w:val="none"/>
          <w14:textFill>
            <w14:solidFill>
              <w14:schemeClr w14:val="tx1"/>
            </w14:solidFill>
          </w14:textFill>
        </w:rPr>
        <w:t>见</w:t>
      </w:r>
      <w:r>
        <w:rPr>
          <w:rFonts w:hint="eastAsia" w:ascii="宋体" w:hAnsi="宋体" w:cs="宋体"/>
          <w:color w:val="000000" w:themeColor="text1"/>
          <w:szCs w:val="21"/>
          <w:highlight w:val="none"/>
          <w14:textFill>
            <w14:solidFill>
              <w14:schemeClr w14:val="tx1"/>
            </w14:solidFill>
          </w14:textFill>
        </w:rPr>
        <w:t>“投标资料表”</w:t>
      </w:r>
      <w:r>
        <w:rPr>
          <w:rFonts w:ascii="宋体" w:hAnsi="宋体" w:cs="宋体"/>
          <w:color w:val="000000" w:themeColor="text1"/>
          <w:szCs w:val="21"/>
          <w:highlight w:val="none"/>
          <w14:textFill>
            <w14:solidFill>
              <w14:schemeClr w14:val="tx1"/>
            </w14:solidFill>
          </w14:textFill>
        </w:rPr>
        <w:t>。</w:t>
      </w:r>
    </w:p>
    <w:p w14:paraId="55D39A2B">
      <w:pPr>
        <w:spacing w:line="360" w:lineRule="auto"/>
        <w:rPr>
          <w:rFonts w:ascii="宋体" w:hAnsi="宋体" w:cs="宋体"/>
          <w:bCs/>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2.2</w:t>
      </w:r>
      <w:r>
        <w:rPr>
          <w:rFonts w:hint="eastAsia" w:ascii="宋体" w:hAnsi="宋体" w:cs="宋体"/>
          <w:bCs/>
          <w:color w:val="000000" w:themeColor="text1"/>
          <w:szCs w:val="21"/>
          <w:highlight w:val="none"/>
          <w14:textFill>
            <w14:solidFill>
              <w14:schemeClr w14:val="tx1"/>
            </w14:solidFill>
          </w14:textFill>
        </w:rPr>
        <w:t xml:space="preserve">  “供应商”系指采购人发布招标公告后，所有对招标项目有意向、并有可能参加本项目投标的法人、其他组织或者自然人。</w:t>
      </w:r>
    </w:p>
    <w:p w14:paraId="343F5EB4">
      <w:pPr>
        <w:spacing w:line="360" w:lineRule="auto"/>
        <w:rPr>
          <w:rFonts w:ascii="宋体" w:hAnsi="宋体" w:cs="宋体"/>
          <w:bCs/>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2.3</w:t>
      </w:r>
      <w:r>
        <w:rPr>
          <w:rFonts w:hint="eastAsia" w:ascii="宋体" w:hAnsi="宋体" w:cs="宋体"/>
          <w:bCs/>
          <w:color w:val="000000" w:themeColor="text1"/>
          <w:szCs w:val="21"/>
          <w:highlight w:val="none"/>
          <w14:textFill>
            <w14:solidFill>
              <w14:schemeClr w14:val="tx1"/>
            </w14:solidFill>
          </w14:textFill>
        </w:rPr>
        <w:t xml:space="preserve">  “投标人”系指响应招标、参加投标竞争的法人、其他组织或者自然人。</w:t>
      </w:r>
    </w:p>
    <w:p w14:paraId="648FD9D9">
      <w:pPr>
        <w:spacing w:line="360" w:lineRule="auto"/>
        <w:rPr>
          <w:rFonts w:ascii="宋体" w:hAnsi="宋体" w:cs="宋体"/>
          <w:bCs/>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2.4  </w:t>
      </w:r>
      <w:r>
        <w:rPr>
          <w:rFonts w:hint="eastAsia" w:ascii="宋体" w:hAnsi="宋体" w:cs="宋体"/>
          <w:bCs/>
          <w:color w:val="000000" w:themeColor="text1"/>
          <w:szCs w:val="21"/>
          <w:highlight w:val="none"/>
          <w14:textFill>
            <w14:solidFill>
              <w14:schemeClr w14:val="tx1"/>
            </w14:solidFill>
          </w14:textFill>
        </w:rPr>
        <w:t>“负责人”系指法人企业的法定负责人，或其他组织为法律、行政法规规定代表单位行使职权的主要负责人，或自然人本人。</w:t>
      </w:r>
    </w:p>
    <w:p w14:paraId="24BE1856">
      <w:pPr>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2.5</w:t>
      </w:r>
      <w:r>
        <w:rPr>
          <w:rFonts w:hint="eastAsia" w:ascii="宋体" w:hAnsi="宋体" w:cs="宋体"/>
          <w:color w:val="000000" w:themeColor="text1"/>
          <w:szCs w:val="21"/>
          <w:highlight w:val="none"/>
          <w14:textFill>
            <w14:solidFill>
              <w14:schemeClr w14:val="tx1"/>
            </w14:solidFill>
          </w14:textFill>
        </w:rPr>
        <w:t xml:space="preserve">  “产品”系指投标人按招标文件规定，须向采购人提供的一切设备、保险、税金、备品备件、工具、手册及其它有关技术资料和材料。</w:t>
      </w:r>
    </w:p>
    <w:p w14:paraId="6A476521">
      <w:pPr>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2.6</w:t>
      </w:r>
      <w:r>
        <w:rPr>
          <w:rFonts w:hint="eastAsia" w:ascii="宋体" w:hAnsi="宋体" w:cs="宋体"/>
          <w:color w:val="000000" w:themeColor="text1"/>
          <w:szCs w:val="21"/>
          <w:highlight w:val="none"/>
          <w14:textFill>
            <w14:solidFill>
              <w14:schemeClr w14:val="tx1"/>
            </w14:solidFill>
          </w14:textFill>
        </w:rPr>
        <w:t xml:space="preserve">  “服务”系指招标文件规定投标人须承担的安装、调试、技术协助、校准、培训、技术指导以及其它类似的义务。</w:t>
      </w:r>
    </w:p>
    <w:p w14:paraId="6EE509BB">
      <w:pPr>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2.7</w:t>
      </w:r>
      <w:r>
        <w:rPr>
          <w:rFonts w:hint="eastAsia" w:ascii="宋体" w:hAnsi="宋体" w:cs="宋体"/>
          <w:color w:val="000000" w:themeColor="text1"/>
          <w:szCs w:val="21"/>
          <w:highlight w:val="none"/>
          <w14:textFill>
            <w14:solidFill>
              <w14:schemeClr w14:val="tx1"/>
            </w14:solidFill>
          </w14:textFill>
        </w:rPr>
        <w:t xml:space="preserve">  “项目”系指投标人按招标文件规定向采购人提供的货物或服务。</w:t>
      </w:r>
    </w:p>
    <w:p w14:paraId="379E4015">
      <w:pPr>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2.8</w:t>
      </w:r>
      <w:r>
        <w:rPr>
          <w:rFonts w:hint="eastAsia" w:ascii="宋体" w:hAnsi="宋体" w:cs="宋体"/>
          <w:color w:val="000000" w:themeColor="text1"/>
          <w:szCs w:val="21"/>
          <w:highlight w:val="none"/>
          <w14:textFill>
            <w14:solidFill>
              <w14:schemeClr w14:val="tx1"/>
            </w14:solidFill>
          </w14:textFill>
        </w:rPr>
        <w:t xml:space="preserve">  “书面形式”包括信函、传真、邮件等。</w:t>
      </w:r>
    </w:p>
    <w:p w14:paraId="5E1BC7A6">
      <w:pPr>
        <w:spacing w:line="360" w:lineRule="auto"/>
        <w:ind w:left="632" w:hanging="630" w:hangingChars="300"/>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2.9</w:t>
      </w:r>
      <w:r>
        <w:rPr>
          <w:rFonts w:hint="eastAsia" w:ascii="宋体" w:hAnsi="宋体" w:cs="宋体"/>
          <w:color w:val="000000" w:themeColor="text1"/>
          <w:szCs w:val="21"/>
          <w:highlight w:val="none"/>
          <w14:textFill>
            <w14:solidFill>
              <w14:schemeClr w14:val="tx1"/>
            </w14:solidFill>
          </w14:textFill>
        </w:rPr>
        <w:t xml:space="preserve">  “★”系指实质性要求条款。投标文件对这些条款的任何负偏离将导致投标无效。  “</w:t>
      </w:r>
      <w:sdt>
        <w:sdtPr>
          <w:rPr>
            <w:rFonts w:hint="eastAsia" w:cs="Arial" w:asciiTheme="minorEastAsia" w:hAnsiTheme="minorEastAsia" w:eastAsiaTheme="minorEastAsia"/>
            <w:color w:val="000000" w:themeColor="text1"/>
            <w:kern w:val="0"/>
            <w:sz w:val="24"/>
            <w:highlight w:val="none"/>
            <w14:textFill>
              <w14:solidFill>
                <w14:schemeClr w14:val="tx1"/>
              </w14:solidFill>
            </w14:textFill>
          </w:rPr>
          <w:id w:val="512970236"/>
        </w:sdtPr>
        <w:sdtEndPr>
          <w:rPr>
            <w:rFonts w:hint="eastAsia" w:cs="Arial" w:asciiTheme="minorEastAsia" w:hAnsiTheme="minorEastAsia" w:eastAsiaTheme="minorEastAsia"/>
            <w:color w:val="000000" w:themeColor="text1"/>
            <w:kern w:val="0"/>
            <w:sz w:val="24"/>
            <w:highlight w:val="none"/>
            <w14:textFill>
              <w14:solidFill>
                <w14:schemeClr w14:val="tx1"/>
              </w14:solidFill>
            </w14:textFill>
          </w:rPr>
        </w:sdtEndPr>
        <w:sdtContent>
          <w:r>
            <w:rPr>
              <w:rFonts w:ascii="Wingdings" w:hAnsi="Wingdings" w:cs="Arial" w:eastAsiaTheme="minorEastAsia"/>
              <w:color w:val="000000" w:themeColor="text1"/>
              <w:kern w:val="0"/>
              <w:sz w:val="24"/>
              <w:szCs w:val="24"/>
              <w:highlight w:val="none"/>
              <w14:textFill>
                <w14:solidFill>
                  <w14:schemeClr w14:val="tx1"/>
                </w14:solidFill>
              </w14:textFill>
            </w:rPr>
            <w:t></w:t>
          </w:r>
        </w:sdtContent>
      </w:sdt>
      <w:r>
        <w:rPr>
          <w:rFonts w:hint="eastAsia" w:ascii="宋体" w:hAnsi="宋体" w:cs="宋体"/>
          <w:color w:val="000000" w:themeColor="text1"/>
          <w:szCs w:val="21"/>
          <w:highlight w:val="none"/>
          <w14:textFill>
            <w14:solidFill>
              <w14:schemeClr w14:val="tx1"/>
            </w14:solidFill>
          </w14:textFill>
        </w:rPr>
        <w:t>” 系指适用本项目的要求，“☐” 系指不适用本项目的要求。</w:t>
      </w:r>
    </w:p>
    <w:p w14:paraId="3C4C946F">
      <w:pPr>
        <w:spacing w:line="360" w:lineRule="auto"/>
        <w:rPr>
          <w:rFonts w:ascii="宋体" w:hAnsi="宋体" w:cs="宋体"/>
          <w:b/>
          <w:color w:val="000000" w:themeColor="text1"/>
          <w:szCs w:val="21"/>
          <w:highlight w:val="none"/>
          <w14:textFill>
            <w14:solidFill>
              <w14:schemeClr w14:val="tx1"/>
            </w14:solidFill>
          </w14:textFill>
        </w:rPr>
      </w:pPr>
    </w:p>
    <w:p w14:paraId="73971445">
      <w:pPr>
        <w:spacing w:line="360" w:lineRule="auto"/>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3.   招标范围</w:t>
      </w:r>
    </w:p>
    <w:p w14:paraId="24F36FD0">
      <w:pPr>
        <w:spacing w:line="360" w:lineRule="auto"/>
        <w:rPr>
          <w:rFonts w:ascii="宋体" w:hAnsi="宋体"/>
          <w:color w:val="000000" w:themeColor="text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3.1  </w:t>
      </w:r>
      <w:r>
        <w:rPr>
          <w:rFonts w:hint="eastAsia" w:ascii="宋体" w:hAnsi="宋体"/>
          <w:color w:val="000000" w:themeColor="text1"/>
          <w:highlight w:val="none"/>
          <w14:textFill>
            <w14:solidFill>
              <w14:schemeClr w14:val="tx1"/>
            </w14:solidFill>
          </w14:textFill>
        </w:rPr>
        <w:t>招标范围：</w:t>
      </w:r>
      <w:r>
        <w:rPr>
          <w:rFonts w:ascii="宋体" w:hAnsi="宋体"/>
          <w:color w:val="000000" w:themeColor="text1"/>
          <w:highlight w:val="none"/>
          <w14:textFill>
            <w14:solidFill>
              <w14:schemeClr w14:val="tx1"/>
            </w14:solidFill>
          </w14:textFill>
        </w:rPr>
        <w:t>见</w:t>
      </w:r>
      <w:r>
        <w:rPr>
          <w:rFonts w:hint="eastAsia" w:ascii="宋体" w:hAnsi="宋体"/>
          <w:color w:val="000000" w:themeColor="text1"/>
          <w:highlight w:val="none"/>
          <w14:textFill>
            <w14:solidFill>
              <w14:schemeClr w14:val="tx1"/>
            </w14:solidFill>
          </w14:textFill>
        </w:rPr>
        <w:t>“投标资料表”</w:t>
      </w:r>
      <w:r>
        <w:rPr>
          <w:rFonts w:ascii="宋体" w:hAnsi="宋体"/>
          <w:color w:val="000000" w:themeColor="text1"/>
          <w:highlight w:val="none"/>
          <w14:textFill>
            <w14:solidFill>
              <w14:schemeClr w14:val="tx1"/>
            </w14:solidFill>
          </w14:textFill>
        </w:rPr>
        <w:t>。</w:t>
      </w:r>
    </w:p>
    <w:p w14:paraId="1E467530">
      <w:pPr>
        <w:spacing w:line="360" w:lineRule="auto"/>
        <w:rPr>
          <w:rFonts w:ascii="宋体" w:hAnsi="宋体"/>
          <w:color w:val="000000" w:themeColor="text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3.2</w:t>
      </w:r>
      <w:r>
        <w:rPr>
          <w:rFonts w:hint="eastAsia" w:ascii="宋体" w:hAnsi="宋体"/>
          <w:color w:val="000000" w:themeColor="text1"/>
          <w:highlight w:val="none"/>
          <w14:textFill>
            <w14:solidFill>
              <w14:schemeClr w14:val="tx1"/>
            </w14:solidFill>
          </w14:textFill>
        </w:rPr>
        <w:t xml:space="preserve">  本项目转包、分包具体要求在招标文件“投标资料表”中做出规定。</w:t>
      </w:r>
    </w:p>
    <w:p w14:paraId="7479CDB2">
      <w:pPr>
        <w:spacing w:line="360" w:lineRule="auto"/>
        <w:ind w:firstLine="210" w:firstLineChars="100"/>
        <w:rPr>
          <w:rFonts w:ascii="宋体" w:hAnsi="宋体" w:cs="宋体"/>
          <w:b/>
          <w:color w:val="000000" w:themeColor="text1"/>
          <w:szCs w:val="21"/>
          <w:highlight w:val="none"/>
          <w14:textFill>
            <w14:solidFill>
              <w14:schemeClr w14:val="tx1"/>
            </w14:solidFill>
          </w14:textFill>
        </w:rPr>
      </w:pPr>
    </w:p>
    <w:p w14:paraId="3982F28C">
      <w:pPr>
        <w:spacing w:line="360" w:lineRule="auto"/>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4.   合格的投标人</w:t>
      </w:r>
    </w:p>
    <w:p w14:paraId="06996DF5">
      <w:pPr>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4.1  </w:t>
      </w:r>
      <w:r>
        <w:rPr>
          <w:rFonts w:hint="eastAsia" w:ascii="宋体" w:hAnsi="宋体" w:cs="宋体"/>
          <w:color w:val="000000" w:themeColor="text1"/>
          <w:szCs w:val="21"/>
          <w:highlight w:val="none"/>
          <w14:textFill>
            <w14:solidFill>
              <w14:schemeClr w14:val="tx1"/>
            </w14:solidFill>
          </w14:textFill>
        </w:rPr>
        <w:t>合格的投标人应该是：</w:t>
      </w:r>
    </w:p>
    <w:p w14:paraId="4B13352D">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是指向采购人提供货物、工程或者服务的法人、其他组织或者自然人。除金融、保险、通讯、石油石化、电力等特定行业的全国性企业所设立的区域性分支机构允许投标外，其他法人的分支机构不允许参加投标。</w:t>
      </w:r>
    </w:p>
    <w:p w14:paraId="794D1C60">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w:t>
      </w:r>
    </w:p>
    <w:p w14:paraId="5545F729">
      <w:pPr>
        <w:spacing w:line="440" w:lineRule="exact"/>
        <w:ind w:firstLine="420" w:firstLineChars="200"/>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根据政府采购相关法律、法规、规章、文件规定并满足招标文件规定资格条件的区域性分支机构、个人独资企业、合伙企业参加本项目投标并由单位负责人签署的相关投标资料与本招标文件规定由法定代表人签署的文件材料具有同等效力。</w:t>
      </w:r>
    </w:p>
    <w:p w14:paraId="6F76335F">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4.2</w:t>
      </w:r>
      <w:r>
        <w:rPr>
          <w:rFonts w:hint="eastAsia" w:ascii="宋体" w:hAnsi="宋体" w:cs="宋体"/>
          <w:color w:val="000000" w:themeColor="text1"/>
          <w:szCs w:val="21"/>
          <w:highlight w:val="none"/>
          <w14:textFill>
            <w14:solidFill>
              <w14:schemeClr w14:val="tx1"/>
            </w14:solidFill>
          </w14:textFill>
        </w:rPr>
        <w:t xml:space="preserve">  符合本招标文件载明的对上述</w:t>
      </w:r>
      <w:r>
        <w:rPr>
          <w:rFonts w:hint="eastAsia" w:ascii="宋体" w:hAnsi="宋体" w:cs="宋体"/>
          <w:b/>
          <w:color w:val="000000" w:themeColor="text1"/>
          <w:szCs w:val="21"/>
          <w:highlight w:val="none"/>
          <w14:textFill>
            <w14:solidFill>
              <w14:schemeClr w14:val="tx1"/>
            </w14:solidFill>
          </w14:textFill>
        </w:rPr>
        <w:t>4.1</w:t>
      </w:r>
      <w:r>
        <w:rPr>
          <w:rFonts w:hint="eastAsia" w:ascii="宋体" w:hAnsi="宋体" w:cs="宋体"/>
          <w:color w:val="000000" w:themeColor="text1"/>
          <w:szCs w:val="21"/>
          <w:highlight w:val="none"/>
          <w14:textFill>
            <w14:solidFill>
              <w14:schemeClr w14:val="tx1"/>
            </w14:solidFill>
          </w14:textFill>
        </w:rPr>
        <w:t>条的例外的规定或对投标人资格的其他补充要求：详见招标公告。</w:t>
      </w:r>
    </w:p>
    <w:p w14:paraId="0227A574">
      <w:pPr>
        <w:spacing w:line="400" w:lineRule="exact"/>
        <w:rPr>
          <w:rFonts w:ascii="宋体" w:hAnsi="宋体" w:cs="宋体"/>
          <w:color w:val="000000" w:themeColor="text1"/>
          <w:szCs w:val="21"/>
          <w:highlight w:val="none"/>
          <w14:textFill>
            <w14:solidFill>
              <w14:schemeClr w14:val="tx1"/>
            </w14:solidFill>
          </w14:textFill>
        </w:rPr>
      </w:pPr>
    </w:p>
    <w:p w14:paraId="67F5A927">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5.投标人代表</w:t>
      </w:r>
    </w:p>
    <w:p w14:paraId="2C3A3C78">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5.1</w:t>
      </w:r>
      <w:r>
        <w:rPr>
          <w:rFonts w:hint="eastAsia" w:ascii="宋体" w:hAnsi="宋体" w:cs="宋体"/>
          <w:color w:val="000000" w:themeColor="text1"/>
          <w:szCs w:val="21"/>
          <w:highlight w:val="none"/>
          <w14:textFill>
            <w14:solidFill>
              <w14:schemeClr w14:val="tx1"/>
            </w14:solidFill>
          </w14:textFill>
        </w:rPr>
        <w:t xml:space="preserve">  投标人代表须持有“单位负责人授权书”。单位负责人是指单位法定代表人或者法律、行政法规规定代表单位行使职权的主要负责人（下同）。</w:t>
      </w:r>
    </w:p>
    <w:p w14:paraId="62D2FF85">
      <w:pPr>
        <w:spacing w:line="400" w:lineRule="exact"/>
        <w:rPr>
          <w:rFonts w:ascii="宋体" w:hAnsi="宋体" w:cs="宋体"/>
          <w:color w:val="000000" w:themeColor="text1"/>
          <w:szCs w:val="21"/>
          <w:highlight w:val="none"/>
          <w:shd w:val="pct10" w:color="auto" w:fill="FFFFFF"/>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5.2  </w:t>
      </w:r>
      <w:r>
        <w:rPr>
          <w:rFonts w:hint="eastAsia" w:ascii="宋体" w:hAnsi="宋体" w:cs="宋体"/>
          <w:color w:val="000000" w:themeColor="text1"/>
          <w:szCs w:val="21"/>
          <w:highlight w:val="none"/>
          <w14:textFill>
            <w14:solidFill>
              <w14:schemeClr w14:val="tx1"/>
            </w14:solidFill>
          </w14:textFill>
        </w:rPr>
        <w:t>若投标人代表是单位负责人的，则须符合本须知第</w:t>
      </w:r>
      <w:r>
        <w:rPr>
          <w:rFonts w:hint="eastAsia" w:ascii="宋体" w:hAnsi="宋体" w:cs="宋体"/>
          <w:b/>
          <w:color w:val="000000" w:themeColor="text1"/>
          <w:szCs w:val="21"/>
          <w:highlight w:val="none"/>
          <w14:textFill>
            <w14:solidFill>
              <w14:schemeClr w14:val="tx1"/>
            </w14:solidFill>
          </w14:textFill>
        </w:rPr>
        <w:t>9.1</w:t>
      </w:r>
      <w:r>
        <w:rPr>
          <w:rFonts w:hint="eastAsia" w:ascii="宋体" w:hAnsi="宋体" w:cs="宋体"/>
          <w:color w:val="000000" w:themeColor="text1"/>
          <w:szCs w:val="21"/>
          <w:highlight w:val="none"/>
          <w14:textFill>
            <w14:solidFill>
              <w14:schemeClr w14:val="tx1"/>
            </w14:solidFill>
          </w14:textFill>
        </w:rPr>
        <w:t>条的要求。</w:t>
      </w:r>
    </w:p>
    <w:p w14:paraId="6589D3FB">
      <w:pPr>
        <w:spacing w:line="400" w:lineRule="exact"/>
        <w:rPr>
          <w:rFonts w:ascii="宋体" w:hAnsi="宋体" w:cs="宋体"/>
          <w:color w:val="000000" w:themeColor="text1"/>
          <w:szCs w:val="21"/>
          <w:highlight w:val="none"/>
          <w14:textFill>
            <w14:solidFill>
              <w14:schemeClr w14:val="tx1"/>
            </w14:solidFill>
          </w14:textFill>
        </w:rPr>
      </w:pPr>
    </w:p>
    <w:p w14:paraId="166344AC">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6.投标费用</w:t>
      </w:r>
    </w:p>
    <w:p w14:paraId="720D295C">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6.1</w:t>
      </w:r>
      <w:r>
        <w:rPr>
          <w:rFonts w:hint="eastAsia" w:ascii="宋体" w:hAnsi="宋体" w:cs="宋体"/>
          <w:color w:val="000000" w:themeColor="text1"/>
          <w:szCs w:val="21"/>
          <w:highlight w:val="none"/>
          <w14:textFill>
            <w14:solidFill>
              <w14:schemeClr w14:val="tx1"/>
            </w14:solidFill>
          </w14:textFill>
        </w:rPr>
        <w:t xml:space="preserve">  不论招标的结果如何，投标人自行承担其参加本次投标有关的全部费用。</w:t>
      </w:r>
    </w:p>
    <w:p w14:paraId="05EF6F8E">
      <w:pPr>
        <w:spacing w:line="400" w:lineRule="exact"/>
        <w:jc w:val="center"/>
        <w:rPr>
          <w:rFonts w:ascii="宋体" w:hAnsi="宋体" w:cs="宋体"/>
          <w:b/>
          <w:color w:val="000000" w:themeColor="text1"/>
          <w:sz w:val="28"/>
          <w:highlight w:val="none"/>
          <w14:textFill>
            <w14:solidFill>
              <w14:schemeClr w14:val="tx1"/>
            </w14:solidFill>
          </w14:textFill>
        </w:rPr>
      </w:pPr>
    </w:p>
    <w:p w14:paraId="14588719">
      <w:pPr>
        <w:jc w:val="center"/>
        <w:outlineLvl w:val="1"/>
        <w:rPr>
          <w:rFonts w:ascii="宋体" w:hAnsi="宋体" w:cs="宋体"/>
          <w:b/>
          <w:color w:val="000000" w:themeColor="text1"/>
          <w:sz w:val="28"/>
          <w:highlight w:val="none"/>
          <w14:textFill>
            <w14:solidFill>
              <w14:schemeClr w14:val="tx1"/>
            </w14:solidFill>
          </w14:textFill>
        </w:rPr>
      </w:pPr>
      <w:bookmarkStart w:id="88" w:name="_Toc136017631"/>
      <w:bookmarkStart w:id="89" w:name="_Toc513798901"/>
      <w:bookmarkStart w:id="90" w:name="_Toc520902395"/>
      <w:bookmarkStart w:id="91" w:name="_Toc513799072"/>
      <w:bookmarkStart w:id="92" w:name="_Toc3442"/>
      <w:bookmarkStart w:id="93" w:name="_Toc440276562"/>
      <w:bookmarkStart w:id="94" w:name="_Toc136345102"/>
      <w:r>
        <w:rPr>
          <w:rFonts w:hint="eastAsia" w:ascii="宋体" w:hAnsi="宋体" w:cs="宋体"/>
          <w:b/>
          <w:color w:val="000000" w:themeColor="text1"/>
          <w:sz w:val="28"/>
          <w:highlight w:val="none"/>
          <w14:textFill>
            <w14:solidFill>
              <w14:schemeClr w14:val="tx1"/>
            </w14:solidFill>
          </w14:textFill>
        </w:rPr>
        <w:t>B  招标文件</w:t>
      </w:r>
      <w:bookmarkEnd w:id="88"/>
      <w:bookmarkEnd w:id="89"/>
      <w:bookmarkEnd w:id="90"/>
      <w:bookmarkEnd w:id="91"/>
      <w:bookmarkEnd w:id="92"/>
      <w:bookmarkEnd w:id="93"/>
      <w:bookmarkEnd w:id="94"/>
    </w:p>
    <w:p w14:paraId="6A10715A">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7.招标文件的构成</w:t>
      </w:r>
    </w:p>
    <w:p w14:paraId="7181C629">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7.1</w:t>
      </w:r>
      <w:r>
        <w:rPr>
          <w:rFonts w:hint="eastAsia" w:ascii="宋体" w:hAnsi="宋体" w:cs="宋体"/>
          <w:color w:val="000000" w:themeColor="text1"/>
          <w:szCs w:val="21"/>
          <w:highlight w:val="none"/>
          <w14:textFill>
            <w14:solidFill>
              <w14:schemeClr w14:val="tx1"/>
            </w14:solidFill>
          </w14:textFill>
        </w:rPr>
        <w:t xml:space="preserve"> 招标文件共有七部分。内容如下：</w:t>
      </w:r>
    </w:p>
    <w:p w14:paraId="250CE992">
      <w:pPr>
        <w:spacing w:line="400" w:lineRule="exact"/>
        <w:ind w:left="281" w:leftChars="134"/>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第一部分招标公告</w:t>
      </w:r>
    </w:p>
    <w:p w14:paraId="1CE44C0D">
      <w:pPr>
        <w:spacing w:line="400" w:lineRule="exact"/>
        <w:ind w:left="281" w:leftChars="134"/>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第二部分招标项目需求</w:t>
      </w:r>
    </w:p>
    <w:p w14:paraId="4B6959A0">
      <w:pPr>
        <w:spacing w:line="400" w:lineRule="exact"/>
        <w:ind w:left="281" w:leftChars="134"/>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第三部分投标资料表</w:t>
      </w:r>
    </w:p>
    <w:p w14:paraId="3EBBC5C8">
      <w:pPr>
        <w:spacing w:line="400" w:lineRule="exact"/>
        <w:ind w:left="281" w:leftChars="134"/>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第四部分投标人须知</w:t>
      </w:r>
    </w:p>
    <w:p w14:paraId="71DE711A">
      <w:pPr>
        <w:spacing w:line="400" w:lineRule="exact"/>
        <w:ind w:left="281" w:leftChars="134"/>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第五部分评标办法</w:t>
      </w:r>
    </w:p>
    <w:p w14:paraId="01B0D8AD">
      <w:pPr>
        <w:spacing w:line="400" w:lineRule="exact"/>
        <w:ind w:left="281" w:leftChars="134"/>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第六部分合同格式</w:t>
      </w:r>
    </w:p>
    <w:p w14:paraId="29C3F374">
      <w:pPr>
        <w:spacing w:line="400" w:lineRule="exact"/>
        <w:ind w:left="281" w:leftChars="134"/>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第七部分投标文件格式</w:t>
      </w:r>
    </w:p>
    <w:p w14:paraId="222FDFCA">
      <w:pPr>
        <w:spacing w:line="400" w:lineRule="exact"/>
        <w:ind w:firstLine="420" w:firstLineChars="200"/>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投标人应详细阅读招标文件的全部内容和要求，不按招标文件的要求提供投标文件和资料导致的风险由投标人承担。</w:t>
      </w:r>
    </w:p>
    <w:p w14:paraId="1B17EBE5">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7.2 </w:t>
      </w:r>
      <w:r>
        <w:rPr>
          <w:rFonts w:hint="eastAsia" w:ascii="宋体" w:hAnsi="宋体" w:cs="宋体"/>
          <w:color w:val="000000" w:themeColor="text1"/>
          <w:szCs w:val="21"/>
          <w:highlight w:val="none"/>
          <w14:textFill>
            <w14:solidFill>
              <w14:schemeClr w14:val="tx1"/>
            </w14:solidFill>
          </w14:textFill>
        </w:rPr>
        <w:t>与本项目有关的澄清或者修改的内容为招标文件的组成部分。</w:t>
      </w:r>
    </w:p>
    <w:p w14:paraId="04512019">
      <w:pPr>
        <w:spacing w:line="400" w:lineRule="exact"/>
        <w:ind w:firstLine="210" w:firstLineChars="100"/>
        <w:rPr>
          <w:rFonts w:ascii="宋体" w:hAnsi="宋体" w:cs="宋体"/>
          <w:b/>
          <w:color w:val="000000" w:themeColor="text1"/>
          <w:szCs w:val="21"/>
          <w:highlight w:val="none"/>
          <w14:textFill>
            <w14:solidFill>
              <w14:schemeClr w14:val="tx1"/>
            </w14:solidFill>
          </w14:textFill>
        </w:rPr>
      </w:pPr>
    </w:p>
    <w:p w14:paraId="01106ECE">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8.招标文件的澄清和修改</w:t>
      </w:r>
    </w:p>
    <w:p w14:paraId="6000237E">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8.1</w:t>
      </w:r>
      <w:r>
        <w:rPr>
          <w:rFonts w:hint="eastAsia" w:ascii="宋体" w:hAnsi="宋体" w:cs="宋体"/>
          <w:color w:val="000000" w:themeColor="text1"/>
          <w:szCs w:val="21"/>
          <w:highlight w:val="none"/>
          <w14:textFill>
            <w14:solidFill>
              <w14:schemeClr w14:val="tx1"/>
            </w14:solidFill>
          </w14:textFill>
        </w:rPr>
        <w:t>采购人或者采购代理机构可以在招标文件提供期限截止后，组织已获取招标文件的潜在投标人现场考察或者召开开标前答疑会。组织现场考察或者召开答疑会的在招标文件“投标资料表”中载明。</w:t>
      </w:r>
    </w:p>
    <w:p w14:paraId="20BB10AC">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8.2  </w:t>
      </w:r>
      <w:r>
        <w:rPr>
          <w:rFonts w:hint="eastAsia" w:ascii="宋体" w:hAnsi="宋体" w:cs="宋体"/>
          <w:color w:val="000000" w:themeColor="text1"/>
          <w:szCs w:val="21"/>
          <w:highlight w:val="none"/>
          <w14:textFill>
            <w14:solidFill>
              <w14:schemeClr w14:val="tx1"/>
            </w14:solidFill>
          </w14:textFill>
        </w:rPr>
        <w:t>若潜在投标人对招标文件有疑点，要求采购人澄清的，应以书面形式通知采购代理机构，要求澄清的截止时间同有效质疑的截止时间。</w:t>
      </w:r>
    </w:p>
    <w:p w14:paraId="79E5E953">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8.3</w:t>
      </w:r>
      <w:r>
        <w:rPr>
          <w:rFonts w:hint="eastAsia" w:ascii="宋体" w:hAnsi="宋体" w:cs="宋体"/>
          <w:color w:val="000000" w:themeColor="text1"/>
          <w:szCs w:val="21"/>
          <w:highlight w:val="none"/>
          <w14:textFill>
            <w14:solidFill>
              <w14:schemeClr w14:val="tx1"/>
            </w14:solidFill>
          </w14:textFill>
        </w:rPr>
        <w:t xml:space="preserve">  采购人或者采购代理机构可以对已发出的招标文件进行必要的澄清或者修改，但不得改变采购标的和资格条件。澄清或者修改在原公告发布媒体上发布更正公告。更正公告为招标文件的组成部分，一经在网站发布，视同已通知所有招标文件的收受人，不再采用其它方式传达相关信息，若因未能及时了解到上述网站上发布的相关信息而导致的一切后果由投标人自行承担。</w:t>
      </w:r>
    </w:p>
    <w:p w14:paraId="439EB7D5">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8.4</w:t>
      </w:r>
      <w:r>
        <w:rPr>
          <w:rFonts w:hint="eastAsia" w:ascii="宋体" w:hAnsi="宋体" w:cs="宋体"/>
          <w:color w:val="000000" w:themeColor="text1"/>
          <w:szCs w:val="21"/>
          <w:highlight w:val="none"/>
          <w14:textFill>
            <w14:solidFill>
              <w14:schemeClr w14:val="tx1"/>
            </w14:solidFill>
          </w14:textFill>
        </w:rPr>
        <w:t xml:space="preserve">  澄清或者修改的内容可能影响投标文件编制的，采购人或者采购代理机构在投标截止时间至少15日前，以书面形式（纸质、传真或电子邮件形式）通知所有获取招标文件的潜在投标人；不足15日的，采购人或者采购代理机构顺延提交投标文件的截止时间。</w:t>
      </w:r>
    </w:p>
    <w:p w14:paraId="46898026">
      <w:pPr>
        <w:spacing w:line="400" w:lineRule="exact"/>
        <w:rPr>
          <w:rFonts w:ascii="宋体" w:hAnsi="宋体" w:cs="宋体"/>
          <w:color w:val="000000" w:themeColor="text1"/>
          <w:szCs w:val="24"/>
          <w:highlight w:val="none"/>
          <w:u w:val="single"/>
          <w14:textFill>
            <w14:solidFill>
              <w14:schemeClr w14:val="tx1"/>
            </w14:solidFill>
          </w14:textFill>
        </w:rPr>
      </w:pPr>
    </w:p>
    <w:p w14:paraId="772363BC">
      <w:pPr>
        <w:jc w:val="center"/>
        <w:outlineLvl w:val="1"/>
        <w:rPr>
          <w:rFonts w:ascii="宋体" w:hAnsi="宋体" w:cs="宋体"/>
          <w:b/>
          <w:color w:val="000000" w:themeColor="text1"/>
          <w:sz w:val="28"/>
          <w:highlight w:val="none"/>
          <w14:textFill>
            <w14:solidFill>
              <w14:schemeClr w14:val="tx1"/>
            </w14:solidFill>
          </w14:textFill>
        </w:rPr>
      </w:pPr>
      <w:bookmarkStart w:id="95" w:name="_Toc136017632"/>
      <w:bookmarkStart w:id="96" w:name="_Toc520902396"/>
      <w:bookmarkStart w:id="97" w:name="_Toc513798902"/>
      <w:bookmarkStart w:id="98" w:name="_Toc513799073"/>
      <w:bookmarkStart w:id="99" w:name="_Toc136345103"/>
      <w:bookmarkStart w:id="100" w:name="_Toc9362"/>
      <w:bookmarkStart w:id="101" w:name="_Toc440276563"/>
      <w:r>
        <w:rPr>
          <w:rFonts w:hint="eastAsia" w:ascii="宋体" w:hAnsi="宋体" w:cs="宋体"/>
          <w:b/>
          <w:color w:val="000000" w:themeColor="text1"/>
          <w:sz w:val="28"/>
          <w:highlight w:val="none"/>
          <w14:textFill>
            <w14:solidFill>
              <w14:schemeClr w14:val="tx1"/>
            </w14:solidFill>
          </w14:textFill>
        </w:rPr>
        <w:t>C  投标文件</w:t>
      </w:r>
      <w:bookmarkEnd w:id="95"/>
      <w:bookmarkEnd w:id="96"/>
      <w:bookmarkEnd w:id="97"/>
      <w:bookmarkEnd w:id="98"/>
      <w:bookmarkEnd w:id="99"/>
      <w:bookmarkEnd w:id="100"/>
      <w:bookmarkEnd w:id="101"/>
    </w:p>
    <w:p w14:paraId="34F7E1FD">
      <w:pPr>
        <w:spacing w:line="360" w:lineRule="auto"/>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9. 投标文件的组成</w:t>
      </w:r>
    </w:p>
    <w:p w14:paraId="4C4CB369">
      <w:pPr>
        <w:spacing w:line="400" w:lineRule="exac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9.1</w:t>
      </w: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 xml:space="preserve">投标文件的形式和效力 </w:t>
      </w:r>
    </w:p>
    <w:p w14:paraId="1B9B0518">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（1）投标文件分为电子投标文件以及备份投标文件，备份投标文件为以 U 盘存储的电子备份投标文件。</w:t>
      </w:r>
    </w:p>
    <w:p w14:paraId="5DBB0803">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（2）电子投标文件，按“政采云供应商项目采购-电子招投标操作指南”及本招标文件要求制作、加密并递交。 </w:t>
      </w:r>
    </w:p>
    <w:p w14:paraId="18151784">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（3）以 U 盘存储的电子备份投标文件，须按“政采云供应商项目采购-电子招投标操作指南”制作的备份文件（后缀格式为“.bfbs”）。因 U 盘损坏无法正常获取电子备份文件或 U 盘存储的电子备份投标文件格式原因未能成功上传政采云系统的均作无效标处理，一切责任由投标人自行负责。</w:t>
      </w:r>
    </w:p>
    <w:p w14:paraId="40D13852">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kern w:val="0"/>
          <w:szCs w:val="21"/>
          <w:highlight w:val="none"/>
          <w14:textFill>
            <w14:solidFill>
              <w14:schemeClr w14:val="tx1"/>
            </w14:solidFill>
          </w14:textFill>
        </w:rPr>
        <w:t>（</w:t>
      </w: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4）投标文件的效力：投标文件的启用，按先后顺位分别为电子投标文件、以 U 盘存储的电子备份投标文件。在下一顺位的投标文件启用时，前一顺位的投标文件自动失效。电子投标文件未能按时解密，投标人提供了电子备份投标文件，以电子备份投标文件作为依据，否则视为投标文件撤回。电子投标文件已按时解密的，电子备份投标文件自动失效。</w:t>
      </w:r>
    </w:p>
    <w:p w14:paraId="27F4FD07">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9.2</w:t>
      </w:r>
      <w:r>
        <w:rPr>
          <w:rFonts w:hint="eastAsia" w:cs="宋体" w:asciiTheme="minorEastAsia" w:hAnsiTheme="minorEastAsia" w:eastAsiaTheme="minorEastAsia"/>
          <w:bCs/>
          <w:color w:val="000000" w:themeColor="text1"/>
          <w:kern w:val="0"/>
          <w:szCs w:val="21"/>
          <w:highlight w:val="none"/>
          <w14:textFill>
            <w14:solidFill>
              <w14:schemeClr w14:val="tx1"/>
            </w14:solidFill>
          </w14:textFill>
        </w:rPr>
        <w:t>投标文件由资格文件、商务技术文件和报价文件三部分组成，资格文件、商务技术文件、报价文件分别编制；电子投标文件中所须加盖公章部分均采用 CA 签章。</w:t>
      </w:r>
      <w:r>
        <w:rPr>
          <w:rFonts w:hint="eastAsia" w:ascii="宋体" w:hAnsi="宋体" w:cs="宋体"/>
          <w:color w:val="000000" w:themeColor="text1"/>
          <w:szCs w:val="21"/>
          <w:highlight w:val="none"/>
          <w14:textFill>
            <w14:solidFill>
              <w14:schemeClr w14:val="tx1"/>
            </w14:solidFill>
          </w14:textFill>
        </w:rPr>
        <w:t>具体组成内容在本招标文件“投标资料表”中做出规定。</w:t>
      </w:r>
    </w:p>
    <w:p w14:paraId="066A196C">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9.3</w:t>
      </w:r>
      <w:r>
        <w:rPr>
          <w:rFonts w:hint="eastAsia" w:ascii="宋体" w:hAnsi="宋体"/>
          <w:color w:val="000000" w:themeColor="text1"/>
          <w:szCs w:val="21"/>
          <w:highlight w:val="none"/>
          <w14:textFill>
            <w14:solidFill>
              <w14:schemeClr w14:val="tx1"/>
            </w14:solidFill>
          </w14:textFill>
        </w:rPr>
        <w:t xml:space="preserve">  组成投标文件的各项资料中本招标书的有规定格式的，应统一按本招标书的规定格式填写。未有规定格式的资料，投标人应自行编制，但至少要包含组成投标文件要求的内容。</w:t>
      </w:r>
    </w:p>
    <w:p w14:paraId="48FFB7F1">
      <w:pPr>
        <w:spacing w:line="440" w:lineRule="exact"/>
        <w:rPr>
          <w:rFonts w:ascii="宋体" w:hAnsi="宋体"/>
          <w:color w:val="000000" w:themeColor="text1"/>
          <w:szCs w:val="21"/>
          <w:highlight w:val="none"/>
          <w14:textFill>
            <w14:solidFill>
              <w14:schemeClr w14:val="tx1"/>
            </w14:solidFill>
          </w14:textFill>
        </w:rPr>
      </w:pPr>
    </w:p>
    <w:p w14:paraId="55528EB0">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10.  投标报价</w:t>
      </w:r>
    </w:p>
    <w:p w14:paraId="4BA52868">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10.1</w:t>
      </w:r>
      <w:r>
        <w:rPr>
          <w:rFonts w:hint="eastAsia" w:ascii="宋体" w:hAnsi="宋体" w:cs="宋体"/>
          <w:color w:val="000000" w:themeColor="text1"/>
          <w:szCs w:val="21"/>
          <w:highlight w:val="none"/>
          <w14:textFill>
            <w14:solidFill>
              <w14:schemeClr w14:val="tx1"/>
            </w14:solidFill>
          </w14:textFill>
        </w:rPr>
        <w:t xml:space="preserve">  本次招标对投标报价组成的具体要求在招标文件“投标资料表”中做出规定。</w:t>
      </w:r>
    </w:p>
    <w:p w14:paraId="4DE5226B">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10.2  </w:t>
      </w:r>
      <w:r>
        <w:rPr>
          <w:rFonts w:hint="eastAsia" w:ascii="宋体" w:hAnsi="宋体" w:cs="宋体"/>
          <w:color w:val="000000" w:themeColor="text1"/>
          <w:szCs w:val="21"/>
          <w:highlight w:val="none"/>
          <w14:textFill>
            <w14:solidFill>
              <w14:schemeClr w14:val="tx1"/>
            </w14:solidFill>
          </w14:textFill>
        </w:rPr>
        <w:t>投标人要按照招标文件中的“开标一览表”格式和内容完整填写投标总价及其他事项。</w:t>
      </w:r>
    </w:p>
    <w:p w14:paraId="08777872">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10.3</w:t>
      </w:r>
      <w:r>
        <w:rPr>
          <w:rFonts w:hint="eastAsia" w:ascii="宋体" w:hAnsi="宋体" w:cs="宋体"/>
          <w:color w:val="000000" w:themeColor="text1"/>
          <w:szCs w:val="21"/>
          <w:highlight w:val="none"/>
          <w14:textFill>
            <w14:solidFill>
              <w14:schemeClr w14:val="tx1"/>
            </w14:solidFill>
          </w14:textFill>
        </w:rPr>
        <w:t xml:space="preserve">  除非招标文件另有备选投标方案的规定，投标应该只有一个投标报价。投标人若有投标声明，应载明在“开标一览表”中，供开标时唱出，未经唱出的声明在评标时不作考虑。</w:t>
      </w:r>
    </w:p>
    <w:p w14:paraId="3A957F20">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10.4  </w:t>
      </w:r>
      <w:r>
        <w:rPr>
          <w:rFonts w:hint="eastAsia" w:ascii="宋体" w:hAnsi="宋体" w:cs="宋体"/>
          <w:color w:val="000000" w:themeColor="text1"/>
          <w:szCs w:val="21"/>
          <w:highlight w:val="none"/>
          <w14:textFill>
            <w14:solidFill>
              <w14:schemeClr w14:val="tx1"/>
            </w14:solidFill>
          </w14:textFill>
        </w:rPr>
        <w:t>开标后以及在评标及中标后的合同执行过程中，投标人不得以任何理由变更投标价格。</w:t>
      </w:r>
      <w:r>
        <w:rPr>
          <w:rFonts w:hint="eastAsia" w:ascii="宋体" w:hAnsi="宋体" w:cs="宋体"/>
          <w:b/>
          <w:color w:val="000000" w:themeColor="text1"/>
          <w:szCs w:val="21"/>
          <w:highlight w:val="none"/>
          <w14:textFill>
            <w14:solidFill>
              <w14:schemeClr w14:val="tx1"/>
            </w14:solidFill>
          </w14:textFill>
        </w:rPr>
        <w:t>若投标人在中标以后做出任何改变投标价格的决定，将被视作撤标而失去中标资格。</w:t>
      </w:r>
    </w:p>
    <w:p w14:paraId="5915D242">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10.5  本项目采用最高投标限价，超过最高限价的投标文件无效。</w:t>
      </w:r>
    </w:p>
    <w:p w14:paraId="07FFD5BF">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10.6  </w:t>
      </w:r>
      <w:r>
        <w:rPr>
          <w:rFonts w:hint="eastAsia" w:ascii="宋体" w:hAnsi="宋体" w:cs="宋体"/>
          <w:color w:val="000000" w:themeColor="text1"/>
          <w:szCs w:val="21"/>
          <w:highlight w:val="none"/>
          <w14:textFill>
            <w14:solidFill>
              <w14:schemeClr w14:val="tx1"/>
            </w14:solidFill>
          </w14:textFill>
        </w:rPr>
        <w:t>本项目的投标货币为人民币。</w:t>
      </w:r>
    </w:p>
    <w:p w14:paraId="4B094301">
      <w:pPr>
        <w:spacing w:line="400" w:lineRule="exact"/>
        <w:rPr>
          <w:rFonts w:ascii="宋体" w:hAnsi="宋体" w:cs="宋体"/>
          <w:b/>
          <w:color w:val="000000" w:themeColor="text1"/>
          <w:szCs w:val="21"/>
          <w:highlight w:val="none"/>
          <w14:textFill>
            <w14:solidFill>
              <w14:schemeClr w14:val="tx1"/>
            </w14:solidFill>
          </w14:textFill>
        </w:rPr>
      </w:pPr>
    </w:p>
    <w:p w14:paraId="5C6CC555">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11.  投标文件的格式和编写</w:t>
      </w:r>
    </w:p>
    <w:p w14:paraId="5B9B63D8">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11.1</w:t>
      </w:r>
      <w:r>
        <w:rPr>
          <w:rFonts w:hint="eastAsia" w:ascii="宋体" w:hAnsi="宋体" w:cs="宋体"/>
          <w:color w:val="000000" w:themeColor="text1"/>
          <w:szCs w:val="21"/>
          <w:highlight w:val="none"/>
          <w14:textFill>
            <w14:solidFill>
              <w14:schemeClr w14:val="tx1"/>
            </w14:solidFill>
          </w14:textFill>
        </w:rPr>
        <w:t xml:space="preserve">  投标文件须按“投标文件的有关格式”提供的统一格式填写、签署和加盖公章。</w:t>
      </w:r>
    </w:p>
    <w:p w14:paraId="0B3CA96F">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11.2 </w:t>
      </w:r>
      <w:r>
        <w:rPr>
          <w:rFonts w:hint="eastAsia" w:ascii="宋体" w:hAnsi="宋体" w:cs="宋体"/>
          <w:color w:val="000000" w:themeColor="text1"/>
          <w:szCs w:val="21"/>
          <w:highlight w:val="none"/>
          <w14:textFill>
            <w14:solidFill>
              <w14:schemeClr w14:val="tx1"/>
            </w14:solidFill>
          </w14:textFill>
        </w:rPr>
        <w:t xml:space="preserve"> “开标一览表”应按照统一格式填写，不得自行增减内容。</w:t>
      </w:r>
    </w:p>
    <w:p w14:paraId="5BF6D94C">
      <w:pPr>
        <w:widowControl/>
        <w:spacing w:line="360" w:lineRule="auto"/>
        <w:rPr>
          <w:rFonts w:ascii="宋体" w:hAnsi="宋体" w:cs="宋体"/>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 xml:space="preserve">11.3  </w:t>
      </w:r>
      <w:r>
        <w:rPr>
          <w:rFonts w:hint="eastAsia" w:cs="宋体" w:asciiTheme="minorEastAsia" w:hAnsiTheme="minorEastAsia" w:eastAsiaTheme="minorEastAsia"/>
          <w:bCs/>
          <w:color w:val="000000" w:themeColor="text1"/>
          <w:szCs w:val="21"/>
          <w:highlight w:val="none"/>
          <w14:textFill>
            <w14:solidFill>
              <w14:schemeClr w14:val="tx1"/>
            </w14:solidFill>
          </w14:textFill>
        </w:rPr>
        <w:t>投标书文件数量</w:t>
      </w:r>
      <w:r>
        <w:rPr>
          <w:rFonts w:hint="eastAsia" w:ascii="宋体" w:hAnsi="宋体" w:cs="宋体"/>
          <w:color w:val="000000" w:themeColor="text1"/>
          <w:szCs w:val="21"/>
          <w:highlight w:val="none"/>
          <w14:textFill>
            <w14:solidFill>
              <w14:schemeClr w14:val="tx1"/>
            </w14:solidFill>
          </w14:textFill>
        </w:rPr>
        <w:t>的具体要求在招标文件“投标资料表”中做出规定。</w:t>
      </w:r>
    </w:p>
    <w:p w14:paraId="49151FB1">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 xml:space="preserve">1.4  </w:t>
      </w: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 xml:space="preserve">电子投标文件部分：投标人应根据“政采云供应商项目采购-电子招投标操作指南”及本招标文件规定的格式和顺序编制电子投标文件并进行关联定位；电子投标文件中须加盖投标人公章部分均采用 CA 签章，签字部分可用 CA 锁法人章（如有），未申请法人章的将签名部分签好后以扫描件形式上传至投标文件（具体操作请咨询政采云 400-8817190）。 </w:t>
      </w:r>
    </w:p>
    <w:p w14:paraId="662D02F0">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11.5 </w:t>
      </w:r>
      <w:r>
        <w:rPr>
          <w:rFonts w:hint="eastAsia" w:ascii="宋体" w:hAnsi="宋体" w:cs="宋体"/>
          <w:color w:val="000000" w:themeColor="text1"/>
          <w:szCs w:val="21"/>
          <w:highlight w:val="none"/>
          <w14:textFill>
            <w14:solidFill>
              <w14:schemeClr w14:val="tx1"/>
            </w14:solidFill>
          </w14:textFill>
        </w:rPr>
        <w:t>除招标文件有特殊要求外，投标文件中所使用的计量单位应采用国家法定计量单位。</w:t>
      </w:r>
    </w:p>
    <w:p w14:paraId="4F116D1C">
      <w:pPr>
        <w:spacing w:line="400" w:lineRule="exact"/>
        <w:rPr>
          <w:rFonts w:ascii="宋体" w:hAnsi="宋体" w:cs="宋体"/>
          <w:color w:val="000000" w:themeColor="text1"/>
          <w:szCs w:val="21"/>
          <w:highlight w:val="none"/>
          <w14:textFill>
            <w14:solidFill>
              <w14:schemeClr w14:val="tx1"/>
            </w14:solidFill>
          </w14:textFill>
        </w:rPr>
      </w:pPr>
    </w:p>
    <w:p w14:paraId="07F775CC">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12. 投标有效期</w:t>
      </w:r>
    </w:p>
    <w:p w14:paraId="03AEECD1">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12.1 </w:t>
      </w:r>
      <w:r>
        <w:rPr>
          <w:rFonts w:hint="eastAsia" w:ascii="宋体" w:hAnsi="宋体" w:cs="宋体"/>
          <w:color w:val="000000" w:themeColor="text1"/>
          <w:szCs w:val="21"/>
          <w:highlight w:val="none"/>
          <w14:textFill>
            <w14:solidFill>
              <w14:schemeClr w14:val="tx1"/>
            </w14:solidFill>
          </w14:textFill>
        </w:rPr>
        <w:t xml:space="preserve"> 投标有效期在本招标文件“投标资料表”中做出规定。投标有效期从提交投标文件的截止之日起算。投标文件中承诺的投标有效期应当不少于招标文件中载明的投标有效期。投标有效期内投标人撤销投标文件的，采购人或者采购代理机构可以不退还投标保证金。</w:t>
      </w:r>
    </w:p>
    <w:p w14:paraId="281DCE91">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12.2  </w:t>
      </w:r>
      <w:r>
        <w:rPr>
          <w:rFonts w:hint="eastAsia" w:ascii="宋体" w:hAnsi="宋体" w:cs="宋体"/>
          <w:color w:val="000000" w:themeColor="text1"/>
          <w:szCs w:val="21"/>
          <w:highlight w:val="none"/>
          <w14:textFill>
            <w14:solidFill>
              <w14:schemeClr w14:val="tx1"/>
            </w14:solidFill>
          </w14:textFill>
        </w:rPr>
        <w:t>在特殊情况下，在原投标有效期截止之前，应采购人要求，采购代理机构可要求投标人延长投标有效期，这种要求的提出和投标人的答复都应以书面（含传真）的形式进行。同意延长有效期的投标人不会被要求或允许修改其投标文件。</w:t>
      </w:r>
    </w:p>
    <w:p w14:paraId="1DD2D68D">
      <w:pPr>
        <w:spacing w:line="400" w:lineRule="exact"/>
        <w:rPr>
          <w:rFonts w:ascii="宋体" w:hAnsi="宋体" w:cs="宋体"/>
          <w:color w:val="000000" w:themeColor="text1"/>
          <w:szCs w:val="21"/>
          <w:highlight w:val="none"/>
          <w14:textFill>
            <w14:solidFill>
              <w14:schemeClr w14:val="tx1"/>
            </w14:solidFill>
          </w14:textFill>
        </w:rPr>
      </w:pPr>
    </w:p>
    <w:p w14:paraId="2C1F0054">
      <w:pPr>
        <w:spacing w:line="400" w:lineRule="exact"/>
        <w:rPr>
          <w:rFonts w:ascii="宋体" w:hAnsi="宋体" w:cs="宋体"/>
          <w:b/>
          <w:color w:val="000000" w:themeColor="text1"/>
          <w:szCs w:val="21"/>
          <w:highlight w:val="none"/>
          <w14:textFill>
            <w14:solidFill>
              <w14:schemeClr w14:val="tx1"/>
            </w14:solidFill>
          </w14:textFill>
        </w:rPr>
      </w:pPr>
    </w:p>
    <w:p w14:paraId="6FB95E8D">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13  投标保证金</w:t>
      </w:r>
    </w:p>
    <w:p w14:paraId="2880FBB4">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本项目无需缴纳投标保证金。</w:t>
      </w:r>
    </w:p>
    <w:p w14:paraId="0E79C56C">
      <w:pPr>
        <w:spacing w:line="400" w:lineRule="exact"/>
        <w:rPr>
          <w:rFonts w:ascii="宋体" w:hAnsi="宋体" w:cs="宋体"/>
          <w:color w:val="000000" w:themeColor="text1"/>
          <w:sz w:val="24"/>
          <w:highlight w:val="none"/>
          <w:u w:val="single"/>
          <w14:textFill>
            <w14:solidFill>
              <w14:schemeClr w14:val="tx1"/>
            </w14:solidFill>
          </w14:textFill>
        </w:rPr>
      </w:pPr>
    </w:p>
    <w:p w14:paraId="279C8772">
      <w:pPr>
        <w:jc w:val="center"/>
        <w:outlineLvl w:val="1"/>
        <w:rPr>
          <w:rFonts w:ascii="宋体" w:hAnsi="宋体" w:cs="宋体"/>
          <w:b/>
          <w:color w:val="000000" w:themeColor="text1"/>
          <w:sz w:val="28"/>
          <w:highlight w:val="none"/>
          <w14:textFill>
            <w14:solidFill>
              <w14:schemeClr w14:val="tx1"/>
            </w14:solidFill>
          </w14:textFill>
        </w:rPr>
      </w:pPr>
      <w:bookmarkStart w:id="102" w:name="_Toc440276564"/>
      <w:bookmarkStart w:id="103" w:name="_Toc520902397"/>
      <w:bookmarkStart w:id="104" w:name="_Toc136345104"/>
      <w:bookmarkStart w:id="105" w:name="_Toc5101"/>
      <w:bookmarkStart w:id="106" w:name="_Toc136017633"/>
      <w:bookmarkStart w:id="107" w:name="_Toc513799074"/>
      <w:bookmarkStart w:id="108" w:name="_Toc513798903"/>
      <w:r>
        <w:rPr>
          <w:rFonts w:hint="eastAsia" w:ascii="宋体" w:hAnsi="宋体" w:cs="宋体"/>
          <w:b/>
          <w:color w:val="000000" w:themeColor="text1"/>
          <w:sz w:val="28"/>
          <w:highlight w:val="none"/>
          <w14:textFill>
            <w14:solidFill>
              <w14:schemeClr w14:val="tx1"/>
            </w14:solidFill>
          </w14:textFill>
        </w:rPr>
        <w:t>D  投标文件的递交</w:t>
      </w:r>
      <w:bookmarkEnd w:id="102"/>
      <w:bookmarkEnd w:id="103"/>
      <w:bookmarkEnd w:id="104"/>
      <w:bookmarkEnd w:id="105"/>
      <w:bookmarkEnd w:id="106"/>
      <w:bookmarkEnd w:id="107"/>
      <w:bookmarkEnd w:id="108"/>
    </w:p>
    <w:p w14:paraId="02E3878E">
      <w:pPr>
        <w:spacing w:line="400" w:lineRule="exac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14.投标文件的装订、密封、标记和递送</w:t>
      </w:r>
    </w:p>
    <w:p w14:paraId="2256019F">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 xml:space="preserve">14.1  </w:t>
      </w: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电子投标文件：投标人应根据“项目采购-电子招投标操作指南”及本招标文件规定的格式和顺序编制电子投标文件并进行关联定位。 </w:t>
      </w:r>
    </w:p>
    <w:p w14:paraId="1E00E4E4">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14.</w:t>
      </w: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 xml:space="preserve">2  电子备份投标文件：单独包封，外包装封面上应注明投标人名称、投标人地址、投标文件名称（电子投标文件的备份文件）、投标项目名称、项目编号及“开标时启封”字样，并加盖投标人公章。 </w:t>
      </w:r>
    </w:p>
    <w:p w14:paraId="279C2BDC">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14.</w:t>
      </w: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 xml:space="preserve">3  未按规定密封或标记的电子备份投标文件，采购人有权拒绝接受其投标。 </w:t>
      </w:r>
    </w:p>
    <w:p w14:paraId="0708E58D">
      <w:pPr>
        <w:spacing w:line="400" w:lineRule="exact"/>
        <w:rPr>
          <w:rFonts w:ascii="宋体" w:hAnsi="宋体" w:cs="宋体"/>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14.</w:t>
      </w: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4  如果投标人未按上述要求密封或标记而造成投标文件被误投或提前拆封的风险由投标人承担。</w:t>
      </w:r>
    </w:p>
    <w:p w14:paraId="01E20F72">
      <w:pPr>
        <w:spacing w:line="400" w:lineRule="exact"/>
        <w:rPr>
          <w:rFonts w:ascii="宋体" w:hAnsi="宋体" w:cs="宋体"/>
          <w:color w:val="000000" w:themeColor="text1"/>
          <w:szCs w:val="21"/>
          <w:highlight w:val="none"/>
          <w14:textFill>
            <w14:solidFill>
              <w14:schemeClr w14:val="tx1"/>
            </w14:solidFill>
          </w14:textFill>
        </w:rPr>
      </w:pPr>
    </w:p>
    <w:p w14:paraId="68867FB7">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15. 投标截止时间</w:t>
      </w:r>
    </w:p>
    <w:p w14:paraId="3482A572">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15.1 </w:t>
      </w:r>
      <w:r>
        <w:rPr>
          <w:rFonts w:hint="eastAsia" w:ascii="宋体" w:hAnsi="宋体" w:cs="宋体"/>
          <w:color w:val="000000" w:themeColor="text1"/>
          <w:szCs w:val="21"/>
          <w:highlight w:val="none"/>
          <w14:textFill>
            <w14:solidFill>
              <w14:schemeClr w14:val="tx1"/>
            </w14:solidFill>
          </w14:textFill>
        </w:rPr>
        <w:t xml:space="preserve"> 投标人应在招标文件要求提交（上传）投标文件的截止时间前，将投标文件上传至政府采购云平台。采购代理机构</w:t>
      </w:r>
      <w:r>
        <w:rPr>
          <w:rFonts w:hint="eastAsia" w:ascii="宋体" w:hAnsi="宋体" w:cs="宋体"/>
          <w:b/>
          <w:color w:val="000000" w:themeColor="text1"/>
          <w:szCs w:val="21"/>
          <w:highlight w:val="none"/>
          <w14:textFill>
            <w14:solidFill>
              <w14:schemeClr w14:val="tx1"/>
            </w14:solidFill>
          </w14:textFill>
        </w:rPr>
        <w:t>拒绝接收在投标截止时间以后提交（上传）的投标文件</w:t>
      </w:r>
      <w:r>
        <w:rPr>
          <w:rFonts w:hint="eastAsia" w:ascii="宋体" w:hAnsi="宋体" w:cs="宋体"/>
          <w:color w:val="000000" w:themeColor="text1"/>
          <w:szCs w:val="21"/>
          <w:highlight w:val="none"/>
          <w14:textFill>
            <w14:solidFill>
              <w14:schemeClr w14:val="tx1"/>
            </w14:solidFill>
          </w14:textFill>
        </w:rPr>
        <w:t>。</w:t>
      </w:r>
    </w:p>
    <w:p w14:paraId="0EDF160B">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15.2</w:t>
      </w:r>
      <w:r>
        <w:rPr>
          <w:rFonts w:hint="eastAsia" w:ascii="宋体" w:hAnsi="宋体" w:cs="宋体"/>
          <w:color w:val="000000" w:themeColor="text1"/>
          <w:szCs w:val="21"/>
          <w:highlight w:val="none"/>
          <w14:textFill>
            <w14:solidFill>
              <w14:schemeClr w14:val="tx1"/>
            </w14:solidFill>
          </w14:textFill>
        </w:rPr>
        <w:t xml:space="preserve">  采购代理机构因故需推迟投标截止时间、开标时间时，应提前以公告或书面的形式通知购买招标文件的所有潜在投标人。潜在投标人在收到通知后应立即以书面形式回复采购代理机构。在这种情况下，采购代理机构和潜在投标人相应的权利和义务将受到新的截止期的约束。</w:t>
      </w:r>
    </w:p>
    <w:p w14:paraId="70B486A2">
      <w:pPr>
        <w:spacing w:line="400" w:lineRule="exact"/>
        <w:rPr>
          <w:rFonts w:ascii="宋体" w:hAnsi="宋体" w:cs="宋体"/>
          <w:color w:val="000000" w:themeColor="text1"/>
          <w:szCs w:val="21"/>
          <w:highlight w:val="none"/>
          <w14:textFill>
            <w14:solidFill>
              <w14:schemeClr w14:val="tx1"/>
            </w14:solidFill>
          </w14:textFill>
        </w:rPr>
      </w:pPr>
    </w:p>
    <w:p w14:paraId="7488B0A3">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16.投标文件的修改和撤回</w:t>
      </w:r>
    </w:p>
    <w:p w14:paraId="1937F918">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16.1</w:t>
      </w:r>
      <w:r>
        <w:rPr>
          <w:rFonts w:hint="eastAsia" w:ascii="宋体" w:hAnsi="宋体" w:cs="宋体"/>
          <w:color w:val="000000" w:themeColor="text1"/>
          <w:szCs w:val="21"/>
          <w:highlight w:val="none"/>
          <w14:textFill>
            <w14:solidFill>
              <w14:schemeClr w14:val="tx1"/>
            </w14:solidFill>
          </w14:textFill>
        </w:rPr>
        <w:t xml:space="preserve">  投标人在投标截止时间前，可以对已经提交的投标文件进行补充、修改或者撤回。</w:t>
      </w:r>
    </w:p>
    <w:p w14:paraId="22853111">
      <w:pPr>
        <w:spacing w:line="400" w:lineRule="exact"/>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对已经完成传输递交的电子加密投标文件进行补充或者修改的，应当先行撤回原文件，补充、修改后重新传输递交。投标人在投标截止时间前未重新完成传输递交的，视为撤回投标文件。投标截止时间后递交的电子加密投标文件，电子交易平台将拒收。</w:t>
      </w:r>
    </w:p>
    <w:p w14:paraId="4B05221C">
      <w:pPr>
        <w:spacing w:line="400" w:lineRule="exact"/>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投标人在投标截止时间前递交了需要补充或修改的电子加密投标文件的备份投标文件，可以重新提交补充或修改后的备份投标文件。</w:t>
      </w:r>
    </w:p>
    <w:p w14:paraId="5C07D434">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16.2</w:t>
      </w:r>
      <w:r>
        <w:rPr>
          <w:rFonts w:hint="eastAsia" w:ascii="宋体" w:hAnsi="宋体" w:cs="宋体"/>
          <w:color w:val="000000" w:themeColor="text1"/>
          <w:szCs w:val="21"/>
          <w:highlight w:val="none"/>
          <w14:textFill>
            <w14:solidFill>
              <w14:schemeClr w14:val="tx1"/>
            </w14:solidFill>
          </w14:textFill>
        </w:rPr>
        <w:t xml:space="preserve">  投标截止时间后，投标人不得对其投标文件进行补充、修改。</w:t>
      </w:r>
    </w:p>
    <w:p w14:paraId="7E603B74">
      <w:pPr>
        <w:spacing w:line="400" w:lineRule="exact"/>
        <w:rPr>
          <w:rFonts w:ascii="宋体" w:hAnsi="宋体" w:cs="宋体"/>
          <w:color w:val="000000" w:themeColor="text1"/>
          <w:szCs w:val="21"/>
          <w:highlight w:val="none"/>
          <w14:textFill>
            <w14:solidFill>
              <w14:schemeClr w14:val="tx1"/>
            </w14:solidFill>
          </w14:textFill>
        </w:rPr>
      </w:pPr>
    </w:p>
    <w:p w14:paraId="5954E2D1">
      <w:pPr>
        <w:jc w:val="center"/>
        <w:outlineLvl w:val="1"/>
        <w:rPr>
          <w:rFonts w:ascii="宋体" w:hAnsi="宋体" w:cs="宋体"/>
          <w:b/>
          <w:color w:val="000000" w:themeColor="text1"/>
          <w:sz w:val="28"/>
          <w:highlight w:val="none"/>
          <w14:textFill>
            <w14:solidFill>
              <w14:schemeClr w14:val="tx1"/>
            </w14:solidFill>
          </w14:textFill>
        </w:rPr>
      </w:pPr>
      <w:bookmarkStart w:id="109" w:name="_Toc520902398"/>
      <w:bookmarkStart w:id="110" w:name="_Toc513799075"/>
      <w:bookmarkStart w:id="111" w:name="_Toc136345105"/>
      <w:bookmarkStart w:id="112" w:name="_Toc11416"/>
      <w:bookmarkStart w:id="113" w:name="_Toc136017634"/>
      <w:bookmarkStart w:id="114" w:name="_Toc440276565"/>
      <w:bookmarkStart w:id="115" w:name="_Toc513798904"/>
      <w:r>
        <w:rPr>
          <w:rFonts w:hint="eastAsia" w:ascii="宋体" w:hAnsi="宋体" w:cs="宋体"/>
          <w:b/>
          <w:color w:val="000000" w:themeColor="text1"/>
          <w:sz w:val="28"/>
          <w:highlight w:val="none"/>
          <w14:textFill>
            <w14:solidFill>
              <w14:schemeClr w14:val="tx1"/>
            </w14:solidFill>
          </w14:textFill>
        </w:rPr>
        <w:t>E  开标</w:t>
      </w:r>
      <w:bookmarkEnd w:id="109"/>
      <w:bookmarkEnd w:id="110"/>
      <w:bookmarkEnd w:id="111"/>
      <w:bookmarkEnd w:id="112"/>
      <w:bookmarkEnd w:id="113"/>
      <w:bookmarkEnd w:id="114"/>
      <w:bookmarkEnd w:id="115"/>
    </w:p>
    <w:p w14:paraId="530AE44D">
      <w:pPr>
        <w:spacing w:line="400" w:lineRule="exac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17</w:t>
      </w:r>
      <w:r>
        <w:rPr>
          <w:rFonts w:hint="eastAsia" w:cs="宋体" w:asciiTheme="minorEastAsia" w:hAnsiTheme="minorEastAsia" w:eastAsiaTheme="minorEastAsia"/>
          <w:color w:val="000000" w:themeColor="text1"/>
          <w:szCs w:val="21"/>
          <w:highlight w:val="none"/>
          <w14:textFill>
            <w14:solidFill>
              <w14:schemeClr w14:val="tx1"/>
            </w14:solidFill>
          </w14:textFill>
        </w:rPr>
        <w:t>.</w:t>
      </w:r>
      <w:r>
        <w:rPr>
          <w:rFonts w:hint="eastAsia" w:cs="宋体" w:asciiTheme="minorEastAsia" w:hAnsiTheme="minorEastAsia" w:eastAsiaTheme="minorEastAsia"/>
          <w:b/>
          <w:color w:val="000000" w:themeColor="text1"/>
          <w:szCs w:val="21"/>
          <w:highlight w:val="none"/>
          <w14:textFill>
            <w14:solidFill>
              <w14:schemeClr w14:val="tx1"/>
            </w14:solidFill>
          </w14:textFill>
        </w:rPr>
        <w:t>开标</w:t>
      </w:r>
    </w:p>
    <w:p w14:paraId="7582A1ED">
      <w:pPr>
        <w:spacing w:line="400" w:lineRule="exac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 xml:space="preserve">17.1  </w:t>
      </w:r>
      <w:r>
        <w:rPr>
          <w:rFonts w:hint="eastAsia" w:cs="宋体" w:asciiTheme="minorEastAsia" w:hAnsiTheme="minorEastAsia" w:eastAsiaTheme="minorEastAsia"/>
          <w:color w:val="000000" w:themeColor="text1"/>
          <w:szCs w:val="21"/>
          <w:highlight w:val="none"/>
          <w14:textFill>
            <w14:solidFill>
              <w14:schemeClr w14:val="tx1"/>
            </w14:solidFill>
          </w14:textFill>
        </w:rPr>
        <w:t>采购代理机构按招标文件规定的时间、地点主持公开开标。</w:t>
      </w:r>
    </w:p>
    <w:p w14:paraId="23534277">
      <w:pPr>
        <w:widowControl/>
        <w:spacing w:line="360" w:lineRule="auto"/>
        <w:jc w:val="left"/>
        <w:rPr>
          <w:rFonts w:cs="宋体" w:asciiTheme="minorEastAsia" w:hAnsiTheme="minorEastAsia" w:eastAsiaTheme="minorEastAsia"/>
          <w:b/>
          <w:bCs/>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 xml:space="preserve">17.2  </w:t>
      </w: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电子投标开标及评审程序</w:t>
      </w:r>
    </w:p>
    <w:p w14:paraId="41660615">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（1）投标截止时间后，投标人登录政采云平台，用“项目采购-开标评标”功能对电子投标文件进行在线解密。在线解密电子投标文件时间为开标时间起</w:t>
      </w:r>
      <w:r>
        <w:rPr>
          <w:rFonts w:hint="eastAsia" w:cs="宋体" w:asciiTheme="minorEastAsia" w:hAnsiTheme="minorEastAsia" w:eastAsiaTheme="minorEastAsia"/>
          <w:b/>
          <w:color w:val="000000" w:themeColor="text1"/>
          <w:kern w:val="0"/>
          <w:szCs w:val="21"/>
          <w:highlight w:val="none"/>
          <w:u w:val="single"/>
          <w14:textFill>
            <w14:solidFill>
              <w14:schemeClr w14:val="tx1"/>
            </w14:solidFill>
          </w14:textFill>
        </w:rPr>
        <w:t>30分钟</w:t>
      </w:r>
      <w:r>
        <w:rPr>
          <w:rFonts w:hint="eastAsia" w:cs="宋体" w:asciiTheme="minorEastAsia" w:hAnsiTheme="minorEastAsia" w:eastAsiaTheme="minorEastAsia"/>
          <w:b/>
          <w:color w:val="000000" w:themeColor="text1"/>
          <w:kern w:val="0"/>
          <w:szCs w:val="21"/>
          <w:highlight w:val="none"/>
          <w14:textFill>
            <w14:solidFill>
              <w14:schemeClr w14:val="tx1"/>
            </w14:solidFill>
          </w14:textFill>
        </w:rPr>
        <w:t>内。</w:t>
      </w:r>
    </w:p>
    <w:p w14:paraId="227C8394">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（2）采购人或代理机构对投标人的资格进行审查。 </w:t>
      </w:r>
    </w:p>
    <w:p w14:paraId="4B8EE1A8">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（3）在系统上公开报价开标情况。 </w:t>
      </w:r>
    </w:p>
    <w:p w14:paraId="6D217970">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（4）评标委员会对商务技术文件、报价文件进行评审。 </w:t>
      </w:r>
    </w:p>
    <w:p w14:paraId="4AC4E0CE">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（5）在系统上公布评审结果。 </w:t>
      </w:r>
    </w:p>
    <w:p w14:paraId="336A8A56">
      <w:pPr>
        <w:widowControl/>
        <w:spacing w:line="360" w:lineRule="auto"/>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注：政采云公司如对电子化开标及评审程序有调整的，按调整后的程序操作。</w:t>
      </w:r>
    </w:p>
    <w:p w14:paraId="104EA512">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 xml:space="preserve">17.4  </w:t>
      </w: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 xml:space="preserve">特别说明 </w:t>
      </w:r>
    </w:p>
    <w:p w14:paraId="517596EB">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本项目采用政采云电子投标开标及评审程序，但有下情形之一的，按以下情况处理： </w:t>
      </w:r>
    </w:p>
    <w:p w14:paraId="3FE353FA">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1.若投标人在规定时间内无法解密或解密失败，代理机构将开启所有投标人递交的以U 盘存储的电子备份投标文件，上传至政采云平台项目采购模块，以完成开标，电子投标文件自动失效。 </w:t>
      </w:r>
    </w:p>
    <w:p w14:paraId="39A861E1">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2.采购过程中出现以下情形，导致电子交易平台无法正常运行，或者无法保证电子交易的公平、公正和安全时，采购人（或代理机构）可中止电子交易活动： </w:t>
      </w:r>
    </w:p>
    <w:p w14:paraId="4E8DD54F">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（1）电子交易平台发生故障而无法登录访问的； </w:t>
      </w:r>
    </w:p>
    <w:p w14:paraId="1F9B6692">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（2）电子交易平台应用或数据库出现错误，不能进行正常操作的； </w:t>
      </w:r>
    </w:p>
    <w:p w14:paraId="0696650F">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（3）电子交易平台发现严重安全漏洞，有潜在泄密危险的； </w:t>
      </w:r>
    </w:p>
    <w:p w14:paraId="0747061D">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（4）病毒发作导致不能进行正常操作的； </w:t>
      </w:r>
    </w:p>
    <w:p w14:paraId="1D40B066">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（5）其他无法保证电子交易的公平、公正和安全的情况。 </w:t>
      </w:r>
    </w:p>
    <w:p w14:paraId="259592BF">
      <w:pPr>
        <w:widowControl/>
        <w:spacing w:line="360" w:lineRule="auto"/>
        <w:ind w:firstLine="42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 xml:space="preserve">出现前款规定情形，不影响采购公平、公正性的，采购人（或代理机构）可以待上述情形消除后继续组织电子交易活动。 </w:t>
      </w:r>
    </w:p>
    <w:p w14:paraId="257EFF8F">
      <w:pPr>
        <w:spacing w:line="400" w:lineRule="exact"/>
        <w:rPr>
          <w:rFonts w:ascii="宋体" w:hAnsi="宋体" w:cs="宋体"/>
          <w:color w:val="000000" w:themeColor="text1"/>
          <w:szCs w:val="21"/>
          <w:highlight w:val="none"/>
          <w:u w:val="single"/>
          <w14:textFill>
            <w14:solidFill>
              <w14:schemeClr w14:val="tx1"/>
            </w14:solidFill>
          </w14:textFill>
        </w:rPr>
      </w:pPr>
      <w:r>
        <w:rPr>
          <w:rFonts w:hint="eastAsia" w:asciiTheme="minorEastAsia" w:hAnsiTheme="minorEastAsia" w:eastAsiaTheme="minorEastAsia"/>
          <w:b/>
          <w:color w:val="000000" w:themeColor="text1"/>
          <w:szCs w:val="21"/>
          <w:highlight w:val="none"/>
          <w14:textFill>
            <w14:solidFill>
              <w14:schemeClr w14:val="tx1"/>
            </w14:solidFill>
          </w14:textFill>
        </w:rPr>
        <w:t xml:space="preserve">17.5  </w:t>
      </w:r>
      <w:r>
        <w:rPr>
          <w:rFonts w:hint="eastAsia" w:asciiTheme="minorEastAsia" w:hAnsiTheme="minorEastAsia" w:eastAsiaTheme="minorEastAsia"/>
          <w:color w:val="000000" w:themeColor="text1"/>
          <w:szCs w:val="21"/>
          <w:highlight w:val="none"/>
          <w14:textFill>
            <w14:solidFill>
              <w14:schemeClr w14:val="tx1"/>
            </w14:solidFill>
          </w14:textFill>
        </w:rPr>
        <w:t>投标截止时间止，投标人不足3家的，不开启招标文件，终止本次采购活动。</w:t>
      </w:r>
    </w:p>
    <w:p w14:paraId="2ECD947D">
      <w:pPr>
        <w:spacing w:line="400" w:lineRule="exact"/>
        <w:rPr>
          <w:rFonts w:ascii="宋体" w:hAnsi="宋体" w:cs="宋体"/>
          <w:color w:val="000000" w:themeColor="text1"/>
          <w:sz w:val="24"/>
          <w:szCs w:val="24"/>
          <w:highlight w:val="none"/>
          <w14:textFill>
            <w14:solidFill>
              <w14:schemeClr w14:val="tx1"/>
            </w14:solidFill>
          </w14:textFill>
        </w:rPr>
      </w:pPr>
    </w:p>
    <w:p w14:paraId="5093D294">
      <w:pPr>
        <w:spacing w:before="143" w:beforeLines="50" w:after="143" w:afterLines="50"/>
        <w:jc w:val="center"/>
        <w:outlineLvl w:val="1"/>
        <w:rPr>
          <w:rFonts w:ascii="宋体" w:hAnsi="宋体" w:cs="宋体"/>
          <w:b/>
          <w:color w:val="000000" w:themeColor="text1"/>
          <w:sz w:val="28"/>
          <w:highlight w:val="none"/>
          <w14:textFill>
            <w14:solidFill>
              <w14:schemeClr w14:val="tx1"/>
            </w14:solidFill>
          </w14:textFill>
        </w:rPr>
      </w:pPr>
      <w:bookmarkStart w:id="116" w:name="_Toc513798905"/>
      <w:bookmarkStart w:id="117" w:name="_Toc440276566"/>
      <w:bookmarkStart w:id="118" w:name="_Toc513799076"/>
      <w:bookmarkStart w:id="119" w:name="_Toc520902399"/>
      <w:bookmarkStart w:id="120" w:name="_Toc24471"/>
      <w:bookmarkStart w:id="121" w:name="_Toc136017635"/>
      <w:bookmarkStart w:id="122" w:name="_Toc136345106"/>
      <w:r>
        <w:rPr>
          <w:rFonts w:hint="eastAsia" w:ascii="宋体" w:hAnsi="宋体" w:cs="宋体"/>
          <w:b/>
          <w:color w:val="000000" w:themeColor="text1"/>
          <w:sz w:val="28"/>
          <w:highlight w:val="none"/>
          <w14:textFill>
            <w14:solidFill>
              <w14:schemeClr w14:val="tx1"/>
            </w14:solidFill>
          </w14:textFill>
        </w:rPr>
        <w:t>F  评标和定标</w:t>
      </w:r>
      <w:bookmarkEnd w:id="116"/>
      <w:bookmarkEnd w:id="117"/>
      <w:bookmarkEnd w:id="118"/>
      <w:bookmarkEnd w:id="119"/>
      <w:bookmarkEnd w:id="120"/>
      <w:bookmarkEnd w:id="121"/>
      <w:bookmarkEnd w:id="122"/>
    </w:p>
    <w:p w14:paraId="1CCA0775">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18. 评标委员会及评标</w:t>
      </w:r>
    </w:p>
    <w:p w14:paraId="6D5F2E3B">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18.1</w:t>
      </w:r>
      <w:r>
        <w:rPr>
          <w:rFonts w:hint="eastAsia" w:ascii="宋体" w:hAnsi="宋体" w:cs="宋体"/>
          <w:color w:val="000000" w:themeColor="text1"/>
          <w:szCs w:val="21"/>
          <w:highlight w:val="none"/>
          <w14:textFill>
            <w14:solidFill>
              <w14:schemeClr w14:val="tx1"/>
            </w14:solidFill>
          </w14:textFill>
        </w:rPr>
        <w:t xml:space="preserve">  受采购人的委托，采购代理机构依据《中华人民共和国政府采购法》、《中华人民共和国政府采购实施条例》等有关规定组建评标委员会，并主持评标活动。评标委员会由采购人代表和技术、经济专家组成。</w:t>
      </w:r>
      <w:r>
        <w:rPr>
          <w:rFonts w:hint="eastAsia" w:ascii="宋体" w:hAnsi="宋体" w:cs="宋体"/>
          <w:b/>
          <w:color w:val="000000" w:themeColor="text1"/>
          <w:szCs w:val="21"/>
          <w:highlight w:val="none"/>
          <w:u w:val="single"/>
          <w14:textFill>
            <w14:solidFill>
              <w14:schemeClr w14:val="tx1"/>
            </w14:solidFill>
          </w14:textFill>
        </w:rPr>
        <w:t>评标委员会成员名单在招标结果确定之前依法保密</w:t>
      </w:r>
      <w:r>
        <w:rPr>
          <w:rFonts w:hint="eastAsia" w:ascii="宋体" w:hAnsi="宋体" w:cs="宋体"/>
          <w:color w:val="000000" w:themeColor="text1"/>
          <w:szCs w:val="21"/>
          <w:highlight w:val="none"/>
          <w14:textFill>
            <w14:solidFill>
              <w14:schemeClr w14:val="tx1"/>
            </w14:solidFill>
          </w14:textFill>
        </w:rPr>
        <w:t>。</w:t>
      </w:r>
    </w:p>
    <w:p w14:paraId="1F0852FA">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18.2 </w:t>
      </w:r>
      <w:r>
        <w:rPr>
          <w:rFonts w:hint="eastAsia" w:ascii="宋体" w:hAnsi="宋体" w:cs="宋体"/>
          <w:color w:val="000000" w:themeColor="text1"/>
          <w:szCs w:val="21"/>
          <w:highlight w:val="none"/>
          <w14:textFill>
            <w14:solidFill>
              <w14:schemeClr w14:val="tx1"/>
            </w14:solidFill>
          </w14:textFill>
        </w:rPr>
        <w:t xml:space="preserve"> 评标委员会将遵循公平、公正、科学、廉洁的原则和法定的程序进行评标，并且只依据招标文件要求和投标文件的响应情况进行评审，不依据任何来自开标后的补充声明、修正方案。</w:t>
      </w:r>
    </w:p>
    <w:p w14:paraId="1D277849">
      <w:pPr>
        <w:spacing w:line="400" w:lineRule="exact"/>
        <w:rPr>
          <w:rFonts w:ascii="宋体" w:hAnsi="宋体" w:cs="宋体"/>
          <w:color w:val="000000" w:themeColor="text1"/>
          <w:szCs w:val="21"/>
          <w:highlight w:val="none"/>
          <w14:textFill>
            <w14:solidFill>
              <w14:schemeClr w14:val="tx1"/>
            </w14:solidFill>
          </w14:textFill>
        </w:rPr>
      </w:pPr>
    </w:p>
    <w:p w14:paraId="1C640EB5">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19.投标的澄清</w:t>
      </w:r>
    </w:p>
    <w:p w14:paraId="33600D0E">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19.1</w:t>
      </w:r>
      <w:r>
        <w:rPr>
          <w:rFonts w:hint="eastAsia" w:ascii="宋体" w:hAnsi="宋体" w:cs="宋体"/>
          <w:color w:val="000000" w:themeColor="text1"/>
          <w:szCs w:val="21"/>
          <w:highlight w:val="none"/>
          <w14:textFill>
            <w14:solidFill>
              <w14:schemeClr w14:val="tx1"/>
            </w14:solidFill>
          </w14:textFill>
        </w:rPr>
        <w:t xml:space="preserve">  对于投标文件中含义不明确、同类问题表述不一致或者有明显文字和计算错误的内容，评标委员会应当以书面形式要求投标人作出必要的澄清、说明或者补正。</w:t>
      </w:r>
    </w:p>
    <w:p w14:paraId="076C7B8A">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19.2</w:t>
      </w:r>
      <w:r>
        <w:rPr>
          <w:rFonts w:hint="eastAsia" w:ascii="宋体" w:hAnsi="宋体" w:cs="宋体"/>
          <w:color w:val="000000" w:themeColor="text1"/>
          <w:szCs w:val="21"/>
          <w:highlight w:val="none"/>
          <w14:textFill>
            <w14:solidFill>
              <w14:schemeClr w14:val="tx1"/>
            </w14:solidFill>
          </w14:textFill>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15AB75C5">
      <w:pPr>
        <w:spacing w:line="400" w:lineRule="exac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19.3</w:t>
      </w:r>
      <w:r>
        <w:rPr>
          <w:rFonts w:hint="eastAsia" w:ascii="宋体" w:hAnsi="宋体" w:cs="宋体"/>
          <w:color w:val="000000" w:themeColor="text1"/>
          <w:szCs w:val="21"/>
          <w:highlight w:val="none"/>
          <w14:textFill>
            <w14:solidFill>
              <w14:schemeClr w14:val="tx1"/>
            </w14:solidFill>
          </w14:textFill>
        </w:rPr>
        <w:t xml:space="preserve">  采用</w:t>
      </w:r>
      <w:r>
        <w:rPr>
          <w:rFonts w:hint="eastAsia" w:ascii="宋体" w:hAnsi="宋体" w:cs="宋体"/>
          <w:color w:val="000000" w:themeColor="text1"/>
          <w:kern w:val="0"/>
          <w:szCs w:val="21"/>
          <w:highlight w:val="none"/>
          <w14:textFill>
            <w14:solidFill>
              <w14:schemeClr w14:val="tx1"/>
            </w14:solidFill>
          </w14:textFill>
        </w:rPr>
        <w:t>电子招投标的，澄清、说明或者补正通过电子交易平台提交电子版文件</w:t>
      </w:r>
      <w:r>
        <w:rPr>
          <w:rFonts w:hint="eastAsia" w:ascii="宋体" w:hAnsi="宋体" w:cs="宋体"/>
          <w:color w:val="000000" w:themeColor="text1"/>
          <w:szCs w:val="21"/>
          <w:highlight w:val="none"/>
          <w14:textFill>
            <w14:solidFill>
              <w14:schemeClr w14:val="tx1"/>
            </w14:solidFill>
          </w14:textFill>
        </w:rPr>
        <w:t>，并加盖公章，或者由法定代表人或其授权的代表签字</w:t>
      </w:r>
      <w:r>
        <w:rPr>
          <w:rFonts w:hint="eastAsia" w:ascii="宋体" w:hAnsi="宋体" w:cs="宋体"/>
          <w:color w:val="000000" w:themeColor="text1"/>
          <w:kern w:val="0"/>
          <w:szCs w:val="21"/>
          <w:highlight w:val="none"/>
          <w14:textFill>
            <w14:solidFill>
              <w14:schemeClr w14:val="tx1"/>
            </w14:solidFill>
          </w14:textFill>
        </w:rPr>
        <w:t>。投标人提交澄清说明或补正的时间为</w:t>
      </w:r>
      <w:r>
        <w:rPr>
          <w:rFonts w:hint="eastAsia" w:ascii="宋体" w:hAnsi="宋体" w:cs="宋体"/>
          <w:color w:val="000000" w:themeColor="text1"/>
          <w:kern w:val="0"/>
          <w:szCs w:val="21"/>
          <w:highlight w:val="none"/>
          <w:u w:val="single"/>
          <w14:textFill>
            <w14:solidFill>
              <w14:schemeClr w14:val="tx1"/>
            </w14:solidFill>
          </w14:textFill>
        </w:rPr>
        <w:t xml:space="preserve"> 30 </w:t>
      </w:r>
      <w:r>
        <w:rPr>
          <w:rFonts w:hint="eastAsia" w:ascii="宋体" w:hAnsi="宋体" w:cs="宋体"/>
          <w:color w:val="000000" w:themeColor="text1"/>
          <w:kern w:val="0"/>
          <w:szCs w:val="21"/>
          <w:highlight w:val="none"/>
          <w14:textFill>
            <w14:solidFill>
              <w14:schemeClr w14:val="tx1"/>
            </w14:solidFill>
          </w14:textFill>
        </w:rPr>
        <w:t>分钟。</w:t>
      </w:r>
    </w:p>
    <w:p w14:paraId="650C3421">
      <w:pPr>
        <w:spacing w:line="400" w:lineRule="exact"/>
        <w:rPr>
          <w:rFonts w:hint="eastAsia" w:ascii="宋体" w:hAnsi="宋体" w:eastAsia="宋体" w:cs="宋体"/>
          <w:b/>
          <w:color w:val="000000" w:themeColor="text1"/>
          <w:szCs w:val="21"/>
          <w:highlight w:val="none"/>
          <w:u w:val="single"/>
          <w:lang w:eastAsia="zh-CN"/>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19.4</w:t>
      </w:r>
      <w:r>
        <w:rPr>
          <w:rFonts w:hint="eastAsia" w:ascii="宋体" w:hAnsi="宋体" w:cs="宋体"/>
          <w:b/>
          <w:color w:val="000000" w:themeColor="text1"/>
          <w:szCs w:val="21"/>
          <w:highlight w:val="none"/>
          <w:u w:val="single"/>
          <w14:textFill>
            <w14:solidFill>
              <w14:schemeClr w14:val="tx1"/>
            </w14:solidFill>
          </w14:textFill>
        </w:rPr>
        <w:t>若投标人未响应澄清安排的通知进行答疑和澄清，将被视作自动放弃。</w:t>
      </w:r>
    </w:p>
    <w:p w14:paraId="70FA9B27">
      <w:pPr>
        <w:pStyle w:val="15"/>
        <w:rPr>
          <w:rFonts w:hint="eastAsia"/>
          <w:color w:val="000000" w:themeColor="text1"/>
          <w:highlight w:val="none"/>
          <w:lang w:eastAsia="zh-CN"/>
          <w14:textFill>
            <w14:solidFill>
              <w14:schemeClr w14:val="tx1"/>
            </w14:solidFill>
          </w14:textFill>
        </w:rPr>
      </w:pPr>
    </w:p>
    <w:p w14:paraId="63F9C73F">
      <w:pPr>
        <w:spacing w:line="400" w:lineRule="exac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20.  评标办法：</w:t>
      </w:r>
      <w:r>
        <w:rPr>
          <w:rFonts w:hint="eastAsia" w:ascii="宋体" w:hAnsi="宋体"/>
          <w:color w:val="000000" w:themeColor="text1"/>
          <w:szCs w:val="21"/>
          <w:highlight w:val="none"/>
          <w14:textFill>
            <w14:solidFill>
              <w14:schemeClr w14:val="tx1"/>
            </w14:solidFill>
          </w14:textFill>
        </w:rPr>
        <w:t>评标采用的方法有最低评标价法和综合评分法。</w:t>
      </w:r>
      <w:r>
        <w:rPr>
          <w:rFonts w:hint="eastAsia" w:ascii="宋体" w:hAnsi="宋体"/>
          <w:b/>
          <w:color w:val="000000" w:themeColor="text1"/>
          <w:szCs w:val="21"/>
          <w:highlight w:val="none"/>
          <w14:textFill>
            <w14:solidFill>
              <w14:schemeClr w14:val="tx1"/>
            </w14:solidFill>
          </w14:textFill>
        </w:rPr>
        <w:t>本项目招标采用的评标方法载明在招标文件第五部分“评标办法”中。</w:t>
      </w:r>
    </w:p>
    <w:p w14:paraId="36DD4B41">
      <w:pPr>
        <w:spacing w:line="400" w:lineRule="exact"/>
        <w:ind w:left="153" w:leftChars="73" w:firstLine="315" w:firstLineChars="150"/>
        <w:rPr>
          <w:rFonts w:ascii="宋体" w:hAnsi="宋体" w:cs="宋体"/>
          <w:color w:val="000000" w:themeColor="text1"/>
          <w:szCs w:val="21"/>
          <w:highlight w:val="none"/>
          <w14:textFill>
            <w14:solidFill>
              <w14:schemeClr w14:val="tx1"/>
            </w14:solidFill>
          </w14:textFill>
        </w:rPr>
      </w:pPr>
    </w:p>
    <w:p w14:paraId="7F24C964">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21.  评标程序和原则</w:t>
      </w:r>
    </w:p>
    <w:p w14:paraId="2D6208FA">
      <w:pPr>
        <w:spacing w:line="440" w:lineRule="exact"/>
        <w:rPr>
          <w:rFonts w:ascii="宋体" w:hAnsi="宋体"/>
          <w:color w:val="000000" w:themeColor="text1"/>
          <w:szCs w:val="21"/>
          <w:highlight w:val="none"/>
          <w:shd w:val="pct10" w:color="auto" w:fill="FFFFFF"/>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21.1</w:t>
      </w:r>
      <w:r>
        <w:rPr>
          <w:rFonts w:hint="eastAsia" w:ascii="宋体" w:hAnsi="宋体"/>
          <w:color w:val="000000" w:themeColor="text1"/>
          <w:szCs w:val="21"/>
          <w:highlight w:val="none"/>
          <w:u w:val="thick"/>
          <w14:textFill>
            <w14:solidFill>
              <w14:schemeClr w14:val="tx1"/>
            </w14:solidFill>
          </w14:textFill>
        </w:rPr>
        <w:t>评标程序</w:t>
      </w:r>
      <w:r>
        <w:rPr>
          <w:rFonts w:hint="eastAsia" w:ascii="宋体" w:hAnsi="宋体"/>
          <w:color w:val="000000" w:themeColor="text1"/>
          <w:szCs w:val="21"/>
          <w:highlight w:val="none"/>
          <w14:textFill>
            <w14:solidFill>
              <w14:schemeClr w14:val="tx1"/>
            </w14:solidFill>
          </w14:textFill>
        </w:rPr>
        <w:t>：遵循资格审查、符合性审查、澄清有关问题、比较与评价、推荐中标人（或中标候选人）的程序依次进行。</w:t>
      </w:r>
    </w:p>
    <w:p w14:paraId="5A82C2A0">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21.2</w:t>
      </w:r>
      <w:r>
        <w:rPr>
          <w:rFonts w:hint="eastAsia" w:ascii="宋体" w:hAnsi="宋体"/>
          <w:color w:val="000000" w:themeColor="text1"/>
          <w:szCs w:val="21"/>
          <w:highlight w:val="none"/>
          <w:u w:val="thick"/>
          <w14:textFill>
            <w14:solidFill>
              <w14:schemeClr w14:val="tx1"/>
            </w14:solidFill>
          </w14:textFill>
        </w:rPr>
        <w:t>资格审查</w:t>
      </w:r>
      <w:r>
        <w:rPr>
          <w:rFonts w:hint="eastAsia" w:ascii="宋体" w:hAnsi="宋体"/>
          <w:color w:val="000000" w:themeColor="text1"/>
          <w:szCs w:val="21"/>
          <w:highlight w:val="none"/>
          <w14:textFill>
            <w14:solidFill>
              <w14:schemeClr w14:val="tx1"/>
            </w14:solidFill>
          </w14:textFill>
        </w:rPr>
        <w:t>：公开招标采购项目开标结束后，采购人或者采购代理机构应当依法对投标人的资格进行审查。详见招标文件第五部分“评标办法”。</w:t>
      </w:r>
    </w:p>
    <w:p w14:paraId="1BBADBC4">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21.3</w:t>
      </w:r>
      <w:r>
        <w:rPr>
          <w:rFonts w:hint="eastAsia" w:ascii="宋体" w:hAnsi="宋体"/>
          <w:color w:val="000000" w:themeColor="text1"/>
          <w:szCs w:val="21"/>
          <w:highlight w:val="none"/>
          <w:u w:val="thick"/>
          <w14:textFill>
            <w14:solidFill>
              <w14:schemeClr w14:val="tx1"/>
            </w14:solidFill>
          </w14:textFill>
        </w:rPr>
        <w:t>符合性审查</w:t>
      </w:r>
      <w:r>
        <w:rPr>
          <w:rFonts w:hint="eastAsia" w:ascii="宋体" w:hAnsi="宋体"/>
          <w:color w:val="000000" w:themeColor="text1"/>
          <w:szCs w:val="21"/>
          <w:highlight w:val="none"/>
          <w14:textFill>
            <w14:solidFill>
              <w14:schemeClr w14:val="tx1"/>
            </w14:solidFill>
          </w14:textFill>
        </w:rPr>
        <w:t>：评标委员会应当对符合资格的投标人的投标文件进行符合性审查，以确定其是否满足招标文件的实质性要求。详见招标文件第五部分“评标办法”。</w:t>
      </w:r>
    </w:p>
    <w:p w14:paraId="01142BFD">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21.4 </w:t>
      </w:r>
      <w:r>
        <w:rPr>
          <w:rFonts w:hint="eastAsia" w:ascii="宋体" w:hAnsi="宋体"/>
          <w:color w:val="000000" w:themeColor="text1"/>
          <w:szCs w:val="21"/>
          <w:highlight w:val="none"/>
          <w:u w:val="thick"/>
          <w14:textFill>
            <w14:solidFill>
              <w14:schemeClr w14:val="tx1"/>
            </w14:solidFill>
          </w14:textFill>
        </w:rPr>
        <w:t>澄清有关问题</w:t>
      </w:r>
      <w:r>
        <w:rPr>
          <w:rFonts w:hint="eastAsia" w:ascii="宋体" w:hAnsi="宋体"/>
          <w:color w:val="000000" w:themeColor="text1"/>
          <w:szCs w:val="21"/>
          <w:highlight w:val="none"/>
          <w14:textFill>
            <w14:solidFill>
              <w14:schemeClr w14:val="tx1"/>
            </w14:solidFill>
          </w14:textFill>
        </w:rPr>
        <w:t>：按第</w:t>
      </w:r>
      <w:r>
        <w:rPr>
          <w:rFonts w:hint="eastAsia" w:ascii="宋体" w:hAnsi="宋体"/>
          <w:b/>
          <w:color w:val="000000" w:themeColor="text1"/>
          <w:szCs w:val="21"/>
          <w:highlight w:val="none"/>
          <w14:textFill>
            <w14:solidFill>
              <w14:schemeClr w14:val="tx1"/>
            </w14:solidFill>
          </w14:textFill>
        </w:rPr>
        <w:t>19</w:t>
      </w:r>
      <w:r>
        <w:rPr>
          <w:rFonts w:hint="eastAsia" w:ascii="宋体" w:hAnsi="宋体"/>
          <w:color w:val="000000" w:themeColor="text1"/>
          <w:szCs w:val="21"/>
          <w:highlight w:val="none"/>
          <w14:textFill>
            <w14:solidFill>
              <w14:schemeClr w14:val="tx1"/>
            </w14:solidFill>
          </w14:textFill>
        </w:rPr>
        <w:t xml:space="preserve">条规定进行。 </w:t>
      </w:r>
    </w:p>
    <w:p w14:paraId="5BEA7C6B">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21.5</w:t>
      </w:r>
      <w:r>
        <w:rPr>
          <w:rFonts w:hint="eastAsia" w:ascii="宋体" w:hAnsi="宋体"/>
          <w:color w:val="000000" w:themeColor="text1"/>
          <w:szCs w:val="21"/>
          <w:highlight w:val="none"/>
          <w:u w:val="thick"/>
          <w14:textFill>
            <w14:solidFill>
              <w14:schemeClr w14:val="tx1"/>
            </w14:solidFill>
          </w14:textFill>
        </w:rPr>
        <w:t>综合比较与评价</w:t>
      </w:r>
      <w:r>
        <w:rPr>
          <w:rFonts w:hint="eastAsia" w:ascii="宋体" w:hAnsi="宋体"/>
          <w:color w:val="000000" w:themeColor="text1"/>
          <w:szCs w:val="21"/>
          <w:highlight w:val="none"/>
          <w14:textFill>
            <w14:solidFill>
              <w14:schemeClr w14:val="tx1"/>
            </w14:solidFill>
          </w14:textFill>
        </w:rPr>
        <w:t>：评标委员会应当按照招标文件中规定的评标方法和标准，对符合性审查合格的投标文件进行商务和技术评估，综合比较与评价。</w:t>
      </w:r>
    </w:p>
    <w:p w14:paraId="626FAFAE">
      <w:pPr>
        <w:spacing w:line="440" w:lineRule="exac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21.5.1 </w:t>
      </w:r>
      <w:r>
        <w:rPr>
          <w:rFonts w:hint="eastAsia" w:ascii="宋体" w:hAnsi="宋体"/>
          <w:color w:val="000000" w:themeColor="text1"/>
          <w:szCs w:val="21"/>
          <w:highlight w:val="none"/>
          <w:u w:val="thick"/>
          <w14:textFill>
            <w14:solidFill>
              <w14:schemeClr w14:val="tx1"/>
            </w14:solidFill>
          </w14:textFill>
        </w:rPr>
        <w:t>商务评价</w:t>
      </w:r>
      <w:r>
        <w:rPr>
          <w:rFonts w:hint="eastAsia" w:ascii="宋体" w:hAnsi="宋体"/>
          <w:color w:val="000000" w:themeColor="text1"/>
          <w:szCs w:val="21"/>
          <w:highlight w:val="none"/>
          <w14:textFill>
            <w14:solidFill>
              <w14:schemeClr w14:val="tx1"/>
            </w14:solidFill>
          </w14:textFill>
        </w:rPr>
        <w:t>：按照招标文件的要求和“评标标准”对照投标文件的响应进行商务评价，并对其偏差计算相应的商务评分分值。</w:t>
      </w:r>
    </w:p>
    <w:p w14:paraId="41FAC5E2">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21.5.2</w:t>
      </w:r>
      <w:r>
        <w:rPr>
          <w:rFonts w:hint="eastAsia" w:ascii="宋体" w:hAnsi="宋体"/>
          <w:color w:val="000000" w:themeColor="text1"/>
          <w:szCs w:val="21"/>
          <w:highlight w:val="none"/>
          <w:u w:val="thick"/>
          <w14:textFill>
            <w14:solidFill>
              <w14:schemeClr w14:val="tx1"/>
            </w14:solidFill>
          </w14:textFill>
        </w:rPr>
        <w:t>技术评价</w:t>
      </w:r>
      <w:r>
        <w:rPr>
          <w:rFonts w:hint="eastAsia" w:ascii="宋体" w:hAnsi="宋体"/>
          <w:color w:val="000000" w:themeColor="text1"/>
          <w:szCs w:val="21"/>
          <w:highlight w:val="none"/>
          <w14:textFill>
            <w14:solidFill>
              <w14:schemeClr w14:val="tx1"/>
            </w14:solidFill>
          </w14:textFill>
        </w:rPr>
        <w:t>：按照招标文件的要求和“评标标准”对照投标文件的响应进行技术评价，评定其偏差程度，并计算其相应的技术评分分值。</w:t>
      </w:r>
    </w:p>
    <w:p w14:paraId="16C3DE39">
      <w:pPr>
        <w:spacing w:line="440" w:lineRule="exact"/>
        <w:jc w:val="lef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21.5.3</w:t>
      </w:r>
      <w:r>
        <w:rPr>
          <w:rFonts w:hint="eastAsia" w:ascii="宋体" w:hAnsi="宋体"/>
          <w:color w:val="000000" w:themeColor="text1"/>
          <w:szCs w:val="21"/>
          <w:highlight w:val="none"/>
          <w:u w:val="thick"/>
          <w14:textFill>
            <w14:solidFill>
              <w14:schemeClr w14:val="tx1"/>
            </w14:solidFill>
          </w14:textFill>
        </w:rPr>
        <w:t>综合评价</w:t>
      </w:r>
      <w:r>
        <w:rPr>
          <w:rFonts w:hint="eastAsia" w:ascii="宋体" w:hAnsi="宋体"/>
          <w:color w:val="000000" w:themeColor="text1"/>
          <w:szCs w:val="21"/>
          <w:highlight w:val="none"/>
          <w14:textFill>
            <w14:solidFill>
              <w14:schemeClr w14:val="tx1"/>
            </w14:solidFill>
          </w14:textFill>
        </w:rPr>
        <w:t>：对经过商务评价、技术评价的投标，按“评标标准”规定的评价办法进行综合评价，做出评标结果排序。</w:t>
      </w:r>
    </w:p>
    <w:p w14:paraId="6841F017">
      <w:pPr>
        <w:spacing w:line="440" w:lineRule="exact"/>
        <w:jc w:val="left"/>
        <w:rPr>
          <w:rFonts w:ascii="宋体" w:hAnsi="宋体"/>
          <w:color w:val="000000" w:themeColor="text1"/>
          <w:szCs w:val="21"/>
          <w:highlight w:val="none"/>
          <w14:textFill>
            <w14:solidFill>
              <w14:schemeClr w14:val="tx1"/>
            </w14:solidFill>
          </w14:textFill>
        </w:rPr>
      </w:pPr>
    </w:p>
    <w:p w14:paraId="016F9DD4">
      <w:pPr>
        <w:spacing w:line="440" w:lineRule="exac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21.6  评标过程处理原则</w:t>
      </w:r>
    </w:p>
    <w:p w14:paraId="3E3AFD81">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21.6.1</w:t>
      </w:r>
      <w:r>
        <w:rPr>
          <w:rFonts w:hint="eastAsia" w:ascii="宋体" w:hAnsi="宋体"/>
          <w:color w:val="000000" w:themeColor="text1"/>
          <w:szCs w:val="21"/>
          <w:highlight w:val="none"/>
          <w14:textFill>
            <w14:solidFill>
              <w14:schemeClr w14:val="tx1"/>
            </w14:solidFill>
          </w14:textFill>
        </w:rPr>
        <w:t xml:space="preserve">  通过资格审查的投标人不足3家的，评标终止。</w:t>
      </w:r>
    </w:p>
    <w:p w14:paraId="0EFFA63D">
      <w:pPr>
        <w:spacing w:line="440" w:lineRule="exac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21.6.2  </w:t>
      </w:r>
      <w:r>
        <w:rPr>
          <w:rFonts w:hint="eastAsia" w:ascii="宋体" w:hAnsi="宋体"/>
          <w:color w:val="000000" w:themeColor="text1"/>
          <w:szCs w:val="21"/>
          <w:highlight w:val="none"/>
          <w14:textFill>
            <w14:solidFill>
              <w14:schemeClr w14:val="tx1"/>
            </w14:solidFill>
          </w14:textFill>
        </w:rPr>
        <w:t>信用信息查询</w:t>
      </w:r>
    </w:p>
    <w:p w14:paraId="7269E857">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（1）信用信息查询渠道及截止时间：采购代理机构将通过“信用中国”网站(www.creditchina.gov.cn)、中国政府采购网(www.ccgp.gov.cn)渠道查询投标人投标截止时间当天的信用记录。</w:t>
      </w:r>
    </w:p>
    <w:p w14:paraId="1C9AFF13">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（2）信用信息查询记录和证据留存的具体方式：现场查询的投标人的信用记录、查询结果经确认后将与招标文件一起存档。</w:t>
      </w:r>
    </w:p>
    <w:p w14:paraId="76E88A6D">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（3）信用信息的使用规则：经查询列入失信被执行人名单、重大税收违法案件当事人名单、政府采购严重违法失信行为记录名单的投标人将被拒绝参与政府采购活动。</w:t>
      </w:r>
    </w:p>
    <w:p w14:paraId="7F0A98CD">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联合体信用信息查询：两个以上的自然人、法人或者其他组织组成一个联合体，以一个投标人的身份共同参加政府采购活动的，应当对所有联合体成员进行信用记录查询，联合体成员存在不良信用记录的，视同联合体存在不良信用记录。</w:t>
      </w:r>
    </w:p>
    <w:p w14:paraId="4866E364">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21.6.3  </w:t>
      </w:r>
      <w:r>
        <w:rPr>
          <w:rFonts w:hint="eastAsia" w:ascii="宋体" w:hAnsi="宋体"/>
          <w:color w:val="000000" w:themeColor="text1"/>
          <w:szCs w:val="21"/>
          <w:highlight w:val="none"/>
          <w14:textFill>
            <w14:solidFill>
              <w14:schemeClr w14:val="tx1"/>
            </w14:solidFill>
          </w14:textFill>
        </w:rPr>
        <w:t>投标文件报价出现前后不一致的，除招标文件另有规定外，按照下列规定修正：</w:t>
      </w:r>
    </w:p>
    <w:p w14:paraId="3A12026F">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（一）投标文件中开标一览表(报价表)内容与投标文件中相应内容不一致的，以开标一览表(报价表)为准；</w:t>
      </w:r>
    </w:p>
    <w:p w14:paraId="0BD1311B">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（二）大写金额和小写金额不一致的，以大写金额为准；</w:t>
      </w:r>
    </w:p>
    <w:p w14:paraId="7EE26FA1">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（三）单价金额小数点或者百分比有明显错位的，以开标一览表的总价为准，并修改单价；</w:t>
      </w:r>
    </w:p>
    <w:p w14:paraId="2DEC67AA">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（四）总价金额与按单价汇总金额不一致的，以单价金额计算结果为准。</w:t>
      </w:r>
    </w:p>
    <w:p w14:paraId="7A55681B">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同时出现两种以上不一致的，按照前款规定的顺序修正。修正后的报价按照本须知19.2条的规定经投标人确认后产生约束力，投标人不确认的，其投标无效。</w:t>
      </w:r>
    </w:p>
    <w:p w14:paraId="1B369564">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21.6.4</w:t>
      </w:r>
      <w:r>
        <w:rPr>
          <w:rFonts w:hint="eastAsia" w:ascii="宋体" w:hAnsi="宋体"/>
          <w:color w:val="000000" w:themeColor="text1"/>
          <w:szCs w:val="21"/>
          <w:highlight w:val="none"/>
          <w14:textFill>
            <w14:solidFill>
              <w14:schemeClr w14:val="tx1"/>
            </w14:solidFill>
          </w14:textFill>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2CBD7F8">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21.6.5</w:t>
      </w:r>
      <w:r>
        <w:rPr>
          <w:rFonts w:hint="eastAsia" w:ascii="宋体" w:hAnsi="宋体"/>
          <w:color w:val="000000" w:themeColor="text1"/>
          <w:szCs w:val="21"/>
          <w:highlight w:val="none"/>
          <w14:textFill>
            <w14:solidFill>
              <w14:schemeClr w14:val="tx1"/>
            </w14:solidFill>
          </w14:textFill>
        </w:rPr>
        <w:t xml:space="preserve">  评标委员会成员对需要共同认定的事项存在争议的，应当按照少数服从多数的原则作出结论。持不同意见的评标委员会成员应当在评标报告上签署不同意见及理由，否则视为同意评标报告。</w:t>
      </w:r>
    </w:p>
    <w:p w14:paraId="21F98E49">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21.6.6 </w:t>
      </w:r>
      <w:r>
        <w:rPr>
          <w:rFonts w:hint="eastAsia" w:ascii="宋体" w:hAnsi="宋体"/>
          <w:color w:val="000000" w:themeColor="text1"/>
          <w:szCs w:val="21"/>
          <w:highlight w:val="none"/>
          <w14:textFill>
            <w14:solidFill>
              <w14:schemeClr w14:val="tx1"/>
            </w14:solidFill>
          </w14:textFill>
        </w:rPr>
        <w:t xml:space="preserve"> 采用最低评标价法的采购项目，提供相同品牌产品的不同投标人参加同一标项投标的，以其中通过资格审查、符合性审查且报价最低的参加评标；报价相同的，由采购人或者采购人委托评标委员会采取随机抽取方式确定，其他投标无效。</w:t>
      </w:r>
    </w:p>
    <w:p w14:paraId="3D0F8B0D">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使用综合评分法的采购项目，提供相同品牌产品且通过资格审查、符合性审查的不同投标人参加同一标项项投标的，按一家投标人计算，评审后得分最高的同品牌投标人获得中标人推荐资格；评审得分相同的，由采购人或者采购人委托评标委员会采取随机抽取方式确定，其他同品牌投标人不作为中标候选人。</w:t>
      </w:r>
    </w:p>
    <w:p w14:paraId="005653F2">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非单一产品采购项目，招标文件中应载明核心产品，多家投标人提供的核心产品品牌相同的，按上述规定处理。</w:t>
      </w:r>
    </w:p>
    <w:p w14:paraId="7D4387BA">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21.6.7</w:t>
      </w:r>
      <w:r>
        <w:rPr>
          <w:rFonts w:hint="eastAsia" w:ascii="宋体" w:hAnsi="宋体"/>
          <w:color w:val="000000" w:themeColor="text1"/>
          <w:szCs w:val="21"/>
          <w:highlight w:val="none"/>
          <w14:textFill>
            <w14:solidFill>
              <w14:schemeClr w14:val="tx1"/>
            </w14:solidFill>
          </w14:textFill>
        </w:rPr>
        <w:t xml:space="preserve">  有下列情形之一的，视为投标人串通投标，其投标无效：</w:t>
      </w:r>
    </w:p>
    <w:p w14:paraId="5AA0FF17">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（一）不同投标人的投标文件由同一单位或者个人编制；</w:t>
      </w:r>
    </w:p>
    <w:p w14:paraId="6B6C876C">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（二）不同投标人委托同一单位或者个人办理投标事宜；</w:t>
      </w:r>
    </w:p>
    <w:p w14:paraId="5430B922">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（三）不同投标人的投标文件载明的项目管理成员或者联系人员为同一人；</w:t>
      </w:r>
    </w:p>
    <w:p w14:paraId="3E465867">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（四）不同投标人的投标文件异常一致或者投标报价呈规律性差异；</w:t>
      </w:r>
    </w:p>
    <w:p w14:paraId="38351CF5">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（五）不同投标人的投标文件相互混装；</w:t>
      </w:r>
    </w:p>
    <w:p w14:paraId="08A0BE09">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（六）不同投标人的投标保证金从同一单位或者个人的账户转出。</w:t>
      </w:r>
    </w:p>
    <w:p w14:paraId="421CB13E">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21.6.8</w:t>
      </w:r>
      <w:r>
        <w:rPr>
          <w:rFonts w:hint="eastAsia" w:ascii="宋体" w:hAnsi="宋体"/>
          <w:color w:val="000000" w:themeColor="text1"/>
          <w:szCs w:val="21"/>
          <w:highlight w:val="none"/>
          <w14:textFill>
            <w14:solidFill>
              <w14:schemeClr w14:val="tx1"/>
            </w14:solidFill>
          </w14:textFill>
        </w:rPr>
        <w:t xml:space="preserve">  投标人存在下列情况之一的，投标无效：</w:t>
      </w:r>
    </w:p>
    <w:p w14:paraId="3C89FF4B">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（一）未按照招标文件的规定提交投标保证金的；</w:t>
      </w:r>
    </w:p>
    <w:p w14:paraId="719E4204">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（二）投标文件未按招标文件要求签署、盖章的；</w:t>
      </w:r>
    </w:p>
    <w:p w14:paraId="4DA0427A">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（三）不具备招标文件中规定的资格要求的；</w:t>
      </w:r>
    </w:p>
    <w:p w14:paraId="765DE75C">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（四）报价超过招标文件中规定的预算金额或者最高限价的；</w:t>
      </w:r>
    </w:p>
    <w:p w14:paraId="17D92FE6">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（五）未对招标文件的实质性条款作出响应的；</w:t>
      </w:r>
    </w:p>
    <w:p w14:paraId="39410394">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（六）投标文件含有采购人不能接受的附加条件的；</w:t>
      </w:r>
    </w:p>
    <w:p w14:paraId="68369938">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（七）不同投标人的投标文件出自同一终端设备或在相同Internet主机分配地址（相同IP地址）；</w:t>
      </w:r>
    </w:p>
    <w:p w14:paraId="7E7EA2DF">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（八）法律、法规和招标文件规定的其他无效情形。</w:t>
      </w:r>
    </w:p>
    <w:p w14:paraId="63CE2A92">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21.6.9  </w:t>
      </w:r>
      <w:r>
        <w:rPr>
          <w:rFonts w:hint="eastAsia" w:ascii="宋体" w:hAnsi="宋体"/>
          <w:color w:val="000000" w:themeColor="text1"/>
          <w:szCs w:val="21"/>
          <w:highlight w:val="none"/>
          <w14:textFill>
            <w14:solidFill>
              <w14:schemeClr w14:val="tx1"/>
            </w14:solidFill>
          </w14:textFill>
        </w:rPr>
        <w:t>评标结果汇总完成后，除下列情形外，任何人不得修改评标结果：</w:t>
      </w:r>
    </w:p>
    <w:p w14:paraId="1D392074">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（一）分值汇总计算错误的；</w:t>
      </w:r>
    </w:p>
    <w:p w14:paraId="2BD16BD7">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（二）分项评分超出评分标准范围的；</w:t>
      </w:r>
    </w:p>
    <w:p w14:paraId="78883515">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（三）评标委员会成员对客观评审因素评分不一致的；</w:t>
      </w:r>
    </w:p>
    <w:p w14:paraId="6F564C21">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（四）经评标委员会认定评分畸高、畸低的。</w:t>
      </w:r>
    </w:p>
    <w:p w14:paraId="03E71EC0">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4F8A9CF6">
      <w:pPr>
        <w:spacing w:line="440" w:lineRule="exact"/>
        <w:ind w:firstLine="449" w:firstLineChars="214"/>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投标人对本条第一款情形提出质疑的，采购人或者采购代理机构可以组织原评标委员会进行重新评审，重新评审改变评标结果的，应当书面报告本级财政部门。</w:t>
      </w:r>
    </w:p>
    <w:p w14:paraId="3B759F66">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21.6.10  </w:t>
      </w:r>
      <w:r>
        <w:rPr>
          <w:rFonts w:hint="eastAsia" w:ascii="宋体" w:hAnsi="宋体"/>
          <w:color w:val="000000" w:themeColor="text1"/>
          <w:szCs w:val="21"/>
          <w:highlight w:val="none"/>
          <w14:textFill>
            <w14:solidFill>
              <w14:schemeClr w14:val="tx1"/>
            </w14:solidFill>
          </w14:textFill>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1ED213CB">
      <w:pPr>
        <w:spacing w:line="400" w:lineRule="exact"/>
        <w:rPr>
          <w:rFonts w:ascii="宋体" w:hAnsi="宋体" w:cs="宋体"/>
          <w:color w:val="000000" w:themeColor="text1"/>
          <w:kern w:val="0"/>
          <w:szCs w:val="21"/>
          <w:highlight w:val="none"/>
          <w14:textFill>
            <w14:solidFill>
              <w14:schemeClr w14:val="tx1"/>
            </w14:solidFill>
          </w14:textFill>
        </w:rPr>
      </w:pPr>
    </w:p>
    <w:p w14:paraId="056D3E9D">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22.  推荐中标候选人</w:t>
      </w:r>
    </w:p>
    <w:p w14:paraId="3886FD92">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22.1</w:t>
      </w:r>
      <w:r>
        <w:rPr>
          <w:rFonts w:hint="eastAsia" w:ascii="宋体" w:hAnsi="宋体" w:cs="宋体"/>
          <w:color w:val="000000" w:themeColor="text1"/>
          <w:kern w:val="0"/>
          <w:szCs w:val="21"/>
          <w:highlight w:val="none"/>
          <w14:textFill>
            <w14:solidFill>
              <w14:schemeClr w14:val="tx1"/>
            </w14:solidFill>
          </w14:textFill>
        </w:rPr>
        <w:t xml:space="preserve">  评标委员会按照招标文件第</w:t>
      </w:r>
      <w:r>
        <w:rPr>
          <w:rFonts w:hint="eastAsia" w:ascii="宋体" w:hAnsi="宋体"/>
          <w:color w:val="000000" w:themeColor="text1"/>
          <w:szCs w:val="21"/>
          <w:highlight w:val="none"/>
          <w14:textFill>
            <w14:solidFill>
              <w14:schemeClr w14:val="tx1"/>
            </w14:solidFill>
          </w14:textFill>
        </w:rPr>
        <w:t>五</w:t>
      </w:r>
      <w:r>
        <w:rPr>
          <w:rFonts w:hint="eastAsia" w:ascii="宋体" w:hAnsi="宋体" w:cs="宋体"/>
          <w:color w:val="000000" w:themeColor="text1"/>
          <w:kern w:val="0"/>
          <w:szCs w:val="21"/>
          <w:highlight w:val="none"/>
          <w14:textFill>
            <w14:solidFill>
              <w14:schemeClr w14:val="tx1"/>
            </w14:solidFill>
          </w14:textFill>
        </w:rPr>
        <w:t>部分“评标办法”推荐中标候选人。</w:t>
      </w:r>
    </w:p>
    <w:p w14:paraId="4DD6BCAD">
      <w:pPr>
        <w:spacing w:line="400" w:lineRule="exact"/>
        <w:rPr>
          <w:rFonts w:ascii="宋体" w:hAnsi="宋体" w:cs="宋体"/>
          <w:color w:val="000000" w:themeColor="text1"/>
          <w:kern w:val="0"/>
          <w:szCs w:val="21"/>
          <w:highlight w:val="none"/>
          <w14:textFill>
            <w14:solidFill>
              <w14:schemeClr w14:val="tx1"/>
            </w14:solidFill>
          </w14:textFill>
        </w:rPr>
      </w:pPr>
    </w:p>
    <w:p w14:paraId="0EE8D225">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23.  定标</w:t>
      </w:r>
    </w:p>
    <w:p w14:paraId="6926D160">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23.1  </w:t>
      </w:r>
      <w:r>
        <w:rPr>
          <w:rFonts w:hint="eastAsia" w:ascii="宋体" w:hAnsi="宋体" w:cs="宋体"/>
          <w:color w:val="000000" w:themeColor="text1"/>
          <w:szCs w:val="21"/>
          <w:highlight w:val="none"/>
          <w14:textFill>
            <w14:solidFill>
              <w14:schemeClr w14:val="tx1"/>
            </w14:solidFill>
          </w14:textFill>
        </w:rPr>
        <w:t>确定中标人。本项目由评标委员会推荐中标候选人，采购人不得在评标委员会推荐的中标候选人以外确定中标候选人。</w:t>
      </w:r>
    </w:p>
    <w:p w14:paraId="5E89BC86">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23.2</w:t>
      </w:r>
      <w:r>
        <w:rPr>
          <w:rFonts w:hint="eastAsia" w:ascii="宋体" w:hAnsi="宋体" w:cs="宋体"/>
          <w:color w:val="000000" w:themeColor="text1"/>
          <w:szCs w:val="21"/>
          <w:highlight w:val="none"/>
          <w14:textFill>
            <w14:solidFill>
              <w14:schemeClr w14:val="tx1"/>
            </w14:solidFill>
          </w14:textFill>
        </w:rPr>
        <w:t xml:space="preserve">  采购代理机构在评标结束后2个工作日内将评标报告交采购人确认，采购人在收到评标报告之日起5个工作日内在评标报告确定的中标候选人中按顺序确定中标人，采购人在收到评标报告之日起5个工作日内未按评标报告推荐的中标候选人排序确定中标人，又不能说明合法理由的，视同按评标报告推荐的顺序确定排名第一的中标候选人为中标人。</w:t>
      </w:r>
    </w:p>
    <w:p w14:paraId="7992D6C3">
      <w:pP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23.3</w:t>
      </w:r>
      <w:r>
        <w:rPr>
          <w:rFonts w:hint="eastAsia" w:ascii="宋体" w:hAnsi="宋体" w:cs="宋体"/>
          <w:color w:val="000000" w:themeColor="text1"/>
          <w:szCs w:val="21"/>
          <w:highlight w:val="none"/>
          <w14:textFill>
            <w14:solidFill>
              <w14:schemeClr w14:val="tx1"/>
            </w14:solidFill>
          </w14:textFill>
        </w:rPr>
        <w:t xml:space="preserve">  采购代理机构自中标人确定之日起2个工作日内，在发布招标公告的网站上对中标结果进行公示，中标结果公告期限为1个工作日。</w:t>
      </w:r>
    </w:p>
    <w:p w14:paraId="16E9BE79">
      <w:pPr>
        <w:spacing w:line="400" w:lineRule="exact"/>
        <w:rPr>
          <w:rFonts w:ascii="宋体" w:hAnsi="宋体" w:cs="宋体"/>
          <w:color w:val="000000" w:themeColor="text1"/>
          <w:kern w:val="0"/>
          <w:szCs w:val="21"/>
          <w:highlight w:val="none"/>
          <w14:textFill>
            <w14:solidFill>
              <w14:schemeClr w14:val="tx1"/>
            </w14:solidFill>
          </w14:textFill>
        </w:rPr>
      </w:pPr>
    </w:p>
    <w:p w14:paraId="54DC4598">
      <w:pPr>
        <w:jc w:val="center"/>
        <w:outlineLvl w:val="1"/>
        <w:rPr>
          <w:rFonts w:ascii="宋体" w:hAnsi="宋体" w:cs="宋体"/>
          <w:b/>
          <w:color w:val="000000" w:themeColor="text1"/>
          <w:sz w:val="28"/>
          <w:highlight w:val="none"/>
          <w14:textFill>
            <w14:solidFill>
              <w14:schemeClr w14:val="tx1"/>
            </w14:solidFill>
          </w14:textFill>
        </w:rPr>
      </w:pPr>
      <w:bookmarkStart w:id="123" w:name="_Toc440276567"/>
      <w:bookmarkStart w:id="124" w:name="_Toc136017636"/>
      <w:bookmarkStart w:id="125" w:name="_Toc136345107"/>
      <w:bookmarkStart w:id="126" w:name="_Toc31753"/>
      <w:r>
        <w:rPr>
          <w:rFonts w:hint="eastAsia" w:ascii="宋体" w:hAnsi="宋体" w:cs="宋体"/>
          <w:b/>
          <w:color w:val="000000" w:themeColor="text1"/>
          <w:sz w:val="28"/>
          <w:highlight w:val="none"/>
          <w14:textFill>
            <w14:solidFill>
              <w14:schemeClr w14:val="tx1"/>
            </w14:solidFill>
          </w14:textFill>
        </w:rPr>
        <w:t>G  授予合同</w:t>
      </w:r>
      <w:bookmarkEnd w:id="123"/>
      <w:bookmarkEnd w:id="124"/>
      <w:bookmarkEnd w:id="125"/>
      <w:bookmarkEnd w:id="126"/>
    </w:p>
    <w:p w14:paraId="2D842443">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24.  中标通知</w:t>
      </w:r>
    </w:p>
    <w:p w14:paraId="5F5701CD">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24.1 </w:t>
      </w:r>
      <w:r>
        <w:rPr>
          <w:rFonts w:hint="eastAsia" w:ascii="宋体" w:hAnsi="宋体" w:cs="宋体"/>
          <w:color w:val="000000" w:themeColor="text1"/>
          <w:kern w:val="0"/>
          <w:szCs w:val="21"/>
          <w:highlight w:val="none"/>
          <w14:textFill>
            <w14:solidFill>
              <w14:schemeClr w14:val="tx1"/>
            </w14:solidFill>
          </w14:textFill>
        </w:rPr>
        <w:t xml:space="preserve"> 在公告中标结果的同时，采购代理机构应当向中标人发出中标通知书。</w:t>
      </w:r>
    </w:p>
    <w:p w14:paraId="22717124">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24.2</w:t>
      </w:r>
      <w:r>
        <w:rPr>
          <w:rFonts w:hint="eastAsia" w:ascii="宋体" w:hAnsi="宋体" w:cs="宋体"/>
          <w:color w:val="000000" w:themeColor="text1"/>
          <w:kern w:val="0"/>
          <w:szCs w:val="21"/>
          <w:highlight w:val="none"/>
          <w14:textFill>
            <w14:solidFill>
              <w14:schemeClr w14:val="tx1"/>
            </w14:solidFill>
          </w14:textFill>
        </w:rPr>
        <w:t xml:space="preserve">  中标通知书发出后，采购人不得违法改变中标结果，中标人无正当理由不得放弃中标。</w:t>
      </w:r>
    </w:p>
    <w:p w14:paraId="0F460C25">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p>
    <w:p w14:paraId="24B7D92B">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25.  签订合同</w:t>
      </w:r>
    </w:p>
    <w:p w14:paraId="712BA66E">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25.1</w:t>
      </w:r>
      <w:r>
        <w:rPr>
          <w:rFonts w:hint="eastAsia" w:ascii="宋体" w:hAnsi="宋体" w:cs="宋体"/>
          <w:color w:val="000000" w:themeColor="text1"/>
          <w:kern w:val="0"/>
          <w:szCs w:val="21"/>
          <w:highlight w:val="none"/>
          <w14:textFill>
            <w14:solidFill>
              <w14:schemeClr w14:val="tx1"/>
            </w14:solidFill>
          </w14:textFill>
        </w:rPr>
        <w:t xml:space="preserve">  中标人应在采购代理机构发出中标通知书的30日内，应与采购人签订合同。所签订的合同不得对招标文件确定的事项和中标人投标文件作实质性修改。</w:t>
      </w:r>
    </w:p>
    <w:p w14:paraId="72C741BD">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25.2</w:t>
      </w:r>
      <w:r>
        <w:rPr>
          <w:rFonts w:hint="eastAsia" w:ascii="宋体" w:hAnsi="宋体" w:cs="宋体"/>
          <w:color w:val="000000" w:themeColor="text1"/>
          <w:kern w:val="0"/>
          <w:szCs w:val="21"/>
          <w:highlight w:val="none"/>
          <w14:textFill>
            <w14:solidFill>
              <w14:schemeClr w14:val="tx1"/>
            </w14:solidFill>
          </w14:textFill>
        </w:rPr>
        <w:t xml:space="preserve">  除中标通知书外，招标文件、中标人的投标文件及评标过程中有关的澄清文件也均应作为合同附件。</w:t>
      </w:r>
    </w:p>
    <w:p w14:paraId="6317EA8D">
      <w:pPr>
        <w:spacing w:line="400" w:lineRule="exact"/>
        <w:rPr>
          <w:rFonts w:ascii="宋体" w:hAnsi="宋体" w:cs="宋体"/>
          <w:bCs/>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25.3  </w:t>
      </w:r>
      <w:r>
        <w:rPr>
          <w:rFonts w:hint="eastAsia" w:ascii="宋体" w:hAnsi="宋体" w:cs="宋体"/>
          <w:bCs/>
          <w:color w:val="000000" w:themeColor="text1"/>
          <w:szCs w:val="21"/>
          <w:highlight w:val="none"/>
          <w14:textFill>
            <w14:solidFill>
              <w14:schemeClr w14:val="tx1"/>
            </w14:solidFill>
          </w14:textFill>
        </w:rPr>
        <w:t>中标人按规定的日期、时间、地点，由法定代表人或其授权代表与采购人代表签订合同。如中标人为联合体，由联合体成员各方法定代表人或其授权代表与采购人代表签订合同。允许中标人在采购合同盖章后送达。</w:t>
      </w:r>
    </w:p>
    <w:p w14:paraId="53C875F1">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25.4</w:t>
      </w:r>
      <w:r>
        <w:rPr>
          <w:rFonts w:hint="eastAsia" w:ascii="宋体" w:hAnsi="宋体" w:cs="宋体"/>
          <w:color w:val="000000" w:themeColor="text1"/>
          <w:kern w:val="0"/>
          <w:szCs w:val="21"/>
          <w:highlight w:val="none"/>
          <w14:textFill>
            <w14:solidFill>
              <w14:schemeClr w14:val="tx1"/>
            </w14:solidFill>
          </w14:textFill>
        </w:rPr>
        <w:t xml:space="preserve">  中标人拒绝与采购人签订合同的，采购人可以按照评标报告推荐的中标候选人名单排序，确定下一候选人为中标人，也可以重新开展政府采购活动。</w:t>
      </w:r>
    </w:p>
    <w:p w14:paraId="26EA7E1C">
      <w:pPr>
        <w:spacing w:line="400" w:lineRule="exact"/>
        <w:rPr>
          <w:rFonts w:ascii="宋体" w:hAnsi="宋体" w:cs="宋体"/>
          <w:color w:val="000000" w:themeColor="text1"/>
          <w:kern w:val="0"/>
          <w:szCs w:val="21"/>
          <w:highlight w:val="none"/>
          <w14:textFill>
            <w14:solidFill>
              <w14:schemeClr w14:val="tx1"/>
            </w14:solidFill>
          </w14:textFill>
        </w:rPr>
      </w:pPr>
    </w:p>
    <w:p w14:paraId="7703FA25">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26.  履约保证金</w:t>
      </w:r>
    </w:p>
    <w:p w14:paraId="1CA3F662">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26.1</w:t>
      </w:r>
      <w:r>
        <w:rPr>
          <w:rFonts w:hint="eastAsia" w:ascii="宋体" w:hAnsi="宋体" w:cs="宋体"/>
          <w:color w:val="000000" w:themeColor="text1"/>
          <w:kern w:val="0"/>
          <w:szCs w:val="21"/>
          <w:highlight w:val="none"/>
          <w14:textFill>
            <w14:solidFill>
              <w14:schemeClr w14:val="tx1"/>
            </w14:solidFill>
          </w14:textFill>
        </w:rPr>
        <w:t xml:space="preserve">  招标文件若有规定，在签订合同后，采购人按合同支付定金的同时，中标人应向采购人提供履约保证金。</w:t>
      </w:r>
    </w:p>
    <w:p w14:paraId="739A3221">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26.2</w:t>
      </w:r>
      <w:r>
        <w:rPr>
          <w:rFonts w:hint="eastAsia" w:ascii="宋体" w:hAnsi="宋体" w:cs="宋体"/>
          <w:color w:val="000000" w:themeColor="text1"/>
          <w:kern w:val="0"/>
          <w:szCs w:val="21"/>
          <w:highlight w:val="none"/>
          <w14:textFill>
            <w14:solidFill>
              <w14:schemeClr w14:val="tx1"/>
            </w14:solidFill>
          </w14:textFill>
        </w:rPr>
        <w:t xml:space="preserve">  若中标人不按上述第26.1条要求提供，采购代理机构和采购人有权按前述第13.6条规定处理并撤销其中标资格。在这种情况下，采购代理机构和采购人可按本须知第25.3条规定另选中标人。</w:t>
      </w:r>
    </w:p>
    <w:p w14:paraId="3E88D12B">
      <w:pPr>
        <w:spacing w:line="400" w:lineRule="exact"/>
        <w:rPr>
          <w:rFonts w:ascii="宋体" w:hAnsi="宋体" w:cs="宋体"/>
          <w:color w:val="000000" w:themeColor="text1"/>
          <w:kern w:val="0"/>
          <w:szCs w:val="21"/>
          <w:highlight w:val="none"/>
          <w14:textFill>
            <w14:solidFill>
              <w14:schemeClr w14:val="tx1"/>
            </w14:solidFill>
          </w14:textFill>
        </w:rPr>
      </w:pPr>
    </w:p>
    <w:p w14:paraId="2BDAD9A6">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27.  履约验收</w:t>
      </w:r>
    </w:p>
    <w:p w14:paraId="10B307F8">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27.1</w:t>
      </w:r>
      <w:r>
        <w:rPr>
          <w:rFonts w:hint="eastAsia" w:ascii="宋体" w:hAnsi="宋体" w:cs="宋体"/>
          <w:color w:val="000000" w:themeColor="text1"/>
          <w:kern w:val="0"/>
          <w:szCs w:val="21"/>
          <w:highlight w:val="none"/>
          <w14:textFill>
            <w14:solidFill>
              <w14:schemeClr w14:val="tx1"/>
            </w14:solidFill>
          </w14:textFill>
        </w:rPr>
        <w:t xml:space="preserve">  采购人组织对中标人履约的验收。大型或者复杂的政府采购项目，应当邀请国家认可的质量检测机构参加验收工作。验收方成员应当在验收书上签字，并承担相应的法律责任。如果发现与合同中要求不符，中标人须承担由此发生的一切损失和费用，并接受相应的处理。</w:t>
      </w:r>
    </w:p>
    <w:p w14:paraId="25B93F1E">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27.2 </w:t>
      </w:r>
      <w:r>
        <w:rPr>
          <w:rFonts w:hint="eastAsia" w:ascii="宋体" w:hAnsi="宋体" w:cs="宋体"/>
          <w:color w:val="000000" w:themeColor="text1"/>
          <w:kern w:val="0"/>
          <w:szCs w:val="21"/>
          <w:highlight w:val="none"/>
          <w14:textFill>
            <w14:solidFill>
              <w14:schemeClr w14:val="tx1"/>
            </w14:solidFill>
          </w14:textFill>
        </w:rPr>
        <w:t xml:space="preserve"> 采购人可以邀请参加本项目的其他投标人或者第三方机构参与验收。参与验收的投标人或者第三方机构的意见作为验收书的参考资料一并存档。</w:t>
      </w:r>
    </w:p>
    <w:p w14:paraId="511B5F7A">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27.3</w:t>
      </w:r>
      <w:r>
        <w:rPr>
          <w:rFonts w:hint="eastAsia" w:ascii="宋体" w:hAnsi="宋体" w:cs="宋体"/>
          <w:color w:val="000000" w:themeColor="text1"/>
          <w:kern w:val="0"/>
          <w:szCs w:val="21"/>
          <w:highlight w:val="none"/>
          <w14:textFill>
            <w14:solidFill>
              <w14:schemeClr w14:val="tx1"/>
            </w14:solidFill>
          </w14:textFill>
        </w:rPr>
        <w:t xml:space="preserve">  严格按照采购合同开展履约验收。采购人成立验收小组，按照采购合同的约定对中标人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1A5112DF">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27.4</w:t>
      </w:r>
      <w:r>
        <w:rPr>
          <w:rFonts w:hint="eastAsia" w:ascii="宋体" w:hAnsi="宋体" w:cs="宋体"/>
          <w:color w:val="000000" w:themeColor="text1"/>
          <w:kern w:val="0"/>
          <w:szCs w:val="21"/>
          <w:highlight w:val="none"/>
          <w14:textFill>
            <w14:solidFill>
              <w14:schemeClr w14:val="tx1"/>
            </w14:solidFill>
          </w14:textFill>
        </w:rPr>
        <w:t xml:space="preserve">  验收合格的项目，采购人将根据采购合同的约定及时向中标人支付采购资金、退还履约保证金。验收不合格的项目，采购人将依法及时处理。采购合同的履行、违约责任和解决争议的方式等适用《中华人民共和国民法典》。中标人在履约过程中有政府采购法律法规规定的违法违规情形的，采购人应当及时报告本级财政部门。</w:t>
      </w:r>
    </w:p>
    <w:p w14:paraId="27C06CAA">
      <w:pPr>
        <w:jc w:val="center"/>
        <w:outlineLvl w:val="1"/>
        <w:rPr>
          <w:rFonts w:ascii="宋体" w:hAnsi="宋体" w:cs="宋体"/>
          <w:b/>
          <w:color w:val="000000" w:themeColor="text1"/>
          <w:sz w:val="28"/>
          <w:highlight w:val="none"/>
          <w14:textFill>
            <w14:solidFill>
              <w14:schemeClr w14:val="tx1"/>
            </w14:solidFill>
          </w14:textFill>
        </w:rPr>
      </w:pPr>
      <w:bookmarkStart w:id="127" w:name="_Toc440276568"/>
    </w:p>
    <w:p w14:paraId="43A3A133">
      <w:pPr>
        <w:jc w:val="center"/>
        <w:outlineLvl w:val="1"/>
        <w:rPr>
          <w:rFonts w:ascii="宋体" w:hAnsi="宋体" w:cs="宋体"/>
          <w:b/>
          <w:color w:val="000000" w:themeColor="text1"/>
          <w:sz w:val="28"/>
          <w:highlight w:val="none"/>
          <w14:textFill>
            <w14:solidFill>
              <w14:schemeClr w14:val="tx1"/>
            </w14:solidFill>
          </w14:textFill>
        </w:rPr>
      </w:pPr>
      <w:bookmarkStart w:id="128" w:name="_Toc136345108"/>
      <w:bookmarkStart w:id="129" w:name="_Toc136017637"/>
      <w:bookmarkStart w:id="130" w:name="_Toc16661"/>
      <w:r>
        <w:rPr>
          <w:rFonts w:hint="eastAsia" w:ascii="宋体" w:hAnsi="宋体" w:cs="宋体"/>
          <w:b/>
          <w:color w:val="000000" w:themeColor="text1"/>
          <w:sz w:val="28"/>
          <w:highlight w:val="none"/>
          <w14:textFill>
            <w14:solidFill>
              <w14:schemeClr w14:val="tx1"/>
            </w14:solidFill>
          </w14:textFill>
        </w:rPr>
        <w:t>H  采购代理机构服务费</w:t>
      </w:r>
      <w:bookmarkEnd w:id="127"/>
      <w:bookmarkEnd w:id="128"/>
      <w:bookmarkEnd w:id="129"/>
      <w:bookmarkEnd w:id="130"/>
    </w:p>
    <w:p w14:paraId="5578191C">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28.  采购代理机构服务费</w:t>
      </w:r>
    </w:p>
    <w:p w14:paraId="6A3A80BB">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28.1</w:t>
      </w:r>
      <w:r>
        <w:rPr>
          <w:rFonts w:hint="eastAsia" w:ascii="宋体" w:hAnsi="宋体" w:cs="宋体"/>
          <w:color w:val="000000" w:themeColor="text1"/>
          <w:kern w:val="0"/>
          <w:szCs w:val="21"/>
          <w:highlight w:val="none"/>
          <w14:textFill>
            <w14:solidFill>
              <w14:schemeClr w14:val="tx1"/>
            </w14:solidFill>
          </w14:textFill>
        </w:rPr>
        <w:t>中标人应在中标结果公示结束后向采购代理机构支付采购代理机构服务费。</w:t>
      </w:r>
    </w:p>
    <w:p w14:paraId="723278FA">
      <w:pPr>
        <w:spacing w:line="400" w:lineRule="exact"/>
        <w:rPr>
          <w:rFonts w:ascii="宋体" w:hAnsi="宋体" w:cs="宋体"/>
          <w:color w:val="000000" w:themeColor="text1"/>
          <w:kern w:val="0"/>
          <w:szCs w:val="21"/>
          <w:highlight w:val="none"/>
          <w14:textFill>
            <w14:solidFill>
              <w14:schemeClr w14:val="tx1"/>
            </w14:solidFill>
          </w14:textFill>
        </w:rPr>
      </w:pPr>
    </w:p>
    <w:p w14:paraId="6CEEC388">
      <w:pPr>
        <w:spacing w:line="400" w:lineRule="exact"/>
        <w:rPr>
          <w:rFonts w:ascii="宋体" w:hAnsi="宋体" w:cs="宋体"/>
          <w:color w:val="000000" w:themeColor="text1"/>
          <w:kern w:val="0"/>
          <w:szCs w:val="21"/>
          <w:highlight w:val="none"/>
          <w14:textFill>
            <w14:solidFill>
              <w14:schemeClr w14:val="tx1"/>
            </w14:solidFill>
          </w14:textFill>
        </w:rPr>
      </w:pPr>
    </w:p>
    <w:p w14:paraId="0A720489">
      <w:pPr>
        <w:jc w:val="center"/>
        <w:outlineLvl w:val="1"/>
        <w:rPr>
          <w:rFonts w:ascii="宋体" w:hAnsi="宋体" w:cs="宋体"/>
          <w:b/>
          <w:color w:val="000000" w:themeColor="text1"/>
          <w:sz w:val="28"/>
          <w:highlight w:val="none"/>
          <w14:textFill>
            <w14:solidFill>
              <w14:schemeClr w14:val="tx1"/>
            </w14:solidFill>
          </w14:textFill>
        </w:rPr>
      </w:pPr>
      <w:bookmarkStart w:id="131" w:name="_Toc136345109"/>
      <w:bookmarkStart w:id="132" w:name="_Toc12983"/>
      <w:bookmarkStart w:id="133" w:name="_Toc136017638"/>
      <w:r>
        <w:rPr>
          <w:rFonts w:hint="eastAsia" w:ascii="宋体" w:hAnsi="宋体" w:cs="宋体"/>
          <w:b/>
          <w:color w:val="000000" w:themeColor="text1"/>
          <w:sz w:val="28"/>
          <w:highlight w:val="none"/>
          <w14:textFill>
            <w14:solidFill>
              <w14:schemeClr w14:val="tx1"/>
            </w14:solidFill>
          </w14:textFill>
        </w:rPr>
        <w:t>Ⅰ  信息发布媒体</w:t>
      </w:r>
      <w:bookmarkEnd w:id="131"/>
      <w:bookmarkEnd w:id="132"/>
      <w:bookmarkEnd w:id="133"/>
    </w:p>
    <w:p w14:paraId="2892FA64">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29.  有关发布项目招标公告、中标公示的媒体：</w:t>
      </w:r>
    </w:p>
    <w:p w14:paraId="36D0323B">
      <w:pPr>
        <w:spacing w:line="360" w:lineRule="auto"/>
        <w:ind w:left="788" w:hanging="787" w:hangingChars="375"/>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浙江政府采购网</w:t>
      </w:r>
      <w:r>
        <w:rPr>
          <w:rFonts w:hint="eastAsia" w:ascii="宋体" w:hAnsi="宋体" w:cs="宋体"/>
          <w:color w:val="000000" w:themeColor="text1"/>
          <w:szCs w:val="21"/>
          <w:highlight w:val="none"/>
          <w14:textFill>
            <w14:solidFill>
              <w14:schemeClr w14:val="tx1"/>
            </w14:solidFill>
          </w14:textFill>
        </w:rPr>
        <w:t>https://zfcg.czt.zj.gov.cn/</w:t>
      </w:r>
    </w:p>
    <w:p w14:paraId="1218E583">
      <w:pPr>
        <w:spacing w:line="360" w:lineRule="auto"/>
        <w:rPr>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宁波政府采购网</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"http://www.nbzfcg.cn" </w:instrText>
      </w:r>
      <w:r>
        <w:rPr>
          <w:color w:val="000000" w:themeColor="text1"/>
          <w:highlight w:val="none"/>
          <w14:textFill>
            <w14:solidFill>
              <w14:schemeClr w14:val="tx1"/>
            </w14:solidFill>
          </w14:textFill>
        </w:rPr>
        <w:fldChar w:fldCharType="separate"/>
      </w:r>
      <w:r>
        <w:rPr>
          <w:rStyle w:val="42"/>
          <w:rFonts w:asciiTheme="minorEastAsia" w:hAnsiTheme="minorEastAsia" w:eastAsiaTheme="minorEastAsia"/>
          <w:color w:val="000000" w:themeColor="text1"/>
          <w:szCs w:val="21"/>
          <w:highlight w:val="none"/>
          <w14:textFill>
            <w14:solidFill>
              <w14:schemeClr w14:val="tx1"/>
            </w14:solidFill>
          </w14:textFill>
        </w:rPr>
        <w:t>www.nbzfcg.cn</w:t>
      </w:r>
      <w:r>
        <w:rPr>
          <w:rStyle w:val="42"/>
          <w:rFonts w:asciiTheme="minorEastAsia" w:hAnsiTheme="minorEastAsia" w:eastAsiaTheme="minorEastAsia"/>
          <w:color w:val="000000" w:themeColor="text1"/>
          <w:szCs w:val="21"/>
          <w:highlight w:val="none"/>
          <w14:textFill>
            <w14:solidFill>
              <w14:schemeClr w14:val="tx1"/>
            </w14:solidFill>
          </w14:textFill>
        </w:rPr>
        <w:fldChar w:fldCharType="end"/>
      </w:r>
    </w:p>
    <w:p w14:paraId="13A98F28">
      <w:pPr>
        <w:jc w:val="center"/>
        <w:outlineLvl w:val="1"/>
        <w:rPr>
          <w:rFonts w:ascii="宋体" w:hAnsi="宋体" w:cs="宋体"/>
          <w:b/>
          <w:color w:val="000000" w:themeColor="text1"/>
          <w:sz w:val="28"/>
          <w:highlight w:val="none"/>
          <w14:textFill>
            <w14:solidFill>
              <w14:schemeClr w14:val="tx1"/>
            </w14:solidFill>
          </w14:textFill>
        </w:rPr>
      </w:pPr>
    </w:p>
    <w:p w14:paraId="756ECAA1">
      <w:pPr>
        <w:jc w:val="center"/>
        <w:outlineLvl w:val="1"/>
        <w:rPr>
          <w:rFonts w:ascii="宋体" w:hAnsi="宋体" w:cs="宋体"/>
          <w:b/>
          <w:color w:val="000000" w:themeColor="text1"/>
          <w:sz w:val="28"/>
          <w:highlight w:val="none"/>
          <w14:textFill>
            <w14:solidFill>
              <w14:schemeClr w14:val="tx1"/>
            </w14:solidFill>
          </w14:textFill>
        </w:rPr>
      </w:pPr>
      <w:bookmarkStart w:id="134" w:name="_Toc136017639"/>
      <w:bookmarkStart w:id="135" w:name="_Toc136345110"/>
      <w:bookmarkStart w:id="136" w:name="_Toc11182"/>
      <w:r>
        <w:rPr>
          <w:rFonts w:hint="eastAsia" w:ascii="宋体" w:hAnsi="宋体" w:cs="宋体"/>
          <w:b/>
          <w:color w:val="000000" w:themeColor="text1"/>
          <w:sz w:val="28"/>
          <w:highlight w:val="none"/>
          <w14:textFill>
            <w14:solidFill>
              <w14:schemeClr w14:val="tx1"/>
            </w14:solidFill>
          </w14:textFill>
        </w:rPr>
        <w:t>J  其他规定</w:t>
      </w:r>
      <w:bookmarkEnd w:id="134"/>
      <w:bookmarkEnd w:id="135"/>
      <w:bookmarkEnd w:id="136"/>
    </w:p>
    <w:p w14:paraId="69B2CF15">
      <w:pPr>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30.  其他规定</w:t>
      </w:r>
    </w:p>
    <w:p w14:paraId="1FDE9848">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30.1</w:t>
      </w:r>
      <w:r>
        <w:rPr>
          <w:rFonts w:hint="eastAsia" w:ascii="宋体" w:hAnsi="宋体" w:cs="宋体"/>
          <w:color w:val="000000" w:themeColor="text1"/>
          <w:kern w:val="0"/>
          <w:szCs w:val="21"/>
          <w:highlight w:val="none"/>
          <w14:textFill>
            <w14:solidFill>
              <w14:schemeClr w14:val="tx1"/>
            </w14:solidFill>
          </w14:textFill>
        </w:rPr>
        <w:t xml:space="preserve"> 自购买招标文件之日起，投标人应保证其提供的联系方式</w:t>
      </w:r>
      <w:r>
        <w:rPr>
          <w:rFonts w:ascii="宋体" w:hAnsi="宋体" w:cs="宋体"/>
          <w:color w:val="000000" w:themeColor="text1"/>
          <w:kern w:val="0"/>
          <w:szCs w:val="21"/>
          <w:highlight w:val="none"/>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电话、传真、电子邮件</w:t>
      </w:r>
      <w:r>
        <w:rPr>
          <w:rFonts w:ascii="宋体" w:hAnsi="宋体" w:cs="宋体"/>
          <w:color w:val="000000" w:themeColor="text1"/>
          <w:kern w:val="0"/>
          <w:szCs w:val="21"/>
          <w:highlight w:val="none"/>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一直有效，以保证往来函件</w:t>
      </w:r>
      <w:r>
        <w:rPr>
          <w:rFonts w:ascii="宋体" w:hAnsi="宋体" w:cs="宋体"/>
          <w:color w:val="000000" w:themeColor="text1"/>
          <w:kern w:val="0"/>
          <w:szCs w:val="21"/>
          <w:highlight w:val="none"/>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招标文件的澄清、修改等</w:t>
      </w:r>
      <w:r>
        <w:rPr>
          <w:rFonts w:ascii="宋体" w:hAnsi="宋体" w:cs="宋体"/>
          <w:color w:val="000000" w:themeColor="text1"/>
          <w:kern w:val="0"/>
          <w:szCs w:val="21"/>
          <w:highlight w:val="none"/>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能及时通知投标人，并能及时反馈信息，否则采购人不承担由此引起的一切后果。</w:t>
      </w:r>
    </w:p>
    <w:p w14:paraId="08ABB11D">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30.2</w:t>
      </w:r>
      <w:r>
        <w:rPr>
          <w:rFonts w:hint="eastAsia" w:ascii="宋体" w:hAnsi="宋体" w:cs="宋体"/>
          <w:color w:val="000000" w:themeColor="text1"/>
          <w:kern w:val="0"/>
          <w:szCs w:val="21"/>
          <w:highlight w:val="none"/>
          <w14:textFill>
            <w14:solidFill>
              <w14:schemeClr w14:val="tx1"/>
            </w14:solidFill>
          </w14:textFill>
        </w:rPr>
        <w:t xml:space="preserve"> 知识产权</w:t>
      </w:r>
    </w:p>
    <w:p w14:paraId="7F782D39">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30.2.1</w:t>
      </w:r>
      <w:r>
        <w:rPr>
          <w:rFonts w:ascii="宋体" w:hAnsi="宋体" w:cs="宋体"/>
          <w:color w:val="000000" w:themeColor="text1"/>
          <w:kern w:val="0"/>
          <w:szCs w:val="21"/>
          <w:highlight w:val="none"/>
          <w14:textFill>
            <w14:solidFill>
              <w14:schemeClr w14:val="tx1"/>
            </w14:solidFill>
          </w14:textFill>
        </w:rPr>
        <w:t>投标人应保证提交的全部文件不会侵犯其</w:t>
      </w:r>
      <w:r>
        <w:rPr>
          <w:rFonts w:hint="eastAsia" w:ascii="宋体" w:hAnsi="宋体" w:cs="宋体"/>
          <w:color w:val="000000" w:themeColor="text1"/>
          <w:kern w:val="0"/>
          <w:szCs w:val="21"/>
          <w:highlight w:val="none"/>
          <w14:textFill>
            <w14:solidFill>
              <w14:schemeClr w14:val="tx1"/>
            </w14:solidFill>
          </w14:textFill>
        </w:rPr>
        <w:t>他</w:t>
      </w:r>
      <w:r>
        <w:rPr>
          <w:rFonts w:ascii="宋体" w:hAnsi="宋体" w:cs="宋体"/>
          <w:color w:val="000000" w:themeColor="text1"/>
          <w:kern w:val="0"/>
          <w:szCs w:val="21"/>
          <w:highlight w:val="none"/>
          <w14:textFill>
            <w14:solidFill>
              <w14:schemeClr w14:val="tx1"/>
            </w14:solidFill>
          </w14:textFill>
        </w:rPr>
        <w:t>任何人的知识产权或专有技术或商业秘密。投标人应保证，如果投标文件使用他人的知识产权或专有技术或商业秘密，投标人已获得了适当授权。投标人应进一步保证，</w:t>
      </w:r>
      <w:r>
        <w:rPr>
          <w:rFonts w:hint="eastAsia" w:ascii="宋体" w:hAnsi="宋体" w:cs="宋体"/>
          <w:color w:val="000000" w:themeColor="text1"/>
          <w:kern w:val="0"/>
          <w:szCs w:val="21"/>
          <w:highlight w:val="none"/>
          <w14:textFill>
            <w14:solidFill>
              <w14:schemeClr w14:val="tx1"/>
            </w14:solidFill>
          </w14:textFill>
        </w:rPr>
        <w:t>采购人</w:t>
      </w:r>
      <w:r>
        <w:rPr>
          <w:rFonts w:ascii="宋体" w:hAnsi="宋体" w:cs="宋体"/>
          <w:color w:val="000000" w:themeColor="text1"/>
          <w:kern w:val="0"/>
          <w:szCs w:val="21"/>
          <w:highlight w:val="none"/>
          <w14:textFill>
            <w14:solidFill>
              <w14:schemeClr w14:val="tx1"/>
            </w14:solidFill>
          </w14:textFill>
        </w:rPr>
        <w:t>使用其</w:t>
      </w:r>
      <w:r>
        <w:rPr>
          <w:rFonts w:hint="eastAsia" w:ascii="宋体" w:hAnsi="宋体" w:cs="宋体"/>
          <w:color w:val="000000" w:themeColor="text1"/>
          <w:kern w:val="0"/>
          <w:szCs w:val="21"/>
          <w:highlight w:val="none"/>
          <w14:textFill>
            <w14:solidFill>
              <w14:schemeClr w14:val="tx1"/>
            </w14:solidFill>
          </w14:textFill>
        </w:rPr>
        <w:t>成果</w:t>
      </w:r>
      <w:r>
        <w:rPr>
          <w:rFonts w:ascii="宋体" w:hAnsi="宋体" w:cs="宋体"/>
          <w:color w:val="000000" w:themeColor="text1"/>
          <w:kern w:val="0"/>
          <w:szCs w:val="21"/>
          <w:highlight w:val="none"/>
          <w14:textFill>
            <w14:solidFill>
              <w14:schemeClr w14:val="tx1"/>
            </w14:solidFill>
          </w14:textFill>
        </w:rPr>
        <w:t>不会侵犯他人的知识产权或专</w:t>
      </w:r>
      <w:r>
        <w:rPr>
          <w:rFonts w:hint="eastAsia" w:ascii="宋体" w:hAnsi="宋体" w:cs="宋体"/>
          <w:color w:val="000000" w:themeColor="text1"/>
          <w:kern w:val="0"/>
          <w:szCs w:val="21"/>
          <w:highlight w:val="none"/>
          <w14:textFill>
            <w14:solidFill>
              <w14:schemeClr w14:val="tx1"/>
            </w14:solidFill>
          </w14:textFill>
        </w:rPr>
        <w:t>有</w:t>
      </w:r>
      <w:r>
        <w:rPr>
          <w:rFonts w:ascii="宋体" w:hAnsi="宋体" w:cs="宋体"/>
          <w:color w:val="000000" w:themeColor="text1"/>
          <w:kern w:val="0"/>
          <w:szCs w:val="21"/>
          <w:highlight w:val="none"/>
          <w14:textFill>
            <w14:solidFill>
              <w14:schemeClr w14:val="tx1"/>
            </w14:solidFill>
          </w14:textFill>
        </w:rPr>
        <w:t>技术或商业秘密，并应当使</w:t>
      </w:r>
      <w:r>
        <w:rPr>
          <w:rFonts w:hint="eastAsia" w:ascii="宋体" w:hAnsi="宋体" w:cs="宋体"/>
          <w:color w:val="000000" w:themeColor="text1"/>
          <w:kern w:val="0"/>
          <w:szCs w:val="21"/>
          <w:highlight w:val="none"/>
          <w14:textFill>
            <w14:solidFill>
              <w14:schemeClr w14:val="tx1"/>
            </w14:solidFill>
          </w14:textFill>
        </w:rPr>
        <w:t>采购人</w:t>
      </w:r>
      <w:r>
        <w:rPr>
          <w:rFonts w:ascii="宋体" w:hAnsi="宋体" w:cs="宋体"/>
          <w:color w:val="000000" w:themeColor="text1"/>
          <w:kern w:val="0"/>
          <w:szCs w:val="21"/>
          <w:highlight w:val="none"/>
          <w14:textFill>
            <w14:solidFill>
              <w14:schemeClr w14:val="tx1"/>
            </w14:solidFill>
          </w14:textFill>
        </w:rPr>
        <w:t>免于因被指控侵犯上述权利产生的任何责任，</w:t>
      </w:r>
      <w:r>
        <w:rPr>
          <w:rFonts w:hint="eastAsia" w:ascii="宋体" w:hAnsi="宋体" w:cs="宋体"/>
          <w:color w:val="000000" w:themeColor="text1"/>
          <w:kern w:val="0"/>
          <w:szCs w:val="21"/>
          <w:highlight w:val="none"/>
          <w14:textFill>
            <w14:solidFill>
              <w14:schemeClr w14:val="tx1"/>
            </w14:solidFill>
          </w14:textFill>
        </w:rPr>
        <w:t>若采购人</w:t>
      </w:r>
      <w:r>
        <w:rPr>
          <w:rFonts w:ascii="宋体" w:hAnsi="宋体" w:cs="宋体"/>
          <w:color w:val="000000" w:themeColor="text1"/>
          <w:kern w:val="0"/>
          <w:szCs w:val="21"/>
          <w:highlight w:val="none"/>
          <w14:textFill>
            <w14:solidFill>
              <w14:schemeClr w14:val="tx1"/>
            </w14:solidFill>
          </w14:textFill>
        </w:rPr>
        <w:t>使用其</w:t>
      </w:r>
      <w:r>
        <w:rPr>
          <w:rFonts w:hint="eastAsia" w:ascii="宋体" w:hAnsi="宋体" w:cs="宋体"/>
          <w:color w:val="000000" w:themeColor="text1"/>
          <w:kern w:val="0"/>
          <w:szCs w:val="21"/>
          <w:highlight w:val="none"/>
          <w14:textFill>
            <w14:solidFill>
              <w14:schemeClr w14:val="tx1"/>
            </w14:solidFill>
          </w14:textFill>
        </w:rPr>
        <w:t>成果</w:t>
      </w:r>
      <w:r>
        <w:rPr>
          <w:rFonts w:ascii="宋体" w:hAnsi="宋体" w:cs="宋体"/>
          <w:color w:val="000000" w:themeColor="text1"/>
          <w:kern w:val="0"/>
          <w:szCs w:val="21"/>
          <w:highlight w:val="none"/>
          <w14:textFill>
            <w14:solidFill>
              <w14:schemeClr w14:val="tx1"/>
            </w14:solidFill>
          </w14:textFill>
        </w:rPr>
        <w:t>被指控侵犯上述权利</w:t>
      </w:r>
      <w:r>
        <w:rPr>
          <w:rFonts w:hint="eastAsia" w:ascii="宋体" w:hAnsi="宋体" w:cs="宋体"/>
          <w:color w:val="000000" w:themeColor="text1"/>
          <w:kern w:val="0"/>
          <w:szCs w:val="21"/>
          <w:highlight w:val="none"/>
          <w14:textFill>
            <w14:solidFill>
              <w14:schemeClr w14:val="tx1"/>
            </w14:solidFill>
          </w14:textFill>
        </w:rPr>
        <w:t>，投标人应</w:t>
      </w:r>
      <w:r>
        <w:rPr>
          <w:rFonts w:ascii="宋体" w:hAnsi="宋体" w:cs="宋体"/>
          <w:color w:val="000000" w:themeColor="text1"/>
          <w:kern w:val="0"/>
          <w:szCs w:val="21"/>
          <w:highlight w:val="none"/>
          <w14:textFill>
            <w14:solidFill>
              <w14:schemeClr w14:val="tx1"/>
            </w14:solidFill>
          </w14:textFill>
        </w:rPr>
        <w:t>赔偿</w:t>
      </w:r>
      <w:r>
        <w:rPr>
          <w:rFonts w:hint="eastAsia" w:ascii="宋体" w:hAnsi="宋体" w:cs="宋体"/>
          <w:color w:val="000000" w:themeColor="text1"/>
          <w:kern w:val="0"/>
          <w:szCs w:val="21"/>
          <w:highlight w:val="none"/>
          <w14:textFill>
            <w14:solidFill>
              <w14:schemeClr w14:val="tx1"/>
            </w14:solidFill>
          </w14:textFill>
        </w:rPr>
        <w:t>采购人</w:t>
      </w:r>
      <w:r>
        <w:rPr>
          <w:rFonts w:ascii="宋体" w:hAnsi="宋体" w:cs="宋体"/>
          <w:color w:val="000000" w:themeColor="text1"/>
          <w:kern w:val="0"/>
          <w:szCs w:val="21"/>
          <w:highlight w:val="none"/>
          <w14:textFill>
            <w14:solidFill>
              <w14:schemeClr w14:val="tx1"/>
            </w14:solidFill>
          </w14:textFill>
        </w:rPr>
        <w:t>由此而产生的费用和损失。</w:t>
      </w:r>
    </w:p>
    <w:p w14:paraId="1E178391">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30.2.2</w:t>
      </w:r>
      <w:r>
        <w:rPr>
          <w:rFonts w:hint="eastAsia" w:ascii="宋体" w:hAnsi="宋体" w:cs="宋体"/>
          <w:color w:val="000000" w:themeColor="text1"/>
          <w:kern w:val="0"/>
          <w:szCs w:val="21"/>
          <w:highlight w:val="none"/>
          <w14:textFill>
            <w14:solidFill>
              <w14:schemeClr w14:val="tx1"/>
            </w14:solidFill>
          </w14:textFill>
        </w:rPr>
        <w:t xml:space="preserve"> 投标人中标后参与本项目研究的资料、成果等知识产权归采购人，有关的信息未经采购人同意不得向第三方泄露。</w:t>
      </w:r>
    </w:p>
    <w:p w14:paraId="226D03D3">
      <w:pPr>
        <w:spacing w:line="400" w:lineRule="exac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30.2.3 </w:t>
      </w:r>
      <w:r>
        <w:rPr>
          <w:rFonts w:hint="eastAsia" w:ascii="宋体" w:hAnsi="宋体" w:cs="宋体"/>
          <w:color w:val="000000" w:themeColor="text1"/>
          <w:kern w:val="0"/>
          <w:szCs w:val="21"/>
          <w:highlight w:val="none"/>
          <w14:textFill>
            <w14:solidFill>
              <w14:schemeClr w14:val="tx1"/>
            </w14:solidFill>
          </w14:textFill>
        </w:rPr>
        <w:t>采购人在招商引资、产权转让的商业活动中，所使用本项目有关的任何成果，无需征得中标人同意，中标人应积极配合提供相关资料和成果；中标人有责任对涉及项目的重要信息进行保密；中标人如因为项目的开展需要向第三方提供资料,必须提前得到采购人批准。</w:t>
      </w:r>
    </w:p>
    <w:p w14:paraId="24727140">
      <w:pPr>
        <w:spacing w:line="400" w:lineRule="exact"/>
        <w:rPr>
          <w:rFonts w:ascii="宋体" w:hAnsi="宋体" w:cs="宋体"/>
          <w:b/>
          <w:color w:val="000000" w:themeColor="text1"/>
          <w:szCs w:val="21"/>
          <w:highlight w:val="none"/>
          <w14:textFill>
            <w14:solidFill>
              <w14:schemeClr w14:val="tx1"/>
            </w14:solidFill>
          </w14:textFill>
        </w:rPr>
      </w:pPr>
    </w:p>
    <w:p w14:paraId="05C34907">
      <w:pPr>
        <w:spacing w:line="440" w:lineRule="exac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31.  政府采购活动中有关中小企业的相关规定</w:t>
      </w:r>
    </w:p>
    <w:p w14:paraId="20FCD4E7">
      <w:pPr>
        <w:spacing w:line="400" w:lineRule="exac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31.1本项目对应的中小企业划分标准所属行业：</w:t>
      </w:r>
      <w:r>
        <w:rPr>
          <w:rFonts w:hint="eastAsia" w:ascii="宋体" w:hAnsi="宋体" w:cs="宋体"/>
          <w:b/>
          <w:color w:val="000000" w:themeColor="text1"/>
          <w:szCs w:val="21"/>
          <w:highlight w:val="none"/>
          <w14:textFill>
            <w14:solidFill>
              <w14:schemeClr w14:val="tx1"/>
            </w14:solidFill>
          </w14:textFill>
        </w:rPr>
        <w:t>详见第三部分“投标资料表”</w:t>
      </w:r>
    </w:p>
    <w:p w14:paraId="73E75B1D">
      <w:p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31.2</w:t>
      </w:r>
      <w:r>
        <w:rPr>
          <w:rFonts w:hint="eastAsia" w:ascii="宋体" w:hAnsi="宋体"/>
          <w:color w:val="000000" w:themeColor="text1"/>
          <w:szCs w:val="21"/>
          <w:highlight w:val="none"/>
          <w14:textFill>
            <w14:solidFill>
              <w14:schemeClr w14:val="tx1"/>
            </w14:solidFill>
          </w14:textFill>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7FF826C1">
      <w:p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31.3  </w:t>
      </w:r>
      <w:r>
        <w:rPr>
          <w:rFonts w:hint="eastAsia" w:ascii="宋体" w:hAnsi="宋体"/>
          <w:color w:val="000000" w:themeColor="text1"/>
          <w:szCs w:val="21"/>
          <w:highlight w:val="none"/>
          <w14:textFill>
            <w14:solidFill>
              <w14:schemeClr w14:val="tx1"/>
            </w14:solidFill>
          </w14:textFill>
        </w:rPr>
        <w:t>在政府采购活动中，投标人提供的货物、工程或者服务符合下列情形的，享受本办法规定的中小企业扶持政策：</w:t>
      </w:r>
    </w:p>
    <w:p w14:paraId="04CF7EE6">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（一）在货物采购项目中，货物由中小企业制造，即货物由中小企业生产且使用该中小企业商号或者注册商标；</w:t>
      </w:r>
    </w:p>
    <w:p w14:paraId="03CEF4FE">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（二）在工程采购项目中，工程由中小企业承建，即工程施工单位为中小企业；</w:t>
      </w:r>
    </w:p>
    <w:p w14:paraId="594356D1">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（三）在服务采购项目中，服务由中小企业承接，即提供服务的人员为中小企业依照《中华人民共和国劳动合同法》订立劳动合同的从业人员。</w:t>
      </w:r>
    </w:p>
    <w:p w14:paraId="26FFDF4A">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在货物采购项目中，投标人提供的货物既有中小企业制造货物，也有大型企业制造货物的，不享受本办法规定的中小企业扶持政策。</w:t>
      </w:r>
    </w:p>
    <w:p w14:paraId="613E27C2">
      <w:pPr>
        <w:spacing w:line="400" w:lineRule="exact"/>
        <w:ind w:firstLine="420" w:firstLineChars="200"/>
        <w:rPr>
          <w:rFonts w:ascii="宋体" w:hAnsi="宋体"/>
          <w:b/>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以联合体形式参加政府采购活动，联合体各方均为中小企业的，联合体视同中小企业。其中，联合体各方均为小微企业的，联合体视同小微企业。</w:t>
      </w:r>
    </w:p>
    <w:p w14:paraId="32BECF6C">
      <w:p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31.4</w:t>
      </w:r>
      <w:r>
        <w:rPr>
          <w:rFonts w:hint="eastAsia" w:ascii="宋体" w:hAnsi="宋体"/>
          <w:color w:val="000000" w:themeColor="text1"/>
          <w:szCs w:val="21"/>
          <w:highlight w:val="none"/>
          <w14:textFill>
            <w14:solidFill>
              <w14:schemeClr w14:val="tx1"/>
            </w14:solidFill>
          </w14:textFill>
        </w:rPr>
        <w:t xml:space="preserve">  中小企业参加政府采购活动，应当出具《中小企业声明函》（格式见附件1），否则不得享受相关中小企业扶持政策。</w:t>
      </w:r>
    </w:p>
    <w:p w14:paraId="58CD2414">
      <w:p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31.5</w:t>
      </w:r>
      <w:r>
        <w:rPr>
          <w:rFonts w:hint="eastAsia" w:ascii="宋体" w:hAnsi="宋体"/>
          <w:color w:val="000000" w:themeColor="text1"/>
          <w:szCs w:val="21"/>
          <w:highlight w:val="none"/>
          <w14:textFill>
            <w14:solidFill>
              <w14:schemeClr w14:val="tx1"/>
            </w14:solidFill>
          </w14:textFill>
        </w:rPr>
        <w:t xml:space="preserve"> 对于经主管预算单位统筹后未预留份额专门面向中小企业采购的采购项目，以及预留份额项目中的非预留部分采购包，采购人、采购代理机构应当对符合本办法规定的小微企业报价给予10%-20%（工程项目为3%-5%）的扣除，用扣除后的价格参加评审。</w:t>
      </w:r>
    </w:p>
    <w:p w14:paraId="12120DCD">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组成联合体或者接受分包的小微企业与联合体内其他企业、分包企业之间存在直接控股、管理关系的，不享受价格扣除优惠政策。</w:t>
      </w:r>
    </w:p>
    <w:p w14:paraId="4BE032C2">
      <w:pPr>
        <w:spacing w:line="40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价格扣除比例对小型企业和微型企业同等对待，不作区分。</w:t>
      </w:r>
    </w:p>
    <w:p w14:paraId="41E38BB3">
      <w:p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31.6  </w:t>
      </w:r>
      <w:r>
        <w:rPr>
          <w:rFonts w:hint="eastAsia" w:ascii="宋体" w:hAnsi="宋体"/>
          <w:color w:val="000000" w:themeColor="text1"/>
          <w:szCs w:val="21"/>
          <w:highlight w:val="none"/>
          <w14:textFill>
            <w14:solidFill>
              <w14:schemeClr w14:val="tx1"/>
            </w14:solidFill>
          </w14:textFill>
        </w:rPr>
        <w:t>享受扶持政策获得政府采购合同的，小微企业不得将合同分包给大中型企业，中型企业不得将合同分包给大型企业。</w:t>
      </w:r>
    </w:p>
    <w:p w14:paraId="3D270499">
      <w:p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31.7  </w:t>
      </w:r>
      <w:r>
        <w:rPr>
          <w:rFonts w:hint="eastAsia" w:ascii="宋体" w:hAnsi="宋体"/>
          <w:color w:val="000000" w:themeColor="text1"/>
          <w:szCs w:val="21"/>
          <w:highlight w:val="none"/>
          <w14:textFill>
            <w14:solidFill>
              <w14:schemeClr w14:val="tx1"/>
            </w14:solidFill>
          </w14:textFill>
        </w:rPr>
        <w:t>执行财政部、司法部《关于政府采购支持监狱企业发展有关问题的通知》。监狱企业（监狱和戒毒企业）提供自己企业的产品（服务）参加投标视同小型、微型企业，享受评审中价格扣除等政府采购促进中小企业发展的政府采购政策，监狱企业参加政府采购活动时，必须提供由省级以上监狱管理局、戒毒管理局（含新疆生产建设兵团）出具的属于监狱企业的证明文件，未能提供上述证明文件的不予认可。</w:t>
      </w:r>
    </w:p>
    <w:p w14:paraId="1D1CD8C6">
      <w:p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31.8</w:t>
      </w:r>
      <w:r>
        <w:rPr>
          <w:rFonts w:hint="eastAsia" w:ascii="宋体" w:hAnsi="宋体"/>
          <w:color w:val="000000" w:themeColor="text1"/>
          <w:szCs w:val="21"/>
          <w:highlight w:val="none"/>
          <w14:textFill>
            <w14:solidFill>
              <w14:schemeClr w14:val="tx1"/>
            </w14:solidFill>
          </w14:textFill>
        </w:rPr>
        <w:t xml:space="preserve">  根据《关于促进残疾人就业政府采购政策的通知》（财库[2017]141号）规定，残疾人福利性单位视同小型、微型企业。符合条件的残疾人福利性单位在参加政府采购活动时，应当在投标文件中提供通知规定的《残疾人福利性单位声明函》（格式详见附件2），并对声明的真实性负责,未能提供上述证明文件的不予认可。</w:t>
      </w:r>
    </w:p>
    <w:p w14:paraId="191EEBC4">
      <w:pPr>
        <w:spacing w:line="400" w:lineRule="exact"/>
        <w:rPr>
          <w:rFonts w:ascii="宋体" w:hAnsi="宋体"/>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3</w:t>
      </w: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执行财政部、国家环保总局《关于环境标志产品政府采购实施的意见》，政府采购优先采购环境标志产品，本项目将对环境标志产品给予一定幅度的价格扣除或技术加分，具体见 “评标标准”说明。</w:t>
      </w:r>
    </w:p>
    <w:p w14:paraId="32F68EFE">
      <w:pPr>
        <w:spacing w:line="400" w:lineRule="exact"/>
        <w:rPr>
          <w:rFonts w:ascii="宋体" w:hAnsi="宋体"/>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3</w:t>
      </w:r>
      <w:r>
        <w:rPr>
          <w:rFonts w:hint="eastAsia" w:ascii="宋体" w:hAnsi="宋体"/>
          <w:b/>
          <w:color w:val="000000" w:themeColor="text1"/>
          <w:szCs w:val="21"/>
          <w:highlight w:val="none"/>
          <w14:textFill>
            <w14:solidFill>
              <w14:schemeClr w14:val="tx1"/>
            </w14:solidFill>
          </w14:textFill>
        </w:rPr>
        <w:t>1</w:t>
      </w:r>
      <w:r>
        <w:rPr>
          <w:rFonts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执行财政部、国家发展改革委员会《节能产品政府采购实施意见》，政府采购优先采购节能产品，本项目将对节能产品给予一定幅度的价格扣除或技术加分，具体见招标文件“评标标准”说明。</w:t>
      </w:r>
    </w:p>
    <w:p w14:paraId="2B2C7A15">
      <w:pPr>
        <w:spacing w:line="40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31.11  </w:t>
      </w:r>
      <w:r>
        <w:rPr>
          <w:rFonts w:hint="eastAsia" w:ascii="宋体" w:hAnsi="宋体"/>
          <w:color w:val="000000" w:themeColor="text1"/>
          <w:szCs w:val="21"/>
          <w:highlight w:val="none"/>
          <w14:textFill>
            <w14:solidFill>
              <w14:schemeClr w14:val="tx1"/>
            </w14:solidFill>
          </w14:textFill>
        </w:rPr>
        <w:t>进口产品采购需符合“财政部关于印发《政府采购进口产品管理办法》的通知（财库[2007]119号）”第四、八、九、十、十一条的规定。</w:t>
      </w:r>
    </w:p>
    <w:p w14:paraId="1AEC2B73">
      <w:pPr>
        <w:spacing w:line="400" w:lineRule="exact"/>
        <w:rPr>
          <w:rFonts w:ascii="宋体" w:hAnsi="宋体"/>
          <w:b/>
          <w:color w:val="000000" w:themeColor="text1"/>
          <w:szCs w:val="21"/>
          <w:highlight w:val="none"/>
          <w14:textFill>
            <w14:solidFill>
              <w14:schemeClr w14:val="tx1"/>
            </w14:solidFill>
          </w14:textFill>
        </w:rPr>
      </w:pPr>
    </w:p>
    <w:p w14:paraId="2CD10F2C">
      <w:pPr>
        <w:spacing w:line="400" w:lineRule="exac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32.询问、质疑、投诉</w:t>
      </w:r>
    </w:p>
    <w:p w14:paraId="7B36854D">
      <w:pPr>
        <w:spacing w:line="400" w:lineRule="exac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32.1 询问</w:t>
      </w:r>
    </w:p>
    <w:p w14:paraId="16338FB7">
      <w:pPr>
        <w:spacing w:line="400" w:lineRule="exact"/>
        <w:ind w:firstLine="420" w:firstLineChars="200"/>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289DA449">
      <w:pPr>
        <w:spacing w:line="400" w:lineRule="exac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 质疑</w:t>
      </w:r>
    </w:p>
    <w:p w14:paraId="2652FD80">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32.2.1</w:t>
      </w:r>
      <w:r>
        <w:rPr>
          <w:rFonts w:hint="eastAsia" w:ascii="宋体" w:hAnsi="宋体"/>
          <w:bCs/>
          <w:color w:val="000000" w:themeColor="text1"/>
          <w:szCs w:val="21"/>
          <w:highlight w:val="none"/>
          <w14:textFill>
            <w14:solidFill>
              <w14:schemeClr w14:val="tx1"/>
            </w14:solidFill>
          </w14:textFill>
        </w:rPr>
        <w:t>提出质疑的供应商应当是参与所质疑项目采购活动的供应商。潜在供应商已依法获取其可质疑的招标文件的，可以对该文件提出质疑。</w:t>
      </w:r>
    </w:p>
    <w:p w14:paraId="31F5EFE9">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32.2.2</w:t>
      </w:r>
      <w:r>
        <w:rPr>
          <w:rFonts w:hint="eastAsia" w:ascii="宋体" w:hAnsi="宋体"/>
          <w:bCs/>
          <w:color w:val="000000" w:themeColor="text1"/>
          <w:szCs w:val="21"/>
          <w:highlight w:val="none"/>
          <w14:textFill>
            <w14:solidFill>
              <w14:schemeClr w14:val="tx1"/>
            </w14:solidFill>
          </w14:textFill>
        </w:rPr>
        <w:t>供应商认为招标文件、采购过程和中标结果使自己的权益受到损害的，可以在知道或者应知其权益受到损害之日起七个工作日内，以书面形式向采购人或者采购代理机构提出质疑，否则，采购人或者采购代理机构不予受理：</w:t>
      </w:r>
    </w:p>
    <w:p w14:paraId="61AA84BB">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32.2.2.1</w:t>
      </w:r>
      <w:r>
        <w:rPr>
          <w:rFonts w:hint="eastAsia" w:ascii="宋体" w:hAnsi="宋体"/>
          <w:bCs/>
          <w:color w:val="000000" w:themeColor="text1"/>
          <w:szCs w:val="21"/>
          <w:highlight w:val="none"/>
          <w14:textFill>
            <w14:solidFill>
              <w14:schemeClr w14:val="tx1"/>
            </w14:solidFill>
          </w14:textFill>
        </w:rPr>
        <w:t>对招标文件提出质疑的，质疑期限为供应商获得招标文件之日或者招标文件公告期限届满之日起计算。</w:t>
      </w:r>
    </w:p>
    <w:p w14:paraId="16F97422">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32.2.2.2</w:t>
      </w:r>
      <w:r>
        <w:rPr>
          <w:rFonts w:hint="eastAsia" w:ascii="宋体" w:hAnsi="宋体"/>
          <w:bCs/>
          <w:color w:val="000000" w:themeColor="text1"/>
          <w:szCs w:val="21"/>
          <w:highlight w:val="none"/>
          <w14:textFill>
            <w14:solidFill>
              <w14:schemeClr w14:val="tx1"/>
            </w14:solidFill>
          </w14:textFill>
        </w:rPr>
        <w:t>对采购过程提出质疑的，质疑期限为各采购程序环节结束之日起计算。对同一采购程序环节的质疑，供应商须一次性提出。</w:t>
      </w:r>
    </w:p>
    <w:p w14:paraId="1E722976">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32.2.2.3</w:t>
      </w:r>
      <w:r>
        <w:rPr>
          <w:rFonts w:hint="eastAsia" w:ascii="宋体" w:hAnsi="宋体"/>
          <w:bCs/>
          <w:color w:val="000000" w:themeColor="text1"/>
          <w:szCs w:val="21"/>
          <w:highlight w:val="none"/>
          <w14:textFill>
            <w14:solidFill>
              <w14:schemeClr w14:val="tx1"/>
            </w14:solidFill>
          </w14:textFill>
        </w:rPr>
        <w:t>对采购结果提出质疑的，质疑期限自采购结果公告期限届满之日起计算。</w:t>
      </w:r>
    </w:p>
    <w:p w14:paraId="09D13DFD">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32.2.3</w:t>
      </w:r>
      <w:r>
        <w:rPr>
          <w:rFonts w:hint="eastAsia" w:ascii="宋体" w:hAnsi="宋体"/>
          <w:bCs/>
          <w:color w:val="000000" w:themeColor="text1"/>
          <w:szCs w:val="21"/>
          <w:highlight w:val="none"/>
          <w14:textFill>
            <w14:solidFill>
              <w14:schemeClr w14:val="tx1"/>
            </w14:solidFill>
          </w14:textFill>
        </w:rPr>
        <w:t>供应商提出质疑应当提交质疑函和必要的证明材料。质疑函应当包括下列内容：</w:t>
      </w:r>
    </w:p>
    <w:p w14:paraId="41F42F3E">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32.2.3.1</w:t>
      </w:r>
      <w:r>
        <w:rPr>
          <w:rFonts w:hint="eastAsia" w:ascii="宋体" w:hAnsi="宋体"/>
          <w:bCs/>
          <w:color w:val="000000" w:themeColor="text1"/>
          <w:szCs w:val="21"/>
          <w:highlight w:val="none"/>
          <w14:textFill>
            <w14:solidFill>
              <w14:schemeClr w14:val="tx1"/>
            </w14:solidFill>
          </w14:textFill>
        </w:rPr>
        <w:t>供应商的姓名或者名称、地址、邮编、联系人及联系电话；</w:t>
      </w:r>
    </w:p>
    <w:p w14:paraId="676595FB">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32.2.3.2</w:t>
      </w:r>
      <w:r>
        <w:rPr>
          <w:rFonts w:hint="eastAsia" w:ascii="宋体" w:hAnsi="宋体"/>
          <w:bCs/>
          <w:color w:val="000000" w:themeColor="text1"/>
          <w:szCs w:val="21"/>
          <w:highlight w:val="none"/>
          <w14:textFill>
            <w14:solidFill>
              <w14:schemeClr w14:val="tx1"/>
            </w14:solidFill>
          </w14:textFill>
        </w:rPr>
        <w:t>质疑项目的名称、编号；</w:t>
      </w:r>
    </w:p>
    <w:p w14:paraId="42F3A9BF">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32.2.3.3</w:t>
      </w:r>
      <w:r>
        <w:rPr>
          <w:rFonts w:hint="eastAsia" w:ascii="宋体" w:hAnsi="宋体"/>
          <w:bCs/>
          <w:color w:val="000000" w:themeColor="text1"/>
          <w:szCs w:val="21"/>
          <w:highlight w:val="none"/>
          <w14:textFill>
            <w14:solidFill>
              <w14:schemeClr w14:val="tx1"/>
            </w14:solidFill>
          </w14:textFill>
        </w:rPr>
        <w:t>具体、明确的质疑事项和与质疑事项相关的请求；</w:t>
      </w:r>
    </w:p>
    <w:p w14:paraId="193605F9">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32.2.3.4</w:t>
      </w:r>
      <w:r>
        <w:rPr>
          <w:rFonts w:hint="eastAsia" w:ascii="宋体" w:hAnsi="宋体"/>
          <w:bCs/>
          <w:color w:val="000000" w:themeColor="text1"/>
          <w:szCs w:val="21"/>
          <w:highlight w:val="none"/>
          <w14:textFill>
            <w14:solidFill>
              <w14:schemeClr w14:val="tx1"/>
            </w14:solidFill>
          </w14:textFill>
        </w:rPr>
        <w:t>事实依据；</w:t>
      </w:r>
    </w:p>
    <w:p w14:paraId="19730C09">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32.2.3.5</w:t>
      </w:r>
      <w:r>
        <w:rPr>
          <w:rFonts w:hint="eastAsia" w:ascii="宋体" w:hAnsi="宋体"/>
          <w:bCs/>
          <w:color w:val="000000" w:themeColor="text1"/>
          <w:szCs w:val="21"/>
          <w:highlight w:val="none"/>
          <w14:textFill>
            <w14:solidFill>
              <w14:schemeClr w14:val="tx1"/>
            </w14:solidFill>
          </w14:textFill>
        </w:rPr>
        <w:t>必要的法律依据；</w:t>
      </w:r>
    </w:p>
    <w:p w14:paraId="5CC05A6A">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32.2.3.6</w:t>
      </w:r>
      <w:r>
        <w:rPr>
          <w:rFonts w:hint="eastAsia" w:ascii="宋体" w:hAnsi="宋体"/>
          <w:bCs/>
          <w:color w:val="000000" w:themeColor="text1"/>
          <w:szCs w:val="21"/>
          <w:highlight w:val="none"/>
          <w14:textFill>
            <w14:solidFill>
              <w14:schemeClr w14:val="tx1"/>
            </w14:solidFill>
          </w14:textFill>
        </w:rPr>
        <w:t>提出质疑的日期。</w:t>
      </w:r>
    </w:p>
    <w:p w14:paraId="30DE4A52">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供应商提交的质疑函需一式三份。供应商为自然人的，应当由本人签字；供应商为法人或者其他组织的，应当由法定代表人、主要负责人，或者其授权代表签字或者盖章，并加盖公章。</w:t>
      </w:r>
    </w:p>
    <w:p w14:paraId="6BE08CEA">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质疑函格式和内容须符合财政部《质疑函范本》要求，供应商可到中国政府采购网自行下载财政部《质疑函范本》。</w:t>
      </w:r>
    </w:p>
    <w:p w14:paraId="0FDF7F8E">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32.2.4</w:t>
      </w:r>
      <w:r>
        <w:rPr>
          <w:rFonts w:hint="eastAsia" w:ascii="宋体" w:hAnsi="宋体"/>
          <w:bCs/>
          <w:color w:val="000000" w:themeColor="text1"/>
          <w:szCs w:val="21"/>
          <w:highlight w:val="none"/>
          <w14:textFill>
            <w14:solidFill>
              <w14:schemeClr w14:val="tx1"/>
            </w14:solidFill>
          </w14:textFill>
        </w:rPr>
        <w:t>采购人或者采购代理机构应当在收到供应商的书面质疑后七个工作日内作出答复，并以书面形式通知质疑供应商和其他与质疑处理结果有利害关系的政府采购当事人，但答复的内容不得涉及商业秘密。</w:t>
      </w:r>
    </w:p>
    <w:p w14:paraId="762CEBE8">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32.2.5</w:t>
      </w:r>
      <w:r>
        <w:rPr>
          <w:rFonts w:hint="eastAsia" w:ascii="宋体" w:hAnsi="宋体"/>
          <w:bCs/>
          <w:color w:val="000000" w:themeColor="text1"/>
          <w:szCs w:val="21"/>
          <w:highlight w:val="none"/>
          <w14:textFill>
            <w14:solidFill>
              <w14:schemeClr w14:val="tx1"/>
            </w14:solidFill>
          </w14:textFill>
        </w:rPr>
        <w:t>询问或者质疑事项可能影响采购结果的，采购人应当暂停签订合同，已经签订合同的，应当中止履行合同。</w:t>
      </w:r>
    </w:p>
    <w:p w14:paraId="3ACD85C3">
      <w:pPr>
        <w:spacing w:line="400" w:lineRule="exac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32.3 投诉</w:t>
      </w:r>
    </w:p>
    <w:p w14:paraId="38D4BE6C">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32.3.1</w:t>
      </w:r>
      <w:r>
        <w:rPr>
          <w:rFonts w:hint="eastAsia" w:ascii="宋体" w:hAnsi="宋体"/>
          <w:bCs/>
          <w:color w:val="000000" w:themeColor="text1"/>
          <w:szCs w:val="21"/>
          <w:highlight w:val="none"/>
          <w14:textFill>
            <w14:solidFill>
              <w14:schemeClr w14:val="tx1"/>
            </w14:solidFill>
          </w14:textFill>
        </w:rPr>
        <w:t>质疑供应商对采购人、采购代理机构的答复不满意或者采购人、采购代理机构未在规定的时间内作出答复的，可以在答复期满后十五个工作日内向同级政府采购监督管理部门提出投诉。</w:t>
      </w:r>
      <w:r>
        <w:rPr>
          <w:rFonts w:hint="eastAsia" w:ascii="宋体" w:hAnsi="宋体"/>
          <w:color w:val="000000" w:themeColor="text1"/>
          <w:szCs w:val="21"/>
          <w:highlight w:val="none"/>
          <w14:textFill>
            <w14:solidFill>
              <w14:schemeClr w14:val="tx1"/>
            </w14:solidFill>
          </w14:textFill>
        </w:rPr>
        <w:t>投诉函格式和内容须符合财政部《投诉函范本》要求，供应商可到中国政府采购网自行下载财政部《投诉函范本》。</w:t>
      </w:r>
    </w:p>
    <w:p w14:paraId="239CF12A">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32.3.2</w:t>
      </w:r>
      <w:r>
        <w:rPr>
          <w:rFonts w:hint="eastAsia" w:ascii="宋体" w:hAnsi="宋体"/>
          <w:bCs/>
          <w:color w:val="000000" w:themeColor="text1"/>
          <w:szCs w:val="21"/>
          <w:highlight w:val="none"/>
          <w14:textFill>
            <w14:solidFill>
              <w14:schemeClr w14:val="tx1"/>
            </w14:solidFill>
          </w14:textFill>
        </w:rPr>
        <w:t>供应商投诉的事项不得超出已质疑事项的范围，基于质疑答复内容提出的投诉事项除外。</w:t>
      </w:r>
    </w:p>
    <w:p w14:paraId="5F848B61">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32.3.3</w:t>
      </w:r>
      <w:r>
        <w:rPr>
          <w:rFonts w:hint="eastAsia" w:ascii="宋体" w:hAnsi="宋体"/>
          <w:bCs/>
          <w:color w:val="000000" w:themeColor="text1"/>
          <w:szCs w:val="21"/>
          <w:highlight w:val="none"/>
          <w14:textFill>
            <w14:solidFill>
              <w14:schemeClr w14:val="tx1"/>
            </w14:solidFill>
          </w14:textFill>
        </w:rPr>
        <w:t>供应商投诉应当有明确的请求和必要的证明材料。</w:t>
      </w:r>
    </w:p>
    <w:p w14:paraId="0214B47A">
      <w:pPr>
        <w:spacing w:line="400" w:lineRule="exact"/>
        <w:rPr>
          <w:rFonts w:ascii="宋体" w:hAnsi="宋体"/>
          <w:bCs/>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32.3.4</w:t>
      </w:r>
      <w:r>
        <w:rPr>
          <w:rFonts w:hint="eastAsia" w:ascii="宋体" w:hAnsi="宋体"/>
          <w:bCs/>
          <w:color w:val="000000" w:themeColor="text1"/>
          <w:szCs w:val="21"/>
          <w:highlight w:val="none"/>
          <w14:textFill>
            <w14:solidFill>
              <w14:schemeClr w14:val="tx1"/>
            </w14:solidFill>
          </w14:textFill>
        </w:rPr>
        <w:t xml:space="preserve"> 以联合体形式参加政府采购活动的，其投诉应当由组成联合体的所有供应商共同提出。</w:t>
      </w:r>
    </w:p>
    <w:p w14:paraId="6B213375">
      <w:pPr>
        <w:spacing w:line="440" w:lineRule="exact"/>
        <w:ind w:firstLine="105" w:firstLineChars="50"/>
        <w:rPr>
          <w:rFonts w:ascii="宋体" w:hAnsi="宋体"/>
          <w:color w:val="000000" w:themeColor="text1"/>
          <w:szCs w:val="21"/>
          <w:highlight w:val="none"/>
          <w14:textFill>
            <w14:solidFill>
              <w14:schemeClr w14:val="tx1"/>
            </w14:solidFill>
          </w14:textFill>
        </w:rPr>
      </w:pPr>
    </w:p>
    <w:p w14:paraId="30DB8E1D">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33.联合体规定</w:t>
      </w:r>
    </w:p>
    <w:p w14:paraId="082281E2">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33.1</w:t>
      </w:r>
      <w:r>
        <w:rPr>
          <w:rFonts w:hint="eastAsia" w:ascii="宋体" w:hAnsi="宋体"/>
          <w:color w:val="000000" w:themeColor="text1"/>
          <w:szCs w:val="21"/>
          <w:highlight w:val="none"/>
          <w14:textFill>
            <w14:solidFill>
              <w14:schemeClr w14:val="tx1"/>
            </w14:solidFill>
          </w14:textFill>
        </w:rPr>
        <w:t xml:space="preserve">  两个以上的自然人、法人或者其他组织可以组成一个联合体，以一个投标人的身份共同参加政府采购。以联合体形式进行政府采购的，参加联合体的供应商均应当具备招标文件规定的资格条件，并应当向采购人提交联合协议，载明联合体各方承担的工作和义务。联合体各方应当共同与采购人签订采购合同，就采购合同约定的事项对采购人承担连带责任。</w:t>
      </w:r>
    </w:p>
    <w:p w14:paraId="7306576A">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33.2</w:t>
      </w:r>
      <w:r>
        <w:rPr>
          <w:rFonts w:hint="eastAsia" w:ascii="宋体" w:hAnsi="宋体"/>
          <w:color w:val="000000" w:themeColor="text1"/>
          <w:szCs w:val="21"/>
          <w:highlight w:val="none"/>
          <w14:textFill>
            <w14:solidFill>
              <w14:schemeClr w14:val="tx1"/>
            </w14:solidFill>
          </w14:textFill>
        </w:rPr>
        <w:t xml:space="preserve">  联合体中有同类资质的投标人按照联合体分工承担相同工作的，按照资质等级较低的投标人认定资质等级。</w:t>
      </w:r>
    </w:p>
    <w:p w14:paraId="6BAF76CB">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33.3 </w:t>
      </w:r>
      <w:r>
        <w:rPr>
          <w:rFonts w:hint="eastAsia" w:ascii="宋体" w:hAnsi="宋体"/>
          <w:color w:val="000000" w:themeColor="text1"/>
          <w:szCs w:val="21"/>
          <w:highlight w:val="none"/>
          <w14:textFill>
            <w14:solidFill>
              <w14:schemeClr w14:val="tx1"/>
            </w14:solidFill>
          </w14:textFill>
        </w:rPr>
        <w:t xml:space="preserve"> 以联合体形式参加政府采购活动的，联合体各方不得再单独参加或者与其他投标人另外组成联合体参加同一标项号的政府采购活动。</w:t>
      </w:r>
    </w:p>
    <w:p w14:paraId="12239623">
      <w:pPr>
        <w:spacing w:line="440" w:lineRule="exact"/>
        <w:rPr>
          <w:rFonts w:ascii="宋体" w:hAnsi="宋体"/>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 xml:space="preserve">33.4 </w:t>
      </w:r>
      <w:r>
        <w:rPr>
          <w:rFonts w:hint="eastAsia" w:ascii="宋体" w:hAnsi="宋体"/>
          <w:color w:val="000000" w:themeColor="text1"/>
          <w:szCs w:val="21"/>
          <w:highlight w:val="none"/>
          <w14:textFill>
            <w14:solidFill>
              <w14:schemeClr w14:val="tx1"/>
            </w14:solidFill>
          </w14:textFill>
        </w:rPr>
        <w:t>联合体协议中仅约定由联合体主办单位或成员单位中某一方与采购人签订合同的，或联合体协议中仅约定由联合体主办单位或成员单位中某一方就采购合同约定的事项对采购人承担责任的，视为联合体协议不成立，该联合体的投标文件将被作无效处理。</w:t>
      </w:r>
    </w:p>
    <w:p w14:paraId="7CD0082B">
      <w:pPr>
        <w:spacing w:line="400" w:lineRule="exact"/>
        <w:ind w:firstLine="102" w:firstLineChars="49"/>
        <w:rPr>
          <w:rFonts w:ascii="宋体" w:hAnsi="宋体" w:cs="宋体"/>
          <w:color w:val="000000" w:themeColor="text1"/>
          <w:kern w:val="0"/>
          <w:szCs w:val="21"/>
          <w:highlight w:val="none"/>
          <w14:textFill>
            <w14:solidFill>
              <w14:schemeClr w14:val="tx1"/>
            </w14:solidFill>
          </w14:textFill>
        </w:rPr>
      </w:pPr>
    </w:p>
    <w:p w14:paraId="5F153679">
      <w:pPr>
        <w:pStyle w:val="2"/>
        <w:spacing w:line="440" w:lineRule="exact"/>
        <w:rPr>
          <w:rFonts w:ascii="宋体" w:hAnsi="宋体"/>
          <w:color w:val="000000" w:themeColor="text1"/>
          <w:sz w:val="21"/>
          <w:szCs w:val="21"/>
          <w:highlight w:val="none"/>
          <w14:textFill>
            <w14:solidFill>
              <w14:schemeClr w14:val="tx1"/>
            </w14:solidFill>
          </w14:textFill>
        </w:rPr>
      </w:pPr>
    </w:p>
    <w:bookmarkEnd w:id="80"/>
    <w:bookmarkEnd w:id="81"/>
    <w:bookmarkEnd w:id="82"/>
    <w:bookmarkEnd w:id="83"/>
    <w:bookmarkEnd w:id="84"/>
    <w:bookmarkEnd w:id="85"/>
    <w:bookmarkEnd w:id="86"/>
    <w:bookmarkEnd w:id="87"/>
    <w:p w14:paraId="67B969A7">
      <w:pPr>
        <w:spacing w:line="440" w:lineRule="exact"/>
        <w:ind w:firstLine="110" w:firstLineChars="50"/>
        <w:rPr>
          <w:rFonts w:ascii="宋体" w:hAnsi="宋体"/>
          <w:color w:val="000000" w:themeColor="text1"/>
          <w:sz w:val="22"/>
          <w:szCs w:val="22"/>
          <w:highlight w:val="none"/>
          <w14:textFill>
            <w14:solidFill>
              <w14:schemeClr w14:val="tx1"/>
            </w14:solidFill>
          </w14:textFill>
        </w:rPr>
        <w:sectPr>
          <w:pgSz w:w="11907" w:h="16840"/>
          <w:pgMar w:top="1111" w:right="1701" w:bottom="1428" w:left="1701" w:header="720" w:footer="720" w:gutter="0"/>
          <w:cols w:space="720" w:num="1"/>
          <w:docGrid w:type="linesAndChars" w:linePitch="286" w:charSpace="0"/>
        </w:sectPr>
      </w:pPr>
    </w:p>
    <w:p w14:paraId="3C0F8361">
      <w:pPr>
        <w:pStyle w:val="3"/>
        <w:spacing w:beforeLines="0" w:afterLines="0" w:line="360" w:lineRule="auto"/>
        <w:rPr>
          <w:rFonts w:ascii="宋体" w:hAnsi="宋体"/>
          <w:color w:val="000000" w:themeColor="text1"/>
          <w:sz w:val="32"/>
          <w:szCs w:val="32"/>
          <w:highlight w:val="none"/>
          <w14:textFill>
            <w14:solidFill>
              <w14:schemeClr w14:val="tx1"/>
            </w14:solidFill>
          </w14:textFill>
        </w:rPr>
      </w:pPr>
      <w:bookmarkStart w:id="137" w:name="_Toc26275"/>
      <w:bookmarkStart w:id="138" w:name="_Toc316649302"/>
      <w:r>
        <w:rPr>
          <w:rFonts w:hint="eastAsia" w:ascii="宋体" w:hAnsi="宋体"/>
          <w:color w:val="000000" w:themeColor="text1"/>
          <w:sz w:val="32"/>
          <w:szCs w:val="32"/>
          <w:highlight w:val="none"/>
          <w14:textFill>
            <w14:solidFill>
              <w14:schemeClr w14:val="tx1"/>
            </w14:solidFill>
          </w14:textFill>
        </w:rPr>
        <w:t>第五部分  评标办法</w:t>
      </w:r>
      <w:bookmarkEnd w:id="137"/>
    </w:p>
    <w:p w14:paraId="15DFCF51">
      <w:pPr>
        <w:tabs>
          <w:tab w:val="left" w:pos="0"/>
          <w:tab w:val="left" w:pos="723"/>
        </w:tabs>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一、总则：</w:t>
      </w:r>
    </w:p>
    <w:p w14:paraId="1C616494">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1、本办法严格遵照《中华人民共和国政府采购法》《中华人民共和国政府采购法实施条例》《政府采购货物和服务招标投标管理办法》（87号令），结合项目所在地有关政府采购的规定和项目的实际情况制定。</w:t>
      </w:r>
      <w:r>
        <w:rPr>
          <w:rFonts w:hint="eastAsia" w:ascii="宋体" w:hAnsi="宋体" w:cs="宋体"/>
          <w:color w:val="000000" w:themeColor="text1"/>
          <w:szCs w:val="21"/>
          <w:highlight w:val="none"/>
          <w14:textFill>
            <w14:solidFill>
              <w14:schemeClr w14:val="tx1"/>
            </w14:solidFill>
          </w14:textFill>
        </w:rPr>
        <w:t>本评标标准是对“投标人须知”相关条款的具体表述或补充，如有矛盾，应以本办法为准。</w:t>
      </w:r>
    </w:p>
    <w:p w14:paraId="65564F7F">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2、本项目评标采用综合评分法。</w:t>
      </w:r>
    </w:p>
    <w:p w14:paraId="0FC1F958">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3、本次采购为</w:t>
      </w:r>
      <w:r>
        <w:rPr>
          <w:rFonts w:hint="eastAsia" w:ascii="宋体" w:hAnsi="宋体" w:cs="宋体"/>
          <w:iCs/>
          <w:color w:val="000000" w:themeColor="text1"/>
          <w:szCs w:val="21"/>
          <w:highlight w:val="none"/>
          <w14:textFill>
            <w14:solidFill>
              <w14:schemeClr w14:val="tx1"/>
            </w14:solidFill>
          </w14:textFill>
        </w:rPr>
        <w:t>非专门面向中小企业，</w:t>
      </w:r>
      <w:r>
        <w:rPr>
          <w:rFonts w:hint="eastAsia" w:ascii="宋体" w:hAnsi="宋体" w:cs="宋体"/>
          <w:color w:val="000000" w:themeColor="text1"/>
          <w:szCs w:val="21"/>
          <w:highlight w:val="none"/>
          <w14:textFill>
            <w14:solidFill>
              <w14:schemeClr w14:val="tx1"/>
            </w14:solidFill>
          </w14:textFill>
        </w:rPr>
        <w:t>本次评标将对《中小企业声明函》满足招标文件要求的小微企业的价格按本办法中规定的比例进行扣除，用扣除后的价格参与评审。价格扣除只用于评审过程，如中标，中标价格仍按照其投标价格进行公示。</w:t>
      </w:r>
    </w:p>
    <w:p w14:paraId="377DCAC6">
      <w:pPr>
        <w:tabs>
          <w:tab w:val="left" w:pos="0"/>
          <w:tab w:val="left" w:pos="723"/>
        </w:tabs>
        <w:spacing w:line="36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二、评标组织</w:t>
      </w:r>
    </w:p>
    <w:p w14:paraId="2FB0A85B">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评标委员会：采购人和采购代理机构根据采购项目的内容和特点，按国家相关规定组建评标委员会。评标委员会由采购人代表、技术、经济方面专家等人员组成。</w:t>
      </w:r>
    </w:p>
    <w:p w14:paraId="6F01A582">
      <w:pPr>
        <w:widowControl/>
        <w:tabs>
          <w:tab w:val="left" w:pos="0"/>
          <w:tab w:val="left" w:pos="723"/>
        </w:tabs>
        <w:spacing w:line="360" w:lineRule="auto"/>
        <w:jc w:val="lef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三、评标程序</w:t>
      </w:r>
    </w:p>
    <w:p w14:paraId="72E4214B">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1．资格审查：由采购人或代理机构对投标人的资格进行审查。在资格审查时，如发现有不满足下列情形之一的，将被视为无效投标文件。</w:t>
      </w:r>
    </w:p>
    <w:tbl>
      <w:tblPr>
        <w:tblStyle w:val="3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6805"/>
      </w:tblGrid>
      <w:tr w14:paraId="7C9FE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523" w:type="dxa"/>
            <w:vAlign w:val="center"/>
          </w:tcPr>
          <w:p w14:paraId="0C73D040">
            <w:pPr>
              <w:spacing w:line="336" w:lineRule="auto"/>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审查类别</w:t>
            </w:r>
          </w:p>
        </w:tc>
        <w:tc>
          <w:tcPr>
            <w:tcW w:w="6805" w:type="dxa"/>
            <w:vAlign w:val="center"/>
          </w:tcPr>
          <w:p w14:paraId="042CBCD6">
            <w:pPr>
              <w:spacing w:line="336" w:lineRule="auto"/>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审查内容</w:t>
            </w:r>
          </w:p>
        </w:tc>
      </w:tr>
      <w:tr w14:paraId="00FC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trPr>
        <w:tc>
          <w:tcPr>
            <w:tcW w:w="1523" w:type="dxa"/>
            <w:vMerge w:val="restart"/>
            <w:vAlign w:val="center"/>
          </w:tcPr>
          <w:p w14:paraId="394DA171">
            <w:pPr>
              <w:spacing w:line="336"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资格条件审查</w:t>
            </w:r>
          </w:p>
        </w:tc>
        <w:tc>
          <w:tcPr>
            <w:tcW w:w="6805" w:type="dxa"/>
          </w:tcPr>
          <w:p w14:paraId="04FB6197">
            <w:pPr>
              <w:widowControl/>
              <w:numPr>
                <w:ilvl w:val="0"/>
                <w:numId w:val="21"/>
              </w:numPr>
              <w:spacing w:line="336" w:lineRule="auto"/>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满足《中华人民共和国政府采购法》第二十二条规定；未被“信用中国”（www.creditchina.gov.cn)、中国政府采购网（www.ccgp.gov.cn）列入失信被执行人、重大税收违法案件当事人名单、政府采购严重违法失信行为记录名单，提供</w:t>
            </w:r>
            <w:r>
              <w:rPr>
                <w:rFonts w:hint="eastAsia" w:asciiTheme="minorEastAsia" w:hAnsiTheme="minorEastAsia" w:eastAsiaTheme="minorEastAsia"/>
                <w:color w:val="000000" w:themeColor="text1"/>
                <w:szCs w:val="21"/>
                <w:highlight w:val="none"/>
                <w14:textFill>
                  <w14:solidFill>
                    <w14:schemeClr w14:val="tx1"/>
                  </w14:solidFill>
                </w14:textFill>
              </w:rPr>
              <w:t>参加政府采购活动应当具备的一般条件的承诺函。</w:t>
            </w:r>
          </w:p>
        </w:tc>
      </w:tr>
      <w:tr w14:paraId="04759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trPr>
        <w:tc>
          <w:tcPr>
            <w:tcW w:w="1523" w:type="dxa"/>
            <w:vMerge w:val="continue"/>
            <w:vAlign w:val="center"/>
          </w:tcPr>
          <w:p w14:paraId="50CD33CB">
            <w:pPr>
              <w:spacing w:line="336" w:lineRule="auto"/>
              <w:jc w:val="center"/>
              <w:rPr>
                <w:rFonts w:ascii="宋体" w:hAnsi="宋体" w:cs="宋体"/>
                <w:color w:val="000000" w:themeColor="text1"/>
                <w:szCs w:val="21"/>
                <w:highlight w:val="none"/>
                <w14:textFill>
                  <w14:solidFill>
                    <w14:schemeClr w14:val="tx1"/>
                  </w14:solidFill>
                </w14:textFill>
              </w:rPr>
            </w:pPr>
          </w:p>
        </w:tc>
        <w:tc>
          <w:tcPr>
            <w:tcW w:w="6805" w:type="dxa"/>
          </w:tcPr>
          <w:p w14:paraId="0D4ED0BA">
            <w:pPr>
              <w:widowControl/>
              <w:numPr>
                <w:ilvl w:val="0"/>
                <w:numId w:val="21"/>
              </w:numPr>
              <w:spacing w:line="336"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营业执照副本（或事业法人登记证副本或其他登记证明材料）复印件加盖投标人公章（投标人如果有名称变更的，应提供由行政主管部门出具的变更证明文件复印件加盖投标人公章）</w:t>
            </w:r>
          </w:p>
        </w:tc>
      </w:tr>
      <w:tr w14:paraId="2027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523" w:type="dxa"/>
            <w:vMerge w:val="continue"/>
          </w:tcPr>
          <w:p w14:paraId="4DC7AB6B">
            <w:pPr>
              <w:spacing w:line="336" w:lineRule="auto"/>
              <w:rPr>
                <w:rFonts w:ascii="宋体" w:hAnsi="宋体" w:cs="宋体"/>
                <w:color w:val="000000" w:themeColor="text1"/>
                <w:szCs w:val="21"/>
                <w:highlight w:val="none"/>
                <w14:textFill>
                  <w14:solidFill>
                    <w14:schemeClr w14:val="tx1"/>
                  </w14:solidFill>
                </w14:textFill>
              </w:rPr>
            </w:pPr>
          </w:p>
        </w:tc>
        <w:tc>
          <w:tcPr>
            <w:tcW w:w="6805" w:type="dxa"/>
          </w:tcPr>
          <w:p w14:paraId="0EB4EAAB">
            <w:pPr>
              <w:widowControl/>
              <w:numPr>
                <w:ilvl w:val="0"/>
                <w:numId w:val="21"/>
              </w:numPr>
              <w:spacing w:line="336" w:lineRule="auto"/>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落实政府采购政策需满足的资格要求：</w:t>
            </w:r>
            <w:r>
              <w:rPr>
                <w:rFonts w:hint="eastAsia" w:ascii="宋体" w:hAnsi="宋体" w:cs="宋体"/>
                <w:iCs/>
                <w:color w:val="000000" w:themeColor="text1"/>
                <w:szCs w:val="21"/>
                <w:highlight w:val="none"/>
                <w14:textFill>
                  <w14:solidFill>
                    <w14:schemeClr w14:val="tx1"/>
                  </w14:solidFill>
                </w14:textFill>
              </w:rPr>
              <w:t>无</w:t>
            </w:r>
          </w:p>
        </w:tc>
      </w:tr>
      <w:tr w14:paraId="6DD76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trPr>
        <w:tc>
          <w:tcPr>
            <w:tcW w:w="1523" w:type="dxa"/>
            <w:vMerge w:val="continue"/>
          </w:tcPr>
          <w:p w14:paraId="3C570A52">
            <w:pPr>
              <w:spacing w:line="336" w:lineRule="auto"/>
              <w:rPr>
                <w:rFonts w:ascii="宋体" w:hAnsi="宋体" w:cs="宋体"/>
                <w:color w:val="000000" w:themeColor="text1"/>
                <w:szCs w:val="21"/>
                <w:highlight w:val="none"/>
                <w14:textFill>
                  <w14:solidFill>
                    <w14:schemeClr w14:val="tx1"/>
                  </w14:solidFill>
                </w14:textFill>
              </w:rPr>
            </w:pPr>
          </w:p>
        </w:tc>
        <w:tc>
          <w:tcPr>
            <w:tcW w:w="6805" w:type="dxa"/>
          </w:tcPr>
          <w:p w14:paraId="7433935F">
            <w:pPr>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（四）特定资格条件：</w:t>
            </w:r>
            <w:r>
              <w:rPr>
                <w:rFonts w:hint="eastAsia" w:ascii="宋体" w:hAnsi="宋体" w:cs="宋体"/>
                <w:iCs/>
                <w:color w:val="000000" w:themeColor="text1"/>
                <w:highlight w:val="none"/>
                <w14:textFill>
                  <w14:solidFill>
                    <w14:schemeClr w14:val="tx1"/>
                  </w14:solidFill>
                </w14:textFill>
              </w:rPr>
              <w:t>无</w:t>
            </w:r>
          </w:p>
        </w:tc>
      </w:tr>
    </w:tbl>
    <w:p w14:paraId="1BDE71FD">
      <w:pPr>
        <w:spacing w:line="360" w:lineRule="auto"/>
        <w:rPr>
          <w:rFonts w:ascii="宋体" w:hAnsi="宋体"/>
          <w:color w:val="000000" w:themeColor="text1"/>
          <w:szCs w:val="21"/>
          <w:highlight w:val="none"/>
          <w14:textFill>
            <w14:solidFill>
              <w14:schemeClr w14:val="tx1"/>
            </w14:solidFill>
          </w14:textFill>
        </w:rPr>
      </w:pPr>
    </w:p>
    <w:p w14:paraId="0BC4DB07">
      <w:pPr>
        <w:numPr>
          <w:ilvl w:val="0"/>
          <w:numId w:val="22"/>
        </w:numPr>
        <w:spacing w:line="360" w:lineRule="auto"/>
        <w:rPr>
          <w:rFonts w:ascii="宋体" w:hAnsi="宋体" w:cs="宋体"/>
          <w:color w:val="000000" w:themeColor="text1"/>
          <w:kern w:val="0"/>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符合性检查：</w:t>
      </w:r>
      <w:r>
        <w:rPr>
          <w:rFonts w:hint="eastAsia" w:ascii="宋体" w:hAnsi="宋体" w:cs="宋体"/>
          <w:color w:val="000000" w:themeColor="text1"/>
          <w:kern w:val="0"/>
          <w:szCs w:val="21"/>
          <w:highlight w:val="none"/>
          <w14:textFill>
            <w14:solidFill>
              <w14:schemeClr w14:val="tx1"/>
            </w14:solidFill>
          </w14:textFill>
        </w:rPr>
        <w:t>评标委员会应当对符合资格审查的投标人的投标文件进行符合性审查，以确定其是否满足招标文件的实质性要求。在符合性审查时，如发现有不满足下列情形之一的，将被视为无效投标文件。</w:t>
      </w:r>
    </w:p>
    <w:p w14:paraId="5E284923">
      <w:pPr>
        <w:pStyle w:val="15"/>
        <w:rPr>
          <w:color w:val="000000" w:themeColor="text1"/>
          <w:highlight w:val="none"/>
          <w14:textFill>
            <w14:solidFill>
              <w14:schemeClr w14:val="tx1"/>
            </w14:solidFill>
          </w14:textFill>
        </w:rPr>
      </w:pPr>
    </w:p>
    <w:p w14:paraId="4091E745">
      <w:pPr>
        <w:rPr>
          <w:color w:val="000000" w:themeColor="text1"/>
          <w:highlight w:val="none"/>
          <w14:textFill>
            <w14:solidFill>
              <w14:schemeClr w14:val="tx1"/>
            </w14:solidFill>
          </w14:textFill>
        </w:rPr>
      </w:pPr>
    </w:p>
    <w:tbl>
      <w:tblPr>
        <w:tblStyle w:val="3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789"/>
      </w:tblGrid>
      <w:tr w14:paraId="2DB0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trPr>
        <w:tc>
          <w:tcPr>
            <w:tcW w:w="1526" w:type="dxa"/>
            <w:vAlign w:val="center"/>
          </w:tcPr>
          <w:p w14:paraId="2DB9291B">
            <w:pPr>
              <w:spacing w:line="336" w:lineRule="auto"/>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审查类别</w:t>
            </w:r>
          </w:p>
        </w:tc>
        <w:tc>
          <w:tcPr>
            <w:tcW w:w="6789" w:type="dxa"/>
            <w:vAlign w:val="center"/>
          </w:tcPr>
          <w:p w14:paraId="7B8F1132">
            <w:pPr>
              <w:spacing w:line="336" w:lineRule="auto"/>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审查内容</w:t>
            </w:r>
          </w:p>
        </w:tc>
      </w:tr>
      <w:tr w14:paraId="0244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1D7C4750">
            <w:pPr>
              <w:spacing w:line="336"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符合性审查</w:t>
            </w:r>
          </w:p>
          <w:p w14:paraId="511C1208">
            <w:pPr>
              <w:spacing w:line="336"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（商务技术文件）</w:t>
            </w:r>
          </w:p>
        </w:tc>
        <w:tc>
          <w:tcPr>
            <w:tcW w:w="6789" w:type="dxa"/>
            <w:vAlign w:val="center"/>
          </w:tcPr>
          <w:p w14:paraId="6B9D98B9">
            <w:pPr>
              <w:tabs>
                <w:tab w:val="left" w:pos="612"/>
              </w:tabs>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（一）按照招标文件规定要求签署或盖章；</w:t>
            </w:r>
          </w:p>
        </w:tc>
      </w:tr>
      <w:tr w14:paraId="1145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251A5399">
            <w:pPr>
              <w:spacing w:line="336" w:lineRule="auto"/>
              <w:jc w:val="center"/>
              <w:rPr>
                <w:rFonts w:ascii="宋体" w:hAnsi="宋体" w:cs="宋体"/>
                <w:color w:val="000000" w:themeColor="text1"/>
                <w:szCs w:val="21"/>
                <w:highlight w:val="none"/>
                <w14:textFill>
                  <w14:solidFill>
                    <w14:schemeClr w14:val="tx1"/>
                  </w14:solidFill>
                </w14:textFill>
              </w:rPr>
            </w:pPr>
          </w:p>
        </w:tc>
        <w:tc>
          <w:tcPr>
            <w:tcW w:w="6789" w:type="dxa"/>
            <w:vAlign w:val="center"/>
          </w:tcPr>
          <w:p w14:paraId="5120B399">
            <w:pPr>
              <w:tabs>
                <w:tab w:val="left" w:pos="612"/>
              </w:tabs>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（二）投标文件有法定代表人签署本人姓名（或印盖本人姓名章），或签署人提供有效的法定代表人授权委托书且授权委托书填写项目齐全的；</w:t>
            </w:r>
          </w:p>
        </w:tc>
      </w:tr>
      <w:tr w14:paraId="07ED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65F45202">
            <w:pPr>
              <w:spacing w:line="336" w:lineRule="auto"/>
              <w:jc w:val="center"/>
              <w:rPr>
                <w:rFonts w:ascii="宋体" w:hAnsi="宋体" w:cs="宋体"/>
                <w:color w:val="000000" w:themeColor="text1"/>
                <w:szCs w:val="21"/>
                <w:highlight w:val="none"/>
                <w14:textFill>
                  <w14:solidFill>
                    <w14:schemeClr w14:val="tx1"/>
                  </w14:solidFill>
                </w14:textFill>
              </w:rPr>
            </w:pPr>
          </w:p>
        </w:tc>
        <w:tc>
          <w:tcPr>
            <w:tcW w:w="6789" w:type="dxa"/>
            <w:vAlign w:val="center"/>
          </w:tcPr>
          <w:p w14:paraId="7FB40D4E">
            <w:pPr>
              <w:tabs>
                <w:tab w:val="left" w:pos="612"/>
              </w:tabs>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（三）投标文件项目齐全；</w:t>
            </w:r>
          </w:p>
        </w:tc>
      </w:tr>
      <w:tr w14:paraId="1712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40818CD6">
            <w:pPr>
              <w:spacing w:line="336" w:lineRule="auto"/>
              <w:jc w:val="center"/>
              <w:rPr>
                <w:rFonts w:ascii="宋体" w:hAnsi="宋体" w:cs="宋体"/>
                <w:color w:val="000000" w:themeColor="text1"/>
                <w:szCs w:val="21"/>
                <w:highlight w:val="none"/>
                <w14:textFill>
                  <w14:solidFill>
                    <w14:schemeClr w14:val="tx1"/>
                  </w14:solidFill>
                </w14:textFill>
              </w:rPr>
            </w:pPr>
          </w:p>
        </w:tc>
        <w:tc>
          <w:tcPr>
            <w:tcW w:w="6789" w:type="dxa"/>
            <w:vAlign w:val="center"/>
          </w:tcPr>
          <w:p w14:paraId="73364640">
            <w:pPr>
              <w:tabs>
                <w:tab w:val="left" w:pos="612"/>
              </w:tabs>
              <w:spacing w:line="336" w:lineRule="auto"/>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（四）投标文件标明的响应或偏离与事实相符且无虚假投标的；</w:t>
            </w:r>
          </w:p>
        </w:tc>
      </w:tr>
      <w:tr w14:paraId="50CB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3DD41952">
            <w:pPr>
              <w:spacing w:line="336" w:lineRule="auto"/>
              <w:jc w:val="center"/>
              <w:rPr>
                <w:rFonts w:ascii="宋体" w:hAnsi="宋体" w:cs="宋体"/>
                <w:color w:val="000000" w:themeColor="text1"/>
                <w:szCs w:val="21"/>
                <w:highlight w:val="none"/>
                <w14:textFill>
                  <w14:solidFill>
                    <w14:schemeClr w14:val="tx1"/>
                  </w14:solidFill>
                </w14:textFill>
              </w:rPr>
            </w:pPr>
          </w:p>
        </w:tc>
        <w:tc>
          <w:tcPr>
            <w:tcW w:w="6789" w:type="dxa"/>
            <w:vAlign w:val="center"/>
          </w:tcPr>
          <w:p w14:paraId="5C8EB5E6">
            <w:pPr>
              <w:tabs>
                <w:tab w:val="left" w:pos="612"/>
              </w:tabs>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（五）投标文件的实质性内容使用中文表述且意思表述明确，前后无矛盾且使用计量单位符合招标文件要求的；</w:t>
            </w:r>
          </w:p>
        </w:tc>
      </w:tr>
      <w:tr w14:paraId="47B8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61E07449">
            <w:pPr>
              <w:spacing w:line="336" w:lineRule="auto"/>
              <w:jc w:val="center"/>
              <w:rPr>
                <w:rFonts w:ascii="宋体" w:hAnsi="宋体" w:cs="宋体"/>
                <w:color w:val="000000" w:themeColor="text1"/>
                <w:szCs w:val="21"/>
                <w:highlight w:val="none"/>
                <w14:textFill>
                  <w14:solidFill>
                    <w14:schemeClr w14:val="tx1"/>
                  </w14:solidFill>
                </w14:textFill>
              </w:rPr>
            </w:pPr>
          </w:p>
        </w:tc>
        <w:tc>
          <w:tcPr>
            <w:tcW w:w="6789" w:type="dxa"/>
            <w:vAlign w:val="center"/>
          </w:tcPr>
          <w:p w14:paraId="7B17F7F5">
            <w:pPr>
              <w:tabs>
                <w:tab w:val="left" w:pos="612"/>
              </w:tabs>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（六）带“★”的条款满足招标文件要求、已实质性响应招标文件要求且投标文件无采购人不能接受的附加条件的；</w:t>
            </w:r>
          </w:p>
        </w:tc>
      </w:tr>
      <w:tr w14:paraId="04176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738621B5">
            <w:pPr>
              <w:spacing w:line="336" w:lineRule="auto"/>
              <w:jc w:val="center"/>
              <w:rPr>
                <w:rFonts w:ascii="宋体" w:hAnsi="宋体" w:cs="宋体"/>
                <w:color w:val="000000" w:themeColor="text1"/>
                <w:szCs w:val="21"/>
                <w:highlight w:val="none"/>
                <w14:textFill>
                  <w14:solidFill>
                    <w14:schemeClr w14:val="tx1"/>
                  </w14:solidFill>
                </w14:textFill>
              </w:rPr>
            </w:pPr>
          </w:p>
        </w:tc>
        <w:tc>
          <w:tcPr>
            <w:tcW w:w="6789" w:type="dxa"/>
            <w:vAlign w:val="center"/>
          </w:tcPr>
          <w:p w14:paraId="350A473D">
            <w:pPr>
              <w:tabs>
                <w:tab w:val="left" w:pos="612"/>
              </w:tabs>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（七）投标技术方案明确，不存在一个或一个以上备选（替代）投标方案的；</w:t>
            </w:r>
          </w:p>
        </w:tc>
      </w:tr>
      <w:tr w14:paraId="2AFC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6" w:type="dxa"/>
            <w:vMerge w:val="continue"/>
            <w:vAlign w:val="center"/>
          </w:tcPr>
          <w:p w14:paraId="7F4A9EA0">
            <w:pPr>
              <w:spacing w:line="336" w:lineRule="auto"/>
              <w:jc w:val="center"/>
              <w:rPr>
                <w:rFonts w:ascii="宋体" w:hAnsi="宋体" w:cs="宋体"/>
                <w:color w:val="000000" w:themeColor="text1"/>
                <w:szCs w:val="21"/>
                <w:highlight w:val="none"/>
                <w14:textFill>
                  <w14:solidFill>
                    <w14:schemeClr w14:val="tx1"/>
                  </w14:solidFill>
                </w14:textFill>
              </w:rPr>
            </w:pPr>
          </w:p>
        </w:tc>
        <w:tc>
          <w:tcPr>
            <w:tcW w:w="6789" w:type="dxa"/>
            <w:vAlign w:val="center"/>
          </w:tcPr>
          <w:p w14:paraId="1C54B870">
            <w:pPr>
              <w:tabs>
                <w:tab w:val="left" w:pos="612"/>
              </w:tabs>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（八）不存在法律、法规和招标文件规定的其他无效情形；</w:t>
            </w:r>
          </w:p>
        </w:tc>
      </w:tr>
      <w:tr w14:paraId="3AAF6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70157935">
            <w:pPr>
              <w:spacing w:line="336" w:lineRule="auto"/>
              <w:jc w:val="center"/>
              <w:rPr>
                <w:rFonts w:ascii="宋体" w:hAnsi="宋体" w:cs="宋体"/>
                <w:color w:val="000000" w:themeColor="text1"/>
                <w:szCs w:val="21"/>
                <w:highlight w:val="none"/>
                <w14:textFill>
                  <w14:solidFill>
                    <w14:schemeClr w14:val="tx1"/>
                  </w14:solidFill>
                </w14:textFill>
              </w:rPr>
            </w:pPr>
          </w:p>
        </w:tc>
        <w:tc>
          <w:tcPr>
            <w:tcW w:w="6789" w:type="dxa"/>
            <w:vAlign w:val="center"/>
          </w:tcPr>
          <w:p w14:paraId="2910F091">
            <w:pPr>
              <w:tabs>
                <w:tab w:val="left" w:pos="612"/>
              </w:tabs>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（九）不存在投标文件的有效期不满足招标文件要求情形；</w:t>
            </w:r>
          </w:p>
        </w:tc>
      </w:tr>
      <w:tr w14:paraId="73778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14:paraId="5FD5B985">
            <w:pPr>
              <w:spacing w:line="336" w:lineRule="auto"/>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符合性审查</w:t>
            </w:r>
          </w:p>
          <w:p w14:paraId="32110DDF">
            <w:pPr>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（报价文件）</w:t>
            </w:r>
          </w:p>
        </w:tc>
        <w:tc>
          <w:tcPr>
            <w:tcW w:w="6789" w:type="dxa"/>
            <w:vAlign w:val="center"/>
          </w:tcPr>
          <w:p w14:paraId="23BB8C3E">
            <w:pPr>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（一）按照招标文件规定要求签署或盖章；</w:t>
            </w:r>
          </w:p>
        </w:tc>
      </w:tr>
      <w:tr w14:paraId="0479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14:paraId="4D178F94">
            <w:pPr>
              <w:spacing w:line="336" w:lineRule="auto"/>
              <w:jc w:val="center"/>
              <w:rPr>
                <w:rFonts w:ascii="宋体" w:hAnsi="宋体" w:cs="宋体"/>
                <w:color w:val="000000" w:themeColor="text1"/>
                <w:szCs w:val="21"/>
                <w:highlight w:val="none"/>
                <w14:textFill>
                  <w14:solidFill>
                    <w14:schemeClr w14:val="tx1"/>
                  </w14:solidFill>
                </w14:textFill>
              </w:rPr>
            </w:pPr>
          </w:p>
        </w:tc>
        <w:tc>
          <w:tcPr>
            <w:tcW w:w="6789" w:type="dxa"/>
            <w:vAlign w:val="center"/>
          </w:tcPr>
          <w:p w14:paraId="7F1B395E">
            <w:pPr>
              <w:tabs>
                <w:tab w:val="left" w:pos="612"/>
              </w:tabs>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（二）投标文件项目齐全；</w:t>
            </w:r>
          </w:p>
        </w:tc>
      </w:tr>
      <w:tr w14:paraId="7156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Pr>
          <w:p w14:paraId="4FDB897B">
            <w:pPr>
              <w:spacing w:line="336" w:lineRule="auto"/>
              <w:ind w:firstLine="210" w:firstLineChars="100"/>
              <w:rPr>
                <w:rFonts w:ascii="宋体" w:hAnsi="宋体" w:cs="宋体"/>
                <w:color w:val="000000" w:themeColor="text1"/>
                <w:szCs w:val="21"/>
                <w:highlight w:val="none"/>
                <w14:textFill>
                  <w14:solidFill>
                    <w14:schemeClr w14:val="tx1"/>
                  </w14:solidFill>
                </w14:textFill>
              </w:rPr>
            </w:pPr>
          </w:p>
        </w:tc>
        <w:tc>
          <w:tcPr>
            <w:tcW w:w="6789" w:type="dxa"/>
            <w:vAlign w:val="center"/>
          </w:tcPr>
          <w:p w14:paraId="5A5EE63D">
            <w:pPr>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（三）投标函已提交并符合招标文件要求；</w:t>
            </w:r>
          </w:p>
        </w:tc>
      </w:tr>
      <w:tr w14:paraId="02175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Pr>
          <w:p w14:paraId="3BBC2B8F">
            <w:pPr>
              <w:spacing w:line="336" w:lineRule="auto"/>
              <w:ind w:firstLine="210" w:firstLineChars="100"/>
              <w:rPr>
                <w:rFonts w:ascii="宋体" w:hAnsi="宋体" w:cs="宋体"/>
                <w:color w:val="000000" w:themeColor="text1"/>
                <w:szCs w:val="21"/>
                <w:highlight w:val="none"/>
                <w14:textFill>
                  <w14:solidFill>
                    <w14:schemeClr w14:val="tx1"/>
                  </w14:solidFill>
                </w14:textFill>
              </w:rPr>
            </w:pPr>
          </w:p>
        </w:tc>
        <w:tc>
          <w:tcPr>
            <w:tcW w:w="6789" w:type="dxa"/>
            <w:vAlign w:val="center"/>
          </w:tcPr>
          <w:p w14:paraId="49CC2FB2">
            <w:pPr>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（四）采用人民币报价或者按照招标文件标明的币种报价的；</w:t>
            </w:r>
          </w:p>
        </w:tc>
      </w:tr>
      <w:tr w14:paraId="02E9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Pr>
          <w:p w14:paraId="7DD77BC2">
            <w:pPr>
              <w:spacing w:line="336" w:lineRule="auto"/>
              <w:ind w:firstLine="210" w:firstLineChars="100"/>
              <w:rPr>
                <w:rFonts w:ascii="宋体" w:hAnsi="宋体" w:cs="宋体"/>
                <w:color w:val="000000" w:themeColor="text1"/>
                <w:szCs w:val="21"/>
                <w:highlight w:val="none"/>
                <w14:textFill>
                  <w14:solidFill>
                    <w14:schemeClr w14:val="tx1"/>
                  </w14:solidFill>
                </w14:textFill>
              </w:rPr>
            </w:pPr>
          </w:p>
        </w:tc>
        <w:tc>
          <w:tcPr>
            <w:tcW w:w="6789" w:type="dxa"/>
            <w:vAlign w:val="center"/>
          </w:tcPr>
          <w:p w14:paraId="6245F12E">
            <w:pPr>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（五）不存在报价超出最高限价，或者超出采购预算金额，采购人不能支付的情形。</w:t>
            </w:r>
          </w:p>
        </w:tc>
      </w:tr>
      <w:tr w14:paraId="126D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Pr>
          <w:p w14:paraId="70D10C2A">
            <w:pPr>
              <w:spacing w:line="336" w:lineRule="auto"/>
              <w:ind w:firstLine="210" w:firstLineChars="100"/>
              <w:rPr>
                <w:rFonts w:ascii="宋体" w:hAnsi="宋体" w:cs="宋体"/>
                <w:color w:val="000000" w:themeColor="text1"/>
                <w:szCs w:val="21"/>
                <w:highlight w:val="none"/>
                <w14:textFill>
                  <w14:solidFill>
                    <w14:schemeClr w14:val="tx1"/>
                  </w14:solidFill>
                </w14:textFill>
              </w:rPr>
            </w:pPr>
          </w:p>
        </w:tc>
        <w:tc>
          <w:tcPr>
            <w:tcW w:w="6789" w:type="dxa"/>
            <w:vAlign w:val="center"/>
          </w:tcPr>
          <w:p w14:paraId="1E8CE2B8">
            <w:pPr>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（六）不存在投标报价具有选择性的情形；</w:t>
            </w:r>
          </w:p>
        </w:tc>
      </w:tr>
      <w:tr w14:paraId="68E5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Pr>
          <w:p w14:paraId="761F9AE0">
            <w:pPr>
              <w:spacing w:line="336" w:lineRule="auto"/>
              <w:ind w:firstLine="210" w:firstLineChars="100"/>
              <w:rPr>
                <w:rFonts w:ascii="宋体" w:hAnsi="宋体" w:cs="宋体"/>
                <w:color w:val="000000" w:themeColor="text1"/>
                <w:szCs w:val="21"/>
                <w:highlight w:val="none"/>
                <w14:textFill>
                  <w14:solidFill>
                    <w14:schemeClr w14:val="tx1"/>
                  </w14:solidFill>
                </w14:textFill>
              </w:rPr>
            </w:pPr>
          </w:p>
        </w:tc>
        <w:tc>
          <w:tcPr>
            <w:tcW w:w="6789" w:type="dxa"/>
            <w:vAlign w:val="center"/>
          </w:tcPr>
          <w:p w14:paraId="1AC917FD">
            <w:pPr>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（七）投标报价中未出现重大缺项、漏项；</w:t>
            </w:r>
          </w:p>
        </w:tc>
      </w:tr>
      <w:tr w14:paraId="5123A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Pr>
          <w:p w14:paraId="355C6AA3">
            <w:pPr>
              <w:spacing w:line="336" w:lineRule="auto"/>
              <w:ind w:firstLine="210" w:firstLineChars="100"/>
              <w:rPr>
                <w:rFonts w:ascii="宋体" w:hAnsi="宋体" w:cs="宋体"/>
                <w:color w:val="000000" w:themeColor="text1"/>
                <w:szCs w:val="21"/>
                <w:highlight w:val="none"/>
                <w14:textFill>
                  <w14:solidFill>
                    <w14:schemeClr w14:val="tx1"/>
                  </w14:solidFill>
                </w14:textFill>
              </w:rPr>
            </w:pPr>
          </w:p>
        </w:tc>
        <w:tc>
          <w:tcPr>
            <w:tcW w:w="6789" w:type="dxa"/>
            <w:vAlign w:val="center"/>
          </w:tcPr>
          <w:p w14:paraId="6BC3F90B">
            <w:pPr>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（八）不存在评标委员会认为投标人的报价明显低于其他通过符合性审查投标人的报价，有可能影响产品质量或者不能诚信履约的且不能在评标现场合理时间内提供相关证明材料说明其报价的合理性的情形；</w:t>
            </w:r>
          </w:p>
        </w:tc>
      </w:tr>
      <w:tr w14:paraId="6AD3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Pr>
          <w:p w14:paraId="399A7044">
            <w:pPr>
              <w:spacing w:line="336" w:lineRule="auto"/>
              <w:ind w:firstLine="210" w:firstLineChars="100"/>
              <w:rPr>
                <w:rFonts w:ascii="宋体" w:hAnsi="宋体" w:cs="宋体"/>
                <w:color w:val="000000" w:themeColor="text1"/>
                <w:szCs w:val="21"/>
                <w:highlight w:val="none"/>
                <w14:textFill>
                  <w14:solidFill>
                    <w14:schemeClr w14:val="tx1"/>
                  </w14:solidFill>
                </w14:textFill>
              </w:rPr>
            </w:pPr>
          </w:p>
        </w:tc>
        <w:tc>
          <w:tcPr>
            <w:tcW w:w="6789" w:type="dxa"/>
            <w:vAlign w:val="center"/>
          </w:tcPr>
          <w:p w14:paraId="27BB763A">
            <w:pPr>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（九）投标文件（报价文件）内容与投标文件（商务技术文件）内容不存在重大差异的；</w:t>
            </w:r>
          </w:p>
        </w:tc>
      </w:tr>
      <w:tr w14:paraId="57195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tcPr>
          <w:p w14:paraId="23239D44">
            <w:pPr>
              <w:spacing w:line="336" w:lineRule="auto"/>
              <w:ind w:firstLine="210" w:firstLineChars="100"/>
              <w:rPr>
                <w:rFonts w:ascii="宋体" w:hAnsi="宋体" w:cs="宋体"/>
                <w:color w:val="000000" w:themeColor="text1"/>
                <w:szCs w:val="21"/>
                <w:highlight w:val="none"/>
                <w14:textFill>
                  <w14:solidFill>
                    <w14:schemeClr w14:val="tx1"/>
                  </w14:solidFill>
                </w14:textFill>
              </w:rPr>
            </w:pPr>
          </w:p>
        </w:tc>
        <w:tc>
          <w:tcPr>
            <w:tcW w:w="6789" w:type="dxa"/>
            <w:vAlign w:val="center"/>
          </w:tcPr>
          <w:p w14:paraId="6BF5248F">
            <w:pPr>
              <w:spacing w:line="336"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（十）不存在法律、法规和招标文件规定的其他无效情形；</w:t>
            </w:r>
          </w:p>
        </w:tc>
      </w:tr>
    </w:tbl>
    <w:p w14:paraId="071DEA08">
      <w:pPr>
        <w:spacing w:line="360" w:lineRule="auto"/>
        <w:rPr>
          <w:rFonts w:ascii="宋体" w:hAnsi="宋体"/>
          <w:color w:val="000000" w:themeColor="text1"/>
          <w:szCs w:val="21"/>
          <w:highlight w:val="none"/>
          <w14:textFill>
            <w14:solidFill>
              <w14:schemeClr w14:val="tx1"/>
            </w14:solidFill>
          </w14:textFill>
        </w:rPr>
      </w:pPr>
    </w:p>
    <w:p w14:paraId="70CE8D12">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比较与评价：评标委员会对资格审查、符合性审查合格的投标文件，依照本办法“七、评分标准”对投标文件作进一步评审、比较，判定其偏差性质和程度。评标委员会成员经过阅标、审标和询标，对各投标人进行打分。</w:t>
      </w:r>
    </w:p>
    <w:p w14:paraId="517469F7">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4．最终得分及排序：</w:t>
      </w:r>
      <w:r>
        <w:rPr>
          <w:rFonts w:hint="eastAsia" w:ascii="宋体" w:hAnsi="宋体" w:cs="宋体"/>
          <w:color w:val="000000" w:themeColor="text1"/>
          <w:szCs w:val="21"/>
          <w:highlight w:val="none"/>
          <w14:textFill>
            <w14:solidFill>
              <w14:schemeClr w14:val="tx1"/>
            </w14:solidFill>
          </w14:textFill>
        </w:rPr>
        <w:t>评标委员会成员独立按照评分标准（兼评委打分表）规定的内容和分值设置，对各投标文件分别打分汇总后计算平均分（小数点后保留两位数），即为各投标人的综合得分。</w:t>
      </w:r>
      <w:r>
        <w:rPr>
          <w:rFonts w:hint="eastAsia" w:ascii="宋体" w:hAnsi="宋体" w:cs="宋体"/>
          <w:color w:val="000000" w:themeColor="text1"/>
          <w:kern w:val="0"/>
          <w:szCs w:val="21"/>
          <w:highlight w:val="none"/>
          <w14:textFill>
            <w14:solidFill>
              <w14:schemeClr w14:val="tx1"/>
            </w14:solidFill>
          </w14:textFill>
        </w:rPr>
        <w:t>评标结果按评审后得分由高到低顺序排列。得分相同的，按投标报价由低到高顺序排列。得分且投标报价相同的并列。</w:t>
      </w:r>
    </w:p>
    <w:p w14:paraId="75AEA9B5">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5．推荐中标候选人原则：</w:t>
      </w:r>
      <w:r>
        <w:rPr>
          <w:rFonts w:hint="eastAsia" w:ascii="宋体" w:hAnsi="宋体" w:cs="宋体"/>
          <w:color w:val="000000" w:themeColor="text1"/>
          <w:kern w:val="0"/>
          <w:szCs w:val="21"/>
          <w:highlight w:val="none"/>
          <w14:textFill>
            <w14:solidFill>
              <w14:schemeClr w14:val="tx1"/>
            </w14:solidFill>
          </w14:textFill>
        </w:rPr>
        <w:t>投标文件满足招标文件全部实质性要求，且按照评审因素的量化指标评审得分最高的投标人为排名第一的中标候选人。</w:t>
      </w:r>
    </w:p>
    <w:p w14:paraId="48C5D104">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确定中标人：采购代理机构应当自评标结束之日起2个工作日内将评标报告送交采购人。采购人应当自收到评标报告之日起5个工作日内在评标报告确定的中标候选人名单中按顺序确定中标人。中标人因不可抗力不能履行政府采购合同的，采购人可以按照评标报告推荐的下一中标候选人为中标人或重新招标。</w:t>
      </w:r>
    </w:p>
    <w:p w14:paraId="16A094D0">
      <w:pPr>
        <w:spacing w:line="360" w:lineRule="exact"/>
        <w:rPr>
          <w:rFonts w:ascii="宋体" w:hAnsi="宋体" w:cs="宋体"/>
          <w:color w:val="000000" w:themeColor="text1"/>
          <w:szCs w:val="21"/>
          <w:highlight w:val="none"/>
          <w14:textFill>
            <w14:solidFill>
              <w14:schemeClr w14:val="tx1"/>
            </w14:solidFill>
          </w14:textFill>
        </w:rPr>
      </w:pPr>
    </w:p>
    <w:p w14:paraId="4566952B">
      <w:pPr>
        <w:widowControl/>
        <w:tabs>
          <w:tab w:val="left" w:pos="0"/>
          <w:tab w:val="left" w:pos="723"/>
        </w:tabs>
        <w:spacing w:line="360" w:lineRule="auto"/>
        <w:jc w:val="left"/>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四、澄清问题的形式</w:t>
      </w:r>
    </w:p>
    <w:p w14:paraId="67BBD56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对投标文件中含义不明确、同类问题表述不一致或者有明显文字和计算错误的内容，评标委员会可要求投标人作出必要的澄清、说明或者纠正。投标人的澄清、说明或者补正应当采用书面形式，由其授权代表签字或盖章确认，并不得超出投标文件的范围或者改变投标文件的实质性内容。</w:t>
      </w:r>
    </w:p>
    <w:p w14:paraId="47729683">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20131773">
      <w:pPr>
        <w:widowControl/>
        <w:tabs>
          <w:tab w:val="left" w:pos="0"/>
          <w:tab w:val="left" w:pos="723"/>
        </w:tabs>
        <w:spacing w:line="360" w:lineRule="auto"/>
        <w:jc w:val="left"/>
        <w:rPr>
          <w:rFonts w:ascii="宋体" w:hAnsi="宋体"/>
          <w:b/>
          <w:color w:val="000000" w:themeColor="text1"/>
          <w:szCs w:val="21"/>
          <w:highlight w:val="none"/>
          <w14:textFill>
            <w14:solidFill>
              <w14:schemeClr w14:val="tx1"/>
            </w14:solidFill>
          </w14:textFill>
        </w:rPr>
      </w:pPr>
      <w:r>
        <w:rPr>
          <w:rFonts w:ascii="宋体" w:hAnsi="宋体"/>
          <w:b/>
          <w:color w:val="000000" w:themeColor="text1"/>
          <w:szCs w:val="21"/>
          <w:highlight w:val="none"/>
          <w14:textFill>
            <w14:solidFill>
              <w14:schemeClr w14:val="tx1"/>
            </w14:solidFill>
          </w14:textFill>
        </w:rPr>
        <w:t>五</w:t>
      </w:r>
      <w:r>
        <w:rPr>
          <w:rFonts w:hint="eastAsia" w:ascii="宋体" w:hAnsi="宋体"/>
          <w:b/>
          <w:color w:val="000000" w:themeColor="text1"/>
          <w:szCs w:val="21"/>
          <w:highlight w:val="none"/>
          <w14:textFill>
            <w14:solidFill>
              <w14:schemeClr w14:val="tx1"/>
            </w14:solidFill>
          </w14:textFill>
        </w:rPr>
        <w:t>、</w:t>
      </w:r>
      <w:r>
        <w:rPr>
          <w:rFonts w:ascii="宋体" w:hAnsi="宋体"/>
          <w:b/>
          <w:color w:val="000000" w:themeColor="text1"/>
          <w:szCs w:val="21"/>
          <w:highlight w:val="none"/>
          <w14:textFill>
            <w14:solidFill>
              <w14:schemeClr w14:val="tx1"/>
            </w14:solidFill>
          </w14:textFill>
        </w:rPr>
        <w:t>错误修正</w:t>
      </w:r>
    </w:p>
    <w:p w14:paraId="272CE20F">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投标文件报价出现前后不一致的，按照下列规定修正：</w:t>
      </w:r>
    </w:p>
    <w:p w14:paraId="12251C6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1.投标文件中开标一览表内容与投标文件中相应内容不一致的，以开标一览表为准；</w:t>
      </w:r>
    </w:p>
    <w:p w14:paraId="5CC9AB9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2.大写金额和小写金额不一致的，以大写金额为准；</w:t>
      </w:r>
    </w:p>
    <w:p w14:paraId="65FE7EF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3.单价金额小数点或者百分比有明显错位的，以开标一览表的总价为准，并修改单价；</w:t>
      </w:r>
    </w:p>
    <w:p w14:paraId="24A2693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4.总价金额与按单价汇总金额不一致的，以单价金额计算结果为准。</w:t>
      </w:r>
    </w:p>
    <w:p w14:paraId="017B37B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同时出现两种以上不一致的，按照前款规定的顺序修正。修正后的报价按照投标文件澄清第二款的规定经投标人确认后产生约束力，投标人不确认的，其投标无效。</w:t>
      </w:r>
    </w:p>
    <w:p w14:paraId="7B362B6B">
      <w:pPr>
        <w:spacing w:line="360" w:lineRule="auto"/>
        <w:rPr>
          <w:rFonts w:ascii="宋体" w:hAnsi="宋体"/>
          <w:b/>
          <w:color w:val="000000" w:themeColor="text1"/>
          <w:sz w:val="24"/>
          <w:szCs w:val="24"/>
          <w:highlight w:val="none"/>
          <w14:textFill>
            <w14:solidFill>
              <w14:schemeClr w14:val="tx1"/>
            </w14:solidFill>
          </w14:textFill>
        </w:rPr>
      </w:pPr>
      <w:r>
        <w:rPr>
          <w:rFonts w:ascii="宋体" w:hAnsi="宋体"/>
          <w:b/>
          <w:color w:val="000000" w:themeColor="text1"/>
          <w:sz w:val="24"/>
          <w:szCs w:val="24"/>
          <w:highlight w:val="none"/>
          <w14:textFill>
            <w14:solidFill>
              <w14:schemeClr w14:val="tx1"/>
            </w14:solidFill>
          </w14:textFill>
        </w:rPr>
        <w:br w:type="page"/>
      </w:r>
      <w:r>
        <w:rPr>
          <w:rFonts w:hint="eastAsia" w:ascii="宋体" w:hAnsi="宋体"/>
          <w:b/>
          <w:color w:val="000000" w:themeColor="text1"/>
          <w:sz w:val="24"/>
          <w:szCs w:val="24"/>
          <w:highlight w:val="none"/>
          <w14:textFill>
            <w14:solidFill>
              <w14:schemeClr w14:val="tx1"/>
            </w14:solidFill>
          </w14:textFill>
        </w:rPr>
        <w:t>七、评分标准（兼评委打分表）</w:t>
      </w:r>
    </w:p>
    <w:tbl>
      <w:tblPr>
        <w:tblStyle w:val="35"/>
        <w:tblW w:w="1023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702"/>
        <w:gridCol w:w="1505"/>
        <w:gridCol w:w="6846"/>
        <w:gridCol w:w="654"/>
      </w:tblGrid>
      <w:tr w14:paraId="6EC8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9581" w:type="dxa"/>
            <w:gridSpan w:val="4"/>
            <w:tcBorders>
              <w:top w:val="single" w:color="auto" w:sz="4" w:space="0"/>
              <w:left w:val="single" w:color="auto" w:sz="4" w:space="0"/>
              <w:bottom w:val="single" w:color="auto" w:sz="4" w:space="0"/>
              <w:right w:val="single" w:color="auto" w:sz="2" w:space="0"/>
            </w:tcBorders>
            <w:vAlign w:val="center"/>
          </w:tcPr>
          <w:p w14:paraId="48E38BFD">
            <w:pPr>
              <w:spacing w:before="85" w:beforeLines="30" w:line="288" w:lineRule="auto"/>
              <w:jc w:val="center"/>
              <w:rPr>
                <w:rFonts w:asciiTheme="majorEastAsia" w:hAnsiTheme="majorEastAsia" w:eastAsiaTheme="majorEastAsia"/>
                <w:snapToGrid w:val="0"/>
                <w:color w:val="000000" w:themeColor="text1"/>
                <w:spacing w:val="-4"/>
                <w:szCs w:val="21"/>
                <w:highlight w:val="none"/>
                <w14:textFill>
                  <w14:solidFill>
                    <w14:schemeClr w14:val="tx1"/>
                  </w14:solidFill>
                </w14:textFill>
              </w:rPr>
            </w:pP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 xml:space="preserve">      </w:t>
            </w:r>
          </w:p>
        </w:tc>
        <w:tc>
          <w:tcPr>
            <w:tcW w:w="654" w:type="dxa"/>
            <w:tcBorders>
              <w:top w:val="single" w:color="auto" w:sz="4" w:space="0"/>
              <w:left w:val="single" w:color="auto" w:sz="4" w:space="0"/>
              <w:bottom w:val="single" w:color="auto" w:sz="4" w:space="0"/>
              <w:right w:val="single" w:color="auto" w:sz="2" w:space="0"/>
            </w:tcBorders>
            <w:vAlign w:val="center"/>
          </w:tcPr>
          <w:p w14:paraId="62D98923">
            <w:pPr>
              <w:spacing w:before="85" w:beforeLines="30" w:line="288" w:lineRule="auto"/>
              <w:jc w:val="center"/>
              <w:rPr>
                <w:rFonts w:asciiTheme="majorEastAsia" w:hAnsiTheme="majorEastAsia" w:eastAsiaTheme="majorEastAsia"/>
                <w:snapToGrid w:val="0"/>
                <w:color w:val="000000" w:themeColor="text1"/>
                <w:spacing w:val="-4"/>
                <w:szCs w:val="21"/>
                <w:highlight w:val="none"/>
                <w14:textFill>
                  <w14:solidFill>
                    <w14:schemeClr w14:val="tx1"/>
                  </w14:solidFill>
                </w14:textFill>
              </w:rPr>
            </w:pP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分值</w:t>
            </w:r>
          </w:p>
        </w:tc>
      </w:tr>
      <w:tr w14:paraId="7808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trPr>
        <w:tc>
          <w:tcPr>
            <w:tcW w:w="528" w:type="dxa"/>
            <w:vMerge w:val="restart"/>
            <w:tcBorders>
              <w:top w:val="single" w:color="auto" w:sz="4" w:space="0"/>
              <w:left w:val="single" w:color="auto" w:sz="4" w:space="0"/>
              <w:right w:val="single" w:color="auto" w:sz="2" w:space="0"/>
            </w:tcBorders>
            <w:vAlign w:val="center"/>
          </w:tcPr>
          <w:p w14:paraId="5D5261B8">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商务技术分</w:t>
            </w:r>
          </w:p>
          <w:p w14:paraId="5B54A883">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（满分</w:t>
            </w:r>
            <w:r>
              <w:rPr>
                <w:rFonts w:hint="eastAsia" w:asciiTheme="majorEastAsia" w:hAnsiTheme="majorEastAsia" w:eastAsiaTheme="majorEastAsia"/>
                <w:snapToGrid w:val="0"/>
                <w:color w:val="000000" w:themeColor="text1"/>
                <w:spacing w:val="-4"/>
                <w:szCs w:val="21"/>
                <w:highlight w:val="none"/>
                <w:lang w:val="en-US" w:eastAsia="zh-CN"/>
                <w14:textFill>
                  <w14:solidFill>
                    <w14:schemeClr w14:val="tx1"/>
                  </w14:solidFill>
                </w14:textFill>
              </w:rPr>
              <w:t>85</w:t>
            </w: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分）</w:t>
            </w:r>
          </w:p>
        </w:tc>
        <w:tc>
          <w:tcPr>
            <w:tcW w:w="702" w:type="dxa"/>
            <w:vMerge w:val="restart"/>
            <w:tcBorders>
              <w:top w:val="single" w:color="auto" w:sz="4" w:space="0"/>
              <w:left w:val="single" w:color="auto" w:sz="4" w:space="0"/>
              <w:right w:val="single" w:color="auto" w:sz="2" w:space="0"/>
            </w:tcBorders>
            <w:vAlign w:val="center"/>
          </w:tcPr>
          <w:p w14:paraId="40DA3D92">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商务部分（</w:t>
            </w:r>
            <w:r>
              <w:rPr>
                <w:rFonts w:hint="eastAsia" w:asciiTheme="majorEastAsia" w:hAnsiTheme="majorEastAsia" w:eastAsiaTheme="majorEastAsia"/>
                <w:snapToGrid w:val="0"/>
                <w:color w:val="000000" w:themeColor="text1"/>
                <w:spacing w:val="-4"/>
                <w:szCs w:val="21"/>
                <w:highlight w:val="none"/>
                <w:lang w:val="en-US" w:eastAsia="zh-CN"/>
                <w14:textFill>
                  <w14:solidFill>
                    <w14:schemeClr w14:val="tx1"/>
                  </w14:solidFill>
                </w14:textFill>
              </w:rPr>
              <w:t>30</w:t>
            </w: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分）</w:t>
            </w:r>
          </w:p>
        </w:tc>
        <w:tc>
          <w:tcPr>
            <w:tcW w:w="1505" w:type="dxa"/>
            <w:tcBorders>
              <w:top w:val="single" w:color="auto" w:sz="4" w:space="0"/>
              <w:left w:val="single" w:color="auto" w:sz="4" w:space="0"/>
              <w:right w:val="single" w:color="auto" w:sz="2" w:space="0"/>
            </w:tcBorders>
            <w:vAlign w:val="center"/>
          </w:tcPr>
          <w:p w14:paraId="6D6F33F8">
            <w:pPr>
              <w:spacing w:before="85" w:beforeLines="30" w:line="288" w:lineRule="auto"/>
              <w:rPr>
                <w:rFonts w:asciiTheme="majorEastAsia" w:hAnsiTheme="majorEastAsia" w:eastAsiaTheme="majorEastAsia"/>
                <w:snapToGrid w:val="0"/>
                <w:color w:val="000000" w:themeColor="text1"/>
                <w:spacing w:val="-4"/>
                <w:szCs w:val="21"/>
                <w:highlight w:val="none"/>
                <w14:textFill>
                  <w14:solidFill>
                    <w14:schemeClr w14:val="tx1"/>
                  </w14:solidFill>
                </w14:textFill>
              </w:rPr>
            </w:pP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1、投标人与本项目类似的业绩（</w:t>
            </w:r>
            <w:r>
              <w:rPr>
                <w:rFonts w:hint="eastAsia" w:asciiTheme="majorEastAsia" w:hAnsiTheme="majorEastAsia" w:eastAsiaTheme="majorEastAsia"/>
                <w:snapToGrid w:val="0"/>
                <w:color w:val="000000" w:themeColor="text1"/>
                <w:spacing w:val="-4"/>
                <w:szCs w:val="21"/>
                <w:highlight w:val="none"/>
                <w:lang w:val="en-US" w:eastAsia="zh-CN"/>
                <w14:textFill>
                  <w14:solidFill>
                    <w14:schemeClr w14:val="tx1"/>
                  </w14:solidFill>
                </w14:textFill>
              </w:rPr>
              <w:t>1</w:t>
            </w: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.5分）</w:t>
            </w:r>
          </w:p>
        </w:tc>
        <w:tc>
          <w:tcPr>
            <w:tcW w:w="6846" w:type="dxa"/>
            <w:tcBorders>
              <w:top w:val="single" w:color="auto" w:sz="4" w:space="0"/>
              <w:left w:val="single" w:color="auto" w:sz="4" w:space="0"/>
              <w:bottom w:val="single" w:color="auto" w:sz="4" w:space="0"/>
              <w:right w:val="single" w:color="auto" w:sz="2" w:space="0"/>
            </w:tcBorders>
            <w:vAlign w:val="center"/>
          </w:tcPr>
          <w:p w14:paraId="5AF3FF44">
            <w:pPr>
              <w:widowControl/>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1）投标人2022年1月1日至今（合同签订时间），具有类似综合城市道路养护业绩的，每提供一个合同得0.5分，满分1.5分；（1.投标文件中提供养护业绩的中标通知书和合同复印件；2.时间以合同签订时间为准；3.养护项目不包括公路、小区道路类养护）</w:t>
            </w:r>
          </w:p>
        </w:tc>
        <w:tc>
          <w:tcPr>
            <w:tcW w:w="654" w:type="dxa"/>
            <w:tcBorders>
              <w:top w:val="single" w:color="auto" w:sz="4" w:space="0"/>
              <w:left w:val="single" w:color="auto" w:sz="4" w:space="0"/>
              <w:bottom w:val="single" w:color="auto" w:sz="4" w:space="0"/>
              <w:right w:val="single" w:color="auto" w:sz="2" w:space="0"/>
            </w:tcBorders>
            <w:vAlign w:val="center"/>
          </w:tcPr>
          <w:p w14:paraId="734FF437">
            <w:pPr>
              <w:spacing w:before="85" w:beforeLines="30" w:line="288" w:lineRule="auto"/>
              <w:jc w:val="center"/>
              <w:rPr>
                <w:rFonts w:asciiTheme="majorEastAsia" w:hAnsiTheme="majorEastAsia" w:eastAsiaTheme="majorEastAsia"/>
                <w:color w:val="000000" w:themeColor="text1"/>
                <w:szCs w:val="21"/>
                <w:highlight w:val="none"/>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1.5</w:t>
            </w:r>
          </w:p>
        </w:tc>
      </w:tr>
      <w:tr w14:paraId="68B2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trPr>
        <w:tc>
          <w:tcPr>
            <w:tcW w:w="528" w:type="dxa"/>
            <w:vMerge w:val="continue"/>
            <w:tcBorders>
              <w:left w:val="single" w:color="auto" w:sz="4" w:space="0"/>
              <w:right w:val="single" w:color="auto" w:sz="2" w:space="0"/>
            </w:tcBorders>
            <w:vAlign w:val="center"/>
          </w:tcPr>
          <w:p w14:paraId="2802AE1F">
            <w:pPr>
              <w:widowControl/>
              <w:spacing w:before="85" w:beforeLines="30" w:line="288" w:lineRule="auto"/>
              <w:jc w:val="left"/>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14C3702B">
            <w:pPr>
              <w:widowControl/>
              <w:spacing w:before="85" w:beforeLines="30" w:line="288" w:lineRule="auto"/>
              <w:jc w:val="left"/>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vMerge w:val="restart"/>
            <w:tcBorders>
              <w:left w:val="single" w:color="auto" w:sz="4" w:space="0"/>
              <w:right w:val="single" w:color="auto" w:sz="2" w:space="0"/>
            </w:tcBorders>
            <w:vAlign w:val="center"/>
          </w:tcPr>
          <w:p w14:paraId="3ADCDEE4">
            <w:pPr>
              <w:spacing w:before="85" w:beforeLines="30" w:line="288" w:lineRule="auto"/>
              <w:rPr>
                <w:rFonts w:cs="Times New Roman"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2、投标人综合实力（</w:t>
            </w: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4</w:t>
            </w:r>
            <w:r>
              <w:rPr>
                <w:rFonts w:hint="eastAsia" w:asciiTheme="majorEastAsia" w:hAnsiTheme="majorEastAsia" w:eastAsiaTheme="majorEastAsia"/>
                <w:color w:val="000000" w:themeColor="text1"/>
                <w:szCs w:val="21"/>
                <w:highlight w:val="none"/>
                <w14:textFill>
                  <w14:solidFill>
                    <w14:schemeClr w14:val="tx1"/>
                  </w14:solidFill>
                </w14:textFill>
              </w:rPr>
              <w:t>.</w:t>
            </w:r>
            <w:r>
              <w:rPr>
                <w:rFonts w:asciiTheme="majorEastAsia" w:hAnsiTheme="majorEastAsia" w:eastAsiaTheme="majorEastAsia"/>
                <w:color w:val="000000" w:themeColor="text1"/>
                <w:szCs w:val="21"/>
                <w:highlight w:val="none"/>
                <w14:textFill>
                  <w14:solidFill>
                    <w14:schemeClr w14:val="tx1"/>
                  </w14:solidFill>
                </w14:textFill>
              </w:rPr>
              <w:t>5</w:t>
            </w:r>
            <w:r>
              <w:rPr>
                <w:rFonts w:hint="eastAsia" w:asciiTheme="majorEastAsia" w:hAnsiTheme="majorEastAsia" w:eastAsiaTheme="majorEastAsia"/>
                <w:color w:val="000000" w:themeColor="text1"/>
                <w:szCs w:val="21"/>
                <w:highlight w:val="none"/>
                <w14:textFill>
                  <w14:solidFill>
                    <w14:schemeClr w14:val="tx1"/>
                  </w14:solidFill>
                </w14:textFill>
              </w:rPr>
              <w:t>分）</w:t>
            </w:r>
          </w:p>
          <w:p w14:paraId="4CE2BB84">
            <w:pPr>
              <w:spacing w:before="85" w:beforeLines="30" w:line="288" w:lineRule="auto"/>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6846" w:type="dxa"/>
            <w:tcBorders>
              <w:top w:val="single" w:color="auto" w:sz="4" w:space="0"/>
              <w:left w:val="single" w:color="auto" w:sz="4" w:space="0"/>
              <w:bottom w:val="single" w:color="auto" w:sz="4" w:space="0"/>
              <w:right w:val="single" w:color="auto" w:sz="2" w:space="0"/>
            </w:tcBorders>
            <w:vAlign w:val="center"/>
          </w:tcPr>
          <w:p w14:paraId="6C11ECE1">
            <w:pPr>
              <w:widowControl/>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（1）投标人具有市政公用工程施工总承包叁级及以上资质的，得1.5分。</w:t>
            </w:r>
          </w:p>
          <w:p w14:paraId="35235866">
            <w:pPr>
              <w:widowControl/>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注：投标文件中提供有效的资质证书复印件。（投标文件中提供有效的资质证书复印件）</w:t>
            </w:r>
          </w:p>
        </w:tc>
        <w:tc>
          <w:tcPr>
            <w:tcW w:w="654" w:type="dxa"/>
            <w:tcBorders>
              <w:top w:val="single" w:color="auto" w:sz="4" w:space="0"/>
              <w:left w:val="single" w:color="auto" w:sz="4" w:space="0"/>
              <w:bottom w:val="single" w:color="auto" w:sz="4" w:space="0"/>
              <w:right w:val="single" w:color="auto" w:sz="2" w:space="0"/>
            </w:tcBorders>
            <w:vAlign w:val="center"/>
          </w:tcPr>
          <w:p w14:paraId="07D8664E">
            <w:pPr>
              <w:widowControl/>
              <w:spacing w:before="85" w:beforeLines="30" w:line="288" w:lineRule="auto"/>
              <w:jc w:val="center"/>
              <w:rPr>
                <w:rFonts w:hint="default" w:cs="Times New Roman"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pPr>
            <w:r>
              <w:rPr>
                <w:rFonts w:hint="eastAsia" w:cs="Times New Roman"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t>1.5</w:t>
            </w:r>
          </w:p>
        </w:tc>
      </w:tr>
      <w:tr w14:paraId="132A9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trPr>
        <w:tc>
          <w:tcPr>
            <w:tcW w:w="528" w:type="dxa"/>
            <w:vMerge w:val="continue"/>
            <w:tcBorders>
              <w:left w:val="single" w:color="auto" w:sz="4" w:space="0"/>
              <w:right w:val="single" w:color="auto" w:sz="2" w:space="0"/>
            </w:tcBorders>
            <w:vAlign w:val="center"/>
          </w:tcPr>
          <w:p w14:paraId="0E18AFAD">
            <w:pPr>
              <w:widowControl/>
              <w:spacing w:before="85" w:beforeLines="30" w:line="288" w:lineRule="auto"/>
              <w:jc w:val="left"/>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7DD51015">
            <w:pPr>
              <w:widowControl/>
              <w:spacing w:before="85" w:beforeLines="30" w:line="288" w:lineRule="auto"/>
              <w:jc w:val="left"/>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vMerge w:val="continue"/>
            <w:tcBorders>
              <w:left w:val="single" w:color="auto" w:sz="4" w:space="0"/>
              <w:right w:val="single" w:color="auto" w:sz="2" w:space="0"/>
            </w:tcBorders>
            <w:vAlign w:val="center"/>
          </w:tcPr>
          <w:p w14:paraId="6BD3E3DD">
            <w:pPr>
              <w:spacing w:before="85" w:beforeLines="30" w:line="288" w:lineRule="auto"/>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6846" w:type="dxa"/>
            <w:tcBorders>
              <w:top w:val="single" w:color="auto" w:sz="4" w:space="0"/>
              <w:left w:val="single" w:color="auto" w:sz="4" w:space="0"/>
              <w:bottom w:val="single" w:color="auto" w:sz="4" w:space="0"/>
              <w:right w:val="single" w:color="auto" w:sz="2" w:space="0"/>
            </w:tcBorders>
            <w:vAlign w:val="center"/>
          </w:tcPr>
          <w:p w14:paraId="796EFD65">
            <w:pPr>
              <w:widowControl/>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（2）投标人具有有效期内的质量管理体系认证证书的得1分；</w:t>
            </w:r>
          </w:p>
          <w:p w14:paraId="050142E7">
            <w:pPr>
              <w:widowControl/>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投标人具有有效期内的环境管理体系认证证书的得1分；</w:t>
            </w:r>
          </w:p>
          <w:p w14:paraId="079DC637">
            <w:pPr>
              <w:widowControl/>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投标人具有有效期内的职业健康安全管理体系认证证书的得1分。</w:t>
            </w:r>
          </w:p>
          <w:p w14:paraId="3A393D98">
            <w:pPr>
              <w:widowControl/>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注：投标文件中提供证书复印件加盖公章。</w:t>
            </w:r>
          </w:p>
        </w:tc>
        <w:tc>
          <w:tcPr>
            <w:tcW w:w="654" w:type="dxa"/>
            <w:tcBorders>
              <w:top w:val="single" w:color="auto" w:sz="4" w:space="0"/>
              <w:left w:val="single" w:color="auto" w:sz="4" w:space="0"/>
              <w:bottom w:val="single" w:color="auto" w:sz="4" w:space="0"/>
              <w:right w:val="single" w:color="auto" w:sz="2" w:space="0"/>
            </w:tcBorders>
            <w:vAlign w:val="center"/>
          </w:tcPr>
          <w:p w14:paraId="2F3987F7">
            <w:pPr>
              <w:widowControl/>
              <w:spacing w:before="85" w:beforeLines="30" w:line="288" w:lineRule="auto"/>
              <w:jc w:val="center"/>
              <w:rPr>
                <w:rFonts w:hint="eastAsia" w:cs="Times New Roman"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pP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3</w:t>
            </w:r>
          </w:p>
        </w:tc>
      </w:tr>
      <w:tr w14:paraId="5FFDE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 w:hRule="atLeast"/>
        </w:trPr>
        <w:tc>
          <w:tcPr>
            <w:tcW w:w="528" w:type="dxa"/>
            <w:vMerge w:val="continue"/>
            <w:tcBorders>
              <w:left w:val="single" w:color="auto" w:sz="4" w:space="0"/>
              <w:right w:val="single" w:color="auto" w:sz="2" w:space="0"/>
            </w:tcBorders>
            <w:vAlign w:val="center"/>
          </w:tcPr>
          <w:p w14:paraId="71ABB3A0">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0E313A34">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vMerge w:val="restart"/>
            <w:tcBorders>
              <w:left w:val="single" w:color="auto" w:sz="4" w:space="0"/>
              <w:right w:val="single" w:color="auto" w:sz="2" w:space="0"/>
            </w:tcBorders>
            <w:vAlign w:val="center"/>
          </w:tcPr>
          <w:p w14:paraId="0A7AFB15">
            <w:pPr>
              <w:spacing w:before="85" w:beforeLines="30" w:line="288" w:lineRule="auto"/>
              <w:rPr>
                <w:rFonts w:cs="Times New Roman"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3、拟投入本项目的人员资格和能力（</w:t>
            </w: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9</w:t>
            </w:r>
            <w:r>
              <w:rPr>
                <w:rFonts w:hint="eastAsia" w:asciiTheme="majorEastAsia" w:hAnsiTheme="majorEastAsia" w:eastAsiaTheme="majorEastAsia"/>
                <w:color w:val="000000" w:themeColor="text1"/>
                <w:szCs w:val="21"/>
                <w:highlight w:val="none"/>
                <w14:textFill>
                  <w14:solidFill>
                    <w14:schemeClr w14:val="tx1"/>
                  </w14:solidFill>
                </w14:textFill>
              </w:rPr>
              <w:t>分）</w:t>
            </w:r>
          </w:p>
          <w:p w14:paraId="7F1FAB4D">
            <w:pPr>
              <w:spacing w:before="85" w:beforeLines="30" w:line="288" w:lineRule="auto"/>
              <w:rPr>
                <w:rFonts w:asciiTheme="majorEastAsia" w:hAnsiTheme="majorEastAsia" w:eastAsiaTheme="majorEastAsia"/>
                <w:color w:val="000000" w:themeColor="text1"/>
                <w:szCs w:val="21"/>
                <w:highlight w:val="none"/>
                <w14:textFill>
                  <w14:solidFill>
                    <w14:schemeClr w14:val="tx1"/>
                  </w14:solidFill>
                </w14:textFill>
              </w:rPr>
            </w:pPr>
          </w:p>
        </w:tc>
        <w:tc>
          <w:tcPr>
            <w:tcW w:w="6846" w:type="dxa"/>
            <w:tcBorders>
              <w:top w:val="single" w:color="auto" w:sz="4" w:space="0"/>
              <w:left w:val="single" w:color="auto" w:sz="4" w:space="0"/>
              <w:right w:val="single" w:color="auto" w:sz="2" w:space="0"/>
            </w:tcBorders>
            <w:vAlign w:val="center"/>
          </w:tcPr>
          <w:p w14:paraId="12BDB387">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拟投入管理人员[常备人员（含巡查人员）]（5分）：</w:t>
            </w:r>
          </w:p>
          <w:p w14:paraId="226078ED">
            <w:pPr>
              <w:widowControl/>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（1）项目负责人具有市政类高级工程师</w:t>
            </w:r>
            <w:r>
              <w:rPr>
                <w:rFonts w:hint="eastAsia" w:ascii="宋体" w:hAnsi="宋体"/>
                <w:color w:val="000000" w:themeColor="text1"/>
                <w:highlight w:val="none"/>
                <w:lang w:val="en-US" w:eastAsia="zh-CN"/>
                <w14:textFill>
                  <w14:solidFill>
                    <w14:schemeClr w14:val="tx1"/>
                  </w14:solidFill>
                </w14:textFill>
              </w:rPr>
              <w:t>及以上</w:t>
            </w:r>
            <w:r>
              <w:rPr>
                <w:rFonts w:hint="eastAsia" w:ascii="宋体" w:hAnsi="宋体"/>
                <w:color w:val="000000" w:themeColor="text1"/>
                <w:highlight w:val="none"/>
                <w14:textFill>
                  <w14:solidFill>
                    <w14:schemeClr w14:val="tx1"/>
                  </w14:solidFill>
                </w14:textFill>
              </w:rPr>
              <w:t>职称的得</w:t>
            </w:r>
            <w:r>
              <w:rPr>
                <w:rFonts w:hint="eastAsia" w:ascii="宋体" w:hAnsi="宋体"/>
                <w:color w:val="000000" w:themeColor="text1"/>
                <w:highlight w:val="none"/>
                <w:lang w:val="en-US" w:eastAsia="zh-CN"/>
                <w14:textFill>
                  <w14:solidFill>
                    <w14:schemeClr w14:val="tx1"/>
                  </w14:solidFill>
                </w14:textFill>
              </w:rPr>
              <w:t>0.5</w:t>
            </w:r>
            <w:r>
              <w:rPr>
                <w:rFonts w:hint="eastAsia" w:ascii="宋体" w:hAnsi="宋体"/>
                <w:color w:val="000000" w:themeColor="text1"/>
                <w:highlight w:val="none"/>
                <w14:textFill>
                  <w14:solidFill>
                    <w14:schemeClr w14:val="tx1"/>
                  </w14:solidFill>
                </w14:textFill>
              </w:rPr>
              <w:t>分，</w:t>
            </w:r>
            <w:r>
              <w:rPr>
                <w:rFonts w:hint="eastAsia" w:ascii="宋体" w:hAnsi="宋体"/>
                <w:color w:val="000000" w:themeColor="text1"/>
                <w:highlight w:val="none"/>
                <w:lang w:val="en-US" w:eastAsia="zh-CN"/>
                <w14:textFill>
                  <w14:solidFill>
                    <w14:schemeClr w14:val="tx1"/>
                  </w14:solidFill>
                </w14:textFill>
              </w:rPr>
              <w:t>持有市政一级建造师证书的得0.5分，</w:t>
            </w:r>
            <w:r>
              <w:rPr>
                <w:rFonts w:hint="eastAsia" w:ascii="宋体" w:hAnsi="宋体"/>
                <w:color w:val="000000" w:themeColor="text1"/>
                <w:highlight w:val="none"/>
                <w14:textFill>
                  <w14:solidFill>
                    <w14:schemeClr w14:val="tx1"/>
                  </w14:solidFill>
                </w14:textFill>
              </w:rPr>
              <w:t>没有不得分</w:t>
            </w:r>
            <w:r>
              <w:rPr>
                <w:rFonts w:hint="eastAsia" w:ascii="宋体" w:hAnsi="宋体"/>
                <w:color w:val="000000" w:themeColor="text1"/>
                <w:highlight w:val="none"/>
                <w:lang w:eastAsia="zh-CN"/>
                <w14:textFill>
                  <w14:solidFill>
                    <w14:schemeClr w14:val="tx1"/>
                  </w14:solidFill>
                </w14:textFill>
              </w:rPr>
              <w:t>；</w:t>
            </w:r>
          </w:p>
          <w:p w14:paraId="0258EDD4">
            <w:pPr>
              <w:widowControl/>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（2）技术负责人1人，具有市政类工程师及以上职称的得1分，没有不得分</w:t>
            </w:r>
            <w:r>
              <w:rPr>
                <w:rFonts w:hint="eastAsia" w:ascii="宋体" w:hAnsi="宋体"/>
                <w:color w:val="000000" w:themeColor="text1"/>
                <w:highlight w:val="none"/>
                <w:lang w:eastAsia="zh-CN"/>
                <w14:textFill>
                  <w14:solidFill>
                    <w14:schemeClr w14:val="tx1"/>
                  </w14:solidFill>
                </w14:textFill>
              </w:rPr>
              <w:t>；</w:t>
            </w:r>
          </w:p>
          <w:p w14:paraId="04203CE5">
            <w:pPr>
              <w:widowControl/>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（3）安全员1人，具有有效的安全生产考核合格证书（C类）的得1分，没有不得分</w:t>
            </w:r>
            <w:r>
              <w:rPr>
                <w:rFonts w:hint="eastAsia" w:ascii="宋体" w:hAnsi="宋体"/>
                <w:color w:val="000000" w:themeColor="text1"/>
                <w:highlight w:val="none"/>
                <w:lang w:eastAsia="zh-CN"/>
                <w14:textFill>
                  <w14:solidFill>
                    <w14:schemeClr w14:val="tx1"/>
                  </w14:solidFill>
                </w14:textFill>
              </w:rPr>
              <w:t>；</w:t>
            </w:r>
          </w:p>
          <w:p w14:paraId="3CAAB2AF">
            <w:pPr>
              <w:widowControl/>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（4）施工员1人，具有市政工程施工员岗位证书的得1分，没有不得分</w:t>
            </w:r>
            <w:r>
              <w:rPr>
                <w:rFonts w:hint="eastAsia" w:ascii="宋体" w:hAnsi="宋体"/>
                <w:color w:val="000000" w:themeColor="text1"/>
                <w:highlight w:val="none"/>
                <w:lang w:eastAsia="zh-CN"/>
                <w14:textFill>
                  <w14:solidFill>
                    <w14:schemeClr w14:val="tx1"/>
                  </w14:solidFill>
                </w14:textFill>
              </w:rPr>
              <w:t>；</w:t>
            </w:r>
          </w:p>
          <w:p w14:paraId="2429CCE2">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（5）资料员1人，具有资料员岗位证书的得1分，没有不得分。</w:t>
            </w:r>
          </w:p>
          <w:p w14:paraId="2DC000D6">
            <w:pPr>
              <w:widowControl/>
              <w:rPr>
                <w:rFonts w:ascii="宋体" w:hAnsi="宋体" w:eastAsia="宋体" w:cs="Times New Roman"/>
                <w:color w:val="000000" w:themeColor="text1"/>
                <w:kern w:val="2"/>
                <w:sz w:val="21"/>
                <w:highlight w:val="none"/>
                <w:lang w:val="en-US" w:eastAsia="zh-CN" w:bidi="ar-SA"/>
                <w14:textFill>
                  <w14:solidFill>
                    <w14:schemeClr w14:val="tx1"/>
                  </w14:solidFill>
                </w14:textFill>
              </w:rPr>
            </w:pPr>
            <w:r>
              <w:rPr>
                <w:rFonts w:hint="eastAsia" w:ascii="宋体" w:hAnsi="宋体"/>
                <w:color w:val="000000" w:themeColor="text1"/>
                <w:highlight w:val="none"/>
                <w14:textFill>
                  <w14:solidFill>
                    <w14:schemeClr w14:val="tx1"/>
                  </w14:solidFill>
                </w14:textFill>
              </w:rPr>
              <w:t>注：投标文件中提供上述人员资格（或岗位）证书、职称证书复印件、开标前近三个月</w:t>
            </w:r>
            <w:r>
              <w:rPr>
                <w:rFonts w:hint="eastAsia" w:ascii="宋体" w:hAnsi="宋体"/>
                <w:color w:val="000000" w:themeColor="text1"/>
                <w:highlight w:val="none"/>
                <w:lang w:val="en-US"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为其所缴纳社保证明（由社保部门出具并盖章的社保证明为准）加盖公章。未提供或提供不全或提供无效的不得分。</w:t>
            </w:r>
          </w:p>
        </w:tc>
        <w:tc>
          <w:tcPr>
            <w:tcW w:w="654" w:type="dxa"/>
            <w:tcBorders>
              <w:top w:val="single" w:color="auto" w:sz="4" w:space="0"/>
              <w:left w:val="single" w:color="auto" w:sz="4" w:space="0"/>
              <w:right w:val="single" w:color="auto" w:sz="2" w:space="0"/>
            </w:tcBorders>
            <w:vAlign w:val="center"/>
          </w:tcPr>
          <w:p w14:paraId="3DA157D0">
            <w:pPr>
              <w:spacing w:before="85" w:beforeLines="30" w:line="288" w:lineRule="auto"/>
              <w:jc w:val="center"/>
              <w:rPr>
                <w:rFonts w:hint="eastAsia" w:cs="Times New Roman"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pP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5</w:t>
            </w:r>
          </w:p>
        </w:tc>
      </w:tr>
      <w:tr w14:paraId="2089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 w:hRule="atLeast"/>
        </w:trPr>
        <w:tc>
          <w:tcPr>
            <w:tcW w:w="528" w:type="dxa"/>
            <w:vMerge w:val="continue"/>
            <w:tcBorders>
              <w:left w:val="single" w:color="auto" w:sz="4" w:space="0"/>
              <w:right w:val="single" w:color="auto" w:sz="2" w:space="0"/>
            </w:tcBorders>
            <w:vAlign w:val="center"/>
          </w:tcPr>
          <w:p w14:paraId="563A947D">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5ED6FBF7">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vMerge w:val="continue"/>
            <w:tcBorders>
              <w:left w:val="single" w:color="auto" w:sz="4" w:space="0"/>
              <w:right w:val="single" w:color="auto" w:sz="2" w:space="0"/>
            </w:tcBorders>
            <w:vAlign w:val="center"/>
          </w:tcPr>
          <w:p w14:paraId="135F68FF">
            <w:pPr>
              <w:spacing w:before="85" w:beforeLines="30" w:line="288" w:lineRule="auto"/>
              <w:rPr>
                <w:rFonts w:hint="eastAsia" w:asciiTheme="majorEastAsia" w:hAnsiTheme="majorEastAsia" w:eastAsiaTheme="majorEastAsia"/>
                <w:color w:val="000000" w:themeColor="text1"/>
                <w:szCs w:val="21"/>
                <w:highlight w:val="none"/>
                <w14:textFill>
                  <w14:solidFill>
                    <w14:schemeClr w14:val="tx1"/>
                  </w14:solidFill>
                </w14:textFill>
              </w:rPr>
            </w:pPr>
          </w:p>
        </w:tc>
        <w:tc>
          <w:tcPr>
            <w:tcW w:w="6846" w:type="dxa"/>
            <w:tcBorders>
              <w:top w:val="single" w:color="auto" w:sz="4" w:space="0"/>
              <w:left w:val="single" w:color="auto" w:sz="4" w:space="0"/>
              <w:right w:val="single" w:color="auto" w:sz="2" w:space="0"/>
            </w:tcBorders>
            <w:vAlign w:val="center"/>
          </w:tcPr>
          <w:p w14:paraId="296D8355">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养护作业人员（</w:t>
            </w: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分）：</w:t>
            </w:r>
          </w:p>
          <w:p w14:paraId="1175A5B8">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拟投入的养护作业人员中，</w:t>
            </w:r>
          </w:p>
          <w:p w14:paraId="5CB31435">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val="en-US" w:eastAsia="zh-CN"/>
                <w14:textFill>
                  <w14:solidFill>
                    <w14:schemeClr w14:val="tx1"/>
                  </w14:solidFill>
                </w14:textFill>
              </w:rPr>
              <w:t>养护作业人员：具有市政类助理工程师及以上职称的，每提供一名得0.5分，本项最高得2分</w:t>
            </w:r>
            <w:r>
              <w:rPr>
                <w:rFonts w:hint="eastAsia" w:ascii="宋体" w:hAnsi="宋体"/>
                <w:color w:val="000000" w:themeColor="text1"/>
                <w:highlight w:val="none"/>
                <w14:textFill>
                  <w14:solidFill>
                    <w14:schemeClr w14:val="tx1"/>
                  </w14:solidFill>
                </w14:textFill>
              </w:rPr>
              <w:t>；</w:t>
            </w:r>
          </w:p>
          <w:p w14:paraId="2A740A92">
            <w:pPr>
              <w:widowControl/>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lang w:val="en-US" w:eastAsia="zh-CN"/>
                <w14:textFill>
                  <w14:solidFill>
                    <w14:schemeClr w14:val="tx1"/>
                  </w14:solidFill>
                </w14:textFill>
              </w:rPr>
              <w:t>巡查人员：具有市政类助理工程师及以上职称的，每提供一名得0.5分，本项最高得2分</w:t>
            </w:r>
            <w:r>
              <w:rPr>
                <w:rFonts w:hint="eastAsia" w:ascii="宋体" w:hAnsi="宋体"/>
                <w:color w:val="000000" w:themeColor="text1"/>
                <w:highlight w:val="none"/>
                <w14:textFill>
                  <w14:solidFill>
                    <w14:schemeClr w14:val="tx1"/>
                  </w14:solidFill>
                </w14:textFill>
              </w:rPr>
              <w:t>；</w:t>
            </w:r>
          </w:p>
          <w:p w14:paraId="0EDA64A4">
            <w:pPr>
              <w:widowControl/>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pPr>
            <w:r>
              <w:rPr>
                <w:rFonts w:hint="eastAsia" w:ascii="宋体" w:hAnsi="宋体"/>
                <w:color w:val="000000" w:themeColor="text1"/>
                <w:highlight w:val="none"/>
                <w14:textFill>
                  <w14:solidFill>
                    <w14:schemeClr w14:val="tx1"/>
                  </w14:solidFill>
                </w14:textFill>
              </w:rPr>
              <w:t>注：1.上述人员为</w:t>
            </w:r>
            <w:r>
              <w:rPr>
                <w:rFonts w:hint="eastAsia" w:ascii="宋体" w:hAnsi="宋体"/>
                <w:color w:val="000000" w:themeColor="text1"/>
                <w:highlight w:val="none"/>
                <w:lang w:val="en-US"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现有的正式在职员工，投标文件中提供拟上述人员</w:t>
            </w:r>
            <w:r>
              <w:rPr>
                <w:rFonts w:hint="eastAsia" w:ascii="宋体" w:hAnsi="宋体"/>
                <w:color w:val="000000" w:themeColor="text1"/>
                <w:highlight w:val="none"/>
                <w:lang w:val="en-US" w:eastAsia="zh-CN"/>
                <w14:textFill>
                  <w14:solidFill>
                    <w14:schemeClr w14:val="tx1"/>
                  </w14:solidFill>
                </w14:textFill>
              </w:rPr>
              <w:t>职称</w:t>
            </w:r>
            <w:r>
              <w:rPr>
                <w:rFonts w:hint="eastAsia" w:ascii="宋体" w:hAnsi="宋体"/>
                <w:color w:val="000000" w:themeColor="text1"/>
                <w:highlight w:val="none"/>
                <w14:textFill>
                  <w14:solidFill>
                    <w14:schemeClr w14:val="tx1"/>
                  </w14:solidFill>
                </w14:textFill>
              </w:rPr>
              <w:t>证书复印件、开标前近三个月</w:t>
            </w:r>
            <w:r>
              <w:rPr>
                <w:rFonts w:hint="eastAsia" w:ascii="宋体" w:hAnsi="宋体"/>
                <w:color w:val="000000" w:themeColor="text1"/>
                <w:highlight w:val="none"/>
                <w:lang w:val="en-US"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为其所缴纳社保证明（由社保部门出具并盖章的社保证明为准），以上内容均加盖公章。未提供或提供不全或提供无效的不得分。2.</w:t>
            </w:r>
            <w:r>
              <w:rPr>
                <w:rFonts w:hint="eastAsia" w:ascii="宋体" w:hAnsi="宋体"/>
                <w:color w:val="000000" w:themeColor="text1"/>
                <w:highlight w:val="none"/>
                <w:lang w:val="en-US" w:eastAsia="zh-CN"/>
                <w14:textFill>
                  <w14:solidFill>
                    <w14:schemeClr w14:val="tx1"/>
                  </w14:solidFill>
                </w14:textFill>
              </w:rPr>
              <w:t>每一人得分只</w:t>
            </w:r>
            <w:r>
              <w:rPr>
                <w:rFonts w:hint="eastAsia" w:ascii="宋体" w:hAnsi="宋体"/>
                <w:color w:val="000000" w:themeColor="text1"/>
                <w:highlight w:val="none"/>
                <w14:textFill>
                  <w14:solidFill>
                    <w14:schemeClr w14:val="tx1"/>
                  </w14:solidFill>
                </w14:textFill>
              </w:rPr>
              <w:t>计算</w:t>
            </w:r>
            <w:r>
              <w:rPr>
                <w:rFonts w:hint="eastAsia" w:ascii="宋体" w:hAnsi="宋体"/>
                <w:color w:val="000000" w:themeColor="text1"/>
                <w:highlight w:val="none"/>
                <w:lang w:val="en-US" w:eastAsia="zh-CN"/>
                <w14:textFill>
                  <w14:solidFill>
                    <w14:schemeClr w14:val="tx1"/>
                  </w14:solidFill>
                </w14:textFill>
              </w:rPr>
              <w:t>一次</w:t>
            </w:r>
            <w:r>
              <w:rPr>
                <w:rFonts w:hint="eastAsia" w:ascii="宋体" w:hAnsi="宋体"/>
                <w:color w:val="000000" w:themeColor="text1"/>
                <w:highlight w:val="none"/>
                <w14:textFill>
                  <w14:solidFill>
                    <w14:schemeClr w14:val="tx1"/>
                  </w14:solidFill>
                </w14:textFill>
              </w:rPr>
              <w:t>，不重复计分。</w:t>
            </w:r>
          </w:p>
        </w:tc>
        <w:tc>
          <w:tcPr>
            <w:tcW w:w="654" w:type="dxa"/>
            <w:tcBorders>
              <w:top w:val="single" w:color="auto" w:sz="4" w:space="0"/>
              <w:left w:val="single" w:color="auto" w:sz="4" w:space="0"/>
              <w:right w:val="single" w:color="auto" w:sz="2" w:space="0"/>
            </w:tcBorders>
            <w:vAlign w:val="center"/>
          </w:tcPr>
          <w:p w14:paraId="41A22F10">
            <w:pPr>
              <w:spacing w:before="85" w:beforeLines="30" w:line="288" w:lineRule="auto"/>
              <w:jc w:val="center"/>
              <w:rPr>
                <w:rFonts w:hint="default" w:cs="Times New Roman"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pP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4</w:t>
            </w:r>
          </w:p>
        </w:tc>
      </w:tr>
      <w:tr w14:paraId="1D7B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8" w:hRule="atLeast"/>
        </w:trPr>
        <w:tc>
          <w:tcPr>
            <w:tcW w:w="528" w:type="dxa"/>
            <w:vMerge w:val="continue"/>
            <w:tcBorders>
              <w:left w:val="single" w:color="auto" w:sz="4" w:space="0"/>
              <w:right w:val="single" w:color="auto" w:sz="2" w:space="0"/>
            </w:tcBorders>
            <w:vAlign w:val="center"/>
          </w:tcPr>
          <w:p w14:paraId="7567C406">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45F73C09">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vMerge w:val="restart"/>
            <w:tcBorders>
              <w:top w:val="single" w:color="auto" w:sz="4" w:space="0"/>
              <w:left w:val="single" w:color="auto" w:sz="4" w:space="0"/>
              <w:right w:val="single" w:color="auto" w:sz="2" w:space="0"/>
            </w:tcBorders>
            <w:vAlign w:val="center"/>
          </w:tcPr>
          <w:p w14:paraId="1C68F07E">
            <w:pPr>
              <w:spacing w:before="85" w:beforeLines="30" w:line="288" w:lineRule="auto"/>
              <w:rPr>
                <w:rFonts w:hint="default"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4、拟投入的设备情况（15分）</w:t>
            </w:r>
          </w:p>
        </w:tc>
        <w:tc>
          <w:tcPr>
            <w:tcW w:w="6846" w:type="dxa"/>
            <w:tcBorders>
              <w:top w:val="single" w:color="auto" w:sz="4" w:space="0"/>
              <w:left w:val="single" w:color="auto" w:sz="4" w:space="0"/>
              <w:right w:val="single" w:color="auto" w:sz="2" w:space="0"/>
            </w:tcBorders>
            <w:vAlign w:val="center"/>
          </w:tcPr>
          <w:p w14:paraId="373DCA0A">
            <w:pPr>
              <w:widowControl/>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供应商拟投入本项目</w:t>
            </w:r>
            <w:bookmarkStart w:id="139" w:name="_Hlk110441045"/>
            <w:r>
              <w:rPr>
                <w:rFonts w:hint="eastAsia" w:ascii="宋体" w:hAnsi="宋体"/>
                <w:color w:val="000000" w:themeColor="text1"/>
                <w:highlight w:val="none"/>
                <w:lang w:eastAsia="zh-CN"/>
                <w14:textFill>
                  <w14:solidFill>
                    <w14:schemeClr w14:val="tx1"/>
                  </w14:solidFill>
                </w14:textFill>
              </w:rPr>
              <w:t>的</w:t>
            </w:r>
            <w:r>
              <w:rPr>
                <w:rFonts w:hint="eastAsia" w:ascii="宋体" w:hAnsi="宋体"/>
                <w:color w:val="000000" w:themeColor="text1"/>
                <w:highlight w:val="none"/>
                <w:lang w:val="en-US" w:eastAsia="zh-CN"/>
                <w14:textFill>
                  <w14:solidFill>
                    <w14:schemeClr w14:val="tx1"/>
                  </w14:solidFill>
                </w14:textFill>
              </w:rPr>
              <w:t>车辆配置情况进行评议：</w:t>
            </w:r>
          </w:p>
          <w:p w14:paraId="49BC45A3">
            <w:pPr>
              <w:widowControl/>
              <w:numPr>
                <w:ilvl w:val="0"/>
                <w:numId w:val="0"/>
              </w:numP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t>(1)</w:t>
            </w:r>
            <w:r>
              <w:rPr>
                <w:rFonts w:hint="eastAsia" w:ascii="宋体" w:hAnsi="宋体"/>
                <w:color w:val="000000" w:themeColor="text1"/>
                <w:highlight w:val="none"/>
                <w14:textFill>
                  <w14:solidFill>
                    <w14:schemeClr w14:val="tx1"/>
                  </w14:solidFill>
                </w14:textFill>
              </w:rPr>
              <w:t>沥青热再生车，每提供1辆，得1.5分，本小项满分1.5分</w:t>
            </w:r>
            <w:r>
              <w:rPr>
                <w:rFonts w:hint="eastAsia" w:ascii="宋体" w:hAnsi="宋体"/>
                <w:color w:val="000000" w:themeColor="text1"/>
                <w:highlight w:val="none"/>
                <w:lang w:eastAsia="zh-CN"/>
                <w14:textFill>
                  <w14:solidFill>
                    <w14:schemeClr w14:val="tx1"/>
                  </w14:solidFill>
                </w14:textFill>
              </w:rPr>
              <w:t>；</w:t>
            </w:r>
          </w:p>
          <w:p w14:paraId="5B4F838C">
            <w:pPr>
              <w:widowControl/>
              <w:numPr>
                <w:ilvl w:val="0"/>
                <w:numId w:val="0"/>
              </w:numP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t>(2)</w:t>
            </w:r>
            <w:r>
              <w:rPr>
                <w:rFonts w:hint="eastAsia" w:ascii="宋体" w:hAnsi="宋体"/>
                <w:color w:val="000000" w:themeColor="text1"/>
                <w:highlight w:val="none"/>
                <w14:textFill>
                  <w14:solidFill>
                    <w14:schemeClr w14:val="tx1"/>
                  </w14:solidFill>
                </w14:textFill>
              </w:rPr>
              <w:t>沥青混合料保温修补车，每提供1辆，得1.5分，本小项满分 1.5分</w:t>
            </w:r>
            <w:r>
              <w:rPr>
                <w:rFonts w:hint="eastAsia" w:ascii="宋体" w:hAnsi="宋体"/>
                <w:color w:val="000000" w:themeColor="text1"/>
                <w:highlight w:val="none"/>
                <w:lang w:eastAsia="zh-CN"/>
                <w14:textFill>
                  <w14:solidFill>
                    <w14:schemeClr w14:val="tx1"/>
                  </w14:solidFill>
                </w14:textFill>
              </w:rPr>
              <w:t>；</w:t>
            </w:r>
          </w:p>
          <w:p w14:paraId="21643958">
            <w:pPr>
              <w:widowControl/>
              <w:numPr>
                <w:ilvl w:val="0"/>
                <w:numId w:val="0"/>
              </w:numP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t>(3)</w:t>
            </w:r>
            <w:r>
              <w:rPr>
                <w:rFonts w:hint="eastAsia" w:ascii="宋体" w:hAnsi="宋体"/>
                <w:color w:val="000000" w:themeColor="text1"/>
                <w:highlight w:val="none"/>
                <w14:textFill>
                  <w14:solidFill>
                    <w14:schemeClr w14:val="tx1"/>
                  </w14:solidFill>
                </w14:textFill>
              </w:rPr>
              <w:t>下水道疏通清洗车，每提供1辆，得1.5分，本小项满分 1.5分</w:t>
            </w:r>
            <w:r>
              <w:rPr>
                <w:rFonts w:hint="eastAsia" w:ascii="宋体" w:hAnsi="宋体"/>
                <w:color w:val="000000" w:themeColor="text1"/>
                <w:highlight w:val="none"/>
                <w:lang w:eastAsia="zh-CN"/>
                <w14:textFill>
                  <w14:solidFill>
                    <w14:schemeClr w14:val="tx1"/>
                  </w14:solidFill>
                </w14:textFill>
              </w:rPr>
              <w:t>；</w:t>
            </w:r>
          </w:p>
          <w:p w14:paraId="72EEDF22">
            <w:pPr>
              <w:widowControl/>
              <w:numPr>
                <w:ilvl w:val="-1"/>
                <w:numId w:val="0"/>
              </w:numP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(4)cctv 检测设备，每提供1套，得1.5分，本小项满分 1.5分</w:t>
            </w:r>
            <w:r>
              <w:rPr>
                <w:rFonts w:hint="eastAsia" w:ascii="宋体" w:hAnsi="宋体"/>
                <w:color w:val="000000" w:themeColor="text1"/>
                <w:highlight w:val="none"/>
                <w:lang w:eastAsia="zh-CN"/>
                <w14:textFill>
                  <w14:solidFill>
                    <w14:schemeClr w14:val="tx1"/>
                  </w14:solidFill>
                </w14:textFill>
              </w:rPr>
              <w:t>；</w:t>
            </w:r>
          </w:p>
          <w:p w14:paraId="10B0B9B4">
            <w:pPr>
              <w:widowControl/>
              <w:numPr>
                <w:ilvl w:val="0"/>
                <w:numId w:val="0"/>
              </w:numP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t>(</w:t>
            </w:r>
            <w:r>
              <w:rPr>
                <w:rFonts w:hint="eastAsia" w:ascii="宋体" w:hAnsi="宋体" w:cs="Times New Roman"/>
                <w:color w:val="000000" w:themeColor="text1"/>
                <w:kern w:val="2"/>
                <w:sz w:val="21"/>
                <w:highlight w:val="none"/>
                <w:lang w:val="en-US" w:eastAsia="zh-CN" w:bidi="ar-SA"/>
                <w14:textFill>
                  <w14:solidFill>
                    <w14:schemeClr w14:val="tx1"/>
                  </w14:solidFill>
                </w14:textFill>
              </w:rPr>
              <w:t>5</w:t>
            </w:r>
            <w:r>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t>)</w:t>
            </w:r>
            <w:r>
              <w:rPr>
                <w:rFonts w:hint="eastAsia" w:ascii="宋体" w:hAnsi="宋体"/>
                <w:color w:val="000000" w:themeColor="text1"/>
                <w:highlight w:val="none"/>
                <w14:textFill>
                  <w14:solidFill>
                    <w14:schemeClr w14:val="tx1"/>
                  </w14:solidFill>
                </w14:textFill>
              </w:rPr>
              <w:t>紫外光固化修复设备:每提供1套，得1.5分，本小项满分1.5分</w:t>
            </w:r>
            <w:r>
              <w:rPr>
                <w:rFonts w:hint="eastAsia" w:ascii="宋体" w:hAnsi="宋体"/>
                <w:color w:val="000000" w:themeColor="text1"/>
                <w:highlight w:val="none"/>
                <w:lang w:eastAsia="zh-CN"/>
                <w14:textFill>
                  <w14:solidFill>
                    <w14:schemeClr w14:val="tx1"/>
                  </w14:solidFill>
                </w14:textFill>
              </w:rPr>
              <w:t>；</w:t>
            </w:r>
          </w:p>
          <w:p w14:paraId="3A911706">
            <w:pPr>
              <w:widowControl/>
              <w:numPr>
                <w:ilvl w:val="0"/>
                <w:numId w:val="0"/>
              </w:numP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t>(</w:t>
            </w:r>
            <w:r>
              <w:rPr>
                <w:rFonts w:hint="eastAsia" w:ascii="宋体" w:hAnsi="宋体" w:cs="Times New Roman"/>
                <w:color w:val="000000" w:themeColor="text1"/>
                <w:kern w:val="2"/>
                <w:sz w:val="21"/>
                <w:highlight w:val="none"/>
                <w:lang w:val="en-US" w:eastAsia="zh-CN" w:bidi="ar-SA"/>
                <w14:textFill>
                  <w14:solidFill>
                    <w14:schemeClr w14:val="tx1"/>
                  </w14:solidFill>
                </w14:textFill>
              </w:rPr>
              <w:t>6</w:t>
            </w:r>
            <w:r>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t>)</w:t>
            </w:r>
            <w:r>
              <w:rPr>
                <w:rFonts w:hint="eastAsia" w:ascii="宋体" w:hAnsi="宋体"/>
                <w:color w:val="000000" w:themeColor="text1"/>
                <w:highlight w:val="none"/>
                <w14:textFill>
                  <w14:solidFill>
                    <w14:schemeClr w14:val="tx1"/>
                  </w14:solidFill>
                </w14:textFill>
              </w:rPr>
              <w:t>摊铺机，每提供1辆，得1.5分，本小项满分 1.5分</w:t>
            </w:r>
            <w:r>
              <w:rPr>
                <w:rFonts w:hint="eastAsia" w:ascii="宋体" w:hAnsi="宋体"/>
                <w:color w:val="000000" w:themeColor="text1"/>
                <w:highlight w:val="none"/>
                <w:lang w:eastAsia="zh-CN"/>
                <w14:textFill>
                  <w14:solidFill>
                    <w14:schemeClr w14:val="tx1"/>
                  </w14:solidFill>
                </w14:textFill>
              </w:rPr>
              <w:t>；</w:t>
            </w:r>
          </w:p>
          <w:p w14:paraId="188B0897">
            <w:pPr>
              <w:widowControl/>
              <w:numPr>
                <w:ilvl w:val="0"/>
                <w:numId w:val="0"/>
              </w:numP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t>(</w:t>
            </w:r>
            <w:r>
              <w:rPr>
                <w:rFonts w:hint="eastAsia" w:ascii="宋体" w:hAnsi="宋体" w:cs="Times New Roman"/>
                <w:color w:val="000000" w:themeColor="text1"/>
                <w:kern w:val="2"/>
                <w:sz w:val="21"/>
                <w:highlight w:val="none"/>
                <w:lang w:val="en-US" w:eastAsia="zh-CN" w:bidi="ar-SA"/>
                <w14:textFill>
                  <w14:solidFill>
                    <w14:schemeClr w14:val="tx1"/>
                  </w14:solidFill>
                </w14:textFill>
              </w:rPr>
              <w:t>7</w:t>
            </w:r>
            <w:r>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t>)</w:t>
            </w:r>
            <w:r>
              <w:rPr>
                <w:rFonts w:hint="eastAsia" w:ascii="宋体" w:hAnsi="宋体"/>
                <w:color w:val="000000" w:themeColor="text1"/>
                <w:highlight w:val="none"/>
                <w14:textFill>
                  <w14:solidFill>
                    <w14:schemeClr w14:val="tx1"/>
                  </w14:solidFill>
                </w14:textFill>
              </w:rPr>
              <w:t>压路机，每提供1辆，得1.5分，本小项满分 1.5分</w:t>
            </w:r>
            <w:r>
              <w:rPr>
                <w:rFonts w:hint="eastAsia" w:ascii="宋体" w:hAnsi="宋体"/>
                <w:color w:val="000000" w:themeColor="text1"/>
                <w:highlight w:val="none"/>
                <w:lang w:eastAsia="zh-CN"/>
                <w14:textFill>
                  <w14:solidFill>
                    <w14:schemeClr w14:val="tx1"/>
                  </w14:solidFill>
                </w14:textFill>
              </w:rPr>
              <w:t>；</w:t>
            </w:r>
          </w:p>
          <w:p w14:paraId="3B04D768">
            <w:pPr>
              <w:widowControl/>
              <w:numPr>
                <w:ilvl w:val="0"/>
                <w:numId w:val="0"/>
              </w:numP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t>(</w:t>
            </w:r>
            <w:r>
              <w:rPr>
                <w:rFonts w:hint="eastAsia" w:ascii="宋体" w:hAnsi="宋体" w:cs="Times New Roman"/>
                <w:color w:val="000000" w:themeColor="text1"/>
                <w:kern w:val="2"/>
                <w:sz w:val="21"/>
                <w:highlight w:val="none"/>
                <w:lang w:val="en-US" w:eastAsia="zh-CN" w:bidi="ar-SA"/>
                <w14:textFill>
                  <w14:solidFill>
                    <w14:schemeClr w14:val="tx1"/>
                  </w14:solidFill>
                </w14:textFill>
              </w:rPr>
              <w:t>8</w:t>
            </w:r>
            <w:r>
              <w:rPr>
                <w:rFonts w:hint="eastAsia" w:ascii="宋体" w:hAnsi="宋体" w:eastAsia="宋体" w:cs="Times New Roman"/>
                <w:color w:val="000000" w:themeColor="text1"/>
                <w:kern w:val="2"/>
                <w:sz w:val="21"/>
                <w:highlight w:val="none"/>
                <w:lang w:val="en-US" w:eastAsia="zh-CN" w:bidi="ar-SA"/>
                <w14:textFill>
                  <w14:solidFill>
                    <w14:schemeClr w14:val="tx1"/>
                  </w14:solidFill>
                </w14:textFill>
              </w:rPr>
              <w:t>)</w:t>
            </w:r>
            <w:r>
              <w:rPr>
                <w:rFonts w:hint="eastAsia" w:ascii="宋体" w:hAnsi="宋体"/>
                <w:color w:val="000000" w:themeColor="text1"/>
                <w:highlight w:val="none"/>
                <w14:textFill>
                  <w14:solidFill>
                    <w14:schemeClr w14:val="tx1"/>
                  </w14:solidFill>
                </w14:textFill>
              </w:rPr>
              <w:t>强排车或综合应急抢险车且含排水泵(功率&gt;500m'/h)(如是改装的，应提供相应证明资料)，每提供1辆，得1.5分，本小项满</w:t>
            </w:r>
            <w:r>
              <w:rPr>
                <w:rFonts w:hint="eastAsia" w:ascii="宋体" w:hAnsi="宋体"/>
                <w:color w:val="000000" w:themeColor="text1"/>
                <w:highlight w:val="none"/>
                <w:lang w:val="en-US" w:eastAsia="zh-CN"/>
                <w14:textFill>
                  <w14:solidFill>
                    <w14:schemeClr w14:val="tx1"/>
                  </w14:solidFill>
                </w14:textFill>
              </w:rPr>
              <w:t>分</w:t>
            </w:r>
            <w:r>
              <w:rPr>
                <w:rFonts w:hint="eastAsia" w:ascii="宋体" w:hAnsi="宋体"/>
                <w:color w:val="000000" w:themeColor="text1"/>
                <w:highlight w:val="none"/>
                <w14:textFill>
                  <w14:solidFill>
                    <w14:schemeClr w14:val="tx1"/>
                  </w14:solidFill>
                </w14:textFill>
              </w:rPr>
              <w:t>1.5分</w:t>
            </w:r>
            <w:r>
              <w:rPr>
                <w:rFonts w:hint="eastAsia" w:ascii="宋体" w:hAnsi="宋体"/>
                <w:color w:val="000000" w:themeColor="text1"/>
                <w:highlight w:val="none"/>
                <w:lang w:eastAsia="zh-CN"/>
                <w14:textFill>
                  <w14:solidFill>
                    <w14:schemeClr w14:val="tx1"/>
                  </w14:solidFill>
                </w14:textFill>
              </w:rPr>
              <w:t>；</w:t>
            </w:r>
          </w:p>
          <w:p w14:paraId="2DD7C09F">
            <w:pPr>
              <w:widowControl/>
              <w:numPr>
                <w:ilvl w:val="-1"/>
                <w:numId w:val="0"/>
              </w:numPr>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(9)巡查养护车辆，每提供1辆，得1.5分，本小项满分3分。</w:t>
            </w:r>
            <w:bookmarkEnd w:id="139"/>
          </w:p>
          <w:p w14:paraId="7EEAC5D2">
            <w:pPr>
              <w:widowControl/>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注：投标文件中提供机械设备的购置发票、车辆须提供行驶证及购置发票复印件加盖公章。如为租赁，还须在以上证明资料的基础上提供</w:t>
            </w:r>
            <w:r>
              <w:rPr>
                <w:rFonts w:hint="eastAsia" w:ascii="宋体" w:hAnsi="宋体"/>
                <w:color w:val="000000" w:themeColor="text1"/>
                <w:highlight w:val="none"/>
                <w:lang w:val="en-US" w:eastAsia="zh-CN"/>
                <w14:textFill>
                  <w14:solidFill>
                    <w14:schemeClr w14:val="tx1"/>
                  </w14:solidFill>
                </w14:textFill>
              </w:rPr>
              <w:t>在</w:t>
            </w:r>
            <w:r>
              <w:rPr>
                <w:rFonts w:hint="eastAsia" w:ascii="宋体" w:hAnsi="宋体"/>
                <w:color w:val="000000" w:themeColor="text1"/>
                <w:highlight w:val="none"/>
                <w:lang w:val="en-US" w:eastAsia="zh-CN"/>
                <w14:textFill>
                  <w14:solidFill>
                    <w14:schemeClr w14:val="tx1"/>
                  </w14:solidFill>
                </w14:textFill>
              </w:rPr>
              <w:t>本项目服务期内有效的</w:t>
            </w:r>
            <w:r>
              <w:rPr>
                <w:rFonts w:hint="eastAsia" w:ascii="宋体" w:hAnsi="宋体"/>
                <w:color w:val="000000" w:themeColor="text1"/>
                <w:highlight w:val="none"/>
                <w14:textFill>
                  <w14:solidFill>
                    <w14:schemeClr w14:val="tx1"/>
                  </w14:solidFill>
                </w14:textFill>
              </w:rPr>
              <w:t>租赁协议</w:t>
            </w:r>
            <w:r>
              <w:rPr>
                <w:rFonts w:hint="eastAsia" w:ascii="宋体" w:hAnsi="宋体"/>
                <w:color w:val="000000" w:themeColor="text1"/>
                <w:highlight w:val="none"/>
                <w14:textFill>
                  <w14:solidFill>
                    <w14:schemeClr w14:val="tx1"/>
                  </w14:solidFill>
                </w14:textFill>
              </w:rPr>
              <w:t>。</w:t>
            </w:r>
          </w:p>
        </w:tc>
        <w:tc>
          <w:tcPr>
            <w:tcW w:w="654" w:type="dxa"/>
            <w:tcBorders>
              <w:top w:val="single" w:color="auto" w:sz="4" w:space="0"/>
              <w:left w:val="single" w:color="auto" w:sz="4" w:space="0"/>
              <w:bottom w:val="single" w:color="auto" w:sz="4" w:space="0"/>
              <w:right w:val="single" w:color="auto" w:sz="2" w:space="0"/>
            </w:tcBorders>
            <w:vAlign w:val="center"/>
          </w:tcPr>
          <w:p w14:paraId="3269A7F6">
            <w:pPr>
              <w:spacing w:before="85" w:beforeLines="30" w:line="288" w:lineRule="auto"/>
              <w:jc w:val="center"/>
              <w:rPr>
                <w:rFonts w:hint="default"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15</w:t>
            </w:r>
          </w:p>
        </w:tc>
      </w:tr>
      <w:tr w14:paraId="3104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6" w:hRule="atLeast"/>
        </w:trPr>
        <w:tc>
          <w:tcPr>
            <w:tcW w:w="528" w:type="dxa"/>
            <w:vMerge w:val="continue"/>
            <w:tcBorders>
              <w:left w:val="single" w:color="auto" w:sz="4" w:space="0"/>
              <w:right w:val="single" w:color="auto" w:sz="2" w:space="0"/>
            </w:tcBorders>
            <w:vAlign w:val="center"/>
          </w:tcPr>
          <w:p w14:paraId="19960B88">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restart"/>
            <w:tcBorders>
              <w:top w:val="single" w:color="auto" w:sz="4" w:space="0"/>
              <w:left w:val="single" w:color="auto" w:sz="4" w:space="0"/>
              <w:right w:val="single" w:color="auto" w:sz="2" w:space="0"/>
            </w:tcBorders>
            <w:vAlign w:val="center"/>
          </w:tcPr>
          <w:p w14:paraId="76F2C95F">
            <w:pPr>
              <w:spacing w:before="85" w:beforeLines="30" w:line="288" w:lineRule="auto"/>
              <w:rPr>
                <w:rFonts w:asciiTheme="majorEastAsia" w:hAnsiTheme="majorEastAsia" w:eastAsiaTheme="majorEastAsia"/>
                <w:snapToGrid w:val="0"/>
                <w:color w:val="000000" w:themeColor="text1"/>
                <w:spacing w:val="-4"/>
                <w:szCs w:val="21"/>
                <w:highlight w:val="none"/>
                <w14:textFill>
                  <w14:solidFill>
                    <w14:schemeClr w14:val="tx1"/>
                  </w14:solidFill>
                </w14:textFill>
              </w:rPr>
            </w:pP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技术部分（</w:t>
            </w:r>
            <w:r>
              <w:rPr>
                <w:rFonts w:hint="eastAsia" w:asciiTheme="majorEastAsia" w:hAnsiTheme="majorEastAsia" w:eastAsiaTheme="majorEastAsia"/>
                <w:snapToGrid w:val="0"/>
                <w:color w:val="000000" w:themeColor="text1"/>
                <w:spacing w:val="-4"/>
                <w:szCs w:val="21"/>
                <w:highlight w:val="none"/>
                <w:lang w:val="en-US" w:eastAsia="zh-CN"/>
                <w14:textFill>
                  <w14:solidFill>
                    <w14:schemeClr w14:val="tx1"/>
                  </w14:solidFill>
                </w14:textFill>
              </w:rPr>
              <w:t>55</w:t>
            </w: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分）</w:t>
            </w:r>
          </w:p>
        </w:tc>
        <w:tc>
          <w:tcPr>
            <w:tcW w:w="1505" w:type="dxa"/>
            <w:tcBorders>
              <w:top w:val="single" w:color="auto" w:sz="4" w:space="0"/>
              <w:left w:val="single" w:color="auto" w:sz="4" w:space="0"/>
              <w:right w:val="single" w:color="auto" w:sz="2" w:space="0"/>
            </w:tcBorders>
            <w:vAlign w:val="center"/>
          </w:tcPr>
          <w:p w14:paraId="049F9C74">
            <w:pPr>
              <w:spacing w:before="85" w:beforeLines="30"/>
              <w:rPr>
                <w:rFonts w:hint="eastAsia" w:asciiTheme="majorEastAsia" w:hAnsiTheme="majorEastAsia" w:eastAsiaTheme="majorEastAsia"/>
                <w:color w:val="000000" w:themeColor="text1"/>
                <w:szCs w:val="21"/>
                <w:highlight w:val="none"/>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1、对项目的调研、考察程度</w:t>
            </w:r>
          </w:p>
          <w:p w14:paraId="71353AA5">
            <w:pPr>
              <w:spacing w:before="85" w:beforeLines="30"/>
              <w:rPr>
                <w:rFonts w:cs="宋体" w:asciiTheme="majorEastAsia" w:hAnsiTheme="majorEastAsia" w:eastAsiaTheme="majorEastAsia"/>
                <w:color w:val="000000" w:themeColor="text1"/>
                <w:szCs w:val="21"/>
                <w:highlight w:val="none"/>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w:t>
            </w: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8</w:t>
            </w:r>
            <w:r>
              <w:rPr>
                <w:rFonts w:hint="eastAsia" w:asciiTheme="majorEastAsia" w:hAnsiTheme="majorEastAsia" w:eastAsiaTheme="majorEastAsia"/>
                <w:color w:val="000000" w:themeColor="text1"/>
                <w:szCs w:val="21"/>
                <w:highlight w:val="none"/>
                <w14:textFill>
                  <w14:solidFill>
                    <w14:schemeClr w14:val="tx1"/>
                  </w14:solidFill>
                </w14:textFill>
              </w:rPr>
              <w:t>分）</w:t>
            </w:r>
          </w:p>
        </w:tc>
        <w:tc>
          <w:tcPr>
            <w:tcW w:w="6846" w:type="dxa"/>
            <w:tcBorders>
              <w:top w:val="single" w:color="auto" w:sz="4" w:space="0"/>
              <w:left w:val="single" w:color="auto" w:sz="4" w:space="0"/>
              <w:right w:val="single" w:color="auto" w:sz="2" w:space="0"/>
            </w:tcBorders>
            <w:vAlign w:val="center"/>
          </w:tcPr>
          <w:p w14:paraId="084E3932">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（1）根据投标人对项目所涉及到的所有市政道路及设施进行踏勘、考察、对现场情况的了解和调研、分析项目涵盖的养护服务的重难点及针对上述关键点的相应分析、解决措施进行综合评议：</w:t>
            </w:r>
          </w:p>
          <w:p w14:paraId="253F1341">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①内容编写完善、符合现状，任务了解程度深入，重点难点分析透彻的得</w:t>
            </w:r>
            <w:r>
              <w:rPr>
                <w:rFonts w:hint="eastAsia" w:ascii="宋体" w:hAnsi="宋体"/>
                <w:color w:val="000000" w:themeColor="text1"/>
                <w:highlight w:val="none"/>
                <w:lang w:val="en-US" w:eastAsia="zh-CN"/>
                <w14:textFill>
                  <w14:solidFill>
                    <w14:schemeClr w14:val="tx1"/>
                  </w14:solidFill>
                </w14:textFill>
              </w:rPr>
              <w:t>8</w:t>
            </w:r>
            <w:r>
              <w:rPr>
                <w:rFonts w:hint="eastAsia" w:ascii="宋体" w:hAnsi="宋体"/>
                <w:color w:val="000000" w:themeColor="text1"/>
                <w:highlight w:val="none"/>
                <w14:textFill>
                  <w14:solidFill>
                    <w14:schemeClr w14:val="tx1"/>
                  </w14:solidFill>
                </w14:textFill>
              </w:rPr>
              <w:t>分；</w:t>
            </w:r>
          </w:p>
          <w:p w14:paraId="42F3968D">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②内容编写较完善、符合现状，任务了解程度较好，重点难点分析较好的得</w:t>
            </w: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分；</w:t>
            </w:r>
          </w:p>
          <w:p w14:paraId="13F1765B">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③内容编写基本完整，任务了解程度和重点难点分析一般的得</w:t>
            </w: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分；</w:t>
            </w:r>
          </w:p>
          <w:p w14:paraId="4AFB7C86">
            <w:pPr>
              <w:widowControl/>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未提供方案的不得分。</w:t>
            </w:r>
          </w:p>
        </w:tc>
        <w:tc>
          <w:tcPr>
            <w:tcW w:w="654" w:type="dxa"/>
            <w:tcBorders>
              <w:top w:val="single" w:color="auto" w:sz="4" w:space="0"/>
              <w:left w:val="single" w:color="auto" w:sz="4" w:space="0"/>
              <w:right w:val="single" w:color="auto" w:sz="2" w:space="0"/>
            </w:tcBorders>
            <w:vAlign w:val="center"/>
          </w:tcPr>
          <w:p w14:paraId="40B0E95A">
            <w:pPr>
              <w:spacing w:before="85" w:beforeLines="30"/>
              <w:jc w:val="center"/>
              <w:rPr>
                <w:rFonts w:hint="default"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8</w:t>
            </w:r>
          </w:p>
        </w:tc>
      </w:tr>
      <w:tr w14:paraId="219C6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1" w:hRule="atLeast"/>
        </w:trPr>
        <w:tc>
          <w:tcPr>
            <w:tcW w:w="528" w:type="dxa"/>
            <w:vMerge w:val="continue"/>
            <w:tcBorders>
              <w:left w:val="single" w:color="auto" w:sz="4" w:space="0"/>
              <w:right w:val="single" w:color="auto" w:sz="2" w:space="0"/>
            </w:tcBorders>
            <w:vAlign w:val="center"/>
          </w:tcPr>
          <w:p w14:paraId="5A481009">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5D45A9F1">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tcBorders>
              <w:top w:val="single" w:color="auto" w:sz="4" w:space="0"/>
              <w:left w:val="single" w:color="auto" w:sz="4" w:space="0"/>
              <w:right w:val="single" w:color="auto" w:sz="2" w:space="0"/>
            </w:tcBorders>
            <w:vAlign w:val="center"/>
          </w:tcPr>
          <w:p w14:paraId="790AFBF7">
            <w:pPr>
              <w:spacing w:before="85" w:beforeLines="30"/>
              <w:rPr>
                <w:rFonts w:asciiTheme="majorEastAsia" w:hAnsiTheme="majorEastAsia" w:eastAsiaTheme="majorEastAsia"/>
                <w:color w:val="000000" w:themeColor="text1"/>
                <w:szCs w:val="21"/>
                <w:highlight w:val="none"/>
                <w14:textFill>
                  <w14:solidFill>
                    <w14:schemeClr w14:val="tx1"/>
                  </w14:solidFill>
                </w14:textFill>
              </w:rPr>
            </w:pPr>
            <w:r>
              <w:rPr>
                <w:rFonts w:hint="eastAsia" w:cs="宋体" w:asciiTheme="majorEastAsia" w:hAnsiTheme="majorEastAsia" w:eastAsiaTheme="majorEastAsia"/>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项目实施方案</w:t>
            </w:r>
            <w:r>
              <w:rPr>
                <w:rFonts w:hint="eastAsia" w:cs="宋体" w:asciiTheme="majorEastAsia" w:hAnsiTheme="majorEastAsia" w:eastAsiaTheme="majorEastAsia"/>
                <w:color w:val="000000" w:themeColor="text1"/>
                <w:szCs w:val="21"/>
                <w:highlight w:val="none"/>
                <w14:textFill>
                  <w14:solidFill>
                    <w14:schemeClr w14:val="tx1"/>
                  </w14:solidFill>
                </w14:textFill>
              </w:rPr>
              <w:t>（</w:t>
            </w: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8</w:t>
            </w:r>
            <w:r>
              <w:rPr>
                <w:rFonts w:hint="eastAsia" w:cs="宋体" w:asciiTheme="majorEastAsia" w:hAnsiTheme="majorEastAsia" w:eastAsiaTheme="majorEastAsia"/>
                <w:color w:val="000000" w:themeColor="text1"/>
                <w:szCs w:val="21"/>
                <w:highlight w:val="none"/>
                <w14:textFill>
                  <w14:solidFill>
                    <w14:schemeClr w14:val="tx1"/>
                  </w14:solidFill>
                </w14:textFill>
              </w:rPr>
              <w:t>分）</w:t>
            </w:r>
          </w:p>
        </w:tc>
        <w:tc>
          <w:tcPr>
            <w:tcW w:w="6846" w:type="dxa"/>
            <w:tcBorders>
              <w:top w:val="single" w:color="auto" w:sz="4" w:space="0"/>
              <w:left w:val="single" w:color="auto" w:sz="4" w:space="0"/>
              <w:right w:val="single" w:color="auto" w:sz="2" w:space="0"/>
            </w:tcBorders>
            <w:vAlign w:val="center"/>
          </w:tcPr>
          <w:p w14:paraId="23B28D4C">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根据投标人调研后，针对本项目所涉及到的所有市政道路及设施编制针对本项目的总体实施方案，包括专项养护（维修）方案、日常巡查方案、人员具体分工情况及排班计划等方案，进行综合评议：</w:t>
            </w:r>
          </w:p>
          <w:p w14:paraId="0C020F2D">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①方案内容编写完善、符合现状，任务了解程度深入，科学合理性好，可操作性强的，得</w:t>
            </w:r>
            <w:r>
              <w:rPr>
                <w:rFonts w:hint="eastAsia" w:ascii="宋体" w:hAnsi="宋体"/>
                <w:color w:val="000000" w:themeColor="text1"/>
                <w:highlight w:val="none"/>
                <w:lang w:val="en-US" w:eastAsia="zh-CN"/>
                <w14:textFill>
                  <w14:solidFill>
                    <w14:schemeClr w14:val="tx1"/>
                  </w14:solidFill>
                </w14:textFill>
              </w:rPr>
              <w:t>8</w:t>
            </w:r>
            <w:r>
              <w:rPr>
                <w:rFonts w:hint="eastAsia" w:ascii="宋体" w:hAnsi="宋体"/>
                <w:color w:val="000000" w:themeColor="text1"/>
                <w:highlight w:val="none"/>
                <w14:textFill>
                  <w14:solidFill>
                    <w14:schemeClr w14:val="tx1"/>
                  </w14:solidFill>
                </w14:textFill>
              </w:rPr>
              <w:t>分；</w:t>
            </w:r>
          </w:p>
          <w:p w14:paraId="617B1E43">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②方案内容较齐全，对项目了解程度较好，操作性较强的得</w:t>
            </w: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分；</w:t>
            </w:r>
          </w:p>
          <w:p w14:paraId="57CAC345">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③方案内容基本完整，对项目了解程度一般的得</w:t>
            </w: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分；</w:t>
            </w:r>
          </w:p>
          <w:p w14:paraId="3DCD42A1">
            <w:pPr>
              <w:widowControl/>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未提供方案的不得分。</w:t>
            </w:r>
          </w:p>
        </w:tc>
        <w:tc>
          <w:tcPr>
            <w:tcW w:w="654" w:type="dxa"/>
            <w:tcBorders>
              <w:top w:val="single" w:color="auto" w:sz="4" w:space="0"/>
              <w:left w:val="single" w:color="auto" w:sz="4" w:space="0"/>
              <w:right w:val="single" w:color="auto" w:sz="2" w:space="0"/>
            </w:tcBorders>
            <w:vAlign w:val="center"/>
          </w:tcPr>
          <w:p w14:paraId="2D271C66">
            <w:pPr>
              <w:spacing w:before="85" w:beforeLines="30"/>
              <w:jc w:val="center"/>
              <w:rPr>
                <w:rFonts w:hint="default"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8</w:t>
            </w:r>
          </w:p>
        </w:tc>
      </w:tr>
      <w:tr w14:paraId="10CF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8" w:hRule="atLeast"/>
        </w:trPr>
        <w:tc>
          <w:tcPr>
            <w:tcW w:w="528" w:type="dxa"/>
            <w:vMerge w:val="continue"/>
            <w:tcBorders>
              <w:left w:val="single" w:color="auto" w:sz="4" w:space="0"/>
              <w:right w:val="single" w:color="auto" w:sz="2" w:space="0"/>
            </w:tcBorders>
            <w:vAlign w:val="center"/>
          </w:tcPr>
          <w:p w14:paraId="6B0106E3">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163BC05A">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tcBorders>
              <w:top w:val="single" w:color="auto" w:sz="4" w:space="0"/>
              <w:left w:val="single" w:color="auto" w:sz="4" w:space="0"/>
              <w:right w:val="single" w:color="auto" w:sz="2" w:space="0"/>
            </w:tcBorders>
            <w:vAlign w:val="center"/>
          </w:tcPr>
          <w:p w14:paraId="4AEF93FC">
            <w:pPr>
              <w:spacing w:before="85" w:beforeLines="30"/>
              <w:rPr>
                <w:rFonts w:hint="eastAsia" w:cs="宋体" w:asciiTheme="majorEastAsia" w:hAnsiTheme="majorEastAsia" w:eastAsiaTheme="majorEastAsia"/>
                <w:color w:val="000000" w:themeColor="text1"/>
                <w:szCs w:val="21"/>
                <w:highlight w:val="none"/>
                <w14:textFill>
                  <w14:solidFill>
                    <w14:schemeClr w14:val="tx1"/>
                  </w14:solidFill>
                </w14:textFill>
              </w:rPr>
            </w:pP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3、</w:t>
            </w:r>
            <w:r>
              <w:rPr>
                <w:rFonts w:hint="eastAsia" w:cs="宋体" w:asciiTheme="majorEastAsia" w:hAnsiTheme="majorEastAsia" w:eastAsiaTheme="majorEastAsia"/>
                <w:color w:val="000000" w:themeColor="text1"/>
                <w:szCs w:val="21"/>
                <w:highlight w:val="none"/>
                <w14:textFill>
                  <w14:solidFill>
                    <w14:schemeClr w14:val="tx1"/>
                  </w14:solidFill>
                </w14:textFill>
              </w:rPr>
              <w:t>施工维修工艺及方案（</w:t>
            </w: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6</w:t>
            </w:r>
            <w:r>
              <w:rPr>
                <w:rFonts w:hint="eastAsia" w:cs="宋体" w:asciiTheme="majorEastAsia" w:hAnsiTheme="majorEastAsia" w:eastAsiaTheme="majorEastAsia"/>
                <w:color w:val="000000" w:themeColor="text1"/>
                <w:szCs w:val="21"/>
                <w:highlight w:val="none"/>
                <w14:textFill>
                  <w14:solidFill>
                    <w14:schemeClr w14:val="tx1"/>
                  </w14:solidFill>
                </w14:textFill>
              </w:rPr>
              <w:t>分）</w:t>
            </w:r>
          </w:p>
        </w:tc>
        <w:tc>
          <w:tcPr>
            <w:tcW w:w="6846" w:type="dxa"/>
            <w:tcBorders>
              <w:top w:val="single" w:color="auto" w:sz="4" w:space="0"/>
              <w:left w:val="single" w:color="auto" w:sz="4" w:space="0"/>
              <w:right w:val="single" w:color="auto" w:sz="2" w:space="0"/>
            </w:tcBorders>
            <w:vAlign w:val="center"/>
          </w:tcPr>
          <w:p w14:paraId="4B61E777">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根据</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提供的针对本</w:t>
            </w:r>
            <w:r>
              <w:rPr>
                <w:rFonts w:hint="eastAsia" w:ascii="宋体" w:hAnsi="宋体"/>
                <w:color w:val="000000" w:themeColor="text1"/>
                <w:highlight w:val="none"/>
                <w:lang w:val="en-US" w:eastAsia="zh-CN"/>
                <w14:textFill>
                  <w14:solidFill>
                    <w14:schemeClr w14:val="tx1"/>
                  </w14:solidFill>
                </w14:textFill>
              </w:rPr>
              <w:t>项目</w:t>
            </w:r>
            <w:r>
              <w:rPr>
                <w:rFonts w:hint="eastAsia" w:ascii="宋体" w:hAnsi="宋体"/>
                <w:color w:val="000000" w:themeColor="text1"/>
                <w:highlight w:val="none"/>
                <w14:textFill>
                  <w14:solidFill>
                    <w14:schemeClr w14:val="tx1"/>
                  </w14:solidFill>
                </w14:textFill>
              </w:rPr>
              <w:t>所覆盖的所有沥青路面维修</w:t>
            </w:r>
            <w:r>
              <w:rPr>
                <w:rFonts w:hint="eastAsia" w:ascii="宋体" w:hAnsi="宋体"/>
                <w:color w:val="000000" w:themeColor="text1"/>
                <w:highlight w:val="none"/>
                <w:lang w:val="en-US" w:eastAsia="zh-CN"/>
                <w14:textFill>
                  <w14:solidFill>
                    <w14:schemeClr w14:val="tx1"/>
                  </w14:solidFill>
                </w14:textFill>
              </w:rPr>
              <w:t>养护</w:t>
            </w:r>
            <w:r>
              <w:rPr>
                <w:rFonts w:hint="eastAsia" w:ascii="宋体" w:hAnsi="宋体"/>
                <w:color w:val="000000" w:themeColor="text1"/>
                <w:highlight w:val="none"/>
                <w14:textFill>
                  <w14:solidFill>
                    <w14:schemeClr w14:val="tx1"/>
                  </w14:solidFill>
                </w14:textFill>
              </w:rPr>
              <w:t>、砼路面及人行道维修、路缘石及平石的维修更换</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排水管网和排水固定泵站养护维修</w:t>
            </w:r>
            <w:r>
              <w:rPr>
                <w:rFonts w:hint="eastAsia" w:ascii="宋体" w:hAnsi="宋体"/>
                <w:color w:val="000000" w:themeColor="text1"/>
                <w:highlight w:val="none"/>
                <w14:textFill>
                  <w14:solidFill>
                    <w14:schemeClr w14:val="tx1"/>
                  </w14:solidFill>
                </w14:textFill>
              </w:rPr>
              <w:t>及其他市政附属设施的维修更换的技术、工艺、施工方案等情况进行综合评议：</w:t>
            </w:r>
          </w:p>
          <w:p w14:paraId="34A5DA26">
            <w:pPr>
              <w:widowControl/>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①</w:t>
            </w:r>
            <w:r>
              <w:rPr>
                <w:rFonts w:hint="eastAsia" w:ascii="宋体" w:hAnsi="宋体"/>
                <w:color w:val="000000" w:themeColor="text1"/>
                <w:highlight w:val="none"/>
                <w:lang w:val="en-US" w:eastAsia="zh-CN"/>
                <w14:textFill>
                  <w14:solidFill>
                    <w14:schemeClr w14:val="tx1"/>
                  </w14:solidFill>
                </w14:textFill>
              </w:rPr>
              <w:t>方案内容编写完善、符合现状，任务了解程度深，科学合理性好，可操作性强的得6分；</w:t>
            </w:r>
          </w:p>
          <w:p w14:paraId="0EE7AC51">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②方案内容较齐全，对项目了解程度较好，操作性较强的得</w:t>
            </w: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分；</w:t>
            </w:r>
          </w:p>
          <w:p w14:paraId="57E06B61">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③方案内容基本完整，对项目了解程度一般的得</w:t>
            </w: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分。</w:t>
            </w:r>
          </w:p>
          <w:p w14:paraId="796EB109">
            <w:pPr>
              <w:widowControl/>
              <w:rPr>
                <w:rFonts w:hint="eastAsia" w:cs="宋体" w:asciiTheme="majorEastAsia" w:hAnsiTheme="majorEastAsia" w:eastAsiaTheme="majorEastAsia"/>
                <w:color w:val="000000" w:themeColor="text1"/>
                <w:szCs w:val="2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未提供方案的不得分。</w:t>
            </w:r>
          </w:p>
        </w:tc>
        <w:tc>
          <w:tcPr>
            <w:tcW w:w="654" w:type="dxa"/>
            <w:tcBorders>
              <w:top w:val="single" w:color="auto" w:sz="4" w:space="0"/>
              <w:left w:val="single" w:color="auto" w:sz="4" w:space="0"/>
              <w:right w:val="single" w:color="auto" w:sz="2" w:space="0"/>
            </w:tcBorders>
            <w:vAlign w:val="center"/>
          </w:tcPr>
          <w:p w14:paraId="0CD6D731">
            <w:pPr>
              <w:spacing w:before="85" w:beforeLines="30"/>
              <w:jc w:val="center"/>
              <w:rPr>
                <w:rFonts w:hint="default"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6</w:t>
            </w:r>
          </w:p>
        </w:tc>
      </w:tr>
      <w:tr w14:paraId="53C4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8" w:hRule="atLeast"/>
        </w:trPr>
        <w:tc>
          <w:tcPr>
            <w:tcW w:w="528" w:type="dxa"/>
            <w:vMerge w:val="continue"/>
            <w:tcBorders>
              <w:left w:val="single" w:color="auto" w:sz="4" w:space="0"/>
              <w:right w:val="single" w:color="auto" w:sz="2" w:space="0"/>
            </w:tcBorders>
            <w:vAlign w:val="center"/>
          </w:tcPr>
          <w:p w14:paraId="760235CA">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0801323A">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tcBorders>
              <w:top w:val="single" w:color="auto" w:sz="4" w:space="0"/>
              <w:left w:val="single" w:color="auto" w:sz="4" w:space="0"/>
              <w:right w:val="single" w:color="auto" w:sz="2" w:space="0"/>
            </w:tcBorders>
            <w:vAlign w:val="center"/>
          </w:tcPr>
          <w:p w14:paraId="1A7DA879">
            <w:pPr>
              <w:spacing w:before="85" w:beforeLines="30"/>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4、精细养管及四新技术(新技术、新工艺、新材料、新设备)的建议(7分)</w:t>
            </w:r>
          </w:p>
        </w:tc>
        <w:tc>
          <w:tcPr>
            <w:tcW w:w="6846" w:type="dxa"/>
            <w:tcBorders>
              <w:top w:val="single" w:color="auto" w:sz="4" w:space="0"/>
              <w:left w:val="single" w:color="auto" w:sz="4" w:space="0"/>
              <w:right w:val="single" w:color="auto" w:sz="2" w:space="0"/>
            </w:tcBorders>
            <w:vAlign w:val="center"/>
          </w:tcPr>
          <w:p w14:paraId="18DFCFAF">
            <w:pPr>
              <w:widowControl/>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根据投标人提供的</w:t>
            </w:r>
            <w:r>
              <w:rPr>
                <w:rFonts w:hint="eastAsia" w:ascii="宋体" w:hAnsi="宋体"/>
                <w:color w:val="000000" w:themeColor="text1"/>
                <w:highlight w:val="none"/>
                <w14:textFill>
                  <w14:solidFill>
                    <w14:schemeClr w14:val="tx1"/>
                  </w14:solidFill>
                </w14:textFill>
              </w:rPr>
              <w:t>针对本次养护管理工作提出的精细化管理、信息化应用，对本项目应用四新应用的建议方案(包括但不限于</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道口转弯处防损坏工艺</w:t>
            </w:r>
            <w:r>
              <w:rPr>
                <w:rFonts w:hint="eastAsia" w:ascii="宋体" w:hAnsi="宋体"/>
                <w:color w:val="000000" w:themeColor="text1"/>
                <w:highlight w:val="none"/>
                <w14:textFill>
                  <w14:solidFill>
                    <w14:schemeClr w14:val="tx1"/>
                  </w14:solidFill>
                </w14:textFill>
              </w:rPr>
              <w:t>、带水高性能沥青材料应用、井盖周边路面等处置措施)进行综合评议</w:t>
            </w:r>
            <w:r>
              <w:rPr>
                <w:rFonts w:hint="eastAsia" w:ascii="宋体" w:hAnsi="宋体"/>
                <w:color w:val="000000" w:themeColor="text1"/>
                <w:highlight w:val="none"/>
                <w:lang w:eastAsia="zh-CN"/>
                <w14:textFill>
                  <w14:solidFill>
                    <w14:schemeClr w14:val="tx1"/>
                  </w14:solidFill>
                </w14:textFill>
              </w:rPr>
              <w:t>：</w:t>
            </w:r>
          </w:p>
          <w:p w14:paraId="10257B68">
            <w:pPr>
              <w:widowControl/>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①方案内容编写完善、科学，四新技术应用建议与项目实际情况关联度强，能在应用场景上有突破创新的得</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分</w:t>
            </w:r>
            <w:r>
              <w:rPr>
                <w:rFonts w:hint="eastAsia" w:ascii="宋体" w:hAnsi="宋体"/>
                <w:color w:val="000000" w:themeColor="text1"/>
                <w:highlight w:val="none"/>
                <w:lang w:eastAsia="zh-CN"/>
                <w14:textFill>
                  <w14:solidFill>
                    <w14:schemeClr w14:val="tx1"/>
                  </w14:solidFill>
                </w14:textFill>
              </w:rPr>
              <w:t>；</w:t>
            </w:r>
          </w:p>
          <w:p w14:paraId="5E8C285A">
            <w:pPr>
              <w:widowControl/>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②方案内容编写较齐全，四新技术应用建议与项目实际情况关联度较强，在应用场景上有一定的突破创新的得</w:t>
            </w: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分</w:t>
            </w:r>
            <w:r>
              <w:rPr>
                <w:rFonts w:hint="eastAsia" w:ascii="宋体" w:hAnsi="宋体"/>
                <w:color w:val="000000" w:themeColor="text1"/>
                <w:highlight w:val="none"/>
                <w:lang w:eastAsia="zh-CN"/>
                <w14:textFill>
                  <w14:solidFill>
                    <w14:schemeClr w14:val="tx1"/>
                  </w14:solidFill>
                </w14:textFill>
              </w:rPr>
              <w:t>；</w:t>
            </w:r>
          </w:p>
          <w:p w14:paraId="0136C4B8">
            <w:pPr>
              <w:widowControl/>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③方案内容编写一般，四新技术应用符合项目建议与实际情况关联度不强，在应用场景上突破创新不明显的得 </w:t>
            </w: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分</w:t>
            </w:r>
            <w:r>
              <w:rPr>
                <w:rFonts w:hint="eastAsia" w:ascii="宋体" w:hAnsi="宋体"/>
                <w:color w:val="000000" w:themeColor="text1"/>
                <w:highlight w:val="none"/>
                <w:lang w:eastAsia="zh-CN"/>
                <w14:textFill>
                  <w14:solidFill>
                    <w14:schemeClr w14:val="tx1"/>
                  </w14:solidFill>
                </w14:textFill>
              </w:rPr>
              <w:t>；</w:t>
            </w:r>
          </w:p>
          <w:p w14:paraId="5C622A23">
            <w:pPr>
              <w:widowControl/>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未提供方案的不得分。</w:t>
            </w:r>
          </w:p>
        </w:tc>
        <w:tc>
          <w:tcPr>
            <w:tcW w:w="654" w:type="dxa"/>
            <w:tcBorders>
              <w:top w:val="single" w:color="auto" w:sz="4" w:space="0"/>
              <w:left w:val="single" w:color="auto" w:sz="4" w:space="0"/>
              <w:right w:val="single" w:color="auto" w:sz="2" w:space="0"/>
            </w:tcBorders>
            <w:vAlign w:val="center"/>
          </w:tcPr>
          <w:p w14:paraId="261DC66F">
            <w:pPr>
              <w:spacing w:before="85" w:beforeLines="30"/>
              <w:jc w:val="center"/>
              <w:rPr>
                <w:rFonts w:hint="default"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7</w:t>
            </w:r>
          </w:p>
        </w:tc>
      </w:tr>
      <w:tr w14:paraId="76B97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6" w:hRule="atLeast"/>
        </w:trPr>
        <w:tc>
          <w:tcPr>
            <w:tcW w:w="528" w:type="dxa"/>
            <w:vMerge w:val="continue"/>
            <w:tcBorders>
              <w:left w:val="single" w:color="auto" w:sz="4" w:space="0"/>
              <w:right w:val="single" w:color="auto" w:sz="2" w:space="0"/>
            </w:tcBorders>
            <w:vAlign w:val="center"/>
          </w:tcPr>
          <w:p w14:paraId="798D75A3">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775A28C3">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tcBorders>
              <w:top w:val="single" w:color="auto" w:sz="4" w:space="0"/>
              <w:left w:val="single" w:color="auto" w:sz="4" w:space="0"/>
              <w:bottom w:val="single" w:color="auto" w:sz="4" w:space="0"/>
              <w:right w:val="single" w:color="auto" w:sz="2" w:space="0"/>
            </w:tcBorders>
            <w:vAlign w:val="center"/>
          </w:tcPr>
          <w:p w14:paraId="525BC3B2">
            <w:pPr>
              <w:spacing w:before="85" w:beforeLines="30"/>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5、应急情况处理能力（6分）</w:t>
            </w:r>
          </w:p>
        </w:tc>
        <w:tc>
          <w:tcPr>
            <w:tcW w:w="6846" w:type="dxa"/>
            <w:tcBorders>
              <w:top w:val="single" w:color="auto" w:sz="4" w:space="0"/>
              <w:left w:val="single" w:color="auto" w:sz="4" w:space="0"/>
              <w:bottom w:val="single" w:color="auto" w:sz="4" w:space="0"/>
              <w:right w:val="single" w:color="auto" w:sz="2" w:space="0"/>
            </w:tcBorders>
            <w:vAlign w:val="center"/>
          </w:tcPr>
          <w:p w14:paraId="1760832D">
            <w:pPr>
              <w:spacing w:before="85" w:beforeLines="30"/>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根据投标人提供的针对本项目的各种检评活动保障、防汛防台、防雪抗冻、重大节日活动等应急处理工作制定的特殊时期的应急保障方案进行综合评议：</w:t>
            </w:r>
          </w:p>
          <w:p w14:paraId="53010F8F">
            <w:pPr>
              <w:spacing w:before="85" w:beforeLines="30"/>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①</w:t>
            </w: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方案内容编写完善、科学、符合现状，对项目开展针对性强的、合理性好的、操作性强的、应急物资设备储备完全满足要求的得6分；</w:t>
            </w:r>
          </w:p>
          <w:p w14:paraId="58387B6F">
            <w:pPr>
              <w:spacing w:before="85" w:beforeLines="30"/>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②</w:t>
            </w: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方案内容较齐全、操作性较好的、应急物资设备储备基本满足要求的得4分；</w:t>
            </w:r>
          </w:p>
          <w:p w14:paraId="409212FF">
            <w:pPr>
              <w:spacing w:before="85" w:beforeLines="30"/>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③</w:t>
            </w: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方案内容基本齐全、操作性一般的、应急物资设备储备难以满足要求的，得2分。</w:t>
            </w:r>
          </w:p>
          <w:p w14:paraId="40FBF79D">
            <w:pPr>
              <w:spacing w:before="85" w:beforeLines="30"/>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未提供方案的不得分。</w:t>
            </w:r>
          </w:p>
        </w:tc>
        <w:tc>
          <w:tcPr>
            <w:tcW w:w="654" w:type="dxa"/>
            <w:tcBorders>
              <w:top w:val="single" w:color="auto" w:sz="4" w:space="0"/>
              <w:left w:val="single" w:color="auto" w:sz="4" w:space="0"/>
              <w:bottom w:val="single" w:color="auto" w:sz="4" w:space="0"/>
              <w:right w:val="single" w:color="auto" w:sz="2" w:space="0"/>
            </w:tcBorders>
            <w:vAlign w:val="center"/>
          </w:tcPr>
          <w:p w14:paraId="52E13CD0">
            <w:pPr>
              <w:spacing w:before="85" w:beforeLines="30"/>
              <w:jc w:val="center"/>
              <w:rPr>
                <w:rFonts w:hint="default"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6</w:t>
            </w:r>
          </w:p>
        </w:tc>
      </w:tr>
      <w:tr w14:paraId="7E3B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6" w:hRule="atLeast"/>
        </w:trPr>
        <w:tc>
          <w:tcPr>
            <w:tcW w:w="528" w:type="dxa"/>
            <w:vMerge w:val="continue"/>
            <w:tcBorders>
              <w:left w:val="single" w:color="auto" w:sz="4" w:space="0"/>
              <w:right w:val="single" w:color="auto" w:sz="2" w:space="0"/>
            </w:tcBorders>
            <w:vAlign w:val="center"/>
          </w:tcPr>
          <w:p w14:paraId="46F34DAD">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251F8FAA">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tcBorders>
              <w:top w:val="single" w:color="auto" w:sz="4" w:space="0"/>
              <w:left w:val="single" w:color="auto" w:sz="4" w:space="0"/>
              <w:bottom w:val="single" w:color="auto" w:sz="4" w:space="0"/>
              <w:right w:val="single" w:color="auto" w:sz="2" w:space="0"/>
            </w:tcBorders>
            <w:vAlign w:val="center"/>
          </w:tcPr>
          <w:p w14:paraId="7EC682FC">
            <w:pPr>
              <w:spacing w:before="85" w:beforeLines="30"/>
              <w:rPr>
                <w:rFonts w:hint="default" w:cs="宋体"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pP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6、质量、安全生产、文明施工、环保措施（7分）</w:t>
            </w:r>
          </w:p>
        </w:tc>
        <w:tc>
          <w:tcPr>
            <w:tcW w:w="6846" w:type="dxa"/>
            <w:tcBorders>
              <w:top w:val="single" w:color="auto" w:sz="4" w:space="0"/>
              <w:left w:val="single" w:color="auto" w:sz="4" w:space="0"/>
              <w:bottom w:val="single" w:color="auto" w:sz="4" w:space="0"/>
              <w:right w:val="single" w:color="auto" w:sz="2" w:space="0"/>
            </w:tcBorders>
            <w:vAlign w:val="center"/>
          </w:tcPr>
          <w:p w14:paraId="2A8C88A7">
            <w:pPr>
              <w:spacing w:before="85" w:beforeLines="30"/>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根据投标人提供的质量、安全生产、文明施工、环保保障措施进行综合评议：</w:t>
            </w:r>
          </w:p>
          <w:p w14:paraId="564952EE">
            <w:pPr>
              <w:spacing w:before="85" w:beforeLines="30"/>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①</w:t>
            </w: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方案内容编写完善、科学、符合现状，对项目开展针对性强的、合理性好的、操作性强的，得7分；</w:t>
            </w:r>
          </w:p>
          <w:p w14:paraId="27C80263">
            <w:pPr>
              <w:spacing w:before="85" w:beforeLines="30"/>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②</w:t>
            </w: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方案内容较齐全，对项目开展有较好的针对性与操作性的得5分；</w:t>
            </w:r>
          </w:p>
          <w:p w14:paraId="0FAAD2B2">
            <w:pPr>
              <w:spacing w:before="85" w:beforeLines="30"/>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③</w:t>
            </w: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方案内容基本完整，对项目开展针对性与操作性一般的得2分。</w:t>
            </w:r>
          </w:p>
          <w:p w14:paraId="71F35D2B">
            <w:pPr>
              <w:spacing w:before="85" w:beforeLines="30"/>
              <w:rPr>
                <w:rFonts w:hint="eastAsia" w:cs="宋体"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pP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未提供方案的不得分。</w:t>
            </w:r>
          </w:p>
        </w:tc>
        <w:tc>
          <w:tcPr>
            <w:tcW w:w="654" w:type="dxa"/>
            <w:tcBorders>
              <w:top w:val="single" w:color="auto" w:sz="4" w:space="0"/>
              <w:left w:val="single" w:color="auto" w:sz="4" w:space="0"/>
              <w:bottom w:val="single" w:color="auto" w:sz="4" w:space="0"/>
              <w:right w:val="single" w:color="auto" w:sz="2" w:space="0"/>
            </w:tcBorders>
            <w:vAlign w:val="center"/>
          </w:tcPr>
          <w:p w14:paraId="35E9C9B6">
            <w:pPr>
              <w:spacing w:before="85" w:beforeLines="30"/>
              <w:jc w:val="center"/>
              <w:rPr>
                <w:rFonts w:hint="default"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7</w:t>
            </w:r>
          </w:p>
        </w:tc>
      </w:tr>
      <w:tr w14:paraId="33303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0" w:hRule="atLeast"/>
        </w:trPr>
        <w:tc>
          <w:tcPr>
            <w:tcW w:w="528" w:type="dxa"/>
            <w:vMerge w:val="continue"/>
            <w:tcBorders>
              <w:left w:val="single" w:color="auto" w:sz="4" w:space="0"/>
              <w:right w:val="single" w:color="auto" w:sz="2" w:space="0"/>
            </w:tcBorders>
            <w:vAlign w:val="center"/>
          </w:tcPr>
          <w:p w14:paraId="6EEA9DF8">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41F09E93">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tcBorders>
              <w:top w:val="single" w:color="auto" w:sz="4" w:space="0"/>
              <w:left w:val="single" w:color="auto" w:sz="4" w:space="0"/>
              <w:bottom w:val="single" w:color="auto" w:sz="4" w:space="0"/>
              <w:right w:val="single" w:color="auto" w:sz="2" w:space="0"/>
            </w:tcBorders>
            <w:shd w:val="clear" w:color="auto" w:fill="auto"/>
            <w:vAlign w:val="center"/>
          </w:tcPr>
          <w:p w14:paraId="41101095">
            <w:pPr>
              <w:rPr>
                <w:rFonts w:hint="eastAsia" w:cs="宋体"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、重难点分析（</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分）</w:t>
            </w:r>
          </w:p>
        </w:tc>
        <w:tc>
          <w:tcPr>
            <w:tcW w:w="6846" w:type="dxa"/>
            <w:tcBorders>
              <w:top w:val="single" w:color="auto" w:sz="4" w:space="0"/>
              <w:left w:val="single" w:color="auto" w:sz="4" w:space="0"/>
              <w:bottom w:val="single" w:color="auto" w:sz="4" w:space="0"/>
              <w:right w:val="single" w:color="auto" w:sz="2" w:space="0"/>
            </w:tcBorders>
            <w:shd w:val="clear" w:color="auto" w:fill="auto"/>
            <w:vAlign w:val="center"/>
          </w:tcPr>
          <w:p w14:paraId="55D22A43">
            <w:pPr>
              <w:widowControl/>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根据投标人对本项目的技术关键点、难点进行分析，根据其完整性，合理性进行综合评议：</w:t>
            </w:r>
          </w:p>
          <w:p w14:paraId="0571D87B">
            <w:pPr>
              <w:widowControl/>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①对本项目关键问题重点、难点分析合理、清晰、全面的得</w:t>
            </w:r>
            <w:r>
              <w:rPr>
                <w:rFonts w:hint="eastAsia"/>
                <w:color w:val="000000" w:themeColor="text1"/>
                <w:highlight w:val="none"/>
                <w:lang w:val="en-US" w:eastAsia="zh-CN"/>
                <w14:textFill>
                  <w14:solidFill>
                    <w14:schemeClr w14:val="tx1"/>
                  </w14:solidFill>
                </w14:textFill>
              </w:rPr>
              <w:t>7</w:t>
            </w:r>
            <w:r>
              <w:rPr>
                <w:rFonts w:hint="eastAsia"/>
                <w:color w:val="000000" w:themeColor="text1"/>
                <w:highlight w:val="none"/>
                <w14:textFill>
                  <w14:solidFill>
                    <w14:schemeClr w14:val="tx1"/>
                  </w14:solidFill>
                </w14:textFill>
              </w:rPr>
              <w:t>分；</w:t>
            </w:r>
          </w:p>
          <w:p w14:paraId="724A2924">
            <w:pPr>
              <w:widowControl/>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②对本项目关键问题的重点、难点分析较为合理、较为清晰、较为全面的得</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分；</w:t>
            </w:r>
          </w:p>
          <w:p w14:paraId="7317FFA7">
            <w:pPr>
              <w:widowControl/>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③对本项目关键问题的重点、难点分析不合理、不清晰、不全面的得</w:t>
            </w:r>
            <w:r>
              <w:rPr>
                <w:rFonts w:hint="eastAsia"/>
                <w:color w:val="000000" w:themeColor="text1"/>
                <w:highlight w:val="none"/>
                <w:lang w:val="en-US" w:eastAsia="zh-CN"/>
                <w14:textFill>
                  <w14:solidFill>
                    <w14:schemeClr w14:val="tx1"/>
                  </w14:solidFill>
                </w14:textFill>
              </w:rPr>
              <w:t>2</w:t>
            </w:r>
            <w:r>
              <w:rPr>
                <w:rFonts w:hint="eastAsia"/>
                <w:color w:val="000000" w:themeColor="text1"/>
                <w:highlight w:val="none"/>
                <w14:textFill>
                  <w14:solidFill>
                    <w14:schemeClr w14:val="tx1"/>
                  </w14:solidFill>
                </w14:textFill>
              </w:rPr>
              <w:t>分；</w:t>
            </w:r>
          </w:p>
          <w:p w14:paraId="43661B84">
            <w:pPr>
              <w:widowControl/>
              <w:rPr>
                <w:rFonts w:hint="eastAsia" w:cs="宋体"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pP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未提供方案的不得分。</w:t>
            </w:r>
          </w:p>
        </w:tc>
        <w:tc>
          <w:tcPr>
            <w:tcW w:w="654" w:type="dxa"/>
            <w:tcBorders>
              <w:top w:val="single" w:color="auto" w:sz="4" w:space="0"/>
              <w:left w:val="single" w:color="auto" w:sz="4" w:space="0"/>
              <w:bottom w:val="single" w:color="auto" w:sz="4" w:space="0"/>
              <w:right w:val="single" w:color="auto" w:sz="2" w:space="0"/>
            </w:tcBorders>
            <w:shd w:val="clear" w:color="auto" w:fill="auto"/>
            <w:vAlign w:val="center"/>
          </w:tcPr>
          <w:p w14:paraId="1E5D59C9">
            <w:pPr>
              <w:spacing w:before="85" w:beforeLines="30"/>
              <w:jc w:val="center"/>
              <w:rPr>
                <w:rFonts w:hint="eastAsia" w:cs="Times New Roman" w:asciiTheme="majorEastAsia" w:hAnsiTheme="majorEastAsia" w:eastAsiaTheme="majorEastAsia"/>
                <w:color w:val="000000" w:themeColor="text1"/>
                <w:kern w:val="2"/>
                <w:sz w:val="21"/>
                <w:szCs w:val="21"/>
                <w:highlight w:val="none"/>
                <w:lang w:val="en-US" w:eastAsia="zh-CN" w:bidi="ar-SA"/>
                <w14:textFill>
                  <w14:solidFill>
                    <w14:schemeClr w14:val="tx1"/>
                  </w14:solidFill>
                </w14:textFill>
              </w:rPr>
            </w:pP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7</w:t>
            </w:r>
          </w:p>
        </w:tc>
      </w:tr>
      <w:tr w14:paraId="14B7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6" w:hRule="atLeast"/>
        </w:trPr>
        <w:tc>
          <w:tcPr>
            <w:tcW w:w="528" w:type="dxa"/>
            <w:vMerge w:val="continue"/>
            <w:tcBorders>
              <w:left w:val="single" w:color="auto" w:sz="4" w:space="0"/>
              <w:right w:val="single" w:color="auto" w:sz="2" w:space="0"/>
            </w:tcBorders>
            <w:vAlign w:val="center"/>
          </w:tcPr>
          <w:p w14:paraId="67F38F21">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702" w:type="dxa"/>
            <w:vMerge w:val="continue"/>
            <w:tcBorders>
              <w:left w:val="single" w:color="auto" w:sz="4" w:space="0"/>
              <w:right w:val="single" w:color="auto" w:sz="2" w:space="0"/>
            </w:tcBorders>
            <w:vAlign w:val="center"/>
          </w:tcPr>
          <w:p w14:paraId="73BA9840">
            <w:pPr>
              <w:widowControl/>
              <w:spacing w:before="85" w:beforeLines="30" w:line="288" w:lineRule="auto"/>
              <w:jc w:val="left"/>
              <w:rPr>
                <w:rFonts w:asciiTheme="majorEastAsia" w:hAnsiTheme="majorEastAsia" w:eastAsiaTheme="majorEastAsia"/>
                <w:snapToGrid w:val="0"/>
                <w:color w:val="000000" w:themeColor="text1"/>
                <w:spacing w:val="-4"/>
                <w:szCs w:val="21"/>
                <w:highlight w:val="none"/>
                <w14:textFill>
                  <w14:solidFill>
                    <w14:schemeClr w14:val="tx1"/>
                  </w14:solidFill>
                </w14:textFill>
              </w:rPr>
            </w:pPr>
          </w:p>
        </w:tc>
        <w:tc>
          <w:tcPr>
            <w:tcW w:w="1505" w:type="dxa"/>
            <w:tcBorders>
              <w:top w:val="single" w:color="auto" w:sz="4" w:space="0"/>
              <w:left w:val="single" w:color="auto" w:sz="4" w:space="0"/>
              <w:bottom w:val="single" w:color="auto" w:sz="4" w:space="0"/>
              <w:right w:val="single" w:color="auto" w:sz="2" w:space="0"/>
            </w:tcBorders>
            <w:vAlign w:val="center"/>
          </w:tcPr>
          <w:p w14:paraId="33E18FAA">
            <w:pPr>
              <w:rPr>
                <w:rFonts w:hint="default"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增值服务</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分）</w:t>
            </w:r>
          </w:p>
        </w:tc>
        <w:tc>
          <w:tcPr>
            <w:tcW w:w="6846" w:type="dxa"/>
            <w:tcBorders>
              <w:top w:val="single" w:color="auto" w:sz="4" w:space="0"/>
              <w:left w:val="single" w:color="auto" w:sz="4" w:space="0"/>
              <w:bottom w:val="single" w:color="auto" w:sz="4" w:space="0"/>
              <w:right w:val="single" w:color="auto" w:sz="2" w:space="0"/>
            </w:tcBorders>
            <w:vAlign w:val="center"/>
          </w:tcPr>
          <w:p w14:paraId="61014894">
            <w:pPr>
              <w:widowControl/>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根据投标人提供的后续增值服务方案进综合评议：</w:t>
            </w:r>
          </w:p>
          <w:p w14:paraId="792E0D8B">
            <w:pPr>
              <w:widowControl/>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①后续增值服务方案贴切项目实际情况，服务方案内容详尽有效的，得</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分；</w:t>
            </w:r>
          </w:p>
          <w:p w14:paraId="0C84B813">
            <w:pPr>
              <w:widowControl/>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②后续增值服务方案较为符合项目实际情况，服务方案内容较为详尽有效的，得</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分；</w:t>
            </w:r>
          </w:p>
          <w:p w14:paraId="1C90649F">
            <w:pPr>
              <w:widowControl/>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③后续增值服务方案与项目实际情况不符，服务方案内容有缺陷的，得</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分。</w:t>
            </w:r>
          </w:p>
          <w:p w14:paraId="5E95415E">
            <w:pPr>
              <w:widowControl/>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pPr>
            <w:r>
              <w:rPr>
                <w:rFonts w:hint="eastAsia" w:cs="宋体" w:asciiTheme="majorEastAsia" w:hAnsiTheme="majorEastAsia" w:eastAsiaTheme="majorEastAsia"/>
                <w:color w:val="000000" w:themeColor="text1"/>
                <w:szCs w:val="21"/>
                <w:highlight w:val="none"/>
                <w:lang w:val="en-US" w:eastAsia="zh-CN"/>
                <w14:textFill>
                  <w14:solidFill>
                    <w14:schemeClr w14:val="tx1"/>
                  </w14:solidFill>
                </w14:textFill>
              </w:rPr>
              <w:t>未提供方案的不得分。</w:t>
            </w:r>
          </w:p>
        </w:tc>
        <w:tc>
          <w:tcPr>
            <w:tcW w:w="654" w:type="dxa"/>
            <w:tcBorders>
              <w:top w:val="single" w:color="auto" w:sz="4" w:space="0"/>
              <w:left w:val="single" w:color="auto" w:sz="4" w:space="0"/>
              <w:bottom w:val="single" w:color="auto" w:sz="4" w:space="0"/>
              <w:right w:val="single" w:color="auto" w:sz="2" w:space="0"/>
            </w:tcBorders>
            <w:vAlign w:val="center"/>
          </w:tcPr>
          <w:p w14:paraId="33CEBD37">
            <w:pPr>
              <w:spacing w:before="85" w:beforeLines="30"/>
              <w:jc w:val="center"/>
              <w:rPr>
                <w:rFonts w:hint="eastAsia" w:asciiTheme="majorEastAsia" w:hAnsiTheme="majorEastAsia" w:eastAsiaTheme="majorEastAsia"/>
                <w:color w:val="000000" w:themeColor="text1"/>
                <w:szCs w:val="21"/>
                <w:highlight w:val="none"/>
                <w:lang w:eastAsia="zh-CN"/>
                <w14:textFill>
                  <w14:solidFill>
                    <w14:schemeClr w14:val="tx1"/>
                  </w14:solidFill>
                </w14:textFill>
              </w:rPr>
            </w:pP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6</w:t>
            </w:r>
          </w:p>
        </w:tc>
      </w:tr>
      <w:tr w14:paraId="1246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6" w:hRule="atLeast"/>
        </w:trPr>
        <w:tc>
          <w:tcPr>
            <w:tcW w:w="1230" w:type="dxa"/>
            <w:gridSpan w:val="2"/>
            <w:tcBorders>
              <w:top w:val="single" w:color="auto" w:sz="4" w:space="0"/>
              <w:left w:val="single" w:color="auto" w:sz="4" w:space="0"/>
              <w:bottom w:val="single" w:color="auto" w:sz="4" w:space="0"/>
              <w:right w:val="single" w:color="auto" w:sz="2" w:space="0"/>
            </w:tcBorders>
            <w:tcMar>
              <w:top w:w="0" w:type="dxa"/>
              <w:left w:w="0" w:type="dxa"/>
              <w:bottom w:w="0" w:type="dxa"/>
              <w:right w:w="0" w:type="dxa"/>
            </w:tcMar>
            <w:vAlign w:val="center"/>
          </w:tcPr>
          <w:p w14:paraId="087FF56B">
            <w:pPr>
              <w:spacing w:before="85" w:beforeLines="30" w:line="288" w:lineRule="auto"/>
              <w:jc w:val="center"/>
              <w:rPr>
                <w:rFonts w:asciiTheme="majorEastAsia" w:hAnsiTheme="majorEastAsia" w:eastAsiaTheme="majorEastAsia"/>
                <w:snapToGrid w:val="0"/>
                <w:color w:val="000000" w:themeColor="text1"/>
                <w:spacing w:val="-4"/>
                <w:szCs w:val="21"/>
                <w:highlight w:val="none"/>
                <w14:textFill>
                  <w14:solidFill>
                    <w14:schemeClr w14:val="tx1"/>
                  </w14:solidFill>
                </w14:textFill>
              </w:rPr>
            </w:pP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报价分</w:t>
            </w:r>
          </w:p>
          <w:p w14:paraId="23863950">
            <w:pPr>
              <w:spacing w:before="85" w:beforeLines="30" w:line="288" w:lineRule="auto"/>
              <w:jc w:val="center"/>
              <w:rPr>
                <w:rFonts w:asciiTheme="majorEastAsia" w:hAnsiTheme="majorEastAsia" w:eastAsiaTheme="majorEastAsia"/>
                <w:snapToGrid w:val="0"/>
                <w:color w:val="000000" w:themeColor="text1"/>
                <w:spacing w:val="-4"/>
                <w:szCs w:val="21"/>
                <w:highlight w:val="none"/>
                <w14:textFill>
                  <w14:solidFill>
                    <w14:schemeClr w14:val="tx1"/>
                  </w14:solidFill>
                </w14:textFill>
              </w:rPr>
            </w:pP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（满分1</w:t>
            </w:r>
            <w:r>
              <w:rPr>
                <w:rFonts w:hint="eastAsia" w:asciiTheme="majorEastAsia" w:hAnsiTheme="majorEastAsia" w:eastAsiaTheme="majorEastAsia"/>
                <w:snapToGrid w:val="0"/>
                <w:color w:val="000000" w:themeColor="text1"/>
                <w:spacing w:val="-4"/>
                <w:szCs w:val="21"/>
                <w:highlight w:val="none"/>
                <w:lang w:val="en-US" w:eastAsia="zh-CN"/>
                <w14:textFill>
                  <w14:solidFill>
                    <w14:schemeClr w14:val="tx1"/>
                  </w14:solidFill>
                </w14:textFill>
              </w:rPr>
              <w:t>5</w:t>
            </w:r>
            <w:r>
              <w:rPr>
                <w:rFonts w:hint="eastAsia" w:asciiTheme="majorEastAsia" w:hAnsiTheme="majorEastAsia" w:eastAsiaTheme="majorEastAsia"/>
                <w:snapToGrid w:val="0"/>
                <w:color w:val="000000" w:themeColor="text1"/>
                <w:spacing w:val="-4"/>
                <w:szCs w:val="21"/>
                <w:highlight w:val="none"/>
                <w14:textFill>
                  <w14:solidFill>
                    <w14:schemeClr w14:val="tx1"/>
                  </w14:solidFill>
                </w14:textFill>
              </w:rPr>
              <w:t>分）</w:t>
            </w:r>
          </w:p>
        </w:tc>
        <w:tc>
          <w:tcPr>
            <w:tcW w:w="9005" w:type="dxa"/>
            <w:gridSpan w:val="3"/>
            <w:tcBorders>
              <w:top w:val="single" w:color="auto" w:sz="4" w:space="0"/>
              <w:left w:val="single" w:color="auto" w:sz="4" w:space="0"/>
              <w:bottom w:val="single" w:color="auto" w:sz="4" w:space="0"/>
              <w:right w:val="single" w:color="auto" w:sz="2" w:space="0"/>
            </w:tcBorders>
            <w:vAlign w:val="center"/>
          </w:tcPr>
          <w:p w14:paraId="54BE2C9F">
            <w:pPr>
              <w:spacing w:before="85" w:beforeLines="30" w:line="288" w:lineRule="auto"/>
              <w:rPr>
                <w:rFonts w:asciiTheme="majorEastAsia" w:hAnsiTheme="majorEastAsia" w:eastAsiaTheme="majorEastAsia"/>
                <w:color w:val="000000" w:themeColor="text1"/>
                <w:szCs w:val="21"/>
                <w:highlight w:val="none"/>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评标基准价指的是满足招标文件要求且最低的参与评审的价格。</w:t>
            </w:r>
          </w:p>
          <w:p w14:paraId="01AC41E5">
            <w:pPr>
              <w:spacing w:before="85" w:beforeLines="30" w:line="288" w:lineRule="auto"/>
              <w:rPr>
                <w:rFonts w:asciiTheme="majorEastAsia" w:hAnsiTheme="majorEastAsia" w:eastAsiaTheme="majorEastAsia"/>
                <w:color w:val="000000" w:themeColor="text1"/>
                <w:szCs w:val="21"/>
                <w:highlight w:val="none"/>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参与评审的价格=投标报价-小微企业价格扣除优惠值（如有）。</w:t>
            </w:r>
          </w:p>
          <w:p w14:paraId="7EC7229A">
            <w:pPr>
              <w:spacing w:before="85" w:beforeLines="30" w:line="288" w:lineRule="auto"/>
              <w:rPr>
                <w:rFonts w:asciiTheme="majorEastAsia" w:hAnsiTheme="majorEastAsia" w:eastAsiaTheme="majorEastAsia"/>
                <w:color w:val="000000" w:themeColor="text1"/>
                <w:szCs w:val="21"/>
                <w:highlight w:val="none"/>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参与评审的价格为评标基准价的其价格得分得满分</w:t>
            </w: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15</w:t>
            </w:r>
            <w:r>
              <w:rPr>
                <w:rFonts w:hint="eastAsia" w:asciiTheme="majorEastAsia" w:hAnsiTheme="majorEastAsia" w:eastAsiaTheme="majorEastAsia"/>
                <w:color w:val="000000" w:themeColor="text1"/>
                <w:szCs w:val="21"/>
                <w:highlight w:val="none"/>
                <w14:textFill>
                  <w14:solidFill>
                    <w14:schemeClr w14:val="tx1"/>
                  </w14:solidFill>
                </w14:textFill>
              </w:rPr>
              <w:t>分。</w:t>
            </w:r>
          </w:p>
          <w:p w14:paraId="72A69B97">
            <w:pPr>
              <w:spacing w:before="85" w:beforeLines="30" w:line="288" w:lineRule="auto"/>
              <w:rPr>
                <w:rFonts w:asciiTheme="majorEastAsia" w:hAnsiTheme="majorEastAsia" w:eastAsiaTheme="majorEastAsia"/>
                <w:color w:val="000000" w:themeColor="text1"/>
                <w:szCs w:val="21"/>
                <w:highlight w:val="none"/>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其他投标人价格得分按照下列公式计算：</w:t>
            </w:r>
          </w:p>
          <w:p w14:paraId="45C6E24E">
            <w:pPr>
              <w:spacing w:before="85" w:beforeLines="30" w:line="288" w:lineRule="auto"/>
              <w:rPr>
                <w:rFonts w:asciiTheme="majorEastAsia" w:hAnsiTheme="majorEastAsia" w:eastAsiaTheme="majorEastAsia"/>
                <w:color w:val="000000" w:themeColor="text1"/>
                <w:szCs w:val="21"/>
                <w:highlight w:val="none"/>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价格得分=（评标基准价/各投标人参与评审的价格）×1</w:t>
            </w:r>
            <w:r>
              <w:rPr>
                <w:rFonts w:hint="eastAsia" w:asciiTheme="majorEastAsia" w:hAnsiTheme="majorEastAsia" w:eastAsiaTheme="majorEastAsia"/>
                <w:color w:val="000000" w:themeColor="text1"/>
                <w:szCs w:val="21"/>
                <w:highlight w:val="none"/>
                <w:lang w:val="en-US" w:eastAsia="zh-CN"/>
                <w14:textFill>
                  <w14:solidFill>
                    <w14:schemeClr w14:val="tx1"/>
                  </w14:solidFill>
                </w14:textFill>
              </w:rPr>
              <w:t>5</w:t>
            </w:r>
            <w:r>
              <w:rPr>
                <w:rFonts w:hint="eastAsia" w:asciiTheme="majorEastAsia" w:hAnsiTheme="majorEastAsia" w:eastAsiaTheme="majorEastAsia"/>
                <w:color w:val="000000" w:themeColor="text1"/>
                <w:szCs w:val="21"/>
                <w:highlight w:val="none"/>
                <w14:textFill>
                  <w14:solidFill>
                    <w14:schemeClr w14:val="tx1"/>
                  </w14:solidFill>
                </w14:textFill>
              </w:rPr>
              <w:t>％×100。</w:t>
            </w:r>
          </w:p>
          <w:p w14:paraId="7EB52346">
            <w:pPr>
              <w:spacing w:before="85" w:beforeLines="30" w:line="288" w:lineRule="auto"/>
              <w:rPr>
                <w:rFonts w:asciiTheme="majorEastAsia" w:hAnsiTheme="majorEastAsia" w:eastAsiaTheme="majorEastAsia"/>
                <w:color w:val="000000" w:themeColor="text1"/>
                <w:szCs w:val="21"/>
                <w:highlight w:val="none"/>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注：1、投标报价超过最高限价的作无效标处理。</w:t>
            </w:r>
          </w:p>
          <w:p w14:paraId="1737FF7C">
            <w:pPr>
              <w:spacing w:before="85" w:beforeLines="30" w:line="288" w:lineRule="auto"/>
              <w:rPr>
                <w:rFonts w:asciiTheme="majorEastAsia" w:hAnsiTheme="majorEastAsia" w:eastAsiaTheme="majorEastAsia"/>
                <w:color w:val="000000" w:themeColor="text1"/>
                <w:szCs w:val="21"/>
                <w:highlight w:val="none"/>
                <w14:textFill>
                  <w14:solidFill>
                    <w14:schemeClr w14:val="tx1"/>
                  </w14:solidFill>
                </w14:textFill>
              </w:rPr>
            </w:pPr>
            <w:r>
              <w:rPr>
                <w:rFonts w:hint="eastAsia" w:asciiTheme="majorEastAsia" w:hAnsiTheme="majorEastAsia" w:eastAsiaTheme="majorEastAsia"/>
                <w:color w:val="000000" w:themeColor="text1"/>
                <w:szCs w:val="21"/>
                <w:highlight w:val="none"/>
                <w14:textFill>
                  <w14:solidFill>
                    <w14:schemeClr w14:val="tx1"/>
                  </w14:solidFill>
                </w14:textFill>
              </w:rPr>
              <w:t>2、价格得分小数点后保留2位小数，第3位小数四舍五入。</w:t>
            </w:r>
          </w:p>
        </w:tc>
      </w:tr>
    </w:tbl>
    <w:p w14:paraId="725C3D84">
      <w:pPr>
        <w:pStyle w:val="3"/>
        <w:spacing w:beforeLines="0" w:afterLines="0" w:line="360" w:lineRule="auto"/>
        <w:rPr>
          <w:rFonts w:ascii="宋体" w:hAnsi="宋体"/>
          <w:color w:val="000000" w:themeColor="text1"/>
          <w:sz w:val="32"/>
          <w:szCs w:val="32"/>
          <w:highlight w:val="none"/>
          <w14:textFill>
            <w14:solidFill>
              <w14:schemeClr w14:val="tx1"/>
            </w14:solidFill>
          </w14:textFill>
        </w:rPr>
        <w:sectPr>
          <w:headerReference r:id="rId15" w:type="default"/>
          <w:pgSz w:w="11907" w:h="16840"/>
          <w:pgMar w:top="1418" w:right="1701" w:bottom="1418" w:left="1701" w:header="720" w:footer="720" w:gutter="0"/>
          <w:cols w:space="720" w:num="1"/>
          <w:docGrid w:type="lines" w:linePitch="285" w:charSpace="0"/>
        </w:sectPr>
      </w:pPr>
    </w:p>
    <w:p w14:paraId="09A29CED">
      <w:pPr>
        <w:pStyle w:val="3"/>
        <w:spacing w:beforeLines="0" w:afterLines="0" w:line="360" w:lineRule="auto"/>
        <w:rPr>
          <w:rFonts w:ascii="宋体" w:hAnsi="宋体"/>
          <w:color w:val="000000" w:themeColor="text1"/>
          <w:sz w:val="32"/>
          <w:szCs w:val="32"/>
          <w:highlight w:val="none"/>
          <w14:textFill>
            <w14:solidFill>
              <w14:schemeClr w14:val="tx1"/>
            </w14:solidFill>
          </w14:textFill>
        </w:rPr>
      </w:pPr>
      <w:bookmarkStart w:id="140" w:name="_Toc21993"/>
      <w:r>
        <w:rPr>
          <w:rFonts w:hint="eastAsia" w:ascii="宋体" w:hAnsi="宋体"/>
          <w:color w:val="000000" w:themeColor="text1"/>
          <w:sz w:val="32"/>
          <w:szCs w:val="32"/>
          <w:highlight w:val="none"/>
          <w14:textFill>
            <w14:solidFill>
              <w14:schemeClr w14:val="tx1"/>
            </w14:solidFill>
          </w14:textFill>
        </w:rPr>
        <w:t>第六部分  合同格式</w:t>
      </w:r>
      <w:bookmarkEnd w:id="138"/>
      <w:bookmarkEnd w:id="140"/>
    </w:p>
    <w:p w14:paraId="3F899E9A">
      <w:pPr>
        <w:pStyle w:val="137"/>
        <w:jc w:val="center"/>
        <w:rPr>
          <w:rFonts w:asciiTheme="minorEastAsia" w:hAnsiTheme="minorEastAsia" w:eastAsiaTheme="minorEastAsia"/>
          <w:color w:val="000000" w:themeColor="text1"/>
          <w:szCs w:val="24"/>
          <w:highlight w:val="none"/>
          <w14:textFill>
            <w14:solidFill>
              <w14:schemeClr w14:val="tx1"/>
            </w14:solidFill>
          </w14:textFill>
        </w:rPr>
      </w:pPr>
      <w:bookmarkStart w:id="141" w:name="_Toc298230959"/>
    </w:p>
    <w:p w14:paraId="2EA2EEFB">
      <w:pPr>
        <w:pStyle w:val="20"/>
        <w:snapToGrid w:val="0"/>
        <w:spacing w:line="420" w:lineRule="exact"/>
        <w:jc w:val="left"/>
        <w:rPr>
          <w:rFonts w:hint="default" w:hAnsi="宋体" w:cs="宋体"/>
          <w:color w:val="000000" w:themeColor="text1"/>
          <w:highlight w:val="none"/>
          <w:lang w:val="en-US"/>
          <w14:textFill>
            <w14:solidFill>
              <w14:schemeClr w14:val="tx1"/>
            </w14:solidFill>
          </w14:textFill>
        </w:rPr>
      </w:pPr>
      <w:r>
        <w:rPr>
          <w:rFonts w:hint="eastAsia" w:hAnsi="宋体" w:cs="宋体"/>
          <w:color w:val="000000" w:themeColor="text1"/>
          <w:highlight w:val="none"/>
          <w14:textFill>
            <w14:solidFill>
              <w14:schemeClr w14:val="tx1"/>
            </w14:solidFill>
          </w14:textFill>
        </w:rPr>
        <w:t>项目名称：大榭市政道路及排水管网综合养护项目                                     项目编号</w:t>
      </w:r>
      <w:r>
        <w:rPr>
          <w:rFonts w:hint="eastAsia" w:ascii="宋体" w:hAnsi="宋体" w:eastAsia="宋体" w:cs="宋体"/>
          <w:color w:val="000000" w:themeColor="text1"/>
          <w:highlight w:val="none"/>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 xml:space="preserve">           </w:t>
      </w:r>
    </w:p>
    <w:p w14:paraId="6672D0EE">
      <w:pPr>
        <w:pStyle w:val="20"/>
        <w:snapToGrid w:val="0"/>
        <w:spacing w:line="420" w:lineRule="exact"/>
        <w:rPr>
          <w:rFonts w:hAnsi="宋体" w:cs="宋体"/>
          <w:color w:val="000000" w:themeColor="text1"/>
          <w:highlight w:val="none"/>
          <w:u w:val="single"/>
          <w14:textFill>
            <w14:solidFill>
              <w14:schemeClr w14:val="tx1"/>
            </w14:solidFill>
          </w14:textFill>
        </w:rPr>
      </w:pPr>
      <w:r>
        <w:rPr>
          <w:rFonts w:hint="eastAsia" w:hAnsi="宋体" w:cs="宋体"/>
          <w:color w:val="000000" w:themeColor="text1"/>
          <w:highlight w:val="none"/>
          <w14:textFill>
            <w14:solidFill>
              <w14:schemeClr w14:val="tx1"/>
            </w14:solidFill>
          </w14:textFill>
        </w:rPr>
        <w:t>甲方：（买</w:t>
      </w:r>
      <w:r>
        <w:rPr>
          <w:rFonts w:hint="eastAsia" w:ascii="宋体" w:hAnsi="宋体" w:eastAsia="宋体" w:cs="宋体"/>
          <w:color w:val="000000" w:themeColor="text1"/>
          <w:highlight w:val="none"/>
          <w14:textFill>
            <w14:solidFill>
              <w14:schemeClr w14:val="tx1"/>
            </w14:solidFill>
          </w14:textFill>
        </w:rPr>
        <w:t>方）</w:t>
      </w:r>
      <w:r>
        <w:rPr>
          <w:rFonts w:hint="eastAsia" w:hAnsi="宋体" w:cs="宋体"/>
          <w:color w:val="000000" w:themeColor="text1"/>
          <w:highlight w:val="none"/>
          <w:u w:val="single"/>
          <w:lang w:val="en-US" w:eastAsia="zh-CN"/>
          <w14:textFill>
            <w14:solidFill>
              <w14:schemeClr w14:val="tx1"/>
            </w14:solidFill>
          </w14:textFill>
        </w:rPr>
        <w:t xml:space="preserve">                                  </w:t>
      </w:r>
    </w:p>
    <w:p w14:paraId="0A335862">
      <w:pPr>
        <w:pStyle w:val="20"/>
        <w:snapToGrid w:val="0"/>
        <w:spacing w:line="420" w:lineRule="exact"/>
        <w:rPr>
          <w:rFonts w:hint="default" w:hAnsi="宋体" w:cs="宋体"/>
          <w:color w:val="000000" w:themeColor="text1"/>
          <w:highlight w:val="none"/>
          <w:lang w:val="en-US"/>
          <w14:textFill>
            <w14:solidFill>
              <w14:schemeClr w14:val="tx1"/>
            </w14:solidFill>
          </w14:textFill>
        </w:rPr>
      </w:pPr>
      <w:r>
        <w:rPr>
          <w:rFonts w:hint="eastAsia" w:hAnsi="宋体" w:cs="宋体"/>
          <w:color w:val="000000" w:themeColor="text1"/>
          <w:highlight w:val="none"/>
          <w14:textFill>
            <w14:solidFill>
              <w14:schemeClr w14:val="tx1"/>
            </w14:solidFill>
          </w14:textFill>
        </w:rPr>
        <w:t>乙方：（卖方）</w:t>
      </w:r>
      <w:r>
        <w:rPr>
          <w:rFonts w:hint="eastAsia" w:hAnsi="宋体" w:cs="宋体"/>
          <w:color w:val="000000" w:themeColor="text1"/>
          <w:highlight w:val="none"/>
          <w:u w:val="single"/>
          <w:lang w:val="en-US" w:eastAsia="zh-CN"/>
          <w14:textFill>
            <w14:solidFill>
              <w14:schemeClr w14:val="tx1"/>
            </w14:solidFill>
          </w14:textFill>
        </w:rPr>
        <w:t xml:space="preserve">                                  </w:t>
      </w:r>
    </w:p>
    <w:p w14:paraId="5FC8C3D0">
      <w:pPr>
        <w:pStyle w:val="20"/>
        <w:snapToGrid w:val="0"/>
        <w:spacing w:line="420" w:lineRule="exact"/>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甲、乙双方根据招标的结果，签署本合同。</w:t>
      </w:r>
    </w:p>
    <w:p w14:paraId="075E9739">
      <w:pPr>
        <w:pStyle w:val="20"/>
        <w:snapToGrid w:val="0"/>
        <w:spacing w:line="420" w:lineRule="exact"/>
        <w:rPr>
          <w:rFonts w:hint="eastAsia"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一、服务内容</w:t>
      </w:r>
    </w:p>
    <w:p w14:paraId="68F2B990">
      <w:pPr>
        <w:widowControl/>
        <w:numPr>
          <w:ilvl w:val="0"/>
          <w:numId w:val="2"/>
        </w:numPr>
        <w:autoSpaceDE w:val="0"/>
        <w:autoSpaceDN w:val="0"/>
        <w:spacing w:line="360" w:lineRule="auto"/>
        <w:textAlignment w:val="bottom"/>
        <w:rPr>
          <w:rFonts w:hint="eastAsia" w:ascii="Arial" w:hAnsi="Arial"/>
          <w:b/>
          <w:bCs/>
          <w:color w:val="000000" w:themeColor="text1"/>
          <w:highlight w:val="none"/>
          <w14:textFill>
            <w14:solidFill>
              <w14:schemeClr w14:val="tx1"/>
            </w14:solidFill>
          </w14:textFill>
        </w:rPr>
      </w:pPr>
      <w:r>
        <w:rPr>
          <w:rFonts w:hint="eastAsia" w:ascii="Arial" w:hAnsi="Arial"/>
          <w:b/>
          <w:bCs/>
          <w:color w:val="000000" w:themeColor="text1"/>
          <w:highlight w:val="none"/>
          <w14:textFill>
            <w14:solidFill>
              <w14:schemeClr w14:val="tx1"/>
            </w14:solidFill>
          </w14:textFill>
        </w:rPr>
        <w:t>服务区域：</w:t>
      </w:r>
    </w:p>
    <w:p w14:paraId="668E1D02">
      <w:pPr>
        <w:widowControl/>
        <w:autoSpaceDE w:val="0"/>
        <w:autoSpaceDN w:val="0"/>
        <w:spacing w:line="360" w:lineRule="auto"/>
        <w:ind w:firstLine="420" w:firstLineChars="200"/>
        <w:textAlignment w:val="bottom"/>
        <w:rPr>
          <w:rFonts w:ascii="宋体" w:hAnsi="宋体" w:eastAsia="宋体" w:cs="宋体"/>
          <w:color w:val="000000" w:themeColor="text1"/>
          <w:spacing w:val="-1"/>
          <w:sz w:val="21"/>
          <w:szCs w:val="21"/>
          <w:highlight w:val="none"/>
          <w14:textFill>
            <w14:solidFill>
              <w14:schemeClr w14:val="tx1"/>
            </w14:solidFill>
          </w14:textFill>
        </w:rPr>
      </w:pPr>
      <w:r>
        <w:rPr>
          <w:rFonts w:hint="eastAsia" w:ascii="Arial" w:hAnsi="Arial"/>
          <w:color w:val="000000" w:themeColor="text1"/>
          <w:szCs w:val="21"/>
          <w:highlight w:val="none"/>
          <w14:textFill>
            <w14:solidFill>
              <w14:schemeClr w14:val="tx1"/>
            </w14:solidFill>
          </w14:textFill>
        </w:rPr>
        <w:t>大榭区域</w:t>
      </w:r>
      <w:r>
        <w:rPr>
          <w:rFonts w:ascii="Arial" w:hAnsi="Arial"/>
          <w:color w:val="000000" w:themeColor="text1"/>
          <w:szCs w:val="21"/>
          <w:highlight w:val="none"/>
          <w14:textFill>
            <w14:solidFill>
              <w14:schemeClr w14:val="tx1"/>
            </w14:solidFill>
          </w14:textFill>
        </w:rPr>
        <w:t>内</w:t>
      </w:r>
      <w:r>
        <w:rPr>
          <w:rFonts w:hint="eastAsia" w:ascii="Arial" w:hAnsi="Arial"/>
          <w:color w:val="000000" w:themeColor="text1"/>
          <w:szCs w:val="21"/>
          <w:highlight w:val="none"/>
          <w14:textFill>
            <w14:solidFill>
              <w14:schemeClr w14:val="tx1"/>
            </w14:solidFill>
          </w14:textFill>
        </w:rPr>
        <w:t>的所有</w:t>
      </w:r>
      <w:r>
        <w:rPr>
          <w:rFonts w:hint="eastAsia" w:ascii="Arial" w:hAnsi="Arial" w:cs="Arial"/>
          <w:bCs/>
          <w:color w:val="000000" w:themeColor="text1"/>
          <w:szCs w:val="21"/>
          <w:highlight w:val="none"/>
          <w14:textFill>
            <w14:solidFill>
              <w14:schemeClr w14:val="tx1"/>
            </w14:solidFill>
          </w14:textFill>
        </w:rPr>
        <w:t>城市道路（含人行道）、桥梁、</w:t>
      </w:r>
      <w:r>
        <w:rPr>
          <w:rFonts w:ascii="Arial" w:hAnsi="Arial" w:cs="Arial"/>
          <w:bCs/>
          <w:color w:val="000000" w:themeColor="text1"/>
          <w:szCs w:val="21"/>
          <w:highlight w:val="none"/>
          <w14:textFill>
            <w14:solidFill>
              <w14:schemeClr w14:val="tx1"/>
            </w14:solidFill>
          </w14:textFill>
        </w:rPr>
        <w:t>隧道</w:t>
      </w:r>
      <w:r>
        <w:rPr>
          <w:rFonts w:hint="eastAsia" w:ascii="Arial" w:hAnsi="Arial" w:cs="Arial"/>
          <w:bCs/>
          <w:color w:val="000000" w:themeColor="text1"/>
          <w:szCs w:val="21"/>
          <w:highlight w:val="none"/>
          <w14:textFill>
            <w14:solidFill>
              <w14:schemeClr w14:val="tx1"/>
            </w14:solidFill>
          </w14:textFill>
        </w:rPr>
        <w:t>、市政</w:t>
      </w:r>
      <w:r>
        <w:rPr>
          <w:rFonts w:ascii="Arial" w:hAnsi="Arial" w:cs="Arial"/>
          <w:bCs/>
          <w:color w:val="000000" w:themeColor="text1"/>
          <w:szCs w:val="21"/>
          <w:highlight w:val="none"/>
          <w14:textFill>
            <w14:solidFill>
              <w14:schemeClr w14:val="tx1"/>
            </w14:solidFill>
          </w14:textFill>
        </w:rPr>
        <w:t>排水管网</w:t>
      </w:r>
      <w:r>
        <w:rPr>
          <w:rFonts w:hint="eastAsia" w:ascii="宋体" w:hAnsi="宋体" w:cs="宋体"/>
          <w:color w:val="000000" w:themeColor="text1"/>
          <w:szCs w:val="21"/>
          <w:highlight w:val="none"/>
          <w14:textFill>
            <w14:solidFill>
              <w14:schemeClr w14:val="tx1"/>
            </w14:solidFill>
          </w14:textFill>
        </w:rPr>
        <w:t>、市政消火栓</w:t>
      </w:r>
      <w:r>
        <w:rPr>
          <w:rFonts w:hint="eastAsia" w:ascii="Arial" w:hAnsi="Arial" w:cs="Arial"/>
          <w:bCs/>
          <w:color w:val="000000" w:themeColor="text1"/>
          <w:szCs w:val="21"/>
          <w:highlight w:val="none"/>
          <w14:textFill>
            <w14:solidFill>
              <w14:schemeClr w14:val="tx1"/>
            </w14:solidFill>
          </w14:textFill>
        </w:rPr>
        <w:t>及排水固定泵站</w:t>
      </w:r>
      <w:r>
        <w:rPr>
          <w:rFonts w:ascii="宋体" w:hAnsi="宋体" w:eastAsia="宋体" w:cs="宋体"/>
          <w:color w:val="000000" w:themeColor="text1"/>
          <w:spacing w:val="-1"/>
          <w:sz w:val="21"/>
          <w:szCs w:val="21"/>
          <w:highlight w:val="none"/>
          <w14:textFill>
            <w14:solidFill>
              <w14:schemeClr w14:val="tx1"/>
            </w14:solidFill>
          </w14:textFill>
        </w:rPr>
        <w:t>运营、维护</w:t>
      </w:r>
      <w:r>
        <w:rPr>
          <w:rFonts w:hint="eastAsia" w:ascii="Arial" w:hAnsi="Arial" w:cs="Arial"/>
          <w:bCs/>
          <w:color w:val="000000" w:themeColor="text1"/>
          <w:szCs w:val="21"/>
          <w:highlight w:val="none"/>
          <w14:textFill>
            <w14:solidFill>
              <w14:schemeClr w14:val="tx1"/>
            </w14:solidFill>
          </w14:textFill>
        </w:rPr>
        <w:t>养护、日常</w:t>
      </w:r>
      <w:r>
        <w:rPr>
          <w:rFonts w:ascii="Arial" w:hAnsi="Arial" w:cs="Arial"/>
          <w:bCs/>
          <w:color w:val="000000" w:themeColor="text1"/>
          <w:szCs w:val="21"/>
          <w:highlight w:val="none"/>
          <w14:textFill>
            <w14:solidFill>
              <w14:schemeClr w14:val="tx1"/>
            </w14:solidFill>
          </w14:textFill>
        </w:rPr>
        <w:t>巡查</w:t>
      </w:r>
      <w:r>
        <w:rPr>
          <w:rFonts w:hint="eastAsia" w:ascii="Arial" w:hAnsi="Arial" w:cs="Arial"/>
          <w:bCs/>
          <w:color w:val="000000" w:themeColor="text1"/>
          <w:szCs w:val="21"/>
          <w:highlight w:val="none"/>
          <w:lang w:val="en-US" w:eastAsia="zh-CN"/>
          <w14:textFill>
            <w14:solidFill>
              <w14:schemeClr w14:val="tx1"/>
            </w14:solidFill>
          </w14:textFill>
        </w:rPr>
        <w:t>管理</w:t>
      </w:r>
      <w:r>
        <w:rPr>
          <w:rFonts w:hint="eastAsia" w:ascii="Arial" w:hAnsi="Arial" w:cs="Arial"/>
          <w:bCs/>
          <w:color w:val="000000" w:themeColor="text1"/>
          <w:szCs w:val="21"/>
          <w:highlight w:val="none"/>
          <w14:textFill>
            <w14:solidFill>
              <w14:schemeClr w14:val="tx1"/>
            </w14:solidFill>
          </w14:textFill>
        </w:rPr>
        <w:t>以及防台防汛等极端天气及重大保障等应急综合服务</w:t>
      </w:r>
      <w:r>
        <w:rPr>
          <w:rFonts w:hint="eastAsia" w:ascii="Arial" w:hAnsi="Arial" w:cs="Arial"/>
          <w:bCs/>
          <w:color w:val="000000" w:themeColor="text1"/>
          <w:szCs w:val="21"/>
          <w:highlight w:val="none"/>
          <w:lang w:eastAsia="zh-CN"/>
          <w14:textFill>
            <w14:solidFill>
              <w14:schemeClr w14:val="tx1"/>
            </w14:solidFill>
          </w14:textFill>
        </w:rPr>
        <w:t>，</w:t>
      </w:r>
      <w:r>
        <w:rPr>
          <w:rFonts w:hint="eastAsia" w:ascii="Arial" w:hAnsi="Arial" w:cs="Arial"/>
          <w:bCs/>
          <w:color w:val="000000" w:themeColor="text1"/>
          <w:szCs w:val="21"/>
          <w:highlight w:val="none"/>
          <w:lang w:val="en-US" w:eastAsia="zh-CN"/>
          <w14:textFill>
            <w14:solidFill>
              <w14:schemeClr w14:val="tx1"/>
            </w14:solidFill>
          </w14:textFill>
        </w:rPr>
        <w:t>其中泵站区域包括</w:t>
      </w:r>
      <w:r>
        <w:rPr>
          <w:rFonts w:ascii="宋体" w:hAnsi="宋体" w:eastAsia="宋体" w:cs="宋体"/>
          <w:color w:val="000000" w:themeColor="text1"/>
          <w:spacing w:val="-1"/>
          <w:sz w:val="21"/>
          <w:szCs w:val="21"/>
          <w:highlight w:val="none"/>
          <w14:textFill>
            <w14:solidFill>
              <w14:schemeClr w14:val="tx1"/>
            </w14:solidFill>
          </w14:textFill>
        </w:rPr>
        <w:t>榭南污水提升泵站、东港南路与兴港路交叉口污水提升泵站、榭东北污水提</w:t>
      </w:r>
      <w:r>
        <w:rPr>
          <w:rFonts w:ascii="宋体" w:hAnsi="宋体" w:eastAsia="宋体" w:cs="宋体"/>
          <w:color w:val="000000" w:themeColor="text1"/>
          <w:spacing w:val="-2"/>
          <w:sz w:val="21"/>
          <w:szCs w:val="21"/>
          <w:highlight w:val="none"/>
          <w14:textFill>
            <w14:solidFill>
              <w14:schemeClr w14:val="tx1"/>
            </w14:solidFill>
          </w14:textFill>
        </w:rPr>
        <w:t>升泵站的运</w:t>
      </w:r>
      <w:r>
        <w:rPr>
          <w:rFonts w:ascii="宋体" w:hAnsi="宋体" w:eastAsia="宋体" w:cs="宋体"/>
          <w:color w:val="000000" w:themeColor="text1"/>
          <w:spacing w:val="2"/>
          <w:sz w:val="21"/>
          <w:szCs w:val="21"/>
          <w:highlight w:val="none"/>
          <w14:textFill>
            <w14:solidFill>
              <w14:schemeClr w14:val="tx1"/>
            </w14:solidFill>
          </w14:textFill>
        </w:rPr>
        <w:t>行、维护、管理，包括对提升泵站、设施、管道的巡视、检查、日常维修、年度维修、抢修、抢险等，污水泵站远控系统维护，以及运行安全承担全部责任。榭南泵站，榭北兴港路泵站远控系</w:t>
      </w:r>
      <w:r>
        <w:rPr>
          <w:rFonts w:ascii="宋体" w:hAnsi="宋体" w:eastAsia="宋体" w:cs="宋体"/>
          <w:color w:val="000000" w:themeColor="text1"/>
          <w:spacing w:val="-1"/>
          <w:sz w:val="21"/>
          <w:szCs w:val="21"/>
          <w:highlight w:val="none"/>
          <w14:textFill>
            <w14:solidFill>
              <w14:schemeClr w14:val="tx1"/>
            </w14:solidFill>
          </w14:textFill>
        </w:rPr>
        <w:t>统的日常运营维护。</w:t>
      </w:r>
    </w:p>
    <w:p w14:paraId="056750F9">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olor w:val="000000" w:themeColor="text1"/>
          <w:szCs w:val="21"/>
          <w:highlight w:val="none"/>
          <w14:textFill>
            <w14:solidFill>
              <w14:schemeClr w14:val="tx1"/>
            </w14:solidFill>
          </w14:textFill>
        </w:rPr>
        <w:t>注：各供应商在投标时应熟悉</w:t>
      </w:r>
      <w:r>
        <w:rPr>
          <w:rFonts w:ascii="Arial" w:hAnsi="Arial"/>
          <w:color w:val="000000" w:themeColor="text1"/>
          <w:szCs w:val="21"/>
          <w:highlight w:val="none"/>
          <w14:textFill>
            <w14:solidFill>
              <w14:schemeClr w14:val="tx1"/>
            </w14:solidFill>
          </w14:textFill>
        </w:rPr>
        <w:t>并了解大榭</w:t>
      </w:r>
      <w:r>
        <w:rPr>
          <w:rFonts w:hint="eastAsia" w:ascii="Arial" w:hAnsi="Arial"/>
          <w:color w:val="000000" w:themeColor="text1"/>
          <w:szCs w:val="21"/>
          <w:highlight w:val="none"/>
          <w14:textFill>
            <w14:solidFill>
              <w14:schemeClr w14:val="tx1"/>
            </w14:solidFill>
          </w14:textFill>
        </w:rPr>
        <w:t>的</w:t>
      </w:r>
      <w:r>
        <w:rPr>
          <w:rFonts w:ascii="Arial" w:hAnsi="Arial"/>
          <w:color w:val="000000" w:themeColor="text1"/>
          <w:szCs w:val="21"/>
          <w:highlight w:val="none"/>
          <w14:textFill>
            <w14:solidFill>
              <w14:schemeClr w14:val="tx1"/>
            </w14:solidFill>
          </w14:textFill>
        </w:rPr>
        <w:t>整体情况</w:t>
      </w:r>
      <w:r>
        <w:rPr>
          <w:rFonts w:hint="eastAsia" w:ascii="Arial" w:hAnsi="Arial"/>
          <w:color w:val="000000" w:themeColor="text1"/>
          <w:szCs w:val="21"/>
          <w:highlight w:val="none"/>
          <w14:textFill>
            <w14:solidFill>
              <w14:schemeClr w14:val="tx1"/>
            </w14:solidFill>
          </w14:textFill>
        </w:rPr>
        <w:t>，供应商如有需要自行组织现场踏勘，以充分了解项目实施位置、服务范围、周边情况、施工所需的进出现场的方式、手段、路径以及任何其他足以影响报价的情况，任何因忽视或误解现场或延误工期情况而导致的索赔或费用申请将不予受理。</w:t>
      </w:r>
    </w:p>
    <w:p w14:paraId="698E1F85">
      <w:pPr>
        <w:widowControl/>
        <w:numPr>
          <w:ilvl w:val="0"/>
          <w:numId w:val="2"/>
        </w:numPr>
        <w:autoSpaceDE w:val="0"/>
        <w:autoSpaceDN w:val="0"/>
        <w:spacing w:line="360" w:lineRule="auto"/>
        <w:textAlignment w:val="bottom"/>
        <w:rPr>
          <w:rFonts w:hint="eastAsia" w:ascii="Arial" w:hAnsi="Arial"/>
          <w:b/>
          <w:bCs/>
          <w:color w:val="000000" w:themeColor="text1"/>
          <w:highlight w:val="none"/>
          <w14:textFill>
            <w14:solidFill>
              <w14:schemeClr w14:val="tx1"/>
            </w14:solidFill>
          </w14:textFill>
        </w:rPr>
      </w:pPr>
      <w:r>
        <w:rPr>
          <w:rFonts w:hint="eastAsia" w:ascii="Arial" w:hAnsi="Arial"/>
          <w:b/>
          <w:bCs/>
          <w:color w:val="000000" w:themeColor="text1"/>
          <w:highlight w:val="none"/>
          <w14:textFill>
            <w14:solidFill>
              <w14:schemeClr w14:val="tx1"/>
            </w14:solidFill>
          </w14:textFill>
        </w:rPr>
        <w:t>基本服务内容：</w:t>
      </w:r>
    </w:p>
    <w:p w14:paraId="4E86BF96">
      <w:pPr>
        <w:widowControl/>
        <w:numPr>
          <w:ilvl w:val="0"/>
          <w:numId w:val="3"/>
        </w:numPr>
        <w:spacing w:line="360" w:lineRule="auto"/>
        <w:ind w:firstLine="399" w:firstLineChars="19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城市道路（含人行道）、桥梁、隧道</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排水管网、排水固定泵站</w:t>
      </w:r>
      <w:r>
        <w:rPr>
          <w:rFonts w:hint="eastAsia" w:ascii="宋体" w:hAnsi="宋体" w:cs="宋体"/>
          <w:color w:val="000000" w:themeColor="text1"/>
          <w:szCs w:val="21"/>
          <w:highlight w:val="none"/>
          <w14:textFill>
            <w14:solidFill>
              <w14:schemeClr w14:val="tx1"/>
            </w14:solidFill>
          </w14:textFill>
        </w:rPr>
        <w:t>、市政消火栓</w:t>
      </w:r>
      <w:r>
        <w:rPr>
          <w:rFonts w:hint="eastAsia" w:ascii="Arial" w:hAnsi="Arial" w:cs="Arial"/>
          <w:bCs/>
          <w:color w:val="000000" w:themeColor="text1"/>
          <w:szCs w:val="21"/>
          <w:highlight w:val="none"/>
          <w14:textFill>
            <w14:solidFill>
              <w14:schemeClr w14:val="tx1"/>
            </w14:solidFill>
          </w14:textFill>
        </w:rPr>
        <w:t>的定期巡查；</w:t>
      </w:r>
    </w:p>
    <w:p w14:paraId="3BCB48B1">
      <w:pPr>
        <w:widowControl/>
        <w:numPr>
          <w:ilvl w:val="0"/>
          <w:numId w:val="3"/>
        </w:numPr>
        <w:spacing w:line="360" w:lineRule="auto"/>
        <w:ind w:firstLine="399" w:firstLineChars="19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日常养护、专项养护等为保证城市道路（含人行道）、桥梁、</w:t>
      </w:r>
      <w:r>
        <w:rPr>
          <w:rFonts w:ascii="Arial" w:hAnsi="Arial" w:cs="Arial"/>
          <w:bCs/>
          <w:color w:val="000000" w:themeColor="text1"/>
          <w:szCs w:val="21"/>
          <w:highlight w:val="none"/>
          <w14:textFill>
            <w14:solidFill>
              <w14:schemeClr w14:val="tx1"/>
            </w14:solidFill>
          </w14:textFill>
        </w:rPr>
        <w:t>隧道、</w:t>
      </w:r>
      <w:r>
        <w:rPr>
          <w:rFonts w:hint="eastAsia" w:ascii="Arial" w:hAnsi="Arial" w:cs="Arial"/>
          <w:bCs/>
          <w:color w:val="000000" w:themeColor="text1"/>
          <w:szCs w:val="21"/>
          <w:highlight w:val="none"/>
          <w14:textFill>
            <w14:solidFill>
              <w14:schemeClr w14:val="tx1"/>
            </w14:solidFill>
          </w14:textFill>
        </w:rPr>
        <w:t>排水管网、排水固定泵站</w:t>
      </w:r>
      <w:r>
        <w:rPr>
          <w:rFonts w:hint="eastAsia" w:ascii="宋体" w:hAnsi="宋体" w:cs="宋体"/>
          <w:color w:val="000000" w:themeColor="text1"/>
          <w:szCs w:val="21"/>
          <w:highlight w:val="none"/>
          <w14:textFill>
            <w14:solidFill>
              <w14:schemeClr w14:val="tx1"/>
            </w14:solidFill>
          </w14:textFill>
        </w:rPr>
        <w:t>、市政消火栓</w:t>
      </w:r>
      <w:r>
        <w:rPr>
          <w:rFonts w:ascii="Arial" w:hAnsi="Arial"/>
          <w:color w:val="000000" w:themeColor="text1"/>
          <w:highlight w:val="none"/>
          <w14:textFill>
            <w14:solidFill>
              <w14:schemeClr w14:val="tx1"/>
            </w14:solidFill>
          </w14:textFill>
        </w:rPr>
        <w:t>的</w:t>
      </w:r>
      <w:r>
        <w:rPr>
          <w:rFonts w:hint="eastAsia" w:ascii="Arial" w:hAnsi="Arial"/>
          <w:color w:val="000000" w:themeColor="text1"/>
          <w:highlight w:val="none"/>
          <w14:textFill>
            <w14:solidFill>
              <w14:schemeClr w14:val="tx1"/>
            </w14:solidFill>
          </w14:textFill>
        </w:rPr>
        <w:t>完整性和正常使用功能的预防性养护</w:t>
      </w:r>
      <w:r>
        <w:rPr>
          <w:rFonts w:hint="eastAsia" w:ascii="Arial" w:hAnsi="Arial" w:cs="Arial"/>
          <w:bCs/>
          <w:color w:val="000000" w:themeColor="text1"/>
          <w:szCs w:val="21"/>
          <w:highlight w:val="none"/>
          <w14:textFill>
            <w14:solidFill>
              <w14:schemeClr w14:val="tx1"/>
            </w14:solidFill>
          </w14:textFill>
        </w:rPr>
        <w:t>，包括：</w:t>
      </w:r>
    </w:p>
    <w:p w14:paraId="7B0703CF">
      <w:pPr>
        <w:widowControl/>
        <w:numPr>
          <w:ilvl w:val="0"/>
          <w:numId w:val="0"/>
        </w:numPr>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1.</w:t>
      </w:r>
      <w:r>
        <w:rPr>
          <w:rFonts w:hint="eastAsia" w:ascii="Arial" w:hAnsi="Arial" w:cs="Arial"/>
          <w:bCs/>
          <w:color w:val="000000" w:themeColor="text1"/>
          <w:szCs w:val="21"/>
          <w:highlight w:val="none"/>
          <w14:textFill>
            <w14:solidFill>
              <w14:schemeClr w14:val="tx1"/>
            </w14:solidFill>
          </w14:textFill>
        </w:rPr>
        <w:t>沥青路面及人行道</w:t>
      </w:r>
      <w:r>
        <w:rPr>
          <w:rFonts w:ascii="Arial" w:hAnsi="Arial" w:cs="Arial"/>
          <w:bCs/>
          <w:color w:val="000000" w:themeColor="text1"/>
          <w:szCs w:val="21"/>
          <w:highlight w:val="none"/>
          <w14:textFill>
            <w14:solidFill>
              <w14:schemeClr w14:val="tx1"/>
            </w14:solidFill>
          </w14:textFill>
        </w:rPr>
        <w:t>养护</w:t>
      </w:r>
      <w:r>
        <w:rPr>
          <w:rFonts w:hint="eastAsia" w:ascii="Arial" w:hAnsi="Arial" w:cs="Arial"/>
          <w:bCs/>
          <w:color w:val="000000" w:themeColor="text1"/>
          <w:szCs w:val="21"/>
          <w:highlight w:val="none"/>
          <w14:textFill>
            <w14:solidFill>
              <w14:schemeClr w14:val="tx1"/>
            </w14:solidFill>
          </w14:textFill>
        </w:rPr>
        <w:t>及维修（含零星坑洞修补、裂缝修补、结构维修、沥青路面小中修等）、砼路面及人行道维修（包含结构层处理、零星坑洞修补及裂缝封闭）、路缘石及路平石的维修及更换（含混凝土靠背维修）等；</w:t>
      </w:r>
    </w:p>
    <w:p w14:paraId="5C066403">
      <w:pPr>
        <w:widowControl/>
        <w:numPr>
          <w:ilvl w:val="0"/>
          <w:numId w:val="0"/>
        </w:numPr>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2.</w:t>
      </w:r>
      <w:r>
        <w:rPr>
          <w:rFonts w:hint="eastAsia" w:ascii="Arial" w:hAnsi="Arial" w:cs="Arial"/>
          <w:bCs/>
          <w:color w:val="000000" w:themeColor="text1"/>
          <w:szCs w:val="21"/>
          <w:highlight w:val="none"/>
          <w14:textFill>
            <w14:solidFill>
              <w14:schemeClr w14:val="tx1"/>
            </w14:solidFill>
          </w14:textFill>
        </w:rPr>
        <w:t>桥梁养护及维修（含裂缝封闭、伸缩缝清理及修复、零星坑洞修补及桥梁局部缺陷修复、栏板更换）等；</w:t>
      </w:r>
    </w:p>
    <w:p w14:paraId="2BC0B0AF">
      <w:pPr>
        <w:widowControl/>
        <w:numPr>
          <w:ilvl w:val="0"/>
          <w:numId w:val="0"/>
        </w:numPr>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3.</w:t>
      </w:r>
      <w:r>
        <w:rPr>
          <w:rFonts w:hint="eastAsia" w:ascii="Arial" w:hAnsi="Arial" w:cs="Arial"/>
          <w:bCs/>
          <w:color w:val="000000" w:themeColor="text1"/>
          <w:szCs w:val="21"/>
          <w:highlight w:val="none"/>
          <w14:textFill>
            <w14:solidFill>
              <w14:schemeClr w14:val="tx1"/>
            </w14:solidFill>
          </w14:textFill>
        </w:rPr>
        <w:t>隧道</w:t>
      </w:r>
      <w:r>
        <w:rPr>
          <w:rFonts w:ascii="Arial" w:hAnsi="Arial" w:cs="Arial"/>
          <w:bCs/>
          <w:color w:val="000000" w:themeColor="text1"/>
          <w:szCs w:val="21"/>
          <w:highlight w:val="none"/>
          <w14:textFill>
            <w14:solidFill>
              <w14:schemeClr w14:val="tx1"/>
            </w14:solidFill>
          </w14:textFill>
        </w:rPr>
        <w:t>养护</w:t>
      </w:r>
      <w:r>
        <w:rPr>
          <w:rFonts w:hint="eastAsia" w:ascii="Arial" w:hAnsi="Arial" w:cs="Arial"/>
          <w:bCs/>
          <w:color w:val="000000" w:themeColor="text1"/>
          <w:szCs w:val="21"/>
          <w:highlight w:val="none"/>
          <w14:textFill>
            <w14:solidFill>
              <w14:schemeClr w14:val="tx1"/>
            </w14:solidFill>
          </w14:textFill>
        </w:rPr>
        <w:t>及维修</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含沥青</w:t>
      </w:r>
      <w:r>
        <w:rPr>
          <w:rFonts w:ascii="Arial" w:hAnsi="Arial" w:cs="Arial"/>
          <w:bCs/>
          <w:color w:val="000000" w:themeColor="text1"/>
          <w:szCs w:val="21"/>
          <w:highlight w:val="none"/>
          <w14:textFill>
            <w14:solidFill>
              <w14:schemeClr w14:val="tx1"/>
            </w14:solidFill>
          </w14:textFill>
        </w:rPr>
        <w:t>路面</w:t>
      </w:r>
      <w:r>
        <w:rPr>
          <w:rFonts w:hint="eastAsia" w:ascii="Arial" w:hAnsi="Arial" w:cs="Arial"/>
          <w:bCs/>
          <w:color w:val="000000" w:themeColor="text1"/>
          <w:szCs w:val="21"/>
          <w:highlight w:val="none"/>
          <w14:textFill>
            <w14:solidFill>
              <w14:schemeClr w14:val="tx1"/>
            </w14:solidFill>
          </w14:textFill>
        </w:rPr>
        <w:t>修复</w:t>
      </w:r>
      <w:r>
        <w:rPr>
          <w:rFonts w:ascii="Arial" w:hAnsi="Arial" w:cs="Arial"/>
          <w:bCs/>
          <w:color w:val="000000" w:themeColor="text1"/>
          <w:szCs w:val="21"/>
          <w:highlight w:val="none"/>
          <w14:textFill>
            <w14:solidFill>
              <w14:schemeClr w14:val="tx1"/>
            </w14:solidFill>
          </w14:textFill>
        </w:rPr>
        <w:t>、横截沟</w:t>
      </w:r>
      <w:r>
        <w:rPr>
          <w:rFonts w:hint="eastAsia" w:ascii="Arial" w:hAnsi="Arial" w:cs="Arial"/>
          <w:bCs/>
          <w:color w:val="000000" w:themeColor="text1"/>
          <w:szCs w:val="21"/>
          <w:highlight w:val="none"/>
          <w14:textFill>
            <w14:solidFill>
              <w14:schemeClr w14:val="tx1"/>
            </w14:solidFill>
          </w14:textFill>
        </w:rPr>
        <w:t>清理及</w:t>
      </w:r>
      <w:r>
        <w:rPr>
          <w:rFonts w:ascii="Arial" w:hAnsi="Arial" w:cs="Arial"/>
          <w:bCs/>
          <w:color w:val="000000" w:themeColor="text1"/>
          <w:szCs w:val="21"/>
          <w:highlight w:val="none"/>
          <w14:textFill>
            <w14:solidFill>
              <w14:schemeClr w14:val="tx1"/>
            </w14:solidFill>
          </w14:textFill>
        </w:rPr>
        <w:t>维修</w:t>
      </w:r>
      <w:r>
        <w:rPr>
          <w:rFonts w:hint="eastAsia" w:ascii="Arial" w:hAnsi="Arial" w:cs="Arial"/>
          <w:bCs/>
          <w:color w:val="000000" w:themeColor="text1"/>
          <w:szCs w:val="21"/>
          <w:highlight w:val="none"/>
          <w14:textFill>
            <w14:solidFill>
              <w14:schemeClr w14:val="tx1"/>
            </w14:solidFill>
          </w14:textFill>
        </w:rPr>
        <w:t>、</w:t>
      </w:r>
      <w:r>
        <w:rPr>
          <w:rFonts w:ascii="Arial" w:hAnsi="Arial" w:cs="Arial"/>
          <w:bCs/>
          <w:color w:val="000000" w:themeColor="text1"/>
          <w:szCs w:val="21"/>
          <w:highlight w:val="none"/>
          <w14:textFill>
            <w14:solidFill>
              <w14:schemeClr w14:val="tx1"/>
            </w14:solidFill>
          </w14:textFill>
        </w:rPr>
        <w:t>装饰面板修复</w:t>
      </w:r>
      <w:r>
        <w:rPr>
          <w:rFonts w:hint="eastAsia" w:ascii="Arial" w:hAnsi="Arial" w:cs="Arial"/>
          <w:bCs/>
          <w:color w:val="000000" w:themeColor="text1"/>
          <w:szCs w:val="21"/>
          <w:highlight w:val="none"/>
          <w14:textFill>
            <w14:solidFill>
              <w14:schemeClr w14:val="tx1"/>
            </w14:solidFill>
          </w14:textFill>
        </w:rPr>
        <w:t>或</w:t>
      </w:r>
      <w:r>
        <w:rPr>
          <w:rFonts w:ascii="Arial" w:hAnsi="Arial" w:cs="Arial"/>
          <w:bCs/>
          <w:color w:val="000000" w:themeColor="text1"/>
          <w:szCs w:val="21"/>
          <w:highlight w:val="none"/>
          <w14:textFill>
            <w14:solidFill>
              <w14:schemeClr w14:val="tx1"/>
            </w14:solidFill>
          </w14:textFill>
        </w:rPr>
        <w:t>更换）</w:t>
      </w:r>
      <w:r>
        <w:rPr>
          <w:rFonts w:hint="eastAsia" w:ascii="Arial" w:hAnsi="Arial" w:cs="Arial"/>
          <w:bCs/>
          <w:color w:val="000000" w:themeColor="text1"/>
          <w:szCs w:val="21"/>
          <w:highlight w:val="none"/>
          <w14:textFill>
            <w14:solidFill>
              <w14:schemeClr w14:val="tx1"/>
            </w14:solidFill>
          </w14:textFill>
        </w:rPr>
        <w:t>等；</w:t>
      </w:r>
    </w:p>
    <w:p w14:paraId="1BEA68B9">
      <w:pPr>
        <w:widowControl/>
        <w:numPr>
          <w:ilvl w:val="0"/>
          <w:numId w:val="0"/>
        </w:numPr>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4.</w:t>
      </w:r>
      <w:r>
        <w:rPr>
          <w:rFonts w:hint="eastAsia" w:ascii="Arial" w:hAnsi="Arial" w:cs="Arial"/>
          <w:bCs/>
          <w:color w:val="000000" w:themeColor="text1"/>
          <w:szCs w:val="21"/>
          <w:highlight w:val="none"/>
          <w14:textFill>
            <w14:solidFill>
              <w14:schemeClr w14:val="tx1"/>
            </w14:solidFill>
          </w14:textFill>
        </w:rPr>
        <w:t>排水管网疏通、清淤、破损修复及检测，检查井及进水口清捞、处置物外运等；</w:t>
      </w:r>
    </w:p>
    <w:p w14:paraId="3B7AFF79">
      <w:pPr>
        <w:widowControl/>
        <w:numPr>
          <w:ilvl w:val="0"/>
          <w:numId w:val="0"/>
        </w:numPr>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5.</w:t>
      </w:r>
      <w:r>
        <w:rPr>
          <w:rFonts w:hint="eastAsia" w:ascii="Arial" w:hAnsi="Arial" w:cs="Arial"/>
          <w:bCs/>
          <w:color w:val="000000" w:themeColor="text1"/>
          <w:szCs w:val="21"/>
          <w:highlight w:val="none"/>
          <w14:textFill>
            <w14:solidFill>
              <w14:schemeClr w14:val="tx1"/>
            </w14:solidFill>
          </w14:textFill>
        </w:rPr>
        <w:t>全区边沟清理、边沟及其附属设施维修；</w:t>
      </w:r>
    </w:p>
    <w:p w14:paraId="42348D07">
      <w:pPr>
        <w:widowControl/>
        <w:autoSpaceDE w:val="0"/>
        <w:autoSpaceDN w:val="0"/>
        <w:spacing w:line="360" w:lineRule="auto"/>
        <w:ind w:firstLine="420" w:firstLineChars="200"/>
        <w:textAlignment w:val="bottom"/>
        <w:rPr>
          <w:rFonts w:hint="eastAsia" w:ascii="Arial" w:hAnsi="Arial" w:eastAsia="宋体" w:cs="Arial"/>
          <w:bCs/>
          <w:color w:val="000000" w:themeColor="text1"/>
          <w:szCs w:val="21"/>
          <w:highlight w:val="none"/>
          <w:lang w:eastAsia="zh-CN"/>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6.</w:t>
      </w:r>
      <w:r>
        <w:rPr>
          <w:rFonts w:hint="eastAsia" w:ascii="Arial" w:hAnsi="Arial" w:cs="Arial"/>
          <w:bCs/>
          <w:color w:val="000000" w:themeColor="text1"/>
          <w:szCs w:val="21"/>
          <w:highlight w:val="none"/>
          <w14:textFill>
            <w14:solidFill>
              <w14:schemeClr w14:val="tx1"/>
            </w14:solidFill>
          </w14:textFill>
        </w:rPr>
        <w:t>泵站、闸门内设施设备的</w:t>
      </w:r>
      <w:r>
        <w:rPr>
          <w:rFonts w:ascii="宋体" w:hAnsi="宋体" w:eastAsia="宋体" w:cs="宋体"/>
          <w:color w:val="000000" w:themeColor="text1"/>
          <w:spacing w:val="2"/>
          <w:sz w:val="21"/>
          <w:szCs w:val="21"/>
          <w:highlight w:val="none"/>
          <w14:textFill>
            <w14:solidFill>
              <w14:schemeClr w14:val="tx1"/>
            </w14:solidFill>
          </w14:textFill>
        </w:rPr>
        <w:t>包括对提升泵站、设施、管道的巡视、检查、日常维修、年度维修、抢修、抢险等，污水泵站远控系统维护</w:t>
      </w:r>
      <w:r>
        <w:rPr>
          <w:rFonts w:hint="eastAsia" w:ascii="宋体" w:hAnsi="宋体" w:eastAsia="宋体" w:cs="宋体"/>
          <w:color w:val="000000" w:themeColor="text1"/>
          <w:spacing w:val="2"/>
          <w:sz w:val="21"/>
          <w:szCs w:val="21"/>
          <w:highlight w:val="none"/>
          <w:lang w:val="en-US" w:eastAsia="zh-CN"/>
          <w14:textFill>
            <w14:solidFill>
              <w14:schemeClr w14:val="tx1"/>
            </w14:solidFill>
          </w14:textFill>
        </w:rPr>
        <w:t>及</w:t>
      </w:r>
      <w:r>
        <w:rPr>
          <w:rFonts w:ascii="宋体" w:hAnsi="宋体" w:eastAsia="宋体" w:cs="宋体"/>
          <w:color w:val="000000" w:themeColor="text1"/>
          <w:spacing w:val="2"/>
          <w:sz w:val="21"/>
          <w:szCs w:val="21"/>
          <w:highlight w:val="none"/>
          <w14:textFill>
            <w14:solidFill>
              <w14:schemeClr w14:val="tx1"/>
            </w14:solidFill>
          </w14:textFill>
        </w:rPr>
        <w:t>远控系统的日常运营维护</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w:t>
      </w:r>
      <w:r>
        <w:rPr>
          <w:rFonts w:ascii="宋体" w:hAnsi="宋体" w:eastAsia="宋体" w:cs="宋体"/>
          <w:color w:val="000000" w:themeColor="text1"/>
          <w:spacing w:val="2"/>
          <w:sz w:val="21"/>
          <w:szCs w:val="21"/>
          <w:highlight w:val="none"/>
          <w14:textFill>
            <w14:solidFill>
              <w14:schemeClr w14:val="tx1"/>
            </w14:solidFill>
          </w14:textFill>
        </w:rPr>
        <w:t>如</w:t>
      </w:r>
      <w:r>
        <w:rPr>
          <w:rFonts w:ascii="宋体" w:hAnsi="宋体" w:eastAsia="宋体" w:cs="宋体"/>
          <w:color w:val="000000" w:themeColor="text1"/>
          <w:spacing w:val="-1"/>
          <w:sz w:val="21"/>
          <w:szCs w:val="21"/>
          <w:highlight w:val="none"/>
          <w14:textFill>
            <w14:solidFill>
              <w14:schemeClr w14:val="tx1"/>
            </w14:solidFill>
          </w14:textFill>
        </w:rPr>
        <w:t>有设备更换的需经甲方书面确认后实施，设备更换的相关费用由甲方承担。</w:t>
      </w:r>
      <w:r>
        <w:rPr>
          <w:rFonts w:ascii="宋体" w:hAnsi="宋体" w:eastAsia="宋体" w:cs="宋体"/>
          <w:color w:val="000000" w:themeColor="text1"/>
          <w:spacing w:val="18"/>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val="en-US" w:eastAsia="zh-CN"/>
          <w14:textFill>
            <w14:solidFill>
              <w14:schemeClr w14:val="tx1"/>
            </w14:solidFill>
          </w14:textFill>
        </w:rPr>
        <w:t>泵站</w:t>
      </w:r>
      <w:r>
        <w:rPr>
          <w:rFonts w:ascii="宋体" w:hAnsi="宋体" w:eastAsia="宋体" w:cs="宋体"/>
          <w:color w:val="000000" w:themeColor="text1"/>
          <w:sz w:val="21"/>
          <w:szCs w:val="21"/>
          <w:highlight w:val="none"/>
          <w14:textFill>
            <w14:solidFill>
              <w14:schemeClr w14:val="tx1"/>
            </w14:solidFill>
          </w14:textFill>
        </w:rPr>
        <w:t>设备维修指的是对设施设备进行一定的修理</w:t>
      </w:r>
      <w:r>
        <w:rPr>
          <w:rFonts w:ascii="宋体" w:hAnsi="宋体" w:eastAsia="宋体" w:cs="宋体"/>
          <w:color w:val="000000" w:themeColor="text1"/>
          <w:spacing w:val="-1"/>
          <w:sz w:val="21"/>
          <w:szCs w:val="21"/>
          <w:highlight w:val="none"/>
          <w14:textFill>
            <w14:solidFill>
              <w14:schemeClr w14:val="tx1"/>
            </w14:solidFill>
          </w14:textFill>
        </w:rPr>
        <w:t>或调整，使其恢复原有功能或正常运行的状态。</w:t>
      </w:r>
      <w:r>
        <w:rPr>
          <w:rFonts w:ascii="宋体" w:hAnsi="宋体" w:eastAsia="宋体" w:cs="宋体"/>
          <w:color w:val="000000" w:themeColor="text1"/>
          <w:sz w:val="21"/>
          <w:szCs w:val="21"/>
          <w:highlight w:val="none"/>
          <w14:textFill>
            <w14:solidFill>
              <w14:schemeClr w14:val="tx1"/>
            </w14:solidFill>
          </w14:textFill>
        </w:rPr>
        <w:t xml:space="preserve"> 而设备更换则是指彻底替换原本的设施设备，以新的设备来替</w:t>
      </w:r>
      <w:r>
        <w:rPr>
          <w:rFonts w:ascii="宋体" w:hAnsi="宋体" w:eastAsia="宋体" w:cs="宋体"/>
          <w:color w:val="000000" w:themeColor="text1"/>
          <w:spacing w:val="-1"/>
          <w:sz w:val="21"/>
          <w:szCs w:val="21"/>
          <w:highlight w:val="none"/>
          <w14:textFill>
            <w14:solidFill>
              <w14:schemeClr w14:val="tx1"/>
            </w14:solidFill>
          </w14:textFill>
        </w:rPr>
        <w:t>代原有设备</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p>
    <w:p w14:paraId="174F86B5">
      <w:pPr>
        <w:widowControl/>
        <w:numPr>
          <w:ilvl w:val="0"/>
          <w:numId w:val="0"/>
        </w:numPr>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7.</w:t>
      </w:r>
      <w:r>
        <w:rPr>
          <w:rFonts w:hint="eastAsia" w:ascii="Arial" w:hAnsi="Arial" w:cs="Arial"/>
          <w:bCs/>
          <w:color w:val="000000" w:themeColor="text1"/>
          <w:szCs w:val="21"/>
          <w:highlight w:val="none"/>
          <w14:textFill>
            <w14:solidFill>
              <w14:schemeClr w14:val="tx1"/>
            </w14:solidFill>
          </w14:textFill>
        </w:rPr>
        <w:t>市政消火栓配套阀门后的管道、消火栓及消火栓配件的巡查、养护和维修等工作。</w:t>
      </w:r>
    </w:p>
    <w:p w14:paraId="48268A21">
      <w:pPr>
        <w:widowControl/>
        <w:numPr>
          <w:ilvl w:val="0"/>
          <w:numId w:val="0"/>
        </w:numPr>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8.</w:t>
      </w:r>
      <w:r>
        <w:rPr>
          <w:rFonts w:hint="eastAsia" w:ascii="Arial" w:hAnsi="Arial" w:cs="Arial"/>
          <w:bCs/>
          <w:color w:val="000000" w:themeColor="text1"/>
          <w:szCs w:val="21"/>
          <w:highlight w:val="none"/>
          <w14:textFill>
            <w14:solidFill>
              <w14:schemeClr w14:val="tx1"/>
            </w14:solidFill>
          </w14:textFill>
        </w:rPr>
        <w:t>建立</w:t>
      </w:r>
      <w:r>
        <w:rPr>
          <w:rFonts w:ascii="Arial" w:hAnsi="Arial" w:cs="Arial"/>
          <w:bCs/>
          <w:color w:val="000000" w:themeColor="text1"/>
          <w:szCs w:val="21"/>
          <w:highlight w:val="none"/>
          <w14:textFill>
            <w14:solidFill>
              <w14:schemeClr w14:val="tx1"/>
            </w14:solidFill>
          </w14:textFill>
        </w:rPr>
        <w:t>巡查档案</w:t>
      </w:r>
      <w:r>
        <w:rPr>
          <w:rFonts w:hint="eastAsia" w:ascii="Arial" w:hAnsi="Arial" w:cs="Arial"/>
          <w:bCs/>
          <w:color w:val="000000" w:themeColor="text1"/>
          <w:szCs w:val="21"/>
          <w:highlight w:val="none"/>
          <w14:textFill>
            <w14:solidFill>
              <w14:schemeClr w14:val="tx1"/>
            </w14:solidFill>
          </w14:textFill>
        </w:rPr>
        <w:t>；</w:t>
      </w:r>
    </w:p>
    <w:p w14:paraId="79AFFEFC">
      <w:pPr>
        <w:widowControl/>
        <w:numPr>
          <w:ilvl w:val="0"/>
          <w:numId w:val="0"/>
        </w:numPr>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9.</w:t>
      </w:r>
      <w:r>
        <w:rPr>
          <w:rFonts w:hint="eastAsia" w:ascii="Arial" w:hAnsi="Arial" w:cs="Arial"/>
          <w:bCs/>
          <w:color w:val="000000" w:themeColor="text1"/>
          <w:szCs w:val="21"/>
          <w:highlight w:val="none"/>
          <w14:textFill>
            <w14:solidFill>
              <w14:schemeClr w14:val="tx1"/>
            </w14:solidFill>
          </w14:textFill>
        </w:rPr>
        <w:t>每周</w:t>
      </w:r>
      <w:r>
        <w:rPr>
          <w:rFonts w:ascii="Arial" w:hAnsi="Arial" w:cs="Arial"/>
          <w:bCs/>
          <w:color w:val="000000" w:themeColor="text1"/>
          <w:szCs w:val="21"/>
          <w:highlight w:val="none"/>
          <w14:textFill>
            <w14:solidFill>
              <w14:schemeClr w14:val="tx1"/>
            </w14:solidFill>
          </w14:textFill>
        </w:rPr>
        <w:t>一次的全岛巡查包括违章排放、私自接管</w:t>
      </w:r>
      <w:r>
        <w:rPr>
          <w:rFonts w:hint="eastAsia" w:ascii="Arial" w:hAnsi="Arial" w:cs="Arial"/>
          <w:bCs/>
          <w:color w:val="000000" w:themeColor="text1"/>
          <w:szCs w:val="21"/>
          <w:highlight w:val="none"/>
          <w14:textFill>
            <w14:solidFill>
              <w14:schemeClr w14:val="tx1"/>
            </w14:solidFill>
          </w14:textFill>
        </w:rPr>
        <w:t>以及</w:t>
      </w:r>
      <w:r>
        <w:rPr>
          <w:rFonts w:ascii="Arial" w:hAnsi="Arial" w:cs="Arial"/>
          <w:bCs/>
          <w:color w:val="000000" w:themeColor="text1"/>
          <w:szCs w:val="21"/>
          <w:highlight w:val="none"/>
          <w14:textFill>
            <w14:solidFill>
              <w14:schemeClr w14:val="tx1"/>
            </w14:solidFill>
          </w14:textFill>
        </w:rPr>
        <w:t>影响管道排水的工程施工等</w:t>
      </w:r>
      <w:r>
        <w:rPr>
          <w:rFonts w:hint="eastAsia" w:ascii="Arial" w:hAnsi="Arial" w:cs="Arial"/>
          <w:bCs/>
          <w:color w:val="000000" w:themeColor="text1"/>
          <w:szCs w:val="21"/>
          <w:highlight w:val="none"/>
          <w14:textFill>
            <w14:solidFill>
              <w14:schemeClr w14:val="tx1"/>
            </w14:solidFill>
          </w14:textFill>
        </w:rPr>
        <w:t>；</w:t>
      </w:r>
    </w:p>
    <w:p w14:paraId="20997167">
      <w:pPr>
        <w:widowControl/>
        <w:numPr>
          <w:ilvl w:val="0"/>
          <w:numId w:val="0"/>
        </w:numPr>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10.</w:t>
      </w:r>
      <w:r>
        <w:rPr>
          <w:rFonts w:hint="eastAsia" w:ascii="Arial" w:hAnsi="Arial" w:cs="Arial"/>
          <w:bCs/>
          <w:color w:val="000000" w:themeColor="text1"/>
          <w:szCs w:val="21"/>
          <w:highlight w:val="none"/>
          <w14:textFill>
            <w14:solidFill>
              <w14:schemeClr w14:val="tx1"/>
            </w14:solidFill>
          </w14:textFill>
        </w:rPr>
        <w:t>各类创建迎检测评活动保障、防汛防台、防雪抗冻等应急处理工作和其他临时</w:t>
      </w:r>
      <w:r>
        <w:rPr>
          <w:rFonts w:hint="eastAsia" w:ascii="Arial" w:hAnsi="Arial" w:cs="Arial"/>
          <w:bCs/>
          <w:color w:val="000000" w:themeColor="text1"/>
          <w:szCs w:val="21"/>
          <w:highlight w:val="none"/>
          <w:lang w:eastAsia="zh-CN"/>
          <w14:textFill>
            <w14:solidFill>
              <w14:schemeClr w14:val="tx1"/>
            </w14:solidFill>
          </w14:textFill>
        </w:rPr>
        <w:t>、</w:t>
      </w:r>
    </w:p>
    <w:p w14:paraId="70F5EF52">
      <w:pPr>
        <w:widowControl/>
        <w:numPr>
          <w:ilvl w:val="0"/>
          <w:numId w:val="0"/>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性任务；</w:t>
      </w:r>
      <w:r>
        <w:rPr>
          <w:rFonts w:hint="eastAsia" w:ascii="宋体" w:hAnsi="宋体" w:cs="宋体"/>
          <w:color w:val="000000" w:themeColor="text1"/>
          <w:szCs w:val="21"/>
          <w:highlight w:val="none"/>
          <w14:textFill>
            <w14:solidFill>
              <w14:schemeClr w14:val="tx1"/>
            </w14:solidFill>
          </w14:textFill>
        </w:rPr>
        <w:t>防台防汛等极端天气及重大保障；</w:t>
      </w:r>
    </w:p>
    <w:p w14:paraId="33726E6F">
      <w:pPr>
        <w:widowControl/>
        <w:numPr>
          <w:ilvl w:val="0"/>
          <w:numId w:val="0"/>
        </w:numPr>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11.</w:t>
      </w:r>
      <w:r>
        <w:rPr>
          <w:rFonts w:hint="eastAsia" w:ascii="Arial" w:hAnsi="Arial" w:cs="Arial"/>
          <w:bCs/>
          <w:color w:val="000000" w:themeColor="text1"/>
          <w:szCs w:val="21"/>
          <w:highlight w:val="none"/>
          <w14:textFill>
            <w14:solidFill>
              <w14:schemeClr w14:val="tx1"/>
            </w14:solidFill>
          </w14:textFill>
        </w:rPr>
        <w:t>在养护期间，新移交的城市道路（含人行道）、桥梁、隧道</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排水管网、排水固</w:t>
      </w:r>
    </w:p>
    <w:p w14:paraId="2AE11BEB">
      <w:pPr>
        <w:widowControl/>
        <w:numPr>
          <w:ilvl w:val="0"/>
          <w:numId w:val="0"/>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定泵站</w:t>
      </w:r>
      <w:r>
        <w:rPr>
          <w:rFonts w:hint="eastAsia" w:ascii="宋体" w:hAnsi="宋体" w:cs="宋体"/>
          <w:color w:val="000000" w:themeColor="text1"/>
          <w:szCs w:val="21"/>
          <w:highlight w:val="none"/>
          <w14:textFill>
            <w14:solidFill>
              <w14:schemeClr w14:val="tx1"/>
            </w14:solidFill>
          </w14:textFill>
        </w:rPr>
        <w:t>、市政消火栓</w:t>
      </w:r>
      <w:r>
        <w:rPr>
          <w:rFonts w:hint="eastAsia" w:ascii="Arial" w:hAnsi="Arial" w:cs="Arial"/>
          <w:bCs/>
          <w:color w:val="000000" w:themeColor="text1"/>
          <w:szCs w:val="21"/>
          <w:highlight w:val="none"/>
          <w14:textFill>
            <w14:solidFill>
              <w14:schemeClr w14:val="tx1"/>
            </w14:solidFill>
          </w14:textFill>
        </w:rPr>
        <w:t>定期巡查、</w:t>
      </w:r>
      <w:r>
        <w:rPr>
          <w:rFonts w:hint="eastAsia" w:ascii="Arial" w:hAnsi="Arial"/>
          <w:color w:val="000000" w:themeColor="text1"/>
          <w:highlight w:val="none"/>
          <w14:textFill>
            <w14:solidFill>
              <w14:schemeClr w14:val="tx1"/>
            </w14:solidFill>
          </w14:textFill>
        </w:rPr>
        <w:t>预防性养护等作业</w:t>
      </w:r>
      <w:r>
        <w:rPr>
          <w:rFonts w:hint="eastAsia" w:ascii="Arial" w:hAnsi="Arial" w:cs="Arial"/>
          <w:bCs/>
          <w:color w:val="000000" w:themeColor="text1"/>
          <w:szCs w:val="21"/>
          <w:highlight w:val="none"/>
          <w14:textFill>
            <w14:solidFill>
              <w14:schemeClr w14:val="tx1"/>
            </w14:solidFill>
          </w14:textFill>
        </w:rPr>
        <w:t>；</w:t>
      </w:r>
    </w:p>
    <w:p w14:paraId="1B6D2F1D">
      <w:pPr>
        <w:widowControl/>
        <w:numPr>
          <w:ilvl w:val="0"/>
          <w:numId w:val="0"/>
        </w:numPr>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lang w:val="en-US" w:eastAsia="zh-CN"/>
          <w14:textFill>
            <w14:solidFill>
              <w14:schemeClr w14:val="tx1"/>
            </w14:solidFill>
          </w14:textFill>
        </w:rPr>
        <w:t>12.</w:t>
      </w:r>
      <w:r>
        <w:rPr>
          <w:rFonts w:hint="eastAsia" w:ascii="Arial" w:hAnsi="Arial" w:cs="Arial"/>
          <w:bCs/>
          <w:color w:val="000000" w:themeColor="text1"/>
          <w:szCs w:val="21"/>
          <w:highlight w:val="none"/>
          <w14:textFill>
            <w14:solidFill>
              <w14:schemeClr w14:val="tx1"/>
            </w14:solidFill>
          </w14:textFill>
        </w:rPr>
        <w:t>采购人下达的城市道路（含人行道）的大面积维修、结构性维修或改造等及本区域内的其它养护工作</w:t>
      </w:r>
      <w:r>
        <w:rPr>
          <w:rFonts w:hint="eastAsia" w:ascii="Arial" w:hAnsi="Arial"/>
          <w:color w:val="000000" w:themeColor="text1"/>
          <w:highlight w:val="none"/>
          <w14:textFill>
            <w14:solidFill>
              <w14:schemeClr w14:val="tx1"/>
            </w14:solidFill>
          </w14:textFill>
        </w:rPr>
        <w:t>。</w:t>
      </w:r>
    </w:p>
    <w:p w14:paraId="3AAAA95C">
      <w:pPr>
        <w:widowControl/>
        <w:numPr>
          <w:ilvl w:val="0"/>
          <w:numId w:val="0"/>
        </w:numPr>
        <w:spacing w:line="360" w:lineRule="auto"/>
        <w:ind w:firstLine="420" w:firstLineChars="200"/>
        <w:rPr>
          <w:rFonts w:hint="eastAsia" w:hAnsi="宋体" w:cs="宋体"/>
          <w:b/>
          <w:color w:val="000000" w:themeColor="text1"/>
          <w:highlight w:val="none"/>
          <w14:textFill>
            <w14:solidFill>
              <w14:schemeClr w14:val="tx1"/>
            </w14:solidFill>
          </w14:textFill>
        </w:rPr>
      </w:pPr>
      <w:r>
        <w:rPr>
          <w:rFonts w:hint="eastAsia" w:ascii="Arial" w:hAnsi="Arial"/>
          <w:color w:val="000000" w:themeColor="text1"/>
          <w:highlight w:val="none"/>
          <w:lang w:val="en-US" w:eastAsia="zh-CN"/>
          <w14:textFill>
            <w14:solidFill>
              <w14:schemeClr w14:val="tx1"/>
            </w14:solidFill>
          </w14:textFill>
        </w:rPr>
        <w:t>13.</w:t>
      </w:r>
      <w:r>
        <w:rPr>
          <w:rFonts w:hint="eastAsia" w:ascii="Arial" w:hAnsi="Arial"/>
          <w:color w:val="000000" w:themeColor="text1"/>
          <w:highlight w:val="none"/>
          <w14:textFill>
            <w14:solidFill>
              <w14:schemeClr w14:val="tx1"/>
            </w14:solidFill>
          </w14:textFill>
        </w:rPr>
        <w:t>其它</w:t>
      </w:r>
      <w:r>
        <w:rPr>
          <w:rFonts w:ascii="Arial" w:hAnsi="Arial"/>
          <w:color w:val="000000" w:themeColor="text1"/>
          <w:highlight w:val="none"/>
          <w14:textFill>
            <w14:solidFill>
              <w14:schemeClr w14:val="tx1"/>
            </w14:solidFill>
          </w14:textFill>
        </w:rPr>
        <w:t>市政设施</w:t>
      </w:r>
      <w:r>
        <w:rPr>
          <w:rFonts w:hint="eastAsia" w:ascii="Arial" w:hAnsi="Arial"/>
          <w:color w:val="000000" w:themeColor="text1"/>
          <w:highlight w:val="none"/>
          <w14:textFill>
            <w14:solidFill>
              <w14:schemeClr w14:val="tx1"/>
            </w14:solidFill>
          </w14:textFill>
        </w:rPr>
        <w:t>综合养护</w:t>
      </w:r>
      <w:r>
        <w:rPr>
          <w:rFonts w:ascii="Arial" w:hAnsi="Arial"/>
          <w:color w:val="000000" w:themeColor="text1"/>
          <w:highlight w:val="none"/>
          <w14:textFill>
            <w14:solidFill>
              <w14:schemeClr w14:val="tx1"/>
            </w14:solidFill>
          </w14:textFill>
        </w:rPr>
        <w:t>项目</w:t>
      </w:r>
      <w:r>
        <w:rPr>
          <w:rFonts w:hint="eastAsia" w:ascii="Arial" w:hAnsi="Arial"/>
          <w:color w:val="000000" w:themeColor="text1"/>
          <w:highlight w:val="none"/>
          <w14:textFill>
            <w14:solidFill>
              <w14:schemeClr w14:val="tx1"/>
            </w14:solidFill>
          </w14:textFill>
        </w:rPr>
        <w:t>。</w:t>
      </w:r>
    </w:p>
    <w:p w14:paraId="03C81529">
      <w:pPr>
        <w:pStyle w:val="20"/>
        <w:snapToGrid w:val="0"/>
        <w:spacing w:line="360" w:lineRule="auto"/>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二、合同金额</w:t>
      </w:r>
    </w:p>
    <w:p w14:paraId="51E3754C">
      <w:pPr>
        <w:keepNext w:val="0"/>
        <w:keepLines w:val="0"/>
        <w:widowControl/>
        <w:suppressLineNumbers w:val="0"/>
        <w:spacing w:line="360" w:lineRule="auto"/>
        <w:jc w:val="left"/>
        <w:rPr>
          <w:rFonts w:hint="eastAsia" w:hAnsi="宋体" w:cs="宋体"/>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2.1 本合同金额为（大</w:t>
      </w:r>
      <w:r>
        <w:rPr>
          <w:rFonts w:hint="eastAsia" w:ascii="Arial" w:hAnsi="Arial" w:eastAsia="宋体" w:cs="Times New Roman"/>
          <w:b/>
          <w:bCs/>
          <w:color w:val="000000" w:themeColor="text1"/>
          <w:highlight w:val="none"/>
          <w14:textFill>
            <w14:solidFill>
              <w14:schemeClr w14:val="tx1"/>
            </w14:solidFill>
          </w14:textFill>
        </w:rPr>
        <w:t>写）：</w:t>
      </w:r>
      <w:r>
        <w:rPr>
          <w:rFonts w:hint="eastAsia" w:hAnsi="宋体" w:cs="宋体"/>
          <w:color w:val="000000" w:themeColor="text1"/>
          <w:highlight w:val="none"/>
          <w:u w:val="single"/>
          <w:lang w:val="en-US" w:eastAsia="zh-CN"/>
          <w14:textFill>
            <w14:solidFill>
              <w14:schemeClr w14:val="tx1"/>
            </w14:solidFill>
          </w14:textFill>
        </w:rPr>
        <w:t xml:space="preserve">             </w:t>
      </w:r>
      <w:r>
        <w:rPr>
          <w:rFonts w:hint="eastAsia" w:ascii="Arial" w:hAnsi="Arial" w:eastAsia="宋体" w:cs="Times New Roman"/>
          <w:b/>
          <w:bCs/>
          <w:color w:val="000000" w:themeColor="text1"/>
          <w:highlight w:val="none"/>
          <w:u w:val="single"/>
          <w14:textFill>
            <w14:solidFill>
              <w14:schemeClr w14:val="tx1"/>
            </w14:solidFill>
          </w14:textFill>
        </w:rPr>
        <w:t>元</w:t>
      </w:r>
      <w:r>
        <w:rPr>
          <w:rFonts w:hint="eastAsia" w:ascii="Arial" w:hAnsi="Arial" w:eastAsia="宋体" w:cs="Times New Roman"/>
          <w:b/>
          <w:bCs/>
          <w:color w:val="000000" w:themeColor="text1"/>
          <w:highlight w:val="none"/>
          <w14:textFill>
            <w14:solidFill>
              <w14:schemeClr w14:val="tx1"/>
            </w14:solidFill>
          </w14:textFill>
        </w:rPr>
        <w:t>（￥</w:t>
      </w:r>
      <w:r>
        <w:rPr>
          <w:rFonts w:hint="eastAsia" w:hAnsi="宋体" w:cs="宋体"/>
          <w:color w:val="000000" w:themeColor="text1"/>
          <w:highlight w:val="none"/>
          <w:u w:val="single"/>
          <w:lang w:val="en-US" w:eastAsia="zh-CN"/>
          <w14:textFill>
            <w14:solidFill>
              <w14:schemeClr w14:val="tx1"/>
            </w14:solidFill>
          </w14:textFill>
        </w:rPr>
        <w:t xml:space="preserve">           </w:t>
      </w:r>
      <w:r>
        <w:rPr>
          <w:rFonts w:hint="eastAsia" w:ascii="Arial" w:hAnsi="Arial" w:eastAsia="宋体" w:cs="Times New Roman"/>
          <w:b/>
          <w:bCs/>
          <w:color w:val="000000" w:themeColor="text1"/>
          <w:highlight w:val="none"/>
          <w:u w:val="single"/>
          <w14:textFill>
            <w14:solidFill>
              <w14:schemeClr w14:val="tx1"/>
            </w14:solidFill>
          </w14:textFill>
        </w:rPr>
        <w:t>元</w:t>
      </w:r>
      <w:r>
        <w:rPr>
          <w:rFonts w:hint="eastAsia" w:ascii="Arial" w:hAnsi="Arial" w:eastAsia="宋体" w:cs="Times New Roman"/>
          <w:b/>
          <w:bCs/>
          <w:color w:val="000000" w:themeColor="text1"/>
          <w:highlight w:val="none"/>
          <w14:textFill>
            <w14:solidFill>
              <w14:schemeClr w14:val="tx1"/>
            </w14:solidFill>
          </w14:textFill>
        </w:rPr>
        <w:t>）人民币</w:t>
      </w:r>
      <w:r>
        <w:rPr>
          <w:rFonts w:hint="eastAsia" w:hAnsi="宋体" w:cs="宋体"/>
          <w:color w:val="000000" w:themeColor="text1"/>
          <w:highlight w:val="none"/>
          <w14:textFill>
            <w14:solidFill>
              <w14:schemeClr w14:val="tx1"/>
            </w14:solidFill>
          </w14:textFill>
        </w:rPr>
        <w:t>。</w:t>
      </w:r>
    </w:p>
    <w:p w14:paraId="798FF193">
      <w:pPr>
        <w:widowControl/>
        <w:numPr>
          <w:ilvl w:val="0"/>
          <w:numId w:val="0"/>
        </w:numPr>
        <w:spacing w:line="360" w:lineRule="auto"/>
        <w:ind w:firstLine="420" w:firstLineChars="200"/>
        <w:rPr>
          <w:rFonts w:hint="eastAsia" w:ascii="Arial" w:hAnsi="Arial" w:eastAsia="宋体" w:cs="Arial"/>
          <w:bCs/>
          <w:color w:val="000000" w:themeColor="text1"/>
          <w:szCs w:val="21"/>
          <w:highlight w:val="none"/>
          <w14:textFill>
            <w14:solidFill>
              <w14:schemeClr w14:val="tx1"/>
            </w14:solidFill>
          </w14:textFill>
        </w:rPr>
      </w:pPr>
      <w:r>
        <w:rPr>
          <w:rFonts w:hint="eastAsia" w:ascii="Arial" w:hAnsi="Arial" w:eastAsia="宋体" w:cs="Arial"/>
          <w:bCs/>
          <w:color w:val="000000" w:themeColor="text1"/>
          <w:szCs w:val="21"/>
          <w:highlight w:val="none"/>
          <w:lang w:val="en-US" w:eastAsia="zh-CN"/>
          <w14:textFill>
            <w14:solidFill>
              <w14:schemeClr w14:val="tx1"/>
            </w14:solidFill>
          </w14:textFill>
        </w:rPr>
        <w:t>本合同价</w:t>
      </w:r>
      <w:r>
        <w:rPr>
          <w:rFonts w:hint="eastAsia" w:ascii="Arial" w:hAnsi="Arial" w:eastAsia="宋体" w:cs="Arial"/>
          <w:bCs/>
          <w:color w:val="000000" w:themeColor="text1"/>
          <w:szCs w:val="21"/>
          <w:highlight w:val="none"/>
          <w14:textFill>
            <w14:solidFill>
              <w14:schemeClr w14:val="tx1"/>
            </w14:solidFill>
          </w14:textFill>
        </w:rPr>
        <w:t>分为日常巡查、排水固定泵养护及防台防汛等重大应急保障服务，排水工程维修，道路工程维修，桥梁工程维修，零星人工、机械使用费（含应急），市政消火栓维修等组成：</w:t>
      </w:r>
    </w:p>
    <w:p w14:paraId="0D12E520">
      <w:pPr>
        <w:widowControl/>
        <w:numPr>
          <w:ilvl w:val="0"/>
          <w:numId w:val="0"/>
        </w:numPr>
        <w:spacing w:line="360" w:lineRule="auto"/>
        <w:ind w:firstLine="420" w:firstLineChars="200"/>
        <w:rPr>
          <w:rFonts w:hint="eastAsia" w:ascii="Arial" w:hAnsi="Arial" w:eastAsia="宋体" w:cs="Arial"/>
          <w:bCs/>
          <w:color w:val="000000" w:themeColor="text1"/>
          <w:szCs w:val="21"/>
          <w:highlight w:val="none"/>
          <w14:textFill>
            <w14:solidFill>
              <w14:schemeClr w14:val="tx1"/>
            </w14:solidFill>
          </w14:textFill>
        </w:rPr>
      </w:pPr>
      <w:r>
        <w:rPr>
          <w:rFonts w:hint="eastAsia" w:ascii="Arial" w:hAnsi="Arial" w:eastAsia="宋体" w:cs="Arial"/>
          <w:bCs/>
          <w:color w:val="000000" w:themeColor="text1"/>
          <w:szCs w:val="21"/>
          <w:highlight w:val="none"/>
          <w14:textFill>
            <w14:solidFill>
              <w14:schemeClr w14:val="tx1"/>
            </w14:solidFill>
          </w14:textFill>
        </w:rPr>
        <w:t>1）日常巡查、排水固定泵养护及防台防汛等重大应急保障服务：包括日常巡查、排水固定泵养护、防台防汛等重大应急保障服务的所有费用，具体详见分部分项工程量清单。</w:t>
      </w:r>
    </w:p>
    <w:p w14:paraId="07C1CF68">
      <w:pPr>
        <w:widowControl/>
        <w:numPr>
          <w:ilvl w:val="0"/>
          <w:numId w:val="0"/>
        </w:numPr>
        <w:spacing w:line="360" w:lineRule="auto"/>
        <w:ind w:firstLine="420" w:firstLineChars="200"/>
        <w:rPr>
          <w:rFonts w:hint="eastAsia" w:ascii="Arial" w:hAnsi="Arial" w:eastAsia="宋体" w:cs="Arial"/>
          <w:bCs/>
          <w:color w:val="000000" w:themeColor="text1"/>
          <w:szCs w:val="21"/>
          <w:highlight w:val="none"/>
          <w14:textFill>
            <w14:solidFill>
              <w14:schemeClr w14:val="tx1"/>
            </w14:solidFill>
          </w14:textFill>
        </w:rPr>
      </w:pPr>
      <w:r>
        <w:rPr>
          <w:rFonts w:hint="eastAsia" w:ascii="Arial" w:hAnsi="Arial" w:eastAsia="宋体" w:cs="Arial"/>
          <w:bCs/>
          <w:color w:val="000000" w:themeColor="text1"/>
          <w:szCs w:val="21"/>
          <w:highlight w:val="none"/>
          <w14:textFill>
            <w14:solidFill>
              <w14:schemeClr w14:val="tx1"/>
            </w14:solidFill>
          </w14:textFill>
        </w:rPr>
        <w:t>注：此费用由供应商按要求进行报价，为固定投标报价，签署合同时该价格固定不变。</w:t>
      </w:r>
    </w:p>
    <w:p w14:paraId="2E180398">
      <w:pPr>
        <w:widowControl/>
        <w:numPr>
          <w:ilvl w:val="0"/>
          <w:numId w:val="0"/>
        </w:numPr>
        <w:spacing w:line="360" w:lineRule="auto"/>
        <w:ind w:firstLine="420" w:firstLineChars="200"/>
        <w:rPr>
          <w:rFonts w:hint="eastAsia" w:ascii="Arial" w:hAnsi="Arial" w:eastAsia="宋体" w:cs="Arial"/>
          <w:bCs/>
          <w:color w:val="000000" w:themeColor="text1"/>
          <w:szCs w:val="21"/>
          <w:highlight w:val="none"/>
          <w14:textFill>
            <w14:solidFill>
              <w14:schemeClr w14:val="tx1"/>
            </w14:solidFill>
          </w14:textFill>
        </w:rPr>
      </w:pPr>
      <w:r>
        <w:rPr>
          <w:rFonts w:hint="eastAsia" w:ascii="Arial" w:hAnsi="Arial" w:eastAsia="宋体" w:cs="Arial"/>
          <w:bCs/>
          <w:color w:val="000000" w:themeColor="text1"/>
          <w:szCs w:val="21"/>
          <w:highlight w:val="none"/>
          <w14:textFill>
            <w14:solidFill>
              <w14:schemeClr w14:val="tx1"/>
            </w14:solidFill>
          </w14:textFill>
        </w:rPr>
        <w:t>道路工程维修、排水工程维修、桥梁工程维修、市政消火栓维修、机械使用费及零星人工费用（含应急）：采用全费用综合单价进行报价，包含人工费、材料费、机械费、管理费、利润及各种规费、税费、安全文明施工等所有费用以及一定范围内的风险费。</w:t>
      </w:r>
    </w:p>
    <w:p w14:paraId="7693DFE9">
      <w:pPr>
        <w:widowControl/>
        <w:numPr>
          <w:ilvl w:val="0"/>
          <w:numId w:val="0"/>
        </w:numPr>
        <w:spacing w:line="360" w:lineRule="auto"/>
        <w:ind w:firstLine="420" w:firstLineChars="200"/>
        <w:rPr>
          <w:rFonts w:hint="eastAsia" w:ascii="Arial" w:hAnsi="Arial" w:eastAsia="宋体" w:cs="Arial"/>
          <w:bCs/>
          <w:color w:val="000000" w:themeColor="text1"/>
          <w:szCs w:val="21"/>
          <w:highlight w:val="none"/>
          <w14:textFill>
            <w14:solidFill>
              <w14:schemeClr w14:val="tx1"/>
            </w14:solidFill>
          </w14:textFill>
        </w:rPr>
      </w:pPr>
      <w:r>
        <w:rPr>
          <w:rFonts w:hint="eastAsia" w:ascii="Arial" w:hAnsi="Arial" w:eastAsia="宋体" w:cs="Arial"/>
          <w:bCs/>
          <w:color w:val="000000" w:themeColor="text1"/>
          <w:szCs w:val="21"/>
          <w:highlight w:val="none"/>
          <w:lang w:val="en-US" w:eastAsia="zh-CN"/>
          <w14:textFill>
            <w14:solidFill>
              <w14:schemeClr w14:val="tx1"/>
            </w14:solidFill>
          </w14:textFill>
        </w:rPr>
        <w:t>注：</w:t>
      </w:r>
      <w:r>
        <w:rPr>
          <w:rFonts w:hint="eastAsia" w:ascii="Arial" w:hAnsi="Arial" w:eastAsia="宋体" w:cs="Arial"/>
          <w:bCs/>
          <w:color w:val="000000" w:themeColor="text1"/>
          <w:szCs w:val="21"/>
          <w:highlight w:val="none"/>
          <w14:textFill>
            <w14:solidFill>
              <w14:schemeClr w14:val="tx1"/>
            </w14:solidFill>
          </w14:textFill>
        </w:rPr>
        <w:t>此费用由供应商按要求进行报价</w:t>
      </w:r>
      <w:r>
        <w:rPr>
          <w:rFonts w:hint="eastAsia" w:ascii="Arial" w:hAnsi="Arial" w:eastAsia="宋体" w:cs="Arial"/>
          <w:bCs/>
          <w:color w:val="000000" w:themeColor="text1"/>
          <w:szCs w:val="21"/>
          <w:highlight w:val="none"/>
          <w:lang w:eastAsia="zh-CN"/>
          <w14:textFill>
            <w14:solidFill>
              <w14:schemeClr w14:val="tx1"/>
            </w14:solidFill>
          </w14:textFill>
        </w:rPr>
        <w:t>，</w:t>
      </w:r>
      <w:r>
        <w:rPr>
          <w:rFonts w:hint="eastAsia" w:ascii="Arial" w:hAnsi="Arial" w:eastAsia="宋体" w:cs="Arial"/>
          <w:bCs/>
          <w:color w:val="000000" w:themeColor="text1"/>
          <w:szCs w:val="21"/>
          <w:highlight w:val="none"/>
          <w14:textFill>
            <w14:solidFill>
              <w14:schemeClr w14:val="tx1"/>
            </w14:solidFill>
          </w14:textFill>
        </w:rPr>
        <w:t>签署合同时该单价固定不变，工程量按实结算。</w:t>
      </w:r>
    </w:p>
    <w:p w14:paraId="00B84169">
      <w:pPr>
        <w:pStyle w:val="20"/>
        <w:snapToGrid w:val="0"/>
        <w:spacing w:line="420" w:lineRule="exact"/>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三、技术资料</w:t>
      </w:r>
    </w:p>
    <w:p w14:paraId="644E208E">
      <w:pPr>
        <w:pStyle w:val="20"/>
        <w:snapToGrid w:val="0"/>
        <w:spacing w:line="420" w:lineRule="exact"/>
        <w:ind w:left="359" w:hanging="359" w:hangingChars="171"/>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3.1乙方应按招标文件规定的时间向甲方提供有关技术资料。</w:t>
      </w:r>
    </w:p>
    <w:p w14:paraId="61153F0F">
      <w:pPr>
        <w:pStyle w:val="20"/>
        <w:snapToGrid w:val="0"/>
        <w:spacing w:line="420" w:lineRule="exact"/>
        <w:ind w:left="359" w:hanging="359" w:hangingChars="171"/>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3.2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14:paraId="62BF88FF">
      <w:pPr>
        <w:pStyle w:val="20"/>
        <w:snapToGrid w:val="0"/>
        <w:spacing w:line="420" w:lineRule="exact"/>
        <w:ind w:left="360" w:hanging="361" w:hangingChars="171"/>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四、知识产权</w:t>
      </w:r>
    </w:p>
    <w:p w14:paraId="2F9EC04E">
      <w:pPr>
        <w:pStyle w:val="20"/>
        <w:snapToGrid w:val="0"/>
        <w:spacing w:line="420" w:lineRule="exact"/>
        <w:ind w:left="359" w:hanging="359" w:hangingChars="171"/>
        <w:rPr>
          <w:rFonts w:hint="eastAsia" w:hAnsi="宋体" w:cs="宋体"/>
          <w:b/>
          <w:bCs/>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4.1 乙方应保证提供服务过程中不会侵犯任何第三方的</w:t>
      </w:r>
      <w:r>
        <w:rPr>
          <w:rFonts w:hint="eastAsia" w:hAnsi="宋体" w:cs="宋体"/>
          <w:b/>
          <w:color w:val="000000" w:themeColor="text1"/>
          <w:highlight w:val="none"/>
          <w14:textFill>
            <w14:solidFill>
              <w14:schemeClr w14:val="tx1"/>
            </w14:solidFill>
          </w14:textFill>
        </w:rPr>
        <w:t>知识产权</w:t>
      </w:r>
      <w:r>
        <w:rPr>
          <w:rFonts w:hint="eastAsia" w:hAnsi="宋体" w:cs="宋体"/>
          <w:b/>
          <w:bCs/>
          <w:color w:val="000000" w:themeColor="text1"/>
          <w:highlight w:val="none"/>
          <w14:textFill>
            <w14:solidFill>
              <w14:schemeClr w14:val="tx1"/>
            </w14:solidFill>
          </w14:textFill>
        </w:rPr>
        <w:t>。</w:t>
      </w:r>
    </w:p>
    <w:p w14:paraId="7ADC008D">
      <w:pPr>
        <w:pStyle w:val="20"/>
        <w:snapToGrid w:val="0"/>
        <w:spacing w:line="420" w:lineRule="exact"/>
        <w:ind w:left="0" w:firstLine="0" w:firstLineChars="0"/>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五、履约保证金</w:t>
      </w:r>
    </w:p>
    <w:p w14:paraId="3215DA08">
      <w:pPr>
        <w:pStyle w:val="20"/>
        <w:snapToGrid w:val="0"/>
        <w:spacing w:line="420" w:lineRule="exact"/>
        <w:ind w:left="357" w:hanging="357" w:hangingChars="17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5.1 </w:t>
      </w:r>
      <w:r>
        <w:rPr>
          <w:rFonts w:hint="eastAsia" w:ascii="宋体" w:hAnsi="宋体" w:cs="宋体"/>
          <w:color w:val="000000" w:themeColor="text1"/>
          <w:szCs w:val="21"/>
          <w:highlight w:val="none"/>
          <w14:textFill>
            <w14:solidFill>
              <w14:schemeClr w14:val="tx1"/>
            </w14:solidFill>
          </w14:textFill>
        </w:rPr>
        <w:t>无</w:t>
      </w:r>
      <w:r>
        <w:rPr>
          <w:rFonts w:hint="eastAsia" w:hAnsi="宋体" w:cs="宋体"/>
          <w:color w:val="000000" w:themeColor="text1"/>
          <w:highlight w:val="none"/>
          <w14:textFill>
            <w14:solidFill>
              <w14:schemeClr w14:val="tx1"/>
            </w14:solidFill>
          </w14:textFill>
        </w:rPr>
        <w:t>。</w:t>
      </w:r>
    </w:p>
    <w:p w14:paraId="7C471505">
      <w:pPr>
        <w:pStyle w:val="20"/>
        <w:snapToGrid w:val="0"/>
        <w:spacing w:line="420" w:lineRule="exact"/>
        <w:ind w:left="360" w:hanging="361" w:hangingChars="171"/>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六、转包或分包</w:t>
      </w:r>
    </w:p>
    <w:p w14:paraId="2C62C302">
      <w:pPr>
        <w:pStyle w:val="20"/>
        <w:snapToGrid w:val="0"/>
        <w:spacing w:line="420" w:lineRule="exact"/>
        <w:ind w:left="359" w:hanging="359" w:hangingChars="171"/>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6.1本合同范围的服务，应由乙方直接供应，不得转让他人供应；</w:t>
      </w:r>
    </w:p>
    <w:p w14:paraId="6AE88256">
      <w:pPr>
        <w:pStyle w:val="20"/>
        <w:snapToGrid w:val="0"/>
        <w:spacing w:line="420" w:lineRule="exact"/>
        <w:ind w:left="359" w:hanging="359" w:hangingChars="171"/>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6.2 除非得到甲方的同意，乙方不得部分分包给他人供应。甲方有绝对权力阻止分包。</w:t>
      </w:r>
    </w:p>
    <w:p w14:paraId="0B030606">
      <w:pPr>
        <w:pStyle w:val="20"/>
        <w:snapToGrid w:val="0"/>
        <w:spacing w:line="420" w:lineRule="exact"/>
        <w:ind w:left="359" w:hanging="359" w:hangingChars="171"/>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6.3如有转让和未经甲方同意的分包行为，甲方有权给予终止合同。</w:t>
      </w:r>
    </w:p>
    <w:p w14:paraId="7B7CFE83">
      <w:pPr>
        <w:pStyle w:val="20"/>
        <w:snapToGrid w:val="0"/>
        <w:spacing w:line="420" w:lineRule="exact"/>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七、合同履行时间、履行方式及履行地点</w:t>
      </w:r>
    </w:p>
    <w:p w14:paraId="6EB6BD70">
      <w:pPr>
        <w:widowControl/>
        <w:autoSpaceDE w:val="0"/>
        <w:autoSpaceDN w:val="0"/>
        <w:spacing w:line="360" w:lineRule="auto"/>
        <w:ind w:firstLine="420" w:firstLineChars="200"/>
        <w:textAlignment w:val="bottom"/>
        <w:rPr>
          <w:rFonts w:hint="eastAsia" w:ascii="宋体" w:hAnsi="宋体" w:eastAsia="宋体" w:cs="宋体"/>
          <w:color w:val="000000" w:themeColor="text1"/>
          <w:highlight w:val="none"/>
          <w14:textFill>
            <w14:solidFill>
              <w14:schemeClr w14:val="tx1"/>
            </w14:solidFill>
          </w14:textFill>
        </w:rPr>
      </w:pPr>
      <w:r>
        <w:rPr>
          <w:rFonts w:hint="eastAsia" w:hAnsi="宋体" w:cs="宋体"/>
          <w:bCs/>
          <w:color w:val="000000" w:themeColor="text1"/>
          <w:highlight w:val="none"/>
          <w14:textFill>
            <w14:solidFill>
              <w14:schemeClr w14:val="tx1"/>
            </w14:solidFill>
          </w14:textFill>
        </w:rPr>
        <w:t xml:space="preserve">7.1 </w:t>
      </w:r>
      <w:r>
        <w:rPr>
          <w:rFonts w:hint="eastAsia" w:hAnsi="宋体" w:cs="宋体"/>
          <w:color w:val="000000" w:themeColor="text1"/>
          <w:highlight w:val="none"/>
          <w14:textFill>
            <w14:solidFill>
              <w14:schemeClr w14:val="tx1"/>
            </w14:solidFill>
          </w14:textFill>
        </w:rPr>
        <w:t>履行时间</w:t>
      </w:r>
      <w:r>
        <w:rPr>
          <w:rFonts w:hint="eastAsia" w:hAnsi="宋体" w:cs="宋体"/>
          <w:bCs/>
          <w:color w:val="000000" w:themeColor="text1"/>
          <w:highlight w:val="none"/>
          <w14:textFill>
            <w14:solidFill>
              <w14:schemeClr w14:val="tx1"/>
            </w14:solidFill>
          </w14:textFill>
        </w:rPr>
        <w:t>：</w:t>
      </w:r>
      <w:r>
        <w:rPr>
          <w:rFonts w:hint="eastAsia" w:ascii="宋体" w:hAnsi="宋体" w:cs="宋体"/>
          <w:color w:val="000000" w:themeColor="text1"/>
          <w:highlight w:val="none"/>
          <w:u w:val="single"/>
          <w:lang w:val="en-US" w:eastAsia="zh-CN"/>
          <w14:textFill>
            <w14:solidFill>
              <w14:schemeClr w14:val="tx1"/>
            </w14:solidFill>
          </w14:textFill>
        </w:rPr>
        <w:t xml:space="preserve">    </w:t>
      </w:r>
      <w:r>
        <w:rPr>
          <w:rFonts w:hint="eastAsia" w:ascii="Arial" w:hAnsi="Arial" w:cs="Arial"/>
          <w:bCs/>
          <w:color w:val="000000" w:themeColor="text1"/>
          <w:szCs w:val="21"/>
          <w:highlight w:val="none"/>
          <w14:textFill>
            <w14:solidFill>
              <w14:schemeClr w14:val="tx1"/>
            </w14:solidFill>
          </w14:textFill>
        </w:rPr>
        <w:t>年，自合同签订之日起</w:t>
      </w:r>
      <w:r>
        <w:rPr>
          <w:rFonts w:hint="eastAsia" w:ascii="宋体" w:hAnsi="宋体" w:cs="宋体"/>
          <w:color w:val="000000" w:themeColor="text1"/>
          <w:highlight w:val="none"/>
          <w:u w:val="single"/>
          <w:lang w:val="en-US" w:eastAsia="zh-CN"/>
          <w14:textFill>
            <w14:solidFill>
              <w14:schemeClr w14:val="tx1"/>
            </w14:solidFill>
          </w14:textFill>
        </w:rPr>
        <w:t xml:space="preserve">    </w:t>
      </w:r>
      <w:r>
        <w:rPr>
          <w:rFonts w:hint="eastAsia" w:ascii="Arial" w:hAnsi="Arial" w:cs="Arial"/>
          <w:bCs/>
          <w:color w:val="000000" w:themeColor="text1"/>
          <w:szCs w:val="21"/>
          <w:highlight w:val="none"/>
          <w14:textFill>
            <w14:solidFill>
              <w14:schemeClr w14:val="tx1"/>
            </w14:solidFill>
          </w14:textFill>
        </w:rPr>
        <w:t>年，</w:t>
      </w:r>
      <w:r>
        <w:rPr>
          <w:rFonts w:hint="eastAsia" w:ascii="宋体" w:hAnsi="宋体" w:eastAsia="宋体" w:cs="宋体"/>
          <w:color w:val="000000" w:themeColor="text1"/>
          <w:highlight w:val="none"/>
          <w14:textFill>
            <w14:solidFill>
              <w14:schemeClr w14:val="tx1"/>
            </w14:solidFill>
          </w14:textFill>
        </w:rPr>
        <w:t>即</w:t>
      </w:r>
      <w:r>
        <w:rPr>
          <w:rFonts w:hint="eastAsia" w:ascii="宋体" w:hAnsi="宋体" w:cs="宋体"/>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日至</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日止</w:t>
      </w:r>
    </w:p>
    <w:p w14:paraId="3AB9C9AE">
      <w:pPr>
        <w:widowControl/>
        <w:autoSpaceDE w:val="0"/>
        <w:autoSpaceDN w:val="0"/>
        <w:spacing w:line="360" w:lineRule="auto"/>
        <w:ind w:firstLine="420" w:firstLineChars="200"/>
        <w:textAlignment w:val="bottom"/>
        <w:rPr>
          <w:rFonts w:hAnsi="宋体" w:cs="宋体"/>
          <w:bCs/>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具体履约时间以合同签订时间为准。</w:t>
      </w:r>
    </w:p>
    <w:p w14:paraId="44A2E97B">
      <w:pPr>
        <w:widowControl/>
        <w:numPr>
          <w:ilvl w:val="0"/>
          <w:numId w:val="2"/>
        </w:numPr>
        <w:autoSpaceDE w:val="0"/>
        <w:autoSpaceDN w:val="0"/>
        <w:spacing w:line="360" w:lineRule="auto"/>
        <w:textAlignment w:val="bottom"/>
        <w:rPr>
          <w:rFonts w:hint="eastAsia" w:ascii="Arial" w:hAnsi="Arial"/>
          <w:b/>
          <w:bCs/>
          <w:color w:val="000000" w:themeColor="text1"/>
          <w:highlight w:val="none"/>
          <w14:textFill>
            <w14:solidFill>
              <w14:schemeClr w14:val="tx1"/>
            </w14:solidFill>
          </w14:textFill>
        </w:rPr>
      </w:pPr>
      <w:r>
        <w:rPr>
          <w:rFonts w:hint="eastAsia" w:hAnsi="宋体" w:cs="宋体"/>
          <w:bCs/>
          <w:color w:val="000000" w:themeColor="text1"/>
          <w:highlight w:val="none"/>
          <w14:textFill>
            <w14:solidFill>
              <w14:schemeClr w14:val="tx1"/>
            </w14:solidFill>
          </w14:textFill>
        </w:rPr>
        <w:t xml:space="preserve">7.2 </w:t>
      </w:r>
      <w:r>
        <w:rPr>
          <w:rFonts w:hint="eastAsia" w:hAnsi="宋体" w:cs="宋体"/>
          <w:color w:val="000000" w:themeColor="text1"/>
          <w:highlight w:val="none"/>
          <w14:textFill>
            <w14:solidFill>
              <w14:schemeClr w14:val="tx1"/>
            </w14:solidFill>
          </w14:textFill>
        </w:rPr>
        <w:t>履行方式</w:t>
      </w:r>
      <w:r>
        <w:rPr>
          <w:rFonts w:hint="eastAsia" w:hAnsi="宋体" w:cs="宋体"/>
          <w:bCs/>
          <w:color w:val="000000" w:themeColor="text1"/>
          <w:highlight w:val="none"/>
          <w14:textFill>
            <w14:solidFill>
              <w14:schemeClr w14:val="tx1"/>
            </w14:solidFill>
          </w14:textFill>
        </w:rPr>
        <w:t>：</w:t>
      </w:r>
    </w:p>
    <w:p w14:paraId="3E49CBF4">
      <w:pPr>
        <w:widowControl/>
        <w:numPr>
          <w:ilvl w:val="0"/>
          <w:numId w:val="5"/>
        </w:numPr>
        <w:autoSpaceDE w:val="0"/>
        <w:autoSpaceDN w:val="0"/>
        <w:spacing w:line="360" w:lineRule="auto"/>
        <w:ind w:left="20" w:leftChars="0" w:firstLineChars="0"/>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总则</w:t>
      </w:r>
    </w:p>
    <w:p w14:paraId="63569786">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养护期间，养护单位应严格按照各专业</w:t>
      </w:r>
      <w:r>
        <w:rPr>
          <w:rFonts w:hint="eastAsia" w:ascii="Arial" w:hAnsi="Arial"/>
          <w:color w:val="000000" w:themeColor="text1"/>
          <w:szCs w:val="21"/>
          <w:highlight w:val="none"/>
          <w14:textFill>
            <w14:solidFill>
              <w14:schemeClr w14:val="tx1"/>
            </w14:solidFill>
          </w14:textFill>
        </w:rPr>
        <w:t>相关的养护作业标准、规范、规程和采购人的管理规定开展本项目。</w:t>
      </w:r>
    </w:p>
    <w:p w14:paraId="61A907F3">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对本项目实施所需的劳动力、材料、设备、施工用水电和服务由养护单位自行组织，由此产生的费用自行承担，所配置的人员（包括以后新增人员及接收人员）不与采购人发生劳资关系，人员的工资由养护单位自行发放。养护单位对本项目所需的管理用房及人员食宿自行解决。</w:t>
      </w:r>
    </w:p>
    <w:p w14:paraId="440F82E1">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必须严格执行采购人制定的安全生产制度及其它各项规章制度，项目合同期内重视安全生产工作，确保合同期内不发生安全责任事故。如发生安全责任事故，由养护单位承担后果。</w:t>
      </w:r>
    </w:p>
    <w:p w14:paraId="4B97613B">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养护期间，遵守地方政府和有关部门对养护现场交通、施工噪音、环境保护和安全文明施工要求。协调项目实施期间与附近居民的关系，避免由于项目实施造成附近居民投诉。</w:t>
      </w:r>
    </w:p>
    <w:p w14:paraId="378FA7C1">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建立健全一路一档、一桥一档制度，在进场后迅速完善养护维修流程、质量保证体系，并向采购人提交养护施工组织设计、养护手册、养护频次和重点部位规划、基础设施量统计表、应急预案等文件。</w:t>
      </w:r>
    </w:p>
    <w:p w14:paraId="70E2F2EF">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养护期间内，未经采购人同意，不得在承包范围内从事各种与本项目内容无关的活动。</w:t>
      </w:r>
    </w:p>
    <w:p w14:paraId="017499BD">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按实施季节、天气及时段不同及时向采购人相关科室上报作息时间，但须得到相关科室同意方可实施。</w:t>
      </w:r>
    </w:p>
    <w:p w14:paraId="7219D827">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负责进行保险理赔事项的技术支持、协助进行维权处理工作。</w:t>
      </w:r>
    </w:p>
    <w:p w14:paraId="1BF423A5">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负责编制本月度养护维修情况报告、下月养护维修计划、年度养护维修计划及年度养护维修预算报告，并组织实施经采购人认可的养护维修及运行管理计划，在确定的设施养护维修项目及运行管理职责内合理使用养护维修经费。台帐等资料及提交时间详见下表。</w:t>
      </w:r>
    </w:p>
    <w:tbl>
      <w:tblPr>
        <w:tblStyle w:val="35"/>
        <w:tblW w:w="0" w:type="auto"/>
        <w:tblInd w:w="10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535"/>
        <w:gridCol w:w="1140"/>
        <w:gridCol w:w="4635"/>
      </w:tblGrid>
      <w:tr w14:paraId="0B5638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blHeader/>
        </w:trPr>
        <w:tc>
          <w:tcPr>
            <w:tcW w:w="2535" w:type="dxa"/>
            <w:noWrap w:val="0"/>
            <w:vAlign w:val="top"/>
          </w:tcPr>
          <w:p w14:paraId="2908F5B4">
            <w:pPr>
              <w:spacing w:line="400" w:lineRule="exact"/>
              <w:jc w:val="center"/>
              <w:outlineLvl w:val="1"/>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资料及文件名称</w:t>
            </w:r>
          </w:p>
        </w:tc>
        <w:tc>
          <w:tcPr>
            <w:tcW w:w="1140" w:type="dxa"/>
            <w:noWrap w:val="0"/>
            <w:vAlign w:val="top"/>
          </w:tcPr>
          <w:p w14:paraId="313F3B7A">
            <w:pPr>
              <w:spacing w:line="400" w:lineRule="exact"/>
              <w:jc w:val="center"/>
              <w:outlineLvl w:val="1"/>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份数</w:t>
            </w:r>
          </w:p>
        </w:tc>
        <w:tc>
          <w:tcPr>
            <w:tcW w:w="4635" w:type="dxa"/>
            <w:noWrap w:val="0"/>
            <w:vAlign w:val="top"/>
          </w:tcPr>
          <w:p w14:paraId="5A891F33">
            <w:pPr>
              <w:spacing w:line="400" w:lineRule="exact"/>
              <w:jc w:val="center"/>
              <w:outlineLvl w:val="1"/>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提交时间</w:t>
            </w:r>
          </w:p>
        </w:tc>
      </w:tr>
      <w:tr w14:paraId="0AE548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5" w:type="dxa"/>
            <w:noWrap w:val="0"/>
            <w:vAlign w:val="center"/>
          </w:tcPr>
          <w:p w14:paraId="4F5921C9">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本月度养护维修情况报告</w:t>
            </w:r>
          </w:p>
        </w:tc>
        <w:tc>
          <w:tcPr>
            <w:tcW w:w="1140" w:type="dxa"/>
            <w:noWrap w:val="0"/>
            <w:vAlign w:val="center"/>
          </w:tcPr>
          <w:p w14:paraId="264BC000">
            <w:pPr>
              <w:spacing w:line="400" w:lineRule="exact"/>
              <w:jc w:val="center"/>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每月2份</w:t>
            </w:r>
          </w:p>
        </w:tc>
        <w:tc>
          <w:tcPr>
            <w:tcW w:w="4635" w:type="dxa"/>
            <w:noWrap w:val="0"/>
            <w:vAlign w:val="top"/>
          </w:tcPr>
          <w:p w14:paraId="3B3071B9">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下月10日，如遇节假日顺延至下周周一。</w:t>
            </w:r>
          </w:p>
        </w:tc>
      </w:tr>
      <w:tr w14:paraId="6D44F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5" w:type="dxa"/>
            <w:noWrap w:val="0"/>
            <w:vAlign w:val="center"/>
          </w:tcPr>
          <w:p w14:paraId="2257B784">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下月养护维修计划</w:t>
            </w:r>
          </w:p>
        </w:tc>
        <w:tc>
          <w:tcPr>
            <w:tcW w:w="1140" w:type="dxa"/>
            <w:noWrap w:val="0"/>
            <w:vAlign w:val="center"/>
          </w:tcPr>
          <w:p w14:paraId="73BFCF11">
            <w:pPr>
              <w:spacing w:line="400" w:lineRule="exact"/>
              <w:jc w:val="center"/>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每月2份</w:t>
            </w:r>
          </w:p>
        </w:tc>
        <w:tc>
          <w:tcPr>
            <w:tcW w:w="4635" w:type="dxa"/>
            <w:noWrap w:val="0"/>
            <w:vAlign w:val="top"/>
          </w:tcPr>
          <w:p w14:paraId="6568AA1C">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每月10日，如遇节假日顺延至下周周一。</w:t>
            </w:r>
          </w:p>
        </w:tc>
      </w:tr>
      <w:tr w14:paraId="408264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5" w:type="dxa"/>
            <w:noWrap w:val="0"/>
            <w:vAlign w:val="center"/>
          </w:tcPr>
          <w:p w14:paraId="11D806E3">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年度养护维修计划</w:t>
            </w:r>
          </w:p>
        </w:tc>
        <w:tc>
          <w:tcPr>
            <w:tcW w:w="1140" w:type="dxa"/>
            <w:noWrap w:val="0"/>
            <w:vAlign w:val="center"/>
          </w:tcPr>
          <w:p w14:paraId="1D26ADD5">
            <w:pPr>
              <w:spacing w:line="400" w:lineRule="exact"/>
              <w:jc w:val="center"/>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每年2份</w:t>
            </w:r>
          </w:p>
        </w:tc>
        <w:tc>
          <w:tcPr>
            <w:tcW w:w="4635" w:type="dxa"/>
            <w:noWrap w:val="0"/>
            <w:vAlign w:val="top"/>
          </w:tcPr>
          <w:p w14:paraId="6781150D">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合同期开始后45日内。</w:t>
            </w:r>
          </w:p>
        </w:tc>
      </w:tr>
      <w:tr w14:paraId="1647C5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5" w:type="dxa"/>
            <w:noWrap w:val="0"/>
            <w:vAlign w:val="center"/>
          </w:tcPr>
          <w:p w14:paraId="1757D997">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年度养护维修预算报告</w:t>
            </w:r>
          </w:p>
        </w:tc>
        <w:tc>
          <w:tcPr>
            <w:tcW w:w="1140" w:type="dxa"/>
            <w:noWrap w:val="0"/>
            <w:vAlign w:val="center"/>
          </w:tcPr>
          <w:p w14:paraId="5B659657">
            <w:pPr>
              <w:spacing w:line="400" w:lineRule="exact"/>
              <w:jc w:val="center"/>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每年2份</w:t>
            </w:r>
          </w:p>
        </w:tc>
        <w:tc>
          <w:tcPr>
            <w:tcW w:w="4635" w:type="dxa"/>
            <w:noWrap w:val="0"/>
            <w:vAlign w:val="top"/>
          </w:tcPr>
          <w:p w14:paraId="5C46CBA3">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合同期开始后45日内。</w:t>
            </w:r>
          </w:p>
        </w:tc>
      </w:tr>
      <w:tr w14:paraId="23B9CE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5" w:type="dxa"/>
            <w:noWrap w:val="0"/>
            <w:vAlign w:val="center"/>
          </w:tcPr>
          <w:p w14:paraId="16C3984C">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年度</w:t>
            </w:r>
            <w:r>
              <w:rPr>
                <w:rFonts w:ascii="Arial" w:hAnsi="Arial" w:cs="Arial"/>
                <w:bCs/>
                <w:color w:val="000000" w:themeColor="text1"/>
                <w:szCs w:val="21"/>
                <w:highlight w:val="none"/>
                <w14:textFill>
                  <w14:solidFill>
                    <w14:schemeClr w14:val="tx1"/>
                  </w14:solidFill>
                </w14:textFill>
              </w:rPr>
              <w:t>养护维修情况总结</w:t>
            </w:r>
          </w:p>
        </w:tc>
        <w:tc>
          <w:tcPr>
            <w:tcW w:w="1140" w:type="dxa"/>
            <w:noWrap w:val="0"/>
            <w:vAlign w:val="center"/>
          </w:tcPr>
          <w:p w14:paraId="3256EB3F">
            <w:pPr>
              <w:spacing w:line="400" w:lineRule="exact"/>
              <w:jc w:val="center"/>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每年2份</w:t>
            </w:r>
          </w:p>
        </w:tc>
        <w:tc>
          <w:tcPr>
            <w:tcW w:w="4635" w:type="dxa"/>
            <w:noWrap w:val="0"/>
            <w:vAlign w:val="top"/>
          </w:tcPr>
          <w:p w14:paraId="40FA6BC2">
            <w:pPr>
              <w:spacing w:line="400" w:lineRule="exact"/>
              <w:outlineLvl w:val="1"/>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年度合同期</w:t>
            </w:r>
            <w:r>
              <w:rPr>
                <w:rFonts w:ascii="Arial" w:hAnsi="Arial" w:cs="Arial"/>
                <w:bCs/>
                <w:color w:val="000000" w:themeColor="text1"/>
                <w:szCs w:val="21"/>
                <w:highlight w:val="none"/>
                <w14:textFill>
                  <w14:solidFill>
                    <w14:schemeClr w14:val="tx1"/>
                  </w14:solidFill>
                </w14:textFill>
              </w:rPr>
              <w:t>结束后</w:t>
            </w:r>
            <w:r>
              <w:rPr>
                <w:rFonts w:hint="eastAsia" w:ascii="Arial" w:hAnsi="Arial" w:cs="Arial"/>
                <w:bCs/>
                <w:color w:val="000000" w:themeColor="text1"/>
                <w:szCs w:val="21"/>
                <w:highlight w:val="none"/>
                <w14:textFill>
                  <w14:solidFill>
                    <w14:schemeClr w14:val="tx1"/>
                  </w14:solidFill>
                </w14:textFill>
              </w:rPr>
              <w:t>10日</w:t>
            </w:r>
            <w:r>
              <w:rPr>
                <w:rFonts w:ascii="Arial" w:hAnsi="Arial" w:cs="Arial"/>
                <w:bCs/>
                <w:color w:val="000000" w:themeColor="text1"/>
                <w:szCs w:val="21"/>
                <w:highlight w:val="none"/>
                <w14:textFill>
                  <w14:solidFill>
                    <w14:schemeClr w14:val="tx1"/>
                  </w14:solidFill>
                </w14:textFill>
              </w:rPr>
              <w:t>内</w:t>
            </w:r>
          </w:p>
        </w:tc>
      </w:tr>
    </w:tbl>
    <w:p w14:paraId="470C3401">
      <w:pPr>
        <w:widowControl/>
        <w:numPr>
          <w:ilvl w:val="0"/>
          <w:numId w:val="6"/>
        </w:numPr>
        <w:autoSpaceDE w:val="0"/>
        <w:autoSpaceDN w:val="0"/>
        <w:spacing w:before="120" w:beforeLines="50"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养护期间，必须按采购人所订的考核细则规定履行。对采购人在日常考核、监督中提出的存在问题，要及时予以整改，同一问题被连续二次发现未及时整改的，将加倍处罚。</w:t>
      </w:r>
    </w:p>
    <w:p w14:paraId="6666F91A">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对于新政策文件规定出台等不可抗力情况导致交通改道、基础保养等特殊要求的维修，需按采购人要求做好专项方案和计划作业书，报采购人和相关单位审批通过后方可实施。</w:t>
      </w:r>
    </w:p>
    <w:p w14:paraId="4817C955">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养护单位应为对财产和养护机械设备办理保险。</w:t>
      </w:r>
    </w:p>
    <w:p w14:paraId="7CD21338">
      <w:pPr>
        <w:widowControl/>
        <w:numPr>
          <w:ilvl w:val="0"/>
          <w:numId w:val="6"/>
        </w:numPr>
        <w:autoSpaceDE w:val="0"/>
        <w:autoSpaceDN w:val="0"/>
        <w:spacing w:line="360" w:lineRule="auto"/>
        <w:textAlignment w:val="bottom"/>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在做好日常养护等工作的同时，必须无条件服从采购人安排的市、区及中心布置的各类创建迎检测评活动保障、防汛防台、防雪抗冻等应急处理工作和其他临时性（如智慧城管案件、市民信访案件等）任务。</w:t>
      </w:r>
    </w:p>
    <w:p w14:paraId="5C73835F">
      <w:pPr>
        <w:widowControl/>
        <w:numPr>
          <w:ilvl w:val="0"/>
          <w:numId w:val="6"/>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如在合同服务期内，因采购人进行管理体制改革、机构整合等重大调整，本合同自行终止，养护单位不得提出索赔。</w:t>
      </w:r>
    </w:p>
    <w:p w14:paraId="3E4C6F7C">
      <w:pPr>
        <w:widowControl/>
        <w:numPr>
          <w:ilvl w:val="0"/>
          <w:numId w:val="5"/>
        </w:numPr>
        <w:autoSpaceDE w:val="0"/>
        <w:autoSpaceDN w:val="0"/>
        <w:spacing w:line="360" w:lineRule="auto"/>
        <w:ind w:left="20" w:leftChars="0" w:firstLineChars="0"/>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b/>
          <w:color w:val="000000" w:themeColor="text1"/>
          <w:highlight w:val="none"/>
          <w14:textFill>
            <w14:solidFill>
              <w14:schemeClr w14:val="tx1"/>
            </w14:solidFill>
          </w14:textFill>
        </w:rPr>
        <w:t>工作过程实行“三定”原则：定人、定车、定时</w:t>
      </w:r>
    </w:p>
    <w:p w14:paraId="159E9E8D">
      <w:pPr>
        <w:widowControl/>
        <w:numPr>
          <w:ilvl w:val="0"/>
          <w:numId w:val="7"/>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定人：即项目部常备人员一经确认，中途不得随意更换（如有特殊原因须要更换，报采购人同意），养护人员统一着反光背心、工作服。</w:t>
      </w:r>
    </w:p>
    <w:p w14:paraId="7F6CD69D">
      <w:pPr>
        <w:widowControl/>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ascii="Arial" w:hAnsi="Arial" w:cs="Arial"/>
          <w:bCs/>
          <w:color w:val="000000" w:themeColor="text1"/>
          <w:szCs w:val="21"/>
          <w:highlight w:val="none"/>
          <w14:textFill>
            <w14:solidFill>
              <w14:schemeClr w14:val="tx1"/>
            </w14:solidFill>
          </w14:textFill>
        </w:rPr>
        <w:t>专项养护（按</w:t>
      </w:r>
      <w:r>
        <w:rPr>
          <w:rFonts w:hint="eastAsia" w:ascii="Arial" w:hAnsi="Arial" w:cs="Arial"/>
          <w:bCs/>
          <w:color w:val="000000" w:themeColor="text1"/>
          <w:szCs w:val="21"/>
          <w:highlight w:val="none"/>
          <w14:textFill>
            <w14:solidFill>
              <w14:schemeClr w14:val="tx1"/>
            </w14:solidFill>
          </w14:textFill>
        </w:rPr>
        <w:t>采购</w:t>
      </w:r>
      <w:r>
        <w:rPr>
          <w:rFonts w:ascii="Arial" w:hAnsi="Arial" w:cs="Arial"/>
          <w:bCs/>
          <w:color w:val="000000" w:themeColor="text1"/>
          <w:szCs w:val="21"/>
          <w:highlight w:val="none"/>
          <w14:textFill>
            <w14:solidFill>
              <w14:schemeClr w14:val="tx1"/>
            </w14:solidFill>
          </w14:textFill>
        </w:rPr>
        <w:t>人相关制度明确）和较大养护作业</w:t>
      </w:r>
      <w:r>
        <w:rPr>
          <w:rFonts w:hint="eastAsia" w:ascii="Arial" w:hAnsi="Arial" w:cs="Arial"/>
          <w:bCs/>
          <w:color w:val="000000" w:themeColor="text1"/>
          <w:szCs w:val="21"/>
          <w:highlight w:val="none"/>
          <w14:textFill>
            <w14:solidFill>
              <w14:schemeClr w14:val="tx1"/>
            </w14:solidFill>
          </w14:textFill>
        </w:rPr>
        <w:t>项目经理</w:t>
      </w:r>
      <w:r>
        <w:rPr>
          <w:rFonts w:ascii="Arial" w:hAnsi="Arial" w:cs="Arial"/>
          <w:bCs/>
          <w:color w:val="000000" w:themeColor="text1"/>
          <w:szCs w:val="21"/>
          <w:highlight w:val="none"/>
          <w14:textFill>
            <w14:solidFill>
              <w14:schemeClr w14:val="tx1"/>
            </w14:solidFill>
          </w14:textFill>
        </w:rPr>
        <w:t>和施工员必须到场，有较大安全隐患的作业（由</w:t>
      </w:r>
      <w:r>
        <w:rPr>
          <w:rFonts w:hint="eastAsia" w:ascii="Arial" w:hAnsi="Arial" w:cs="Arial"/>
          <w:bCs/>
          <w:color w:val="000000" w:themeColor="text1"/>
          <w:szCs w:val="21"/>
          <w:highlight w:val="none"/>
          <w14:textFill>
            <w14:solidFill>
              <w14:schemeClr w14:val="tx1"/>
            </w14:solidFill>
          </w14:textFill>
        </w:rPr>
        <w:t>采购人</w:t>
      </w:r>
      <w:r>
        <w:rPr>
          <w:rFonts w:ascii="Arial" w:hAnsi="Arial" w:cs="Arial"/>
          <w:bCs/>
          <w:color w:val="000000" w:themeColor="text1"/>
          <w:szCs w:val="21"/>
          <w:highlight w:val="none"/>
          <w14:textFill>
            <w14:solidFill>
              <w14:schemeClr w14:val="tx1"/>
            </w14:solidFill>
          </w14:textFill>
        </w:rPr>
        <w:t>明确）安全员必须到场。</w:t>
      </w:r>
    </w:p>
    <w:p w14:paraId="70234215">
      <w:pPr>
        <w:widowControl/>
        <w:numPr>
          <w:ilvl w:val="0"/>
          <w:numId w:val="7"/>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定车：养护单位车辆一经确认，不得将该车用于其他项目用途，若需更换的，报采购人书面同意后方可进/退场。车辆随车附带安全警示设备。</w:t>
      </w:r>
    </w:p>
    <w:p w14:paraId="6D236BE3">
      <w:pPr>
        <w:widowControl/>
        <w:numPr>
          <w:ilvl w:val="0"/>
          <w:numId w:val="7"/>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定时：路况巡查不少于1次/天（巡查频率要求养护所在区域内的市政设施每日全覆盖巡查）；</w:t>
      </w:r>
    </w:p>
    <w:p w14:paraId="4D9C9B89">
      <w:pPr>
        <w:widowControl/>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桥面巡查不少于1次/天，遇台风天，雨雪冰冻等恶劣气候和特殊情况时需适当增加检查频率。</w:t>
      </w:r>
    </w:p>
    <w:p w14:paraId="4DB47976">
      <w:pPr>
        <w:widowControl/>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应采购人要求需进行应急抢修的，进场不得超过2小时，抢修自进场至完工一般不得超过48小时。</w:t>
      </w:r>
    </w:p>
    <w:p w14:paraId="20658525">
      <w:pPr>
        <w:widowControl/>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遇到雨雪等极端天气时，养护单位应每天进行不少于四次（每6小时一次）的路面积水、结冰、积雪检查工作（按往年惯例，极端天气按60天/年计）。</w:t>
      </w:r>
    </w:p>
    <w:p w14:paraId="2C3550A8">
      <w:pPr>
        <w:widowControl/>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消火栓每月至少进行一次全面巡检；每季度至少进行一次保养；每年至少进行两次放水检查，重大节日或庆祝活动之前专门检查一次。消火栓及阀门后的管道损坏漏水应在30分钟内到达现场止水维修，并在24小时内修复。</w:t>
      </w:r>
    </w:p>
    <w:p w14:paraId="546F282C">
      <w:pPr>
        <w:widowControl/>
        <w:numPr>
          <w:ilvl w:val="0"/>
          <w:numId w:val="5"/>
        </w:numPr>
        <w:autoSpaceDE w:val="0"/>
        <w:autoSpaceDN w:val="0"/>
        <w:spacing w:line="360" w:lineRule="auto"/>
        <w:ind w:left="20" w:leftChars="0" w:firstLineChars="0"/>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常备设施设备及紧急抢修物资</w:t>
      </w:r>
    </w:p>
    <w:p w14:paraId="52B2F8A3">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常备巡查车辆：</w:t>
      </w:r>
    </w:p>
    <w:p w14:paraId="05439186">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常备作业车辆：</w:t>
      </w:r>
    </w:p>
    <w:p w14:paraId="622DAC23">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常备基本机械：。</w:t>
      </w:r>
    </w:p>
    <w:p w14:paraId="23CF1995">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常备基本设施：标准反光锥、标准水码、反光作业指示牌、反光交通指示牌、排水泵（防台另计）、交通锥链接杆、泄水孔和管道疏通工具，防爆警示灯等。</w:t>
      </w:r>
    </w:p>
    <w:p w14:paraId="658F399E">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常备基本抢险物资：气体灭火器、灭火砂、融雪剂、草包、麻袋、强排水泵、排水车、疏通车。</w:t>
      </w:r>
    </w:p>
    <w:p w14:paraId="4AFD117E">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常备基本维修物资：冷补沥青，快速水泥，道路花岗岩条石，混凝土道路侧石，花岗岩人行道，人行道小方砖。</w:t>
      </w:r>
    </w:p>
    <w:p w14:paraId="2D8F2CE7">
      <w:pPr>
        <w:widowControl/>
        <w:numPr>
          <w:ilvl w:val="0"/>
          <w:numId w:val="8"/>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紧急抢修物资：养护单位必须承诺与采购</w:t>
      </w:r>
      <w:r>
        <w:rPr>
          <w:rFonts w:ascii="Arial" w:hAnsi="Arial" w:cs="Arial"/>
          <w:bCs/>
          <w:color w:val="000000" w:themeColor="text1"/>
          <w:szCs w:val="21"/>
          <w:highlight w:val="none"/>
          <w14:textFill>
            <w14:solidFill>
              <w14:schemeClr w14:val="tx1"/>
            </w14:solidFill>
          </w14:textFill>
        </w:rPr>
        <w:t>文件中规定的</w:t>
      </w:r>
      <w:r>
        <w:rPr>
          <w:rFonts w:hint="eastAsia" w:ascii="Arial" w:hAnsi="Arial" w:cs="Arial"/>
          <w:bCs/>
          <w:color w:val="000000" w:themeColor="text1"/>
          <w:szCs w:val="21"/>
          <w:highlight w:val="none"/>
          <w14:textFill>
            <w14:solidFill>
              <w14:schemeClr w14:val="tx1"/>
            </w14:solidFill>
          </w14:textFill>
        </w:rPr>
        <w:t>常备</w:t>
      </w:r>
      <w:r>
        <w:rPr>
          <w:rFonts w:ascii="Arial" w:hAnsi="Arial" w:cs="Arial"/>
          <w:bCs/>
          <w:color w:val="000000" w:themeColor="text1"/>
          <w:szCs w:val="21"/>
          <w:highlight w:val="none"/>
          <w14:textFill>
            <w14:solidFill>
              <w14:schemeClr w14:val="tx1"/>
            </w14:solidFill>
          </w14:textFill>
        </w:rPr>
        <w:t>基本抢</w:t>
      </w:r>
      <w:r>
        <w:rPr>
          <w:rFonts w:hint="eastAsia" w:ascii="Arial" w:hAnsi="Arial" w:cs="Arial"/>
          <w:bCs/>
          <w:color w:val="000000" w:themeColor="text1"/>
          <w:szCs w:val="21"/>
          <w:highlight w:val="none"/>
          <w14:textFill>
            <w14:solidFill>
              <w14:schemeClr w14:val="tx1"/>
            </w14:solidFill>
          </w14:textFill>
        </w:rPr>
        <w:t>险</w:t>
      </w:r>
      <w:r>
        <w:rPr>
          <w:rFonts w:ascii="Arial" w:hAnsi="Arial" w:cs="Arial"/>
          <w:bCs/>
          <w:color w:val="000000" w:themeColor="text1"/>
          <w:szCs w:val="21"/>
          <w:highlight w:val="none"/>
          <w14:textFill>
            <w14:solidFill>
              <w14:schemeClr w14:val="tx1"/>
            </w14:solidFill>
          </w14:textFill>
        </w:rPr>
        <w:t>物资</w:t>
      </w:r>
      <w:r>
        <w:rPr>
          <w:rFonts w:hint="eastAsia" w:ascii="Arial" w:hAnsi="Arial" w:cs="Arial"/>
          <w:bCs/>
          <w:color w:val="000000" w:themeColor="text1"/>
          <w:szCs w:val="21"/>
          <w:highlight w:val="none"/>
          <w14:textFill>
            <w14:solidFill>
              <w14:schemeClr w14:val="tx1"/>
            </w14:solidFill>
          </w14:textFill>
        </w:rPr>
        <w:t>、</w:t>
      </w:r>
      <w:r>
        <w:rPr>
          <w:rFonts w:ascii="Arial" w:hAnsi="Arial" w:cs="Arial"/>
          <w:bCs/>
          <w:color w:val="000000" w:themeColor="text1"/>
          <w:szCs w:val="21"/>
          <w:highlight w:val="none"/>
          <w14:textFill>
            <w14:solidFill>
              <w14:schemeClr w14:val="tx1"/>
            </w14:solidFill>
          </w14:textFill>
        </w:rPr>
        <w:t>常备基本维修物资</w:t>
      </w:r>
      <w:r>
        <w:rPr>
          <w:rFonts w:hint="eastAsia" w:ascii="Arial" w:hAnsi="Arial" w:cs="Arial"/>
          <w:bCs/>
          <w:color w:val="000000" w:themeColor="text1"/>
          <w:szCs w:val="21"/>
          <w:highlight w:val="none"/>
          <w14:textFill>
            <w14:solidFill>
              <w14:schemeClr w14:val="tx1"/>
            </w14:solidFill>
          </w14:textFill>
        </w:rPr>
        <w:t>的供应单位有良好合作</w:t>
      </w:r>
      <w:r>
        <w:rPr>
          <w:rFonts w:ascii="Arial" w:hAnsi="Arial" w:cs="Arial"/>
          <w:bCs/>
          <w:color w:val="000000" w:themeColor="text1"/>
          <w:szCs w:val="21"/>
          <w:highlight w:val="none"/>
          <w14:textFill>
            <w14:solidFill>
              <w14:schemeClr w14:val="tx1"/>
            </w14:solidFill>
          </w14:textFill>
        </w:rPr>
        <w:t>关系</w:t>
      </w:r>
      <w:r>
        <w:rPr>
          <w:rFonts w:hint="eastAsia" w:ascii="Arial" w:hAnsi="Arial" w:cs="Arial"/>
          <w:bCs/>
          <w:color w:val="000000" w:themeColor="text1"/>
          <w:szCs w:val="21"/>
          <w:highlight w:val="none"/>
          <w14:textFill>
            <w14:solidFill>
              <w14:schemeClr w14:val="tx1"/>
            </w14:solidFill>
          </w14:textFill>
        </w:rPr>
        <w:t>，一旦需要紧急抢修时，要求在2小时内到场。</w:t>
      </w:r>
    </w:p>
    <w:p w14:paraId="6F9D0895">
      <w:pPr>
        <w:widowControl/>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上述设施设备及紧急抢修物资由供应商提供，机械设备</w:t>
      </w:r>
      <w:r>
        <w:rPr>
          <w:rFonts w:ascii="Arial" w:hAnsi="Arial" w:cs="Arial"/>
          <w:bCs/>
          <w:color w:val="000000" w:themeColor="text1"/>
          <w:szCs w:val="21"/>
          <w:highlight w:val="none"/>
          <w14:textFill>
            <w14:solidFill>
              <w14:schemeClr w14:val="tx1"/>
            </w14:solidFill>
          </w14:textFill>
        </w:rPr>
        <w:t>可</w:t>
      </w:r>
      <w:r>
        <w:rPr>
          <w:rFonts w:hint="eastAsia" w:ascii="Arial" w:hAnsi="Arial" w:cs="Arial"/>
          <w:bCs/>
          <w:color w:val="000000" w:themeColor="text1"/>
          <w:szCs w:val="21"/>
          <w:highlight w:val="none"/>
          <w14:textFill>
            <w14:solidFill>
              <w14:schemeClr w14:val="tx1"/>
            </w14:solidFill>
          </w14:textFill>
        </w:rPr>
        <w:t>自有也可</w:t>
      </w:r>
      <w:r>
        <w:rPr>
          <w:rFonts w:ascii="Arial" w:hAnsi="Arial" w:cs="Arial"/>
          <w:bCs/>
          <w:color w:val="000000" w:themeColor="text1"/>
          <w:szCs w:val="21"/>
          <w:highlight w:val="none"/>
          <w14:textFill>
            <w14:solidFill>
              <w14:schemeClr w14:val="tx1"/>
            </w14:solidFill>
          </w14:textFill>
        </w:rPr>
        <w:t>租赁</w:t>
      </w:r>
      <w:r>
        <w:rPr>
          <w:rFonts w:hint="eastAsia" w:ascii="Arial" w:hAnsi="Arial" w:cs="Arial"/>
          <w:bCs/>
          <w:color w:val="000000" w:themeColor="text1"/>
          <w:szCs w:val="21"/>
          <w:highlight w:val="none"/>
          <w14:textFill>
            <w14:solidFill>
              <w14:schemeClr w14:val="tx1"/>
            </w14:solidFill>
          </w14:textFill>
        </w:rPr>
        <w:t>，自有</w:t>
      </w:r>
      <w:r>
        <w:rPr>
          <w:rFonts w:ascii="Arial" w:hAnsi="Arial" w:cs="Arial"/>
          <w:bCs/>
          <w:color w:val="000000" w:themeColor="text1"/>
          <w:szCs w:val="21"/>
          <w:highlight w:val="none"/>
          <w14:textFill>
            <w14:solidFill>
              <w14:schemeClr w14:val="tx1"/>
            </w14:solidFill>
          </w14:textFill>
        </w:rPr>
        <w:t>的提供车辆行驶证</w:t>
      </w:r>
      <w:r>
        <w:rPr>
          <w:rFonts w:hint="eastAsia" w:ascii="Arial" w:hAnsi="Arial" w:cs="Arial"/>
          <w:bCs/>
          <w:color w:val="000000" w:themeColor="text1"/>
          <w:szCs w:val="21"/>
          <w:highlight w:val="none"/>
          <w14:textFill>
            <w14:solidFill>
              <w14:schemeClr w14:val="tx1"/>
            </w14:solidFill>
          </w14:textFill>
        </w:rPr>
        <w:t>及</w:t>
      </w:r>
      <w:r>
        <w:rPr>
          <w:rFonts w:ascii="Arial" w:hAnsi="Arial" w:cs="Arial"/>
          <w:bCs/>
          <w:color w:val="000000" w:themeColor="text1"/>
          <w:szCs w:val="21"/>
          <w:highlight w:val="none"/>
          <w14:textFill>
            <w14:solidFill>
              <w14:schemeClr w14:val="tx1"/>
            </w14:solidFill>
          </w14:textFill>
        </w:rPr>
        <w:t>购置发票，其余</w:t>
      </w:r>
      <w:r>
        <w:rPr>
          <w:rFonts w:hint="eastAsia" w:ascii="Arial" w:hAnsi="Arial" w:cs="Arial"/>
          <w:bCs/>
          <w:color w:val="000000" w:themeColor="text1"/>
          <w:szCs w:val="21"/>
          <w:highlight w:val="none"/>
          <w14:textFill>
            <w14:solidFill>
              <w14:schemeClr w14:val="tx1"/>
            </w14:solidFill>
          </w14:textFill>
        </w:rPr>
        <w:t>机械</w:t>
      </w:r>
      <w:r>
        <w:rPr>
          <w:rFonts w:ascii="Arial" w:hAnsi="Arial" w:cs="Arial"/>
          <w:bCs/>
          <w:color w:val="000000" w:themeColor="text1"/>
          <w:szCs w:val="21"/>
          <w:highlight w:val="none"/>
          <w14:textFill>
            <w14:solidFill>
              <w14:schemeClr w14:val="tx1"/>
            </w14:solidFill>
          </w14:textFill>
        </w:rPr>
        <w:t>设备提供购置发票</w:t>
      </w:r>
      <w:r>
        <w:rPr>
          <w:rFonts w:hint="eastAsia" w:ascii="Arial" w:hAnsi="Arial" w:cs="Arial"/>
          <w:bCs/>
          <w:color w:val="000000" w:themeColor="text1"/>
          <w:szCs w:val="21"/>
          <w:highlight w:val="none"/>
          <w14:textFill>
            <w14:solidFill>
              <w14:schemeClr w14:val="tx1"/>
            </w14:solidFill>
          </w14:textFill>
        </w:rPr>
        <w:t>；如为租赁，还须在以上证明资料的基础上提供租赁协议。同时供应商应配置相应的物资堆料与机械停放场所，以便于随时调用。</w:t>
      </w:r>
    </w:p>
    <w:p w14:paraId="03E2A6A8">
      <w:pPr>
        <w:widowControl/>
        <w:spacing w:line="360" w:lineRule="auto"/>
        <w:ind w:firstLine="420" w:firstLineChars="20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注：投标文件中提供机械</w:t>
      </w:r>
      <w:r>
        <w:rPr>
          <w:rFonts w:ascii="Arial" w:hAnsi="Arial" w:cs="Arial"/>
          <w:bCs/>
          <w:color w:val="000000" w:themeColor="text1"/>
          <w:szCs w:val="21"/>
          <w:highlight w:val="none"/>
          <w14:textFill>
            <w14:solidFill>
              <w14:schemeClr w14:val="tx1"/>
            </w14:solidFill>
          </w14:textFill>
        </w:rPr>
        <w:t>设备的购置发票</w:t>
      </w:r>
      <w:r>
        <w:rPr>
          <w:rFonts w:hint="eastAsia" w:ascii="Arial" w:hAnsi="Arial" w:cs="Arial"/>
          <w:bCs/>
          <w:color w:val="000000" w:themeColor="text1"/>
          <w:szCs w:val="21"/>
          <w:highlight w:val="none"/>
          <w14:textFill>
            <w14:solidFill>
              <w14:schemeClr w14:val="tx1"/>
            </w14:solidFill>
          </w14:textFill>
        </w:rPr>
        <w:t>、</w:t>
      </w:r>
      <w:r>
        <w:rPr>
          <w:rFonts w:ascii="Arial" w:hAnsi="Arial" w:cs="Arial"/>
          <w:bCs/>
          <w:color w:val="000000" w:themeColor="text1"/>
          <w:szCs w:val="21"/>
          <w:highlight w:val="none"/>
          <w14:textFill>
            <w14:solidFill>
              <w14:schemeClr w14:val="tx1"/>
            </w14:solidFill>
          </w14:textFill>
        </w:rPr>
        <w:t>车辆</w:t>
      </w:r>
      <w:r>
        <w:rPr>
          <w:rFonts w:hint="eastAsia" w:ascii="Arial" w:hAnsi="Arial" w:cs="Arial"/>
          <w:bCs/>
          <w:color w:val="000000" w:themeColor="text1"/>
          <w:szCs w:val="21"/>
          <w:highlight w:val="none"/>
          <w14:textFill>
            <w14:solidFill>
              <w14:schemeClr w14:val="tx1"/>
            </w14:solidFill>
          </w14:textFill>
        </w:rPr>
        <w:t>须</w:t>
      </w:r>
      <w:r>
        <w:rPr>
          <w:rFonts w:ascii="Arial" w:hAnsi="Arial" w:cs="Arial"/>
          <w:bCs/>
          <w:color w:val="000000" w:themeColor="text1"/>
          <w:szCs w:val="21"/>
          <w:highlight w:val="none"/>
          <w14:textFill>
            <w14:solidFill>
              <w14:schemeClr w14:val="tx1"/>
            </w14:solidFill>
          </w14:textFill>
        </w:rPr>
        <w:t>提供行驶证</w:t>
      </w:r>
      <w:r>
        <w:rPr>
          <w:rFonts w:hint="eastAsia" w:ascii="Arial" w:hAnsi="Arial" w:cs="Arial"/>
          <w:bCs/>
          <w:color w:val="000000" w:themeColor="text1"/>
          <w:szCs w:val="21"/>
          <w:highlight w:val="none"/>
          <w14:textFill>
            <w14:solidFill>
              <w14:schemeClr w14:val="tx1"/>
            </w14:solidFill>
          </w14:textFill>
        </w:rPr>
        <w:t>及购置发票复印件加盖公章。如为租赁，还须在以上证明资料的基础上提供租赁协议。</w:t>
      </w:r>
    </w:p>
    <w:p w14:paraId="4BBD518B">
      <w:pPr>
        <w:widowControl/>
        <w:numPr>
          <w:ilvl w:val="0"/>
          <w:numId w:val="5"/>
        </w:numPr>
        <w:autoSpaceDE w:val="0"/>
        <w:autoSpaceDN w:val="0"/>
        <w:spacing w:line="360" w:lineRule="auto"/>
        <w:ind w:left="20" w:leftChars="0" w:firstLineChars="0"/>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工作指令</w:t>
      </w:r>
    </w:p>
    <w:p w14:paraId="39EC6FC0">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养护单位须严格执行采购人的工作指令，工作指令包括：应急指令、常规指令和重要指令。</w:t>
      </w:r>
    </w:p>
    <w:p w14:paraId="0872B342">
      <w:pPr>
        <w:widowControl/>
        <w:numPr>
          <w:ilvl w:val="0"/>
          <w:numId w:val="9"/>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应急指令”是指任务没有预见性或预见性不强的情况下，由采购人电话通知养护单位联系人后，养护单位必须马上落实的工作任务的指令。养护单位接到该指令后，必须先组织落实并拍照留取证据，完成后再完善书面签证程序。</w:t>
      </w:r>
    </w:p>
    <w:p w14:paraId="49BB8201">
      <w:pPr>
        <w:widowControl/>
        <w:numPr>
          <w:ilvl w:val="0"/>
          <w:numId w:val="9"/>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 xml:space="preserve">“常规指令”是指任务预见性较强或实施依据较充分，主要有两种情况，第一种是采购人发现病害要求养护单位尽快处理的简易指令、第二种是养护单位自行发现病害经采购人口头同意后尽快实施的简易指令，指令流程为“养护单位口头上报经采购人同意实施→养护单位留取工作前现状照片、工作过程照片、工作后成果照片→完成书面程序”。书面程序：养护单位填写“病害上报单（附病害照片）”→填写“常规养护任务实施单（附过程照片）”→采购人填写“验收单”。 </w:t>
      </w:r>
    </w:p>
    <w:p w14:paraId="5EC70642">
      <w:pPr>
        <w:widowControl/>
        <w:numPr>
          <w:ilvl w:val="0"/>
          <w:numId w:val="9"/>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重要指令”是指需养护单位完成工程量较大或维修部位较关键或任务较重要或工程量清单之外的工作内容，指令流程为“采购人下达书面任务→养护单位接收书面任务→适时完成过程资料→组织联合验收→完善竣工资料”。</w:t>
      </w:r>
    </w:p>
    <w:p w14:paraId="45D98010">
      <w:pPr>
        <w:widowControl/>
        <w:numPr>
          <w:ilvl w:val="0"/>
          <w:numId w:val="5"/>
        </w:numPr>
        <w:autoSpaceDE w:val="0"/>
        <w:autoSpaceDN w:val="0"/>
        <w:spacing w:line="360" w:lineRule="auto"/>
        <w:ind w:left="20" w:leftChars="0" w:firstLineChars="0"/>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基本要求</w:t>
      </w:r>
    </w:p>
    <w:p w14:paraId="4DCB266B">
      <w:pPr>
        <w:widowControl/>
        <w:numPr>
          <w:ilvl w:val="0"/>
          <w:numId w:val="10"/>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城市道路（含人行道）、桥梁、</w:t>
      </w:r>
      <w:r>
        <w:rPr>
          <w:rFonts w:ascii="Arial" w:hAnsi="Arial" w:cs="Arial"/>
          <w:bCs/>
          <w:color w:val="000000" w:themeColor="text1"/>
          <w:szCs w:val="21"/>
          <w:highlight w:val="none"/>
          <w14:textFill>
            <w14:solidFill>
              <w14:schemeClr w14:val="tx1"/>
            </w14:solidFill>
          </w14:textFill>
        </w:rPr>
        <w:t>隧道</w:t>
      </w:r>
      <w:r>
        <w:rPr>
          <w:rFonts w:hint="eastAsia" w:ascii="Arial" w:hAnsi="Arial" w:cs="Arial"/>
          <w:bCs/>
          <w:color w:val="000000" w:themeColor="text1"/>
          <w:szCs w:val="21"/>
          <w:highlight w:val="none"/>
          <w14:textFill>
            <w14:solidFill>
              <w14:schemeClr w14:val="tx1"/>
            </w14:solidFill>
          </w14:textFill>
        </w:rPr>
        <w:t>：</w:t>
      </w:r>
    </w:p>
    <w:p w14:paraId="7D07BE55">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每月自行巡查发现问题数量不得低于城管月底处置案件数量的80%，及时发现各类路（桥）面的病害并立即采取有效措施予以养护维修（同时需采集维修前后的图片），确保路（桥）面平整整洁、运行状况良好。</w:t>
      </w:r>
    </w:p>
    <w:p w14:paraId="6ED6BD99">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沥青路（桥）面铺装层的小病害应发现一处及时处理一处。裂缝宽度在10mm以内的，应及时采用热沥青灌缝处理；宽度在10mm以上的，应采用细粒式热拌沥青混合料或乳化沥青混合料填缝；沥青面层泛油应及时在泛油层撒细沙处理；坑洞、坑槽应及时采用填筑沥青混合料处理。</w:t>
      </w:r>
    </w:p>
    <w:p w14:paraId="3B9882B3">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沥青路（桥）面出现拥包、车辙、整体脱皮等，而因基层、垫层或结构物变形造成的，应及时上报，按规定处理。</w:t>
      </w:r>
    </w:p>
    <w:p w14:paraId="33862491">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路缘石、盲道、人行道小方块等松动、缺失、破损的，应发现一处及时处理一处，如因基层等结构性病害造成的，应及时上报，按规定处理。</w:t>
      </w:r>
    </w:p>
    <w:p w14:paraId="34A1DC0E">
      <w:pPr>
        <w:widowControl/>
        <w:numPr>
          <w:ilvl w:val="0"/>
          <w:numId w:val="11"/>
        </w:numPr>
        <w:tabs>
          <w:tab w:val="left" w:pos="0"/>
          <w:tab w:val="clear" w:pos="425"/>
        </w:tabs>
        <w:spacing w:line="360" w:lineRule="auto"/>
        <w:ind w:left="0" w:firstLine="42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混凝土构件出现破损、裂缝、露筋、振动异常等的，应及时上报，按规定处理。</w:t>
      </w:r>
    </w:p>
    <w:p w14:paraId="44B35669">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按要求</w:t>
      </w:r>
      <w:r>
        <w:rPr>
          <w:rFonts w:ascii="Arial" w:hAnsi="Arial" w:cs="Arial"/>
          <w:bCs/>
          <w:color w:val="000000" w:themeColor="text1"/>
          <w:szCs w:val="21"/>
          <w:highlight w:val="none"/>
          <w14:textFill>
            <w14:solidFill>
              <w14:schemeClr w14:val="tx1"/>
            </w14:solidFill>
          </w14:textFill>
        </w:rPr>
        <w:t>对</w:t>
      </w:r>
      <w:r>
        <w:rPr>
          <w:rFonts w:hint="eastAsia" w:ascii="Arial" w:hAnsi="Arial" w:cs="Arial"/>
          <w:bCs/>
          <w:color w:val="000000" w:themeColor="text1"/>
          <w:szCs w:val="21"/>
          <w:highlight w:val="none"/>
          <w14:textFill>
            <w14:solidFill>
              <w14:schemeClr w14:val="tx1"/>
            </w14:solidFill>
          </w14:textFill>
        </w:rPr>
        <w:t>边沟、涵洞进行</w:t>
      </w:r>
      <w:r>
        <w:rPr>
          <w:rFonts w:ascii="Arial" w:hAnsi="Arial" w:cs="Arial"/>
          <w:bCs/>
          <w:color w:val="000000" w:themeColor="text1"/>
          <w:szCs w:val="21"/>
          <w:highlight w:val="none"/>
          <w14:textFill>
            <w14:solidFill>
              <w14:schemeClr w14:val="tx1"/>
            </w14:solidFill>
          </w14:textFill>
        </w:rPr>
        <w:t>清理</w:t>
      </w:r>
      <w:r>
        <w:rPr>
          <w:rFonts w:hint="eastAsia" w:ascii="Arial" w:hAnsi="Arial" w:cs="Arial"/>
          <w:bCs/>
          <w:color w:val="000000" w:themeColor="text1"/>
          <w:szCs w:val="21"/>
          <w:highlight w:val="none"/>
          <w14:textFill>
            <w14:solidFill>
              <w14:schemeClr w14:val="tx1"/>
            </w14:solidFill>
          </w14:textFill>
        </w:rPr>
        <w:t>，保持汛期边沟、涵洞干净整洁。</w:t>
      </w:r>
    </w:p>
    <w:p w14:paraId="4B956E9F">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定期进行桥梁上部结构、下部结构、桥面系附属设施、道路面层、道路附属设施的检查工作。</w:t>
      </w:r>
    </w:p>
    <w:p w14:paraId="4F4893DC">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防撞墩安放应保持与原设施相一致，安放牢固，不得有松动现象，埋置深度不得低于150mm。</w:t>
      </w:r>
    </w:p>
    <w:p w14:paraId="7AF0481B">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伸缩缝和泄水孔的定期清理，具体以采购人任务单为准。</w:t>
      </w:r>
    </w:p>
    <w:p w14:paraId="0002A4A2">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栏板及时</w:t>
      </w:r>
      <w:r>
        <w:rPr>
          <w:rFonts w:ascii="Arial" w:hAnsi="Arial" w:cs="Arial"/>
          <w:bCs/>
          <w:color w:val="000000" w:themeColor="text1"/>
          <w:szCs w:val="21"/>
          <w:highlight w:val="none"/>
          <w14:textFill>
            <w14:solidFill>
              <w14:schemeClr w14:val="tx1"/>
            </w14:solidFill>
          </w14:textFill>
        </w:rPr>
        <w:t>清理，并对有松动或者破损的进行修复。</w:t>
      </w:r>
    </w:p>
    <w:p w14:paraId="31008284">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遇到雨雪等极端天气时，发现天气对行车或行人造成重大影响的，可采取先疏导、后上报、再处理的措施。</w:t>
      </w:r>
    </w:p>
    <w:p w14:paraId="4A5C0180">
      <w:pPr>
        <w:widowControl/>
        <w:numPr>
          <w:ilvl w:val="0"/>
          <w:numId w:val="11"/>
        </w:numPr>
        <w:tabs>
          <w:tab w:val="left" w:pos="0"/>
          <w:tab w:val="clear" w:pos="425"/>
        </w:tabs>
        <w:spacing w:line="360" w:lineRule="auto"/>
        <w:ind w:left="0" w:firstLine="42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如桥（路）面发生因第三方责任（如车撞）造成损坏的，养护单位接采购人通知后，须在固定相关损失现场状况后实施先修复、再向第三方（或第三方的委托人或保险公司）结算。</w:t>
      </w:r>
    </w:p>
    <w:p w14:paraId="16121A6C">
      <w:pPr>
        <w:widowControl/>
        <w:numPr>
          <w:ilvl w:val="0"/>
          <w:numId w:val="11"/>
        </w:numPr>
        <w:tabs>
          <w:tab w:val="left" w:pos="0"/>
          <w:tab w:val="clear" w:pos="425"/>
        </w:tabs>
        <w:spacing w:line="360" w:lineRule="auto"/>
        <w:ind w:left="0" w:firstLine="42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隧道横截沟及时清理，</w:t>
      </w:r>
      <w:r>
        <w:rPr>
          <w:rFonts w:ascii="Arial" w:hAnsi="Arial" w:cs="Arial"/>
          <w:bCs/>
          <w:color w:val="000000" w:themeColor="text1"/>
          <w:szCs w:val="21"/>
          <w:highlight w:val="none"/>
          <w14:textFill>
            <w14:solidFill>
              <w14:schemeClr w14:val="tx1"/>
            </w14:solidFill>
          </w14:textFill>
        </w:rPr>
        <w:t>如遇突发</w:t>
      </w:r>
      <w:r>
        <w:rPr>
          <w:rFonts w:hint="eastAsia" w:ascii="Arial" w:hAnsi="Arial" w:cs="Arial"/>
          <w:bCs/>
          <w:color w:val="000000" w:themeColor="text1"/>
          <w:szCs w:val="21"/>
          <w:highlight w:val="none"/>
          <w14:textFill>
            <w14:solidFill>
              <w14:schemeClr w14:val="tx1"/>
            </w14:solidFill>
          </w14:textFill>
        </w:rPr>
        <w:t>情况</w:t>
      </w:r>
      <w:r>
        <w:rPr>
          <w:rFonts w:ascii="Arial" w:hAnsi="Arial" w:cs="Arial"/>
          <w:bCs/>
          <w:color w:val="000000" w:themeColor="text1"/>
          <w:szCs w:val="21"/>
          <w:highlight w:val="none"/>
          <w14:textFill>
            <w14:solidFill>
              <w14:schemeClr w14:val="tx1"/>
            </w14:solidFill>
          </w14:textFill>
        </w:rPr>
        <w:t>，应</w:t>
      </w:r>
      <w:r>
        <w:rPr>
          <w:rFonts w:hint="eastAsia" w:ascii="Arial" w:hAnsi="Arial" w:cs="Arial"/>
          <w:bCs/>
          <w:color w:val="000000" w:themeColor="text1"/>
          <w:szCs w:val="21"/>
          <w:highlight w:val="none"/>
          <w14:textFill>
            <w14:solidFill>
              <w14:schemeClr w14:val="tx1"/>
            </w14:solidFill>
          </w14:textFill>
        </w:rPr>
        <w:t>及时</w:t>
      </w:r>
      <w:r>
        <w:rPr>
          <w:rFonts w:ascii="Arial" w:hAnsi="Arial" w:cs="Arial"/>
          <w:bCs/>
          <w:color w:val="000000" w:themeColor="text1"/>
          <w:szCs w:val="21"/>
          <w:highlight w:val="none"/>
          <w14:textFill>
            <w14:solidFill>
              <w14:schemeClr w14:val="tx1"/>
            </w14:solidFill>
          </w14:textFill>
        </w:rPr>
        <w:t>到位清理或</w:t>
      </w:r>
      <w:r>
        <w:rPr>
          <w:rFonts w:hint="eastAsia" w:ascii="Arial" w:hAnsi="Arial" w:cs="Arial"/>
          <w:bCs/>
          <w:color w:val="000000" w:themeColor="text1"/>
          <w:szCs w:val="21"/>
          <w:highlight w:val="none"/>
          <w14:textFill>
            <w14:solidFill>
              <w14:schemeClr w14:val="tx1"/>
            </w14:solidFill>
          </w14:textFill>
        </w:rPr>
        <w:t>修复</w:t>
      </w:r>
      <w:r>
        <w:rPr>
          <w:rFonts w:ascii="Arial" w:hAnsi="Arial" w:cs="Arial"/>
          <w:bCs/>
          <w:color w:val="000000" w:themeColor="text1"/>
          <w:szCs w:val="21"/>
          <w:highlight w:val="none"/>
          <w14:textFill>
            <w14:solidFill>
              <w14:schemeClr w14:val="tx1"/>
            </w14:solidFill>
          </w14:textFill>
        </w:rPr>
        <w:t>。</w:t>
      </w:r>
    </w:p>
    <w:p w14:paraId="0840735A">
      <w:pPr>
        <w:widowControl/>
        <w:numPr>
          <w:ilvl w:val="0"/>
          <w:numId w:val="11"/>
        </w:numPr>
        <w:tabs>
          <w:tab w:val="left" w:pos="0"/>
          <w:tab w:val="clear" w:pos="425"/>
        </w:tabs>
        <w:spacing w:line="360" w:lineRule="auto"/>
        <w:ind w:left="0" w:firstLine="420"/>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隧道装饰板</w:t>
      </w:r>
      <w:r>
        <w:rPr>
          <w:rFonts w:ascii="Arial" w:hAnsi="Arial" w:cs="Arial"/>
          <w:bCs/>
          <w:color w:val="000000" w:themeColor="text1"/>
          <w:szCs w:val="21"/>
          <w:highlight w:val="none"/>
          <w14:textFill>
            <w14:solidFill>
              <w14:schemeClr w14:val="tx1"/>
            </w14:solidFill>
          </w14:textFill>
        </w:rPr>
        <w:t>如发生破损或掉落，应</w:t>
      </w:r>
      <w:r>
        <w:rPr>
          <w:rFonts w:hint="eastAsia" w:ascii="Arial" w:hAnsi="Arial" w:cs="Arial"/>
          <w:bCs/>
          <w:color w:val="000000" w:themeColor="text1"/>
          <w:szCs w:val="21"/>
          <w:highlight w:val="none"/>
          <w14:textFill>
            <w14:solidFill>
              <w14:schemeClr w14:val="tx1"/>
            </w14:solidFill>
          </w14:textFill>
        </w:rPr>
        <w:t>及时</w:t>
      </w:r>
      <w:r>
        <w:rPr>
          <w:rFonts w:ascii="Arial" w:hAnsi="Arial" w:cs="Arial"/>
          <w:bCs/>
          <w:color w:val="000000" w:themeColor="text1"/>
          <w:szCs w:val="21"/>
          <w:highlight w:val="none"/>
          <w14:textFill>
            <w14:solidFill>
              <w14:schemeClr w14:val="tx1"/>
            </w14:solidFill>
          </w14:textFill>
        </w:rPr>
        <w:t>对其进行修复</w:t>
      </w:r>
      <w:r>
        <w:rPr>
          <w:rFonts w:hint="eastAsia" w:ascii="Arial" w:hAnsi="Arial" w:cs="Arial"/>
          <w:bCs/>
          <w:color w:val="000000" w:themeColor="text1"/>
          <w:szCs w:val="21"/>
          <w:highlight w:val="none"/>
          <w14:textFill>
            <w14:solidFill>
              <w14:schemeClr w14:val="tx1"/>
            </w14:solidFill>
          </w14:textFill>
        </w:rPr>
        <w:t>或更换。</w:t>
      </w:r>
    </w:p>
    <w:p w14:paraId="7EB7BFE3">
      <w:pPr>
        <w:widowControl/>
        <w:numPr>
          <w:ilvl w:val="0"/>
          <w:numId w:val="10"/>
        </w:numPr>
        <w:spacing w:line="360" w:lineRule="auto"/>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排水管网、排水固定泵站</w:t>
      </w:r>
    </w:p>
    <w:p w14:paraId="00A3CDD0">
      <w:pPr>
        <w:widowControl/>
        <w:numPr>
          <w:ilvl w:val="0"/>
          <w:numId w:val="12"/>
        </w:numPr>
        <w:tabs>
          <w:tab w:val="left" w:pos="220"/>
          <w:tab w:val="clear" w:pos="425"/>
        </w:tabs>
        <w:spacing w:line="360" w:lineRule="auto"/>
        <w:ind w:left="5" w:firstLine="415"/>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按《城镇排水管渠与泵站维护技术规程》（CJJ68-2007）、《城镇排水管道维护安全技术规程》（CJJ6-2009）、《城镇排水设施养护作业安全技术规程》、《有限空间作业安全技术规程》（DB23/T 1791-2006）、等相关规程、规定进行养护维修作业。</w:t>
      </w:r>
    </w:p>
    <w:p w14:paraId="0C8C09BC">
      <w:pPr>
        <w:widowControl/>
        <w:numPr>
          <w:ilvl w:val="0"/>
          <w:numId w:val="12"/>
        </w:numPr>
        <w:tabs>
          <w:tab w:val="left" w:pos="220"/>
          <w:tab w:val="clear" w:pos="425"/>
        </w:tabs>
        <w:spacing w:line="360" w:lineRule="auto"/>
        <w:ind w:left="5" w:firstLine="415"/>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及时疏通泄水孔、泄水井、地面窨井、排水管等，确保排水管网畅通、无堵塞、无缺失、无破损、无积水。</w:t>
      </w:r>
    </w:p>
    <w:p w14:paraId="5DC51162">
      <w:pPr>
        <w:widowControl/>
        <w:numPr>
          <w:ilvl w:val="0"/>
          <w:numId w:val="12"/>
        </w:numPr>
        <w:tabs>
          <w:tab w:val="left" w:pos="0"/>
          <w:tab w:val="clear" w:pos="425"/>
        </w:tabs>
        <w:spacing w:line="360" w:lineRule="auto"/>
        <w:ind w:left="5" w:firstLine="415"/>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管道疏通后，达到排水畅通，管道内积淤深度达到《城镇排水管渠与泵站维护技术规程》（CJJ68-2007）市政养护验收标准以及《城镇排水管道维护安全技术规程》（CJJ6-2009）标准，且要求做到管道内无石块、水泥砂浆等物。</w:t>
      </w:r>
    </w:p>
    <w:p w14:paraId="1295C513">
      <w:pPr>
        <w:widowControl/>
        <w:numPr>
          <w:ilvl w:val="0"/>
          <w:numId w:val="12"/>
        </w:numPr>
        <w:tabs>
          <w:tab w:val="left" w:pos="0"/>
          <w:tab w:val="clear" w:pos="425"/>
        </w:tabs>
        <w:spacing w:line="360" w:lineRule="auto"/>
        <w:ind w:left="5" w:firstLine="415"/>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在疏通工作完成后，必须将管道内疏通出的淤泥等管道淤堵物，通过密封的淤泥运输车等专用车辆外运至合法处理地进行处理，保证淤泥在运输及处理过程中不造成二次污染。</w:t>
      </w:r>
    </w:p>
    <w:p w14:paraId="52E53E5B">
      <w:pPr>
        <w:widowControl/>
        <w:numPr>
          <w:ilvl w:val="0"/>
          <w:numId w:val="12"/>
        </w:numPr>
        <w:tabs>
          <w:tab w:val="left" w:pos="0"/>
          <w:tab w:val="clear" w:pos="425"/>
        </w:tabs>
        <w:spacing w:line="360" w:lineRule="auto"/>
        <w:ind w:left="5" w:firstLine="415"/>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管道检测符合《排水管道电视和声纳检测评估技术规程》DB31/T444-2009。</w:t>
      </w:r>
    </w:p>
    <w:p w14:paraId="2DBFE90D">
      <w:pPr>
        <w:widowControl/>
        <w:numPr>
          <w:ilvl w:val="0"/>
          <w:numId w:val="12"/>
        </w:numPr>
        <w:tabs>
          <w:tab w:val="left" w:pos="0"/>
          <w:tab w:val="clear" w:pos="425"/>
        </w:tabs>
        <w:spacing w:line="360" w:lineRule="auto"/>
        <w:ind w:left="5" w:firstLine="415"/>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提升井作业时，需要2人以上共同进行维护保养，工作时需切断电源，穿戴好绝缘手套和绝缘靴，保证工作人员自身安全。</w:t>
      </w:r>
    </w:p>
    <w:p w14:paraId="1192CE92">
      <w:pPr>
        <w:widowControl/>
        <w:numPr>
          <w:ilvl w:val="0"/>
          <w:numId w:val="12"/>
        </w:numPr>
        <w:tabs>
          <w:tab w:val="left" w:pos="0"/>
          <w:tab w:val="clear" w:pos="425"/>
        </w:tabs>
        <w:spacing w:line="360" w:lineRule="auto"/>
        <w:ind w:left="5" w:firstLine="415"/>
        <w:rPr>
          <w:rFonts w:hint="eastAsia" w:ascii="宋体" w:hAnsi="宋体"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破损井盖维修、更换：根据采购人要求，更换井盖。优先使用采购人提供的井盖，更换的井盖必须与采购人提供的井盖一致，经采购人确认后使用。</w:t>
      </w:r>
    </w:p>
    <w:p w14:paraId="77526CD0">
      <w:pPr>
        <w:widowControl/>
        <w:numPr>
          <w:ilvl w:val="0"/>
          <w:numId w:val="12"/>
        </w:numPr>
        <w:tabs>
          <w:tab w:val="left" w:pos="0"/>
          <w:tab w:val="clear" w:pos="425"/>
        </w:tabs>
        <w:spacing w:line="360" w:lineRule="auto"/>
        <w:ind w:left="5" w:firstLine="415"/>
        <w:rPr>
          <w:rFonts w:ascii="Arial" w:hAnsi="Arial" w:cs="Arial"/>
          <w:bCs/>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泵站机电设备运行日常养护服务主要包括以下内容：机电设备维修养护、辅助设施维修养护、泵站建筑物维修养护、附属设施维修养护、物料动力消耗。所有泵站必须每周巡查一次，并确保所有泵站正常运行</w:t>
      </w:r>
      <w:r>
        <w:rPr>
          <w:rFonts w:hint="eastAsia" w:ascii="Arial" w:hAnsi="Arial" w:cs="Arial"/>
          <w:bCs/>
          <w:color w:val="000000" w:themeColor="text1"/>
          <w:szCs w:val="21"/>
          <w:highlight w:val="none"/>
          <w14:textFill>
            <w14:solidFill>
              <w14:schemeClr w14:val="tx1"/>
            </w14:solidFill>
          </w14:textFill>
        </w:rPr>
        <w:t>。</w:t>
      </w:r>
    </w:p>
    <w:p w14:paraId="33040BAB">
      <w:pPr>
        <w:widowControl/>
        <w:numPr>
          <w:ilvl w:val="0"/>
          <w:numId w:val="12"/>
        </w:numPr>
        <w:tabs>
          <w:tab w:val="left" w:pos="0"/>
          <w:tab w:val="clear" w:pos="425"/>
        </w:tabs>
        <w:spacing w:line="360" w:lineRule="auto"/>
        <w:ind w:left="5" w:firstLine="415"/>
        <w:rPr>
          <w:rFonts w:ascii="Arial" w:hAnsi="Arial" w:cs="Arial"/>
          <w:bCs/>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暴雨、台风等灾害天气各泵站均需要派人</w:t>
      </w:r>
      <w:r>
        <w:rPr>
          <w:rFonts w:ascii="宋体" w:hAnsi="宋体"/>
          <w:color w:val="000000" w:themeColor="text1"/>
          <w:szCs w:val="21"/>
          <w:highlight w:val="none"/>
          <w14:textFill>
            <w14:solidFill>
              <w14:schemeClr w14:val="tx1"/>
            </w14:solidFill>
          </w14:textFill>
        </w:rPr>
        <w:t>24</w:t>
      </w:r>
      <w:r>
        <w:rPr>
          <w:rFonts w:hint="eastAsia" w:ascii="宋体" w:hAnsi="宋体"/>
          <w:color w:val="000000" w:themeColor="text1"/>
          <w:szCs w:val="21"/>
          <w:highlight w:val="none"/>
          <w14:textFill>
            <w14:solidFill>
              <w14:schemeClr w14:val="tx1"/>
            </w14:solidFill>
          </w14:textFill>
        </w:rPr>
        <w:t>小时值守。</w:t>
      </w:r>
    </w:p>
    <w:p w14:paraId="4E4C8384">
      <w:pPr>
        <w:widowControl/>
        <w:numPr>
          <w:ilvl w:val="0"/>
          <w:numId w:val="12"/>
        </w:numPr>
        <w:tabs>
          <w:tab w:val="left" w:pos="0"/>
          <w:tab w:val="clear" w:pos="425"/>
        </w:tabs>
        <w:spacing w:line="360" w:lineRule="auto"/>
        <w:ind w:left="5" w:firstLine="415"/>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每周巡查及值守人员由</w:t>
      </w: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名专业技术维修人员和</w:t>
      </w: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名高、低配设备作业人员（具有高配证或低配证）组成，人员必须熟练操作水泵启、闭，能处理应急事件。</w:t>
      </w:r>
    </w:p>
    <w:p w14:paraId="3D028437">
      <w:pPr>
        <w:widowControl/>
        <w:numPr>
          <w:ilvl w:val="0"/>
          <w:numId w:val="10"/>
        </w:numPr>
        <w:spacing w:line="360" w:lineRule="auto"/>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市政消火栓</w:t>
      </w:r>
    </w:p>
    <w:p w14:paraId="01C9D96E">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a</w:t>
      </w:r>
      <w:r>
        <w:rPr>
          <w:rFonts w:ascii="Arial" w:hAnsi="Arial" w:cs="Arial"/>
          <w:bCs/>
          <w:color w:val="000000" w:themeColor="text1"/>
          <w:szCs w:val="21"/>
          <w:highlight w:val="none"/>
          <w14:textFill>
            <w14:solidFill>
              <w14:schemeClr w14:val="tx1"/>
            </w14:solidFill>
          </w14:textFill>
        </w:rPr>
        <w:t xml:space="preserve">. </w:t>
      </w:r>
      <w:r>
        <w:rPr>
          <w:rFonts w:hint="eastAsia" w:ascii="Arial" w:hAnsi="Arial" w:cs="Arial"/>
          <w:bCs/>
          <w:color w:val="000000" w:themeColor="text1"/>
          <w:szCs w:val="21"/>
          <w:highlight w:val="none"/>
          <w14:textFill>
            <w14:solidFill>
              <w14:schemeClr w14:val="tx1"/>
            </w14:solidFill>
          </w14:textFill>
        </w:rPr>
        <w:t>按《消防给水及消火栓系统技术规范》GB 50974-2014等相关规程、规定进行养护维修作业。</w:t>
      </w:r>
    </w:p>
    <w:p w14:paraId="68B8183E">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b</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 xml:space="preserve"> 消火栓每月至少进行一次全面巡检；每季度至少进行一次保养；每年至少进行两次放水检查，重大节日或庆祝活动之前专门检查一次。消火栓及阀门后的管道损坏漏水应在30分钟内到达现场止水维修，并在24小时内修复。</w:t>
      </w:r>
    </w:p>
    <w:p w14:paraId="1B1B3645">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c</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 xml:space="preserve"> 建立消火栓资料，明确具体位置并进行统一编号，根据变更情况及时更新并报消防部门备案；如实记录消火栓的巡检、新增、移位、拆除、维修、保养等信息，建立管理台账并填报统计报表。</w:t>
      </w:r>
    </w:p>
    <w:p w14:paraId="4711D498">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d</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 xml:space="preserve"> 消火栓因各种原因需移位或拆除的，经有关部门同意后才能按规定实施，并报消火栓管理部门和监管部门备案。</w:t>
      </w:r>
    </w:p>
    <w:p w14:paraId="6035F734">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e</w:t>
      </w:r>
      <w:r>
        <w:rPr>
          <w:rFonts w:ascii="Arial" w:hAnsi="Arial" w:cs="Arial"/>
          <w:bCs/>
          <w:color w:val="000000" w:themeColor="text1"/>
          <w:szCs w:val="21"/>
          <w:highlight w:val="none"/>
          <w14:textFill>
            <w14:solidFill>
              <w14:schemeClr w14:val="tx1"/>
            </w14:solidFill>
          </w14:textFill>
        </w:rPr>
        <w:t>.</w:t>
      </w:r>
      <w:r>
        <w:rPr>
          <w:rFonts w:hint="eastAsia" w:ascii="Arial" w:hAnsi="Arial" w:cs="Arial"/>
          <w:bCs/>
          <w:color w:val="000000" w:themeColor="text1"/>
          <w:szCs w:val="21"/>
          <w:highlight w:val="none"/>
          <w14:textFill>
            <w14:solidFill>
              <w14:schemeClr w14:val="tx1"/>
            </w14:solidFill>
          </w14:textFill>
        </w:rPr>
        <w:t xml:space="preserve"> 参加验收新建市政消火栓，并接收通过验收的消火栓和相关资料。</w:t>
      </w:r>
    </w:p>
    <w:p w14:paraId="4457B763">
      <w:pPr>
        <w:pStyle w:val="16"/>
        <w:spacing w:line="360" w:lineRule="auto"/>
        <w:ind w:firstLine="420" w:firstLineChars="200"/>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f. 加强安全教育，注意文明施工，并做好各种安全标志等，防止因施工造成的安全事故。</w:t>
      </w:r>
    </w:p>
    <w:p w14:paraId="282320CE">
      <w:pPr>
        <w:widowControl/>
        <w:numPr>
          <w:ilvl w:val="0"/>
          <w:numId w:val="10"/>
        </w:numPr>
        <w:spacing w:line="360" w:lineRule="auto"/>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防台防汛等极端天气及重大保障应急综合服务</w:t>
      </w:r>
    </w:p>
    <w:p w14:paraId="24F72927">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a</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防台防汛等极端天气及重大保障期间，应积极主动做好以下应急保障工作。</w:t>
      </w:r>
    </w:p>
    <w:p w14:paraId="0D74C2FF">
      <w:pPr>
        <w:spacing w:line="360" w:lineRule="auto"/>
        <w:ind w:left="142" w:firstLine="283" w:firstLineChars="135"/>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①切实做好应急保障各项准备工作。建立和完善应急保障期间安全生产工作责任制，指定专门人员负责应急保障期间安全生产工作。做好专业技术人员及专业设备的配备，培训和演练抢险队伍，提高气象灾害应急处置能力。</w:t>
      </w:r>
    </w:p>
    <w:p w14:paraId="09D0E5EF">
      <w:pPr>
        <w:spacing w:line="360" w:lineRule="auto"/>
        <w:ind w:firstLine="399" w:firstLineChars="19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②加强排水设施日常管护。进一步强化排水设施日常维护管理工作，做好排水管网摸底调查工作，加强排水管道疏浚，确保汛期城市排水管网畅通。</w:t>
      </w:r>
    </w:p>
    <w:p w14:paraId="3625374F">
      <w:pPr>
        <w:spacing w:line="360" w:lineRule="auto"/>
        <w:ind w:firstLine="399" w:firstLineChars="19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③落实预案，做好汛期应急处置和值守工作。完善防汛抢修预案和应急措施，切实加强对重要设施、重点部位的应急准备工作，落实应急抢险队伍组织，检修抢险设备，做好抢险预案，完善值班制度，提前做好疏浚抢险设施、设备、人员准备，确保迅速准确排出险情。   </w:t>
      </w:r>
    </w:p>
    <w:p w14:paraId="66AFB260">
      <w:pPr>
        <w:spacing w:line="360" w:lineRule="auto"/>
        <w:ind w:firstLine="399" w:firstLineChars="19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④应急综合服务期间须投入</w:t>
      </w:r>
      <w:r>
        <w:rPr>
          <w:rFonts w:ascii="宋体" w:hAnsi="宋体"/>
          <w:color w:val="000000" w:themeColor="text1"/>
          <w:szCs w:val="21"/>
          <w:highlight w:val="none"/>
          <w14:textFill>
            <w14:solidFill>
              <w14:schemeClr w14:val="tx1"/>
            </w14:solidFill>
          </w14:textFill>
        </w:rPr>
        <w:t>的防台防汛应急小组及人员、设备要求</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610"/>
        <w:gridCol w:w="1553"/>
        <w:gridCol w:w="1450"/>
        <w:gridCol w:w="1258"/>
        <w:gridCol w:w="1421"/>
      </w:tblGrid>
      <w:tr w14:paraId="3995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230" w:type="dxa"/>
            <w:vMerge w:val="restart"/>
            <w:noWrap w:val="0"/>
            <w:vAlign w:val="top"/>
          </w:tcPr>
          <w:p w14:paraId="3F766467">
            <w:pPr>
              <w:rPr>
                <w:rFonts w:hint="eastAsia"/>
                <w:color w:val="000000" w:themeColor="text1"/>
                <w:szCs w:val="22"/>
                <w:highlight w:val="none"/>
                <w:vertAlign w:val="baseline"/>
                <w:lang w:eastAsia="zh-CN"/>
                <w14:textFill>
                  <w14:solidFill>
                    <w14:schemeClr w14:val="tx1"/>
                  </w14:solidFill>
                </w14:textFill>
              </w:rPr>
            </w:pPr>
          </w:p>
          <w:p w14:paraId="7D94623E">
            <w:pPr>
              <w:ind w:firstLine="210" w:firstLineChars="100"/>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名称</w:t>
            </w:r>
          </w:p>
        </w:tc>
        <w:tc>
          <w:tcPr>
            <w:tcW w:w="1610" w:type="dxa"/>
            <w:vMerge w:val="restart"/>
            <w:noWrap w:val="0"/>
            <w:vAlign w:val="top"/>
          </w:tcPr>
          <w:p w14:paraId="33CBAE17">
            <w:pPr>
              <w:rPr>
                <w:rFonts w:hint="eastAsia"/>
                <w:color w:val="000000" w:themeColor="text1"/>
                <w:szCs w:val="22"/>
                <w:highlight w:val="none"/>
                <w:vertAlign w:val="baseline"/>
                <w:lang w:eastAsia="zh-CN"/>
                <w14:textFill>
                  <w14:solidFill>
                    <w14:schemeClr w14:val="tx1"/>
                  </w14:solidFill>
                </w14:textFill>
              </w:rPr>
            </w:pPr>
          </w:p>
          <w:p w14:paraId="05049CC8">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工作地点</w:t>
            </w:r>
          </w:p>
        </w:tc>
        <w:tc>
          <w:tcPr>
            <w:tcW w:w="3003" w:type="dxa"/>
            <w:gridSpan w:val="2"/>
            <w:noWrap w:val="0"/>
            <w:vAlign w:val="top"/>
          </w:tcPr>
          <w:p w14:paraId="0CFCCAF4">
            <w:pPr>
              <w:ind w:firstLine="630" w:firstLineChars="300"/>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设备</w:t>
            </w:r>
          </w:p>
        </w:tc>
        <w:tc>
          <w:tcPr>
            <w:tcW w:w="2679" w:type="dxa"/>
            <w:gridSpan w:val="2"/>
            <w:noWrap w:val="0"/>
            <w:vAlign w:val="top"/>
          </w:tcPr>
          <w:p w14:paraId="0C14AA1B">
            <w:pPr>
              <w:ind w:firstLine="840" w:firstLineChars="400"/>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人员要求</w:t>
            </w:r>
          </w:p>
        </w:tc>
      </w:tr>
      <w:tr w14:paraId="0434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230" w:type="dxa"/>
            <w:vMerge w:val="continue"/>
            <w:noWrap w:val="0"/>
            <w:vAlign w:val="top"/>
          </w:tcPr>
          <w:p w14:paraId="07C48DF8">
            <w:pPr>
              <w:rPr>
                <w:color w:val="000000" w:themeColor="text1"/>
                <w:szCs w:val="22"/>
                <w:highlight w:val="none"/>
                <w:vertAlign w:val="baseline"/>
                <w14:textFill>
                  <w14:solidFill>
                    <w14:schemeClr w14:val="tx1"/>
                  </w14:solidFill>
                </w14:textFill>
              </w:rPr>
            </w:pPr>
          </w:p>
        </w:tc>
        <w:tc>
          <w:tcPr>
            <w:tcW w:w="1610" w:type="dxa"/>
            <w:vMerge w:val="continue"/>
            <w:noWrap w:val="0"/>
            <w:vAlign w:val="top"/>
          </w:tcPr>
          <w:p w14:paraId="7C1EC5DA">
            <w:pPr>
              <w:rPr>
                <w:color w:val="000000" w:themeColor="text1"/>
                <w:szCs w:val="22"/>
                <w:highlight w:val="none"/>
                <w:vertAlign w:val="baseline"/>
                <w14:textFill>
                  <w14:solidFill>
                    <w14:schemeClr w14:val="tx1"/>
                  </w14:solidFill>
                </w14:textFill>
              </w:rPr>
            </w:pPr>
          </w:p>
        </w:tc>
        <w:tc>
          <w:tcPr>
            <w:tcW w:w="1553" w:type="dxa"/>
            <w:noWrap w:val="0"/>
            <w:vAlign w:val="top"/>
          </w:tcPr>
          <w:p w14:paraId="6A5ADA23">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已有</w:t>
            </w:r>
          </w:p>
        </w:tc>
        <w:tc>
          <w:tcPr>
            <w:tcW w:w="1450" w:type="dxa"/>
            <w:noWrap w:val="0"/>
            <w:vAlign w:val="top"/>
          </w:tcPr>
          <w:p w14:paraId="441F8745">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需配</w:t>
            </w:r>
          </w:p>
        </w:tc>
        <w:tc>
          <w:tcPr>
            <w:tcW w:w="1258" w:type="dxa"/>
            <w:noWrap w:val="0"/>
            <w:vAlign w:val="top"/>
          </w:tcPr>
          <w:p w14:paraId="6FD52FD5">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待命阶段</w:t>
            </w:r>
          </w:p>
        </w:tc>
        <w:tc>
          <w:tcPr>
            <w:tcW w:w="1421" w:type="dxa"/>
            <w:noWrap w:val="0"/>
            <w:vAlign w:val="top"/>
          </w:tcPr>
          <w:p w14:paraId="286DCD09">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防守阶段</w:t>
            </w:r>
          </w:p>
        </w:tc>
      </w:tr>
      <w:tr w14:paraId="3F6D4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30" w:type="dxa"/>
            <w:noWrap w:val="0"/>
            <w:vAlign w:val="top"/>
          </w:tcPr>
          <w:p w14:paraId="2F9736A1">
            <w:pPr>
              <w:jc w:val="center"/>
              <w:rPr>
                <w:rFonts w:hint="eastAsia"/>
                <w:color w:val="000000" w:themeColor="text1"/>
                <w:szCs w:val="22"/>
                <w:highlight w:val="none"/>
                <w:vertAlign w:val="baseline"/>
                <w:lang w:eastAsia="zh-CN"/>
                <w14:textFill>
                  <w14:solidFill>
                    <w14:schemeClr w14:val="tx1"/>
                  </w14:solidFill>
                </w14:textFill>
              </w:rPr>
            </w:pPr>
          </w:p>
          <w:p w14:paraId="71421FCE">
            <w:pPr>
              <w:jc w:val="center"/>
              <w:rPr>
                <w:rFonts w:hint="eastAsia"/>
                <w:color w:val="000000" w:themeColor="text1"/>
                <w:szCs w:val="22"/>
                <w:highlight w:val="none"/>
                <w:vertAlign w:val="baseline"/>
                <w:lang w:eastAsia="zh-CN"/>
                <w14:textFill>
                  <w14:solidFill>
                    <w14:schemeClr w14:val="tx1"/>
                  </w14:solidFill>
                </w14:textFill>
              </w:rPr>
            </w:pPr>
          </w:p>
          <w:p w14:paraId="6936E8FE">
            <w:pPr>
              <w:jc w:val="center"/>
              <w:rPr>
                <w:rFonts w:hint="eastAsia"/>
                <w:color w:val="000000" w:themeColor="text1"/>
                <w:szCs w:val="22"/>
                <w:highlight w:val="none"/>
                <w:vertAlign w:val="baseline"/>
                <w:lang w:eastAsia="zh-CN"/>
                <w14:textFill>
                  <w14:solidFill>
                    <w14:schemeClr w14:val="tx1"/>
                  </w14:solidFill>
                </w14:textFill>
              </w:rPr>
            </w:pPr>
          </w:p>
          <w:p w14:paraId="05838FB5">
            <w:pPr>
              <w:jc w:val="cente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大榭医院</w:t>
            </w:r>
          </w:p>
        </w:tc>
        <w:tc>
          <w:tcPr>
            <w:tcW w:w="1610" w:type="dxa"/>
            <w:noWrap w:val="0"/>
            <w:vAlign w:val="top"/>
          </w:tcPr>
          <w:p w14:paraId="2C4B1BDA">
            <w:pPr>
              <w:rPr>
                <w:rFonts w:hint="eastAsia"/>
                <w:color w:val="000000" w:themeColor="text1"/>
                <w:szCs w:val="22"/>
                <w:highlight w:val="none"/>
                <w:vertAlign w:val="baseline"/>
                <w:lang w:eastAsia="zh-CN"/>
                <w14:textFill>
                  <w14:solidFill>
                    <w14:schemeClr w14:val="tx1"/>
                  </w14:solidFill>
                </w14:textFill>
              </w:rPr>
            </w:pPr>
          </w:p>
          <w:p w14:paraId="0B781134">
            <w:pPr>
              <w:rPr>
                <w:rFonts w:hint="eastAsia"/>
                <w:color w:val="000000" w:themeColor="text1"/>
                <w:szCs w:val="22"/>
                <w:highlight w:val="none"/>
                <w:vertAlign w:val="baseline"/>
                <w:lang w:eastAsia="zh-CN"/>
                <w14:textFill>
                  <w14:solidFill>
                    <w14:schemeClr w14:val="tx1"/>
                  </w14:solidFill>
                </w14:textFill>
              </w:rPr>
            </w:pPr>
          </w:p>
          <w:p w14:paraId="3DFB7F3D">
            <w:pPr>
              <w:rPr>
                <w:rFonts w:hint="eastAsia"/>
                <w:color w:val="000000" w:themeColor="text1"/>
                <w:szCs w:val="22"/>
                <w:highlight w:val="none"/>
                <w:vertAlign w:val="baseline"/>
                <w:lang w:eastAsia="zh-CN"/>
                <w14:textFill>
                  <w14:solidFill>
                    <w14:schemeClr w14:val="tx1"/>
                  </w14:solidFill>
                </w14:textFill>
              </w:rPr>
            </w:pPr>
          </w:p>
          <w:p w14:paraId="10BADD24">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兴岛南路大榭医院门口</w:t>
            </w:r>
          </w:p>
        </w:tc>
        <w:tc>
          <w:tcPr>
            <w:tcW w:w="1553" w:type="dxa"/>
            <w:noWrap w:val="0"/>
            <w:vAlign w:val="top"/>
          </w:tcPr>
          <w:p w14:paraId="7DD53F24">
            <w:pPr>
              <w:rPr>
                <w:rFonts w:hint="default"/>
                <w:color w:val="000000" w:themeColor="text1"/>
                <w:szCs w:val="22"/>
                <w:highlight w:val="none"/>
                <w:vertAlign w:val="baseline"/>
                <w:lang w:val="en-US"/>
                <w14:textFill>
                  <w14:solidFill>
                    <w14:schemeClr w14:val="tx1"/>
                  </w14:solidFill>
                </w14:textFill>
              </w:rPr>
            </w:pPr>
            <w:r>
              <w:rPr>
                <w:rFonts w:hint="eastAsia"/>
                <w:color w:val="000000" w:themeColor="text1"/>
                <w:sz w:val="18"/>
                <w:szCs w:val="18"/>
                <w:highlight w:val="none"/>
                <w:vertAlign w:val="baseline"/>
                <w:lang w:eastAsia="zh-CN"/>
                <w14:textFill>
                  <w14:solidFill>
                    <w14:schemeClr w14:val="tx1"/>
                  </w14:solidFill>
                </w14:textFill>
              </w:rPr>
              <w:t>固定泵</w:t>
            </w:r>
            <w:r>
              <w:rPr>
                <w:rFonts w:hint="eastAsia"/>
                <w:color w:val="000000" w:themeColor="text1"/>
                <w:sz w:val="18"/>
                <w:szCs w:val="18"/>
                <w:highlight w:val="none"/>
                <w:vertAlign w:val="baseline"/>
                <w:lang w:val="en-US" w:eastAsia="zh-CN"/>
                <w14:textFill>
                  <w14:solidFill>
                    <w14:schemeClr w14:val="tx1"/>
                  </w14:solidFill>
                </w14:textFill>
              </w:rPr>
              <w:t>2台（75KW、30KW各1台），250KW发动机1台,600立方/小时移动柴油泵1台</w:t>
            </w:r>
          </w:p>
        </w:tc>
        <w:tc>
          <w:tcPr>
            <w:tcW w:w="1450" w:type="dxa"/>
            <w:noWrap w:val="0"/>
            <w:vAlign w:val="top"/>
          </w:tcPr>
          <w:p w14:paraId="404153B3">
            <w:pPr>
              <w:rPr>
                <w:color w:val="000000" w:themeColor="text1"/>
                <w:szCs w:val="22"/>
                <w:highlight w:val="none"/>
                <w:vertAlign w:val="baseline"/>
                <w14:textFill>
                  <w14:solidFill>
                    <w14:schemeClr w14:val="tx1"/>
                  </w14:solidFill>
                </w14:textFill>
              </w:rPr>
            </w:pPr>
          </w:p>
        </w:tc>
        <w:tc>
          <w:tcPr>
            <w:tcW w:w="1258" w:type="dxa"/>
            <w:noWrap w:val="0"/>
            <w:vAlign w:val="top"/>
          </w:tcPr>
          <w:p w14:paraId="2F7207A7">
            <w:pPr>
              <w:rPr>
                <w:rFonts w:hint="eastAsia"/>
                <w:color w:val="000000" w:themeColor="text1"/>
                <w:szCs w:val="22"/>
                <w:highlight w:val="none"/>
                <w:vertAlign w:val="baseline"/>
                <w:lang w:eastAsia="zh-CN"/>
                <w14:textFill>
                  <w14:solidFill>
                    <w14:schemeClr w14:val="tx1"/>
                  </w14:solidFill>
                </w14:textFill>
              </w:rPr>
            </w:pPr>
          </w:p>
          <w:p w14:paraId="58CDF0EF">
            <w:pPr>
              <w:rPr>
                <w:rFonts w:hint="eastAsia"/>
                <w:color w:val="000000" w:themeColor="text1"/>
                <w:szCs w:val="22"/>
                <w:highlight w:val="none"/>
                <w:vertAlign w:val="baseline"/>
                <w:lang w:eastAsia="zh-CN"/>
                <w14:textFill>
                  <w14:solidFill>
                    <w14:schemeClr w14:val="tx1"/>
                  </w14:solidFill>
                </w14:textFill>
              </w:rPr>
            </w:pPr>
          </w:p>
          <w:p w14:paraId="5F8C260B">
            <w:pPr>
              <w:rPr>
                <w:rFonts w:hint="eastAsia"/>
                <w:color w:val="000000" w:themeColor="text1"/>
                <w:szCs w:val="22"/>
                <w:highlight w:val="none"/>
                <w:vertAlign w:val="baseline"/>
                <w:lang w:eastAsia="zh-CN"/>
                <w14:textFill>
                  <w14:solidFill>
                    <w14:schemeClr w14:val="tx1"/>
                  </w14:solidFill>
                </w14:textFill>
              </w:rPr>
            </w:pPr>
          </w:p>
          <w:p w14:paraId="53E074FB">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c>
          <w:tcPr>
            <w:tcW w:w="1421" w:type="dxa"/>
            <w:noWrap w:val="0"/>
            <w:vAlign w:val="top"/>
          </w:tcPr>
          <w:p w14:paraId="012C1B87">
            <w:pPr>
              <w:rPr>
                <w:rFonts w:hint="eastAsia"/>
                <w:color w:val="000000" w:themeColor="text1"/>
                <w:szCs w:val="22"/>
                <w:highlight w:val="none"/>
                <w:vertAlign w:val="baseline"/>
                <w:lang w:eastAsia="zh-CN"/>
                <w14:textFill>
                  <w14:solidFill>
                    <w14:schemeClr w14:val="tx1"/>
                  </w14:solidFill>
                </w14:textFill>
              </w:rPr>
            </w:pPr>
          </w:p>
          <w:p w14:paraId="650A6AB7">
            <w:pPr>
              <w:rPr>
                <w:rFonts w:hint="eastAsia"/>
                <w:color w:val="000000" w:themeColor="text1"/>
                <w:szCs w:val="22"/>
                <w:highlight w:val="none"/>
                <w:vertAlign w:val="baseline"/>
                <w:lang w:eastAsia="zh-CN"/>
                <w14:textFill>
                  <w14:solidFill>
                    <w14:schemeClr w14:val="tx1"/>
                  </w14:solidFill>
                </w14:textFill>
              </w:rPr>
            </w:pPr>
          </w:p>
          <w:p w14:paraId="61A2024E">
            <w:pPr>
              <w:rPr>
                <w:rFonts w:hint="eastAsia"/>
                <w:color w:val="000000" w:themeColor="text1"/>
                <w:szCs w:val="22"/>
                <w:highlight w:val="none"/>
                <w:vertAlign w:val="baseline"/>
                <w:lang w:eastAsia="zh-CN"/>
                <w14:textFill>
                  <w14:solidFill>
                    <w14:schemeClr w14:val="tx1"/>
                  </w14:solidFill>
                </w14:textFill>
              </w:rPr>
            </w:pPr>
          </w:p>
          <w:p w14:paraId="726F16D0">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4人</w:t>
            </w:r>
          </w:p>
        </w:tc>
      </w:tr>
      <w:tr w14:paraId="2FE8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230" w:type="dxa"/>
            <w:noWrap w:val="0"/>
            <w:vAlign w:val="top"/>
          </w:tcPr>
          <w:p w14:paraId="30438D6C">
            <w:pPr>
              <w:rPr>
                <w:rFonts w:hint="eastAsia"/>
                <w:color w:val="000000" w:themeColor="text1"/>
                <w:szCs w:val="22"/>
                <w:highlight w:val="none"/>
                <w:vertAlign w:val="baseline"/>
                <w:lang w:eastAsia="zh-CN"/>
                <w14:textFill>
                  <w14:solidFill>
                    <w14:schemeClr w14:val="tx1"/>
                  </w14:solidFill>
                </w14:textFill>
              </w:rPr>
            </w:pPr>
          </w:p>
          <w:p w14:paraId="63B306BD">
            <w:pPr>
              <w:ind w:firstLine="210" w:firstLineChars="100"/>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船厂</w:t>
            </w:r>
          </w:p>
        </w:tc>
        <w:tc>
          <w:tcPr>
            <w:tcW w:w="1610" w:type="dxa"/>
            <w:noWrap w:val="0"/>
            <w:vAlign w:val="top"/>
          </w:tcPr>
          <w:p w14:paraId="7DFC2A9A">
            <w:pPr>
              <w:rPr>
                <w:rFonts w:hint="eastAsia"/>
                <w:color w:val="000000" w:themeColor="text1"/>
                <w:szCs w:val="22"/>
                <w:highlight w:val="none"/>
                <w:vertAlign w:val="baseline"/>
                <w:lang w:eastAsia="zh-CN"/>
                <w14:textFill>
                  <w14:solidFill>
                    <w14:schemeClr w14:val="tx1"/>
                  </w14:solidFill>
                </w14:textFill>
              </w:rPr>
            </w:pPr>
          </w:p>
          <w:p w14:paraId="494EE901">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滨海南路信创路</w:t>
            </w:r>
          </w:p>
        </w:tc>
        <w:tc>
          <w:tcPr>
            <w:tcW w:w="1553" w:type="dxa"/>
            <w:noWrap w:val="0"/>
            <w:vAlign w:val="top"/>
          </w:tcPr>
          <w:p w14:paraId="26E9DF1F">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11KW</w:t>
            </w:r>
            <w:r>
              <w:rPr>
                <w:rFonts w:hint="eastAsia"/>
                <w:color w:val="000000" w:themeColor="text1"/>
                <w:sz w:val="18"/>
                <w:szCs w:val="18"/>
                <w:highlight w:val="none"/>
                <w:vertAlign w:val="baseline"/>
                <w:lang w:eastAsia="zh-CN"/>
                <w14:textFill>
                  <w14:solidFill>
                    <w14:schemeClr w14:val="tx1"/>
                  </w14:solidFill>
                </w14:textFill>
              </w:rPr>
              <w:t>固定泵</w:t>
            </w:r>
            <w:r>
              <w:rPr>
                <w:rFonts w:hint="eastAsia"/>
                <w:color w:val="000000" w:themeColor="text1"/>
                <w:sz w:val="18"/>
                <w:szCs w:val="18"/>
                <w:highlight w:val="none"/>
                <w:vertAlign w:val="baseline"/>
                <w:lang w:val="en-US" w:eastAsia="zh-CN"/>
                <w14:textFill>
                  <w14:solidFill>
                    <w14:schemeClr w14:val="tx1"/>
                  </w14:solidFill>
                </w14:textFill>
              </w:rPr>
              <w:t>1台，50KW发动机1台</w:t>
            </w:r>
          </w:p>
        </w:tc>
        <w:tc>
          <w:tcPr>
            <w:tcW w:w="1450" w:type="dxa"/>
            <w:noWrap w:val="0"/>
            <w:vAlign w:val="top"/>
          </w:tcPr>
          <w:p w14:paraId="3C9BCBC3">
            <w:pPr>
              <w:rPr>
                <w:color w:val="000000" w:themeColor="text1"/>
                <w:szCs w:val="22"/>
                <w:highlight w:val="none"/>
                <w:vertAlign w:val="baseline"/>
                <w14:textFill>
                  <w14:solidFill>
                    <w14:schemeClr w14:val="tx1"/>
                  </w14:solidFill>
                </w14:textFill>
              </w:rPr>
            </w:pPr>
          </w:p>
        </w:tc>
        <w:tc>
          <w:tcPr>
            <w:tcW w:w="1258" w:type="dxa"/>
            <w:noWrap w:val="0"/>
            <w:vAlign w:val="top"/>
          </w:tcPr>
          <w:p w14:paraId="35CC9680">
            <w:pPr>
              <w:rPr>
                <w:rFonts w:hint="eastAsia"/>
                <w:color w:val="000000" w:themeColor="text1"/>
                <w:szCs w:val="22"/>
                <w:highlight w:val="none"/>
                <w:vertAlign w:val="baseline"/>
                <w:lang w:eastAsia="zh-CN"/>
                <w14:textFill>
                  <w14:solidFill>
                    <w14:schemeClr w14:val="tx1"/>
                  </w14:solidFill>
                </w14:textFill>
              </w:rPr>
            </w:pPr>
          </w:p>
          <w:p w14:paraId="55DE70EF">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1人</w:t>
            </w:r>
          </w:p>
        </w:tc>
        <w:tc>
          <w:tcPr>
            <w:tcW w:w="1421" w:type="dxa"/>
            <w:noWrap w:val="0"/>
            <w:vAlign w:val="top"/>
          </w:tcPr>
          <w:p w14:paraId="3C3DB722">
            <w:pPr>
              <w:rPr>
                <w:rFonts w:hint="eastAsia"/>
                <w:color w:val="000000" w:themeColor="text1"/>
                <w:szCs w:val="22"/>
                <w:highlight w:val="none"/>
                <w:vertAlign w:val="baseline"/>
                <w:lang w:eastAsia="zh-CN"/>
                <w14:textFill>
                  <w14:solidFill>
                    <w14:schemeClr w14:val="tx1"/>
                  </w14:solidFill>
                </w14:textFill>
              </w:rPr>
            </w:pPr>
          </w:p>
          <w:p w14:paraId="42DBC5B3">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0D11D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230" w:type="dxa"/>
            <w:noWrap w:val="0"/>
            <w:vAlign w:val="top"/>
          </w:tcPr>
          <w:p w14:paraId="3F1D8C5C">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榭西邻里中心</w:t>
            </w:r>
          </w:p>
        </w:tc>
        <w:tc>
          <w:tcPr>
            <w:tcW w:w="1610" w:type="dxa"/>
            <w:noWrap w:val="0"/>
            <w:vAlign w:val="top"/>
          </w:tcPr>
          <w:p w14:paraId="65A4F29D">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东湖路雪窦山路</w:t>
            </w:r>
          </w:p>
        </w:tc>
        <w:tc>
          <w:tcPr>
            <w:tcW w:w="1553" w:type="dxa"/>
            <w:noWrap w:val="0"/>
            <w:vAlign w:val="top"/>
          </w:tcPr>
          <w:p w14:paraId="3370E6E7">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45KW</w:t>
            </w:r>
            <w:r>
              <w:rPr>
                <w:rFonts w:hint="eastAsia"/>
                <w:color w:val="000000" w:themeColor="text1"/>
                <w:sz w:val="18"/>
                <w:szCs w:val="18"/>
                <w:highlight w:val="none"/>
                <w:vertAlign w:val="baseline"/>
                <w:lang w:eastAsia="zh-CN"/>
                <w14:textFill>
                  <w14:solidFill>
                    <w14:schemeClr w14:val="tx1"/>
                  </w14:solidFill>
                </w14:textFill>
              </w:rPr>
              <w:t>固定泵</w:t>
            </w:r>
            <w:r>
              <w:rPr>
                <w:rFonts w:hint="eastAsia"/>
                <w:color w:val="000000" w:themeColor="text1"/>
                <w:sz w:val="18"/>
                <w:szCs w:val="18"/>
                <w:highlight w:val="none"/>
                <w:vertAlign w:val="baseline"/>
                <w:lang w:val="en-US" w:eastAsia="zh-CN"/>
                <w14:textFill>
                  <w14:solidFill>
                    <w14:schemeClr w14:val="tx1"/>
                  </w14:solidFill>
                </w14:textFill>
              </w:rPr>
              <w:t>1台，150KW发动机1台</w:t>
            </w:r>
          </w:p>
        </w:tc>
        <w:tc>
          <w:tcPr>
            <w:tcW w:w="1450" w:type="dxa"/>
            <w:noWrap w:val="0"/>
            <w:vAlign w:val="top"/>
          </w:tcPr>
          <w:p w14:paraId="0C811871">
            <w:pPr>
              <w:rPr>
                <w:color w:val="000000" w:themeColor="text1"/>
                <w:szCs w:val="22"/>
                <w:highlight w:val="none"/>
                <w:vertAlign w:val="baseline"/>
                <w14:textFill>
                  <w14:solidFill>
                    <w14:schemeClr w14:val="tx1"/>
                  </w14:solidFill>
                </w14:textFill>
              </w:rPr>
            </w:pPr>
          </w:p>
        </w:tc>
        <w:tc>
          <w:tcPr>
            <w:tcW w:w="1258" w:type="dxa"/>
            <w:noWrap w:val="0"/>
            <w:vAlign w:val="top"/>
          </w:tcPr>
          <w:p w14:paraId="1EBEADF5">
            <w:pPr>
              <w:rPr>
                <w:rFonts w:hint="eastAsia"/>
                <w:color w:val="000000" w:themeColor="text1"/>
                <w:szCs w:val="22"/>
                <w:highlight w:val="none"/>
                <w:vertAlign w:val="baseline"/>
                <w:lang w:eastAsia="zh-CN"/>
                <w14:textFill>
                  <w14:solidFill>
                    <w14:schemeClr w14:val="tx1"/>
                  </w14:solidFill>
                </w14:textFill>
              </w:rPr>
            </w:pPr>
          </w:p>
          <w:p w14:paraId="1AF293BD">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1人</w:t>
            </w:r>
          </w:p>
        </w:tc>
        <w:tc>
          <w:tcPr>
            <w:tcW w:w="1421" w:type="dxa"/>
            <w:noWrap w:val="0"/>
            <w:vAlign w:val="top"/>
          </w:tcPr>
          <w:p w14:paraId="22D7C9AB">
            <w:pPr>
              <w:rPr>
                <w:rFonts w:hint="eastAsia"/>
                <w:color w:val="000000" w:themeColor="text1"/>
                <w:szCs w:val="22"/>
                <w:highlight w:val="none"/>
                <w:vertAlign w:val="baseline"/>
                <w:lang w:eastAsia="zh-CN"/>
                <w14:textFill>
                  <w14:solidFill>
                    <w14:schemeClr w14:val="tx1"/>
                  </w14:solidFill>
                </w14:textFill>
              </w:rPr>
            </w:pPr>
          </w:p>
          <w:p w14:paraId="19A89773">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4F0D2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230" w:type="dxa"/>
            <w:vMerge w:val="restart"/>
            <w:noWrap w:val="0"/>
            <w:vAlign w:val="top"/>
          </w:tcPr>
          <w:p w14:paraId="3EF17F70">
            <w:pPr>
              <w:rPr>
                <w:rFonts w:hint="eastAsia"/>
                <w:color w:val="000000" w:themeColor="text1"/>
                <w:szCs w:val="22"/>
                <w:highlight w:val="none"/>
                <w:vertAlign w:val="baseline"/>
                <w:lang w:eastAsia="zh-CN"/>
                <w14:textFill>
                  <w14:solidFill>
                    <w14:schemeClr w14:val="tx1"/>
                  </w14:solidFill>
                </w14:textFill>
              </w:rPr>
            </w:pPr>
          </w:p>
          <w:p w14:paraId="50186D23">
            <w:pPr>
              <w:rPr>
                <w:rFonts w:hint="eastAsia"/>
                <w:color w:val="000000" w:themeColor="text1"/>
                <w:szCs w:val="22"/>
                <w:highlight w:val="none"/>
                <w:vertAlign w:val="baseline"/>
                <w:lang w:eastAsia="zh-CN"/>
                <w14:textFill>
                  <w14:solidFill>
                    <w14:schemeClr w14:val="tx1"/>
                  </w14:solidFill>
                </w14:textFill>
              </w:rPr>
            </w:pPr>
          </w:p>
          <w:p w14:paraId="5929B804">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环岛西路</w:t>
            </w:r>
          </w:p>
        </w:tc>
        <w:tc>
          <w:tcPr>
            <w:tcW w:w="1610" w:type="dxa"/>
            <w:vMerge w:val="restart"/>
            <w:noWrap w:val="0"/>
            <w:vAlign w:val="top"/>
          </w:tcPr>
          <w:p w14:paraId="36DAA4B8">
            <w:pPr>
              <w:rPr>
                <w:rFonts w:hint="eastAsia"/>
                <w:color w:val="000000" w:themeColor="text1"/>
                <w:szCs w:val="22"/>
                <w:highlight w:val="none"/>
                <w:vertAlign w:val="baseline"/>
                <w:lang w:eastAsia="zh-CN"/>
                <w14:textFill>
                  <w14:solidFill>
                    <w14:schemeClr w14:val="tx1"/>
                  </w14:solidFill>
                </w14:textFill>
              </w:rPr>
            </w:pPr>
          </w:p>
          <w:p w14:paraId="237CDAFB">
            <w:pPr>
              <w:rPr>
                <w:rFonts w:hint="eastAsia"/>
                <w:color w:val="000000" w:themeColor="text1"/>
                <w:szCs w:val="22"/>
                <w:highlight w:val="none"/>
                <w:vertAlign w:val="baseline"/>
                <w:lang w:eastAsia="zh-CN"/>
                <w14:textFill>
                  <w14:solidFill>
                    <w14:schemeClr w14:val="tx1"/>
                  </w14:solidFill>
                </w14:textFill>
              </w:rPr>
            </w:pPr>
          </w:p>
          <w:p w14:paraId="2D39B80B">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兴港路</w:t>
            </w:r>
          </w:p>
        </w:tc>
        <w:tc>
          <w:tcPr>
            <w:tcW w:w="1553" w:type="dxa"/>
            <w:noWrap w:val="0"/>
            <w:vAlign w:val="top"/>
          </w:tcPr>
          <w:p w14:paraId="1968BDF8">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11KW</w:t>
            </w:r>
            <w:r>
              <w:rPr>
                <w:rFonts w:hint="eastAsia"/>
                <w:color w:val="000000" w:themeColor="text1"/>
                <w:sz w:val="18"/>
                <w:szCs w:val="18"/>
                <w:highlight w:val="none"/>
                <w:vertAlign w:val="baseline"/>
                <w:lang w:eastAsia="zh-CN"/>
                <w14:textFill>
                  <w14:solidFill>
                    <w14:schemeClr w14:val="tx1"/>
                  </w14:solidFill>
                </w14:textFill>
              </w:rPr>
              <w:t>固定泵</w:t>
            </w:r>
            <w:r>
              <w:rPr>
                <w:rFonts w:hint="eastAsia"/>
                <w:color w:val="000000" w:themeColor="text1"/>
                <w:sz w:val="18"/>
                <w:szCs w:val="18"/>
                <w:highlight w:val="none"/>
                <w:vertAlign w:val="baseline"/>
                <w:lang w:val="en-US" w:eastAsia="zh-CN"/>
                <w14:textFill>
                  <w14:solidFill>
                    <w14:schemeClr w14:val="tx1"/>
                  </w14:solidFill>
                </w14:textFill>
              </w:rPr>
              <w:t>1台</w:t>
            </w:r>
          </w:p>
        </w:tc>
        <w:tc>
          <w:tcPr>
            <w:tcW w:w="1450" w:type="dxa"/>
            <w:noWrap w:val="0"/>
            <w:vAlign w:val="top"/>
          </w:tcPr>
          <w:p w14:paraId="350C0D1B">
            <w:pPr>
              <w:rPr>
                <w:color w:val="000000" w:themeColor="text1"/>
                <w:szCs w:val="22"/>
                <w:highlight w:val="none"/>
                <w:vertAlign w:val="baseline"/>
                <w14:textFill>
                  <w14:solidFill>
                    <w14:schemeClr w14:val="tx1"/>
                  </w14:solidFill>
                </w14:textFill>
              </w:rPr>
            </w:pPr>
          </w:p>
        </w:tc>
        <w:tc>
          <w:tcPr>
            <w:tcW w:w="1258" w:type="dxa"/>
            <w:vMerge w:val="restart"/>
            <w:noWrap w:val="0"/>
            <w:vAlign w:val="top"/>
          </w:tcPr>
          <w:p w14:paraId="46A468CC">
            <w:pPr>
              <w:jc w:val="center"/>
              <w:rPr>
                <w:rFonts w:hint="eastAsia"/>
                <w:color w:val="000000" w:themeColor="text1"/>
                <w:szCs w:val="22"/>
                <w:highlight w:val="none"/>
                <w:vertAlign w:val="baseline"/>
                <w:lang w:eastAsia="zh-CN"/>
                <w14:textFill>
                  <w14:solidFill>
                    <w14:schemeClr w14:val="tx1"/>
                  </w14:solidFill>
                </w14:textFill>
              </w:rPr>
            </w:pPr>
          </w:p>
          <w:p w14:paraId="4D52ACC2">
            <w:pPr>
              <w:jc w:val="center"/>
              <w:rPr>
                <w:rFonts w:hint="eastAsia"/>
                <w:color w:val="000000" w:themeColor="text1"/>
                <w:szCs w:val="22"/>
                <w:highlight w:val="none"/>
                <w:vertAlign w:val="baseline"/>
                <w:lang w:eastAsia="zh-CN"/>
                <w14:textFill>
                  <w14:solidFill>
                    <w14:schemeClr w14:val="tx1"/>
                  </w14:solidFill>
                </w14:textFill>
              </w:rPr>
            </w:pPr>
          </w:p>
          <w:p w14:paraId="1DD617C3">
            <w:pPr>
              <w:jc w:val="center"/>
              <w:rPr>
                <w:rFonts w:hint="eastAsia"/>
                <w:color w:val="000000" w:themeColor="text1"/>
                <w:szCs w:val="22"/>
                <w:highlight w:val="none"/>
                <w:vertAlign w:val="baseline"/>
                <w:lang w:eastAsia="zh-CN"/>
                <w14:textFill>
                  <w14:solidFill>
                    <w14:schemeClr w14:val="tx1"/>
                  </w14:solidFill>
                </w14:textFill>
              </w:rPr>
            </w:pPr>
          </w:p>
          <w:p w14:paraId="714002CF">
            <w:pPr>
              <w:jc w:val="cente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3人</w:t>
            </w:r>
          </w:p>
        </w:tc>
        <w:tc>
          <w:tcPr>
            <w:tcW w:w="1421" w:type="dxa"/>
            <w:vMerge w:val="restart"/>
            <w:noWrap w:val="0"/>
            <w:vAlign w:val="top"/>
          </w:tcPr>
          <w:p w14:paraId="0BEC32EE">
            <w:pPr>
              <w:rPr>
                <w:rFonts w:hint="eastAsia"/>
                <w:color w:val="000000" w:themeColor="text1"/>
                <w:szCs w:val="22"/>
                <w:highlight w:val="none"/>
                <w:vertAlign w:val="baseline"/>
                <w:lang w:eastAsia="zh-CN"/>
                <w14:textFill>
                  <w14:solidFill>
                    <w14:schemeClr w14:val="tx1"/>
                  </w14:solidFill>
                </w14:textFill>
              </w:rPr>
            </w:pPr>
          </w:p>
          <w:p w14:paraId="65F55D18">
            <w:pPr>
              <w:rPr>
                <w:rFonts w:hint="eastAsia"/>
                <w:color w:val="000000" w:themeColor="text1"/>
                <w:szCs w:val="22"/>
                <w:highlight w:val="none"/>
                <w:vertAlign w:val="baseline"/>
                <w:lang w:eastAsia="zh-CN"/>
                <w14:textFill>
                  <w14:solidFill>
                    <w14:schemeClr w14:val="tx1"/>
                  </w14:solidFill>
                </w14:textFill>
              </w:rPr>
            </w:pPr>
          </w:p>
          <w:p w14:paraId="1C4774F5">
            <w:pPr>
              <w:rPr>
                <w:rFonts w:hint="eastAsia"/>
                <w:color w:val="000000" w:themeColor="text1"/>
                <w:szCs w:val="22"/>
                <w:highlight w:val="none"/>
                <w:vertAlign w:val="baseline"/>
                <w:lang w:eastAsia="zh-CN"/>
                <w14:textFill>
                  <w14:solidFill>
                    <w14:schemeClr w14:val="tx1"/>
                  </w14:solidFill>
                </w14:textFill>
              </w:rPr>
            </w:pPr>
          </w:p>
          <w:p w14:paraId="091828B6">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5人</w:t>
            </w:r>
          </w:p>
        </w:tc>
      </w:tr>
      <w:tr w14:paraId="540A6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30" w:type="dxa"/>
            <w:vMerge w:val="continue"/>
            <w:noWrap w:val="0"/>
            <w:vAlign w:val="top"/>
          </w:tcPr>
          <w:p w14:paraId="07978A3E">
            <w:pPr>
              <w:rPr>
                <w:color w:val="000000" w:themeColor="text1"/>
                <w:szCs w:val="22"/>
                <w:highlight w:val="none"/>
                <w:vertAlign w:val="baseline"/>
                <w14:textFill>
                  <w14:solidFill>
                    <w14:schemeClr w14:val="tx1"/>
                  </w14:solidFill>
                </w14:textFill>
              </w:rPr>
            </w:pPr>
          </w:p>
        </w:tc>
        <w:tc>
          <w:tcPr>
            <w:tcW w:w="1610" w:type="dxa"/>
            <w:vMerge w:val="continue"/>
            <w:noWrap w:val="0"/>
            <w:vAlign w:val="top"/>
          </w:tcPr>
          <w:p w14:paraId="6020AEA0">
            <w:pPr>
              <w:rPr>
                <w:rFonts w:hint="eastAsia" w:eastAsia="宋体"/>
                <w:color w:val="000000" w:themeColor="text1"/>
                <w:szCs w:val="22"/>
                <w:highlight w:val="none"/>
                <w:vertAlign w:val="baseline"/>
                <w:lang w:eastAsia="zh-CN"/>
                <w14:textFill>
                  <w14:solidFill>
                    <w14:schemeClr w14:val="tx1"/>
                  </w14:solidFill>
                </w14:textFill>
              </w:rPr>
            </w:pPr>
          </w:p>
        </w:tc>
        <w:tc>
          <w:tcPr>
            <w:tcW w:w="1553" w:type="dxa"/>
            <w:noWrap w:val="0"/>
            <w:vAlign w:val="top"/>
          </w:tcPr>
          <w:p w14:paraId="1672B679">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400立方/小时移动柴油泵1台</w:t>
            </w:r>
          </w:p>
        </w:tc>
        <w:tc>
          <w:tcPr>
            <w:tcW w:w="1450" w:type="dxa"/>
            <w:noWrap w:val="0"/>
            <w:vAlign w:val="top"/>
          </w:tcPr>
          <w:p w14:paraId="39D49733">
            <w:pPr>
              <w:rPr>
                <w:color w:val="000000" w:themeColor="text1"/>
                <w:szCs w:val="22"/>
                <w:highlight w:val="none"/>
                <w:vertAlign w:val="baseline"/>
                <w14:textFill>
                  <w14:solidFill>
                    <w14:schemeClr w14:val="tx1"/>
                  </w14:solidFill>
                </w14:textFill>
              </w:rPr>
            </w:pPr>
          </w:p>
        </w:tc>
        <w:tc>
          <w:tcPr>
            <w:tcW w:w="1258" w:type="dxa"/>
            <w:vMerge w:val="continue"/>
            <w:noWrap w:val="0"/>
            <w:vAlign w:val="top"/>
          </w:tcPr>
          <w:p w14:paraId="2671AA7F">
            <w:pPr>
              <w:rPr>
                <w:color w:val="000000" w:themeColor="text1"/>
                <w:szCs w:val="22"/>
                <w:highlight w:val="none"/>
                <w:vertAlign w:val="baseline"/>
                <w14:textFill>
                  <w14:solidFill>
                    <w14:schemeClr w14:val="tx1"/>
                  </w14:solidFill>
                </w14:textFill>
              </w:rPr>
            </w:pPr>
          </w:p>
        </w:tc>
        <w:tc>
          <w:tcPr>
            <w:tcW w:w="1421" w:type="dxa"/>
            <w:vMerge w:val="continue"/>
            <w:noWrap w:val="0"/>
            <w:vAlign w:val="top"/>
          </w:tcPr>
          <w:p w14:paraId="03E691B8">
            <w:pPr>
              <w:rPr>
                <w:color w:val="000000" w:themeColor="text1"/>
                <w:szCs w:val="22"/>
                <w:highlight w:val="none"/>
                <w:vertAlign w:val="baseline"/>
                <w14:textFill>
                  <w14:solidFill>
                    <w14:schemeClr w14:val="tx1"/>
                  </w14:solidFill>
                </w14:textFill>
              </w:rPr>
            </w:pPr>
          </w:p>
        </w:tc>
      </w:tr>
      <w:tr w14:paraId="11CCD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30" w:type="dxa"/>
            <w:vMerge w:val="continue"/>
            <w:noWrap w:val="0"/>
            <w:vAlign w:val="top"/>
          </w:tcPr>
          <w:p w14:paraId="0A998421">
            <w:pPr>
              <w:rPr>
                <w:color w:val="000000" w:themeColor="text1"/>
                <w:szCs w:val="22"/>
                <w:highlight w:val="none"/>
                <w:vertAlign w:val="baseline"/>
                <w14:textFill>
                  <w14:solidFill>
                    <w14:schemeClr w14:val="tx1"/>
                  </w14:solidFill>
                </w14:textFill>
              </w:rPr>
            </w:pPr>
          </w:p>
        </w:tc>
        <w:tc>
          <w:tcPr>
            <w:tcW w:w="1610" w:type="dxa"/>
            <w:noWrap w:val="0"/>
            <w:vAlign w:val="top"/>
          </w:tcPr>
          <w:p w14:paraId="02360ACE">
            <w:pPr>
              <w:rPr>
                <w:rFonts w:hint="eastAsia" w:ascii="Calibri" w:hAnsi="Calibri" w:eastAsia="宋体" w:cs="Times New Roman"/>
                <w:color w:val="000000" w:themeColor="text1"/>
                <w:kern w:val="2"/>
                <w:sz w:val="21"/>
                <w:szCs w:val="24"/>
                <w:highlight w:val="none"/>
                <w:vertAlign w:val="baseline"/>
                <w:lang w:val="en-US" w:eastAsia="zh-CN" w:bidi="ar-SA"/>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环岛西路长塘桥</w:t>
            </w:r>
          </w:p>
        </w:tc>
        <w:tc>
          <w:tcPr>
            <w:tcW w:w="1553" w:type="dxa"/>
            <w:noWrap w:val="0"/>
            <w:vAlign w:val="top"/>
          </w:tcPr>
          <w:p w14:paraId="7D878435">
            <w:pPr>
              <w:rPr>
                <w:rFonts w:hint="eastAsia" w:ascii="Calibri" w:hAnsi="Calibri" w:eastAsia="宋体" w:cs="Times New Roman"/>
                <w:color w:val="000000" w:themeColor="text1"/>
                <w:kern w:val="2"/>
                <w:sz w:val="21"/>
                <w:szCs w:val="24"/>
                <w:highlight w:val="none"/>
                <w:vertAlign w:val="baseline"/>
                <w:lang w:val="en-US" w:eastAsia="zh-CN" w:bidi="ar-SA"/>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11KW</w:t>
            </w:r>
            <w:r>
              <w:rPr>
                <w:rFonts w:hint="eastAsia"/>
                <w:color w:val="000000" w:themeColor="text1"/>
                <w:sz w:val="18"/>
                <w:szCs w:val="18"/>
                <w:highlight w:val="none"/>
                <w:vertAlign w:val="baseline"/>
                <w:lang w:eastAsia="zh-CN"/>
                <w14:textFill>
                  <w14:solidFill>
                    <w14:schemeClr w14:val="tx1"/>
                  </w14:solidFill>
                </w14:textFill>
              </w:rPr>
              <w:t>固定泵</w:t>
            </w:r>
            <w:r>
              <w:rPr>
                <w:rFonts w:hint="eastAsia"/>
                <w:color w:val="000000" w:themeColor="text1"/>
                <w:sz w:val="18"/>
                <w:szCs w:val="18"/>
                <w:highlight w:val="none"/>
                <w:vertAlign w:val="baseline"/>
                <w:lang w:val="en-US" w:eastAsia="zh-CN"/>
                <w14:textFill>
                  <w14:solidFill>
                    <w14:schemeClr w14:val="tx1"/>
                  </w14:solidFill>
                </w14:textFill>
              </w:rPr>
              <w:t>2台</w:t>
            </w:r>
          </w:p>
        </w:tc>
        <w:tc>
          <w:tcPr>
            <w:tcW w:w="1450" w:type="dxa"/>
            <w:noWrap w:val="0"/>
            <w:vAlign w:val="top"/>
          </w:tcPr>
          <w:p w14:paraId="309EFB22">
            <w:pPr>
              <w:rPr>
                <w:color w:val="000000" w:themeColor="text1"/>
                <w:szCs w:val="22"/>
                <w:highlight w:val="none"/>
                <w:vertAlign w:val="baseline"/>
                <w14:textFill>
                  <w14:solidFill>
                    <w14:schemeClr w14:val="tx1"/>
                  </w14:solidFill>
                </w14:textFill>
              </w:rPr>
            </w:pPr>
          </w:p>
        </w:tc>
        <w:tc>
          <w:tcPr>
            <w:tcW w:w="1258" w:type="dxa"/>
            <w:vMerge w:val="continue"/>
            <w:noWrap w:val="0"/>
            <w:vAlign w:val="top"/>
          </w:tcPr>
          <w:p w14:paraId="55112F8C">
            <w:pPr>
              <w:rPr>
                <w:color w:val="000000" w:themeColor="text1"/>
                <w:szCs w:val="22"/>
                <w:highlight w:val="none"/>
                <w:vertAlign w:val="baseline"/>
                <w14:textFill>
                  <w14:solidFill>
                    <w14:schemeClr w14:val="tx1"/>
                  </w14:solidFill>
                </w14:textFill>
              </w:rPr>
            </w:pPr>
          </w:p>
        </w:tc>
        <w:tc>
          <w:tcPr>
            <w:tcW w:w="1421" w:type="dxa"/>
            <w:vMerge w:val="continue"/>
            <w:noWrap w:val="0"/>
            <w:vAlign w:val="top"/>
          </w:tcPr>
          <w:p w14:paraId="73CD1F87">
            <w:pPr>
              <w:rPr>
                <w:color w:val="000000" w:themeColor="text1"/>
                <w:szCs w:val="22"/>
                <w:highlight w:val="none"/>
                <w:vertAlign w:val="baseline"/>
                <w14:textFill>
                  <w14:solidFill>
                    <w14:schemeClr w14:val="tx1"/>
                  </w14:solidFill>
                </w14:textFill>
              </w:rPr>
            </w:pPr>
          </w:p>
        </w:tc>
      </w:tr>
      <w:tr w14:paraId="2E5EC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30" w:type="dxa"/>
            <w:noWrap w:val="0"/>
            <w:vAlign w:val="top"/>
          </w:tcPr>
          <w:p w14:paraId="5E4BB377">
            <w:pPr>
              <w:rPr>
                <w:rFonts w:hint="eastAsia"/>
                <w:color w:val="000000" w:themeColor="text1"/>
                <w:szCs w:val="22"/>
                <w:highlight w:val="none"/>
                <w:vertAlign w:val="baseline"/>
                <w:lang w:eastAsia="zh-CN"/>
                <w14:textFill>
                  <w14:solidFill>
                    <w14:schemeClr w14:val="tx1"/>
                  </w14:solidFill>
                </w14:textFill>
              </w:rPr>
            </w:pPr>
          </w:p>
          <w:p w14:paraId="72FF6EE5">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东港北路</w:t>
            </w:r>
          </w:p>
        </w:tc>
        <w:tc>
          <w:tcPr>
            <w:tcW w:w="1610" w:type="dxa"/>
            <w:noWrap w:val="0"/>
            <w:vAlign w:val="top"/>
          </w:tcPr>
          <w:p w14:paraId="366E889A">
            <w:pPr>
              <w:rPr>
                <w:rFonts w:hint="eastAsia"/>
                <w:color w:val="000000" w:themeColor="text1"/>
                <w:szCs w:val="22"/>
                <w:highlight w:val="none"/>
                <w:vertAlign w:val="baseline"/>
                <w:lang w:eastAsia="zh-CN"/>
                <w14:textFill>
                  <w14:solidFill>
                    <w14:schemeClr w14:val="tx1"/>
                  </w14:solidFill>
                </w14:textFill>
              </w:rPr>
            </w:pPr>
          </w:p>
          <w:p w14:paraId="3AEFD2EA">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环岛北路口</w:t>
            </w:r>
          </w:p>
        </w:tc>
        <w:tc>
          <w:tcPr>
            <w:tcW w:w="1553" w:type="dxa"/>
            <w:noWrap w:val="0"/>
            <w:vAlign w:val="top"/>
          </w:tcPr>
          <w:p w14:paraId="7E98805C">
            <w:pPr>
              <w:rPr>
                <w:color w:val="000000" w:themeColor="text1"/>
                <w:szCs w:val="22"/>
                <w:highlight w:val="none"/>
                <w:vertAlign w:val="baseline"/>
                <w14:textFill>
                  <w14:solidFill>
                    <w14:schemeClr w14:val="tx1"/>
                  </w14:solidFill>
                </w14:textFill>
              </w:rPr>
            </w:pPr>
          </w:p>
        </w:tc>
        <w:tc>
          <w:tcPr>
            <w:tcW w:w="1450" w:type="dxa"/>
            <w:noWrap w:val="0"/>
            <w:vAlign w:val="top"/>
          </w:tcPr>
          <w:p w14:paraId="69ECF5E2">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160立方/小时移动汽油泵1台</w:t>
            </w:r>
          </w:p>
        </w:tc>
        <w:tc>
          <w:tcPr>
            <w:tcW w:w="1258" w:type="dxa"/>
            <w:noWrap w:val="0"/>
            <w:vAlign w:val="top"/>
          </w:tcPr>
          <w:p w14:paraId="321F2D90">
            <w:pPr>
              <w:rPr>
                <w:rFonts w:hint="eastAsia"/>
                <w:color w:val="000000" w:themeColor="text1"/>
                <w:szCs w:val="22"/>
                <w:highlight w:val="none"/>
                <w:vertAlign w:val="baseline"/>
                <w:lang w:eastAsia="zh-CN"/>
                <w14:textFill>
                  <w14:solidFill>
                    <w14:schemeClr w14:val="tx1"/>
                  </w14:solidFill>
                </w14:textFill>
              </w:rPr>
            </w:pPr>
          </w:p>
          <w:p w14:paraId="080EBC28">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1人</w:t>
            </w:r>
          </w:p>
        </w:tc>
        <w:tc>
          <w:tcPr>
            <w:tcW w:w="1421" w:type="dxa"/>
            <w:noWrap w:val="0"/>
            <w:vAlign w:val="top"/>
          </w:tcPr>
          <w:p w14:paraId="282A208D">
            <w:pPr>
              <w:rPr>
                <w:rFonts w:hint="eastAsia"/>
                <w:color w:val="000000" w:themeColor="text1"/>
                <w:szCs w:val="22"/>
                <w:highlight w:val="none"/>
                <w:vertAlign w:val="baseline"/>
                <w:lang w:eastAsia="zh-CN"/>
                <w14:textFill>
                  <w14:solidFill>
                    <w14:schemeClr w14:val="tx1"/>
                  </w14:solidFill>
                </w14:textFill>
              </w:rPr>
            </w:pPr>
          </w:p>
          <w:p w14:paraId="47062A5B">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1954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30" w:type="dxa"/>
            <w:noWrap w:val="0"/>
            <w:vAlign w:val="top"/>
          </w:tcPr>
          <w:p w14:paraId="513B0785">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环岛北路</w:t>
            </w:r>
          </w:p>
        </w:tc>
        <w:tc>
          <w:tcPr>
            <w:tcW w:w="1610" w:type="dxa"/>
            <w:noWrap w:val="0"/>
            <w:vAlign w:val="top"/>
          </w:tcPr>
          <w:p w14:paraId="46E6095F">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中海油</w:t>
            </w:r>
            <w:r>
              <w:rPr>
                <w:rFonts w:hint="eastAsia"/>
                <w:color w:val="000000" w:themeColor="text1"/>
                <w:szCs w:val="22"/>
                <w:highlight w:val="none"/>
                <w:vertAlign w:val="baseline"/>
                <w:lang w:val="en-US" w:eastAsia="zh-CN"/>
                <w14:textFill>
                  <w14:solidFill>
                    <w14:schemeClr w14:val="tx1"/>
                  </w14:solidFill>
                </w14:textFill>
              </w:rPr>
              <w:t>9号门-新奥燃气</w:t>
            </w:r>
          </w:p>
        </w:tc>
        <w:tc>
          <w:tcPr>
            <w:tcW w:w="1553" w:type="dxa"/>
            <w:noWrap w:val="0"/>
            <w:vAlign w:val="top"/>
          </w:tcPr>
          <w:p w14:paraId="0E2188A7">
            <w:pPr>
              <w:rPr>
                <w:color w:val="000000" w:themeColor="text1"/>
                <w:szCs w:val="22"/>
                <w:highlight w:val="none"/>
                <w:vertAlign w:val="baseline"/>
                <w14:textFill>
                  <w14:solidFill>
                    <w14:schemeClr w14:val="tx1"/>
                  </w14:solidFill>
                </w14:textFill>
              </w:rPr>
            </w:pPr>
          </w:p>
        </w:tc>
        <w:tc>
          <w:tcPr>
            <w:tcW w:w="1450" w:type="dxa"/>
            <w:noWrap w:val="0"/>
            <w:vAlign w:val="top"/>
          </w:tcPr>
          <w:p w14:paraId="2CD2841B">
            <w:pPr>
              <w:rPr>
                <w:color w:val="000000" w:themeColor="text1"/>
                <w:szCs w:val="22"/>
                <w:highlight w:val="none"/>
                <w:vertAlign w:val="baseline"/>
                <w14:textFill>
                  <w14:solidFill>
                    <w14:schemeClr w14:val="tx1"/>
                  </w14:solidFill>
                </w14:textFill>
              </w:rPr>
            </w:pPr>
          </w:p>
        </w:tc>
        <w:tc>
          <w:tcPr>
            <w:tcW w:w="1258" w:type="dxa"/>
            <w:noWrap w:val="0"/>
            <w:vAlign w:val="top"/>
          </w:tcPr>
          <w:p w14:paraId="264B3184">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c>
          <w:tcPr>
            <w:tcW w:w="1421" w:type="dxa"/>
            <w:noWrap w:val="0"/>
            <w:vAlign w:val="top"/>
          </w:tcPr>
          <w:p w14:paraId="580694BC">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7D14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0" w:type="dxa"/>
            <w:noWrap w:val="0"/>
            <w:vAlign w:val="top"/>
          </w:tcPr>
          <w:p w14:paraId="45935E6D">
            <w:pPr>
              <w:rPr>
                <w:rFonts w:hint="eastAsia" w:eastAsia="宋体"/>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滨海东路</w:t>
            </w:r>
          </w:p>
        </w:tc>
        <w:tc>
          <w:tcPr>
            <w:tcW w:w="1610" w:type="dxa"/>
            <w:noWrap w:val="0"/>
            <w:vAlign w:val="top"/>
          </w:tcPr>
          <w:p w14:paraId="16A52E5E">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碧海蓝湾二期</w:t>
            </w:r>
          </w:p>
        </w:tc>
        <w:tc>
          <w:tcPr>
            <w:tcW w:w="1553" w:type="dxa"/>
            <w:noWrap w:val="0"/>
            <w:vAlign w:val="top"/>
          </w:tcPr>
          <w:p w14:paraId="66BF9EF5">
            <w:pPr>
              <w:rPr>
                <w:color w:val="000000" w:themeColor="text1"/>
                <w:szCs w:val="22"/>
                <w:highlight w:val="none"/>
                <w:vertAlign w:val="baseline"/>
                <w14:textFill>
                  <w14:solidFill>
                    <w14:schemeClr w14:val="tx1"/>
                  </w14:solidFill>
                </w14:textFill>
              </w:rPr>
            </w:pPr>
          </w:p>
        </w:tc>
        <w:tc>
          <w:tcPr>
            <w:tcW w:w="1450" w:type="dxa"/>
            <w:noWrap w:val="0"/>
            <w:vAlign w:val="top"/>
          </w:tcPr>
          <w:p w14:paraId="3C6B21CF">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160立方/小时移动汽油泵1台</w:t>
            </w:r>
          </w:p>
        </w:tc>
        <w:tc>
          <w:tcPr>
            <w:tcW w:w="1258" w:type="dxa"/>
            <w:noWrap w:val="0"/>
            <w:vAlign w:val="top"/>
          </w:tcPr>
          <w:p w14:paraId="49C94B77">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c>
          <w:tcPr>
            <w:tcW w:w="1421" w:type="dxa"/>
            <w:noWrap w:val="0"/>
            <w:vAlign w:val="top"/>
          </w:tcPr>
          <w:p w14:paraId="47CE1331">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730E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0" w:type="dxa"/>
            <w:noWrap w:val="0"/>
            <w:vAlign w:val="top"/>
          </w:tcPr>
          <w:p w14:paraId="7FDF7D3F">
            <w:pPr>
              <w:rPr>
                <w:rFonts w:hint="eastAsia"/>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原油码头</w:t>
            </w:r>
          </w:p>
        </w:tc>
        <w:tc>
          <w:tcPr>
            <w:tcW w:w="1610" w:type="dxa"/>
            <w:noWrap w:val="0"/>
            <w:vAlign w:val="top"/>
          </w:tcPr>
          <w:p w14:paraId="09D8A28E">
            <w:pPr>
              <w:rPr>
                <w:rFonts w:hint="eastAsia"/>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原油码头</w:t>
            </w:r>
          </w:p>
        </w:tc>
        <w:tc>
          <w:tcPr>
            <w:tcW w:w="1553" w:type="dxa"/>
            <w:noWrap w:val="0"/>
            <w:vAlign w:val="top"/>
          </w:tcPr>
          <w:p w14:paraId="159270A6">
            <w:pPr>
              <w:rPr>
                <w:color w:val="000000" w:themeColor="text1"/>
                <w:szCs w:val="22"/>
                <w:highlight w:val="none"/>
                <w:vertAlign w:val="baseline"/>
                <w14:textFill>
                  <w14:solidFill>
                    <w14:schemeClr w14:val="tx1"/>
                  </w14:solidFill>
                </w14:textFill>
              </w:rPr>
            </w:pPr>
          </w:p>
        </w:tc>
        <w:tc>
          <w:tcPr>
            <w:tcW w:w="1450" w:type="dxa"/>
            <w:noWrap w:val="0"/>
            <w:vAlign w:val="top"/>
          </w:tcPr>
          <w:p w14:paraId="4001143D">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160立方/小时移动汽油泵1台</w:t>
            </w:r>
          </w:p>
        </w:tc>
        <w:tc>
          <w:tcPr>
            <w:tcW w:w="1258" w:type="dxa"/>
            <w:noWrap w:val="0"/>
            <w:vAlign w:val="top"/>
          </w:tcPr>
          <w:p w14:paraId="0D0B349B">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c>
          <w:tcPr>
            <w:tcW w:w="1421" w:type="dxa"/>
            <w:noWrap w:val="0"/>
            <w:vAlign w:val="top"/>
          </w:tcPr>
          <w:p w14:paraId="6860B1AE">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值守员</w:t>
            </w:r>
            <w:r>
              <w:rPr>
                <w:rFonts w:hint="eastAsia"/>
                <w:color w:val="000000" w:themeColor="text1"/>
                <w:szCs w:val="22"/>
                <w:highlight w:val="none"/>
                <w:vertAlign w:val="baseline"/>
                <w:lang w:val="en-US" w:eastAsia="zh-CN"/>
                <w14:textFill>
                  <w14:solidFill>
                    <w14:schemeClr w14:val="tx1"/>
                  </w14:solidFill>
                </w14:textFill>
              </w:rPr>
              <w:t>2人</w:t>
            </w:r>
          </w:p>
        </w:tc>
      </w:tr>
      <w:tr w14:paraId="2A6B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0" w:type="dxa"/>
            <w:noWrap w:val="0"/>
            <w:vAlign w:val="top"/>
          </w:tcPr>
          <w:p w14:paraId="6D345B8D">
            <w:pPr>
              <w:rPr>
                <w:rFonts w:hint="eastAsia"/>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榭南巡查</w:t>
            </w:r>
          </w:p>
        </w:tc>
        <w:tc>
          <w:tcPr>
            <w:tcW w:w="1610" w:type="dxa"/>
            <w:noWrap w:val="0"/>
            <w:vAlign w:val="top"/>
          </w:tcPr>
          <w:p w14:paraId="1AF7565C">
            <w:pPr>
              <w:rPr>
                <w:rFonts w:hint="default"/>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val="en-US" w:eastAsia="zh-CN"/>
                <w14:textFill>
                  <w14:solidFill>
                    <w14:schemeClr w14:val="tx1"/>
                  </w14:solidFill>
                </w14:textFill>
              </w:rPr>
              <w:t>7号路-</w:t>
            </w:r>
            <w:r>
              <w:rPr>
                <w:rFonts w:hint="eastAsia"/>
                <w:color w:val="000000" w:themeColor="text1"/>
                <w:szCs w:val="22"/>
                <w:highlight w:val="none"/>
                <w:vertAlign w:val="baseline"/>
                <w:lang w:eastAsia="zh-CN"/>
                <w14:textFill>
                  <w14:solidFill>
                    <w14:schemeClr w14:val="tx1"/>
                  </w14:solidFill>
                </w14:textFill>
              </w:rPr>
              <w:t>南岗隧道</w:t>
            </w:r>
            <w:r>
              <w:rPr>
                <w:rFonts w:hint="eastAsia"/>
                <w:color w:val="000000" w:themeColor="text1"/>
                <w:szCs w:val="22"/>
                <w:highlight w:val="none"/>
                <w:vertAlign w:val="baseline"/>
                <w:lang w:val="en-US" w:eastAsia="zh-CN"/>
                <w14:textFill>
                  <w14:solidFill>
                    <w14:schemeClr w14:val="tx1"/>
                  </w14:solidFill>
                </w14:textFill>
              </w:rPr>
              <w:t>-孚竹村</w:t>
            </w:r>
          </w:p>
        </w:tc>
        <w:tc>
          <w:tcPr>
            <w:tcW w:w="1553" w:type="dxa"/>
            <w:noWrap w:val="0"/>
            <w:vAlign w:val="top"/>
          </w:tcPr>
          <w:p w14:paraId="2845E784">
            <w:pPr>
              <w:rPr>
                <w:color w:val="000000" w:themeColor="text1"/>
                <w:szCs w:val="22"/>
                <w:highlight w:val="none"/>
                <w:vertAlign w:val="baseline"/>
                <w14:textFill>
                  <w14:solidFill>
                    <w14:schemeClr w14:val="tx1"/>
                  </w14:solidFill>
                </w14:textFill>
              </w:rPr>
            </w:pPr>
          </w:p>
        </w:tc>
        <w:tc>
          <w:tcPr>
            <w:tcW w:w="1450" w:type="dxa"/>
            <w:noWrap w:val="0"/>
            <w:vAlign w:val="top"/>
          </w:tcPr>
          <w:p w14:paraId="6BD6DF47">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80立方/小时移动汽油泵1台</w:t>
            </w:r>
          </w:p>
        </w:tc>
        <w:tc>
          <w:tcPr>
            <w:tcW w:w="1258" w:type="dxa"/>
            <w:noWrap w:val="0"/>
            <w:vAlign w:val="top"/>
          </w:tcPr>
          <w:p w14:paraId="016F29C5">
            <w:pPr>
              <w:rPr>
                <w:color w:val="000000" w:themeColor="text1"/>
                <w:szCs w:val="22"/>
                <w:highlight w:val="none"/>
                <w:vertAlign w:val="baseline"/>
                <w14:textFill>
                  <w14:solidFill>
                    <w14:schemeClr w14:val="tx1"/>
                  </w14:solidFill>
                </w14:textFill>
              </w:rPr>
            </w:pPr>
          </w:p>
        </w:tc>
        <w:tc>
          <w:tcPr>
            <w:tcW w:w="1421" w:type="dxa"/>
            <w:noWrap w:val="0"/>
            <w:vAlign w:val="top"/>
          </w:tcPr>
          <w:p w14:paraId="03D557CD">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巡查员</w:t>
            </w:r>
            <w:r>
              <w:rPr>
                <w:rFonts w:hint="eastAsia"/>
                <w:color w:val="000000" w:themeColor="text1"/>
                <w:szCs w:val="22"/>
                <w:highlight w:val="none"/>
                <w:vertAlign w:val="baseline"/>
                <w:lang w:val="en-US" w:eastAsia="zh-CN"/>
                <w14:textFill>
                  <w14:solidFill>
                    <w14:schemeClr w14:val="tx1"/>
                  </w14:solidFill>
                </w14:textFill>
              </w:rPr>
              <w:t>3人（应急排水及杂物清理）</w:t>
            </w:r>
          </w:p>
        </w:tc>
      </w:tr>
      <w:tr w14:paraId="3D7B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0" w:type="dxa"/>
            <w:noWrap w:val="0"/>
            <w:vAlign w:val="top"/>
          </w:tcPr>
          <w:p w14:paraId="1AD298DD">
            <w:pPr>
              <w:rPr>
                <w:rFonts w:hint="eastAsia"/>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榭北巡查</w:t>
            </w:r>
          </w:p>
        </w:tc>
        <w:tc>
          <w:tcPr>
            <w:tcW w:w="1610" w:type="dxa"/>
            <w:noWrap w:val="0"/>
            <w:vAlign w:val="top"/>
          </w:tcPr>
          <w:p w14:paraId="340C4DFE">
            <w:pPr>
              <w:rPr>
                <w:rFonts w:hint="default"/>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val="en-US" w:eastAsia="zh-CN"/>
                <w14:textFill>
                  <w14:solidFill>
                    <w14:schemeClr w14:val="tx1"/>
                  </w14:solidFill>
                </w14:textFill>
              </w:rPr>
              <w:t>7号路-榭西-孚竹村</w:t>
            </w:r>
          </w:p>
        </w:tc>
        <w:tc>
          <w:tcPr>
            <w:tcW w:w="1553" w:type="dxa"/>
            <w:noWrap w:val="0"/>
            <w:vAlign w:val="top"/>
          </w:tcPr>
          <w:p w14:paraId="48C9BA6D">
            <w:pPr>
              <w:rPr>
                <w:color w:val="000000" w:themeColor="text1"/>
                <w:szCs w:val="22"/>
                <w:highlight w:val="none"/>
                <w:vertAlign w:val="baseline"/>
                <w14:textFill>
                  <w14:solidFill>
                    <w14:schemeClr w14:val="tx1"/>
                  </w14:solidFill>
                </w14:textFill>
              </w:rPr>
            </w:pPr>
          </w:p>
        </w:tc>
        <w:tc>
          <w:tcPr>
            <w:tcW w:w="1450" w:type="dxa"/>
            <w:noWrap w:val="0"/>
            <w:vAlign w:val="top"/>
          </w:tcPr>
          <w:p w14:paraId="37066A03">
            <w:pPr>
              <w:rPr>
                <w:color w:val="000000" w:themeColor="text1"/>
                <w:szCs w:val="22"/>
                <w:highlight w:val="none"/>
                <w:vertAlign w:val="baseline"/>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80立方/小时移动汽油泵1台</w:t>
            </w:r>
          </w:p>
        </w:tc>
        <w:tc>
          <w:tcPr>
            <w:tcW w:w="1258" w:type="dxa"/>
            <w:noWrap w:val="0"/>
            <w:vAlign w:val="top"/>
          </w:tcPr>
          <w:p w14:paraId="487E421B">
            <w:pPr>
              <w:rPr>
                <w:color w:val="000000" w:themeColor="text1"/>
                <w:szCs w:val="22"/>
                <w:highlight w:val="none"/>
                <w:vertAlign w:val="baseline"/>
                <w14:textFill>
                  <w14:solidFill>
                    <w14:schemeClr w14:val="tx1"/>
                  </w14:solidFill>
                </w14:textFill>
              </w:rPr>
            </w:pPr>
          </w:p>
        </w:tc>
        <w:tc>
          <w:tcPr>
            <w:tcW w:w="1421" w:type="dxa"/>
            <w:noWrap w:val="0"/>
            <w:vAlign w:val="top"/>
          </w:tcPr>
          <w:p w14:paraId="23DB8FF1">
            <w:pPr>
              <w:rPr>
                <w:color w:val="000000" w:themeColor="text1"/>
                <w:szCs w:val="22"/>
                <w:highlight w:val="none"/>
                <w:vertAlign w:val="baseline"/>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巡查员</w:t>
            </w:r>
            <w:r>
              <w:rPr>
                <w:rFonts w:hint="eastAsia"/>
                <w:color w:val="000000" w:themeColor="text1"/>
                <w:szCs w:val="22"/>
                <w:highlight w:val="none"/>
                <w:vertAlign w:val="baseline"/>
                <w:lang w:val="en-US" w:eastAsia="zh-CN"/>
                <w14:textFill>
                  <w14:solidFill>
                    <w14:schemeClr w14:val="tx1"/>
                  </w14:solidFill>
                </w14:textFill>
              </w:rPr>
              <w:t>3人（应急排水及杂物清理）</w:t>
            </w:r>
          </w:p>
        </w:tc>
      </w:tr>
      <w:tr w14:paraId="0D24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30" w:type="dxa"/>
            <w:noWrap w:val="0"/>
            <w:vAlign w:val="top"/>
          </w:tcPr>
          <w:p w14:paraId="18CDDB6E">
            <w:pPr>
              <w:rPr>
                <w:rFonts w:hint="eastAsia"/>
                <w:color w:val="000000" w:themeColor="text1"/>
                <w:szCs w:val="22"/>
                <w:highlight w:val="none"/>
                <w:vertAlign w:val="baseline"/>
                <w:lang w:eastAsia="zh-CN"/>
                <w14:textFill>
                  <w14:solidFill>
                    <w14:schemeClr w14:val="tx1"/>
                  </w14:solidFill>
                </w14:textFill>
              </w:rPr>
            </w:pPr>
          </w:p>
          <w:p w14:paraId="6E81ADA9">
            <w:pPr>
              <w:ind w:firstLine="210" w:firstLineChars="100"/>
              <w:rPr>
                <w:rFonts w:hint="eastAsia"/>
                <w:color w:val="000000" w:themeColor="text1"/>
                <w:szCs w:val="22"/>
                <w:highlight w:val="none"/>
                <w:vertAlign w:val="baseline"/>
                <w:lang w:eastAsia="zh-CN"/>
                <w14:textFill>
                  <w14:solidFill>
                    <w14:schemeClr w14:val="tx1"/>
                  </w14:solidFill>
                </w14:textFill>
              </w:rPr>
            </w:pPr>
            <w:r>
              <w:rPr>
                <w:rFonts w:hint="eastAsia"/>
                <w:color w:val="000000" w:themeColor="text1"/>
                <w:szCs w:val="22"/>
                <w:highlight w:val="none"/>
                <w:vertAlign w:val="baseline"/>
                <w:lang w:eastAsia="zh-CN"/>
                <w14:textFill>
                  <w14:solidFill>
                    <w14:schemeClr w14:val="tx1"/>
                  </w14:solidFill>
                </w14:textFill>
              </w:rPr>
              <w:t>合计</w:t>
            </w:r>
          </w:p>
        </w:tc>
        <w:tc>
          <w:tcPr>
            <w:tcW w:w="1610" w:type="dxa"/>
            <w:noWrap w:val="0"/>
            <w:vAlign w:val="top"/>
          </w:tcPr>
          <w:p w14:paraId="1210C8A3">
            <w:pPr>
              <w:rPr>
                <w:rFonts w:hint="eastAsia"/>
                <w:color w:val="000000" w:themeColor="text1"/>
                <w:szCs w:val="22"/>
                <w:highlight w:val="none"/>
                <w:vertAlign w:val="baseline"/>
                <w:lang w:val="en-US" w:eastAsia="zh-CN"/>
                <w14:textFill>
                  <w14:solidFill>
                    <w14:schemeClr w14:val="tx1"/>
                  </w14:solidFill>
                </w14:textFill>
              </w:rPr>
            </w:pPr>
          </w:p>
        </w:tc>
        <w:tc>
          <w:tcPr>
            <w:tcW w:w="1553" w:type="dxa"/>
            <w:noWrap w:val="0"/>
            <w:vAlign w:val="top"/>
          </w:tcPr>
          <w:p w14:paraId="08A0CCD3">
            <w:pPr>
              <w:rPr>
                <w:color w:val="000000" w:themeColor="text1"/>
                <w:szCs w:val="22"/>
                <w:highlight w:val="none"/>
                <w:vertAlign w:val="baseline"/>
                <w14:textFill>
                  <w14:solidFill>
                    <w14:schemeClr w14:val="tx1"/>
                  </w14:solidFill>
                </w14:textFill>
              </w:rPr>
            </w:pPr>
          </w:p>
        </w:tc>
        <w:tc>
          <w:tcPr>
            <w:tcW w:w="1450" w:type="dxa"/>
            <w:noWrap w:val="0"/>
            <w:vAlign w:val="top"/>
          </w:tcPr>
          <w:p w14:paraId="590D33F9">
            <w:pPr>
              <w:rPr>
                <w:rFonts w:hint="default"/>
                <w:color w:val="000000" w:themeColor="text1"/>
                <w:sz w:val="18"/>
                <w:szCs w:val="18"/>
                <w:highlight w:val="none"/>
                <w:vertAlign w:val="baseline"/>
                <w:lang w:val="en-US" w:eastAsia="zh-CN"/>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160立方/小时3台，80立方/小时2台</w:t>
            </w:r>
          </w:p>
        </w:tc>
        <w:tc>
          <w:tcPr>
            <w:tcW w:w="1258" w:type="dxa"/>
            <w:noWrap w:val="0"/>
            <w:vAlign w:val="top"/>
          </w:tcPr>
          <w:p w14:paraId="67CC58E9">
            <w:pPr>
              <w:rPr>
                <w:rFonts w:hint="eastAsia"/>
                <w:color w:val="000000" w:themeColor="text1"/>
                <w:szCs w:val="22"/>
                <w:highlight w:val="none"/>
                <w:vertAlign w:val="baseline"/>
                <w:lang w:val="en-US" w:eastAsia="zh-CN"/>
                <w14:textFill>
                  <w14:solidFill>
                    <w14:schemeClr w14:val="tx1"/>
                  </w14:solidFill>
                </w14:textFill>
              </w:rPr>
            </w:pPr>
          </w:p>
          <w:p w14:paraId="082370EE">
            <w:pPr>
              <w:rPr>
                <w:rFonts w:hint="default" w:eastAsia="宋体"/>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val="en-US" w:eastAsia="zh-CN"/>
                <w14:textFill>
                  <w14:solidFill>
                    <w14:schemeClr w14:val="tx1"/>
                  </w14:solidFill>
                </w14:textFill>
              </w:rPr>
              <w:t>12人</w:t>
            </w:r>
          </w:p>
        </w:tc>
        <w:tc>
          <w:tcPr>
            <w:tcW w:w="1421" w:type="dxa"/>
            <w:noWrap w:val="0"/>
            <w:vAlign w:val="top"/>
          </w:tcPr>
          <w:p w14:paraId="3D15D8F8">
            <w:pPr>
              <w:rPr>
                <w:rFonts w:hint="eastAsia"/>
                <w:color w:val="000000" w:themeColor="text1"/>
                <w:szCs w:val="22"/>
                <w:highlight w:val="none"/>
                <w:vertAlign w:val="baseline"/>
                <w:lang w:val="en-US" w:eastAsia="zh-CN"/>
                <w14:textFill>
                  <w14:solidFill>
                    <w14:schemeClr w14:val="tx1"/>
                  </w14:solidFill>
                </w14:textFill>
              </w:rPr>
            </w:pPr>
          </w:p>
          <w:p w14:paraId="42C84AB0">
            <w:pPr>
              <w:rPr>
                <w:rFonts w:hint="default"/>
                <w:color w:val="000000" w:themeColor="text1"/>
                <w:szCs w:val="22"/>
                <w:highlight w:val="none"/>
                <w:vertAlign w:val="baseline"/>
                <w:lang w:val="en-US" w:eastAsia="zh-CN"/>
                <w14:textFill>
                  <w14:solidFill>
                    <w14:schemeClr w14:val="tx1"/>
                  </w14:solidFill>
                </w14:textFill>
              </w:rPr>
            </w:pPr>
            <w:r>
              <w:rPr>
                <w:rFonts w:hint="eastAsia"/>
                <w:color w:val="000000" w:themeColor="text1"/>
                <w:szCs w:val="22"/>
                <w:highlight w:val="none"/>
                <w:vertAlign w:val="baseline"/>
                <w:lang w:val="en-US" w:eastAsia="zh-CN"/>
                <w14:textFill>
                  <w14:solidFill>
                    <w14:schemeClr w14:val="tx1"/>
                  </w14:solidFill>
                </w14:textFill>
              </w:rPr>
              <w:t>27人</w:t>
            </w:r>
          </w:p>
        </w:tc>
      </w:tr>
      <w:tr w14:paraId="7A45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8522" w:type="dxa"/>
            <w:gridSpan w:val="6"/>
            <w:noWrap w:val="0"/>
            <w:vAlign w:val="top"/>
          </w:tcPr>
          <w:p w14:paraId="1F74BF5E">
            <w:pPr>
              <w:rPr>
                <w:rFonts w:hint="default"/>
                <w:color w:val="000000" w:themeColor="text1"/>
                <w:szCs w:val="22"/>
                <w:highlight w:val="none"/>
                <w:vertAlign w:val="baseline"/>
                <w:lang w:val="en-US" w:eastAsia="zh-CN"/>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剩余1台160立方/小时排水泵及80立方/小时排水泵50立方/小时作为应急备用。具体以采购人指令为准，防台防汛小组人员配备水泵的，相关人员必须能熟练操作水泵。</w:t>
            </w:r>
          </w:p>
        </w:tc>
      </w:tr>
    </w:tbl>
    <w:p w14:paraId="6CAA8AE1">
      <w:pPr>
        <w:spacing w:line="360" w:lineRule="auto"/>
        <w:ind w:firstLine="399" w:firstLineChars="19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⑤加大排水设施巡查。全面排查排水设施，引起路面积水，应在1小时内到达现场进行处理。排查期间，做好交通组织和文明施工，确保道路交通安全畅通。密切监控相关结构设施、排水设施，确保设施安全运行。</w:t>
      </w:r>
    </w:p>
    <w:p w14:paraId="2E67E796">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⑥加大宣传和协调工作。应向社会、市民公布暴雨积水点举报电话，信息畅通。</w:t>
      </w:r>
    </w:p>
    <w:p w14:paraId="41343E97">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b</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接到井盖缺失通知后</w:t>
      </w:r>
      <w:r>
        <w:rPr>
          <w:rFonts w:ascii="宋体" w:hAnsi="宋体"/>
          <w:color w:val="000000" w:themeColor="text1"/>
          <w:szCs w:val="21"/>
          <w:highlight w:val="none"/>
          <w14:textFill>
            <w14:solidFill>
              <w14:schemeClr w14:val="tx1"/>
            </w14:solidFill>
          </w14:textFill>
        </w:rPr>
        <w:t>0.5</w:t>
      </w:r>
      <w:r>
        <w:rPr>
          <w:rFonts w:hint="eastAsia" w:ascii="宋体" w:hAnsi="宋体"/>
          <w:color w:val="000000" w:themeColor="text1"/>
          <w:szCs w:val="21"/>
          <w:highlight w:val="none"/>
          <w14:textFill>
            <w14:solidFill>
              <w14:schemeClr w14:val="tx1"/>
            </w14:solidFill>
          </w14:textFill>
        </w:rPr>
        <w:t>小时内到达现场进行处理，更换或者设立明显标志。</w:t>
      </w:r>
    </w:p>
    <w:p w14:paraId="22BB8682">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c</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认真落实社会投诉工作，建立24小时值班制度，落实解决各类投诉问题，</w:t>
      </w:r>
    </w:p>
    <w:p w14:paraId="4C684648">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d</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不发生有责媒体报道事件，不发生重大有责新闻曝光。</w:t>
      </w:r>
    </w:p>
    <w:p w14:paraId="3C424128">
      <w:pPr>
        <w:spacing w:line="360" w:lineRule="auto"/>
        <w:ind w:left="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e</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认真完成领导或相关部门的指令性、突击性任务。</w:t>
      </w:r>
    </w:p>
    <w:p w14:paraId="49E5D395">
      <w:pPr>
        <w:widowControl/>
        <w:numPr>
          <w:ilvl w:val="0"/>
          <w:numId w:val="10"/>
        </w:numPr>
        <w:spacing w:line="360" w:lineRule="auto"/>
        <w:rPr>
          <w:rFonts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其它：</w:t>
      </w:r>
    </w:p>
    <w:p w14:paraId="5A607257">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a</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安全作业、应急处置、文明施工管理</w:t>
      </w:r>
    </w:p>
    <w:p w14:paraId="5C3D567E">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①应认真贯彻“安全第一、预防为主”的方针，自觉遵守，严格执行国家有关劳动保护与安全生产的法律法规。建立安全管理体系，完善各项安全管理制度，落实各级安全责任制，做好日常管理工作，杜绝各类事故。</w:t>
      </w:r>
    </w:p>
    <w:p w14:paraId="45942A64">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②应建立应急防灾组织体系，建立防灾机制，落实管理责任，做好突发性事故的应急处置预案，组成与灾害防治、处置工作相适应的抢险组织联络网，积极、妥善处理突发应急事件。</w:t>
      </w:r>
    </w:p>
    <w:p w14:paraId="2A99C345">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③应注重文明施工与环境保护，根据养护作业实际情况，制定文明施工与环境保护具体措施，最大限度地减少对附近区域市容环卫和交通运行影响。</w:t>
      </w:r>
    </w:p>
    <w:p w14:paraId="627D386B">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④相关的养护维修操作应由接受过专业技术培训，持有工岗位资格证书的人员进行，并配备与维护作业相应的安全防护设备和用品。</w:t>
      </w:r>
    </w:p>
    <w:p w14:paraId="3FF0176A">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⑤每年应有组织、有计划地对管道养护工进行安全生产和专业技术培训，要求：每年必须有一定比例人数培训，并建立培训档案；每月至少召开一次全体养护人员参加的安全生产会议，并有相应的台帐记录。</w:t>
      </w:r>
    </w:p>
    <w:p w14:paraId="5DCB986B">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⑥养护作业人员应按规定统一着装，在道路上从事养护作业时，必须穿戴配有反光标志的安全警示服并正确佩戴和使用劳动防护用品。</w:t>
      </w:r>
      <w:r>
        <w:rPr>
          <w:rFonts w:hint="eastAsia" w:ascii="宋体" w:hAnsi="宋体" w:cs="宋体"/>
          <w:color w:val="000000" w:themeColor="text1"/>
          <w:szCs w:val="21"/>
          <w:highlight w:val="none"/>
          <w14:textFill>
            <w14:solidFill>
              <w14:schemeClr w14:val="tx1"/>
            </w14:solidFill>
          </w14:textFill>
        </w:rPr>
        <w:t>各种安全防护装备须达到国家标准。</w:t>
      </w:r>
    </w:p>
    <w:p w14:paraId="29FA5871">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⑦养护人员对养护部位</w:t>
      </w:r>
      <w:r>
        <w:rPr>
          <w:rFonts w:ascii="宋体" w:hAnsi="宋体"/>
          <w:color w:val="000000" w:themeColor="text1"/>
          <w:szCs w:val="21"/>
          <w:highlight w:val="none"/>
          <w14:textFill>
            <w14:solidFill>
              <w14:schemeClr w14:val="tx1"/>
            </w14:solidFill>
          </w14:textFill>
        </w:rPr>
        <w:t>进行工作</w:t>
      </w:r>
      <w:r>
        <w:rPr>
          <w:rFonts w:hint="eastAsia" w:ascii="宋体" w:hAnsi="宋体"/>
          <w:color w:val="000000" w:themeColor="text1"/>
          <w:szCs w:val="21"/>
          <w:highlight w:val="none"/>
          <w14:textFill>
            <w14:solidFill>
              <w14:schemeClr w14:val="tx1"/>
            </w14:solidFill>
          </w14:textFill>
        </w:rPr>
        <w:t>时，应对</w:t>
      </w:r>
      <w:r>
        <w:rPr>
          <w:rFonts w:ascii="宋体" w:hAnsi="宋体"/>
          <w:color w:val="000000" w:themeColor="text1"/>
          <w:szCs w:val="21"/>
          <w:highlight w:val="none"/>
          <w14:textFill>
            <w14:solidFill>
              <w14:schemeClr w14:val="tx1"/>
            </w14:solidFill>
          </w14:textFill>
        </w:rPr>
        <w:t>周边</w:t>
      </w:r>
      <w:r>
        <w:rPr>
          <w:rFonts w:hint="eastAsia" w:ascii="宋体" w:hAnsi="宋体"/>
          <w:color w:val="000000" w:themeColor="text1"/>
          <w:szCs w:val="21"/>
          <w:highlight w:val="none"/>
          <w14:textFill>
            <w14:solidFill>
              <w14:schemeClr w14:val="tx1"/>
            </w14:solidFill>
          </w14:textFill>
        </w:rPr>
        <w:t>及</w:t>
      </w:r>
      <w:r>
        <w:rPr>
          <w:rFonts w:ascii="宋体" w:hAnsi="宋体"/>
          <w:color w:val="000000" w:themeColor="text1"/>
          <w:szCs w:val="21"/>
          <w:highlight w:val="none"/>
          <w14:textFill>
            <w14:solidFill>
              <w14:schemeClr w14:val="tx1"/>
            </w14:solidFill>
          </w14:textFill>
        </w:rPr>
        <w:t>养护部位进行检查</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以防意外发生。</w:t>
      </w:r>
    </w:p>
    <w:p w14:paraId="6134C13D">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⑧在养护维修操作前，专职安全管理人员须编制书面安全操作方案，并对排水管道养护工进行安全技术交底。</w:t>
      </w:r>
    </w:p>
    <w:p w14:paraId="2F32CD05">
      <w:pPr>
        <w:spacing w:line="360" w:lineRule="auto"/>
        <w:ind w:left="403"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⑨养护维修单位必须配备相应的安全检测设备。</w:t>
      </w:r>
    </w:p>
    <w:p w14:paraId="6361D9CA">
      <w:pPr>
        <w:spacing w:line="360" w:lineRule="auto"/>
        <w:ind w:left="403"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⑩维护作业区域应采取设置安全警示标志或警示护栏等防护措施；在区域的交通主干道作业时，应指派专人维护现场秩序；夜间作业时，应在作业区域周边明显处设置警示灯；作业完毕，应及时清除障碍物。</w:t>
      </w:r>
    </w:p>
    <w:p w14:paraId="575C051A">
      <w:pPr>
        <w:spacing w:line="360" w:lineRule="auto"/>
        <w:ind w:left="403" w:firstLine="422" w:firstLineChars="200"/>
        <w:outlineLvl w:val="1"/>
        <w:rPr>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b</w:t>
      </w:r>
      <w:r>
        <w:rPr>
          <w:rFonts w:ascii="宋体" w:hAnsi="宋体"/>
          <w:b/>
          <w:bCs/>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中标供应商</w:t>
      </w:r>
      <w:r>
        <w:rPr>
          <w:color w:val="000000" w:themeColor="text1"/>
          <w:highlight w:val="none"/>
          <w14:textFill>
            <w14:solidFill>
              <w14:schemeClr w14:val="tx1"/>
            </w14:solidFill>
          </w14:textFill>
        </w:rPr>
        <w:t>必须为全体作业员工购买社保</w:t>
      </w:r>
      <w:r>
        <w:rPr>
          <w:rFonts w:hint="eastAsia"/>
          <w:color w:val="000000" w:themeColor="text1"/>
          <w:highlight w:val="none"/>
          <w14:textFill>
            <w14:solidFill>
              <w14:schemeClr w14:val="tx1"/>
            </w14:solidFill>
          </w14:textFill>
        </w:rPr>
        <w:t>及人身意外险</w:t>
      </w:r>
      <w:r>
        <w:rPr>
          <w:color w:val="000000" w:themeColor="text1"/>
          <w:highlight w:val="none"/>
          <w14:textFill>
            <w14:solidFill>
              <w14:schemeClr w14:val="tx1"/>
            </w14:solidFill>
          </w14:textFill>
        </w:rPr>
        <w:t>，必须重视安全生产工作，确保全年不出安全生产责任事故。</w:t>
      </w:r>
      <w:r>
        <w:rPr>
          <w:rFonts w:hint="eastAsia"/>
          <w:color w:val="000000" w:themeColor="text1"/>
          <w:highlight w:val="none"/>
          <w14:textFill>
            <w14:solidFill>
              <w14:schemeClr w14:val="tx1"/>
            </w14:solidFill>
          </w14:textFill>
        </w:rPr>
        <w:t>在养护过程中</w:t>
      </w:r>
      <w:r>
        <w:rPr>
          <w:color w:val="000000" w:themeColor="text1"/>
          <w:highlight w:val="none"/>
          <w14:textFill>
            <w14:solidFill>
              <w14:schemeClr w14:val="tx1"/>
            </w14:solidFill>
          </w14:textFill>
        </w:rPr>
        <w:t>如发生</w:t>
      </w:r>
      <w:r>
        <w:rPr>
          <w:rFonts w:hint="eastAsia"/>
          <w:color w:val="000000" w:themeColor="text1"/>
          <w:highlight w:val="none"/>
          <w14:textFill>
            <w14:solidFill>
              <w14:schemeClr w14:val="tx1"/>
            </w14:solidFill>
          </w14:textFill>
        </w:rPr>
        <w:t>人员（包括不仅限于作业人员、行人等）伤亡的</w:t>
      </w:r>
      <w:r>
        <w:rPr>
          <w:color w:val="000000" w:themeColor="text1"/>
          <w:highlight w:val="none"/>
          <w14:textFill>
            <w14:solidFill>
              <w14:schemeClr w14:val="tx1"/>
            </w14:solidFill>
          </w14:textFill>
        </w:rPr>
        <w:t>安全生产责任事故或交通事故，由</w:t>
      </w:r>
      <w:r>
        <w:rPr>
          <w:rFonts w:hint="eastAsia"/>
          <w:color w:val="000000" w:themeColor="text1"/>
          <w:highlight w:val="none"/>
          <w14:textFill>
            <w14:solidFill>
              <w14:schemeClr w14:val="tx1"/>
            </w14:solidFill>
          </w14:textFill>
        </w:rPr>
        <w:t>中标供应商</w:t>
      </w:r>
      <w:r>
        <w:rPr>
          <w:color w:val="000000" w:themeColor="text1"/>
          <w:highlight w:val="none"/>
          <w14:textFill>
            <w14:solidFill>
              <w14:schemeClr w14:val="tx1"/>
            </w14:solidFill>
          </w14:textFill>
        </w:rPr>
        <w:t>承担一切责任及损失</w:t>
      </w:r>
      <w:r>
        <w:rPr>
          <w:rFonts w:hint="eastAsia"/>
          <w:color w:val="000000" w:themeColor="text1"/>
          <w:highlight w:val="none"/>
          <w14:textFill>
            <w14:solidFill>
              <w14:schemeClr w14:val="tx1"/>
            </w14:solidFill>
          </w14:textFill>
        </w:rPr>
        <w:t>，采购人有权终止合同</w:t>
      </w:r>
      <w:r>
        <w:rPr>
          <w:color w:val="000000" w:themeColor="text1"/>
          <w:highlight w:val="none"/>
          <w14:textFill>
            <w14:solidFill>
              <w14:schemeClr w14:val="tx1"/>
            </w14:solidFill>
          </w14:textFill>
        </w:rPr>
        <w:t>。</w:t>
      </w:r>
    </w:p>
    <w:p w14:paraId="4983BD6F">
      <w:pPr>
        <w:spacing w:line="360" w:lineRule="auto"/>
        <w:ind w:left="403" w:firstLine="422" w:firstLineChars="200"/>
        <w:outlineLvl w:val="1"/>
        <w:rPr>
          <w:rFonts w:hint="eastAsia" w:ascii="Arial" w:hAnsi="Arial" w:cs="Arial"/>
          <w:bCs/>
          <w:color w:val="000000" w:themeColor="text1"/>
          <w:szCs w:val="21"/>
          <w:highlight w:val="none"/>
          <w14:textFill>
            <w14:solidFill>
              <w14:schemeClr w14:val="tx1"/>
            </w14:solidFill>
          </w14:textFill>
        </w:rPr>
      </w:pPr>
      <w:r>
        <w:rPr>
          <w:rFonts w:ascii="宋体" w:hAnsi="宋体" w:cs="Arial"/>
          <w:b/>
          <w:color w:val="000000" w:themeColor="text1"/>
          <w:szCs w:val="21"/>
          <w:highlight w:val="none"/>
          <w14:textFill>
            <w14:solidFill>
              <w14:schemeClr w14:val="tx1"/>
            </w14:solidFill>
          </w14:textFill>
        </w:rPr>
        <w:t>c.</w:t>
      </w:r>
      <w:r>
        <w:rPr>
          <w:rFonts w:hint="eastAsia" w:ascii="Arial" w:hAnsi="Arial" w:cs="Arial"/>
          <w:bCs/>
          <w:color w:val="000000" w:themeColor="text1"/>
          <w:szCs w:val="21"/>
          <w:highlight w:val="none"/>
          <w14:textFill>
            <w14:solidFill>
              <w14:schemeClr w14:val="tx1"/>
            </w14:solidFill>
          </w14:textFill>
        </w:rPr>
        <w:t>做好城管案件、市民信访案件中的设施维修等现场处理工作。处置率达到100%，及时处理率达到100%，收到城管案件信息后，在12小时内完成案件派发，紧急案件2小时内完成案件派发工作。</w:t>
      </w:r>
    </w:p>
    <w:p w14:paraId="64BB6D25">
      <w:pPr>
        <w:widowControl/>
        <w:numPr>
          <w:ilvl w:val="0"/>
          <w:numId w:val="5"/>
        </w:numPr>
        <w:autoSpaceDE w:val="0"/>
        <w:autoSpaceDN w:val="0"/>
        <w:spacing w:line="360" w:lineRule="auto"/>
        <w:ind w:left="20" w:leftChars="0" w:firstLineChars="0"/>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保修责任</w:t>
      </w:r>
    </w:p>
    <w:p w14:paraId="0856F43D">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沥青坑槽修补（面积≤5m</w:t>
      </w:r>
      <w:r>
        <w:rPr>
          <w:rFonts w:hint="eastAsia" w:ascii="Arial" w:hAnsi="Arial" w:cs="Arial"/>
          <w:bCs/>
          <w:color w:val="000000" w:themeColor="text1"/>
          <w:szCs w:val="21"/>
          <w:highlight w:val="none"/>
          <w:vertAlign w:val="superscript"/>
          <w14:textFill>
            <w14:solidFill>
              <w14:schemeClr w14:val="tx1"/>
            </w14:solidFill>
          </w14:textFill>
        </w:rPr>
        <w:t>2</w:t>
      </w:r>
      <w:r>
        <w:rPr>
          <w:rFonts w:hint="eastAsia" w:ascii="Arial" w:hAnsi="Arial" w:cs="Arial"/>
          <w:bCs/>
          <w:color w:val="000000" w:themeColor="text1"/>
          <w:szCs w:val="21"/>
          <w:highlight w:val="none"/>
          <w14:textFill>
            <w14:solidFill>
              <w14:schemeClr w14:val="tx1"/>
            </w14:solidFill>
          </w14:textFill>
        </w:rPr>
        <w:t>）的保修期为6个月，人行道维修、沥青路面摊铺及其它维修保修期为12个月。</w:t>
      </w:r>
    </w:p>
    <w:p w14:paraId="4AFCAD5C">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保修期内针对相同破损位置的重复修复不计入结算金额。修补沥青坑槽时，因天气等特殊因素影响造成养护单位无法按相关标准进行修复的，允许养护单位用冷材料直接填补以作应急处理，但应在天气好转后48小时内完成二次修复工作。在春节、专项检查等沥青厂统一停工期间，允许采用冷材料切割修补。气温低于10℃时，应使用保温车等设备进行坑槽热料修补。</w:t>
      </w:r>
    </w:p>
    <w:p w14:paraId="35D798D2">
      <w:pPr>
        <w:widowControl/>
        <w:numPr>
          <w:ilvl w:val="0"/>
          <w:numId w:val="5"/>
        </w:numPr>
        <w:autoSpaceDE w:val="0"/>
        <w:autoSpaceDN w:val="0"/>
        <w:spacing w:line="360" w:lineRule="auto"/>
        <w:ind w:left="20" w:leftChars="0" w:firstLineChars="0"/>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违约罚则</w:t>
      </w:r>
    </w:p>
    <w:p w14:paraId="65990BE8">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养护单位未履行工作过程中“定人”原则，未经采购人同意更换项目经理每次处人民币20000元的违约金；</w:t>
      </w:r>
      <w:r>
        <w:rPr>
          <w:rFonts w:ascii="Arial" w:hAnsi="Arial" w:cs="Arial"/>
          <w:bCs/>
          <w:color w:val="000000" w:themeColor="text1"/>
          <w:szCs w:val="21"/>
          <w:highlight w:val="none"/>
          <w14:textFill>
            <w14:solidFill>
              <w14:schemeClr w14:val="tx1"/>
            </w14:solidFill>
          </w14:textFill>
        </w:rPr>
        <w:t>专项养护和较大养护作业</w:t>
      </w:r>
      <w:r>
        <w:rPr>
          <w:rFonts w:hint="eastAsia" w:ascii="Arial" w:hAnsi="Arial" w:cs="Arial"/>
          <w:bCs/>
          <w:color w:val="000000" w:themeColor="text1"/>
          <w:szCs w:val="21"/>
          <w:highlight w:val="none"/>
          <w14:textFill>
            <w14:solidFill>
              <w14:schemeClr w14:val="tx1"/>
            </w14:solidFill>
          </w14:textFill>
        </w:rPr>
        <w:t>项目经理</w:t>
      </w:r>
      <w:r>
        <w:rPr>
          <w:rFonts w:ascii="Arial" w:hAnsi="Arial" w:cs="Arial"/>
          <w:bCs/>
          <w:color w:val="000000" w:themeColor="text1"/>
          <w:szCs w:val="21"/>
          <w:highlight w:val="none"/>
          <w14:textFill>
            <w14:solidFill>
              <w14:schemeClr w14:val="tx1"/>
            </w14:solidFill>
          </w14:textFill>
        </w:rPr>
        <w:t>和施工员</w:t>
      </w:r>
      <w:r>
        <w:rPr>
          <w:rFonts w:hint="eastAsia" w:ascii="Arial" w:hAnsi="Arial" w:cs="Arial"/>
          <w:bCs/>
          <w:color w:val="000000" w:themeColor="text1"/>
          <w:szCs w:val="21"/>
          <w:highlight w:val="none"/>
          <w14:textFill>
            <w14:solidFill>
              <w14:schemeClr w14:val="tx1"/>
            </w14:solidFill>
          </w14:textFill>
        </w:rPr>
        <w:t>未</w:t>
      </w:r>
      <w:r>
        <w:rPr>
          <w:rFonts w:ascii="Arial" w:hAnsi="Arial" w:cs="Arial"/>
          <w:bCs/>
          <w:color w:val="000000" w:themeColor="text1"/>
          <w:szCs w:val="21"/>
          <w:highlight w:val="none"/>
          <w14:textFill>
            <w14:solidFill>
              <w14:schemeClr w14:val="tx1"/>
            </w14:solidFill>
          </w14:textFill>
        </w:rPr>
        <w:t>到场</w:t>
      </w:r>
      <w:r>
        <w:rPr>
          <w:rFonts w:hint="eastAsia" w:ascii="Arial" w:hAnsi="Arial" w:cs="Arial"/>
          <w:bCs/>
          <w:color w:val="000000" w:themeColor="text1"/>
          <w:szCs w:val="21"/>
          <w:highlight w:val="none"/>
          <w14:textFill>
            <w14:solidFill>
              <w14:schemeClr w14:val="tx1"/>
            </w14:solidFill>
          </w14:textFill>
        </w:rPr>
        <w:t>或</w:t>
      </w:r>
      <w:r>
        <w:rPr>
          <w:rFonts w:ascii="Arial" w:hAnsi="Arial" w:cs="Arial"/>
          <w:bCs/>
          <w:color w:val="000000" w:themeColor="text1"/>
          <w:szCs w:val="21"/>
          <w:highlight w:val="none"/>
          <w14:textFill>
            <w14:solidFill>
              <w14:schemeClr w14:val="tx1"/>
            </w14:solidFill>
          </w14:textFill>
        </w:rPr>
        <w:t>有较大安全隐患的作业安全员</w:t>
      </w:r>
      <w:r>
        <w:rPr>
          <w:rFonts w:hint="eastAsia" w:ascii="Arial" w:hAnsi="Arial" w:cs="Arial"/>
          <w:bCs/>
          <w:color w:val="000000" w:themeColor="text1"/>
          <w:szCs w:val="21"/>
          <w:highlight w:val="none"/>
          <w14:textFill>
            <w14:solidFill>
              <w14:schemeClr w14:val="tx1"/>
            </w14:solidFill>
          </w14:textFill>
        </w:rPr>
        <w:t>未</w:t>
      </w:r>
      <w:r>
        <w:rPr>
          <w:rFonts w:ascii="Arial" w:hAnsi="Arial" w:cs="Arial"/>
          <w:bCs/>
          <w:color w:val="000000" w:themeColor="text1"/>
          <w:szCs w:val="21"/>
          <w:highlight w:val="none"/>
          <w14:textFill>
            <w14:solidFill>
              <w14:schemeClr w14:val="tx1"/>
            </w14:solidFill>
          </w14:textFill>
        </w:rPr>
        <w:t>到场</w:t>
      </w:r>
      <w:r>
        <w:rPr>
          <w:rFonts w:hint="eastAsia" w:ascii="Arial" w:hAnsi="Arial" w:cs="Arial"/>
          <w:bCs/>
          <w:color w:val="000000" w:themeColor="text1"/>
          <w:szCs w:val="21"/>
          <w:highlight w:val="none"/>
          <w14:textFill>
            <w14:solidFill>
              <w14:schemeClr w14:val="tx1"/>
            </w14:solidFill>
          </w14:textFill>
        </w:rPr>
        <w:t>，按缺勤扣除人民币2000元/次/人。</w:t>
      </w:r>
    </w:p>
    <w:p w14:paraId="40B0CDA5">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养护单位未履行工作过程中“定车”原则，未经采购人同意更换车辆每次处人民币2000元的违约金。</w:t>
      </w:r>
    </w:p>
    <w:p w14:paraId="6E079AA7">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养护单位未履行工作过程中“定时”原则，若采购人抽查属实的，每次处人民币1000元的违约金。</w:t>
      </w:r>
    </w:p>
    <w:p w14:paraId="5115207C">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经采购人抽查常备设施设备及紧急抢修物资等缺失的，每发现一次处人民币1000元的违约金。</w:t>
      </w:r>
    </w:p>
    <w:p w14:paraId="57C6EE87">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养护单位未及时、准确地执行采购人工作指令的，每发现一次处人民币5000元/次的违约金。</w:t>
      </w:r>
    </w:p>
    <w:p w14:paraId="3855234F">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养护要求未达到招标文件基本要求的，每发现一项不符合标准处扣人民币1000元的违约金。</w:t>
      </w:r>
    </w:p>
    <w:p w14:paraId="6A5B7EB1">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养护质量未达到各项养护质量验收标准的，每发现一项不符合标准处扣人民币1000元的违约金，同时养护单位在接到采购人整改通知后立即无偿返工。</w:t>
      </w:r>
    </w:p>
    <w:p w14:paraId="7599D342">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在工程量审查、签证过程中，每发现养护单位上报工程量超过实际工程量15%时，直接扣除虚报工程量部分，并对养护单位进行处罚，第一次处人民币1000元的违约金，第二次处人民币5000元的违约金，第三次处人民币10000元的违约金，第四次采购人有权单方终止合同，扣除费用直接从当月养护费用中扣除。</w:t>
      </w:r>
    </w:p>
    <w:p w14:paraId="32FFB8BD">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养护单位如因自身人员出现伤亡事故、造成较大影响的，由养护单位在自行处理好伤亡事故之后，每次处50000元的违约金且采购人有权单方终止合同。</w:t>
      </w:r>
    </w:p>
    <w:p w14:paraId="20D11472">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养护过程中，养护单位未做好临时围挡工作或因围挡封闭或警示不到位，造成过往车辆或行人伤害的，由养护单位承担全部责任，在自行处理有关赔偿事项后，对养护单位每次处以10000元的违约金。</w:t>
      </w:r>
    </w:p>
    <w:p w14:paraId="20608ED9">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养护单位未按照采购人要求做好养护资料的，每发现一次处人民币500元的违约金，养护单位在接到采购人整改通知一周内完善内业资料。</w:t>
      </w:r>
    </w:p>
    <w:p w14:paraId="30A903D6">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对于因养护单位养护的市政设施受损而被市民投诉，经采购人核实确认后，每次处人民币1000元的违约金，如被媒体曝光或造成恶劣影响的，经采购人核实确认后，第一次处人民币2500元的违约金，第二次处人民币5000元的违约金，第三次处人民币10000元的违约金，以此类推。</w:t>
      </w:r>
    </w:p>
    <w:p w14:paraId="7C94D427">
      <w:pPr>
        <w:widowControl/>
        <w:numPr>
          <w:ilvl w:val="0"/>
          <w:numId w:val="13"/>
        </w:numPr>
        <w:autoSpaceDE w:val="0"/>
        <w:autoSpaceDN w:val="0"/>
        <w:spacing w:line="360" w:lineRule="auto"/>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护单位未按有关规定做好文明施工、安全施工的，每发现一起，处人民币1000元的违约金，因野蛮施工造成不良社会影响的，每发现一起，处人民币5000元的违约金，因文明施工、安全施工不到位造成安全生产事故的，每发现一起，处人民币10000元的违约金并承担全部责任。</w:t>
      </w:r>
    </w:p>
    <w:p w14:paraId="0CA668BC">
      <w:pPr>
        <w:widowControl/>
        <w:numPr>
          <w:ilvl w:val="0"/>
          <w:numId w:val="2"/>
        </w:numPr>
        <w:autoSpaceDE w:val="0"/>
        <w:autoSpaceDN w:val="0"/>
        <w:spacing w:line="360" w:lineRule="auto"/>
        <w:textAlignment w:val="bottom"/>
        <w:rPr>
          <w:rFonts w:hint="eastAsia" w:ascii="Arial" w:hAnsi="Arial"/>
          <w:b/>
          <w:bCs/>
          <w:color w:val="000000" w:themeColor="text1"/>
          <w:highlight w:val="none"/>
          <w14:textFill>
            <w14:solidFill>
              <w14:schemeClr w14:val="tx1"/>
            </w14:solidFill>
          </w14:textFill>
        </w:rPr>
      </w:pPr>
      <w:r>
        <w:rPr>
          <w:rFonts w:hint="eastAsia" w:ascii="Arial" w:hAnsi="Arial"/>
          <w:b/>
          <w:bCs/>
          <w:color w:val="000000" w:themeColor="text1"/>
          <w:highlight w:val="none"/>
          <w14:textFill>
            <w14:solidFill>
              <w14:schemeClr w14:val="tx1"/>
            </w14:solidFill>
          </w14:textFill>
        </w:rPr>
        <w:t>人员配置：</w:t>
      </w:r>
    </w:p>
    <w:p w14:paraId="7E0F9357">
      <w:pPr>
        <w:widowControl/>
        <w:numPr>
          <w:ilvl w:val="0"/>
          <w:numId w:val="14"/>
        </w:numPr>
        <w:autoSpaceDE w:val="0"/>
        <w:autoSpaceDN w:val="0"/>
        <w:spacing w:line="360" w:lineRule="auto"/>
        <w:textAlignment w:val="bottom"/>
        <w:rPr>
          <w:rFonts w:hint="eastAsia" w:ascii="Arial" w:hAnsi="Arial"/>
          <w:bCs/>
          <w:color w:val="000000" w:themeColor="text1"/>
          <w:szCs w:val="21"/>
          <w:highlight w:val="none"/>
          <w14:textFill>
            <w14:solidFill>
              <w14:schemeClr w14:val="tx1"/>
            </w14:solidFill>
          </w14:textFill>
        </w:rPr>
      </w:pPr>
      <w:r>
        <w:rPr>
          <w:rFonts w:hint="eastAsia" w:ascii="Arial" w:hAnsi="Arial"/>
          <w:bCs/>
          <w:color w:val="000000" w:themeColor="text1"/>
          <w:szCs w:val="21"/>
          <w:highlight w:val="none"/>
          <w14:textFill>
            <w14:solidFill>
              <w14:schemeClr w14:val="tx1"/>
            </w14:solidFill>
          </w14:textFill>
        </w:rPr>
        <w:t>针对本项目，供应商成立项目部。项目部由常备人员及养护作业人员组成。</w:t>
      </w:r>
    </w:p>
    <w:p w14:paraId="5B6F031D">
      <w:pPr>
        <w:widowControl/>
        <w:autoSpaceDE w:val="0"/>
        <w:autoSpaceDN w:val="0"/>
        <w:spacing w:line="360" w:lineRule="auto"/>
        <w:ind w:left="400"/>
        <w:textAlignment w:val="bottom"/>
        <w:rPr>
          <w:rFonts w:hint="eastAsia" w:ascii="Arial" w:hAnsi="Arial"/>
          <w:b/>
          <w:color w:val="000000" w:themeColor="text1"/>
          <w:szCs w:val="21"/>
          <w:highlight w:val="none"/>
          <w14:textFill>
            <w14:solidFill>
              <w14:schemeClr w14:val="tx1"/>
            </w14:solidFill>
          </w14:textFill>
        </w:rPr>
      </w:pPr>
      <w:r>
        <w:rPr>
          <w:rFonts w:hint="eastAsia" w:ascii="Arial" w:hAnsi="Arial"/>
          <w:b/>
          <w:bCs/>
          <w:color w:val="000000" w:themeColor="text1"/>
          <w:szCs w:val="21"/>
          <w:highlight w:val="none"/>
          <w14:textFill>
            <w14:solidFill>
              <w14:schemeClr w14:val="tx1"/>
            </w14:solidFill>
          </w14:textFill>
        </w:rPr>
        <w:t>1）常</w:t>
      </w:r>
      <w:r>
        <w:rPr>
          <w:rFonts w:hint="eastAsia" w:ascii="Arial" w:hAnsi="Arial"/>
          <w:b/>
          <w:color w:val="000000" w:themeColor="text1"/>
          <w:szCs w:val="21"/>
          <w:highlight w:val="none"/>
          <w14:textFill>
            <w14:solidFill>
              <w14:schemeClr w14:val="tx1"/>
            </w14:solidFill>
          </w14:textFill>
        </w:rPr>
        <w:t>备人员（含巡查人员）：</w:t>
      </w:r>
    </w:p>
    <w:p w14:paraId="5175D552">
      <w:pPr>
        <w:widowControl/>
        <w:autoSpaceDE w:val="0"/>
        <w:autoSpaceDN w:val="0"/>
        <w:spacing w:line="360" w:lineRule="auto"/>
        <w:ind w:firstLine="420" w:firstLineChars="200"/>
        <w:textAlignment w:val="bottom"/>
        <w:rPr>
          <w:rFonts w:hint="eastAsia" w:ascii="Arial" w:hAnsi="Arial"/>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项目经理：</w:t>
      </w:r>
    </w:p>
    <w:p w14:paraId="74272122">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养管人员：</w:t>
      </w:r>
    </w:p>
    <w:p w14:paraId="477C5104">
      <w:pPr>
        <w:widowControl/>
        <w:autoSpaceDE w:val="0"/>
        <w:autoSpaceDN w:val="0"/>
        <w:spacing w:line="360" w:lineRule="auto"/>
        <w:ind w:firstLine="420" w:firstLineChars="200"/>
        <w:textAlignment w:val="bottom"/>
        <w:rPr>
          <w:rFonts w:hint="eastAsia" w:ascii="Arial" w:hAnsi="Arial" w:cs="Arial"/>
          <w:bCs/>
          <w:color w:val="000000" w:themeColor="text1"/>
          <w:szCs w:val="2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上述人员数量为最低配置要求，供应商可根据自身情况酌情增加，人员为供应商现有的正式在职员工，投标文件中提供拟上述人员开标前近三个月供应商为其所缴纳社保证明（由社保部门出具并盖章的社保证明为准），以上内容均加盖公章。</w:t>
      </w:r>
      <w:r>
        <w:rPr>
          <w:rFonts w:hint="eastAsia" w:ascii="Arial" w:hAnsi="Arial" w:cs="Arial"/>
          <w:bCs/>
          <w:color w:val="000000" w:themeColor="text1"/>
          <w:szCs w:val="21"/>
          <w:highlight w:val="none"/>
          <w:lang w:val="en-US" w:eastAsia="zh-CN"/>
          <w14:textFill>
            <w14:solidFill>
              <w14:schemeClr w14:val="tx1"/>
            </w14:solidFill>
          </w14:textFill>
        </w:rPr>
        <w:t>具体见《拟投入的管理人员汇总表》</w:t>
      </w:r>
    </w:p>
    <w:p w14:paraId="35EAA028">
      <w:pPr>
        <w:widowControl/>
        <w:autoSpaceDE w:val="0"/>
        <w:autoSpaceDN w:val="0"/>
        <w:spacing w:line="360" w:lineRule="auto"/>
        <w:ind w:firstLine="422" w:firstLineChars="200"/>
        <w:textAlignment w:val="bottom"/>
        <w:rPr>
          <w:rFonts w:hint="eastAsia"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2）养护作业人员：</w:t>
      </w:r>
    </w:p>
    <w:p w14:paraId="4083EC06">
      <w:pPr>
        <w:widowControl/>
        <w:autoSpaceDE w:val="0"/>
        <w:autoSpaceDN w:val="0"/>
        <w:spacing w:line="360" w:lineRule="auto"/>
        <w:ind w:firstLine="420" w:firstLineChars="200"/>
        <w:textAlignment w:val="bottom"/>
        <w:rPr>
          <w:rFonts w:hint="default" w:ascii="Arial" w:hAnsi="Arial" w:eastAsia="宋体" w:cs="Arial"/>
          <w:bCs/>
          <w:color w:val="000000" w:themeColor="text1"/>
          <w:szCs w:val="21"/>
          <w:highlight w:val="none"/>
          <w:lang w:val="en-US" w:eastAsia="zh-CN"/>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由供应商自行配置。</w:t>
      </w:r>
      <w:r>
        <w:rPr>
          <w:rFonts w:hint="eastAsia" w:ascii="Arial" w:hAnsi="Arial" w:cs="Arial"/>
          <w:bCs/>
          <w:color w:val="000000" w:themeColor="text1"/>
          <w:szCs w:val="21"/>
          <w:highlight w:val="none"/>
          <w:lang w:val="en-US" w:eastAsia="zh-CN"/>
          <w14:textFill>
            <w14:solidFill>
              <w14:schemeClr w14:val="tx1"/>
            </w14:solidFill>
          </w14:textFill>
        </w:rPr>
        <w:t>具体见《拟投入的养护作业人员汇总表》</w:t>
      </w:r>
    </w:p>
    <w:p w14:paraId="450F3F5C">
      <w:pPr>
        <w:widowControl/>
        <w:numPr>
          <w:ilvl w:val="0"/>
          <w:numId w:val="2"/>
        </w:numPr>
        <w:autoSpaceDE w:val="0"/>
        <w:autoSpaceDN w:val="0"/>
        <w:spacing w:line="360" w:lineRule="auto"/>
        <w:textAlignment w:val="bottom"/>
        <w:rPr>
          <w:rFonts w:hint="eastAsia" w:ascii="Arial" w:hAnsi="Arial"/>
          <w:b/>
          <w:bCs/>
          <w:color w:val="000000" w:themeColor="text1"/>
          <w:highlight w:val="none"/>
          <w14:textFill>
            <w14:solidFill>
              <w14:schemeClr w14:val="tx1"/>
            </w14:solidFill>
          </w14:textFill>
        </w:rPr>
      </w:pPr>
      <w:r>
        <w:rPr>
          <w:rFonts w:hint="eastAsia" w:ascii="Arial" w:hAnsi="Arial"/>
          <w:b/>
          <w:bCs/>
          <w:color w:val="000000" w:themeColor="text1"/>
          <w:highlight w:val="none"/>
          <w14:textFill>
            <w14:solidFill>
              <w14:schemeClr w14:val="tx1"/>
            </w14:solidFill>
          </w14:textFill>
        </w:rPr>
        <w:t>车辆配置：</w:t>
      </w:r>
    </w:p>
    <w:p w14:paraId="0469671D">
      <w:pPr>
        <w:widowControl/>
        <w:autoSpaceDE w:val="0"/>
        <w:autoSpaceDN w:val="0"/>
        <w:spacing w:line="360" w:lineRule="auto"/>
        <w:ind w:firstLine="420"/>
        <w:textAlignment w:val="bottom"/>
        <w:rPr>
          <w:rFonts w:hAnsi="宋体" w:cs="宋体"/>
          <w:bCs/>
          <w:color w:val="000000" w:themeColor="text1"/>
          <w:highlight w:val="none"/>
          <w14:textFill>
            <w14:solidFill>
              <w14:schemeClr w14:val="tx1"/>
            </w14:solidFill>
          </w14:textFill>
        </w:rPr>
      </w:pPr>
      <w:r>
        <w:rPr>
          <w:rFonts w:hint="eastAsia" w:ascii="Arial" w:hAnsi="Arial" w:cs="Arial"/>
          <w:bCs/>
          <w:color w:val="000000" w:themeColor="text1"/>
          <w:szCs w:val="21"/>
          <w:highlight w:val="none"/>
          <w14:textFill>
            <w14:solidFill>
              <w14:schemeClr w14:val="tx1"/>
            </w14:solidFill>
          </w14:textFill>
        </w:rPr>
        <w:t>本项目车辆配置不少于本章第3条“服务要求”的第3款“常备设施设备及紧急抢修物资”中第1项“常备巡查车辆”和第2项“常备作业车辆”要求。上述车辆由供应商自行解决，</w:t>
      </w:r>
      <w:r>
        <w:rPr>
          <w:rFonts w:hint="eastAsia" w:ascii="Arial" w:hAnsi="Arial"/>
          <w:color w:val="000000" w:themeColor="text1"/>
          <w:szCs w:val="21"/>
          <w:highlight w:val="none"/>
          <w14:textFill>
            <w14:solidFill>
              <w14:schemeClr w14:val="tx1"/>
            </w14:solidFill>
          </w14:textFill>
        </w:rPr>
        <w:t>若为自有的，投标文件中提供车辆购置税发票复印件、车辆行驶证复印件，均加盖公章；若为租赁的，投标文件中提供租赁合同复印件、车辆所属人购置税发票复印件及车辆行驶证复印件，均加盖公章。</w:t>
      </w:r>
    </w:p>
    <w:p w14:paraId="56E2640E">
      <w:pPr>
        <w:pStyle w:val="20"/>
        <w:snapToGrid w:val="0"/>
        <w:spacing w:line="420" w:lineRule="exact"/>
        <w:rPr>
          <w:rFonts w:hint="eastAsia" w:hAnsi="宋体" w:eastAsia="宋体" w:cs="宋体"/>
          <w:color w:val="000000" w:themeColor="text1"/>
          <w:highlight w:val="none"/>
          <w:lang w:val="en-US" w:eastAsia="zh-CN"/>
          <w14:textFill>
            <w14:solidFill>
              <w14:schemeClr w14:val="tx1"/>
            </w14:solidFill>
          </w14:textFill>
        </w:rPr>
      </w:pPr>
      <w:r>
        <w:rPr>
          <w:rFonts w:hint="eastAsia" w:hAnsi="宋体" w:cs="宋体"/>
          <w:bCs/>
          <w:color w:val="000000" w:themeColor="text1"/>
          <w:highlight w:val="none"/>
          <w14:textFill>
            <w14:solidFill>
              <w14:schemeClr w14:val="tx1"/>
            </w14:solidFill>
          </w14:textFill>
        </w:rPr>
        <w:t xml:space="preserve">7.3 </w:t>
      </w:r>
      <w:r>
        <w:rPr>
          <w:rFonts w:hint="eastAsia" w:hAnsi="宋体" w:cs="宋体"/>
          <w:color w:val="000000" w:themeColor="text1"/>
          <w:highlight w:val="none"/>
          <w14:textFill>
            <w14:solidFill>
              <w14:schemeClr w14:val="tx1"/>
            </w14:solidFill>
          </w14:textFill>
        </w:rPr>
        <w:t>履行地点</w:t>
      </w:r>
      <w:r>
        <w:rPr>
          <w:rFonts w:hint="eastAsia" w:hAnsi="宋体" w:cs="宋体"/>
          <w:bCs/>
          <w:color w:val="000000" w:themeColor="text1"/>
          <w:highlight w:val="none"/>
          <w14:textFill>
            <w14:solidFill>
              <w14:schemeClr w14:val="tx1"/>
            </w14:solidFill>
          </w14:textFill>
        </w:rPr>
        <w:t>：</w:t>
      </w:r>
      <w:r>
        <w:rPr>
          <w:rFonts w:hint="eastAsia" w:ascii="Arial" w:hAnsi="Arial"/>
          <w:color w:val="000000" w:themeColor="text1"/>
          <w:szCs w:val="21"/>
          <w:highlight w:val="none"/>
          <w14:textFill>
            <w14:solidFill>
              <w14:schemeClr w14:val="tx1"/>
            </w14:solidFill>
          </w14:textFill>
        </w:rPr>
        <w:t>大榭区域</w:t>
      </w:r>
      <w:r>
        <w:rPr>
          <w:rFonts w:ascii="Arial" w:hAnsi="Arial"/>
          <w:color w:val="000000" w:themeColor="text1"/>
          <w:szCs w:val="21"/>
          <w:highlight w:val="none"/>
          <w14:textFill>
            <w14:solidFill>
              <w14:schemeClr w14:val="tx1"/>
            </w14:solidFill>
          </w14:textFill>
        </w:rPr>
        <w:t>内</w:t>
      </w:r>
    </w:p>
    <w:p w14:paraId="605AB11D">
      <w:pPr>
        <w:pStyle w:val="20"/>
        <w:snapToGrid w:val="0"/>
        <w:spacing w:line="420" w:lineRule="exact"/>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八、款项支付</w:t>
      </w:r>
    </w:p>
    <w:p w14:paraId="368350AA">
      <w:pPr>
        <w:snapToGrid w:val="0"/>
        <w:spacing w:before="142" w:beforeLines="50" w:after="142" w:afterLines="50" w:line="420" w:lineRule="exact"/>
        <w:rPr>
          <w:rFonts w:hint="eastAsia" w:hAnsi="宋体" w:eastAsia="宋体" w:cs="宋体"/>
          <w:color w:val="000000" w:themeColor="text1"/>
          <w:highlight w:val="none"/>
          <w14:textFill>
            <w14:solidFill>
              <w14:schemeClr w14:val="tx1"/>
            </w14:solidFill>
          </w14:textFill>
        </w:rPr>
      </w:pPr>
      <w:r>
        <w:rPr>
          <w:rFonts w:hint="eastAsia" w:hAnsi="宋体" w:eastAsia="宋体" w:cs="宋体"/>
          <w:color w:val="000000" w:themeColor="text1"/>
          <w:highlight w:val="none"/>
          <w:lang w:val="en-US" w:eastAsia="zh-CN"/>
          <w14:textFill>
            <w14:solidFill>
              <w14:schemeClr w14:val="tx1"/>
            </w14:solidFill>
          </w14:textFill>
        </w:rPr>
        <w:t>8.1.</w:t>
      </w:r>
      <w:r>
        <w:rPr>
          <w:rFonts w:hint="eastAsia" w:hAnsi="宋体" w:eastAsia="宋体" w:cs="宋体"/>
          <w:color w:val="000000" w:themeColor="text1"/>
          <w:highlight w:val="none"/>
          <w14:textFill>
            <w14:solidFill>
              <w14:schemeClr w14:val="tx1"/>
            </w14:solidFill>
          </w14:textFill>
        </w:rPr>
        <w:t>市政道路及排水管网养护付款：</w:t>
      </w:r>
    </w:p>
    <w:p w14:paraId="247EE462">
      <w:pPr>
        <w:snapToGrid w:val="0"/>
        <w:spacing w:before="142" w:beforeLines="50" w:after="142" w:afterLines="50" w:line="420" w:lineRule="exact"/>
        <w:rPr>
          <w:rFonts w:hint="eastAsia" w:hAnsi="宋体" w:eastAsia="宋体" w:cs="宋体"/>
          <w:color w:val="000000" w:themeColor="text1"/>
          <w:highlight w:val="none"/>
          <w14:textFill>
            <w14:solidFill>
              <w14:schemeClr w14:val="tx1"/>
            </w14:solidFill>
          </w14:textFill>
        </w:rPr>
      </w:pPr>
      <w:r>
        <w:rPr>
          <w:rFonts w:hint="eastAsia" w:hAnsi="宋体" w:eastAsia="宋体" w:cs="宋体"/>
          <w:color w:val="000000" w:themeColor="text1"/>
          <w:highlight w:val="none"/>
          <w:lang w:eastAsia="zh-CN"/>
          <w14:textFill>
            <w14:solidFill>
              <w14:schemeClr w14:val="tx1"/>
            </w14:solidFill>
          </w14:textFill>
        </w:rPr>
        <w:t>（</w:t>
      </w:r>
      <w:r>
        <w:rPr>
          <w:rFonts w:hint="eastAsia" w:hAnsi="宋体" w:eastAsia="宋体" w:cs="宋体"/>
          <w:color w:val="000000" w:themeColor="text1"/>
          <w:highlight w:val="none"/>
          <w:lang w:val="en-US" w:eastAsia="zh-CN"/>
          <w14:textFill>
            <w14:solidFill>
              <w14:schemeClr w14:val="tx1"/>
            </w14:solidFill>
          </w14:textFill>
        </w:rPr>
        <w:t>1</w:t>
      </w:r>
      <w:r>
        <w:rPr>
          <w:rFonts w:hint="eastAsia" w:hAnsi="宋体" w:eastAsia="宋体" w:cs="宋体"/>
          <w:color w:val="000000" w:themeColor="text1"/>
          <w:highlight w:val="none"/>
          <w:lang w:eastAsia="zh-CN"/>
          <w14:textFill>
            <w14:solidFill>
              <w14:schemeClr w14:val="tx1"/>
            </w14:solidFill>
          </w14:textFill>
        </w:rPr>
        <w:t>）</w:t>
      </w:r>
      <w:r>
        <w:rPr>
          <w:rFonts w:hint="eastAsia" w:hAnsi="宋体" w:eastAsia="宋体" w:cs="宋体"/>
          <w:color w:val="000000" w:themeColor="text1"/>
          <w:highlight w:val="none"/>
          <w14:textFill>
            <w14:solidFill>
              <w14:schemeClr w14:val="tx1"/>
            </w14:solidFill>
          </w14:textFill>
        </w:rPr>
        <w:t>合同签订且满足实施条件后7个工作日支付市政道路及排水管网养护资金款项的40%作为预付款；</w:t>
      </w:r>
    </w:p>
    <w:p w14:paraId="299EB029">
      <w:pPr>
        <w:snapToGrid w:val="0"/>
        <w:spacing w:before="142" w:beforeLines="50" w:after="142" w:afterLines="50" w:line="420" w:lineRule="exact"/>
        <w:rPr>
          <w:rFonts w:hint="eastAsia" w:hAnsi="宋体" w:eastAsia="宋体" w:cs="宋体"/>
          <w:color w:val="000000" w:themeColor="text1"/>
          <w:highlight w:val="none"/>
          <w14:textFill>
            <w14:solidFill>
              <w14:schemeClr w14:val="tx1"/>
            </w14:solidFill>
          </w14:textFill>
        </w:rPr>
      </w:pPr>
      <w:r>
        <w:rPr>
          <w:rFonts w:hint="eastAsia" w:hAnsi="宋体" w:eastAsia="宋体" w:cs="宋体"/>
          <w:color w:val="000000" w:themeColor="text1"/>
          <w:highlight w:val="none"/>
          <w:lang w:eastAsia="zh-CN"/>
          <w14:textFill>
            <w14:solidFill>
              <w14:schemeClr w14:val="tx1"/>
            </w14:solidFill>
          </w14:textFill>
        </w:rPr>
        <w:t>（</w:t>
      </w:r>
      <w:r>
        <w:rPr>
          <w:rFonts w:hint="eastAsia" w:hAnsi="宋体" w:eastAsia="宋体" w:cs="宋体"/>
          <w:color w:val="000000" w:themeColor="text1"/>
          <w:highlight w:val="none"/>
          <w:lang w:val="en-US" w:eastAsia="zh-CN"/>
          <w14:textFill>
            <w14:solidFill>
              <w14:schemeClr w14:val="tx1"/>
            </w14:solidFill>
          </w14:textFill>
        </w:rPr>
        <w:t>2</w:t>
      </w:r>
      <w:r>
        <w:rPr>
          <w:rFonts w:hint="eastAsia" w:hAnsi="宋体" w:eastAsia="宋体" w:cs="宋体"/>
          <w:color w:val="000000" w:themeColor="text1"/>
          <w:highlight w:val="none"/>
          <w:lang w:eastAsia="zh-CN"/>
          <w14:textFill>
            <w14:solidFill>
              <w14:schemeClr w14:val="tx1"/>
            </w14:solidFill>
          </w14:textFill>
        </w:rPr>
        <w:t>）</w:t>
      </w:r>
      <w:r>
        <w:rPr>
          <w:rFonts w:hint="eastAsia" w:hAnsi="宋体" w:eastAsia="宋体" w:cs="宋体"/>
          <w:color w:val="000000" w:themeColor="text1"/>
          <w:highlight w:val="none"/>
          <w14:textFill>
            <w14:solidFill>
              <w14:schemeClr w14:val="tx1"/>
            </w14:solidFill>
          </w14:textFill>
        </w:rPr>
        <w:t>剩余金额按实际发生工程量每月按实结算。</w:t>
      </w:r>
    </w:p>
    <w:p w14:paraId="4EC51476">
      <w:pPr>
        <w:snapToGrid w:val="0"/>
        <w:spacing w:before="142" w:beforeLines="50" w:after="142" w:afterLines="50" w:line="420" w:lineRule="exact"/>
        <w:rPr>
          <w:rFonts w:hint="eastAsia" w:hAnsi="宋体" w:eastAsia="宋体" w:cs="宋体"/>
          <w:color w:val="000000" w:themeColor="text1"/>
          <w:highlight w:val="none"/>
          <w14:textFill>
            <w14:solidFill>
              <w14:schemeClr w14:val="tx1"/>
            </w14:solidFill>
          </w14:textFill>
        </w:rPr>
      </w:pPr>
      <w:r>
        <w:rPr>
          <w:rFonts w:hint="eastAsia" w:hAnsi="宋体" w:eastAsia="宋体" w:cs="宋体"/>
          <w:color w:val="000000" w:themeColor="text1"/>
          <w:highlight w:val="none"/>
          <w:lang w:val="en-US" w:eastAsia="zh-CN"/>
          <w14:textFill>
            <w14:solidFill>
              <w14:schemeClr w14:val="tx1"/>
            </w14:solidFill>
          </w14:textFill>
        </w:rPr>
        <w:t>8.2</w:t>
      </w:r>
      <w:r>
        <w:rPr>
          <w:rFonts w:hint="eastAsia" w:hAnsi="宋体" w:eastAsia="宋体" w:cs="宋体"/>
          <w:color w:val="000000" w:themeColor="text1"/>
          <w:highlight w:val="none"/>
          <w14:textFill>
            <w14:solidFill>
              <w14:schemeClr w14:val="tx1"/>
            </w14:solidFill>
          </w14:textFill>
        </w:rPr>
        <w:t>污水泵站养护付款：</w:t>
      </w:r>
    </w:p>
    <w:p w14:paraId="120C8622">
      <w:pPr>
        <w:snapToGrid w:val="0"/>
        <w:spacing w:before="142" w:beforeLines="50" w:after="142" w:afterLines="50" w:line="420" w:lineRule="exact"/>
        <w:rPr>
          <w:rFonts w:hint="eastAsia" w:hAnsi="宋体" w:eastAsia="宋体" w:cs="宋体"/>
          <w:color w:val="000000" w:themeColor="text1"/>
          <w:highlight w:val="none"/>
          <w14:textFill>
            <w14:solidFill>
              <w14:schemeClr w14:val="tx1"/>
            </w14:solidFill>
          </w14:textFill>
        </w:rPr>
      </w:pPr>
      <w:r>
        <w:rPr>
          <w:rFonts w:hint="eastAsia" w:hAnsi="宋体" w:eastAsia="宋体" w:cs="宋体"/>
          <w:color w:val="000000" w:themeColor="text1"/>
          <w:highlight w:val="none"/>
          <w:lang w:eastAsia="zh-CN"/>
          <w14:textFill>
            <w14:solidFill>
              <w14:schemeClr w14:val="tx1"/>
            </w14:solidFill>
          </w14:textFill>
        </w:rPr>
        <w:t>（</w:t>
      </w:r>
      <w:r>
        <w:rPr>
          <w:rFonts w:hint="eastAsia" w:hAnsi="宋体" w:eastAsia="宋体" w:cs="宋体"/>
          <w:color w:val="000000" w:themeColor="text1"/>
          <w:highlight w:val="none"/>
          <w:lang w:val="en-US" w:eastAsia="zh-CN"/>
          <w14:textFill>
            <w14:solidFill>
              <w14:schemeClr w14:val="tx1"/>
            </w14:solidFill>
          </w14:textFill>
        </w:rPr>
        <w:t>1</w:t>
      </w:r>
      <w:r>
        <w:rPr>
          <w:rFonts w:hint="eastAsia" w:hAnsi="宋体" w:eastAsia="宋体" w:cs="宋体"/>
          <w:color w:val="000000" w:themeColor="text1"/>
          <w:highlight w:val="none"/>
          <w:lang w:eastAsia="zh-CN"/>
          <w14:textFill>
            <w14:solidFill>
              <w14:schemeClr w14:val="tx1"/>
            </w14:solidFill>
          </w14:textFill>
        </w:rPr>
        <w:t>）</w:t>
      </w:r>
      <w:r>
        <w:rPr>
          <w:rFonts w:hint="eastAsia" w:hAnsi="宋体" w:eastAsia="宋体" w:cs="宋体"/>
          <w:color w:val="000000" w:themeColor="text1"/>
          <w:highlight w:val="none"/>
          <w14:textFill>
            <w14:solidFill>
              <w14:schemeClr w14:val="tx1"/>
            </w14:solidFill>
          </w14:textFill>
        </w:rPr>
        <w:t>合同签订且满足实施条件后7个工作日支付2025年污水泵站养护资金款项的40%作为预付款；</w:t>
      </w:r>
    </w:p>
    <w:p w14:paraId="3768AED8">
      <w:pPr>
        <w:snapToGrid w:val="0"/>
        <w:spacing w:before="142" w:beforeLines="50" w:after="142" w:afterLines="50" w:line="420" w:lineRule="exact"/>
        <w:rPr>
          <w:rFonts w:hint="eastAsia" w:hAnsi="宋体" w:eastAsia="宋体" w:cs="宋体"/>
          <w:color w:val="000000" w:themeColor="text1"/>
          <w:highlight w:val="none"/>
          <w14:textFill>
            <w14:solidFill>
              <w14:schemeClr w14:val="tx1"/>
            </w14:solidFill>
          </w14:textFill>
        </w:rPr>
      </w:pPr>
      <w:r>
        <w:rPr>
          <w:rFonts w:hint="eastAsia" w:hAnsi="宋体" w:eastAsia="宋体" w:cs="宋体"/>
          <w:color w:val="000000" w:themeColor="text1"/>
          <w:highlight w:val="none"/>
          <w:lang w:eastAsia="zh-CN"/>
          <w14:textFill>
            <w14:solidFill>
              <w14:schemeClr w14:val="tx1"/>
            </w14:solidFill>
          </w14:textFill>
        </w:rPr>
        <w:t>（</w:t>
      </w:r>
      <w:r>
        <w:rPr>
          <w:rFonts w:hint="eastAsia" w:hAnsi="宋体" w:eastAsia="宋体" w:cs="宋体"/>
          <w:color w:val="000000" w:themeColor="text1"/>
          <w:highlight w:val="none"/>
          <w:lang w:val="en-US" w:eastAsia="zh-CN"/>
          <w14:textFill>
            <w14:solidFill>
              <w14:schemeClr w14:val="tx1"/>
            </w14:solidFill>
          </w14:textFill>
        </w:rPr>
        <w:t>2</w:t>
      </w:r>
      <w:r>
        <w:rPr>
          <w:rFonts w:hint="eastAsia" w:hAnsi="宋体" w:eastAsia="宋体" w:cs="宋体"/>
          <w:color w:val="000000" w:themeColor="text1"/>
          <w:highlight w:val="none"/>
          <w:lang w:eastAsia="zh-CN"/>
          <w14:textFill>
            <w14:solidFill>
              <w14:schemeClr w14:val="tx1"/>
            </w14:solidFill>
          </w14:textFill>
        </w:rPr>
        <w:t>）</w:t>
      </w:r>
      <w:r>
        <w:rPr>
          <w:rFonts w:hint="eastAsia" w:hAnsi="宋体" w:eastAsia="宋体" w:cs="宋体"/>
          <w:color w:val="000000" w:themeColor="text1"/>
          <w:highlight w:val="none"/>
          <w14:textFill>
            <w14:solidFill>
              <w14:schemeClr w14:val="tx1"/>
            </w14:solidFill>
          </w14:textFill>
        </w:rPr>
        <w:t>2025年12月10日支付2025年污水泵站养护资金款项的剩余金额；</w:t>
      </w:r>
    </w:p>
    <w:p w14:paraId="7977DE88">
      <w:pPr>
        <w:snapToGrid w:val="0"/>
        <w:spacing w:before="142" w:beforeLines="50" w:after="142" w:afterLines="50" w:line="420" w:lineRule="exact"/>
        <w:rPr>
          <w:rFonts w:hint="eastAsia" w:hAnsi="宋体" w:eastAsia="宋体" w:cs="宋体"/>
          <w:color w:val="000000" w:themeColor="text1"/>
          <w:highlight w:val="none"/>
          <w14:textFill>
            <w14:solidFill>
              <w14:schemeClr w14:val="tx1"/>
            </w14:solidFill>
          </w14:textFill>
        </w:rPr>
      </w:pPr>
      <w:r>
        <w:rPr>
          <w:rFonts w:hint="eastAsia" w:hAnsi="宋体" w:eastAsia="宋体" w:cs="宋体"/>
          <w:color w:val="000000" w:themeColor="text1"/>
          <w:highlight w:val="none"/>
          <w:lang w:eastAsia="zh-CN"/>
          <w14:textFill>
            <w14:solidFill>
              <w14:schemeClr w14:val="tx1"/>
            </w14:solidFill>
          </w14:textFill>
        </w:rPr>
        <w:t>（</w:t>
      </w:r>
      <w:r>
        <w:rPr>
          <w:rFonts w:hint="eastAsia" w:hAnsi="宋体" w:eastAsia="宋体" w:cs="宋体"/>
          <w:color w:val="000000" w:themeColor="text1"/>
          <w:highlight w:val="none"/>
          <w:lang w:val="en-US" w:eastAsia="zh-CN"/>
          <w14:textFill>
            <w14:solidFill>
              <w14:schemeClr w14:val="tx1"/>
            </w14:solidFill>
          </w14:textFill>
        </w:rPr>
        <w:t>3</w:t>
      </w:r>
      <w:r>
        <w:rPr>
          <w:rFonts w:hint="eastAsia" w:hAnsi="宋体" w:eastAsia="宋体" w:cs="宋体"/>
          <w:color w:val="000000" w:themeColor="text1"/>
          <w:highlight w:val="none"/>
          <w:lang w:eastAsia="zh-CN"/>
          <w14:textFill>
            <w14:solidFill>
              <w14:schemeClr w14:val="tx1"/>
            </w14:solidFill>
          </w14:textFill>
        </w:rPr>
        <w:t>）</w:t>
      </w:r>
      <w:r>
        <w:rPr>
          <w:rFonts w:hint="eastAsia" w:hAnsi="宋体" w:eastAsia="宋体" w:cs="宋体"/>
          <w:color w:val="000000" w:themeColor="text1"/>
          <w:highlight w:val="none"/>
          <w14:textFill>
            <w14:solidFill>
              <w14:schemeClr w14:val="tx1"/>
            </w14:solidFill>
          </w14:textFill>
        </w:rPr>
        <w:t>完成项目验收后7个工作日内支付污水泵站养护剩余资金款项。</w:t>
      </w:r>
    </w:p>
    <w:p w14:paraId="372626DA">
      <w:pPr>
        <w:snapToGrid w:val="0"/>
        <w:spacing w:before="142" w:beforeLines="50" w:after="142" w:afterLines="50" w:line="420" w:lineRule="exact"/>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九、税费</w:t>
      </w:r>
    </w:p>
    <w:p w14:paraId="1458269F">
      <w:pPr>
        <w:snapToGrid w:val="0"/>
        <w:spacing w:before="142" w:beforeLines="50" w:after="142" w:afterLines="50" w:line="420" w:lineRule="exact"/>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9.1本合同执行中相关的一切税费均由乙方负担。</w:t>
      </w:r>
    </w:p>
    <w:p w14:paraId="4746D007">
      <w:pPr>
        <w:pStyle w:val="20"/>
        <w:snapToGrid w:val="0"/>
        <w:spacing w:line="420" w:lineRule="exact"/>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十、违约责任</w:t>
      </w:r>
    </w:p>
    <w:p w14:paraId="248E5215">
      <w:pPr>
        <w:pStyle w:val="20"/>
        <w:snapToGrid w:val="0"/>
        <w:spacing w:line="420" w:lineRule="exact"/>
        <w:ind w:left="359" w:hanging="359" w:hangingChars="171"/>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10.1 甲方无正当理由拒收接受服务的，甲方向乙方偿付合同款项百分之五作为违约金。</w:t>
      </w:r>
    </w:p>
    <w:p w14:paraId="4E198E29">
      <w:pPr>
        <w:pStyle w:val="20"/>
        <w:snapToGrid w:val="0"/>
        <w:spacing w:line="420" w:lineRule="exact"/>
        <w:ind w:left="359" w:hanging="359" w:hangingChars="171"/>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10.2 甲方无故逾期办理款项支付手续的,甲方应按逾期付款总额每日万分之五向乙方支付违约金。</w:t>
      </w:r>
    </w:p>
    <w:p w14:paraId="5A076382">
      <w:pPr>
        <w:pStyle w:val="20"/>
        <w:snapToGrid w:val="0"/>
        <w:spacing w:line="420" w:lineRule="exact"/>
        <w:ind w:left="359" w:hanging="359" w:hangingChars="171"/>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10.3 乙方逾期提供服务的，每日向甲方支付千分之六违约金。逾期超过约定日期10个工作日不能提供服务的，甲方可解除本合同。乙方因逾期提供服务或因其他违约行为导致甲方解除合同的，乙方应向甲方支付合同总值5%的违约金，如造成甲方损失超过违约金的，超出部分由乙方继续承担赔偿责任。 </w:t>
      </w:r>
    </w:p>
    <w:p w14:paraId="734B8BD4">
      <w:pPr>
        <w:pStyle w:val="20"/>
        <w:snapToGrid w:val="0"/>
        <w:spacing w:line="420" w:lineRule="exact"/>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十一、不可抗力事件处理</w:t>
      </w:r>
    </w:p>
    <w:p w14:paraId="435D9699">
      <w:pPr>
        <w:pStyle w:val="20"/>
        <w:snapToGrid w:val="0"/>
        <w:spacing w:line="420" w:lineRule="exact"/>
        <w:ind w:left="420" w:hanging="420" w:hanging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11.1 在合同有效期内，任何一方因不可抗力事件导致不能履行合同，则合同履行期可延长，其延长期与不可抗力影响期相同。</w:t>
      </w:r>
    </w:p>
    <w:p w14:paraId="091F9E02">
      <w:pPr>
        <w:pStyle w:val="20"/>
        <w:snapToGrid w:val="0"/>
        <w:spacing w:line="420" w:lineRule="exact"/>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11.2 不可抗力事件发生后，应立即通知对方，并寄送有关权威机构出具的证明。</w:t>
      </w:r>
    </w:p>
    <w:p w14:paraId="19BB2735">
      <w:pPr>
        <w:pStyle w:val="20"/>
        <w:snapToGrid w:val="0"/>
        <w:spacing w:line="420" w:lineRule="exact"/>
        <w:ind w:left="420" w:hanging="420" w:hanging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11.3 不可抗力事件延续120天以上，双方应通过友好协商，确定是否继续履行合同。</w:t>
      </w:r>
    </w:p>
    <w:p w14:paraId="36F19C2C">
      <w:pPr>
        <w:pStyle w:val="20"/>
        <w:snapToGrid w:val="0"/>
        <w:spacing w:line="420" w:lineRule="exact"/>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十二、诉讼</w:t>
      </w:r>
    </w:p>
    <w:p w14:paraId="2465A038">
      <w:pPr>
        <w:pStyle w:val="20"/>
        <w:snapToGrid w:val="0"/>
        <w:spacing w:line="420" w:lineRule="exact"/>
        <w:ind w:left="420" w:hanging="420" w:hanging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12.1 双方在执行合同中所发生的一切争议，应通过协商解决。如协商不成，可向合同签订地法院起诉。</w:t>
      </w:r>
    </w:p>
    <w:p w14:paraId="7D35E13A">
      <w:pPr>
        <w:pStyle w:val="20"/>
        <w:snapToGrid w:val="0"/>
        <w:spacing w:line="420" w:lineRule="exact"/>
        <w:rPr>
          <w:rFonts w:hAnsi="宋体" w:cs="宋体"/>
          <w:b/>
          <w:color w:val="000000" w:themeColor="text1"/>
          <w:highlight w:val="none"/>
          <w14:textFill>
            <w14:solidFill>
              <w14:schemeClr w14:val="tx1"/>
            </w14:solidFill>
          </w14:textFill>
        </w:rPr>
      </w:pPr>
      <w:r>
        <w:rPr>
          <w:rFonts w:hint="eastAsia" w:hAnsi="宋体" w:cs="宋体"/>
          <w:b/>
          <w:color w:val="000000" w:themeColor="text1"/>
          <w:highlight w:val="none"/>
          <w14:textFill>
            <w14:solidFill>
              <w14:schemeClr w14:val="tx1"/>
            </w14:solidFill>
          </w14:textFill>
        </w:rPr>
        <w:t>十三、合同生效及其它</w:t>
      </w:r>
    </w:p>
    <w:p w14:paraId="1F7F8B95">
      <w:pPr>
        <w:pStyle w:val="20"/>
        <w:snapToGrid w:val="0"/>
        <w:spacing w:line="420" w:lineRule="exact"/>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13.1 合同经双方法定代表人或授权委托代理人签字并加盖单位公章后生效。</w:t>
      </w:r>
    </w:p>
    <w:p w14:paraId="72E56668">
      <w:pPr>
        <w:pStyle w:val="20"/>
        <w:snapToGrid w:val="0"/>
        <w:spacing w:line="420" w:lineRule="exact"/>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13.2合同执行中涉及采购资金和采购内容修改或补充的，须经市/区财政部门审批，并签书面补充协议报政府采购监督管理部门备案，方可作为主合同不可分割的一部分。</w:t>
      </w:r>
    </w:p>
    <w:p w14:paraId="065CC3AD">
      <w:pPr>
        <w:pStyle w:val="20"/>
        <w:snapToGrid w:val="0"/>
        <w:spacing w:line="420" w:lineRule="exact"/>
        <w:ind w:left="420" w:hanging="420" w:hanging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13.3本合同未尽事宜，遵照《民法典》有关条文执行。</w:t>
      </w:r>
    </w:p>
    <w:p w14:paraId="09CD603C">
      <w:pPr>
        <w:pStyle w:val="20"/>
        <w:snapToGrid w:val="0"/>
        <w:spacing w:line="420" w:lineRule="exact"/>
        <w:ind w:left="420" w:hanging="420" w:hanging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13.4 本合同一式</w:t>
      </w:r>
      <w:r>
        <w:rPr>
          <w:rFonts w:hint="eastAsia" w:hAnsi="宋体" w:cs="宋体"/>
          <w:color w:val="000000" w:themeColor="text1"/>
          <w:highlight w:val="none"/>
          <w:lang w:val="en-US" w:eastAsia="zh-CN"/>
          <w14:textFill>
            <w14:solidFill>
              <w14:schemeClr w14:val="tx1"/>
            </w14:solidFill>
          </w14:textFill>
        </w:rPr>
        <w:t>陆</w:t>
      </w:r>
      <w:r>
        <w:rPr>
          <w:rFonts w:hint="eastAsia" w:hAnsi="宋体" w:cs="宋体"/>
          <w:color w:val="000000" w:themeColor="text1"/>
          <w:highlight w:val="none"/>
          <w14:textFill>
            <w14:solidFill>
              <w14:schemeClr w14:val="tx1"/>
            </w14:solidFill>
          </w14:textFill>
        </w:rPr>
        <w:t>份，具有同等法律效力，甲乙双方各执</w:t>
      </w:r>
      <w:r>
        <w:rPr>
          <w:rFonts w:hint="eastAsia" w:hAnsi="宋体" w:cs="宋体"/>
          <w:color w:val="000000" w:themeColor="text1"/>
          <w:highlight w:val="none"/>
          <w:lang w:val="en-US" w:eastAsia="zh-CN"/>
          <w14:textFill>
            <w14:solidFill>
              <w14:schemeClr w14:val="tx1"/>
            </w14:solidFill>
          </w14:textFill>
        </w:rPr>
        <w:t>叁</w:t>
      </w:r>
      <w:r>
        <w:rPr>
          <w:rFonts w:hint="eastAsia" w:hAnsi="宋体" w:cs="宋体"/>
          <w:color w:val="000000" w:themeColor="text1"/>
          <w:highlight w:val="none"/>
          <w14:textFill>
            <w14:solidFill>
              <w14:schemeClr w14:val="tx1"/>
            </w14:solidFill>
          </w14:textFill>
        </w:rPr>
        <w:t>份，(用途)。</w:t>
      </w:r>
    </w:p>
    <w:p w14:paraId="26D4B682">
      <w:pPr>
        <w:pStyle w:val="20"/>
        <w:snapToGrid w:val="0"/>
        <w:spacing w:line="420" w:lineRule="exact"/>
        <w:ind w:left="420" w:hanging="420" w:hangingChars="200"/>
        <w:rPr>
          <w:rFonts w:hAnsi="宋体" w:cs="宋体"/>
          <w:color w:val="000000" w:themeColor="text1"/>
          <w:highlight w:val="none"/>
          <w14:textFill>
            <w14:solidFill>
              <w14:schemeClr w14:val="tx1"/>
            </w14:solidFill>
          </w14:textFill>
        </w:rPr>
      </w:pPr>
    </w:p>
    <w:p w14:paraId="42C39CA3">
      <w:pPr>
        <w:pStyle w:val="17"/>
        <w:spacing w:line="360" w:lineRule="auto"/>
        <w:ind w:firstLine="210" w:firstLineChars="100"/>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cr/>
      </w:r>
    </w:p>
    <w:tbl>
      <w:tblPr>
        <w:tblStyle w:val="35"/>
        <w:tblW w:w="8559" w:type="dxa"/>
        <w:tblInd w:w="0" w:type="dxa"/>
        <w:tblLayout w:type="fixed"/>
        <w:tblCellMar>
          <w:top w:w="0" w:type="dxa"/>
          <w:left w:w="108" w:type="dxa"/>
          <w:bottom w:w="0" w:type="dxa"/>
          <w:right w:w="108" w:type="dxa"/>
        </w:tblCellMar>
      </w:tblPr>
      <w:tblGrid>
        <w:gridCol w:w="4373"/>
        <w:gridCol w:w="4186"/>
      </w:tblGrid>
      <w:tr w14:paraId="62442C58">
        <w:tblPrEx>
          <w:tblCellMar>
            <w:top w:w="0" w:type="dxa"/>
            <w:left w:w="108" w:type="dxa"/>
            <w:bottom w:w="0" w:type="dxa"/>
            <w:right w:w="108" w:type="dxa"/>
          </w:tblCellMar>
        </w:tblPrEx>
        <w:trPr>
          <w:trHeight w:val="528" w:hRule="atLeast"/>
        </w:trPr>
        <w:tc>
          <w:tcPr>
            <w:tcW w:w="4373" w:type="dxa"/>
            <w:noWrap w:val="0"/>
            <w:vAlign w:val="top"/>
          </w:tcPr>
          <w:p w14:paraId="65BB9C8A">
            <w:pPr>
              <w:pStyle w:val="20"/>
              <w:widowControl/>
              <w:spacing w:before="0" w:beforeLines="0" w:after="0" w:afterLines="0"/>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甲方：</w:t>
            </w:r>
            <w:r>
              <w:rPr>
                <w:rFonts w:hint="eastAsia" w:hAnsi="宋体" w:cs="宋体"/>
                <w:color w:val="000000" w:themeColor="text1"/>
                <w:highlight w:val="none"/>
                <w:lang w:val="en-US" w:eastAsia="zh-CN"/>
                <w14:textFill>
                  <w14:solidFill>
                    <w14:schemeClr w14:val="tx1"/>
                  </w14:solidFill>
                </w14:textFill>
              </w:rPr>
              <w:t xml:space="preserve">    </w:t>
            </w:r>
          </w:p>
        </w:tc>
        <w:tc>
          <w:tcPr>
            <w:tcW w:w="4186" w:type="dxa"/>
            <w:noWrap w:val="0"/>
            <w:vAlign w:val="top"/>
          </w:tcPr>
          <w:p w14:paraId="2EF776DD">
            <w:pPr>
              <w:pStyle w:val="20"/>
              <w:widowControl/>
              <w:spacing w:before="0" w:beforeLines="0" w:after="0" w:afterLines="0"/>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乙方：</w:t>
            </w:r>
            <w:r>
              <w:rPr>
                <w:rFonts w:hint="eastAsia" w:hAnsi="宋体" w:cs="宋体"/>
                <w:color w:val="000000" w:themeColor="text1"/>
                <w:highlight w:val="none"/>
                <w:lang w:val="en-US" w:eastAsia="zh-CN"/>
                <w14:textFill>
                  <w14:solidFill>
                    <w14:schemeClr w14:val="tx1"/>
                  </w14:solidFill>
                </w14:textFill>
              </w:rPr>
              <w:t xml:space="preserve">                 </w:t>
            </w:r>
          </w:p>
        </w:tc>
      </w:tr>
      <w:tr w14:paraId="4A66620F">
        <w:tblPrEx>
          <w:tblCellMar>
            <w:top w:w="0" w:type="dxa"/>
            <w:left w:w="108" w:type="dxa"/>
            <w:bottom w:w="0" w:type="dxa"/>
            <w:right w:w="108" w:type="dxa"/>
          </w:tblCellMar>
        </w:tblPrEx>
        <w:trPr>
          <w:trHeight w:val="528" w:hRule="atLeast"/>
        </w:trPr>
        <w:tc>
          <w:tcPr>
            <w:tcW w:w="4373" w:type="dxa"/>
            <w:noWrap w:val="0"/>
            <w:vAlign w:val="top"/>
          </w:tcPr>
          <w:p w14:paraId="67A865DD">
            <w:pPr>
              <w:pStyle w:val="20"/>
              <w:widowControl/>
              <w:spacing w:before="0" w:beforeLines="0" w:after="0" w:afterLines="0"/>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地址：</w:t>
            </w:r>
            <w:r>
              <w:rPr>
                <w:rFonts w:hint="eastAsia" w:hAnsi="宋体" w:cs="宋体"/>
                <w:color w:val="000000" w:themeColor="text1"/>
                <w:highlight w:val="none"/>
                <w:lang w:val="en-US" w:eastAsia="zh-CN"/>
                <w14:textFill>
                  <w14:solidFill>
                    <w14:schemeClr w14:val="tx1"/>
                  </w14:solidFill>
                </w14:textFill>
              </w:rPr>
              <w:t xml:space="preserve">    </w:t>
            </w:r>
          </w:p>
        </w:tc>
        <w:tc>
          <w:tcPr>
            <w:tcW w:w="4186" w:type="dxa"/>
            <w:noWrap w:val="0"/>
            <w:vAlign w:val="top"/>
          </w:tcPr>
          <w:p w14:paraId="4914861C">
            <w:pPr>
              <w:pStyle w:val="20"/>
              <w:widowControl/>
              <w:spacing w:before="0" w:beforeLines="0" w:after="0" w:afterLines="0"/>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地址：</w:t>
            </w:r>
            <w:r>
              <w:rPr>
                <w:rFonts w:hint="eastAsia" w:hAnsi="宋体" w:cs="宋体"/>
                <w:color w:val="000000" w:themeColor="text1"/>
                <w:highlight w:val="none"/>
                <w:lang w:val="en-US" w:eastAsia="zh-CN"/>
                <w14:textFill>
                  <w14:solidFill>
                    <w14:schemeClr w14:val="tx1"/>
                  </w14:solidFill>
                </w14:textFill>
              </w:rPr>
              <w:t xml:space="preserve">                </w:t>
            </w:r>
          </w:p>
        </w:tc>
      </w:tr>
      <w:tr w14:paraId="340464C3">
        <w:tblPrEx>
          <w:tblCellMar>
            <w:top w:w="0" w:type="dxa"/>
            <w:left w:w="108" w:type="dxa"/>
            <w:bottom w:w="0" w:type="dxa"/>
            <w:right w:w="108" w:type="dxa"/>
          </w:tblCellMar>
        </w:tblPrEx>
        <w:trPr>
          <w:trHeight w:val="528" w:hRule="atLeast"/>
        </w:trPr>
        <w:tc>
          <w:tcPr>
            <w:tcW w:w="4373" w:type="dxa"/>
            <w:noWrap w:val="0"/>
            <w:vAlign w:val="top"/>
          </w:tcPr>
          <w:p w14:paraId="23B4FCDA">
            <w:pPr>
              <w:pStyle w:val="20"/>
              <w:widowControl/>
              <w:spacing w:before="0" w:beforeLines="0" w:after="0" w:afterLines="0"/>
              <w:rPr>
                <w:rFonts w:hint="eastAsia" w:ascii="宋体" w:hAnsi="宋体" w:eastAsia="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法定代表人： </w:t>
            </w:r>
          </w:p>
        </w:tc>
        <w:tc>
          <w:tcPr>
            <w:tcW w:w="4186" w:type="dxa"/>
            <w:noWrap w:val="0"/>
            <w:vAlign w:val="top"/>
          </w:tcPr>
          <w:p w14:paraId="06015280">
            <w:pPr>
              <w:pStyle w:val="20"/>
              <w:widowControl/>
              <w:spacing w:before="0" w:beforeLines="0" w:after="0" w:afterLines="0"/>
              <w:rPr>
                <w:rFonts w:hint="eastAsia" w:ascii="宋体" w:hAnsi="宋体" w:eastAsia="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法定代表人：</w:t>
            </w:r>
          </w:p>
        </w:tc>
      </w:tr>
      <w:tr w14:paraId="4CFDDB5E">
        <w:tblPrEx>
          <w:tblCellMar>
            <w:top w:w="0" w:type="dxa"/>
            <w:left w:w="108" w:type="dxa"/>
            <w:bottom w:w="0" w:type="dxa"/>
            <w:right w:w="108" w:type="dxa"/>
          </w:tblCellMar>
        </w:tblPrEx>
        <w:trPr>
          <w:trHeight w:val="528" w:hRule="atLeast"/>
        </w:trPr>
        <w:tc>
          <w:tcPr>
            <w:tcW w:w="4373" w:type="dxa"/>
            <w:noWrap w:val="0"/>
            <w:vAlign w:val="top"/>
          </w:tcPr>
          <w:p w14:paraId="7A44E119">
            <w:pPr>
              <w:pStyle w:val="20"/>
              <w:widowControl/>
              <w:spacing w:before="0" w:beforeLines="0" w:after="0" w:afterLines="0"/>
              <w:rPr>
                <w:rFonts w:hint="eastAsia" w:ascii="宋体" w:hAnsi="宋体" w:eastAsia="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签订地点：  </w:t>
            </w:r>
          </w:p>
        </w:tc>
        <w:tc>
          <w:tcPr>
            <w:tcW w:w="4186" w:type="dxa"/>
            <w:noWrap w:val="0"/>
            <w:vAlign w:val="top"/>
          </w:tcPr>
          <w:p w14:paraId="6BAC0166">
            <w:pPr>
              <w:pStyle w:val="20"/>
              <w:widowControl/>
              <w:spacing w:before="0" w:beforeLines="0" w:after="0" w:afterLines="0"/>
              <w:rPr>
                <w:rFonts w:hint="eastAsia" w:ascii="宋体" w:hAnsi="宋体" w:eastAsia="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签订日期：</w:t>
            </w:r>
          </w:p>
        </w:tc>
      </w:tr>
    </w:tbl>
    <w:p w14:paraId="4146A6C7">
      <w:pPr>
        <w:pStyle w:val="17"/>
        <w:spacing w:line="360" w:lineRule="auto"/>
        <w:ind w:firstLine="0"/>
        <w:jc w:val="right"/>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cr/>
      </w:r>
    </w:p>
    <w:p w14:paraId="0B8A5AD4">
      <w:pPr>
        <w:pStyle w:val="17"/>
        <w:spacing w:line="360" w:lineRule="auto"/>
        <w:ind w:firstLine="0"/>
        <w:rPr>
          <w:rFonts w:ascii="宋体" w:hAnsi="宋体" w:cs="宋体"/>
          <w:color w:val="000000" w:themeColor="text1"/>
          <w:sz w:val="21"/>
          <w:szCs w:val="21"/>
          <w:highlight w:val="none"/>
          <w14:textFill>
            <w14:solidFill>
              <w14:schemeClr w14:val="tx1"/>
            </w14:solidFill>
          </w14:textFill>
        </w:rPr>
        <w:sectPr>
          <w:headerReference r:id="rId16" w:type="default"/>
          <w:pgSz w:w="11907" w:h="16840"/>
          <w:pgMar w:top="1418" w:right="1701" w:bottom="1418" w:left="1701" w:header="720" w:footer="720" w:gutter="0"/>
          <w:cols w:space="720" w:num="1"/>
          <w:docGrid w:type="lines" w:linePitch="285" w:charSpace="0"/>
        </w:sectPr>
      </w:pPr>
    </w:p>
    <w:p w14:paraId="5A44062A">
      <w:pPr>
        <w:widowControl/>
        <w:jc w:val="left"/>
        <w:rPr>
          <w:rFonts w:ascii="宋体" w:hAnsi="宋体"/>
          <w:color w:val="000000" w:themeColor="text1"/>
          <w:szCs w:val="21"/>
          <w:highlight w:val="none"/>
          <w14:textFill>
            <w14:solidFill>
              <w14:schemeClr w14:val="tx1"/>
            </w14:solidFill>
          </w14:textFill>
        </w:rPr>
      </w:pPr>
    </w:p>
    <w:p w14:paraId="578A8B90">
      <w:pPr>
        <w:widowControl/>
        <w:jc w:val="left"/>
        <w:rPr>
          <w:rFonts w:ascii="宋体" w:hAnsi="宋体"/>
          <w:color w:val="000000" w:themeColor="text1"/>
          <w:szCs w:val="21"/>
          <w:highlight w:val="none"/>
          <w14:textFill>
            <w14:solidFill>
              <w14:schemeClr w14:val="tx1"/>
            </w14:solidFill>
          </w14:textFill>
        </w:rPr>
      </w:pPr>
    </w:p>
    <w:bookmarkEnd w:id="141"/>
    <w:p w14:paraId="1E47EA89">
      <w:pPr>
        <w:pStyle w:val="3"/>
        <w:spacing w:beforeLines="0" w:afterLines="0" w:line="360" w:lineRule="auto"/>
        <w:rPr>
          <w:rFonts w:ascii="宋体" w:hAnsi="宋体"/>
          <w:color w:val="000000" w:themeColor="text1"/>
          <w:sz w:val="32"/>
          <w:szCs w:val="32"/>
          <w:highlight w:val="none"/>
          <w14:textFill>
            <w14:solidFill>
              <w14:schemeClr w14:val="tx1"/>
            </w14:solidFill>
          </w14:textFill>
        </w:rPr>
      </w:pPr>
      <w:bookmarkStart w:id="142" w:name="_Toc12950"/>
      <w:bookmarkStart w:id="143" w:name="_Toc316649303"/>
      <w:r>
        <w:rPr>
          <w:rFonts w:hint="eastAsia" w:ascii="宋体" w:hAnsi="宋体"/>
          <w:color w:val="000000" w:themeColor="text1"/>
          <w:sz w:val="32"/>
          <w:szCs w:val="32"/>
          <w:highlight w:val="none"/>
          <w14:textFill>
            <w14:solidFill>
              <w14:schemeClr w14:val="tx1"/>
            </w14:solidFill>
          </w14:textFill>
        </w:rPr>
        <w:t>第七部分 投标文件格式</w:t>
      </w:r>
      <w:bookmarkEnd w:id="142"/>
      <w:bookmarkEnd w:id="143"/>
    </w:p>
    <w:p w14:paraId="06523E8B">
      <w:pPr>
        <w:jc w:val="center"/>
        <w:rPr>
          <w:rFonts w:ascii="宋体" w:hAnsi="宋体" w:cs="宋体"/>
          <w:b/>
          <w:color w:val="000000" w:themeColor="text1"/>
          <w:sz w:val="36"/>
          <w:szCs w:val="36"/>
          <w:highlight w:val="none"/>
          <w:u w:val="single"/>
          <w14:textFill>
            <w14:solidFill>
              <w14:schemeClr w14:val="tx1"/>
            </w14:solidFill>
          </w14:textFill>
        </w:rPr>
      </w:pPr>
    </w:p>
    <w:p w14:paraId="26F81248">
      <w:pPr>
        <w:jc w:val="center"/>
        <w:rPr>
          <w:rFonts w:ascii="宋体" w:hAnsi="宋体" w:cs="宋体"/>
          <w:b/>
          <w:color w:val="000000" w:themeColor="text1"/>
          <w:sz w:val="36"/>
          <w:szCs w:val="36"/>
          <w:highlight w:val="none"/>
          <w:u w:val="single"/>
          <w14:textFill>
            <w14:solidFill>
              <w14:schemeClr w14:val="tx1"/>
            </w14:solidFill>
          </w14:textFill>
        </w:rPr>
      </w:pPr>
    </w:p>
    <w:p w14:paraId="5D796202">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 xml:space="preserve">1、投标文件的外包装封面 </w:t>
      </w:r>
    </w:p>
    <w:p w14:paraId="5488CC8D">
      <w:pPr>
        <w:widowControl/>
        <w:spacing w:before="240" w:beforeLines="100" w:line="360" w:lineRule="auto"/>
        <w:jc w:val="center"/>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电子备份投标文件</w:t>
      </w:r>
    </w:p>
    <w:p w14:paraId="7357F04F">
      <w:pPr>
        <w:widowControl/>
        <w:spacing w:line="360" w:lineRule="auto"/>
        <w:jc w:val="left"/>
        <w:rPr>
          <w:rFonts w:cs="宋体" w:asciiTheme="minorEastAsia" w:hAnsiTheme="minorEastAsia" w:eastAsiaTheme="minorEastAsia"/>
          <w:color w:val="000000" w:themeColor="text1"/>
          <w:kern w:val="0"/>
          <w:szCs w:val="21"/>
          <w:highlight w:val="none"/>
          <w14:textFill>
            <w14:solidFill>
              <w14:schemeClr w14:val="tx1"/>
            </w14:solidFill>
          </w14:textFill>
        </w:rPr>
      </w:pPr>
    </w:p>
    <w:p w14:paraId="3BD65AC7">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项目编号： </w:t>
      </w:r>
    </w:p>
    <w:p w14:paraId="29492C6A">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项目名称： </w:t>
      </w:r>
    </w:p>
    <w:p w14:paraId="18B7D9B4">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投标人名称（加盖公章）： </w:t>
      </w:r>
    </w:p>
    <w:p w14:paraId="259B5A96">
      <w:pPr>
        <w:widowControl/>
        <w:spacing w:line="360" w:lineRule="auto"/>
        <w:jc w:val="left"/>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投标人地址： </w:t>
      </w:r>
    </w:p>
    <w:p w14:paraId="0C950779">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p>
    <w:p w14:paraId="15F4112F">
      <w:pPr>
        <w:widowControl/>
        <w:spacing w:line="360" w:lineRule="auto"/>
        <w:jc w:val="left"/>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                                                        年 月 日 </w:t>
      </w:r>
    </w:p>
    <w:p w14:paraId="21BB3BAE">
      <w:pPr>
        <w:widowControl/>
        <w:spacing w:line="360" w:lineRule="auto"/>
        <w:jc w:val="left"/>
        <w:rPr>
          <w:rFonts w:cs="宋体" w:asciiTheme="minorEastAsia" w:hAnsiTheme="minorEastAsia" w:eastAsiaTheme="minorEastAsia"/>
          <w:color w:val="000000" w:themeColor="text1"/>
          <w:kern w:val="0"/>
          <w:szCs w:val="21"/>
          <w:highlight w:val="none"/>
          <w14:textFill>
            <w14:solidFill>
              <w14:schemeClr w14:val="tx1"/>
            </w14:solidFill>
          </w14:textFill>
        </w:rPr>
      </w:pPr>
    </w:p>
    <w:p w14:paraId="31D550DE">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p>
    <w:p w14:paraId="7F2A3116">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 xml:space="preserve">2、投标文件封面格式 </w:t>
      </w:r>
    </w:p>
    <w:p w14:paraId="06BEC893">
      <w:pPr>
        <w:widowControl/>
        <w:spacing w:before="240" w:beforeLines="100" w:line="360" w:lineRule="auto"/>
        <w:jc w:val="center"/>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资格文件/商务技术文件/报价文件</w:t>
      </w:r>
    </w:p>
    <w:p w14:paraId="3EEFAD92">
      <w:pPr>
        <w:widowControl/>
        <w:spacing w:line="360" w:lineRule="auto"/>
        <w:jc w:val="left"/>
        <w:rPr>
          <w:rFonts w:cs="宋体" w:asciiTheme="minorEastAsia" w:hAnsiTheme="minorEastAsia" w:eastAsiaTheme="minorEastAsia"/>
          <w:color w:val="000000" w:themeColor="text1"/>
          <w:kern w:val="0"/>
          <w:szCs w:val="21"/>
          <w:highlight w:val="none"/>
          <w14:textFill>
            <w14:solidFill>
              <w14:schemeClr w14:val="tx1"/>
            </w14:solidFill>
          </w14:textFill>
        </w:rPr>
      </w:pPr>
    </w:p>
    <w:p w14:paraId="1A67417F">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项目编号： </w:t>
      </w:r>
    </w:p>
    <w:p w14:paraId="702340C5">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项目名称： </w:t>
      </w:r>
    </w:p>
    <w:p w14:paraId="206AF845">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投标人名称（加盖公章）： </w:t>
      </w:r>
    </w:p>
    <w:p w14:paraId="456AA102">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投标人地址： </w:t>
      </w:r>
    </w:p>
    <w:p w14:paraId="1D69C8AC">
      <w:pPr>
        <w:widowControl/>
        <w:spacing w:line="360" w:lineRule="auto"/>
        <w:jc w:val="left"/>
        <w:rPr>
          <w:rFonts w:cs="宋体" w:asciiTheme="minorEastAsia" w:hAnsiTheme="minorEastAsia" w:eastAsiaTheme="minorEastAsia"/>
          <w:color w:val="000000" w:themeColor="text1"/>
          <w:kern w:val="0"/>
          <w:szCs w:val="21"/>
          <w:highlight w:val="none"/>
          <w14:textFill>
            <w14:solidFill>
              <w14:schemeClr w14:val="tx1"/>
            </w14:solidFill>
          </w14:textFill>
        </w:rPr>
      </w:pPr>
    </w:p>
    <w:p w14:paraId="13086E33">
      <w:pPr>
        <w:spacing w:line="400" w:lineRule="exact"/>
        <w:rPr>
          <w:rFonts w:asciiTheme="minorEastAsia" w:hAnsiTheme="minorEastAsia" w:eastAsiaTheme="minorEastAsia"/>
          <w:bCs/>
          <w:color w:val="000000" w:themeColor="text1"/>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 xml:space="preserve">                                                       年 月 日</w:t>
      </w:r>
      <w:r>
        <w:rPr>
          <w:rFonts w:asciiTheme="minorEastAsia" w:hAnsiTheme="minorEastAsia" w:eastAsiaTheme="minorEastAsia"/>
          <w:bCs/>
          <w:color w:val="000000" w:themeColor="text1"/>
          <w:sz w:val="24"/>
          <w:szCs w:val="24"/>
          <w:highlight w:val="none"/>
          <w14:textFill>
            <w14:solidFill>
              <w14:schemeClr w14:val="tx1"/>
            </w14:solidFill>
          </w14:textFill>
        </w:rPr>
        <w:br w:type="page"/>
      </w:r>
    </w:p>
    <w:p w14:paraId="305D26CD">
      <w:pPr>
        <w:adjustRightInd w:val="0"/>
        <w:snapToGrid w:val="0"/>
        <w:jc w:val="center"/>
        <w:rPr>
          <w:rFonts w:asciiTheme="minorEastAsia" w:hAnsiTheme="minorEastAsia" w:eastAsiaTheme="minorEastAsia"/>
          <w:b/>
          <w:color w:val="000000" w:themeColor="text1"/>
          <w:sz w:val="24"/>
          <w:highlight w:val="none"/>
          <w14:textFill>
            <w14:solidFill>
              <w14:schemeClr w14:val="tx1"/>
            </w14:solidFill>
          </w14:textFill>
        </w:rPr>
      </w:pPr>
    </w:p>
    <w:p w14:paraId="18F43742">
      <w:pPr>
        <w:adjustRightInd w:val="0"/>
        <w:snapToGrid w:val="0"/>
        <w:jc w:val="center"/>
        <w:rPr>
          <w:rFonts w:asciiTheme="minorEastAsia" w:hAnsiTheme="minorEastAsia" w:eastAsiaTheme="minorEastAsia"/>
          <w:b/>
          <w:color w:val="000000" w:themeColor="text1"/>
          <w:sz w:val="24"/>
          <w:highlight w:val="none"/>
          <w14:textFill>
            <w14:solidFill>
              <w14:schemeClr w14:val="tx1"/>
            </w14:solidFill>
          </w14:textFill>
        </w:rPr>
      </w:pPr>
    </w:p>
    <w:p w14:paraId="3175679E">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资格文件组成：</w:t>
      </w:r>
    </w:p>
    <w:p w14:paraId="5F682BEA">
      <w:pPr>
        <w:widowControl/>
        <w:spacing w:line="360" w:lineRule="auto"/>
        <w:ind w:firstLine="420" w:firstLineChars="200"/>
        <w:jc w:val="lef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（1）符合参加政府采购活动应当具备的一般条件的承诺函；</w:t>
      </w:r>
    </w:p>
    <w:p w14:paraId="7DEE677F">
      <w:pPr>
        <w:widowControl/>
        <w:spacing w:line="360" w:lineRule="auto"/>
        <w:ind w:firstLine="420" w:firstLineChars="200"/>
        <w:jc w:val="lef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（2）有效的企业法人营业执照（或事业法人登记证）、其他组织（个体工商户的营业执照或者民办非企业单位登记证书复印件。投标人如果有名称变更的，应提供由行政主管部门出具的变更证明文件；</w:t>
      </w:r>
    </w:p>
    <w:p w14:paraId="5B59DA09">
      <w:pPr>
        <w:widowControl/>
        <w:spacing w:line="360" w:lineRule="auto"/>
        <w:ind w:firstLine="420" w:firstLineChars="200"/>
        <w:jc w:val="lef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（3）落实政府采购政策需满足的资格要求；</w:t>
      </w:r>
    </w:p>
    <w:p w14:paraId="13284FA4">
      <w:pPr>
        <w:widowControl/>
        <w:spacing w:line="360" w:lineRule="auto"/>
        <w:ind w:firstLine="420" w:firstLineChars="200"/>
        <w:jc w:val="lef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（4）投标人的特定条件的证明文件（如有）。</w:t>
      </w:r>
    </w:p>
    <w:p w14:paraId="2E8027B4">
      <w:pPr>
        <w:widowControl/>
        <w:jc w:val="left"/>
        <w:rPr>
          <w:rFonts w:asciiTheme="minorEastAsia" w:hAnsiTheme="minorEastAsia" w:eastAsiaTheme="minorEastAsia"/>
          <w:b/>
          <w:color w:val="000000" w:themeColor="text1"/>
          <w:sz w:val="24"/>
          <w:highlight w:val="none"/>
          <w14:textFill>
            <w14:solidFill>
              <w14:schemeClr w14:val="tx1"/>
            </w14:solidFill>
          </w14:textFill>
        </w:rPr>
      </w:pPr>
      <w:r>
        <w:rPr>
          <w:rFonts w:asciiTheme="minorEastAsia" w:hAnsiTheme="minorEastAsia" w:eastAsiaTheme="minorEastAsia"/>
          <w:b/>
          <w:color w:val="000000" w:themeColor="text1"/>
          <w:sz w:val="24"/>
          <w:highlight w:val="none"/>
          <w14:textFill>
            <w14:solidFill>
              <w14:schemeClr w14:val="tx1"/>
            </w14:solidFill>
          </w14:textFill>
        </w:rPr>
        <w:br w:type="page"/>
      </w:r>
    </w:p>
    <w:p w14:paraId="1A227252">
      <w:pPr>
        <w:snapToGrid w:val="0"/>
        <w:spacing w:line="360" w:lineRule="auto"/>
        <w:ind w:firstLine="424" w:firstLineChars="202"/>
        <w:rPr>
          <w:rFonts w:asciiTheme="minorEastAsia" w:hAnsiTheme="minorEastAsia" w:eastAsiaTheme="minorEastAsia"/>
          <w:color w:val="000000" w:themeColor="text1"/>
          <w:szCs w:val="21"/>
          <w:highlight w:val="none"/>
          <w14:textFill>
            <w14:solidFill>
              <w14:schemeClr w14:val="tx1"/>
            </w14:solidFill>
          </w14:textFill>
        </w:rPr>
      </w:pPr>
    </w:p>
    <w:p w14:paraId="0EBF7919">
      <w:pPr>
        <w:pStyle w:val="4"/>
        <w:spacing w:line="380" w:lineRule="exact"/>
        <w:ind w:left="0" w:firstLine="0"/>
        <w:rPr>
          <w:rFonts w:cs="仿宋_GB2312" w:asciiTheme="minorEastAsia" w:hAnsiTheme="minorEastAsia" w:eastAsiaTheme="minorEastAsia"/>
          <w:color w:val="000000" w:themeColor="text1"/>
          <w:highlight w:val="none"/>
          <w14:textFill>
            <w14:solidFill>
              <w14:schemeClr w14:val="tx1"/>
            </w14:solidFill>
          </w14:textFill>
        </w:rPr>
      </w:pPr>
      <w:bookmarkStart w:id="144" w:name="_Toc136345114"/>
      <w:bookmarkStart w:id="145" w:name="_Toc136017653"/>
      <w:bookmarkStart w:id="146" w:name="_Toc15428"/>
      <w:r>
        <w:rPr>
          <w:rFonts w:hint="eastAsia" w:asciiTheme="minorEastAsia" w:hAnsiTheme="minorEastAsia" w:eastAsiaTheme="minorEastAsia"/>
          <w:color w:val="000000" w:themeColor="text1"/>
          <w:sz w:val="28"/>
          <w:szCs w:val="28"/>
          <w:highlight w:val="none"/>
          <w14:textFill>
            <w14:solidFill>
              <w14:schemeClr w14:val="tx1"/>
            </w14:solidFill>
          </w14:textFill>
        </w:rPr>
        <w:t>（一）</w:t>
      </w:r>
      <w:r>
        <w:rPr>
          <w:rFonts w:cs="仿宋_GB2312" w:asciiTheme="minorEastAsia" w:hAnsiTheme="minorEastAsia" w:eastAsiaTheme="minorEastAsia"/>
          <w:color w:val="000000" w:themeColor="text1"/>
          <w:highlight w:val="none"/>
          <w14:textFill>
            <w14:solidFill>
              <w14:schemeClr w14:val="tx1"/>
            </w14:solidFill>
          </w14:textFill>
        </w:rPr>
        <w:t xml:space="preserve"> 符合参加政府采购活动应当具备的一般条件的承诺函</w:t>
      </w:r>
      <w:bookmarkEnd w:id="144"/>
      <w:bookmarkEnd w:id="145"/>
      <w:bookmarkEnd w:id="146"/>
    </w:p>
    <w:p w14:paraId="58190797">
      <w:pPr>
        <w:snapToGrid w:val="0"/>
        <w:spacing w:line="360" w:lineRule="auto"/>
        <w:rPr>
          <w:rFonts w:asciiTheme="minorEastAsia" w:hAnsiTheme="minorEastAsia" w:eastAsiaTheme="minorEastAsia"/>
          <w:color w:val="000000" w:themeColor="text1"/>
          <w:sz w:val="24"/>
          <w:highlight w:val="none"/>
          <w14:textFill>
            <w14:solidFill>
              <w14:schemeClr w14:val="tx1"/>
            </w14:solidFill>
          </w14:textFill>
        </w:rPr>
      </w:pPr>
    </w:p>
    <w:p w14:paraId="517C9834">
      <w:pPr>
        <w:snapToGrid w:val="0"/>
        <w:spacing w:line="360" w:lineRule="auto"/>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i/>
          <w:iCs/>
          <w:color w:val="000000" w:themeColor="text1"/>
          <w:szCs w:val="21"/>
          <w:highlight w:val="none"/>
          <w:u w:val="single"/>
          <w14:textFill>
            <w14:solidFill>
              <w14:schemeClr w14:val="tx1"/>
            </w14:solidFill>
          </w14:textFill>
        </w:rPr>
        <w:t xml:space="preserve"> （采购人、采购代理机构） </w:t>
      </w:r>
      <w:r>
        <w:rPr>
          <w:rFonts w:hint="eastAsia" w:cs="仿宋_GB2312" w:asciiTheme="minorEastAsia" w:hAnsiTheme="minorEastAsia" w:eastAsiaTheme="minorEastAsia"/>
          <w:color w:val="000000" w:themeColor="text1"/>
          <w:szCs w:val="21"/>
          <w:highlight w:val="none"/>
          <w14:textFill>
            <w14:solidFill>
              <w14:schemeClr w14:val="tx1"/>
            </w14:solidFill>
          </w14:textFill>
        </w:rPr>
        <w:t>：</w:t>
      </w:r>
    </w:p>
    <w:p w14:paraId="27F9729C">
      <w:pPr>
        <w:snapToGrid w:val="0"/>
        <w:spacing w:line="360" w:lineRule="auto"/>
        <w:ind w:firstLine="420" w:firstLineChars="200"/>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我方参与</w:t>
      </w:r>
      <w:r>
        <w:rPr>
          <w:rFonts w:hint="eastAsia" w:asciiTheme="minorEastAsia" w:hAnsiTheme="minorEastAsia" w:eastAsiaTheme="minorEastAsia"/>
          <w:color w:val="000000" w:themeColor="text1"/>
          <w:szCs w:val="21"/>
          <w:highlight w:val="none"/>
          <w14:textFill>
            <w14:solidFill>
              <w14:schemeClr w14:val="tx1"/>
            </w14:solidFill>
          </w14:textFill>
        </w:rPr>
        <w:t>项目</w:t>
      </w:r>
      <w:r>
        <w:rPr>
          <w:rFonts w:hint="eastAsia" w:cs="仿宋_GB2312" w:asciiTheme="minorEastAsia" w:hAnsiTheme="minorEastAsia" w:eastAsiaTheme="minorEastAsia"/>
          <w:color w:val="000000" w:themeColor="text1"/>
          <w:szCs w:val="21"/>
          <w:highlight w:val="none"/>
          <w14:textFill>
            <w14:solidFill>
              <w14:schemeClr w14:val="tx1"/>
            </w14:solidFill>
          </w14:textFill>
        </w:rPr>
        <w:t>【招标编号：】政府采购活动，郑重承诺：</w:t>
      </w:r>
    </w:p>
    <w:p w14:paraId="00F5BB04">
      <w:pPr>
        <w:snapToGrid w:val="0"/>
        <w:spacing w:line="360" w:lineRule="auto"/>
        <w:ind w:firstLine="315" w:firstLineChars="150"/>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（一）具备《中华人民共和国政府采购法》第二十二条第一款规定的条件：</w:t>
      </w:r>
    </w:p>
    <w:p w14:paraId="4BDCE58A">
      <w:pPr>
        <w:snapToGrid w:val="0"/>
        <w:spacing w:line="360" w:lineRule="auto"/>
        <w:ind w:firstLine="420" w:firstLineChars="200"/>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1、</w:t>
      </w:r>
      <w:r>
        <w:rPr>
          <w:rFonts w:cs="仿宋_GB2312" w:asciiTheme="minorEastAsia" w:hAnsiTheme="minorEastAsia" w:eastAsiaTheme="minorEastAsia"/>
          <w:color w:val="000000" w:themeColor="text1"/>
          <w:szCs w:val="21"/>
          <w:highlight w:val="none"/>
          <w14:textFill>
            <w14:solidFill>
              <w14:schemeClr w14:val="tx1"/>
            </w14:solidFill>
          </w14:textFill>
        </w:rPr>
        <w:t>具有独立承担民事责任的能力；</w:t>
      </w:r>
    </w:p>
    <w:p w14:paraId="700E6D7C">
      <w:pPr>
        <w:snapToGrid w:val="0"/>
        <w:spacing w:line="360" w:lineRule="auto"/>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2、</w:t>
      </w:r>
      <w:r>
        <w:rPr>
          <w:rFonts w:asciiTheme="minorEastAsia" w:hAnsiTheme="minorEastAsia" w:eastAsiaTheme="minorEastAsia"/>
          <w:color w:val="000000" w:themeColor="text1"/>
          <w:szCs w:val="21"/>
          <w:highlight w:val="none"/>
          <w14:textFill>
            <w14:solidFill>
              <w14:schemeClr w14:val="tx1"/>
            </w14:solidFill>
          </w14:textFill>
        </w:rPr>
        <w:t xml:space="preserve">具有良好的商业信誉和健全的财务会计制度； </w:t>
      </w:r>
    </w:p>
    <w:p w14:paraId="385CEBA0">
      <w:pPr>
        <w:snapToGrid w:val="0"/>
        <w:spacing w:line="360" w:lineRule="auto"/>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3、</w:t>
      </w:r>
      <w:r>
        <w:rPr>
          <w:rFonts w:asciiTheme="minorEastAsia" w:hAnsiTheme="minorEastAsia" w:eastAsiaTheme="minorEastAsia"/>
          <w:color w:val="000000" w:themeColor="text1"/>
          <w:szCs w:val="21"/>
          <w:highlight w:val="none"/>
          <w14:textFill>
            <w14:solidFill>
              <w14:schemeClr w14:val="tx1"/>
            </w14:solidFill>
          </w14:textFill>
        </w:rPr>
        <w:t>具有履行合同所必需的设备和专业技术能力；</w:t>
      </w:r>
    </w:p>
    <w:p w14:paraId="4E211A82">
      <w:pPr>
        <w:snapToGrid w:val="0"/>
        <w:spacing w:line="360" w:lineRule="auto"/>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4、</w:t>
      </w:r>
      <w:r>
        <w:rPr>
          <w:rFonts w:asciiTheme="minorEastAsia" w:hAnsiTheme="minorEastAsia" w:eastAsiaTheme="minorEastAsia"/>
          <w:color w:val="000000" w:themeColor="text1"/>
          <w:szCs w:val="21"/>
          <w:highlight w:val="none"/>
          <w14:textFill>
            <w14:solidFill>
              <w14:schemeClr w14:val="tx1"/>
            </w14:solidFill>
          </w14:textFill>
        </w:rPr>
        <w:t>有依法缴纳税收和社会保障资金的良好记录；</w:t>
      </w:r>
    </w:p>
    <w:p w14:paraId="1CE91D9D">
      <w:pPr>
        <w:snapToGrid w:val="0"/>
        <w:spacing w:line="360" w:lineRule="auto"/>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5、</w:t>
      </w:r>
      <w:r>
        <w:rPr>
          <w:rFonts w:asciiTheme="minorEastAsia" w:hAnsiTheme="minorEastAsia" w:eastAsiaTheme="minorEastAsia"/>
          <w:color w:val="000000" w:themeColor="text1"/>
          <w:szCs w:val="21"/>
          <w:highlight w:val="none"/>
          <w14:textFill>
            <w14:solidFill>
              <w14:schemeClr w14:val="tx1"/>
            </w14:solidFill>
          </w14:textFill>
        </w:rPr>
        <w:t>参加政府采购活动前三年内，在经营活动中没有重大违法记录；</w:t>
      </w:r>
    </w:p>
    <w:p w14:paraId="5491EC8C">
      <w:pPr>
        <w:snapToGrid w:val="0"/>
        <w:spacing w:line="360" w:lineRule="auto"/>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6、</w:t>
      </w:r>
      <w:r>
        <w:rPr>
          <w:rFonts w:asciiTheme="minorEastAsia" w:hAnsiTheme="minorEastAsia" w:eastAsiaTheme="minorEastAsia"/>
          <w:color w:val="000000" w:themeColor="text1"/>
          <w:szCs w:val="21"/>
          <w:highlight w:val="none"/>
          <w14:textFill>
            <w14:solidFill>
              <w14:schemeClr w14:val="tx1"/>
            </w14:solidFill>
          </w14:textFill>
        </w:rPr>
        <w:t>具有法律、行政法规规定的其他条件。</w:t>
      </w:r>
    </w:p>
    <w:p w14:paraId="2FC6853B">
      <w:pPr>
        <w:snapToGrid w:val="0"/>
        <w:spacing w:line="360" w:lineRule="auto"/>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（二）未被信用中国（</w:t>
      </w:r>
      <w:r>
        <w:rPr>
          <w:rFonts w:asciiTheme="minorEastAsia" w:hAnsiTheme="minorEastAsia" w:eastAsiaTheme="minorEastAsia"/>
          <w:color w:val="000000" w:themeColor="text1"/>
          <w:szCs w:val="21"/>
          <w:highlight w:val="none"/>
          <w14:textFill>
            <w14:solidFill>
              <w14:schemeClr w14:val="tx1"/>
            </w14:solidFill>
          </w14:textFill>
        </w:rPr>
        <w:t>www.creditchina.gov.cn)、中国政府采购网（www.ccgp.gov.cn）列入失信被执行人、重大税收违法案件当事人名单、政府采购严重违法失信行为记录名单。</w:t>
      </w:r>
    </w:p>
    <w:p w14:paraId="762571CA">
      <w:pPr>
        <w:snapToGrid w:val="0"/>
        <w:spacing w:line="360" w:lineRule="auto"/>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（三）不存在以下情况：</w:t>
      </w:r>
    </w:p>
    <w:p w14:paraId="39B5D4CB">
      <w:pPr>
        <w:snapToGrid w:val="0"/>
        <w:spacing w:line="360" w:lineRule="auto"/>
        <w:ind w:firstLine="420" w:firstLineChars="200"/>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1、</w:t>
      </w:r>
      <w:r>
        <w:rPr>
          <w:rFonts w:cs="仿宋_GB2312" w:asciiTheme="minorEastAsia" w:hAnsiTheme="minorEastAsia" w:eastAsiaTheme="minorEastAsia"/>
          <w:color w:val="000000" w:themeColor="text1"/>
          <w:szCs w:val="21"/>
          <w:highlight w:val="none"/>
          <w14:textFill>
            <w14:solidFill>
              <w14:schemeClr w14:val="tx1"/>
            </w14:solidFill>
          </w14:textFill>
        </w:rPr>
        <w:t>单位负责人为同一人或者存在直接控股、管理关系的不同供应商参加同一合同项下的政府采购活动的；</w:t>
      </w:r>
    </w:p>
    <w:p w14:paraId="50889497">
      <w:pPr>
        <w:snapToGrid w:val="0"/>
        <w:spacing w:line="360" w:lineRule="auto"/>
        <w:ind w:firstLine="420" w:firstLineChars="200"/>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2、</w:t>
      </w:r>
      <w:r>
        <w:rPr>
          <w:rFonts w:cs="仿宋_GB2312" w:asciiTheme="minorEastAsia" w:hAnsiTheme="minorEastAsia" w:eastAsiaTheme="minorEastAsia"/>
          <w:color w:val="000000" w:themeColor="text1"/>
          <w:szCs w:val="21"/>
          <w:highlight w:val="none"/>
          <w14:textFill>
            <w14:solidFill>
              <w14:schemeClr w14:val="tx1"/>
            </w14:solidFill>
          </w14:textFill>
        </w:rPr>
        <w:t>为采购项目提供整体设计、规范编制或者项目管理、监理、检测等服务后再参加该采购项目的其他采购活动的</w:t>
      </w:r>
      <w:r>
        <w:rPr>
          <w:rFonts w:hint="eastAsia" w:cs="仿宋_GB2312" w:asciiTheme="minorEastAsia" w:hAnsiTheme="minorEastAsia" w:eastAsiaTheme="minorEastAsia"/>
          <w:color w:val="000000" w:themeColor="text1"/>
          <w:szCs w:val="21"/>
          <w:highlight w:val="none"/>
          <w14:textFill>
            <w14:solidFill>
              <w14:schemeClr w14:val="tx1"/>
            </w14:solidFill>
          </w14:textFill>
        </w:rPr>
        <w:t>；</w:t>
      </w:r>
    </w:p>
    <w:p w14:paraId="1BB60836">
      <w:pPr>
        <w:snapToGrid w:val="0"/>
        <w:spacing w:line="360" w:lineRule="auto"/>
        <w:ind w:firstLine="420" w:firstLineChars="200"/>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3、为公益一类事业单位、使用事业编制且由财政拨款保障的群团组织。</w:t>
      </w:r>
    </w:p>
    <w:p w14:paraId="1BD8F6BF">
      <w:pPr>
        <w:pStyle w:val="15"/>
        <w:rPr>
          <w:color w:val="000000" w:themeColor="text1"/>
          <w:sz w:val="21"/>
          <w:szCs w:val="21"/>
          <w:highlight w:val="none"/>
          <w14:textFill>
            <w14:solidFill>
              <w14:schemeClr w14:val="tx1"/>
            </w14:solidFill>
          </w14:textFill>
        </w:rPr>
      </w:pPr>
    </w:p>
    <w:p w14:paraId="3CF105BE">
      <w:pPr>
        <w:pStyle w:val="2"/>
        <w:jc w:val="both"/>
        <w:rPr>
          <w:rFonts w:cs="仿宋_GB2312" w:asciiTheme="minorEastAsia" w:hAnsiTheme="minorEastAsia" w:eastAsiaTheme="minorEastAsia"/>
          <w:color w:val="000000" w:themeColor="text1"/>
          <w:sz w:val="21"/>
          <w:szCs w:val="21"/>
          <w:highlight w:val="none"/>
          <w14:textFill>
            <w14:solidFill>
              <w14:schemeClr w14:val="tx1"/>
            </w14:solidFill>
          </w14:textFill>
        </w:rPr>
      </w:pPr>
    </w:p>
    <w:p w14:paraId="0469911D">
      <w:pPr>
        <w:rPr>
          <w:rFonts w:cs="仿宋_GB2312" w:asciiTheme="minorEastAsia" w:hAnsiTheme="minorEastAsia" w:eastAsiaTheme="minorEastAsia"/>
          <w:color w:val="000000" w:themeColor="text1"/>
          <w:szCs w:val="21"/>
          <w:highlight w:val="none"/>
          <w14:textFill>
            <w14:solidFill>
              <w14:schemeClr w14:val="tx1"/>
            </w14:solidFill>
          </w14:textFill>
        </w:rPr>
      </w:pPr>
    </w:p>
    <w:p w14:paraId="28B6F863">
      <w:pPr>
        <w:adjustRightInd w:val="0"/>
        <w:snapToGrid w:val="0"/>
        <w:spacing w:line="360" w:lineRule="auto"/>
        <w:ind w:left="425"/>
        <w:rPr>
          <w:rFonts w:asciiTheme="minorEastAsia" w:hAnsiTheme="minorEastAsia" w:eastAsiaTheme="minorEastAsia"/>
          <w:color w:val="000000" w:themeColor="text1"/>
          <w:spacing w:val="4"/>
          <w:szCs w:val="21"/>
          <w:highlight w:val="none"/>
          <w14:textFill>
            <w14:solidFill>
              <w14:schemeClr w14:val="tx1"/>
            </w14:solidFill>
          </w14:textFill>
        </w:rPr>
      </w:pPr>
    </w:p>
    <w:p w14:paraId="54D21938">
      <w:pPr>
        <w:spacing w:line="480" w:lineRule="auto"/>
        <w:ind w:right="420" w:firstLine="5040" w:firstLineChars="24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 xml:space="preserve">投标人（公章）：                               </w:t>
      </w:r>
    </w:p>
    <w:p w14:paraId="37BEC0A4">
      <w:pPr>
        <w:spacing w:line="480" w:lineRule="auto"/>
        <w:ind w:right="420" w:firstLine="3990" w:firstLineChars="19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 xml:space="preserve">投标人代表（签字或印章）：     </w:t>
      </w:r>
    </w:p>
    <w:p w14:paraId="19DBAF32">
      <w:pPr>
        <w:spacing w:line="480" w:lineRule="auto"/>
        <w:ind w:right="420" w:firstLine="3045" w:firstLineChars="145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 xml:space="preserve">                   年    月    日</w:t>
      </w:r>
    </w:p>
    <w:p w14:paraId="7AAD356B">
      <w:pPr>
        <w:pStyle w:val="17"/>
        <w:ind w:firstLine="0"/>
        <w:rPr>
          <w:rFonts w:asciiTheme="minorEastAsia" w:hAnsiTheme="minorEastAsia" w:eastAsiaTheme="minorEastAsia"/>
          <w:color w:val="000000" w:themeColor="text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（若为联合体投标，联合体各方须单独提供并盖章）</w:t>
      </w:r>
    </w:p>
    <w:p w14:paraId="480D7900">
      <w:pPr>
        <w:pStyle w:val="17"/>
        <w:ind w:firstLine="0"/>
        <w:jc w:val="center"/>
        <w:rPr>
          <w:rFonts w:asciiTheme="minorEastAsia" w:hAnsiTheme="minorEastAsia" w:eastAsiaTheme="minorEastAsia"/>
          <w:color w:val="000000" w:themeColor="text1"/>
          <w:highlight w:val="none"/>
          <w14:textFill>
            <w14:solidFill>
              <w14:schemeClr w14:val="tx1"/>
            </w14:solidFill>
          </w14:textFill>
        </w:rPr>
      </w:pPr>
    </w:p>
    <w:p w14:paraId="67619C67">
      <w:pPr>
        <w:pStyle w:val="17"/>
        <w:ind w:firstLine="0"/>
        <w:jc w:val="center"/>
        <w:rPr>
          <w:rFonts w:asciiTheme="minorEastAsia" w:hAnsiTheme="minorEastAsia" w:eastAsiaTheme="minorEastAsia"/>
          <w:color w:val="000000" w:themeColor="text1"/>
          <w:highlight w:val="none"/>
          <w14:textFill>
            <w14:solidFill>
              <w14:schemeClr w14:val="tx1"/>
            </w14:solidFill>
          </w14:textFill>
        </w:rPr>
      </w:pPr>
    </w:p>
    <w:p w14:paraId="6DA9927C">
      <w:pPr>
        <w:pStyle w:val="17"/>
        <w:ind w:firstLine="0"/>
        <w:jc w:val="center"/>
        <w:rPr>
          <w:rFonts w:asciiTheme="minorEastAsia" w:hAnsiTheme="minorEastAsia" w:eastAsiaTheme="minorEastAsia"/>
          <w:color w:val="000000" w:themeColor="text1"/>
          <w:highlight w:val="none"/>
          <w14:textFill>
            <w14:solidFill>
              <w14:schemeClr w14:val="tx1"/>
            </w14:solidFill>
          </w14:textFill>
        </w:rPr>
      </w:pPr>
    </w:p>
    <w:p w14:paraId="713BFEFB">
      <w:pPr>
        <w:pStyle w:val="4"/>
        <w:spacing w:line="380" w:lineRule="exact"/>
        <w:ind w:left="0" w:firstLine="0"/>
        <w:rPr>
          <w:rFonts w:asciiTheme="minorEastAsia" w:hAnsiTheme="minorEastAsia" w:eastAsiaTheme="minorEastAsia"/>
          <w:color w:val="000000" w:themeColor="text1"/>
          <w:sz w:val="28"/>
          <w:szCs w:val="28"/>
          <w:highlight w:val="none"/>
          <w14:textFill>
            <w14:solidFill>
              <w14:schemeClr w14:val="tx1"/>
            </w14:solidFill>
          </w14:textFill>
        </w:rPr>
      </w:pPr>
    </w:p>
    <w:p w14:paraId="00CA7447">
      <w:pPr>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br w:type="page"/>
      </w:r>
    </w:p>
    <w:p w14:paraId="449D3D5F">
      <w:pPr>
        <w:pStyle w:val="4"/>
        <w:spacing w:line="380" w:lineRule="exact"/>
        <w:ind w:left="0" w:firstLine="0"/>
        <w:rPr>
          <w:rFonts w:asciiTheme="minorEastAsia" w:hAnsiTheme="minorEastAsia" w:eastAsiaTheme="minorEastAsia"/>
          <w:color w:val="000000" w:themeColor="text1"/>
          <w:sz w:val="28"/>
          <w:szCs w:val="28"/>
          <w:highlight w:val="none"/>
          <w14:textFill>
            <w14:solidFill>
              <w14:schemeClr w14:val="tx1"/>
            </w14:solidFill>
          </w14:textFill>
        </w:rPr>
      </w:pPr>
    </w:p>
    <w:p w14:paraId="1AFD14AD">
      <w:pPr>
        <w:pStyle w:val="4"/>
        <w:spacing w:line="380" w:lineRule="exact"/>
        <w:ind w:left="0" w:firstLine="0"/>
        <w:rPr>
          <w:rFonts w:asciiTheme="minorEastAsia" w:hAnsiTheme="minorEastAsia" w:eastAsiaTheme="minorEastAsia"/>
          <w:color w:val="000000" w:themeColor="text1"/>
          <w:sz w:val="28"/>
          <w:szCs w:val="28"/>
          <w:highlight w:val="none"/>
          <w14:textFill>
            <w14:solidFill>
              <w14:schemeClr w14:val="tx1"/>
            </w14:solidFill>
          </w14:textFill>
        </w:rPr>
      </w:pPr>
      <w:bookmarkStart w:id="147" w:name="_Toc136345115"/>
      <w:bookmarkStart w:id="148" w:name="_Toc136017654"/>
      <w:bookmarkStart w:id="149" w:name="_Toc8841"/>
      <w:r>
        <w:rPr>
          <w:rFonts w:hint="eastAsia" w:asciiTheme="minorEastAsia" w:hAnsiTheme="minorEastAsia" w:eastAsiaTheme="minorEastAsia"/>
          <w:color w:val="000000" w:themeColor="text1"/>
          <w:sz w:val="28"/>
          <w:szCs w:val="28"/>
          <w:highlight w:val="none"/>
          <w14:textFill>
            <w14:solidFill>
              <w14:schemeClr w14:val="tx1"/>
            </w14:solidFill>
          </w14:textFill>
        </w:rPr>
        <w:t>（二）有效的企业法人营业执照（或事业法人登记证）、其他组织（个体工商户的营业执照或者民办非企业单位登记证书复印件。投标人如果有名称变更的，应提供由行政主管部门出具的变更证明文件</w:t>
      </w:r>
      <w:bookmarkEnd w:id="147"/>
      <w:bookmarkEnd w:id="148"/>
      <w:bookmarkEnd w:id="149"/>
    </w:p>
    <w:p w14:paraId="3A1390A5">
      <w:pPr>
        <w:pStyle w:val="17"/>
        <w:ind w:firstLine="0"/>
        <w:jc w:val="center"/>
        <w:rPr>
          <w:rFonts w:asciiTheme="minorEastAsia" w:hAnsiTheme="minorEastAsia" w:eastAsiaTheme="minorEastAsia"/>
          <w:bCs/>
          <w:color w:val="000000" w:themeColor="text1"/>
          <w:sz w:val="22"/>
          <w:szCs w:val="22"/>
          <w:highlight w:val="none"/>
          <w14:textFill>
            <w14:solidFill>
              <w14:schemeClr w14:val="tx1"/>
            </w14:solidFill>
          </w14:textFill>
        </w:rPr>
      </w:pPr>
      <w:r>
        <w:rPr>
          <w:rFonts w:hint="eastAsia" w:asciiTheme="minorEastAsia" w:hAnsiTheme="minorEastAsia" w:eastAsiaTheme="minorEastAsia"/>
          <w:bCs/>
          <w:color w:val="000000" w:themeColor="text1"/>
          <w:sz w:val="22"/>
          <w:szCs w:val="22"/>
          <w:highlight w:val="none"/>
          <w14:textFill>
            <w14:solidFill>
              <w14:schemeClr w14:val="tx1"/>
            </w14:solidFill>
          </w14:textFill>
        </w:rPr>
        <w:t>（复印件并加盖公章）</w:t>
      </w:r>
    </w:p>
    <w:p w14:paraId="44DA63C2">
      <w:pPr>
        <w:pStyle w:val="17"/>
        <w:ind w:firstLine="0"/>
        <w:jc w:val="center"/>
        <w:rPr>
          <w:rFonts w:asciiTheme="minorEastAsia" w:hAnsiTheme="minorEastAsia" w:eastAsiaTheme="minorEastAsia"/>
          <w:color w:val="000000" w:themeColor="text1"/>
          <w:highlight w:val="none"/>
          <w14:textFill>
            <w14:solidFill>
              <w14:schemeClr w14:val="tx1"/>
            </w14:solidFill>
          </w14:textFill>
        </w:rPr>
      </w:pPr>
    </w:p>
    <w:p w14:paraId="5D9274B3">
      <w:pPr>
        <w:pStyle w:val="17"/>
        <w:ind w:firstLine="0"/>
        <w:jc w:val="center"/>
        <w:rPr>
          <w:rFonts w:asciiTheme="minorEastAsia" w:hAnsiTheme="minorEastAsia" w:eastAsiaTheme="minorEastAsia"/>
          <w:color w:val="000000" w:themeColor="text1"/>
          <w:highlight w:val="none"/>
          <w14:textFill>
            <w14:solidFill>
              <w14:schemeClr w14:val="tx1"/>
            </w14:solidFill>
          </w14:textFill>
        </w:rPr>
      </w:pPr>
    </w:p>
    <w:p w14:paraId="39AC2230">
      <w:pPr>
        <w:pStyle w:val="17"/>
        <w:ind w:firstLine="0"/>
        <w:jc w:val="center"/>
        <w:rPr>
          <w:rFonts w:asciiTheme="minorEastAsia" w:hAnsiTheme="minorEastAsia" w:eastAsiaTheme="minorEastAsia"/>
          <w:color w:val="000000" w:themeColor="text1"/>
          <w:highlight w:val="none"/>
          <w14:textFill>
            <w14:solidFill>
              <w14:schemeClr w14:val="tx1"/>
            </w14:solidFill>
          </w14:textFill>
        </w:rPr>
      </w:pPr>
    </w:p>
    <w:p w14:paraId="5BF622DC">
      <w:pPr>
        <w:pStyle w:val="17"/>
        <w:ind w:firstLine="0"/>
        <w:jc w:val="center"/>
        <w:rPr>
          <w:rFonts w:asciiTheme="minorEastAsia" w:hAnsiTheme="minorEastAsia" w:eastAsiaTheme="minorEastAsia"/>
          <w:color w:val="000000" w:themeColor="text1"/>
          <w:highlight w:val="none"/>
          <w14:textFill>
            <w14:solidFill>
              <w14:schemeClr w14:val="tx1"/>
            </w14:solidFill>
          </w14:textFill>
        </w:rPr>
      </w:pPr>
    </w:p>
    <w:p w14:paraId="170EAA54">
      <w:pPr>
        <w:rPr>
          <w:rFonts w:asciiTheme="minorEastAsia" w:hAnsiTheme="minorEastAsia" w:eastAsiaTheme="minorEastAsia"/>
          <w:color w:val="000000" w:themeColor="text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（若为联合体投标，联合体各方须单独提供并盖章）</w:t>
      </w:r>
      <w:r>
        <w:rPr>
          <w:rFonts w:asciiTheme="minorEastAsia" w:hAnsiTheme="minorEastAsia" w:eastAsiaTheme="minorEastAsia"/>
          <w:color w:val="000000" w:themeColor="text1"/>
          <w:highlight w:val="none"/>
          <w14:textFill>
            <w14:solidFill>
              <w14:schemeClr w14:val="tx1"/>
            </w14:solidFill>
          </w14:textFill>
        </w:rPr>
        <w:br w:type="page"/>
      </w:r>
    </w:p>
    <w:p w14:paraId="39453DD6">
      <w:pPr>
        <w:autoSpaceDE w:val="0"/>
        <w:autoSpaceDN w:val="0"/>
        <w:jc w:val="center"/>
        <w:rPr>
          <w:rFonts w:ascii="宋体" w:hAnsi="宋体" w:cs="宋体"/>
          <w:b/>
          <w:color w:val="000000" w:themeColor="text1"/>
          <w:kern w:val="0"/>
          <w:sz w:val="28"/>
          <w:szCs w:val="28"/>
          <w:highlight w:val="none"/>
          <w14:textFill>
            <w14:solidFill>
              <w14:schemeClr w14:val="tx1"/>
            </w14:solidFill>
          </w14:textFill>
        </w:rPr>
      </w:pPr>
    </w:p>
    <w:p w14:paraId="71051F8A">
      <w:pPr>
        <w:autoSpaceDE w:val="0"/>
        <w:autoSpaceDN w:val="0"/>
        <w:jc w:val="center"/>
        <w:rPr>
          <w:rFonts w:ascii="宋体" w:hAnsi="宋体" w:cs="宋体"/>
          <w:b/>
          <w:color w:val="000000" w:themeColor="text1"/>
          <w:kern w:val="0"/>
          <w:sz w:val="28"/>
          <w:szCs w:val="28"/>
          <w:highlight w:val="none"/>
          <w14:textFill>
            <w14:solidFill>
              <w14:schemeClr w14:val="tx1"/>
            </w14:solidFill>
          </w14:textFill>
        </w:rPr>
      </w:pPr>
      <w:r>
        <w:rPr>
          <w:rFonts w:hint="eastAsia" w:ascii="宋体" w:hAnsi="宋体" w:cs="宋体"/>
          <w:b/>
          <w:color w:val="000000" w:themeColor="text1"/>
          <w:kern w:val="0"/>
          <w:sz w:val="28"/>
          <w:szCs w:val="28"/>
          <w:highlight w:val="none"/>
          <w14:textFill>
            <w14:solidFill>
              <w14:schemeClr w14:val="tx1"/>
            </w14:solidFill>
          </w14:textFill>
        </w:rPr>
        <w:t>（三）落实政府采购政策需满足的资格要求</w:t>
      </w:r>
    </w:p>
    <w:p w14:paraId="70C50974">
      <w:pPr>
        <w:spacing w:line="360" w:lineRule="auto"/>
        <w:rPr>
          <w:rFonts w:cs="仿宋_GB2312" w:asciiTheme="minorEastAsia" w:hAnsiTheme="minorEastAsia" w:eastAsiaTheme="minorEastAsia"/>
          <w:color w:val="000000" w:themeColor="text1"/>
          <w:sz w:val="24"/>
          <w:highlight w:val="none"/>
          <w14:textFill>
            <w14:solidFill>
              <w14:schemeClr w14:val="tx1"/>
            </w14:solidFill>
          </w14:textFill>
        </w:rPr>
      </w:pPr>
    </w:p>
    <w:p w14:paraId="67354661">
      <w:pPr>
        <w:spacing w:line="360" w:lineRule="auto"/>
        <w:jc w:val="center"/>
        <w:rPr>
          <w:rFonts w:cs="仿宋_GB2312" w:asciiTheme="minorEastAsia" w:hAnsiTheme="minorEastAsia" w:eastAsiaTheme="minorEastAsia"/>
          <w:b/>
          <w:bCs/>
          <w:color w:val="000000" w:themeColor="text1"/>
          <w:sz w:val="24"/>
          <w:highlight w:val="none"/>
          <w14:textFill>
            <w14:solidFill>
              <w14:schemeClr w14:val="tx1"/>
            </w14:solidFill>
          </w14:textFill>
        </w:rPr>
      </w:pPr>
      <w:r>
        <w:rPr>
          <w:rFonts w:hint="eastAsia" w:cs="仿宋_GB2312" w:asciiTheme="minorEastAsia" w:hAnsiTheme="minorEastAsia" w:eastAsiaTheme="minorEastAsia"/>
          <w:b/>
          <w:bCs/>
          <w:color w:val="000000" w:themeColor="text1"/>
          <w:sz w:val="24"/>
          <w:highlight w:val="none"/>
          <w14:textFill>
            <w14:solidFill>
              <w14:schemeClr w14:val="tx1"/>
            </w14:solidFill>
          </w14:textFill>
        </w:rPr>
        <w:t>（根据招标公告</w:t>
      </w:r>
      <w:r>
        <w:rPr>
          <w:rFonts w:hint="eastAsia" w:asciiTheme="minorEastAsia" w:hAnsiTheme="minorEastAsia" w:eastAsiaTheme="minorEastAsia"/>
          <w:b/>
          <w:bCs/>
          <w:color w:val="000000" w:themeColor="text1"/>
          <w:sz w:val="24"/>
          <w:highlight w:val="none"/>
          <w14:textFill>
            <w14:solidFill>
              <w14:schemeClr w14:val="tx1"/>
            </w14:solidFill>
          </w14:textFill>
        </w:rPr>
        <w:t>落实政府采购政策需满足的资格要求选择提供相应的材料；未要求的，无需提供</w:t>
      </w:r>
      <w:r>
        <w:rPr>
          <w:rFonts w:hint="eastAsia" w:cs="仿宋_GB2312" w:asciiTheme="minorEastAsia" w:hAnsiTheme="minorEastAsia" w:eastAsiaTheme="minorEastAsia"/>
          <w:b/>
          <w:bCs/>
          <w:color w:val="000000" w:themeColor="text1"/>
          <w:sz w:val="24"/>
          <w:highlight w:val="none"/>
          <w14:textFill>
            <w14:solidFill>
              <w14:schemeClr w14:val="tx1"/>
            </w14:solidFill>
          </w14:textFill>
        </w:rPr>
        <w:t>）</w:t>
      </w:r>
    </w:p>
    <w:p w14:paraId="6F3D15D6">
      <w:pPr>
        <w:spacing w:line="360" w:lineRule="auto"/>
        <w:rPr>
          <w:rFonts w:cs="仿宋_GB2312" w:asciiTheme="minorEastAsia" w:hAnsiTheme="minorEastAsia" w:eastAsiaTheme="minorEastAsia"/>
          <w:color w:val="000000" w:themeColor="text1"/>
          <w:szCs w:val="21"/>
          <w:highlight w:val="none"/>
          <w14:textFill>
            <w14:solidFill>
              <w14:schemeClr w14:val="tx1"/>
            </w14:solidFill>
          </w14:textFill>
        </w:rPr>
      </w:pPr>
    </w:p>
    <w:p w14:paraId="31EA77A9">
      <w:pPr>
        <w:spacing w:line="360" w:lineRule="auto"/>
        <w:rPr>
          <w:rFonts w:cs="仿宋_GB2312" w:asciiTheme="minorEastAsia" w:hAnsiTheme="minorEastAsia" w:eastAsiaTheme="minorEastAsia"/>
          <w:color w:val="000000" w:themeColor="text1"/>
          <w:szCs w:val="21"/>
          <w:highlight w:val="none"/>
          <w14:textFill>
            <w14:solidFill>
              <w14:schemeClr w14:val="tx1"/>
            </w14:solidFill>
          </w14:textFill>
        </w:rPr>
      </w:pPr>
    </w:p>
    <w:p w14:paraId="5053F5C7">
      <w:pPr>
        <w:spacing w:line="360" w:lineRule="auto"/>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A.专门面向中小企业，服务全部由符合政策要求的中小企业（或小微企业）承接的，提供相应的中小企业声明函（附件1）</w:t>
      </w:r>
    </w:p>
    <w:p w14:paraId="51057E86">
      <w:pPr>
        <w:spacing w:line="360" w:lineRule="auto"/>
        <w:rPr>
          <w:rFonts w:cs="仿宋_GB2312" w:asciiTheme="minorEastAsia" w:hAnsiTheme="minorEastAsia" w:eastAsiaTheme="minorEastAsia"/>
          <w:color w:val="000000" w:themeColor="text1"/>
          <w:szCs w:val="21"/>
          <w:highlight w:val="none"/>
          <w14:textFill>
            <w14:solidFill>
              <w14:schemeClr w14:val="tx1"/>
            </w14:solidFill>
          </w14:textFill>
        </w:rPr>
      </w:pPr>
    </w:p>
    <w:p w14:paraId="2287E4C7">
      <w:pPr>
        <w:spacing w:line="360" w:lineRule="auto"/>
        <w:rPr>
          <w:rFonts w:cs="仿宋_GB2312" w:asciiTheme="minorEastAsia" w:hAnsiTheme="minorEastAsia" w:eastAsiaTheme="minorEastAsia"/>
          <w:color w:val="000000" w:themeColor="text1"/>
          <w:szCs w:val="21"/>
          <w:highlight w:val="none"/>
          <w14:textFill>
            <w14:solidFill>
              <w14:schemeClr w14:val="tx1"/>
            </w14:solidFill>
          </w14:textFill>
        </w:rPr>
      </w:pPr>
    </w:p>
    <w:p w14:paraId="75846373">
      <w:pPr>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br w:type="page"/>
      </w:r>
    </w:p>
    <w:p w14:paraId="6FE0513B">
      <w:pPr>
        <w:spacing w:line="360" w:lineRule="auto"/>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B.要求以联合体形式参加的，提供联合协议和中小企业声明函（附件1），联合协议中中小企业合同金额应当达到招标公告载明的比例；如果供应商本身提供所有标的均由中小企业制造或承接的，视同符合了资格条件，无需再与其他中小企业组成联合体参加政府采购活动，无需提供联合协议。</w:t>
      </w:r>
    </w:p>
    <w:p w14:paraId="15539ADB">
      <w:pPr>
        <w:pStyle w:val="17"/>
        <w:ind w:firstLine="0"/>
        <w:jc w:val="center"/>
        <w:rPr>
          <w:rFonts w:asciiTheme="minorEastAsia" w:hAnsiTheme="minorEastAsia" w:eastAsiaTheme="minorEastAsia"/>
          <w:color w:val="000000" w:themeColor="text1"/>
          <w:highlight w:val="none"/>
          <w14:textFill>
            <w14:solidFill>
              <w14:schemeClr w14:val="tx1"/>
            </w14:solidFill>
          </w14:textFill>
        </w:rPr>
      </w:pPr>
    </w:p>
    <w:p w14:paraId="6DA2C9F3">
      <w:pPr>
        <w:autoSpaceDE w:val="0"/>
        <w:autoSpaceDN w:val="0"/>
        <w:jc w:val="center"/>
        <w:rPr>
          <w:rFonts w:ascii="宋体" w:hAnsi="宋体" w:cs="宋体"/>
          <w:b/>
          <w:color w:val="000000" w:themeColor="text1"/>
          <w:kern w:val="0"/>
          <w:sz w:val="28"/>
          <w:szCs w:val="28"/>
          <w:highlight w:val="none"/>
          <w:lang w:val="zh-CN"/>
          <w14:textFill>
            <w14:solidFill>
              <w14:schemeClr w14:val="tx1"/>
            </w14:solidFill>
          </w14:textFill>
        </w:rPr>
      </w:pPr>
      <w:r>
        <w:rPr>
          <w:rFonts w:hint="eastAsia" w:ascii="宋体" w:hAnsi="宋体" w:cs="宋体"/>
          <w:b/>
          <w:color w:val="000000" w:themeColor="text1"/>
          <w:kern w:val="0"/>
          <w:sz w:val="28"/>
          <w:szCs w:val="28"/>
          <w:highlight w:val="none"/>
          <w:lang w:val="zh-CN"/>
          <w14:textFill>
            <w14:solidFill>
              <w14:schemeClr w14:val="tx1"/>
            </w14:solidFill>
          </w14:textFill>
        </w:rPr>
        <w:t>联合协议</w:t>
      </w:r>
    </w:p>
    <w:p w14:paraId="33A19104">
      <w:pPr>
        <w:widowControl/>
        <w:spacing w:line="480" w:lineRule="exact"/>
        <w:ind w:firstLine="422" w:firstLineChars="200"/>
        <w:jc w:val="lef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（以联合体形式投标的，提供联合协议；本项目不接受联合体投标或者投标人不以联合体形式投标的，则不需要提供）</w:t>
      </w:r>
    </w:p>
    <w:p w14:paraId="197DEDD7">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u w:val="single"/>
          <w14:textFill>
            <w14:solidFill>
              <w14:schemeClr w14:val="tx1"/>
            </w14:solidFill>
          </w14:textFill>
        </w:rPr>
        <w:t>（联合体所有成员名称）</w:t>
      </w:r>
      <w:r>
        <w:rPr>
          <w:rFonts w:hint="eastAsia" w:ascii="宋体" w:hAnsi="宋体" w:cs="宋体"/>
          <w:color w:val="000000" w:themeColor="text1"/>
          <w:kern w:val="0"/>
          <w:szCs w:val="21"/>
          <w:highlight w:val="none"/>
          <w14:textFill>
            <w14:solidFill>
              <w14:schemeClr w14:val="tx1"/>
            </w14:solidFill>
          </w14:textFill>
        </w:rPr>
        <w:t>自愿</w:t>
      </w:r>
      <w:r>
        <w:rPr>
          <w:rFonts w:hint="eastAsia" w:ascii="宋体" w:hAnsi="宋体" w:cs="宋体"/>
          <w:color w:val="000000" w:themeColor="text1"/>
          <w:kern w:val="0"/>
          <w:szCs w:val="21"/>
          <w:highlight w:val="none"/>
          <w:lang w:val="zh-CN"/>
          <w14:textFill>
            <w14:solidFill>
              <w14:schemeClr w14:val="tx1"/>
            </w14:solidFill>
          </w14:textFill>
        </w:rPr>
        <w:t>组成一个联合体，以一个投标人的身份</w:t>
      </w:r>
      <w:r>
        <w:rPr>
          <w:rFonts w:hint="eastAsia" w:ascii="宋体" w:hAnsi="宋体" w:cs="宋体"/>
          <w:color w:val="000000" w:themeColor="text1"/>
          <w:kern w:val="0"/>
          <w:szCs w:val="21"/>
          <w:highlight w:val="none"/>
          <w14:textFill>
            <w14:solidFill>
              <w14:schemeClr w14:val="tx1"/>
            </w14:solidFill>
          </w14:textFill>
        </w:rPr>
        <w:t>参加</w:t>
      </w:r>
      <w:r>
        <w:rPr>
          <w:rFonts w:hint="eastAsia" w:ascii="宋体" w:hAnsi="宋体" w:cs="宋体"/>
          <w:color w:val="000000" w:themeColor="text1"/>
          <w:szCs w:val="21"/>
          <w:highlight w:val="none"/>
          <w14:textFill>
            <w14:solidFill>
              <w14:schemeClr w14:val="tx1"/>
            </w14:solidFill>
          </w14:textFill>
        </w:rPr>
        <w:t>项目【招标编号：        】</w:t>
      </w:r>
      <w:r>
        <w:rPr>
          <w:rFonts w:hint="eastAsia" w:ascii="宋体" w:hAnsi="宋体" w:cs="宋体"/>
          <w:color w:val="000000" w:themeColor="text1"/>
          <w:kern w:val="0"/>
          <w:szCs w:val="21"/>
          <w:highlight w:val="none"/>
          <w:lang w:val="zh-CN"/>
          <w14:textFill>
            <w14:solidFill>
              <w14:schemeClr w14:val="tx1"/>
            </w14:solidFill>
          </w14:textFill>
        </w:rPr>
        <w:t xml:space="preserve">投标。 </w:t>
      </w:r>
    </w:p>
    <w:p w14:paraId="690F05E1">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一、各方一致决定，</w:t>
      </w:r>
      <w:r>
        <w:rPr>
          <w:rFonts w:hint="eastAsia" w:ascii="宋体" w:hAnsi="宋体" w:cs="宋体"/>
          <w:color w:val="000000" w:themeColor="text1"/>
          <w:kern w:val="0"/>
          <w:szCs w:val="21"/>
          <w:highlight w:val="none"/>
          <w:u w:val="single"/>
          <w14:textFill>
            <w14:solidFill>
              <w14:schemeClr w14:val="tx1"/>
            </w14:solidFill>
          </w14:textFill>
        </w:rPr>
        <w:t>（某联合体成员名称）</w:t>
      </w:r>
      <w:r>
        <w:rPr>
          <w:rFonts w:hint="eastAsia" w:ascii="宋体" w:hAnsi="宋体" w:cs="宋体"/>
          <w:color w:val="000000" w:themeColor="text1"/>
          <w:kern w:val="0"/>
          <w:szCs w:val="21"/>
          <w:highlight w:val="none"/>
          <w14:textFill>
            <w14:solidFill>
              <w14:schemeClr w14:val="tx1"/>
            </w14:solidFill>
          </w14:textFill>
        </w:rPr>
        <w:t>为联合体</w:t>
      </w:r>
      <w:r>
        <w:rPr>
          <w:rFonts w:hint="eastAsia" w:ascii="宋体" w:hAnsi="宋体" w:cs="宋体"/>
          <w:color w:val="000000" w:themeColor="text1"/>
          <w:kern w:val="0"/>
          <w:szCs w:val="21"/>
          <w:highlight w:val="none"/>
          <w:lang w:val="zh-CN"/>
          <w14:textFill>
            <w14:solidFill>
              <w14:schemeClr w14:val="tx1"/>
            </w14:solidFill>
          </w14:textFill>
        </w:rPr>
        <w:t>牵头人</w:t>
      </w:r>
      <w:r>
        <w:rPr>
          <w:rFonts w:hint="eastAsia" w:ascii="宋体" w:hAnsi="宋体" w:cs="宋体"/>
          <w:color w:val="000000" w:themeColor="text1"/>
          <w:szCs w:val="21"/>
          <w:highlight w:val="none"/>
          <w14:textFill>
            <w14:solidFill>
              <w14:schemeClr w14:val="tx1"/>
            </w14:solidFill>
          </w14:textFill>
        </w:rPr>
        <w:t>，代表所有联合体成员负责投标和合同实施阶段的主办、协调工作</w:t>
      </w:r>
      <w:r>
        <w:rPr>
          <w:rFonts w:hint="eastAsia" w:ascii="宋体" w:hAnsi="宋体" w:cs="宋体"/>
          <w:color w:val="000000" w:themeColor="text1"/>
          <w:kern w:val="0"/>
          <w:szCs w:val="21"/>
          <w:highlight w:val="none"/>
          <w:lang w:val="zh-CN"/>
          <w14:textFill>
            <w14:solidFill>
              <w14:schemeClr w14:val="tx1"/>
            </w14:solidFill>
          </w14:textFill>
        </w:rPr>
        <w:t>。</w:t>
      </w:r>
    </w:p>
    <w:p w14:paraId="7F76CC0C">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所有联合体成员各方签署授权书，授权书载明的</w:t>
      </w:r>
      <w:r>
        <w:rPr>
          <w:rFonts w:hint="eastAsia" w:ascii="宋体" w:hAnsi="宋体" w:cs="宋体"/>
          <w:color w:val="000000" w:themeColor="text1"/>
          <w:kern w:val="0"/>
          <w:szCs w:val="21"/>
          <w:highlight w:val="none"/>
          <w:lang w:val="zh-CN"/>
          <w14:textFill>
            <w14:solidFill>
              <w14:schemeClr w14:val="tx1"/>
            </w14:solidFill>
          </w14:textFill>
        </w:rPr>
        <w:t>授权代表根据招标文件规定及投标内容而对采购人、采购机构所作的任何合法承诺，包括书面澄清及相应等均对联合投标各方产生约束力。</w:t>
      </w:r>
    </w:p>
    <w:p w14:paraId="0070CB8E">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三、本次联合投标中，分工如下：</w:t>
      </w:r>
    </w:p>
    <w:p w14:paraId="64940709">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bookmarkStart w:id="150" w:name="_Hlk101134295"/>
      <w:r>
        <w:rPr>
          <w:rFonts w:hint="eastAsia" w:ascii="宋体" w:hAnsi="宋体" w:cs="宋体"/>
          <w:color w:val="000000" w:themeColor="text1"/>
          <w:kern w:val="0"/>
          <w:szCs w:val="21"/>
          <w:highlight w:val="none"/>
          <w:u w:val="single"/>
          <w14:textFill>
            <w14:solidFill>
              <w14:schemeClr w14:val="tx1"/>
            </w14:solidFill>
          </w14:textFill>
        </w:rPr>
        <w:t>（联合体成员1）</w:t>
      </w:r>
      <w:r>
        <w:rPr>
          <w:rFonts w:hint="eastAsia" w:ascii="宋体" w:hAnsi="宋体" w:cs="宋体"/>
          <w:color w:val="000000" w:themeColor="text1"/>
          <w:kern w:val="0"/>
          <w:szCs w:val="21"/>
          <w:highlight w:val="none"/>
          <w:lang w:val="zh-CN"/>
          <w14:textFill>
            <w14:solidFill>
              <w14:schemeClr w14:val="tx1"/>
            </w14:solidFill>
          </w14:textFill>
        </w:rPr>
        <w:t>承担的工作和义务为：；</w:t>
      </w:r>
    </w:p>
    <w:p w14:paraId="5BBA5542">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u w:val="single"/>
          <w14:textFill>
            <w14:solidFill>
              <w14:schemeClr w14:val="tx1"/>
            </w14:solidFill>
          </w14:textFill>
        </w:rPr>
        <w:t>（联合体成员</w:t>
      </w:r>
      <w:r>
        <w:rPr>
          <w:rFonts w:ascii="宋体" w:hAnsi="宋体" w:cs="宋体"/>
          <w:color w:val="000000" w:themeColor="text1"/>
          <w:kern w:val="0"/>
          <w:szCs w:val="21"/>
          <w:highlight w:val="none"/>
          <w:u w:val="single"/>
          <w14:textFill>
            <w14:solidFill>
              <w14:schemeClr w14:val="tx1"/>
            </w14:solidFill>
          </w14:textFill>
        </w:rPr>
        <w:t>2</w:t>
      </w:r>
      <w:r>
        <w:rPr>
          <w:rFonts w:hint="eastAsia" w:ascii="宋体" w:hAnsi="宋体" w:cs="宋体"/>
          <w:color w:val="000000" w:themeColor="text1"/>
          <w:kern w:val="0"/>
          <w:szCs w:val="21"/>
          <w:highlight w:val="none"/>
          <w:u w:val="single"/>
          <w14:textFill>
            <w14:solidFill>
              <w14:schemeClr w14:val="tx1"/>
            </w14:solidFill>
          </w14:textFill>
        </w:rPr>
        <w:t>）</w:t>
      </w:r>
      <w:r>
        <w:rPr>
          <w:rFonts w:hint="eastAsia" w:ascii="宋体" w:hAnsi="宋体" w:cs="宋体"/>
          <w:color w:val="000000" w:themeColor="text1"/>
          <w:kern w:val="0"/>
          <w:szCs w:val="21"/>
          <w:highlight w:val="none"/>
          <w:lang w:val="zh-CN"/>
          <w14:textFill>
            <w14:solidFill>
              <w14:schemeClr w14:val="tx1"/>
            </w14:solidFill>
          </w14:textFill>
        </w:rPr>
        <w:t>承担的工作和义务为：；</w:t>
      </w:r>
    </w:p>
    <w:p w14:paraId="31E31259">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w:t>
      </w:r>
    </w:p>
    <w:bookmarkEnd w:id="150"/>
    <w:p w14:paraId="346B39B9">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四、联合体成员中小企业合同份额（如果有）。</w:t>
      </w:r>
    </w:p>
    <w:p w14:paraId="5D0CAC9A">
      <w:pPr>
        <w:snapToGrid w:val="0"/>
        <w:spacing w:line="480" w:lineRule="exact"/>
        <w:ind w:firstLine="576"/>
        <w:rPr>
          <w:rFonts w:ascii="宋体" w:hAnsi="宋体" w:cs="宋体"/>
          <w:b/>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1、</w:t>
      </w:r>
      <w:r>
        <w:rPr>
          <w:rFonts w:hint="eastAsia" w:ascii="宋体" w:hAnsi="宋体" w:cs="宋体"/>
          <w:color w:val="000000" w:themeColor="text1"/>
          <w:kern w:val="0"/>
          <w:szCs w:val="21"/>
          <w:highlight w:val="none"/>
          <w:u w:val="single"/>
          <w14:textFill>
            <w14:solidFill>
              <w14:schemeClr w14:val="tx1"/>
            </w14:solidFill>
          </w14:textFill>
        </w:rPr>
        <w:t>（联合体成员</w:t>
      </w:r>
      <w:r>
        <w:rPr>
          <w:rFonts w:ascii="宋体" w:hAnsi="宋体" w:cs="宋体"/>
          <w:color w:val="000000" w:themeColor="text1"/>
          <w:kern w:val="0"/>
          <w:szCs w:val="21"/>
          <w:highlight w:val="none"/>
          <w:u w:val="single"/>
          <w14:textFill>
            <w14:solidFill>
              <w14:schemeClr w14:val="tx1"/>
            </w14:solidFill>
          </w14:textFill>
        </w:rPr>
        <w:t>X,</w:t>
      </w:r>
      <w:r>
        <w:rPr>
          <w:rFonts w:hint="eastAsia" w:ascii="宋体" w:hAnsi="宋体" w:cs="宋体"/>
          <w:color w:val="000000" w:themeColor="text1"/>
          <w:kern w:val="0"/>
          <w:szCs w:val="21"/>
          <w:highlight w:val="none"/>
          <w:u w:val="single"/>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提供的全部服务由小微企业承接，其合同份额占到合同总金额%以上；</w:t>
      </w:r>
      <w:r>
        <w:rPr>
          <w:rFonts w:hint="eastAsia" w:ascii="宋体" w:hAnsi="宋体" w:cs="宋体"/>
          <w:color w:val="000000" w:themeColor="text1"/>
          <w:kern w:val="0"/>
          <w:szCs w:val="21"/>
          <w:highlight w:val="none"/>
          <w:lang w:val="zh-CN"/>
          <w14:textFill>
            <w14:solidFill>
              <w14:schemeClr w14:val="tx1"/>
            </w14:solidFill>
          </w14:textFill>
        </w:rPr>
        <w:t>……。</w:t>
      </w:r>
      <w:r>
        <w:rPr>
          <w:rFonts w:hint="eastAsia" w:ascii="宋体" w:hAnsi="宋体" w:cs="宋体"/>
          <w:b/>
          <w:color w:val="000000" w:themeColor="text1"/>
          <w:kern w:val="0"/>
          <w:szCs w:val="21"/>
          <w:highlight w:val="none"/>
          <w:lang w:val="zh-CN"/>
          <w14:textFill>
            <w14:solidFill>
              <w14:schemeClr w14:val="tx1"/>
            </w14:solidFill>
          </w14:textFill>
        </w:rPr>
        <w:t>（未预留份额专门面向中小企业采购的的采购项目，以及预留份额中的非预留部分采购包，接受联合体投标的，联合协议约定小微企业的合同份额占到合同总金额30%以上的，对联合体报价给予4%的扣除。</w:t>
      </w:r>
      <w:r>
        <w:rPr>
          <w:rFonts w:hint="eastAsia" w:ascii="宋体" w:hAnsi="宋体" w:cs="宋体"/>
          <w:b/>
          <w:color w:val="000000" w:themeColor="text1"/>
          <w:kern w:val="0"/>
          <w:szCs w:val="21"/>
          <w:highlight w:val="none"/>
          <w14:textFill>
            <w14:solidFill>
              <w14:schemeClr w14:val="tx1"/>
            </w14:solidFill>
          </w14:textFill>
        </w:rPr>
        <w:t>投标人</w:t>
      </w:r>
      <w:r>
        <w:rPr>
          <w:rFonts w:hint="eastAsia" w:ascii="宋体" w:hAnsi="宋体" w:cs="宋体"/>
          <w:b/>
          <w:color w:val="000000" w:themeColor="text1"/>
          <w:szCs w:val="21"/>
          <w:highlight w:val="none"/>
          <w14:textFill>
            <w14:solidFill>
              <w14:schemeClr w14:val="tx1"/>
            </w14:solidFill>
          </w14:textFill>
        </w:rPr>
        <w:t>拟享受以上价格扣除政策的，填写有关内容。</w:t>
      </w:r>
      <w:r>
        <w:rPr>
          <w:rFonts w:hint="eastAsia" w:ascii="宋体" w:hAnsi="宋体" w:cs="宋体"/>
          <w:b/>
          <w:color w:val="000000" w:themeColor="text1"/>
          <w:kern w:val="0"/>
          <w:szCs w:val="21"/>
          <w:highlight w:val="none"/>
          <w:lang w:val="zh-CN"/>
          <w14:textFill>
            <w14:solidFill>
              <w14:schemeClr w14:val="tx1"/>
            </w14:solidFill>
          </w14:textFill>
        </w:rPr>
        <w:t>）</w:t>
      </w:r>
    </w:p>
    <w:p w14:paraId="57C23D5F">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2、中小企业合同金额达到%，小微企业合同金额达到%</w:t>
      </w:r>
      <w:r>
        <w:rPr>
          <w:rFonts w:hint="eastAsia" w:ascii="宋体" w:hAnsi="宋体" w:cs="宋体"/>
          <w:color w:val="000000" w:themeColor="text1"/>
          <w:kern w:val="0"/>
          <w:szCs w:val="21"/>
          <w:highlight w:val="none"/>
          <w:lang w:val="zh-CN"/>
          <w14:textFill>
            <w14:solidFill>
              <w14:schemeClr w14:val="tx1"/>
            </w14:solidFill>
          </w14:textFill>
        </w:rPr>
        <w:t>。</w:t>
      </w:r>
      <w:r>
        <w:rPr>
          <w:rFonts w:hint="eastAsia" w:ascii="宋体" w:hAnsi="宋体" w:cs="宋体"/>
          <w:b/>
          <w:bCs/>
          <w:color w:val="000000" w:themeColor="text1"/>
          <w:kern w:val="0"/>
          <w:szCs w:val="21"/>
          <w:highlight w:val="none"/>
          <w:lang w:val="zh-CN"/>
          <w14:textFill>
            <w14:solidFill>
              <w14:schemeClr w14:val="tx1"/>
            </w14:solidFill>
          </w14:textFill>
        </w:rPr>
        <w:t>（</w:t>
      </w:r>
      <w:r>
        <w:rPr>
          <w:rFonts w:hint="eastAsia" w:ascii="宋体" w:hAnsi="宋体" w:cs="宋体"/>
          <w:b/>
          <w:bCs/>
          <w:color w:val="000000" w:themeColor="text1"/>
          <w:szCs w:val="21"/>
          <w:highlight w:val="none"/>
          <w14:textFill>
            <w14:solidFill>
              <w14:schemeClr w14:val="tx1"/>
            </w14:solidFill>
          </w14:textFill>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color w:val="000000" w:themeColor="text1"/>
          <w:kern w:val="0"/>
          <w:szCs w:val="21"/>
          <w:highlight w:val="none"/>
          <w:lang w:val="zh-CN"/>
          <w14:textFill>
            <w14:solidFill>
              <w14:schemeClr w14:val="tx1"/>
            </w14:solidFill>
          </w14:textFill>
        </w:rPr>
        <w:t>）</w:t>
      </w:r>
    </w:p>
    <w:p w14:paraId="79F42E54">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五、如果中标，</w:t>
      </w:r>
      <w:r>
        <w:rPr>
          <w:rFonts w:hint="eastAsia" w:ascii="宋体" w:hAnsi="宋体" w:cs="宋体"/>
          <w:color w:val="000000" w:themeColor="text1"/>
          <w:szCs w:val="21"/>
          <w:highlight w:val="none"/>
          <w14:textFill>
            <w14:solidFill>
              <w14:schemeClr w14:val="tx1"/>
            </w14:solidFill>
          </w14:textFill>
        </w:rPr>
        <w:t>联合体各成员方共同与采购人签订合同，并就采购合同约定的事项对采购人承担连带责任。</w:t>
      </w:r>
    </w:p>
    <w:p w14:paraId="4A8BF6DB">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六、有关本次联合投标的其他事宜：</w:t>
      </w:r>
    </w:p>
    <w:p w14:paraId="301B5727">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1、联合体各方不再单独参加或者与其他供应商另外组成联合体参加同一合同项下的政府采购活动。</w:t>
      </w:r>
    </w:p>
    <w:p w14:paraId="4D62696E">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2、联合体中有同类资质的各方按照联合体分工承担相同工作的，按照资质等级较低的供应商确定资质等级。</w:t>
      </w:r>
    </w:p>
    <w:p w14:paraId="2A3C7504">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3、本协议提交采购人、采购机构后，联合体各方不得以任何形式对上述内容进行修改或撤销。</w:t>
      </w:r>
    </w:p>
    <w:p w14:paraId="55166ECB">
      <w:pPr>
        <w:snapToGrid w:val="0"/>
        <w:spacing w:line="480" w:lineRule="exact"/>
        <w:ind w:firstLine="5040" w:firstLineChars="2400"/>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联合体成员名称(公章)：</w:t>
      </w:r>
    </w:p>
    <w:p w14:paraId="35A740E4">
      <w:pPr>
        <w:pStyle w:val="2"/>
        <w:spacing w:line="480" w:lineRule="exact"/>
        <w:rPr>
          <w:rFonts w:ascii="宋体" w:hAnsi="宋体" w:cs="宋体"/>
          <w:b w:val="0"/>
          <w:bCs w:val="0"/>
          <w:color w:val="000000" w:themeColor="text1"/>
          <w:kern w:val="0"/>
          <w:sz w:val="21"/>
          <w:szCs w:val="21"/>
          <w:highlight w:val="none"/>
          <w:lang w:val="zh-CN"/>
          <w14:textFill>
            <w14:solidFill>
              <w14:schemeClr w14:val="tx1"/>
            </w14:solidFill>
          </w14:textFill>
        </w:rPr>
      </w:pPr>
      <w:bookmarkStart w:id="151" w:name="_Toc136345116"/>
      <w:bookmarkStart w:id="152" w:name="_Toc136017655"/>
      <w:bookmarkStart w:id="153" w:name="_Toc32382"/>
      <w:r>
        <w:rPr>
          <w:rFonts w:hint="eastAsia" w:ascii="宋体" w:hAnsi="宋体" w:cs="宋体"/>
          <w:b w:val="0"/>
          <w:bCs w:val="0"/>
          <w:color w:val="000000" w:themeColor="text1"/>
          <w:kern w:val="0"/>
          <w:sz w:val="21"/>
          <w:szCs w:val="21"/>
          <w:highlight w:val="none"/>
          <w:lang w:val="zh-CN"/>
          <w14:textFill>
            <w14:solidFill>
              <w14:schemeClr w14:val="tx1"/>
            </w14:solidFill>
          </w14:textFill>
        </w:rPr>
        <w:t>联合体成员名称(公章)：</w:t>
      </w:r>
      <w:bookmarkEnd w:id="151"/>
      <w:bookmarkEnd w:id="152"/>
      <w:bookmarkEnd w:id="153"/>
    </w:p>
    <w:p w14:paraId="193BF316">
      <w:pPr>
        <w:spacing w:line="480" w:lineRule="exact"/>
        <w:rPr>
          <w:color w:val="000000" w:themeColor="text1"/>
          <w:szCs w:val="21"/>
          <w:highlight w:val="none"/>
          <w:lang w:val="zh-CN"/>
          <w14:textFill>
            <w14:solidFill>
              <w14:schemeClr w14:val="tx1"/>
            </w14:solidFill>
          </w14:textFill>
        </w:rPr>
      </w:pPr>
    </w:p>
    <w:p w14:paraId="4F6F6B4B">
      <w:pPr>
        <w:snapToGrid w:val="0"/>
        <w:spacing w:line="480" w:lineRule="exac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 xml:space="preserve">                                               日期：  年  月   日</w:t>
      </w:r>
    </w:p>
    <w:p w14:paraId="40124FC1">
      <w:pPr>
        <w:pStyle w:val="4"/>
        <w:spacing w:line="380" w:lineRule="exact"/>
        <w:jc w:val="both"/>
        <w:rPr>
          <w:rFonts w:ascii="宋体" w:hAnsi="宋体" w:cs="宋体"/>
          <w:b w:val="0"/>
          <w:bCs w:val="0"/>
          <w:color w:val="000000" w:themeColor="text1"/>
          <w:sz w:val="21"/>
          <w:szCs w:val="21"/>
          <w:highlight w:val="none"/>
          <w:lang w:val="zh-CN"/>
          <w14:textFill>
            <w14:solidFill>
              <w14:schemeClr w14:val="tx1"/>
            </w14:solidFill>
          </w14:textFill>
        </w:rPr>
      </w:pPr>
      <w:bookmarkStart w:id="154" w:name="_Toc13376"/>
      <w:bookmarkStart w:id="155" w:name="_Toc136017656"/>
      <w:bookmarkStart w:id="156" w:name="_Toc136345117"/>
      <w:r>
        <w:rPr>
          <w:rFonts w:hint="eastAsia" w:ascii="宋体" w:hAnsi="宋体" w:cs="宋体"/>
          <w:b w:val="0"/>
          <w:bCs w:val="0"/>
          <w:color w:val="000000" w:themeColor="text1"/>
          <w:sz w:val="21"/>
          <w:szCs w:val="21"/>
          <w:highlight w:val="none"/>
          <w:lang w:val="zh-CN"/>
          <w14:textFill>
            <w14:solidFill>
              <w14:schemeClr w14:val="tx1"/>
            </w14:solidFill>
          </w14:textFill>
        </w:rPr>
        <w:t>注：按本格式和要求提供。</w:t>
      </w:r>
      <w:bookmarkEnd w:id="154"/>
      <w:bookmarkEnd w:id="155"/>
      <w:bookmarkEnd w:id="156"/>
    </w:p>
    <w:p w14:paraId="3681FC85">
      <w:pPr>
        <w:rPr>
          <w:rFonts w:ascii="宋体" w:hAnsi="宋体" w:cs="宋体"/>
          <w:color w:val="000000" w:themeColor="text1"/>
          <w:kern w:val="0"/>
          <w:szCs w:val="21"/>
          <w:highlight w:val="none"/>
          <w:lang w:val="zh-CN"/>
          <w14:textFill>
            <w14:solidFill>
              <w14:schemeClr w14:val="tx1"/>
            </w14:solidFill>
          </w14:textFill>
        </w:rPr>
      </w:pPr>
    </w:p>
    <w:p w14:paraId="61C78F59">
      <w:pPr>
        <w:spacing w:line="360" w:lineRule="auto"/>
        <w:rPr>
          <w:rFonts w:cs="仿宋_GB2312" w:asciiTheme="minorEastAsia" w:hAnsiTheme="minorEastAsia" w:eastAsiaTheme="minorEastAsia"/>
          <w:color w:val="000000" w:themeColor="text1"/>
          <w:szCs w:val="21"/>
          <w:highlight w:val="none"/>
          <w14:textFill>
            <w14:solidFill>
              <w14:schemeClr w14:val="tx1"/>
            </w14:solidFill>
          </w14:textFill>
        </w:rPr>
      </w:pPr>
    </w:p>
    <w:p w14:paraId="5E1F93A0">
      <w:pPr>
        <w:spacing w:line="360" w:lineRule="auto"/>
        <w:rPr>
          <w:rFonts w:cs="仿宋_GB2312" w:asciiTheme="minorEastAsia" w:hAnsiTheme="minorEastAsia" w:eastAsiaTheme="minorEastAsia"/>
          <w:color w:val="000000" w:themeColor="text1"/>
          <w:szCs w:val="21"/>
          <w:highlight w:val="none"/>
          <w14:textFill>
            <w14:solidFill>
              <w14:schemeClr w14:val="tx1"/>
            </w14:solidFill>
          </w14:textFill>
        </w:rPr>
      </w:pPr>
    </w:p>
    <w:p w14:paraId="19033C2A">
      <w:pPr>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br w:type="page"/>
      </w:r>
    </w:p>
    <w:p w14:paraId="032B1F63">
      <w:pPr>
        <w:spacing w:line="360" w:lineRule="auto"/>
        <w:rPr>
          <w:rFonts w:cs="仿宋_GB2312" w:asciiTheme="minorEastAsia" w:hAnsiTheme="minorEastAsia" w:eastAsiaTheme="minorEastAsia"/>
          <w:color w:val="000000" w:themeColor="text1"/>
          <w:szCs w:val="21"/>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C.要求合同分包的，提供分包意向协议和中小企业声明函（附件1），分包意向协议中中小企业合同金额应当达到招标公告载明的比例；如果投标人本身提供所有标的均由中小企业制造或承接的，视同符合了资格条件，无需再向中小企业分包，无需提供分包意向协议。</w:t>
      </w:r>
    </w:p>
    <w:p w14:paraId="2A9291B6">
      <w:pPr>
        <w:widowControl/>
        <w:spacing w:line="480" w:lineRule="exact"/>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分包意向协议</w:t>
      </w:r>
    </w:p>
    <w:p w14:paraId="7B29B99A">
      <w:pPr>
        <w:widowControl/>
        <w:spacing w:line="480" w:lineRule="exact"/>
        <w:ind w:firstLine="422" w:firstLineChars="200"/>
        <w:jc w:val="lef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（中标后以分包方式履行合同的，提供分包意向协议；采购人不同意分包或者投标人中标后不以分包方式履行合同的，则不需要提供。）</w:t>
      </w:r>
    </w:p>
    <w:p w14:paraId="40907746">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u w:val="single"/>
          <w14:textFill>
            <w14:solidFill>
              <w14:schemeClr w14:val="tx1"/>
            </w14:solidFill>
          </w14:textFill>
        </w:rPr>
        <w:t>（投标人名称）</w:t>
      </w:r>
      <w:r>
        <w:rPr>
          <w:rFonts w:hint="eastAsia" w:ascii="宋体" w:hAnsi="宋体" w:cs="宋体"/>
          <w:color w:val="000000" w:themeColor="text1"/>
          <w:kern w:val="0"/>
          <w:szCs w:val="21"/>
          <w:highlight w:val="none"/>
          <w:lang w:val="zh-CN"/>
          <w14:textFill>
            <w14:solidFill>
              <w14:schemeClr w14:val="tx1"/>
            </w14:solidFill>
          </w14:textFill>
        </w:rPr>
        <w:t>若成为</w:t>
      </w:r>
      <w:r>
        <w:rPr>
          <w:rFonts w:hint="eastAsia" w:ascii="宋体" w:hAnsi="宋体" w:cs="宋体"/>
          <w:color w:val="000000" w:themeColor="text1"/>
          <w:szCs w:val="21"/>
          <w:highlight w:val="none"/>
          <w14:textFill>
            <w14:solidFill>
              <w14:schemeClr w14:val="tx1"/>
            </w14:solidFill>
          </w14:textFill>
        </w:rPr>
        <w:t>项目【招标编号：       】</w:t>
      </w:r>
      <w:r>
        <w:rPr>
          <w:rFonts w:hint="eastAsia" w:ascii="宋体" w:hAnsi="宋体" w:cs="宋体"/>
          <w:color w:val="000000" w:themeColor="text1"/>
          <w:kern w:val="0"/>
          <w:szCs w:val="21"/>
          <w:highlight w:val="none"/>
          <w:lang w:val="zh-CN"/>
          <w14:textFill>
            <w14:solidFill>
              <w14:schemeClr w14:val="tx1"/>
            </w14:solidFill>
          </w14:textFill>
        </w:rPr>
        <w:t>的中标人，将依法采取分包方式履行合同。</w:t>
      </w:r>
      <w:r>
        <w:rPr>
          <w:rFonts w:hint="eastAsia" w:ascii="宋体" w:hAnsi="宋体" w:cs="宋体"/>
          <w:color w:val="000000" w:themeColor="text1"/>
          <w:kern w:val="0"/>
          <w:szCs w:val="21"/>
          <w:highlight w:val="none"/>
          <w:u w:val="single"/>
          <w14:textFill>
            <w14:solidFill>
              <w14:schemeClr w14:val="tx1"/>
            </w14:solidFill>
          </w14:textFill>
        </w:rPr>
        <w:t>（投标人名称）</w:t>
      </w:r>
      <w:r>
        <w:rPr>
          <w:rFonts w:hint="eastAsia" w:ascii="宋体" w:hAnsi="宋体" w:cs="宋体"/>
          <w:color w:val="000000" w:themeColor="text1"/>
          <w:kern w:val="0"/>
          <w:szCs w:val="21"/>
          <w:highlight w:val="none"/>
          <w14:textFill>
            <w14:solidFill>
              <w14:schemeClr w14:val="tx1"/>
            </w14:solidFill>
          </w14:textFill>
        </w:rPr>
        <w:t>与</w:t>
      </w:r>
      <w:r>
        <w:rPr>
          <w:rFonts w:hint="eastAsia" w:ascii="宋体" w:hAnsi="宋体" w:cs="宋体"/>
          <w:color w:val="000000" w:themeColor="text1"/>
          <w:kern w:val="0"/>
          <w:szCs w:val="21"/>
          <w:highlight w:val="none"/>
          <w:u w:val="single"/>
          <w14:textFill>
            <w14:solidFill>
              <w14:schemeClr w14:val="tx1"/>
            </w14:solidFill>
          </w14:textFill>
        </w:rPr>
        <w:t>（所有分包供应商名称）</w:t>
      </w:r>
      <w:r>
        <w:rPr>
          <w:rFonts w:hint="eastAsia" w:ascii="宋体" w:hAnsi="宋体" w:cs="宋体"/>
          <w:color w:val="000000" w:themeColor="text1"/>
          <w:kern w:val="0"/>
          <w:szCs w:val="21"/>
          <w:highlight w:val="none"/>
          <w14:textFill>
            <w14:solidFill>
              <w14:schemeClr w14:val="tx1"/>
            </w14:solidFill>
          </w14:textFill>
        </w:rPr>
        <w:t>达成分包意向协议</w:t>
      </w:r>
      <w:r>
        <w:rPr>
          <w:rFonts w:hint="eastAsia" w:ascii="宋体" w:hAnsi="宋体" w:cs="宋体"/>
          <w:color w:val="000000" w:themeColor="text1"/>
          <w:kern w:val="0"/>
          <w:szCs w:val="21"/>
          <w:highlight w:val="none"/>
          <w:lang w:val="zh-CN"/>
          <w14:textFill>
            <w14:solidFill>
              <w14:schemeClr w14:val="tx1"/>
            </w14:solidFill>
          </w14:textFill>
        </w:rPr>
        <w:t xml:space="preserve">。 </w:t>
      </w:r>
    </w:p>
    <w:p w14:paraId="49E9BAC9">
      <w:pPr>
        <w:widowControl/>
        <w:numPr>
          <w:ilvl w:val="0"/>
          <w:numId w:val="23"/>
        </w:numPr>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分包标的及数量</w:t>
      </w:r>
    </w:p>
    <w:p w14:paraId="601EB2F9">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u w:val="single"/>
          <w14:textFill>
            <w14:solidFill>
              <w14:schemeClr w14:val="tx1"/>
            </w14:solidFill>
          </w14:textFill>
        </w:rPr>
        <w:t>（投标人名称）</w:t>
      </w:r>
      <w:r>
        <w:rPr>
          <w:rFonts w:hint="eastAsia" w:ascii="宋体" w:hAnsi="宋体" w:cs="宋体"/>
          <w:color w:val="000000" w:themeColor="text1"/>
          <w:kern w:val="0"/>
          <w:szCs w:val="21"/>
          <w:highlight w:val="none"/>
          <w:lang w:val="zh-CN"/>
          <w14:textFill>
            <w14:solidFill>
              <w14:schemeClr w14:val="tx1"/>
            </w14:solidFill>
          </w14:textFill>
        </w:rPr>
        <w:t>将</w:t>
      </w:r>
      <w:r>
        <w:rPr>
          <w:rFonts w:ascii="宋体" w:hAnsi="宋体" w:cs="宋体"/>
          <w:color w:val="000000" w:themeColor="text1"/>
          <w:kern w:val="0"/>
          <w:szCs w:val="21"/>
          <w:highlight w:val="none"/>
          <w:u w:val="single"/>
          <w14:textFill>
            <w14:solidFill>
              <w14:schemeClr w14:val="tx1"/>
            </w14:solidFill>
          </w14:textFill>
        </w:rPr>
        <w:t xml:space="preserve"> XX工作内容   </w:t>
      </w:r>
      <w:r>
        <w:rPr>
          <w:rFonts w:hint="eastAsia" w:ascii="宋体" w:hAnsi="宋体" w:cs="宋体"/>
          <w:color w:val="000000" w:themeColor="text1"/>
          <w:szCs w:val="21"/>
          <w:highlight w:val="none"/>
          <w14:textFill>
            <w14:solidFill>
              <w14:schemeClr w14:val="tx1"/>
            </w14:solidFill>
          </w14:textFill>
        </w:rPr>
        <w:t>分包给</w:t>
      </w:r>
      <w:r>
        <w:rPr>
          <w:rFonts w:hint="eastAsia" w:ascii="宋体" w:hAnsi="宋体" w:cs="宋体"/>
          <w:color w:val="000000" w:themeColor="text1"/>
          <w:kern w:val="0"/>
          <w:szCs w:val="21"/>
          <w:highlight w:val="none"/>
          <w:u w:val="single"/>
          <w14:textFill>
            <w14:solidFill>
              <w14:schemeClr w14:val="tx1"/>
            </w14:solidFill>
          </w14:textFill>
        </w:rPr>
        <w:t>（分包供应商1名称）</w:t>
      </w:r>
      <w:r>
        <w:rPr>
          <w:rFonts w:hint="eastAsia" w:ascii="宋体" w:hAnsi="宋体" w:cs="宋体"/>
          <w:color w:val="000000" w:themeColor="text1"/>
          <w:kern w:val="0"/>
          <w:szCs w:val="21"/>
          <w:highlight w:val="none"/>
          <w:lang w:val="zh-CN"/>
          <w14:textFill>
            <w14:solidFill>
              <w14:schemeClr w14:val="tx1"/>
            </w14:solidFill>
          </w14:textFill>
        </w:rPr>
        <w:t>，</w:t>
      </w:r>
      <w:r>
        <w:rPr>
          <w:rFonts w:hint="eastAsia" w:ascii="宋体" w:hAnsi="宋体" w:cs="宋体"/>
          <w:color w:val="000000" w:themeColor="text1"/>
          <w:kern w:val="0"/>
          <w:szCs w:val="21"/>
          <w:highlight w:val="none"/>
          <w:u w:val="single"/>
          <w14:textFill>
            <w14:solidFill>
              <w14:schemeClr w14:val="tx1"/>
            </w14:solidFill>
          </w14:textFill>
        </w:rPr>
        <w:t>（分包供应商2名称），</w:t>
      </w:r>
      <w:r>
        <w:rPr>
          <w:rFonts w:hint="eastAsia" w:ascii="宋体" w:hAnsi="宋体" w:cs="宋体"/>
          <w:color w:val="000000" w:themeColor="text1"/>
          <w:kern w:val="0"/>
          <w:szCs w:val="21"/>
          <w:highlight w:val="none"/>
          <w:lang w:val="zh-CN"/>
          <w14:textFill>
            <w14:solidFill>
              <w14:schemeClr w14:val="tx1"/>
            </w14:solidFill>
          </w14:textFill>
        </w:rPr>
        <w:t>具备承</w:t>
      </w:r>
      <w:r>
        <w:rPr>
          <w:rFonts w:hint="eastAsia" w:ascii="宋体" w:hAnsi="宋体" w:cs="宋体"/>
          <w:color w:val="000000" w:themeColor="text1"/>
          <w:kern w:val="0"/>
          <w:szCs w:val="21"/>
          <w:highlight w:val="none"/>
          <w14:textFill>
            <w14:solidFill>
              <w14:schemeClr w14:val="tx1"/>
            </w14:solidFill>
          </w14:textFill>
        </w:rPr>
        <w:t>担</w:t>
      </w:r>
      <w:r>
        <w:rPr>
          <w:rFonts w:hint="eastAsia" w:ascii="宋体" w:hAnsi="宋体" w:cs="宋体"/>
          <w:color w:val="000000" w:themeColor="text1"/>
          <w:kern w:val="0"/>
          <w:szCs w:val="21"/>
          <w:highlight w:val="none"/>
          <w:u w:val="single"/>
          <w:lang w:val="zh-CN"/>
          <w14:textFill>
            <w14:solidFill>
              <w14:schemeClr w14:val="tx1"/>
            </w14:solidFill>
          </w14:textFill>
        </w:rPr>
        <w:t>XX工作内容</w:t>
      </w:r>
      <w:r>
        <w:rPr>
          <w:rFonts w:hint="eastAsia" w:ascii="宋体" w:hAnsi="宋体" w:cs="宋体"/>
          <w:color w:val="000000" w:themeColor="text1"/>
          <w:kern w:val="0"/>
          <w:szCs w:val="21"/>
          <w:highlight w:val="none"/>
          <w:lang w:val="zh-CN"/>
          <w14:textFill>
            <w14:solidFill>
              <w14:schemeClr w14:val="tx1"/>
            </w14:solidFill>
          </w14:textFill>
        </w:rPr>
        <w:t>相应资质条件且不得再次分包；</w:t>
      </w:r>
    </w:p>
    <w:p w14:paraId="6E909F48">
      <w:pPr>
        <w:widowControl/>
        <w:spacing w:line="48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w:t>
      </w:r>
    </w:p>
    <w:p w14:paraId="35085C33">
      <w:pPr>
        <w:widowControl/>
        <w:numPr>
          <w:ilvl w:val="0"/>
          <w:numId w:val="23"/>
        </w:numPr>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分包供应商中小企业合同份额（如果有）</w:t>
      </w:r>
    </w:p>
    <w:p w14:paraId="383E8BC3">
      <w:pPr>
        <w:widowControl/>
        <w:numPr>
          <w:ilvl w:val="0"/>
          <w:numId w:val="24"/>
        </w:numPr>
        <w:spacing w:line="480" w:lineRule="exact"/>
        <w:ind w:firstLine="420" w:firstLineChars="200"/>
        <w:jc w:val="left"/>
        <w:rPr>
          <w:rFonts w:ascii="宋体" w:hAnsi="宋体" w:cs="宋体"/>
          <w:b/>
          <w:bCs/>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u w:val="single"/>
          <w14:textFill>
            <w14:solidFill>
              <w14:schemeClr w14:val="tx1"/>
            </w14:solidFill>
          </w14:textFill>
        </w:rPr>
        <w:t>（分包供应商X</w:t>
      </w:r>
      <w:r>
        <w:rPr>
          <w:rFonts w:ascii="宋体" w:hAnsi="宋体" w:cs="宋体"/>
          <w:color w:val="000000" w:themeColor="text1"/>
          <w:kern w:val="0"/>
          <w:szCs w:val="21"/>
          <w:highlight w:val="none"/>
          <w:u w:val="single"/>
          <w14:textFill>
            <w14:solidFill>
              <w14:schemeClr w14:val="tx1"/>
            </w14:solidFill>
          </w14:textFill>
        </w:rPr>
        <w:t>,</w:t>
      </w:r>
      <w:r>
        <w:rPr>
          <w:rFonts w:hint="eastAsia" w:ascii="宋体" w:hAnsi="宋体" w:cs="宋体"/>
          <w:color w:val="000000" w:themeColor="text1"/>
          <w:kern w:val="0"/>
          <w:szCs w:val="21"/>
          <w:highlight w:val="none"/>
          <w:u w:val="single"/>
          <w14:textFill>
            <w14:solidFill>
              <w14:schemeClr w14:val="tx1"/>
            </w14:solidFill>
          </w14:textFill>
        </w:rPr>
        <w:t>……）提供的服务全部由小微企业承接，</w:t>
      </w:r>
      <w:r>
        <w:rPr>
          <w:rFonts w:hint="eastAsia" w:ascii="宋体" w:hAnsi="宋体" w:cs="宋体"/>
          <w:color w:val="000000" w:themeColor="text1"/>
          <w:kern w:val="0"/>
          <w:szCs w:val="21"/>
          <w:highlight w:val="none"/>
          <w14:textFill>
            <w14:solidFill>
              <w14:schemeClr w14:val="tx1"/>
            </w14:solidFill>
          </w14:textFill>
        </w:rPr>
        <w:t>其合同份额占到合同总金额%以上</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b/>
          <w:color w:val="000000" w:themeColor="text1"/>
          <w:kern w:val="0"/>
          <w:szCs w:val="21"/>
          <w:highlight w:val="none"/>
          <w:lang w:val="zh-CN"/>
          <w14:textFill>
            <w14:solidFill>
              <w14:schemeClr w14:val="tx1"/>
            </w14:solidFill>
          </w14:textFill>
        </w:rPr>
        <w:t>（未预留份额专门面向中小企业采购的的采购项目，以及预留份额中的非预留部分采购包，允许分包的，分包意向协议约定小微企业的合同份额占到合同总金额30%以上的，对大中型企业的报价给予</w:t>
      </w:r>
      <w:r>
        <w:rPr>
          <w:rFonts w:hint="eastAsia" w:ascii="宋体" w:hAnsi="宋体" w:cs="宋体"/>
          <w:b/>
          <w:color w:val="000000" w:themeColor="text1"/>
          <w:kern w:val="0"/>
          <w:szCs w:val="21"/>
          <w:highlight w:val="none"/>
          <w14:textFill>
            <w14:solidFill>
              <w14:schemeClr w14:val="tx1"/>
            </w14:solidFill>
          </w14:textFill>
        </w:rPr>
        <w:t>4</w:t>
      </w:r>
      <w:r>
        <w:rPr>
          <w:rFonts w:hint="eastAsia" w:ascii="宋体" w:hAnsi="宋体" w:cs="宋体"/>
          <w:b/>
          <w:color w:val="000000" w:themeColor="text1"/>
          <w:kern w:val="0"/>
          <w:szCs w:val="21"/>
          <w:highlight w:val="none"/>
          <w:lang w:val="zh-CN"/>
          <w14:textFill>
            <w14:solidFill>
              <w14:schemeClr w14:val="tx1"/>
            </w14:solidFill>
          </w14:textFill>
        </w:rPr>
        <w:t>%的扣除。供应商</w:t>
      </w:r>
      <w:r>
        <w:rPr>
          <w:rFonts w:hint="eastAsia" w:ascii="宋体" w:hAnsi="宋体" w:cs="宋体"/>
          <w:b/>
          <w:color w:val="000000" w:themeColor="text1"/>
          <w:szCs w:val="21"/>
          <w:highlight w:val="none"/>
          <w14:textFill>
            <w14:solidFill>
              <w14:schemeClr w14:val="tx1"/>
            </w14:solidFill>
          </w14:textFill>
        </w:rPr>
        <w:t>拟享受以上价格扣除政策的，填写有关内容。</w:t>
      </w:r>
      <w:r>
        <w:rPr>
          <w:rFonts w:hint="eastAsia" w:ascii="宋体" w:hAnsi="宋体" w:cs="宋体"/>
          <w:b/>
          <w:color w:val="000000" w:themeColor="text1"/>
          <w:kern w:val="0"/>
          <w:szCs w:val="21"/>
          <w:highlight w:val="none"/>
          <w:lang w:val="zh-CN"/>
          <w14:textFill>
            <w14:solidFill>
              <w14:schemeClr w14:val="tx1"/>
            </w14:solidFill>
          </w14:textFill>
        </w:rPr>
        <w:t>）</w:t>
      </w:r>
    </w:p>
    <w:p w14:paraId="08EC7D01">
      <w:pPr>
        <w:widowControl/>
        <w:numPr>
          <w:ilvl w:val="0"/>
          <w:numId w:val="24"/>
        </w:numPr>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中小企业合同金额达到%，小微企业合同金额达到%</w:t>
      </w:r>
      <w:r>
        <w:rPr>
          <w:rFonts w:hint="eastAsia" w:ascii="宋体" w:hAnsi="宋体" w:cs="宋体"/>
          <w:color w:val="000000" w:themeColor="text1"/>
          <w:kern w:val="0"/>
          <w:szCs w:val="21"/>
          <w:highlight w:val="none"/>
          <w:lang w:val="zh-CN"/>
          <w14:textFill>
            <w14:solidFill>
              <w14:schemeClr w14:val="tx1"/>
            </w14:solidFill>
          </w14:textFill>
        </w:rPr>
        <w:t>。</w:t>
      </w:r>
      <w:r>
        <w:rPr>
          <w:rFonts w:hint="eastAsia" w:ascii="宋体" w:hAnsi="宋体" w:cs="宋体"/>
          <w:b/>
          <w:bCs/>
          <w:color w:val="000000" w:themeColor="text1"/>
          <w:kern w:val="0"/>
          <w:szCs w:val="21"/>
          <w:highlight w:val="none"/>
          <w:lang w:val="zh-CN"/>
          <w14:textFill>
            <w14:solidFill>
              <w14:schemeClr w14:val="tx1"/>
            </w14:solidFill>
          </w14:textFill>
        </w:rPr>
        <w:t>（</w:t>
      </w:r>
      <w:r>
        <w:rPr>
          <w:rFonts w:hint="eastAsia" w:ascii="宋体" w:hAnsi="宋体" w:cs="宋体"/>
          <w:b/>
          <w:bCs/>
          <w:color w:val="000000" w:themeColor="text1"/>
          <w:szCs w:val="21"/>
          <w:highlight w:val="none"/>
          <w14:textFill>
            <w14:solidFill>
              <w14:schemeClr w14:val="tx1"/>
            </w14:solidFill>
          </w14:textFill>
        </w:rPr>
        <w:t>要求合同分包形式参加的项目或采购包，供应商按招标文件第一部分招标公告申请人的资格要求中规定的</w:t>
      </w:r>
      <w:r>
        <w:rPr>
          <w:rFonts w:hint="eastAsia" w:ascii="宋体" w:hAnsi="宋体" w:cs="宋体"/>
          <w:b/>
          <w:color w:val="000000" w:themeColor="text1"/>
          <w:kern w:val="0"/>
          <w:szCs w:val="21"/>
          <w:highlight w:val="none"/>
          <w:lang w:val="zh-CN"/>
          <w14:textFill>
            <w14:solidFill>
              <w14:schemeClr w14:val="tx1"/>
            </w14:solidFill>
          </w14:textFill>
        </w:rPr>
        <w:t>分包意向协议</w:t>
      </w:r>
      <w:r>
        <w:rPr>
          <w:rFonts w:hint="eastAsia" w:ascii="宋体" w:hAnsi="宋体" w:cs="宋体"/>
          <w:b/>
          <w:bCs/>
          <w:color w:val="000000" w:themeColor="text1"/>
          <w:szCs w:val="21"/>
          <w:highlight w:val="none"/>
          <w14:textFill>
            <w14:solidFill>
              <w14:schemeClr w14:val="tx1"/>
            </w14:solidFill>
          </w14:textFill>
        </w:rPr>
        <w:t>中中小企业、小微企业合同金额应当达到的比例要求填写。</w:t>
      </w:r>
      <w:r>
        <w:rPr>
          <w:rFonts w:hint="eastAsia" w:ascii="宋体" w:hAnsi="宋体" w:cs="宋体"/>
          <w:b/>
          <w:bCs/>
          <w:color w:val="000000" w:themeColor="text1"/>
          <w:kern w:val="0"/>
          <w:szCs w:val="21"/>
          <w:highlight w:val="none"/>
          <w:lang w:val="zh-CN"/>
          <w14:textFill>
            <w14:solidFill>
              <w14:schemeClr w14:val="tx1"/>
            </w14:solidFill>
          </w14:textFill>
        </w:rPr>
        <w:t>）</w:t>
      </w:r>
    </w:p>
    <w:p w14:paraId="32E6A432">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三、分包工作履行期限、地点、方式</w:t>
      </w:r>
    </w:p>
    <w:p w14:paraId="5030BEF0">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四、质量</w:t>
      </w:r>
    </w:p>
    <w:p w14:paraId="2465B5F0">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五、价款或者报酬</w:t>
      </w:r>
    </w:p>
    <w:p w14:paraId="4C418821">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六、违约责任</w:t>
      </w:r>
    </w:p>
    <w:p w14:paraId="760D2403">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七、争议解决的办法</w:t>
      </w:r>
    </w:p>
    <w:p w14:paraId="42C031DF">
      <w:pPr>
        <w:widowControl/>
        <w:spacing w:line="480" w:lineRule="exact"/>
        <w:ind w:firstLine="420" w:firstLineChars="200"/>
        <w:jc w:val="left"/>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八、其他</w:t>
      </w:r>
    </w:p>
    <w:p w14:paraId="4B639C0E">
      <w:pPr>
        <w:snapToGrid w:val="0"/>
        <w:spacing w:line="360" w:lineRule="auto"/>
        <w:ind w:firstLine="5250" w:firstLineChars="25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投标人名称(</w:t>
      </w:r>
      <w:r>
        <w:rPr>
          <w:rFonts w:hint="eastAsia" w:ascii="宋体" w:hAnsi="宋体" w:cs="宋体"/>
          <w:color w:val="000000" w:themeColor="text1"/>
          <w:kern w:val="0"/>
          <w:szCs w:val="21"/>
          <w:highlight w:val="none"/>
          <w14:textFill>
            <w14:solidFill>
              <w14:schemeClr w14:val="tx1"/>
            </w14:solidFill>
          </w14:textFill>
        </w:rPr>
        <w:t>公章</w:t>
      </w:r>
      <w:r>
        <w:rPr>
          <w:rFonts w:hint="eastAsia" w:ascii="宋体" w:hAnsi="宋体" w:cs="宋体"/>
          <w:color w:val="000000" w:themeColor="text1"/>
          <w:kern w:val="0"/>
          <w:szCs w:val="21"/>
          <w:highlight w:val="none"/>
          <w:lang w:val="zh-CN"/>
          <w14:textFill>
            <w14:solidFill>
              <w14:schemeClr w14:val="tx1"/>
            </w14:solidFill>
          </w14:textFill>
        </w:rPr>
        <w:t>)：</w:t>
      </w:r>
    </w:p>
    <w:p w14:paraId="557FA77F">
      <w:pPr>
        <w:snapToGrid w:val="0"/>
        <w:spacing w:line="360" w:lineRule="auto"/>
        <w:ind w:firstLine="5250" w:firstLineChars="2500"/>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分包供应商名称：</w:t>
      </w:r>
    </w:p>
    <w:p w14:paraId="6B85CB4D">
      <w:pPr>
        <w:snapToGrid w:val="0"/>
        <w:spacing w:line="360" w:lineRule="auto"/>
        <w:ind w:firstLine="5250" w:firstLineChars="2500"/>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w:t>
      </w:r>
    </w:p>
    <w:p w14:paraId="70EC4C3A">
      <w:pPr>
        <w:snapToGrid w:val="0"/>
        <w:spacing w:line="360" w:lineRule="auto"/>
        <w:ind w:left="5355" w:leftChars="2500" w:hanging="105" w:hangingChars="50"/>
        <w:jc w:val="left"/>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日期：  年  月   日</w:t>
      </w:r>
    </w:p>
    <w:p w14:paraId="6A5BF842">
      <w:pPr>
        <w:pStyle w:val="4"/>
        <w:spacing w:line="380" w:lineRule="exact"/>
        <w:rPr>
          <w:rFonts w:asciiTheme="minorEastAsia" w:hAnsiTheme="minorEastAsia" w:eastAsiaTheme="minorEastAsia"/>
          <w:color w:val="000000" w:themeColor="text1"/>
          <w:sz w:val="28"/>
          <w:szCs w:val="28"/>
          <w:highlight w:val="none"/>
          <w14:textFill>
            <w14:solidFill>
              <w14:schemeClr w14:val="tx1"/>
            </w14:solidFill>
          </w14:textFill>
        </w:rPr>
      </w:pPr>
    </w:p>
    <w:p w14:paraId="3BB3286C">
      <w:pPr>
        <w:pStyle w:val="4"/>
        <w:spacing w:line="380" w:lineRule="exact"/>
        <w:rPr>
          <w:rFonts w:asciiTheme="minorEastAsia" w:hAnsiTheme="minorEastAsia" w:eastAsiaTheme="minorEastAsia"/>
          <w:color w:val="000000" w:themeColor="text1"/>
          <w:sz w:val="28"/>
          <w:szCs w:val="28"/>
          <w:highlight w:val="none"/>
          <w14:textFill>
            <w14:solidFill>
              <w14:schemeClr w14:val="tx1"/>
            </w14:solidFill>
          </w14:textFill>
        </w:rPr>
      </w:pPr>
      <w:bookmarkStart w:id="157" w:name="_Toc136017657"/>
      <w:bookmarkStart w:id="158" w:name="_Toc136345118"/>
      <w:bookmarkStart w:id="159" w:name="_Toc5191"/>
      <w:r>
        <w:rPr>
          <w:rFonts w:hint="eastAsia" w:asciiTheme="minorEastAsia" w:hAnsiTheme="minorEastAsia" w:eastAsiaTheme="minorEastAsia"/>
          <w:color w:val="000000" w:themeColor="text1"/>
          <w:sz w:val="28"/>
          <w:szCs w:val="28"/>
          <w:highlight w:val="none"/>
          <w14:textFill>
            <w14:solidFill>
              <w14:schemeClr w14:val="tx1"/>
            </w14:solidFill>
          </w14:textFill>
        </w:rPr>
        <w:t>（四）投标人的特定条件的证明文件</w:t>
      </w:r>
      <w:bookmarkEnd w:id="157"/>
      <w:bookmarkEnd w:id="158"/>
      <w:bookmarkEnd w:id="159"/>
    </w:p>
    <w:p w14:paraId="49371927">
      <w:pPr>
        <w:pStyle w:val="4"/>
        <w:spacing w:line="380" w:lineRule="exact"/>
        <w:rPr>
          <w:rFonts w:cs="仿宋_GB2312" w:asciiTheme="minorEastAsia" w:hAnsiTheme="minorEastAsia" w:eastAsiaTheme="minorEastAsia"/>
          <w:b w:val="0"/>
          <w:bCs w:val="0"/>
          <w:color w:val="000000" w:themeColor="text1"/>
          <w:kern w:val="2"/>
          <w:sz w:val="24"/>
          <w:szCs w:val="20"/>
          <w:highlight w:val="none"/>
          <w14:textFill>
            <w14:solidFill>
              <w14:schemeClr w14:val="tx1"/>
            </w14:solidFill>
          </w14:textFill>
        </w:rPr>
      </w:pPr>
      <w:bookmarkStart w:id="160" w:name="_Toc5570"/>
      <w:bookmarkStart w:id="161" w:name="_Toc136017658"/>
      <w:bookmarkStart w:id="162" w:name="_Toc136345119"/>
      <w:r>
        <w:rPr>
          <w:rFonts w:hint="eastAsia" w:cs="仿宋_GB2312" w:asciiTheme="minorEastAsia" w:hAnsiTheme="minorEastAsia" w:eastAsiaTheme="minorEastAsia"/>
          <w:b w:val="0"/>
          <w:bCs w:val="0"/>
          <w:color w:val="000000" w:themeColor="text1"/>
          <w:kern w:val="2"/>
          <w:sz w:val="24"/>
          <w:szCs w:val="20"/>
          <w:highlight w:val="none"/>
          <w14:textFill>
            <w14:solidFill>
              <w14:schemeClr w14:val="tx1"/>
            </w14:solidFill>
          </w14:textFill>
        </w:rPr>
        <w:t>（根据招标公告本项目的特定资格要求提供相应的材料；未要求的，无需提供）</w:t>
      </w:r>
      <w:bookmarkEnd w:id="160"/>
      <w:bookmarkEnd w:id="161"/>
      <w:bookmarkEnd w:id="162"/>
    </w:p>
    <w:p w14:paraId="5A2F71F0">
      <w:pPr>
        <w:widowControl/>
        <w:jc w:val="left"/>
        <w:rPr>
          <w:rFonts w:asciiTheme="minorEastAsia" w:hAnsiTheme="minorEastAsia" w:eastAsiaTheme="minorEastAsia"/>
          <w:b/>
          <w:bCs/>
          <w:color w:val="000000" w:themeColor="text1"/>
          <w:sz w:val="24"/>
          <w:szCs w:val="24"/>
          <w:highlight w:val="none"/>
          <w14:textFill>
            <w14:solidFill>
              <w14:schemeClr w14:val="tx1"/>
            </w14:solidFill>
          </w14:textFill>
        </w:rPr>
      </w:pPr>
    </w:p>
    <w:p w14:paraId="62BCCF55">
      <w:pPr>
        <w:widowControl/>
        <w:jc w:val="left"/>
        <w:rPr>
          <w:rFonts w:asciiTheme="minorEastAsia" w:hAnsiTheme="minorEastAsia" w:eastAsiaTheme="minorEastAsia"/>
          <w:b/>
          <w:color w:val="000000" w:themeColor="text1"/>
          <w:sz w:val="24"/>
          <w:szCs w:val="24"/>
          <w:highlight w:val="none"/>
          <w14:textFill>
            <w14:solidFill>
              <w14:schemeClr w14:val="tx1"/>
            </w14:solidFill>
          </w14:textFill>
        </w:rPr>
      </w:pPr>
      <w:r>
        <w:rPr>
          <w:rFonts w:asciiTheme="minorEastAsia" w:hAnsiTheme="minorEastAsia" w:eastAsiaTheme="minorEastAsia"/>
          <w:bCs/>
          <w:color w:val="000000" w:themeColor="text1"/>
          <w:sz w:val="24"/>
          <w:szCs w:val="24"/>
          <w:highlight w:val="none"/>
          <w14:textFill>
            <w14:solidFill>
              <w14:schemeClr w14:val="tx1"/>
            </w14:solidFill>
          </w14:textFill>
        </w:rPr>
        <w:br w:type="page"/>
      </w:r>
    </w:p>
    <w:p w14:paraId="6543BDFC">
      <w:pPr>
        <w:widowControl/>
        <w:spacing w:line="360" w:lineRule="auto"/>
        <w:jc w:val="left"/>
        <w:rPr>
          <w:rFonts w:asciiTheme="minorEastAsia" w:hAnsiTheme="minorEastAsia" w:eastAsiaTheme="minorEastAsia"/>
          <w:bCs/>
          <w:color w:val="000000" w:themeColor="text1"/>
          <w:sz w:val="24"/>
          <w:szCs w:val="24"/>
          <w:highlight w:val="none"/>
          <w14:textFill>
            <w14:solidFill>
              <w14:schemeClr w14:val="tx1"/>
            </w14:solidFill>
          </w14:textFill>
        </w:rPr>
      </w:pPr>
    </w:p>
    <w:p w14:paraId="02738CE1">
      <w:pPr>
        <w:widowControl/>
        <w:spacing w:line="360" w:lineRule="auto"/>
        <w:jc w:val="left"/>
        <w:rPr>
          <w:rFonts w:hint="eastAsia" w:cs="宋体" w:asciiTheme="minorEastAsia" w:hAnsiTheme="minorEastAsia" w:eastAsiaTheme="minorEastAsia"/>
          <w:b/>
          <w:bCs/>
          <w:color w:val="000000" w:themeColor="text1"/>
          <w:kern w:val="0"/>
          <w:szCs w:val="21"/>
          <w:highlight w:val="none"/>
          <w:lang w:eastAsia="zh-CN"/>
          <w14:textFill>
            <w14:solidFill>
              <w14:schemeClr w14:val="tx1"/>
            </w14:solidFill>
          </w14:textFill>
        </w:rPr>
      </w:pPr>
    </w:p>
    <w:p w14:paraId="5DDFEDF9">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 xml:space="preserve">商务技术文件组成： </w:t>
      </w:r>
    </w:p>
    <w:p w14:paraId="6D783CD0">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（1）单位负责人的身份证明或单位负责人授权书（投标人的代表若不为单位负责人的，必须提交单位负责人授权书），并提供单位负责人和授权代表的身份证正反两面复印件；</w:t>
      </w:r>
    </w:p>
    <w:p w14:paraId="4BC36098">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（2）投标人基本情况表；</w:t>
      </w:r>
    </w:p>
    <w:p w14:paraId="615D20B2">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（3）联合协议（如有）；</w:t>
      </w:r>
    </w:p>
    <w:p w14:paraId="0CA4F468">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（4）分包意向协议（如有）；</w:t>
      </w:r>
    </w:p>
    <w:p w14:paraId="67A9677F">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（5）技术条款偏离表；</w:t>
      </w:r>
    </w:p>
    <w:p w14:paraId="76D68948">
      <w:pPr>
        <w:widowControl/>
        <w:spacing w:line="360" w:lineRule="auto"/>
        <w:ind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（6）商务条款偏离表；</w:t>
      </w:r>
    </w:p>
    <w:p w14:paraId="538BB23A">
      <w:pPr>
        <w:widowControl/>
        <w:spacing w:line="360" w:lineRule="auto"/>
        <w:ind w:firstLine="420" w:firstLineChars="200"/>
        <w:jc w:val="left"/>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（7）第五部分“评标办法”中“评分标准”要求提供的资料（如有需提供）。</w:t>
      </w:r>
    </w:p>
    <w:p w14:paraId="0E5FBE3F">
      <w:pPr>
        <w:widowControl/>
        <w:spacing w:line="360" w:lineRule="auto"/>
        <w:ind w:firstLine="480" w:firstLineChars="200"/>
        <w:jc w:val="left"/>
        <w:rPr>
          <w:rFonts w:cs="宋体" w:asciiTheme="minorEastAsia" w:hAnsiTheme="minorEastAsia" w:eastAsiaTheme="minorEastAsia"/>
          <w:color w:val="000000" w:themeColor="text1"/>
          <w:kern w:val="0"/>
          <w:sz w:val="24"/>
          <w:highlight w:val="none"/>
          <w14:textFill>
            <w14:solidFill>
              <w14:schemeClr w14:val="tx1"/>
            </w14:solidFill>
          </w14:textFill>
        </w:rPr>
      </w:pPr>
    </w:p>
    <w:p w14:paraId="15518694">
      <w:pPr>
        <w:widowControl/>
        <w:ind w:firstLine="484" w:firstLineChars="202"/>
        <w:jc w:val="left"/>
        <w:rPr>
          <w:rFonts w:asciiTheme="minorEastAsia" w:hAnsiTheme="minorEastAsia" w:eastAsiaTheme="minorEastAsia"/>
          <w:b/>
          <w:color w:val="000000" w:themeColor="text1"/>
          <w:sz w:val="24"/>
          <w:szCs w:val="24"/>
          <w:highlight w:val="none"/>
          <w14:textFill>
            <w14:solidFill>
              <w14:schemeClr w14:val="tx1"/>
            </w14:solidFill>
          </w14:textFill>
        </w:rPr>
      </w:pPr>
      <w:r>
        <w:rPr>
          <w:rFonts w:asciiTheme="minorEastAsia" w:hAnsiTheme="minorEastAsia" w:eastAsiaTheme="minorEastAsia"/>
          <w:bCs/>
          <w:color w:val="000000" w:themeColor="text1"/>
          <w:sz w:val="24"/>
          <w:szCs w:val="24"/>
          <w:highlight w:val="none"/>
          <w14:textFill>
            <w14:solidFill>
              <w14:schemeClr w14:val="tx1"/>
            </w14:solidFill>
          </w14:textFill>
        </w:rPr>
        <w:br w:type="page"/>
      </w:r>
    </w:p>
    <w:p w14:paraId="5F25B5F8">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p>
    <w:p w14:paraId="0BEE963A">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bookmarkStart w:id="163" w:name="_Toc31823"/>
      <w:bookmarkStart w:id="164" w:name="_Toc136017659"/>
      <w:bookmarkStart w:id="165" w:name="_Toc136345120"/>
      <w:r>
        <w:rPr>
          <w:rFonts w:hint="eastAsia" w:asciiTheme="minorEastAsia" w:hAnsiTheme="minorEastAsia" w:eastAsiaTheme="minorEastAsia"/>
          <w:bCs w:val="0"/>
          <w:color w:val="000000" w:themeColor="text1"/>
          <w:sz w:val="24"/>
          <w:szCs w:val="24"/>
          <w:highlight w:val="none"/>
          <w14:textFill>
            <w14:solidFill>
              <w14:schemeClr w14:val="tx1"/>
            </w14:solidFill>
          </w14:textFill>
        </w:rPr>
        <w:t>（一）单位负责人授权书</w:t>
      </w:r>
      <w:bookmarkEnd w:id="163"/>
      <w:bookmarkEnd w:id="164"/>
      <w:bookmarkEnd w:id="165"/>
    </w:p>
    <w:p w14:paraId="1D39B072">
      <w:pPr>
        <w:pStyle w:val="17"/>
        <w:ind w:firstLine="0"/>
        <w:jc w:val="center"/>
        <w:rPr>
          <w:rFonts w:asciiTheme="minorEastAsia" w:hAnsiTheme="minorEastAsia" w:eastAsiaTheme="minorEastAsia"/>
          <w:color w:val="000000" w:themeColor="text1"/>
          <w:highlight w:val="none"/>
          <w14:textFill>
            <w14:solidFill>
              <w14:schemeClr w14:val="tx1"/>
            </w14:solidFill>
          </w14:textFill>
        </w:rPr>
      </w:pPr>
      <w:r>
        <w:rPr>
          <w:rFonts w:hint="eastAsia" w:cs="宋体" w:asciiTheme="minorEastAsia" w:hAnsiTheme="minorEastAsia" w:eastAsiaTheme="minorEastAsia"/>
          <w:bCs/>
          <w:color w:val="000000" w:themeColor="text1"/>
          <w:sz w:val="24"/>
          <w:highlight w:val="none"/>
          <w14:textFill>
            <w14:solidFill>
              <w14:schemeClr w14:val="tx1"/>
            </w14:solidFill>
          </w14:textFill>
        </w:rPr>
        <w:t>（单位负责人来投标的，此表不用）</w:t>
      </w:r>
    </w:p>
    <w:p w14:paraId="402DAA59">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u w:val="single"/>
          <w14:textFill>
            <w14:solidFill>
              <w14:schemeClr w14:val="tx1"/>
            </w14:solidFill>
          </w14:textFill>
        </w:rPr>
        <w:t xml:space="preserve">  致 （</w:t>
      </w:r>
      <w:r>
        <w:rPr>
          <w:rFonts w:hint="eastAsia" w:asciiTheme="minorEastAsia" w:hAnsiTheme="minorEastAsia" w:eastAsiaTheme="minorEastAsia"/>
          <w:i/>
          <w:color w:val="000000" w:themeColor="text1"/>
          <w:sz w:val="21"/>
          <w:szCs w:val="21"/>
          <w:highlight w:val="none"/>
          <w:u w:val="single"/>
          <w14:textFill>
            <w14:solidFill>
              <w14:schemeClr w14:val="tx1"/>
            </w14:solidFill>
          </w14:textFill>
        </w:rPr>
        <w:t>采购代理机构</w:t>
      </w:r>
      <w:r>
        <w:rPr>
          <w:rFonts w:hint="eastAsia" w:asciiTheme="minorEastAsia" w:hAnsiTheme="minorEastAsia" w:eastAsiaTheme="minorEastAsia"/>
          <w:color w:val="000000" w:themeColor="text1"/>
          <w:sz w:val="2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1"/>
          <w:szCs w:val="21"/>
          <w:highlight w:val="none"/>
          <w14:textFill>
            <w14:solidFill>
              <w14:schemeClr w14:val="tx1"/>
            </w14:solidFill>
          </w14:textFill>
        </w:rPr>
        <w:t>：</w:t>
      </w:r>
    </w:p>
    <w:p w14:paraId="0CCCC987">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p>
    <w:p w14:paraId="63455013">
      <w:pPr>
        <w:snapToGrid w:val="0"/>
        <w:spacing w:line="360" w:lineRule="auto"/>
        <w:ind w:firstLine="420" w:firstLineChars="200"/>
        <w:rPr>
          <w:rFonts w:cs="仿宋_GB2312" w:asciiTheme="minorEastAsia" w:hAnsiTheme="minorEastAsia" w:eastAsiaTheme="minorEastAsia"/>
          <w:color w:val="000000" w:themeColor="text1"/>
          <w:kern w:val="0"/>
          <w:szCs w:val="21"/>
          <w:highlight w:val="none"/>
          <w14:textFill>
            <w14:solidFill>
              <w14:schemeClr w14:val="tx1"/>
            </w14:solidFill>
          </w14:textFill>
        </w:rPr>
      </w:pPr>
      <w:r>
        <w:rPr>
          <w:rFonts w:hint="eastAsia" w:cs="仿宋_GB2312" w:asciiTheme="minorEastAsia" w:hAnsiTheme="minorEastAsia" w:eastAsiaTheme="minorEastAsia"/>
          <w:color w:val="000000" w:themeColor="text1"/>
          <w:kern w:val="0"/>
          <w:szCs w:val="21"/>
          <w:highlight w:val="none"/>
          <w14:textFill>
            <w14:solidFill>
              <w14:schemeClr w14:val="tx1"/>
            </w14:solidFill>
          </w14:textFill>
        </w:rPr>
        <w:t>现</w:t>
      </w:r>
      <w:r>
        <w:rPr>
          <w:rFonts w:hint="eastAsia" w:cs="仿宋_GB2312" w:asciiTheme="minorEastAsia" w:hAnsiTheme="minorEastAsia" w:eastAsiaTheme="minorEastAsia"/>
          <w:color w:val="000000" w:themeColor="text1"/>
          <w:kern w:val="0"/>
          <w:szCs w:val="21"/>
          <w:highlight w:val="none"/>
          <w:lang w:val="zh-CN"/>
          <w14:textFill>
            <w14:solidFill>
              <w14:schemeClr w14:val="tx1"/>
            </w14:solidFill>
          </w14:textFill>
        </w:rPr>
        <w:t>委托（姓名）为我方代理人（身份证号码：，手机：），以我方名义处理</w:t>
      </w:r>
      <w:r>
        <w:rPr>
          <w:rFonts w:hint="eastAsia" w:asciiTheme="minorEastAsia" w:hAnsiTheme="minorEastAsia" w:eastAsiaTheme="minorEastAsia"/>
          <w:color w:val="000000" w:themeColor="text1"/>
          <w:szCs w:val="21"/>
          <w:highlight w:val="none"/>
          <w14:textFill>
            <w14:solidFill>
              <w14:schemeClr w14:val="tx1"/>
            </w14:solidFill>
          </w14:textFill>
        </w:rPr>
        <w:t>项目</w:t>
      </w:r>
      <w:r>
        <w:rPr>
          <w:rFonts w:hint="eastAsia" w:cs="仿宋_GB2312" w:asciiTheme="minorEastAsia" w:hAnsiTheme="minorEastAsia" w:eastAsiaTheme="minorEastAsia"/>
          <w:color w:val="000000" w:themeColor="text1"/>
          <w:szCs w:val="21"/>
          <w:highlight w:val="none"/>
          <w14:textFill>
            <w14:solidFill>
              <w14:schemeClr w14:val="tx1"/>
            </w14:solidFill>
          </w14:textFill>
        </w:rPr>
        <w:t>【招标编号：】</w:t>
      </w:r>
      <w:r>
        <w:rPr>
          <w:rFonts w:hint="eastAsia" w:cs="仿宋_GB2312" w:asciiTheme="minorEastAsia" w:hAnsiTheme="minorEastAsia" w:eastAsiaTheme="minorEastAsia"/>
          <w:color w:val="000000" w:themeColor="text1"/>
          <w:kern w:val="0"/>
          <w:szCs w:val="21"/>
          <w:highlight w:val="none"/>
          <w:lang w:val="zh-CN"/>
          <w14:textFill>
            <w14:solidFill>
              <w14:schemeClr w14:val="tx1"/>
            </w14:solidFill>
          </w14:textFill>
        </w:rPr>
        <w:t>政府采购投标的一切事项，其法律后果由我方承担。</w:t>
      </w:r>
    </w:p>
    <w:p w14:paraId="5CF4BC08">
      <w:pPr>
        <w:snapToGrid w:val="0"/>
        <w:spacing w:line="360" w:lineRule="auto"/>
        <w:rPr>
          <w:rFonts w:cs="仿宋_GB2312" w:asciiTheme="minorEastAsia" w:hAnsiTheme="minorEastAsia" w:eastAsiaTheme="minorEastAsia"/>
          <w:color w:val="000000" w:themeColor="text1"/>
          <w:kern w:val="0"/>
          <w:szCs w:val="21"/>
          <w:highlight w:val="none"/>
          <w14:textFill>
            <w14:solidFill>
              <w14:schemeClr w14:val="tx1"/>
            </w14:solidFill>
          </w14:textFill>
        </w:rPr>
      </w:pPr>
      <w:r>
        <w:rPr>
          <w:rFonts w:hint="eastAsia" w:cs="仿宋_GB2312" w:asciiTheme="minorEastAsia" w:hAnsiTheme="minorEastAsia" w:eastAsiaTheme="minorEastAsia"/>
          <w:color w:val="000000" w:themeColor="text1"/>
          <w:kern w:val="0"/>
          <w:szCs w:val="21"/>
          <w:highlight w:val="none"/>
          <w:lang w:val="zh-CN"/>
          <w14:textFill>
            <w14:solidFill>
              <w14:schemeClr w14:val="tx1"/>
            </w14:solidFill>
          </w14:textFill>
        </w:rPr>
        <w:t>委托期限</w:t>
      </w:r>
      <w:r>
        <w:rPr>
          <w:rFonts w:hint="eastAsia" w:cs="仿宋_GB2312" w:asciiTheme="minorEastAsia" w:hAnsiTheme="minorEastAsia" w:eastAsiaTheme="minorEastAsia"/>
          <w:color w:val="000000" w:themeColor="text1"/>
          <w:kern w:val="0"/>
          <w:szCs w:val="21"/>
          <w:highlight w:val="none"/>
          <w14:textFill>
            <w14:solidFill>
              <w14:schemeClr w14:val="tx1"/>
            </w14:solidFill>
          </w14:textFill>
        </w:rPr>
        <w:t>：</w:t>
      </w:r>
      <w:r>
        <w:rPr>
          <w:rFonts w:hint="eastAsia" w:cs="仿宋_GB2312" w:asciiTheme="minorEastAsia" w:hAnsiTheme="minorEastAsia" w:eastAsiaTheme="minorEastAsia"/>
          <w:color w:val="000000" w:themeColor="text1"/>
          <w:kern w:val="0"/>
          <w:szCs w:val="21"/>
          <w:highlight w:val="none"/>
          <w:lang w:val="zh-CN"/>
          <w14:textFill>
            <w14:solidFill>
              <w14:schemeClr w14:val="tx1"/>
            </w14:solidFill>
          </w14:textFill>
        </w:rPr>
        <w:t>自年月日起至年月日止。</w:t>
      </w:r>
    </w:p>
    <w:p w14:paraId="2E5BF541">
      <w:pPr>
        <w:pStyle w:val="17"/>
        <w:ind w:firstLine="420"/>
        <w:rPr>
          <w:color w:val="000000" w:themeColor="text1"/>
          <w:highlight w:val="none"/>
          <w14:textFill>
            <w14:solidFill>
              <w14:schemeClr w14:val="tx1"/>
            </w14:solidFill>
          </w14:textFill>
        </w:rPr>
      </w:pPr>
      <w:r>
        <w:rPr>
          <w:rFonts w:hint="eastAsia" w:cs="仿宋_GB2312" w:asciiTheme="minorEastAsia" w:hAnsiTheme="minorEastAsia" w:eastAsiaTheme="minorEastAsia"/>
          <w:color w:val="000000" w:themeColor="text1"/>
          <w:sz w:val="21"/>
          <w:szCs w:val="21"/>
          <w:highlight w:val="none"/>
          <w:lang w:val="zh-CN"/>
          <w14:textFill>
            <w14:solidFill>
              <w14:schemeClr w14:val="tx1"/>
            </w14:solidFill>
          </w14:textFill>
        </w:rPr>
        <w:t>特此告知。</w:t>
      </w:r>
    </w:p>
    <w:p w14:paraId="780302B1">
      <w:pPr>
        <w:pStyle w:val="34"/>
        <w:ind w:left="0" w:leftChars="0" w:firstLine="0" w:firstLineChars="0"/>
        <w:rPr>
          <w:color w:val="000000" w:themeColor="text1"/>
          <w:highlight w:val="none"/>
          <w14:textFill>
            <w14:solidFill>
              <w14:schemeClr w14:val="tx1"/>
            </w14:solidFill>
          </w14:textFill>
        </w:rPr>
      </w:pPr>
    </w:p>
    <w:p w14:paraId="1E9DE53F">
      <w:pPr>
        <w:spacing w:line="44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p>
    <w:p w14:paraId="16466FC6">
      <w:pPr>
        <w:pStyle w:val="15"/>
        <w:spacing w:line="440" w:lineRule="exact"/>
        <w:rPr>
          <w:rFonts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授权代表姓名： 性别：年龄：。</w:t>
      </w:r>
    </w:p>
    <w:p w14:paraId="7A093FB6">
      <w:pPr>
        <w:spacing w:line="440" w:lineRule="exac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部门：职务：联系电话： </w:t>
      </w:r>
    </w:p>
    <w:p w14:paraId="16806F64">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p>
    <w:p w14:paraId="292D2D59">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 xml:space="preserve">                                          投标人</w:t>
      </w:r>
      <w:r>
        <w:rPr>
          <w:rFonts w:hint="eastAsia" w:asciiTheme="minorEastAsia" w:hAnsiTheme="minorEastAsia" w:eastAsiaTheme="minorEastAsia"/>
          <w:i/>
          <w:iCs/>
          <w:color w:val="000000" w:themeColor="text1"/>
          <w:sz w:val="21"/>
          <w:szCs w:val="21"/>
          <w:highlight w:val="none"/>
          <w14:textFill>
            <w14:solidFill>
              <w14:schemeClr w14:val="tx1"/>
            </w14:solidFill>
          </w14:textFill>
        </w:rPr>
        <w:t>（联合体成员）</w:t>
      </w:r>
      <w:r>
        <w:rPr>
          <w:rFonts w:hint="eastAsia" w:asciiTheme="minorEastAsia" w:hAnsiTheme="minorEastAsia" w:eastAsiaTheme="minorEastAsia"/>
          <w:color w:val="000000" w:themeColor="text1"/>
          <w:sz w:val="21"/>
          <w:szCs w:val="21"/>
          <w:highlight w:val="none"/>
          <w14:textFill>
            <w14:solidFill>
              <w14:schemeClr w14:val="tx1"/>
            </w14:solidFill>
          </w14:textFill>
        </w:rPr>
        <w:t>单位全称（公章）：</w:t>
      </w:r>
    </w:p>
    <w:p w14:paraId="23DBD9DC">
      <w:pPr>
        <w:pStyle w:val="17"/>
        <w:ind w:firstLine="4410" w:firstLineChars="210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单位负责人（签字或印章）：</w:t>
      </w:r>
    </w:p>
    <w:p w14:paraId="720EA5DB">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p>
    <w:p w14:paraId="56D14E1B">
      <w:pPr>
        <w:pStyle w:val="17"/>
        <w:ind w:firstLine="0"/>
        <w:rPr>
          <w:rFonts w:asciiTheme="minorEastAsia" w:hAnsiTheme="minorEastAsia" w:eastAsiaTheme="minorEastAsia"/>
          <w:i/>
          <w:iCs/>
          <w:color w:val="000000" w:themeColor="text1"/>
          <w:sz w:val="21"/>
          <w:szCs w:val="21"/>
          <w:highlight w:val="none"/>
          <w14:textFill>
            <w14:solidFill>
              <w14:schemeClr w14:val="tx1"/>
            </w14:solidFill>
          </w14:textFill>
        </w:rPr>
      </w:pPr>
      <w:r>
        <w:rPr>
          <w:rFonts w:hint="eastAsia" w:asciiTheme="minorEastAsia" w:hAnsiTheme="minorEastAsia" w:eastAsiaTheme="minorEastAsia"/>
          <w:i/>
          <w:iCs/>
          <w:color w:val="000000" w:themeColor="text1"/>
          <w:sz w:val="21"/>
          <w:szCs w:val="21"/>
          <w:highlight w:val="none"/>
          <w14:textFill>
            <w14:solidFill>
              <w14:schemeClr w14:val="tx1"/>
            </w14:solidFill>
          </w14:textFill>
        </w:rPr>
        <w:t xml:space="preserve">                                          投标人（联合体成员）单位全称（公章）：</w:t>
      </w:r>
    </w:p>
    <w:p w14:paraId="205111DE">
      <w:pPr>
        <w:pStyle w:val="17"/>
        <w:ind w:firstLine="4410" w:firstLineChars="2100"/>
        <w:rPr>
          <w:rFonts w:asciiTheme="minorEastAsia" w:hAnsiTheme="minorEastAsia" w:eastAsiaTheme="minorEastAsia"/>
          <w:i/>
          <w:iCs/>
          <w:color w:val="000000" w:themeColor="text1"/>
          <w:sz w:val="21"/>
          <w:szCs w:val="21"/>
          <w:highlight w:val="none"/>
          <w14:textFill>
            <w14:solidFill>
              <w14:schemeClr w14:val="tx1"/>
            </w14:solidFill>
          </w14:textFill>
        </w:rPr>
      </w:pPr>
      <w:r>
        <w:rPr>
          <w:rFonts w:hint="eastAsia" w:asciiTheme="minorEastAsia" w:hAnsiTheme="minorEastAsia" w:eastAsiaTheme="minorEastAsia"/>
          <w:i/>
          <w:iCs/>
          <w:color w:val="000000" w:themeColor="text1"/>
          <w:sz w:val="21"/>
          <w:szCs w:val="21"/>
          <w:highlight w:val="none"/>
          <w14:textFill>
            <w14:solidFill>
              <w14:schemeClr w14:val="tx1"/>
            </w14:solidFill>
          </w14:textFill>
        </w:rPr>
        <w:t>单位负责人（签字或印章）：</w:t>
      </w:r>
    </w:p>
    <w:p w14:paraId="3E98E01B">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p>
    <w:p w14:paraId="34C38004">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 xml:space="preserve">                                          日  期：</w:t>
      </w:r>
    </w:p>
    <w:p w14:paraId="32B60D2A">
      <w:pPr>
        <w:ind w:firstLine="417" w:firstLineChars="198"/>
        <w:rPr>
          <w:rFonts w:asciiTheme="minorEastAsia" w:hAnsiTheme="minorEastAsia" w:eastAsiaTheme="minorEastAsia"/>
          <w:b/>
          <w:color w:val="000000" w:themeColor="text1"/>
          <w:szCs w:val="21"/>
          <w:highlight w:val="none"/>
          <w14:textFill>
            <w14:solidFill>
              <w14:schemeClr w14:val="tx1"/>
            </w14:solidFill>
          </w14:textFill>
        </w:rPr>
      </w:pPr>
    </w:p>
    <w:p w14:paraId="5C5AD275">
      <w:pPr>
        <w:rPr>
          <w:rFonts w:asciiTheme="minorEastAsia" w:hAnsiTheme="minorEastAsia" w:eastAsiaTheme="minorEastAsia"/>
          <w:b/>
          <w:color w:val="000000" w:themeColor="text1"/>
          <w:szCs w:val="21"/>
          <w:highlight w:val="none"/>
          <w14:textFill>
            <w14:solidFill>
              <w14:schemeClr w14:val="tx1"/>
            </w14:solidFill>
          </w14:textFill>
        </w:rPr>
      </w:pPr>
    </w:p>
    <w:p w14:paraId="5831B733">
      <w:pPr>
        <w:rPr>
          <w:rFonts w:asciiTheme="minorEastAsia" w:hAnsiTheme="minorEastAsia" w:eastAsia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b/>
          <w:color w:val="000000" w:themeColor="text1"/>
          <w:szCs w:val="21"/>
          <w:highlight w:val="none"/>
          <w14:textFill>
            <w14:solidFill>
              <w14:schemeClr w14:val="tx1"/>
            </w14:solidFill>
          </w14:textFill>
        </w:rPr>
        <w:t>附：被授权人身份证复印件</w:t>
      </w:r>
    </w:p>
    <w:p w14:paraId="3AE9A245">
      <w:pPr>
        <w:widowControl/>
        <w:jc w:val="left"/>
        <w:rPr>
          <w:rFonts w:asciiTheme="minorEastAsia" w:hAnsiTheme="minorEastAsia" w:eastAsiaTheme="minorEastAsia"/>
          <w:b/>
          <w:color w:val="000000" w:themeColor="text1"/>
          <w:szCs w:val="21"/>
          <w:highlight w:val="none"/>
          <w14:textFill>
            <w14:solidFill>
              <w14:schemeClr w14:val="tx1"/>
            </w14:solidFill>
          </w14:textFill>
        </w:rPr>
      </w:pPr>
    </w:p>
    <w:p w14:paraId="6F9CDDB6">
      <w:pPr>
        <w:widowControl/>
        <w:jc w:val="left"/>
        <w:rPr>
          <w:rFonts w:asciiTheme="minorEastAsia" w:hAnsiTheme="minorEastAsia" w:eastAsiaTheme="minorEastAsia"/>
          <w:b/>
          <w:color w:val="000000" w:themeColor="text1"/>
          <w:szCs w:val="21"/>
          <w:highlight w:val="none"/>
          <w14:textFill>
            <w14:solidFill>
              <w14:schemeClr w14:val="tx1"/>
            </w14:solidFill>
          </w14:textFill>
        </w:rPr>
      </w:pPr>
    </w:p>
    <w:p w14:paraId="524B700C">
      <w:pPr>
        <w:widowControl/>
        <w:jc w:val="left"/>
        <w:rPr>
          <w:rFonts w:asciiTheme="minorEastAsia" w:hAnsiTheme="minorEastAsia" w:eastAsiaTheme="minorEastAsia"/>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（若为联合体投标，联合体须同时盖章提供）</w:t>
      </w:r>
      <w:r>
        <w:rPr>
          <w:rFonts w:asciiTheme="minorEastAsia" w:hAnsiTheme="minorEastAsia" w:eastAsiaTheme="minorEastAsia"/>
          <w:b/>
          <w:color w:val="000000" w:themeColor="text1"/>
          <w:szCs w:val="21"/>
          <w:highlight w:val="none"/>
          <w14:textFill>
            <w14:solidFill>
              <w14:schemeClr w14:val="tx1"/>
            </w14:solidFill>
          </w14:textFill>
        </w:rPr>
        <w:br w:type="page"/>
      </w:r>
    </w:p>
    <w:p w14:paraId="37195029">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p>
    <w:p w14:paraId="236FBFAD">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bookmarkStart w:id="166" w:name="_Toc136345121"/>
      <w:bookmarkStart w:id="167" w:name="_Toc136017660"/>
      <w:bookmarkStart w:id="168" w:name="_Toc22681"/>
      <w:r>
        <w:rPr>
          <w:rFonts w:hint="eastAsia" w:asciiTheme="minorEastAsia" w:hAnsiTheme="minorEastAsia" w:eastAsiaTheme="minorEastAsia"/>
          <w:bCs w:val="0"/>
          <w:color w:val="000000" w:themeColor="text1"/>
          <w:sz w:val="24"/>
          <w:szCs w:val="24"/>
          <w:highlight w:val="none"/>
          <w14:textFill>
            <w14:solidFill>
              <w14:schemeClr w14:val="tx1"/>
            </w14:solidFill>
          </w14:textFill>
        </w:rPr>
        <w:t>单位负责人身份证明</w:t>
      </w:r>
      <w:bookmarkEnd w:id="166"/>
      <w:bookmarkEnd w:id="167"/>
      <w:bookmarkEnd w:id="168"/>
    </w:p>
    <w:p w14:paraId="6436E376">
      <w:pPr>
        <w:pStyle w:val="17"/>
        <w:ind w:firstLine="0"/>
        <w:jc w:val="center"/>
        <w:rPr>
          <w:rFonts w:cs="宋体" w:asciiTheme="minorEastAsia" w:hAnsiTheme="minorEastAsia" w:eastAsiaTheme="minorEastAsia"/>
          <w:bCs/>
          <w:color w:val="000000" w:themeColor="text1"/>
          <w:sz w:val="24"/>
          <w:highlight w:val="none"/>
          <w14:textFill>
            <w14:solidFill>
              <w14:schemeClr w14:val="tx1"/>
            </w14:solidFill>
          </w14:textFill>
        </w:rPr>
      </w:pPr>
      <w:r>
        <w:rPr>
          <w:rFonts w:hint="eastAsia" w:cs="宋体" w:asciiTheme="minorEastAsia" w:hAnsiTheme="minorEastAsia" w:eastAsiaTheme="minorEastAsia"/>
          <w:bCs/>
          <w:color w:val="000000" w:themeColor="text1"/>
          <w:sz w:val="24"/>
          <w:highlight w:val="none"/>
          <w14:textFill>
            <w14:solidFill>
              <w14:schemeClr w14:val="tx1"/>
            </w14:solidFill>
          </w14:textFill>
        </w:rPr>
        <w:t>（单位负责人不来投标的，此表不用）</w:t>
      </w:r>
    </w:p>
    <w:p w14:paraId="51A2414B">
      <w:pPr>
        <w:spacing w:line="480" w:lineRule="auto"/>
        <w:ind w:firstLine="420" w:firstLineChars="200"/>
        <w:rPr>
          <w:rFonts w:cs="宋体" w:asciiTheme="minorEastAsia" w:hAnsiTheme="minorEastAsia" w:eastAsiaTheme="minorEastAsia"/>
          <w:color w:val="000000" w:themeColor="text1"/>
          <w:szCs w:val="21"/>
          <w:highlight w:val="none"/>
          <w14:textFill>
            <w14:solidFill>
              <w14:schemeClr w14:val="tx1"/>
            </w14:solidFill>
          </w14:textFill>
        </w:rPr>
      </w:pPr>
    </w:p>
    <w:p w14:paraId="00088774">
      <w:pPr>
        <w:spacing w:line="480" w:lineRule="auto"/>
        <w:ind w:firstLine="420" w:firstLineChars="20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投标人名称：</w:t>
      </w:r>
    </w:p>
    <w:p w14:paraId="6E2B3C5D">
      <w:pPr>
        <w:spacing w:line="480" w:lineRule="auto"/>
        <w:ind w:firstLine="420" w:firstLineChars="20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单位性质：</w:t>
      </w:r>
    </w:p>
    <w:p w14:paraId="3838C960">
      <w:pPr>
        <w:spacing w:line="480" w:lineRule="auto"/>
        <w:ind w:firstLine="420" w:firstLineChars="20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地址：</w:t>
      </w:r>
    </w:p>
    <w:p w14:paraId="32487586">
      <w:pPr>
        <w:spacing w:line="480" w:lineRule="auto"/>
        <w:ind w:firstLine="420" w:firstLineChars="20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成立时间：年月＿日</w:t>
      </w:r>
    </w:p>
    <w:p w14:paraId="7B9A6B82">
      <w:pPr>
        <w:spacing w:line="480" w:lineRule="auto"/>
        <w:ind w:firstLine="420" w:firstLineChars="20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经营期限：</w:t>
      </w:r>
    </w:p>
    <w:p w14:paraId="1D861285">
      <w:pPr>
        <w:spacing w:line="480" w:lineRule="auto"/>
        <w:ind w:firstLine="420" w:firstLineChars="20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姓名：性别：年龄：</w:t>
      </w:r>
      <w:r>
        <w:rPr>
          <w:rFonts w:hint="eastAsia" w:cs="宋体" w:asciiTheme="minorEastAsia" w:hAnsiTheme="minorEastAsia" w:eastAsiaTheme="minorEastAsia"/>
          <w:color w:val="000000" w:themeColor="text1"/>
          <w:szCs w:val="21"/>
          <w:highlight w:val="none"/>
          <w:u w:val="single"/>
          <w14:textFill>
            <w14:solidFill>
              <w14:schemeClr w14:val="tx1"/>
            </w14:solidFill>
          </w14:textFill>
        </w:rPr>
        <w:t xml:space="preserve">    周岁  </w:t>
      </w:r>
      <w:r>
        <w:rPr>
          <w:rFonts w:hint="eastAsia" w:cs="宋体" w:asciiTheme="minorEastAsia" w:hAnsiTheme="minorEastAsia" w:eastAsiaTheme="minorEastAsia"/>
          <w:color w:val="000000" w:themeColor="text1"/>
          <w:szCs w:val="21"/>
          <w:highlight w:val="none"/>
          <w14:textFill>
            <w14:solidFill>
              <w14:schemeClr w14:val="tx1"/>
            </w14:solidFill>
          </w14:textFill>
        </w:rPr>
        <w:t>职务：_</w:t>
      </w:r>
    </w:p>
    <w:p w14:paraId="6CE9B3A6">
      <w:pPr>
        <w:spacing w:line="480" w:lineRule="auto"/>
        <w:ind w:firstLine="420" w:firstLineChars="200"/>
        <w:rPr>
          <w:rFonts w:cs="宋体" w:asciiTheme="minorEastAsia" w:hAnsiTheme="minorEastAsia" w:eastAsiaTheme="minorEastAsia"/>
          <w:color w:val="000000" w:themeColor="text1"/>
          <w:szCs w:val="21"/>
          <w:highlight w:val="none"/>
          <w:u w:val="singl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身份证号码：</w:t>
      </w:r>
    </w:p>
    <w:p w14:paraId="736AC30C">
      <w:pPr>
        <w:spacing w:line="480" w:lineRule="auto"/>
        <w:ind w:firstLine="420" w:firstLineChars="20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系（投标人名称）的法定代表人（或单位负责人）。</w:t>
      </w:r>
    </w:p>
    <w:p w14:paraId="4406358C">
      <w:pPr>
        <w:spacing w:line="480" w:lineRule="auto"/>
        <w:ind w:firstLine="840" w:firstLineChars="40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特此证明。</w:t>
      </w:r>
    </w:p>
    <w:p w14:paraId="06FE7762">
      <w:pPr>
        <w:spacing w:line="360" w:lineRule="auto"/>
        <w:ind w:firstLine="420" w:firstLineChars="200"/>
        <w:rPr>
          <w:rFonts w:cs="宋体" w:asciiTheme="minorEastAsia" w:hAnsiTheme="minorEastAsia" w:eastAsiaTheme="minorEastAsia"/>
          <w:color w:val="000000" w:themeColor="text1"/>
          <w:szCs w:val="21"/>
          <w:highlight w:val="none"/>
          <w14:textFill>
            <w14:solidFill>
              <w14:schemeClr w14:val="tx1"/>
            </w14:solidFill>
          </w14:textFill>
        </w:rPr>
      </w:pPr>
    </w:p>
    <w:p w14:paraId="4205155A">
      <w:pPr>
        <w:spacing w:line="360" w:lineRule="auto"/>
        <w:ind w:firstLine="420" w:firstLineChars="200"/>
        <w:rPr>
          <w:rFonts w:cs="宋体" w:asciiTheme="minorEastAsia" w:hAnsiTheme="minorEastAsia" w:eastAsiaTheme="minorEastAsia"/>
          <w:color w:val="000000" w:themeColor="text1"/>
          <w:szCs w:val="21"/>
          <w:highlight w:val="none"/>
          <w14:textFill>
            <w14:solidFill>
              <w14:schemeClr w14:val="tx1"/>
            </w14:solidFill>
          </w14:textFill>
        </w:rPr>
      </w:pPr>
    </w:p>
    <w:p w14:paraId="37867806">
      <w:pPr>
        <w:wordWrap w:val="0"/>
        <w:spacing w:line="360" w:lineRule="auto"/>
        <w:jc w:val="righ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投标人：（盖单位公章）</w:t>
      </w:r>
    </w:p>
    <w:p w14:paraId="1E04D46A">
      <w:pPr>
        <w:spacing w:line="360" w:lineRule="auto"/>
        <w:ind w:firstLine="4515" w:firstLineChars="2150"/>
        <w:rPr>
          <w:rFonts w:cs="宋体" w:asciiTheme="minorEastAsia" w:hAnsiTheme="minorEastAsia" w:eastAsiaTheme="minorEastAsia"/>
          <w:color w:val="000000" w:themeColor="text1"/>
          <w:szCs w:val="21"/>
          <w:highlight w:val="none"/>
          <w:u w:val="single"/>
          <w14:textFill>
            <w14:solidFill>
              <w14:schemeClr w14:val="tx1"/>
            </w14:solidFill>
          </w14:textFill>
        </w:rPr>
      </w:pPr>
    </w:p>
    <w:p w14:paraId="459CEF29">
      <w:pPr>
        <w:spacing w:line="360" w:lineRule="auto"/>
        <w:ind w:firstLine="3675" w:firstLineChars="175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年月日</w:t>
      </w:r>
    </w:p>
    <w:p w14:paraId="51DEB82C">
      <w:pPr>
        <w:spacing w:line="360" w:lineRule="auto"/>
        <w:rPr>
          <w:rFonts w:cs="宋体" w:asciiTheme="minorEastAsia" w:hAnsiTheme="minorEastAsia" w:eastAsiaTheme="minorEastAsia"/>
          <w:color w:val="000000" w:themeColor="text1"/>
          <w:sz w:val="24"/>
          <w:highlight w:val="none"/>
          <w14:textFill>
            <w14:solidFill>
              <w14:schemeClr w14:val="tx1"/>
            </w14:solidFill>
          </w14:textFill>
        </w:rPr>
      </w:pPr>
    </w:p>
    <w:p w14:paraId="074187B6">
      <w:pPr>
        <w:spacing w:line="360" w:lineRule="auto"/>
        <w:rPr>
          <w:rFonts w:cs="宋体" w:asciiTheme="minorEastAsia" w:hAnsiTheme="minorEastAsia" w:eastAsiaTheme="minorEastAsia"/>
          <w:b/>
          <w:color w:val="000000" w:themeColor="text1"/>
          <w:szCs w:val="21"/>
          <w:highlight w:val="none"/>
          <w14:textFill>
            <w14:solidFill>
              <w14:schemeClr w14:val="tx1"/>
            </w14:solidFill>
          </w14:textFill>
        </w:rPr>
      </w:pPr>
    </w:p>
    <w:p w14:paraId="33171B26">
      <w:pPr>
        <w:spacing w:line="360" w:lineRule="auto"/>
        <w:rPr>
          <w:rFonts w:cs="宋体" w:asciiTheme="minorEastAsia" w:hAnsiTheme="minorEastAsia" w:eastAsiaTheme="minorEastAsia"/>
          <w:b/>
          <w:color w:val="000000" w:themeColor="text1"/>
          <w:szCs w:val="21"/>
          <w:highlight w:val="none"/>
          <w14:textFill>
            <w14:solidFill>
              <w14:schemeClr w14:val="tx1"/>
            </w14:solidFill>
          </w14:textFill>
        </w:rPr>
      </w:pPr>
    </w:p>
    <w:p w14:paraId="48DB5532">
      <w:pPr>
        <w:spacing w:line="360" w:lineRule="auto"/>
        <w:rPr>
          <w:rFonts w:cs="宋体" w:asciiTheme="minorEastAsia" w:hAnsiTheme="minorEastAsia" w:eastAsiaTheme="minorEastAsia"/>
          <w:b/>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附法定代表人身份证复印件（正反面）：</w:t>
      </w:r>
    </w:p>
    <w:p w14:paraId="556064D7">
      <w:pPr>
        <w:rPr>
          <w:rFonts w:cs="宋体" w:asciiTheme="minorEastAsia" w:hAnsiTheme="minorEastAsia" w:eastAsiaTheme="minorEastAsia"/>
          <w:color w:val="000000" w:themeColor="text1"/>
          <w:highlight w:val="none"/>
          <w14:textFill>
            <w14:solidFill>
              <w14:schemeClr w14:val="tx1"/>
            </w14:solidFill>
          </w14:textFill>
        </w:rPr>
      </w:pPr>
    </w:p>
    <w:p w14:paraId="3BE2EF06">
      <w:pPr>
        <w:rPr>
          <w:rFonts w:cs="宋体" w:asciiTheme="minorEastAsia" w:hAnsiTheme="minorEastAsia" w:eastAsiaTheme="minorEastAsia"/>
          <w:b/>
          <w:color w:val="000000" w:themeColor="text1"/>
          <w:sz w:val="32"/>
          <w:szCs w:val="32"/>
          <w:highlight w:val="none"/>
          <w14:textFill>
            <w14:solidFill>
              <w14:schemeClr w14:val="tx1"/>
            </w14:solidFill>
          </w14:textFill>
        </w:rPr>
      </w:pPr>
    </w:p>
    <w:p w14:paraId="5A1C1A67">
      <w:pPr>
        <w:rPr>
          <w:rFonts w:cs="宋体" w:asciiTheme="minorEastAsia" w:hAnsiTheme="minorEastAsia" w:eastAsiaTheme="minorEastAsia"/>
          <w:b/>
          <w:color w:val="000000" w:themeColor="text1"/>
          <w:sz w:val="32"/>
          <w:szCs w:val="32"/>
          <w:highlight w:val="none"/>
          <w14:textFill>
            <w14:solidFill>
              <w14:schemeClr w14:val="tx1"/>
            </w14:solidFill>
          </w14:textFill>
        </w:rPr>
      </w:pPr>
    </w:p>
    <w:p w14:paraId="28FC69E2">
      <w:pPr>
        <w:ind w:firstLine="205" w:firstLineChars="98"/>
        <w:rPr>
          <w:rFonts w:asciiTheme="minorEastAsia" w:hAnsiTheme="minorEastAsia" w:eastAsiaTheme="minorEastAsia"/>
          <w:color w:val="000000" w:themeColor="text1"/>
          <w:highlight w:val="none"/>
          <w14:textFill>
            <w14:solidFill>
              <w14:schemeClr w14:val="tx1"/>
            </w14:solidFill>
          </w14:textFill>
        </w:rPr>
      </w:pPr>
    </w:p>
    <w:p w14:paraId="1F773B57">
      <w:pPr>
        <w:rPr>
          <w:rFonts w:asciiTheme="minorEastAsia" w:hAnsiTheme="minorEastAsia" w:eastAsiaTheme="minorEastAsia"/>
          <w:color w:val="000000" w:themeColor="text1"/>
          <w:highlight w:val="none"/>
          <w14:textFill>
            <w14:solidFill>
              <w14:schemeClr w14:val="tx1"/>
            </w14:solidFill>
          </w14:textFill>
        </w:rPr>
        <w:sectPr>
          <w:headerReference r:id="rId17" w:type="default"/>
          <w:pgSz w:w="11907" w:h="16840"/>
          <w:pgMar w:top="1304" w:right="1588" w:bottom="1418" w:left="1588" w:header="720" w:footer="720" w:gutter="0"/>
          <w:cols w:space="720" w:num="1"/>
          <w:docGrid w:linePitch="285" w:charSpace="0"/>
        </w:sectPr>
      </w:pPr>
    </w:p>
    <w:p w14:paraId="21034070">
      <w:pPr>
        <w:rPr>
          <w:rFonts w:asciiTheme="minorEastAsia" w:hAnsiTheme="minorEastAsia" w:eastAsiaTheme="minorEastAsia"/>
          <w:color w:val="000000" w:themeColor="text1"/>
          <w:highlight w:val="none"/>
          <w14:textFill>
            <w14:solidFill>
              <w14:schemeClr w14:val="tx1"/>
            </w14:solidFill>
          </w14:textFill>
        </w:rPr>
      </w:pPr>
    </w:p>
    <w:p w14:paraId="10B61BFC">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bookmarkStart w:id="169" w:name="_Toc24856"/>
      <w:bookmarkStart w:id="170" w:name="_Toc136345122"/>
      <w:bookmarkStart w:id="171" w:name="_Toc136017661"/>
      <w:r>
        <w:rPr>
          <w:rFonts w:hint="eastAsia" w:asciiTheme="minorEastAsia" w:hAnsiTheme="minorEastAsia" w:eastAsiaTheme="minorEastAsia"/>
          <w:bCs w:val="0"/>
          <w:color w:val="000000" w:themeColor="text1"/>
          <w:sz w:val="24"/>
          <w:szCs w:val="24"/>
          <w:highlight w:val="none"/>
          <w14:textFill>
            <w14:solidFill>
              <w14:schemeClr w14:val="tx1"/>
            </w14:solidFill>
          </w14:textFill>
        </w:rPr>
        <w:t>（二）投标人基本情况表</w:t>
      </w:r>
      <w:bookmarkEnd w:id="169"/>
      <w:bookmarkEnd w:id="170"/>
      <w:bookmarkEnd w:id="171"/>
    </w:p>
    <w:tbl>
      <w:tblPr>
        <w:tblStyle w:val="35"/>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851"/>
        <w:gridCol w:w="1276"/>
        <w:gridCol w:w="1220"/>
        <w:gridCol w:w="892"/>
        <w:gridCol w:w="376"/>
        <w:gridCol w:w="794"/>
        <w:gridCol w:w="545"/>
        <w:gridCol w:w="1195"/>
      </w:tblGrid>
      <w:tr w14:paraId="675F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061" w:type="dxa"/>
            <w:vAlign w:val="center"/>
          </w:tcPr>
          <w:p w14:paraId="0E2CCF23">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投标人名称</w:t>
            </w:r>
          </w:p>
        </w:tc>
        <w:tc>
          <w:tcPr>
            <w:tcW w:w="7149" w:type="dxa"/>
            <w:gridSpan w:val="8"/>
            <w:vAlign w:val="center"/>
          </w:tcPr>
          <w:p w14:paraId="37004D7D">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45B9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061" w:type="dxa"/>
            <w:vAlign w:val="center"/>
          </w:tcPr>
          <w:p w14:paraId="745B81AC">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注册地址</w:t>
            </w:r>
          </w:p>
        </w:tc>
        <w:tc>
          <w:tcPr>
            <w:tcW w:w="3347" w:type="dxa"/>
            <w:gridSpan w:val="3"/>
            <w:vAlign w:val="center"/>
          </w:tcPr>
          <w:p w14:paraId="3D240A0E">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1268" w:type="dxa"/>
            <w:gridSpan w:val="2"/>
            <w:vAlign w:val="center"/>
          </w:tcPr>
          <w:p w14:paraId="54B534E9">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邮政编码</w:t>
            </w:r>
          </w:p>
        </w:tc>
        <w:tc>
          <w:tcPr>
            <w:tcW w:w="2534" w:type="dxa"/>
            <w:gridSpan w:val="3"/>
            <w:vAlign w:val="center"/>
          </w:tcPr>
          <w:p w14:paraId="3B3ED163">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2F14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2061" w:type="dxa"/>
            <w:vMerge w:val="restart"/>
            <w:vAlign w:val="center"/>
          </w:tcPr>
          <w:p w14:paraId="71C0A948">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联系方式</w:t>
            </w:r>
          </w:p>
        </w:tc>
        <w:tc>
          <w:tcPr>
            <w:tcW w:w="851" w:type="dxa"/>
            <w:vAlign w:val="center"/>
          </w:tcPr>
          <w:p w14:paraId="3116AF63">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联系人</w:t>
            </w:r>
          </w:p>
        </w:tc>
        <w:tc>
          <w:tcPr>
            <w:tcW w:w="2496" w:type="dxa"/>
            <w:gridSpan w:val="2"/>
            <w:vAlign w:val="center"/>
          </w:tcPr>
          <w:p w14:paraId="281A7E78">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1268" w:type="dxa"/>
            <w:gridSpan w:val="2"/>
            <w:vAlign w:val="center"/>
          </w:tcPr>
          <w:p w14:paraId="63C2ADF6">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电话</w:t>
            </w:r>
          </w:p>
        </w:tc>
        <w:tc>
          <w:tcPr>
            <w:tcW w:w="2534" w:type="dxa"/>
            <w:gridSpan w:val="3"/>
            <w:vAlign w:val="center"/>
          </w:tcPr>
          <w:p w14:paraId="1DA4CDD3">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1501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2061" w:type="dxa"/>
            <w:vMerge w:val="continue"/>
            <w:vAlign w:val="center"/>
          </w:tcPr>
          <w:p w14:paraId="084B6DF7">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851" w:type="dxa"/>
            <w:vAlign w:val="center"/>
          </w:tcPr>
          <w:p w14:paraId="2EE51EAF">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传真</w:t>
            </w:r>
          </w:p>
        </w:tc>
        <w:tc>
          <w:tcPr>
            <w:tcW w:w="2496" w:type="dxa"/>
            <w:gridSpan w:val="2"/>
            <w:vAlign w:val="center"/>
          </w:tcPr>
          <w:p w14:paraId="5FFB79C2">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1268" w:type="dxa"/>
            <w:gridSpan w:val="2"/>
            <w:vAlign w:val="center"/>
          </w:tcPr>
          <w:p w14:paraId="3DFDF331">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电子邮址</w:t>
            </w:r>
          </w:p>
        </w:tc>
        <w:tc>
          <w:tcPr>
            <w:tcW w:w="2534" w:type="dxa"/>
            <w:gridSpan w:val="3"/>
            <w:vAlign w:val="center"/>
          </w:tcPr>
          <w:p w14:paraId="317FD1B8">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22A5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061" w:type="dxa"/>
            <w:vAlign w:val="center"/>
          </w:tcPr>
          <w:p w14:paraId="6C1F7B02">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法定代表人</w:t>
            </w:r>
          </w:p>
        </w:tc>
        <w:tc>
          <w:tcPr>
            <w:tcW w:w="851" w:type="dxa"/>
            <w:vAlign w:val="center"/>
          </w:tcPr>
          <w:p w14:paraId="52B34089">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姓名</w:t>
            </w:r>
          </w:p>
        </w:tc>
        <w:tc>
          <w:tcPr>
            <w:tcW w:w="1276" w:type="dxa"/>
            <w:vAlign w:val="center"/>
          </w:tcPr>
          <w:p w14:paraId="3B901FA4">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1220" w:type="dxa"/>
            <w:vAlign w:val="center"/>
          </w:tcPr>
          <w:p w14:paraId="48EBB13A">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技术职称</w:t>
            </w:r>
          </w:p>
        </w:tc>
        <w:tc>
          <w:tcPr>
            <w:tcW w:w="1268" w:type="dxa"/>
            <w:gridSpan w:val="2"/>
            <w:vAlign w:val="center"/>
          </w:tcPr>
          <w:p w14:paraId="29168AED">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794" w:type="dxa"/>
            <w:vAlign w:val="center"/>
          </w:tcPr>
          <w:p w14:paraId="1653E3BF">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电话</w:t>
            </w:r>
          </w:p>
        </w:tc>
        <w:tc>
          <w:tcPr>
            <w:tcW w:w="1740" w:type="dxa"/>
            <w:gridSpan w:val="2"/>
            <w:vAlign w:val="center"/>
          </w:tcPr>
          <w:p w14:paraId="0BCDFD49">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767D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061" w:type="dxa"/>
            <w:vAlign w:val="center"/>
          </w:tcPr>
          <w:p w14:paraId="52D8DF71">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技术负责人</w:t>
            </w:r>
          </w:p>
        </w:tc>
        <w:tc>
          <w:tcPr>
            <w:tcW w:w="851" w:type="dxa"/>
            <w:vAlign w:val="center"/>
          </w:tcPr>
          <w:p w14:paraId="2804F815">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姓名</w:t>
            </w:r>
          </w:p>
        </w:tc>
        <w:tc>
          <w:tcPr>
            <w:tcW w:w="1276" w:type="dxa"/>
            <w:vAlign w:val="center"/>
          </w:tcPr>
          <w:p w14:paraId="70B4EFA5">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1220" w:type="dxa"/>
            <w:vAlign w:val="center"/>
          </w:tcPr>
          <w:p w14:paraId="685A2E42">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技术职称</w:t>
            </w:r>
          </w:p>
        </w:tc>
        <w:tc>
          <w:tcPr>
            <w:tcW w:w="1268" w:type="dxa"/>
            <w:gridSpan w:val="2"/>
            <w:vAlign w:val="center"/>
          </w:tcPr>
          <w:p w14:paraId="2755A7A7">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794" w:type="dxa"/>
            <w:vAlign w:val="center"/>
          </w:tcPr>
          <w:p w14:paraId="4AF07D4F">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电话</w:t>
            </w:r>
          </w:p>
        </w:tc>
        <w:tc>
          <w:tcPr>
            <w:tcW w:w="1740" w:type="dxa"/>
            <w:gridSpan w:val="2"/>
            <w:vAlign w:val="center"/>
          </w:tcPr>
          <w:p w14:paraId="4E1080E1">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7C04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61" w:type="dxa"/>
            <w:vAlign w:val="center"/>
          </w:tcPr>
          <w:p w14:paraId="4302099C">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成立时间</w:t>
            </w:r>
          </w:p>
        </w:tc>
        <w:tc>
          <w:tcPr>
            <w:tcW w:w="3347" w:type="dxa"/>
            <w:gridSpan w:val="3"/>
            <w:vAlign w:val="center"/>
          </w:tcPr>
          <w:p w14:paraId="5CE1E3B5">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3802" w:type="dxa"/>
            <w:gridSpan w:val="5"/>
            <w:vAlign w:val="center"/>
          </w:tcPr>
          <w:p w14:paraId="52E5AE6A">
            <w:pPr>
              <w:jc w:val="center"/>
              <w:rPr>
                <w:rFonts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t>员工总人数：</w:t>
            </w:r>
          </w:p>
        </w:tc>
      </w:tr>
      <w:tr w14:paraId="1649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2061" w:type="dxa"/>
            <w:vMerge w:val="restart"/>
            <w:vAlign w:val="center"/>
          </w:tcPr>
          <w:p w14:paraId="39EF03D1">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asciiTheme="minorEastAsia" w:hAnsiTheme="minorEastAsia" w:eastAsiaTheme="minorEastAsia"/>
                <w:color w:val="000000" w:themeColor="text1"/>
                <w:sz w:val="24"/>
                <w:szCs w:val="24"/>
                <w:highlight w:val="none"/>
                <w:lang w:val="en-US"/>
                <w14:textFill>
                  <w14:solidFill>
                    <w14:schemeClr w14:val="tx1"/>
                  </w14:solidFill>
                </w14:textFill>
              </w:rPr>
              <w:t>资质</w:t>
            </w: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资格与业务范围</w:t>
            </w:r>
          </w:p>
        </w:tc>
        <w:tc>
          <w:tcPr>
            <w:tcW w:w="3347" w:type="dxa"/>
            <w:gridSpan w:val="3"/>
            <w:vMerge w:val="restart"/>
            <w:vAlign w:val="center"/>
          </w:tcPr>
          <w:p w14:paraId="2945AC58">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892" w:type="dxa"/>
            <w:vMerge w:val="restart"/>
            <w:vAlign w:val="center"/>
          </w:tcPr>
          <w:p w14:paraId="12597829">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其中</w:t>
            </w:r>
          </w:p>
        </w:tc>
        <w:tc>
          <w:tcPr>
            <w:tcW w:w="1715" w:type="dxa"/>
            <w:gridSpan w:val="3"/>
            <w:vAlign w:val="center"/>
          </w:tcPr>
          <w:p w14:paraId="782BCEE0">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高级职称</w:t>
            </w:r>
          </w:p>
        </w:tc>
        <w:tc>
          <w:tcPr>
            <w:tcW w:w="1195" w:type="dxa"/>
            <w:vAlign w:val="center"/>
          </w:tcPr>
          <w:p w14:paraId="7A7FCC59">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4711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2061" w:type="dxa"/>
            <w:vMerge w:val="continue"/>
            <w:vAlign w:val="center"/>
          </w:tcPr>
          <w:p w14:paraId="61B716DB">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3347" w:type="dxa"/>
            <w:gridSpan w:val="3"/>
            <w:vMerge w:val="continue"/>
            <w:vAlign w:val="center"/>
          </w:tcPr>
          <w:p w14:paraId="75AA8119">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892" w:type="dxa"/>
            <w:vMerge w:val="continue"/>
            <w:vAlign w:val="center"/>
          </w:tcPr>
          <w:p w14:paraId="69F3087C">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1715" w:type="dxa"/>
            <w:gridSpan w:val="3"/>
            <w:vAlign w:val="center"/>
          </w:tcPr>
          <w:p w14:paraId="3B3F321C">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中级职称</w:t>
            </w:r>
          </w:p>
        </w:tc>
        <w:tc>
          <w:tcPr>
            <w:tcW w:w="1195" w:type="dxa"/>
            <w:vAlign w:val="center"/>
          </w:tcPr>
          <w:p w14:paraId="03887FDC">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73956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jc w:val="center"/>
        </w:trPr>
        <w:tc>
          <w:tcPr>
            <w:tcW w:w="2061" w:type="dxa"/>
            <w:vAlign w:val="center"/>
          </w:tcPr>
          <w:p w14:paraId="0C18087F">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营业执照号</w:t>
            </w:r>
          </w:p>
        </w:tc>
        <w:tc>
          <w:tcPr>
            <w:tcW w:w="3347" w:type="dxa"/>
            <w:gridSpan w:val="3"/>
            <w:vAlign w:val="center"/>
          </w:tcPr>
          <w:p w14:paraId="77004D66">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892" w:type="dxa"/>
            <w:vMerge w:val="continue"/>
            <w:vAlign w:val="center"/>
          </w:tcPr>
          <w:p w14:paraId="30431F06">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c>
          <w:tcPr>
            <w:tcW w:w="1715" w:type="dxa"/>
            <w:gridSpan w:val="3"/>
            <w:vAlign w:val="center"/>
          </w:tcPr>
          <w:p w14:paraId="170FBD0F">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各类注册人员</w:t>
            </w:r>
          </w:p>
        </w:tc>
        <w:tc>
          <w:tcPr>
            <w:tcW w:w="1195" w:type="dxa"/>
            <w:vAlign w:val="center"/>
          </w:tcPr>
          <w:p w14:paraId="451196A7">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3B79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061" w:type="dxa"/>
            <w:vAlign w:val="center"/>
          </w:tcPr>
          <w:p w14:paraId="47AE573A">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注册资金</w:t>
            </w:r>
          </w:p>
        </w:tc>
        <w:tc>
          <w:tcPr>
            <w:tcW w:w="7149" w:type="dxa"/>
            <w:gridSpan w:val="8"/>
            <w:vAlign w:val="center"/>
          </w:tcPr>
          <w:p w14:paraId="250826A3">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004B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061" w:type="dxa"/>
            <w:vAlign w:val="center"/>
          </w:tcPr>
          <w:p w14:paraId="4136A313">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基本账户开户银行</w:t>
            </w:r>
          </w:p>
        </w:tc>
        <w:tc>
          <w:tcPr>
            <w:tcW w:w="7149" w:type="dxa"/>
            <w:gridSpan w:val="8"/>
            <w:vAlign w:val="center"/>
          </w:tcPr>
          <w:p w14:paraId="006431D2">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2EC3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061" w:type="dxa"/>
            <w:vAlign w:val="center"/>
          </w:tcPr>
          <w:p w14:paraId="0B218A85">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基本账户账号</w:t>
            </w:r>
          </w:p>
        </w:tc>
        <w:tc>
          <w:tcPr>
            <w:tcW w:w="7149" w:type="dxa"/>
            <w:gridSpan w:val="8"/>
            <w:vAlign w:val="center"/>
          </w:tcPr>
          <w:p w14:paraId="7628FC66">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2BB7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jc w:val="center"/>
        </w:trPr>
        <w:tc>
          <w:tcPr>
            <w:tcW w:w="2061" w:type="dxa"/>
            <w:vAlign w:val="center"/>
          </w:tcPr>
          <w:p w14:paraId="03ED205C">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经营范围</w:t>
            </w:r>
          </w:p>
        </w:tc>
        <w:tc>
          <w:tcPr>
            <w:tcW w:w="7149" w:type="dxa"/>
            <w:gridSpan w:val="8"/>
            <w:vAlign w:val="center"/>
          </w:tcPr>
          <w:p w14:paraId="37BCF86F">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r w14:paraId="7BA7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061" w:type="dxa"/>
            <w:vAlign w:val="center"/>
          </w:tcPr>
          <w:p w14:paraId="72050036">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olor w:val="000000" w:themeColor="text1"/>
                <w:sz w:val="24"/>
                <w:szCs w:val="24"/>
                <w:highlight w:val="none"/>
                <w:lang w:val="en-US"/>
                <w14:textFill>
                  <w14:solidFill>
                    <w14:schemeClr w14:val="tx1"/>
                  </w14:solidFill>
                </w14:textFill>
              </w:rPr>
              <w:t>备注</w:t>
            </w:r>
          </w:p>
        </w:tc>
        <w:tc>
          <w:tcPr>
            <w:tcW w:w="7149" w:type="dxa"/>
            <w:gridSpan w:val="8"/>
            <w:vAlign w:val="center"/>
          </w:tcPr>
          <w:p w14:paraId="74EFD6D4">
            <w:pPr>
              <w:pStyle w:val="122"/>
              <w:jc w:val="center"/>
              <w:rPr>
                <w:rFonts w:asciiTheme="minorEastAsia" w:hAnsiTheme="minorEastAsia" w:eastAsiaTheme="minorEastAsia"/>
                <w:color w:val="000000" w:themeColor="text1"/>
                <w:sz w:val="24"/>
                <w:szCs w:val="24"/>
                <w:highlight w:val="none"/>
                <w:lang w:val="en-US"/>
                <w14:textFill>
                  <w14:solidFill>
                    <w14:schemeClr w14:val="tx1"/>
                  </w14:solidFill>
                </w14:textFill>
              </w:rPr>
            </w:pPr>
          </w:p>
        </w:tc>
      </w:tr>
    </w:tbl>
    <w:p w14:paraId="34DB2E70">
      <w:pPr>
        <w:spacing w:line="380" w:lineRule="exact"/>
        <w:rPr>
          <w:rFonts w:asciiTheme="minorEastAsia" w:hAnsiTheme="minorEastAsia" w:eastAsiaTheme="minorEastAsia"/>
          <w:color w:val="000000" w:themeColor="text1"/>
          <w:sz w:val="22"/>
          <w:szCs w:val="22"/>
          <w:highlight w:val="none"/>
          <w14:textFill>
            <w14:solidFill>
              <w14:schemeClr w14:val="tx1"/>
            </w14:solidFill>
          </w14:textFill>
        </w:rPr>
      </w:pPr>
    </w:p>
    <w:p w14:paraId="34C49255">
      <w:pPr>
        <w:spacing w:line="380" w:lineRule="exact"/>
        <w:rPr>
          <w:rFonts w:asciiTheme="minorEastAsia" w:hAnsiTheme="minorEastAsia" w:eastAsia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投标人（公章）：</w:t>
      </w:r>
    </w:p>
    <w:p w14:paraId="1AAF1298">
      <w:pPr>
        <w:spacing w:line="380" w:lineRule="exact"/>
        <w:rPr>
          <w:rFonts w:asciiTheme="minorEastAsia" w:hAnsiTheme="minorEastAsia" w:eastAsiaTheme="minorEastAsia"/>
          <w:color w:val="000000" w:themeColor="text1"/>
          <w:sz w:val="22"/>
          <w:szCs w:val="22"/>
          <w:highlight w:val="none"/>
          <w:u w:val="singl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投标人代表（签字或印章）：</w:t>
      </w:r>
    </w:p>
    <w:p w14:paraId="29C8D826">
      <w:pPr>
        <w:spacing w:line="380" w:lineRule="exact"/>
        <w:rPr>
          <w:rFonts w:asciiTheme="minorEastAsia" w:hAnsiTheme="minorEastAsia" w:eastAsiaTheme="minorEastAsia"/>
          <w:color w:val="000000" w:themeColor="text1"/>
          <w:sz w:val="22"/>
          <w:szCs w:val="22"/>
          <w:highlight w:val="none"/>
          <w:u w:val="singl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日期：</w:t>
      </w:r>
    </w:p>
    <w:p w14:paraId="1399870B">
      <w:pPr>
        <w:rPr>
          <w:rFonts w:asciiTheme="minorEastAsia" w:hAnsiTheme="minorEastAsia" w:eastAsiaTheme="minorEastAsia"/>
          <w:color w:val="000000" w:themeColor="text1"/>
          <w:highlight w:val="none"/>
          <w14:textFill>
            <w14:solidFill>
              <w14:schemeClr w14:val="tx1"/>
            </w14:solidFill>
          </w14:textFill>
        </w:rPr>
      </w:pPr>
    </w:p>
    <w:p w14:paraId="3E54BA12">
      <w:pPr>
        <w:rPr>
          <w:rFonts w:asciiTheme="minorEastAsia" w:hAnsiTheme="minorEastAsia" w:eastAsiaTheme="minorEastAsia"/>
          <w:color w:val="000000" w:themeColor="text1"/>
          <w:highlight w:val="none"/>
          <w14:textFill>
            <w14:solidFill>
              <w14:schemeClr w14:val="tx1"/>
            </w14:solidFill>
          </w14:textFill>
        </w:rPr>
      </w:pPr>
    </w:p>
    <w:p w14:paraId="6EB48928">
      <w:pP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（若为联合体投标，联合体各方须单独提供并盖章）</w:t>
      </w:r>
    </w:p>
    <w:p w14:paraId="4C31358F">
      <w:pP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br w:type="page"/>
      </w:r>
    </w:p>
    <w:p w14:paraId="268105DE">
      <w:pPr>
        <w:autoSpaceDE w:val="0"/>
        <w:autoSpaceDN w:val="0"/>
        <w:jc w:val="center"/>
        <w:rPr>
          <w:rFonts w:ascii="宋体" w:hAnsi="宋体" w:cs="宋体"/>
          <w:b/>
          <w:color w:val="000000" w:themeColor="text1"/>
          <w:kern w:val="0"/>
          <w:sz w:val="28"/>
          <w:szCs w:val="28"/>
          <w:highlight w:val="none"/>
          <w:lang w:val="zh-CN"/>
          <w14:textFill>
            <w14:solidFill>
              <w14:schemeClr w14:val="tx1"/>
            </w14:solidFill>
          </w14:textFill>
        </w:rPr>
      </w:pPr>
      <w:r>
        <w:rPr>
          <w:rFonts w:hint="eastAsia" w:asciiTheme="minorEastAsia" w:hAnsiTheme="minorEastAsia" w:eastAsiaTheme="minorEastAsia"/>
          <w:b/>
          <w:color w:val="000000" w:themeColor="text1"/>
          <w:sz w:val="24"/>
          <w:szCs w:val="24"/>
          <w:highlight w:val="none"/>
          <w14:textFill>
            <w14:solidFill>
              <w14:schemeClr w14:val="tx1"/>
            </w14:solidFill>
          </w14:textFill>
        </w:rPr>
        <w:t>（三）</w:t>
      </w:r>
      <w:r>
        <w:rPr>
          <w:rFonts w:hint="eastAsia" w:asciiTheme="minorEastAsia" w:hAnsiTheme="minorEastAsia" w:eastAsiaTheme="minorEastAsia"/>
          <w:b/>
          <w:color w:val="000000" w:themeColor="text1"/>
          <w:sz w:val="24"/>
          <w:szCs w:val="24"/>
          <w:highlight w:val="none"/>
          <w:lang w:val="zh-CN"/>
          <w14:textFill>
            <w14:solidFill>
              <w14:schemeClr w14:val="tx1"/>
            </w14:solidFill>
          </w14:textFill>
        </w:rPr>
        <w:t>联合协议</w:t>
      </w:r>
    </w:p>
    <w:p w14:paraId="37AC20F6">
      <w:pPr>
        <w:widowControl/>
        <w:spacing w:line="480" w:lineRule="exact"/>
        <w:ind w:firstLine="422" w:firstLineChars="200"/>
        <w:jc w:val="lef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（以联合体形式投标的，提供联合协议；本项目不接受联合体投标或者投标人不以联合体形式投标的，则不需要提供；如资格文件中已提供《联合协议》的，商务技术文件中无需重复提供）</w:t>
      </w:r>
    </w:p>
    <w:p w14:paraId="47E3B228">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u w:val="single"/>
          <w14:textFill>
            <w14:solidFill>
              <w14:schemeClr w14:val="tx1"/>
            </w14:solidFill>
          </w14:textFill>
        </w:rPr>
        <w:t>（联合体所有成员名称）</w:t>
      </w:r>
      <w:r>
        <w:rPr>
          <w:rFonts w:hint="eastAsia" w:ascii="宋体" w:hAnsi="宋体" w:cs="宋体"/>
          <w:color w:val="000000" w:themeColor="text1"/>
          <w:kern w:val="0"/>
          <w:szCs w:val="21"/>
          <w:highlight w:val="none"/>
          <w14:textFill>
            <w14:solidFill>
              <w14:schemeClr w14:val="tx1"/>
            </w14:solidFill>
          </w14:textFill>
        </w:rPr>
        <w:t>自愿</w:t>
      </w:r>
      <w:r>
        <w:rPr>
          <w:rFonts w:hint="eastAsia" w:ascii="宋体" w:hAnsi="宋体" w:cs="宋体"/>
          <w:color w:val="000000" w:themeColor="text1"/>
          <w:kern w:val="0"/>
          <w:szCs w:val="21"/>
          <w:highlight w:val="none"/>
          <w:lang w:val="zh-CN"/>
          <w14:textFill>
            <w14:solidFill>
              <w14:schemeClr w14:val="tx1"/>
            </w14:solidFill>
          </w14:textFill>
        </w:rPr>
        <w:t>组成一个联合体，以一个投标人的身份</w:t>
      </w:r>
      <w:r>
        <w:rPr>
          <w:rFonts w:hint="eastAsia" w:ascii="宋体" w:hAnsi="宋体" w:cs="宋体"/>
          <w:color w:val="000000" w:themeColor="text1"/>
          <w:kern w:val="0"/>
          <w:szCs w:val="21"/>
          <w:highlight w:val="none"/>
          <w14:textFill>
            <w14:solidFill>
              <w14:schemeClr w14:val="tx1"/>
            </w14:solidFill>
          </w14:textFill>
        </w:rPr>
        <w:t>参加</w:t>
      </w:r>
      <w:r>
        <w:rPr>
          <w:rFonts w:hint="eastAsia" w:ascii="宋体" w:hAnsi="宋体" w:cs="宋体"/>
          <w:color w:val="000000" w:themeColor="text1"/>
          <w:szCs w:val="21"/>
          <w:highlight w:val="none"/>
          <w14:textFill>
            <w14:solidFill>
              <w14:schemeClr w14:val="tx1"/>
            </w14:solidFill>
          </w14:textFill>
        </w:rPr>
        <w:t>项目【招标编号：        】</w:t>
      </w:r>
      <w:r>
        <w:rPr>
          <w:rFonts w:hint="eastAsia" w:ascii="宋体" w:hAnsi="宋体" w:cs="宋体"/>
          <w:color w:val="000000" w:themeColor="text1"/>
          <w:kern w:val="0"/>
          <w:szCs w:val="21"/>
          <w:highlight w:val="none"/>
          <w:lang w:val="zh-CN"/>
          <w14:textFill>
            <w14:solidFill>
              <w14:schemeClr w14:val="tx1"/>
            </w14:solidFill>
          </w14:textFill>
        </w:rPr>
        <w:t xml:space="preserve">投标。 </w:t>
      </w:r>
    </w:p>
    <w:p w14:paraId="5F5C718F">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一、各方一致决定，</w:t>
      </w:r>
      <w:r>
        <w:rPr>
          <w:rFonts w:hint="eastAsia" w:ascii="宋体" w:hAnsi="宋体" w:cs="宋体"/>
          <w:color w:val="000000" w:themeColor="text1"/>
          <w:kern w:val="0"/>
          <w:szCs w:val="21"/>
          <w:highlight w:val="none"/>
          <w:u w:val="single"/>
          <w14:textFill>
            <w14:solidFill>
              <w14:schemeClr w14:val="tx1"/>
            </w14:solidFill>
          </w14:textFill>
        </w:rPr>
        <w:t>（某联合体成员名称）</w:t>
      </w:r>
      <w:r>
        <w:rPr>
          <w:rFonts w:hint="eastAsia" w:ascii="宋体" w:hAnsi="宋体" w:cs="宋体"/>
          <w:color w:val="000000" w:themeColor="text1"/>
          <w:kern w:val="0"/>
          <w:szCs w:val="21"/>
          <w:highlight w:val="none"/>
          <w14:textFill>
            <w14:solidFill>
              <w14:schemeClr w14:val="tx1"/>
            </w14:solidFill>
          </w14:textFill>
        </w:rPr>
        <w:t>为联合体</w:t>
      </w:r>
      <w:r>
        <w:rPr>
          <w:rFonts w:hint="eastAsia" w:ascii="宋体" w:hAnsi="宋体" w:cs="宋体"/>
          <w:color w:val="000000" w:themeColor="text1"/>
          <w:kern w:val="0"/>
          <w:szCs w:val="21"/>
          <w:highlight w:val="none"/>
          <w:lang w:val="zh-CN"/>
          <w14:textFill>
            <w14:solidFill>
              <w14:schemeClr w14:val="tx1"/>
            </w14:solidFill>
          </w14:textFill>
        </w:rPr>
        <w:t>牵头人</w:t>
      </w:r>
      <w:r>
        <w:rPr>
          <w:rFonts w:hint="eastAsia" w:ascii="宋体" w:hAnsi="宋体" w:cs="宋体"/>
          <w:color w:val="000000" w:themeColor="text1"/>
          <w:szCs w:val="21"/>
          <w:highlight w:val="none"/>
          <w14:textFill>
            <w14:solidFill>
              <w14:schemeClr w14:val="tx1"/>
            </w14:solidFill>
          </w14:textFill>
        </w:rPr>
        <w:t>，代表所有联合体成员负责投标和合同实施阶段的主办、协调工作</w:t>
      </w:r>
      <w:r>
        <w:rPr>
          <w:rFonts w:hint="eastAsia" w:ascii="宋体" w:hAnsi="宋体" w:cs="宋体"/>
          <w:color w:val="000000" w:themeColor="text1"/>
          <w:kern w:val="0"/>
          <w:szCs w:val="21"/>
          <w:highlight w:val="none"/>
          <w:lang w:val="zh-CN"/>
          <w14:textFill>
            <w14:solidFill>
              <w14:schemeClr w14:val="tx1"/>
            </w14:solidFill>
          </w14:textFill>
        </w:rPr>
        <w:t>。</w:t>
      </w:r>
    </w:p>
    <w:p w14:paraId="1784776F">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所有联合体成员各方签署授权书，授权书载明的</w:t>
      </w:r>
      <w:r>
        <w:rPr>
          <w:rFonts w:hint="eastAsia" w:ascii="宋体" w:hAnsi="宋体" w:cs="宋体"/>
          <w:color w:val="000000" w:themeColor="text1"/>
          <w:kern w:val="0"/>
          <w:szCs w:val="21"/>
          <w:highlight w:val="none"/>
          <w:lang w:val="zh-CN"/>
          <w14:textFill>
            <w14:solidFill>
              <w14:schemeClr w14:val="tx1"/>
            </w14:solidFill>
          </w14:textFill>
        </w:rPr>
        <w:t>授权代表根据招标文件规定及投标内容而对采购人、采购机构所作的任何合法承诺，包括书面澄清及相应等均对联合投标各方产生约束力。</w:t>
      </w:r>
    </w:p>
    <w:p w14:paraId="1BA57A23">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三、本次联合投标中，分工如下：</w:t>
      </w:r>
    </w:p>
    <w:p w14:paraId="5AFC2B5A">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u w:val="single"/>
          <w14:textFill>
            <w14:solidFill>
              <w14:schemeClr w14:val="tx1"/>
            </w14:solidFill>
          </w14:textFill>
        </w:rPr>
        <w:t>（联合体成员1）</w:t>
      </w:r>
      <w:r>
        <w:rPr>
          <w:rFonts w:hint="eastAsia" w:ascii="宋体" w:hAnsi="宋体" w:cs="宋体"/>
          <w:color w:val="000000" w:themeColor="text1"/>
          <w:kern w:val="0"/>
          <w:szCs w:val="21"/>
          <w:highlight w:val="none"/>
          <w:lang w:val="zh-CN"/>
          <w14:textFill>
            <w14:solidFill>
              <w14:schemeClr w14:val="tx1"/>
            </w14:solidFill>
          </w14:textFill>
        </w:rPr>
        <w:t>承担的工作和义务为：；</w:t>
      </w:r>
    </w:p>
    <w:p w14:paraId="2CF53947">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u w:val="single"/>
          <w14:textFill>
            <w14:solidFill>
              <w14:schemeClr w14:val="tx1"/>
            </w14:solidFill>
          </w14:textFill>
        </w:rPr>
        <w:t>（联合体成员</w:t>
      </w:r>
      <w:r>
        <w:rPr>
          <w:rFonts w:ascii="宋体" w:hAnsi="宋体" w:cs="宋体"/>
          <w:color w:val="000000" w:themeColor="text1"/>
          <w:kern w:val="0"/>
          <w:szCs w:val="21"/>
          <w:highlight w:val="none"/>
          <w:u w:val="single"/>
          <w14:textFill>
            <w14:solidFill>
              <w14:schemeClr w14:val="tx1"/>
            </w14:solidFill>
          </w14:textFill>
        </w:rPr>
        <w:t>2</w:t>
      </w:r>
      <w:r>
        <w:rPr>
          <w:rFonts w:hint="eastAsia" w:ascii="宋体" w:hAnsi="宋体" w:cs="宋体"/>
          <w:color w:val="000000" w:themeColor="text1"/>
          <w:kern w:val="0"/>
          <w:szCs w:val="21"/>
          <w:highlight w:val="none"/>
          <w:u w:val="single"/>
          <w14:textFill>
            <w14:solidFill>
              <w14:schemeClr w14:val="tx1"/>
            </w14:solidFill>
          </w14:textFill>
        </w:rPr>
        <w:t>）</w:t>
      </w:r>
      <w:r>
        <w:rPr>
          <w:rFonts w:hint="eastAsia" w:ascii="宋体" w:hAnsi="宋体" w:cs="宋体"/>
          <w:color w:val="000000" w:themeColor="text1"/>
          <w:kern w:val="0"/>
          <w:szCs w:val="21"/>
          <w:highlight w:val="none"/>
          <w:lang w:val="zh-CN"/>
          <w14:textFill>
            <w14:solidFill>
              <w14:schemeClr w14:val="tx1"/>
            </w14:solidFill>
          </w14:textFill>
        </w:rPr>
        <w:t>承担的工作和义务为：；</w:t>
      </w:r>
    </w:p>
    <w:p w14:paraId="7FC7C574">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w:t>
      </w:r>
    </w:p>
    <w:p w14:paraId="0C724A91">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四、联合体成员中小企业合同份额（如果有）。</w:t>
      </w:r>
    </w:p>
    <w:p w14:paraId="785F147C">
      <w:pPr>
        <w:snapToGrid w:val="0"/>
        <w:spacing w:line="480" w:lineRule="exact"/>
        <w:ind w:firstLine="576"/>
        <w:rPr>
          <w:rFonts w:ascii="宋体" w:hAnsi="宋体" w:cs="宋体"/>
          <w:b/>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1、</w:t>
      </w:r>
      <w:r>
        <w:rPr>
          <w:rFonts w:hint="eastAsia" w:ascii="宋体" w:hAnsi="宋体" w:cs="宋体"/>
          <w:color w:val="000000" w:themeColor="text1"/>
          <w:kern w:val="0"/>
          <w:szCs w:val="21"/>
          <w:highlight w:val="none"/>
          <w:u w:val="single"/>
          <w14:textFill>
            <w14:solidFill>
              <w14:schemeClr w14:val="tx1"/>
            </w14:solidFill>
          </w14:textFill>
        </w:rPr>
        <w:t>（联合体成员</w:t>
      </w:r>
      <w:r>
        <w:rPr>
          <w:rFonts w:ascii="宋体" w:hAnsi="宋体" w:cs="宋体"/>
          <w:color w:val="000000" w:themeColor="text1"/>
          <w:kern w:val="0"/>
          <w:szCs w:val="21"/>
          <w:highlight w:val="none"/>
          <w:u w:val="single"/>
          <w14:textFill>
            <w14:solidFill>
              <w14:schemeClr w14:val="tx1"/>
            </w14:solidFill>
          </w14:textFill>
        </w:rPr>
        <w:t>X,</w:t>
      </w:r>
      <w:r>
        <w:rPr>
          <w:rFonts w:hint="eastAsia" w:ascii="宋体" w:hAnsi="宋体" w:cs="宋体"/>
          <w:color w:val="000000" w:themeColor="text1"/>
          <w:kern w:val="0"/>
          <w:szCs w:val="21"/>
          <w:highlight w:val="none"/>
          <w:u w:val="single"/>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提供的全部服务由小微企业承接，其合同份额占到合同总金额%以上；</w:t>
      </w:r>
      <w:r>
        <w:rPr>
          <w:rFonts w:hint="eastAsia" w:ascii="宋体" w:hAnsi="宋体" w:cs="宋体"/>
          <w:color w:val="000000" w:themeColor="text1"/>
          <w:kern w:val="0"/>
          <w:szCs w:val="21"/>
          <w:highlight w:val="none"/>
          <w:lang w:val="zh-CN"/>
          <w14:textFill>
            <w14:solidFill>
              <w14:schemeClr w14:val="tx1"/>
            </w14:solidFill>
          </w14:textFill>
        </w:rPr>
        <w:t>……。</w:t>
      </w:r>
      <w:r>
        <w:rPr>
          <w:rFonts w:hint="eastAsia" w:ascii="宋体" w:hAnsi="宋体" w:cs="宋体"/>
          <w:b/>
          <w:color w:val="000000" w:themeColor="text1"/>
          <w:kern w:val="0"/>
          <w:szCs w:val="21"/>
          <w:highlight w:val="none"/>
          <w:lang w:val="zh-CN"/>
          <w14:textFill>
            <w14:solidFill>
              <w14:schemeClr w14:val="tx1"/>
            </w14:solidFill>
          </w14:textFill>
        </w:rPr>
        <w:t>（未预留份额专门面向中小企业采购的的采购项目，以及预留份额中的非预留部分采购包，接受联合体投标的，联合协议约定小微企业的合同份额占到合同总金额30%以上的，对联合体报价给予6%的扣除。</w:t>
      </w:r>
      <w:r>
        <w:rPr>
          <w:rFonts w:hint="eastAsia" w:ascii="宋体" w:hAnsi="宋体" w:cs="宋体"/>
          <w:b/>
          <w:color w:val="000000" w:themeColor="text1"/>
          <w:kern w:val="0"/>
          <w:szCs w:val="21"/>
          <w:highlight w:val="none"/>
          <w14:textFill>
            <w14:solidFill>
              <w14:schemeClr w14:val="tx1"/>
            </w14:solidFill>
          </w14:textFill>
        </w:rPr>
        <w:t>投标人</w:t>
      </w:r>
      <w:r>
        <w:rPr>
          <w:rFonts w:hint="eastAsia" w:ascii="宋体" w:hAnsi="宋体" w:cs="宋体"/>
          <w:b/>
          <w:color w:val="000000" w:themeColor="text1"/>
          <w:szCs w:val="21"/>
          <w:highlight w:val="none"/>
          <w14:textFill>
            <w14:solidFill>
              <w14:schemeClr w14:val="tx1"/>
            </w14:solidFill>
          </w14:textFill>
        </w:rPr>
        <w:t>拟享受以上价格扣除政策的，填写有关内容。</w:t>
      </w:r>
      <w:r>
        <w:rPr>
          <w:rFonts w:hint="eastAsia" w:ascii="宋体" w:hAnsi="宋体" w:cs="宋体"/>
          <w:b/>
          <w:color w:val="000000" w:themeColor="text1"/>
          <w:kern w:val="0"/>
          <w:szCs w:val="21"/>
          <w:highlight w:val="none"/>
          <w:lang w:val="zh-CN"/>
          <w14:textFill>
            <w14:solidFill>
              <w14:schemeClr w14:val="tx1"/>
            </w14:solidFill>
          </w14:textFill>
        </w:rPr>
        <w:t>）</w:t>
      </w:r>
    </w:p>
    <w:p w14:paraId="1538C710">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2、中小企业合同金额达到%，小微企业合同金额达到%</w:t>
      </w:r>
      <w:r>
        <w:rPr>
          <w:rFonts w:hint="eastAsia" w:ascii="宋体" w:hAnsi="宋体" w:cs="宋体"/>
          <w:color w:val="000000" w:themeColor="text1"/>
          <w:kern w:val="0"/>
          <w:szCs w:val="21"/>
          <w:highlight w:val="none"/>
          <w:lang w:val="zh-CN"/>
          <w14:textFill>
            <w14:solidFill>
              <w14:schemeClr w14:val="tx1"/>
            </w14:solidFill>
          </w14:textFill>
        </w:rPr>
        <w:t>。</w:t>
      </w:r>
      <w:r>
        <w:rPr>
          <w:rFonts w:hint="eastAsia" w:ascii="宋体" w:hAnsi="宋体" w:cs="宋体"/>
          <w:b/>
          <w:bCs/>
          <w:color w:val="000000" w:themeColor="text1"/>
          <w:kern w:val="0"/>
          <w:szCs w:val="21"/>
          <w:highlight w:val="none"/>
          <w:lang w:val="zh-CN"/>
          <w14:textFill>
            <w14:solidFill>
              <w14:schemeClr w14:val="tx1"/>
            </w14:solidFill>
          </w14:textFill>
        </w:rPr>
        <w:t>（</w:t>
      </w:r>
      <w:r>
        <w:rPr>
          <w:rFonts w:hint="eastAsia" w:ascii="宋体" w:hAnsi="宋体" w:cs="宋体"/>
          <w:b/>
          <w:bCs/>
          <w:color w:val="000000" w:themeColor="text1"/>
          <w:szCs w:val="21"/>
          <w:highlight w:val="none"/>
          <w14:textFill>
            <w14:solidFill>
              <w14:schemeClr w14:val="tx1"/>
            </w14:solidFill>
          </w14:textFill>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color w:val="000000" w:themeColor="text1"/>
          <w:kern w:val="0"/>
          <w:szCs w:val="21"/>
          <w:highlight w:val="none"/>
          <w:lang w:val="zh-CN"/>
          <w14:textFill>
            <w14:solidFill>
              <w14:schemeClr w14:val="tx1"/>
            </w14:solidFill>
          </w14:textFill>
        </w:rPr>
        <w:t>）</w:t>
      </w:r>
    </w:p>
    <w:p w14:paraId="69DE7F12">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五、如果中标，</w:t>
      </w:r>
      <w:r>
        <w:rPr>
          <w:rFonts w:hint="eastAsia" w:ascii="宋体" w:hAnsi="宋体" w:cs="宋体"/>
          <w:color w:val="000000" w:themeColor="text1"/>
          <w:szCs w:val="21"/>
          <w:highlight w:val="none"/>
          <w14:textFill>
            <w14:solidFill>
              <w14:schemeClr w14:val="tx1"/>
            </w14:solidFill>
          </w14:textFill>
        </w:rPr>
        <w:t>联合体各成员方共同与采购人签订合同，并就采购合同约定的事项对采购人承担连带责任。</w:t>
      </w:r>
    </w:p>
    <w:p w14:paraId="46F48180">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六、有关本次联合投标的其他事宜：</w:t>
      </w:r>
    </w:p>
    <w:p w14:paraId="10ADAD82">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1、联合体各方不再单独参加或者与其他供应商另外组成联合体参加同一合同项下的政府采购活动。</w:t>
      </w:r>
    </w:p>
    <w:p w14:paraId="0AE2DCB5">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2、联合体中有同类资质的各方按照联合体分工承担相同工作的，按照资质等级较低的供应商确定资质等级。</w:t>
      </w:r>
    </w:p>
    <w:p w14:paraId="5C829CB9">
      <w:pPr>
        <w:snapToGrid w:val="0"/>
        <w:spacing w:line="480" w:lineRule="exact"/>
        <w:ind w:firstLine="576"/>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3、本协议提交采购人、采购机构后，联合体各方不得以任何形式对上述内容进行修改或撤销。</w:t>
      </w:r>
    </w:p>
    <w:p w14:paraId="5A729E03">
      <w:pPr>
        <w:snapToGrid w:val="0"/>
        <w:spacing w:line="480" w:lineRule="exact"/>
        <w:ind w:firstLine="5040" w:firstLineChars="2400"/>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联合体成员名称(公章)：</w:t>
      </w:r>
    </w:p>
    <w:p w14:paraId="78008CAE">
      <w:pPr>
        <w:pStyle w:val="2"/>
        <w:spacing w:line="480" w:lineRule="exact"/>
        <w:rPr>
          <w:rFonts w:ascii="宋体" w:hAnsi="宋体" w:cs="宋体"/>
          <w:b w:val="0"/>
          <w:bCs w:val="0"/>
          <w:color w:val="000000" w:themeColor="text1"/>
          <w:kern w:val="0"/>
          <w:sz w:val="21"/>
          <w:szCs w:val="21"/>
          <w:highlight w:val="none"/>
          <w:lang w:val="zh-CN"/>
          <w14:textFill>
            <w14:solidFill>
              <w14:schemeClr w14:val="tx1"/>
            </w14:solidFill>
          </w14:textFill>
        </w:rPr>
      </w:pPr>
      <w:bookmarkStart w:id="172" w:name="_Toc18425"/>
      <w:bookmarkStart w:id="173" w:name="_Toc136345123"/>
      <w:bookmarkStart w:id="174" w:name="_Toc136017662"/>
      <w:r>
        <w:rPr>
          <w:rFonts w:hint="eastAsia" w:ascii="宋体" w:hAnsi="宋体" w:cs="宋体"/>
          <w:b w:val="0"/>
          <w:bCs w:val="0"/>
          <w:color w:val="000000" w:themeColor="text1"/>
          <w:kern w:val="0"/>
          <w:sz w:val="21"/>
          <w:szCs w:val="21"/>
          <w:highlight w:val="none"/>
          <w:lang w:val="zh-CN"/>
          <w14:textFill>
            <w14:solidFill>
              <w14:schemeClr w14:val="tx1"/>
            </w14:solidFill>
          </w14:textFill>
        </w:rPr>
        <w:t>联合体成员名称(公章)：</w:t>
      </w:r>
      <w:bookmarkEnd w:id="172"/>
      <w:bookmarkEnd w:id="173"/>
      <w:bookmarkEnd w:id="174"/>
    </w:p>
    <w:p w14:paraId="3E5B2EB2">
      <w:pPr>
        <w:spacing w:line="480" w:lineRule="exact"/>
        <w:rPr>
          <w:color w:val="000000" w:themeColor="text1"/>
          <w:szCs w:val="21"/>
          <w:highlight w:val="none"/>
          <w:lang w:val="zh-CN"/>
          <w14:textFill>
            <w14:solidFill>
              <w14:schemeClr w14:val="tx1"/>
            </w14:solidFill>
          </w14:textFill>
        </w:rPr>
      </w:pPr>
    </w:p>
    <w:p w14:paraId="10A90CDA">
      <w:pPr>
        <w:snapToGrid w:val="0"/>
        <w:spacing w:line="480" w:lineRule="exac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 xml:space="preserve">                                               日期：  年  月   日</w:t>
      </w:r>
    </w:p>
    <w:p w14:paraId="20805977">
      <w:pPr>
        <w:pStyle w:val="2"/>
        <w:spacing w:line="380" w:lineRule="exact"/>
        <w:jc w:val="both"/>
        <w:rPr>
          <w:rFonts w:ascii="宋体" w:hAnsi="宋体" w:cs="宋体"/>
          <w:b w:val="0"/>
          <w:bCs w:val="0"/>
          <w:color w:val="000000" w:themeColor="text1"/>
          <w:kern w:val="0"/>
          <w:sz w:val="21"/>
          <w:szCs w:val="21"/>
          <w:highlight w:val="none"/>
          <w:lang w:val="zh-CN"/>
          <w14:textFill>
            <w14:solidFill>
              <w14:schemeClr w14:val="tx1"/>
            </w14:solidFill>
          </w14:textFill>
        </w:rPr>
      </w:pPr>
      <w:bookmarkStart w:id="175" w:name="_Toc18667"/>
      <w:bookmarkStart w:id="176" w:name="_Toc136017663"/>
      <w:bookmarkStart w:id="177" w:name="_Toc136345124"/>
      <w:r>
        <w:rPr>
          <w:rFonts w:hint="eastAsia" w:ascii="宋体" w:hAnsi="宋体" w:cs="宋体"/>
          <w:b w:val="0"/>
          <w:bCs w:val="0"/>
          <w:color w:val="000000" w:themeColor="text1"/>
          <w:kern w:val="0"/>
          <w:sz w:val="21"/>
          <w:szCs w:val="21"/>
          <w:highlight w:val="none"/>
          <w:lang w:val="zh-CN"/>
          <w14:textFill>
            <w14:solidFill>
              <w14:schemeClr w14:val="tx1"/>
            </w14:solidFill>
          </w14:textFill>
        </w:rPr>
        <w:t>注：按本格式和要求提供。</w:t>
      </w:r>
      <w:bookmarkEnd w:id="175"/>
      <w:bookmarkEnd w:id="176"/>
      <w:bookmarkEnd w:id="177"/>
    </w:p>
    <w:p w14:paraId="0CDEF098">
      <w:pPr>
        <w:rPr>
          <w:color w:val="000000" w:themeColor="text1"/>
          <w:highlight w:val="none"/>
          <w14:textFill>
            <w14:solidFill>
              <w14:schemeClr w14:val="tx1"/>
            </w14:solidFill>
          </w14:textFill>
        </w:rPr>
      </w:pPr>
    </w:p>
    <w:p w14:paraId="2F478EBF">
      <w:pPr>
        <w:rPr>
          <w:rFonts w:asciiTheme="minorEastAsia" w:hAnsiTheme="minorEastAsia" w:eastAsia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olor w:val="000000" w:themeColor="text1"/>
          <w:sz w:val="24"/>
          <w:szCs w:val="24"/>
          <w:highlight w:val="none"/>
          <w14:textFill>
            <w14:solidFill>
              <w14:schemeClr w14:val="tx1"/>
            </w14:solidFill>
          </w14:textFill>
        </w:rPr>
        <w:br w:type="page"/>
      </w:r>
    </w:p>
    <w:p w14:paraId="13D70C13">
      <w:pPr>
        <w:autoSpaceDE w:val="0"/>
        <w:autoSpaceDN w:val="0"/>
        <w:jc w:val="center"/>
        <w:rPr>
          <w:rFonts w:asciiTheme="minorEastAsia" w:hAnsiTheme="minorEastAsia" w:eastAsiaTheme="minorEastAsia"/>
          <w:b/>
          <w:color w:val="000000" w:themeColor="text1"/>
          <w:sz w:val="24"/>
          <w:szCs w:val="24"/>
          <w:highlight w:val="none"/>
          <w14:textFill>
            <w14:solidFill>
              <w14:schemeClr w14:val="tx1"/>
            </w14:solidFill>
          </w14:textFill>
        </w:rPr>
      </w:pPr>
      <w:r>
        <w:rPr>
          <w:rFonts w:hint="eastAsia" w:asciiTheme="minorEastAsia" w:hAnsiTheme="minorEastAsia" w:eastAsiaTheme="minorEastAsia"/>
          <w:b/>
          <w:color w:val="000000" w:themeColor="text1"/>
          <w:sz w:val="24"/>
          <w:szCs w:val="24"/>
          <w:highlight w:val="none"/>
          <w14:textFill>
            <w14:solidFill>
              <w14:schemeClr w14:val="tx1"/>
            </w14:solidFill>
          </w14:textFill>
        </w:rPr>
        <w:t>（四）分包意向协议</w:t>
      </w:r>
    </w:p>
    <w:p w14:paraId="1CDD8379">
      <w:pPr>
        <w:widowControl/>
        <w:spacing w:line="480" w:lineRule="exact"/>
        <w:ind w:firstLine="422" w:firstLineChars="200"/>
        <w:jc w:val="lef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（中标后以分包方式履行合同的，提供分包意向协议；采购人不同意分包或者投标人中标后不以分包方式履行合同的，则不需要提供。）</w:t>
      </w:r>
    </w:p>
    <w:p w14:paraId="6E28287B">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u w:val="single"/>
          <w14:textFill>
            <w14:solidFill>
              <w14:schemeClr w14:val="tx1"/>
            </w14:solidFill>
          </w14:textFill>
        </w:rPr>
        <w:t>（投标人名称）</w:t>
      </w:r>
      <w:r>
        <w:rPr>
          <w:rFonts w:hint="eastAsia" w:ascii="宋体" w:hAnsi="宋体" w:cs="宋体"/>
          <w:color w:val="000000" w:themeColor="text1"/>
          <w:kern w:val="0"/>
          <w:szCs w:val="21"/>
          <w:highlight w:val="none"/>
          <w:lang w:val="zh-CN"/>
          <w14:textFill>
            <w14:solidFill>
              <w14:schemeClr w14:val="tx1"/>
            </w14:solidFill>
          </w14:textFill>
        </w:rPr>
        <w:t>若成为</w:t>
      </w:r>
      <w:r>
        <w:rPr>
          <w:rFonts w:hint="eastAsia" w:ascii="宋体" w:hAnsi="宋体" w:cs="宋体"/>
          <w:color w:val="000000" w:themeColor="text1"/>
          <w:szCs w:val="21"/>
          <w:highlight w:val="none"/>
          <w14:textFill>
            <w14:solidFill>
              <w14:schemeClr w14:val="tx1"/>
            </w14:solidFill>
          </w14:textFill>
        </w:rPr>
        <w:t>项目【招标编号：       】</w:t>
      </w:r>
      <w:r>
        <w:rPr>
          <w:rFonts w:hint="eastAsia" w:ascii="宋体" w:hAnsi="宋体" w:cs="宋体"/>
          <w:color w:val="000000" w:themeColor="text1"/>
          <w:kern w:val="0"/>
          <w:szCs w:val="21"/>
          <w:highlight w:val="none"/>
          <w:lang w:val="zh-CN"/>
          <w14:textFill>
            <w14:solidFill>
              <w14:schemeClr w14:val="tx1"/>
            </w14:solidFill>
          </w14:textFill>
        </w:rPr>
        <w:t>的中标人，将依法采取分包方式履行合同。</w:t>
      </w:r>
      <w:r>
        <w:rPr>
          <w:rFonts w:hint="eastAsia" w:ascii="宋体" w:hAnsi="宋体" w:cs="宋体"/>
          <w:color w:val="000000" w:themeColor="text1"/>
          <w:kern w:val="0"/>
          <w:szCs w:val="21"/>
          <w:highlight w:val="none"/>
          <w:u w:val="single"/>
          <w14:textFill>
            <w14:solidFill>
              <w14:schemeClr w14:val="tx1"/>
            </w14:solidFill>
          </w14:textFill>
        </w:rPr>
        <w:t>（投标人名称）</w:t>
      </w:r>
      <w:r>
        <w:rPr>
          <w:rFonts w:hint="eastAsia" w:ascii="宋体" w:hAnsi="宋体" w:cs="宋体"/>
          <w:color w:val="000000" w:themeColor="text1"/>
          <w:kern w:val="0"/>
          <w:szCs w:val="21"/>
          <w:highlight w:val="none"/>
          <w14:textFill>
            <w14:solidFill>
              <w14:schemeClr w14:val="tx1"/>
            </w14:solidFill>
          </w14:textFill>
        </w:rPr>
        <w:t>与</w:t>
      </w:r>
      <w:r>
        <w:rPr>
          <w:rFonts w:hint="eastAsia" w:ascii="宋体" w:hAnsi="宋体" w:cs="宋体"/>
          <w:color w:val="000000" w:themeColor="text1"/>
          <w:kern w:val="0"/>
          <w:szCs w:val="21"/>
          <w:highlight w:val="none"/>
          <w:u w:val="single"/>
          <w14:textFill>
            <w14:solidFill>
              <w14:schemeClr w14:val="tx1"/>
            </w14:solidFill>
          </w14:textFill>
        </w:rPr>
        <w:t>（所有分包供应商名称）</w:t>
      </w:r>
      <w:r>
        <w:rPr>
          <w:rFonts w:hint="eastAsia" w:ascii="宋体" w:hAnsi="宋体" w:cs="宋体"/>
          <w:color w:val="000000" w:themeColor="text1"/>
          <w:kern w:val="0"/>
          <w:szCs w:val="21"/>
          <w:highlight w:val="none"/>
          <w14:textFill>
            <w14:solidFill>
              <w14:schemeClr w14:val="tx1"/>
            </w14:solidFill>
          </w14:textFill>
        </w:rPr>
        <w:t>达成分包意向协议</w:t>
      </w:r>
      <w:r>
        <w:rPr>
          <w:rFonts w:hint="eastAsia" w:ascii="宋体" w:hAnsi="宋体" w:cs="宋体"/>
          <w:color w:val="000000" w:themeColor="text1"/>
          <w:kern w:val="0"/>
          <w:szCs w:val="21"/>
          <w:highlight w:val="none"/>
          <w:lang w:val="zh-CN"/>
          <w14:textFill>
            <w14:solidFill>
              <w14:schemeClr w14:val="tx1"/>
            </w14:solidFill>
          </w14:textFill>
        </w:rPr>
        <w:t xml:space="preserve">。 </w:t>
      </w:r>
    </w:p>
    <w:p w14:paraId="5AA978F6">
      <w:pPr>
        <w:widowControl/>
        <w:numPr>
          <w:ilvl w:val="0"/>
          <w:numId w:val="23"/>
        </w:numPr>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分包标的及数量</w:t>
      </w:r>
    </w:p>
    <w:p w14:paraId="608F54F0">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u w:val="single"/>
          <w14:textFill>
            <w14:solidFill>
              <w14:schemeClr w14:val="tx1"/>
            </w14:solidFill>
          </w14:textFill>
        </w:rPr>
        <w:t>（投标人名称）</w:t>
      </w:r>
      <w:r>
        <w:rPr>
          <w:rFonts w:hint="eastAsia" w:ascii="宋体" w:hAnsi="宋体" w:cs="宋体"/>
          <w:color w:val="000000" w:themeColor="text1"/>
          <w:kern w:val="0"/>
          <w:szCs w:val="21"/>
          <w:highlight w:val="none"/>
          <w:lang w:val="zh-CN"/>
          <w14:textFill>
            <w14:solidFill>
              <w14:schemeClr w14:val="tx1"/>
            </w14:solidFill>
          </w14:textFill>
        </w:rPr>
        <w:t>将</w:t>
      </w:r>
      <w:r>
        <w:rPr>
          <w:rFonts w:ascii="宋体" w:hAnsi="宋体" w:cs="宋体"/>
          <w:color w:val="000000" w:themeColor="text1"/>
          <w:kern w:val="0"/>
          <w:szCs w:val="21"/>
          <w:highlight w:val="none"/>
          <w:u w:val="single"/>
          <w14:textFill>
            <w14:solidFill>
              <w14:schemeClr w14:val="tx1"/>
            </w14:solidFill>
          </w14:textFill>
        </w:rPr>
        <w:t xml:space="preserve"> XX工作内容   </w:t>
      </w:r>
      <w:r>
        <w:rPr>
          <w:rFonts w:hint="eastAsia" w:ascii="宋体" w:hAnsi="宋体" w:cs="宋体"/>
          <w:color w:val="000000" w:themeColor="text1"/>
          <w:szCs w:val="21"/>
          <w:highlight w:val="none"/>
          <w14:textFill>
            <w14:solidFill>
              <w14:schemeClr w14:val="tx1"/>
            </w14:solidFill>
          </w14:textFill>
        </w:rPr>
        <w:t>分包给</w:t>
      </w:r>
      <w:r>
        <w:rPr>
          <w:rFonts w:hint="eastAsia" w:ascii="宋体" w:hAnsi="宋体" w:cs="宋体"/>
          <w:color w:val="000000" w:themeColor="text1"/>
          <w:kern w:val="0"/>
          <w:szCs w:val="21"/>
          <w:highlight w:val="none"/>
          <w:u w:val="single"/>
          <w14:textFill>
            <w14:solidFill>
              <w14:schemeClr w14:val="tx1"/>
            </w14:solidFill>
          </w14:textFill>
        </w:rPr>
        <w:t>（分包供应商1名称）</w:t>
      </w:r>
      <w:r>
        <w:rPr>
          <w:rFonts w:hint="eastAsia" w:ascii="宋体" w:hAnsi="宋体" w:cs="宋体"/>
          <w:color w:val="000000" w:themeColor="text1"/>
          <w:kern w:val="0"/>
          <w:szCs w:val="21"/>
          <w:highlight w:val="none"/>
          <w:lang w:val="zh-CN"/>
          <w14:textFill>
            <w14:solidFill>
              <w14:schemeClr w14:val="tx1"/>
            </w14:solidFill>
          </w14:textFill>
        </w:rPr>
        <w:t>，</w:t>
      </w:r>
      <w:r>
        <w:rPr>
          <w:rFonts w:hint="eastAsia" w:ascii="宋体" w:hAnsi="宋体" w:cs="宋体"/>
          <w:color w:val="000000" w:themeColor="text1"/>
          <w:kern w:val="0"/>
          <w:szCs w:val="21"/>
          <w:highlight w:val="none"/>
          <w:u w:val="single"/>
          <w14:textFill>
            <w14:solidFill>
              <w14:schemeClr w14:val="tx1"/>
            </w14:solidFill>
          </w14:textFill>
        </w:rPr>
        <w:t>（分包供应商2名称），</w:t>
      </w:r>
      <w:r>
        <w:rPr>
          <w:rFonts w:hint="eastAsia" w:ascii="宋体" w:hAnsi="宋体" w:cs="宋体"/>
          <w:color w:val="000000" w:themeColor="text1"/>
          <w:kern w:val="0"/>
          <w:szCs w:val="21"/>
          <w:highlight w:val="none"/>
          <w:lang w:val="zh-CN"/>
          <w14:textFill>
            <w14:solidFill>
              <w14:schemeClr w14:val="tx1"/>
            </w14:solidFill>
          </w14:textFill>
        </w:rPr>
        <w:t>具备承</w:t>
      </w:r>
      <w:r>
        <w:rPr>
          <w:rFonts w:hint="eastAsia" w:ascii="宋体" w:hAnsi="宋体" w:cs="宋体"/>
          <w:color w:val="000000" w:themeColor="text1"/>
          <w:kern w:val="0"/>
          <w:szCs w:val="21"/>
          <w:highlight w:val="none"/>
          <w14:textFill>
            <w14:solidFill>
              <w14:schemeClr w14:val="tx1"/>
            </w14:solidFill>
          </w14:textFill>
        </w:rPr>
        <w:t>担</w:t>
      </w:r>
      <w:r>
        <w:rPr>
          <w:rFonts w:hint="eastAsia" w:ascii="宋体" w:hAnsi="宋体" w:cs="宋体"/>
          <w:color w:val="000000" w:themeColor="text1"/>
          <w:kern w:val="0"/>
          <w:szCs w:val="21"/>
          <w:highlight w:val="none"/>
          <w:u w:val="single"/>
          <w:lang w:val="zh-CN"/>
          <w14:textFill>
            <w14:solidFill>
              <w14:schemeClr w14:val="tx1"/>
            </w14:solidFill>
          </w14:textFill>
        </w:rPr>
        <w:t>XX工作内容</w:t>
      </w:r>
      <w:r>
        <w:rPr>
          <w:rFonts w:hint="eastAsia" w:ascii="宋体" w:hAnsi="宋体" w:cs="宋体"/>
          <w:color w:val="000000" w:themeColor="text1"/>
          <w:kern w:val="0"/>
          <w:szCs w:val="21"/>
          <w:highlight w:val="none"/>
          <w:lang w:val="zh-CN"/>
          <w14:textFill>
            <w14:solidFill>
              <w14:schemeClr w14:val="tx1"/>
            </w14:solidFill>
          </w14:textFill>
        </w:rPr>
        <w:t>相应资质条件且不得再次分包；</w:t>
      </w:r>
    </w:p>
    <w:p w14:paraId="545B0F9F">
      <w:pPr>
        <w:widowControl/>
        <w:spacing w:line="48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w:t>
      </w:r>
    </w:p>
    <w:p w14:paraId="702F7DE4">
      <w:pPr>
        <w:widowControl/>
        <w:numPr>
          <w:ilvl w:val="0"/>
          <w:numId w:val="23"/>
        </w:numPr>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分包供应商中小企业合同份额（如果有）</w:t>
      </w:r>
    </w:p>
    <w:p w14:paraId="37C704D4">
      <w:pPr>
        <w:widowControl/>
        <w:numPr>
          <w:ilvl w:val="0"/>
          <w:numId w:val="24"/>
        </w:numPr>
        <w:spacing w:line="480" w:lineRule="exact"/>
        <w:ind w:firstLine="420" w:firstLineChars="200"/>
        <w:jc w:val="left"/>
        <w:rPr>
          <w:rFonts w:ascii="宋体" w:hAnsi="宋体" w:cs="宋体"/>
          <w:b/>
          <w:bCs/>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u w:val="single"/>
          <w14:textFill>
            <w14:solidFill>
              <w14:schemeClr w14:val="tx1"/>
            </w14:solidFill>
          </w14:textFill>
        </w:rPr>
        <w:t>（分包供应商X</w:t>
      </w:r>
      <w:r>
        <w:rPr>
          <w:rFonts w:ascii="宋体" w:hAnsi="宋体" w:cs="宋体"/>
          <w:color w:val="000000" w:themeColor="text1"/>
          <w:kern w:val="0"/>
          <w:szCs w:val="21"/>
          <w:highlight w:val="none"/>
          <w:u w:val="single"/>
          <w14:textFill>
            <w14:solidFill>
              <w14:schemeClr w14:val="tx1"/>
            </w14:solidFill>
          </w14:textFill>
        </w:rPr>
        <w:t>,</w:t>
      </w:r>
      <w:r>
        <w:rPr>
          <w:rFonts w:hint="eastAsia" w:ascii="宋体" w:hAnsi="宋体" w:cs="宋体"/>
          <w:color w:val="000000" w:themeColor="text1"/>
          <w:kern w:val="0"/>
          <w:szCs w:val="21"/>
          <w:highlight w:val="none"/>
          <w:u w:val="single"/>
          <w14:textFill>
            <w14:solidFill>
              <w14:schemeClr w14:val="tx1"/>
            </w14:solidFill>
          </w14:textFill>
        </w:rPr>
        <w:t>……）提供的服务全部由小微企业承接，</w:t>
      </w:r>
      <w:r>
        <w:rPr>
          <w:rFonts w:hint="eastAsia" w:ascii="宋体" w:hAnsi="宋体" w:cs="宋体"/>
          <w:color w:val="000000" w:themeColor="text1"/>
          <w:kern w:val="0"/>
          <w:szCs w:val="21"/>
          <w:highlight w:val="none"/>
          <w14:textFill>
            <w14:solidFill>
              <w14:schemeClr w14:val="tx1"/>
            </w14:solidFill>
          </w14:textFill>
        </w:rPr>
        <w:t>其合同份额占到合同总金额%以上</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b/>
          <w:color w:val="000000" w:themeColor="text1"/>
          <w:kern w:val="0"/>
          <w:szCs w:val="21"/>
          <w:highlight w:val="none"/>
          <w:lang w:val="zh-CN"/>
          <w14:textFill>
            <w14:solidFill>
              <w14:schemeClr w14:val="tx1"/>
            </w14:solidFill>
          </w14:textFill>
        </w:rPr>
        <w:t>（未预留份额专门面向中小企业采购的的采购项目，以及预留份额中的非预留部分采购包，允许分包的，分包意向协议约定小微企业的合同份额占到合同总金额30%以上的，对大中型企业的报价给予</w:t>
      </w:r>
      <w:r>
        <w:rPr>
          <w:rFonts w:hint="eastAsia" w:ascii="宋体" w:hAnsi="宋体" w:cs="宋体"/>
          <w:b/>
          <w:color w:val="000000" w:themeColor="text1"/>
          <w:kern w:val="0"/>
          <w:szCs w:val="21"/>
          <w:highlight w:val="none"/>
          <w14:textFill>
            <w14:solidFill>
              <w14:schemeClr w14:val="tx1"/>
            </w14:solidFill>
          </w14:textFill>
        </w:rPr>
        <w:t>4</w:t>
      </w:r>
      <w:r>
        <w:rPr>
          <w:rFonts w:hint="eastAsia" w:ascii="宋体" w:hAnsi="宋体" w:cs="宋体"/>
          <w:b/>
          <w:color w:val="000000" w:themeColor="text1"/>
          <w:kern w:val="0"/>
          <w:szCs w:val="21"/>
          <w:highlight w:val="none"/>
          <w:lang w:val="zh-CN"/>
          <w14:textFill>
            <w14:solidFill>
              <w14:schemeClr w14:val="tx1"/>
            </w14:solidFill>
          </w14:textFill>
        </w:rPr>
        <w:t>%的扣除。供应商</w:t>
      </w:r>
      <w:r>
        <w:rPr>
          <w:rFonts w:hint="eastAsia" w:ascii="宋体" w:hAnsi="宋体" w:cs="宋体"/>
          <w:b/>
          <w:color w:val="000000" w:themeColor="text1"/>
          <w:szCs w:val="21"/>
          <w:highlight w:val="none"/>
          <w14:textFill>
            <w14:solidFill>
              <w14:schemeClr w14:val="tx1"/>
            </w14:solidFill>
          </w14:textFill>
        </w:rPr>
        <w:t>拟享受以上价格扣除政策的，填写有关内容。</w:t>
      </w:r>
      <w:r>
        <w:rPr>
          <w:rFonts w:hint="eastAsia" w:ascii="宋体" w:hAnsi="宋体" w:cs="宋体"/>
          <w:b/>
          <w:color w:val="000000" w:themeColor="text1"/>
          <w:kern w:val="0"/>
          <w:szCs w:val="21"/>
          <w:highlight w:val="none"/>
          <w:lang w:val="zh-CN"/>
          <w14:textFill>
            <w14:solidFill>
              <w14:schemeClr w14:val="tx1"/>
            </w14:solidFill>
          </w14:textFill>
        </w:rPr>
        <w:t>）</w:t>
      </w:r>
    </w:p>
    <w:p w14:paraId="780DFCA1">
      <w:pPr>
        <w:widowControl/>
        <w:numPr>
          <w:ilvl w:val="0"/>
          <w:numId w:val="24"/>
        </w:numPr>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中小企业合同金额达到%，小微企业合同金额达到%</w:t>
      </w:r>
      <w:r>
        <w:rPr>
          <w:rFonts w:hint="eastAsia" w:ascii="宋体" w:hAnsi="宋体" w:cs="宋体"/>
          <w:color w:val="000000" w:themeColor="text1"/>
          <w:kern w:val="0"/>
          <w:szCs w:val="21"/>
          <w:highlight w:val="none"/>
          <w:lang w:val="zh-CN"/>
          <w14:textFill>
            <w14:solidFill>
              <w14:schemeClr w14:val="tx1"/>
            </w14:solidFill>
          </w14:textFill>
        </w:rPr>
        <w:t>。</w:t>
      </w:r>
      <w:r>
        <w:rPr>
          <w:rFonts w:hint="eastAsia" w:ascii="宋体" w:hAnsi="宋体" w:cs="宋体"/>
          <w:b/>
          <w:bCs/>
          <w:color w:val="000000" w:themeColor="text1"/>
          <w:kern w:val="0"/>
          <w:szCs w:val="21"/>
          <w:highlight w:val="none"/>
          <w:lang w:val="zh-CN"/>
          <w14:textFill>
            <w14:solidFill>
              <w14:schemeClr w14:val="tx1"/>
            </w14:solidFill>
          </w14:textFill>
        </w:rPr>
        <w:t>（</w:t>
      </w:r>
      <w:r>
        <w:rPr>
          <w:rFonts w:hint="eastAsia" w:ascii="宋体" w:hAnsi="宋体" w:cs="宋体"/>
          <w:b/>
          <w:bCs/>
          <w:color w:val="000000" w:themeColor="text1"/>
          <w:szCs w:val="21"/>
          <w:highlight w:val="none"/>
          <w14:textFill>
            <w14:solidFill>
              <w14:schemeClr w14:val="tx1"/>
            </w14:solidFill>
          </w14:textFill>
        </w:rPr>
        <w:t>要求合同分包形式参加的项目或采购包，供应商按招标文件第一部分招标公告申请人的资格要求中规定的</w:t>
      </w:r>
      <w:r>
        <w:rPr>
          <w:rFonts w:hint="eastAsia" w:ascii="宋体" w:hAnsi="宋体" w:cs="宋体"/>
          <w:b/>
          <w:color w:val="000000" w:themeColor="text1"/>
          <w:kern w:val="0"/>
          <w:szCs w:val="21"/>
          <w:highlight w:val="none"/>
          <w:lang w:val="zh-CN"/>
          <w14:textFill>
            <w14:solidFill>
              <w14:schemeClr w14:val="tx1"/>
            </w14:solidFill>
          </w14:textFill>
        </w:rPr>
        <w:t>分包意向协议</w:t>
      </w:r>
      <w:r>
        <w:rPr>
          <w:rFonts w:hint="eastAsia" w:ascii="宋体" w:hAnsi="宋体" w:cs="宋体"/>
          <w:b/>
          <w:bCs/>
          <w:color w:val="000000" w:themeColor="text1"/>
          <w:szCs w:val="21"/>
          <w:highlight w:val="none"/>
          <w14:textFill>
            <w14:solidFill>
              <w14:schemeClr w14:val="tx1"/>
            </w14:solidFill>
          </w14:textFill>
        </w:rPr>
        <w:t>中中小企业、小微企业合同金额应当达到的比例要求填写。</w:t>
      </w:r>
      <w:r>
        <w:rPr>
          <w:rFonts w:hint="eastAsia" w:ascii="宋体" w:hAnsi="宋体" w:cs="宋体"/>
          <w:b/>
          <w:bCs/>
          <w:color w:val="000000" w:themeColor="text1"/>
          <w:kern w:val="0"/>
          <w:szCs w:val="21"/>
          <w:highlight w:val="none"/>
          <w:lang w:val="zh-CN"/>
          <w14:textFill>
            <w14:solidFill>
              <w14:schemeClr w14:val="tx1"/>
            </w14:solidFill>
          </w14:textFill>
        </w:rPr>
        <w:t>）</w:t>
      </w:r>
    </w:p>
    <w:p w14:paraId="1217F836">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三、分包工作履行期限、地点、方式</w:t>
      </w:r>
    </w:p>
    <w:p w14:paraId="02AF64F9">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四、质量</w:t>
      </w:r>
    </w:p>
    <w:p w14:paraId="12C096DB">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五、价款或者报酬</w:t>
      </w:r>
    </w:p>
    <w:p w14:paraId="63764EF4">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六、违约责任</w:t>
      </w:r>
    </w:p>
    <w:p w14:paraId="2C1C876D">
      <w:pPr>
        <w:widowControl/>
        <w:spacing w:line="480" w:lineRule="exact"/>
        <w:ind w:firstLine="420" w:firstLineChars="2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七、争议解决的办法</w:t>
      </w:r>
    </w:p>
    <w:p w14:paraId="3CC56C9F">
      <w:pPr>
        <w:widowControl/>
        <w:spacing w:line="480" w:lineRule="exact"/>
        <w:ind w:firstLine="420" w:firstLineChars="200"/>
        <w:jc w:val="left"/>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八、其他</w:t>
      </w:r>
    </w:p>
    <w:p w14:paraId="1E56CF89">
      <w:pPr>
        <w:snapToGrid w:val="0"/>
        <w:spacing w:line="360" w:lineRule="auto"/>
        <w:ind w:firstLine="5250" w:firstLineChars="2500"/>
        <w:jc w:val="left"/>
        <w:rPr>
          <w:rFonts w:ascii="宋体" w:hAnsi="宋体" w:cs="宋体"/>
          <w:color w:val="000000" w:themeColor="text1"/>
          <w:kern w:val="0"/>
          <w:szCs w:val="21"/>
          <w:highlight w:val="none"/>
          <w:lang w:val="zh-CN"/>
          <w14:textFill>
            <w14:solidFill>
              <w14:schemeClr w14:val="tx1"/>
            </w14:solidFill>
          </w14:textFill>
        </w:rPr>
      </w:pPr>
    </w:p>
    <w:p w14:paraId="228AB425">
      <w:pPr>
        <w:pStyle w:val="15"/>
        <w:rPr>
          <w:color w:val="000000" w:themeColor="text1"/>
          <w:highlight w:val="none"/>
          <w:lang w:val="zh-CN"/>
          <w14:textFill>
            <w14:solidFill>
              <w14:schemeClr w14:val="tx1"/>
            </w14:solidFill>
          </w14:textFill>
        </w:rPr>
      </w:pPr>
    </w:p>
    <w:p w14:paraId="674F23C2">
      <w:pPr>
        <w:snapToGrid w:val="0"/>
        <w:spacing w:line="360" w:lineRule="auto"/>
        <w:ind w:firstLine="5250" w:firstLineChars="2500"/>
        <w:jc w:val="left"/>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投标人名称(</w:t>
      </w:r>
      <w:r>
        <w:rPr>
          <w:rFonts w:hint="eastAsia" w:ascii="宋体" w:hAnsi="宋体" w:cs="宋体"/>
          <w:color w:val="000000" w:themeColor="text1"/>
          <w:kern w:val="0"/>
          <w:szCs w:val="21"/>
          <w:highlight w:val="none"/>
          <w14:textFill>
            <w14:solidFill>
              <w14:schemeClr w14:val="tx1"/>
            </w14:solidFill>
          </w14:textFill>
        </w:rPr>
        <w:t>公章</w:t>
      </w:r>
      <w:r>
        <w:rPr>
          <w:rFonts w:hint="eastAsia" w:ascii="宋体" w:hAnsi="宋体" w:cs="宋体"/>
          <w:color w:val="000000" w:themeColor="text1"/>
          <w:kern w:val="0"/>
          <w:szCs w:val="21"/>
          <w:highlight w:val="none"/>
          <w:lang w:val="zh-CN"/>
          <w14:textFill>
            <w14:solidFill>
              <w14:schemeClr w14:val="tx1"/>
            </w14:solidFill>
          </w14:textFill>
        </w:rPr>
        <w:t>)：</w:t>
      </w:r>
    </w:p>
    <w:p w14:paraId="53C2444D">
      <w:pPr>
        <w:snapToGrid w:val="0"/>
        <w:spacing w:line="360" w:lineRule="auto"/>
        <w:ind w:firstLine="5250" w:firstLineChars="2500"/>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分包供应商名称：</w:t>
      </w:r>
    </w:p>
    <w:p w14:paraId="030389D5">
      <w:pPr>
        <w:snapToGrid w:val="0"/>
        <w:spacing w:line="360" w:lineRule="auto"/>
        <w:ind w:firstLine="5250" w:firstLineChars="2500"/>
        <w:rPr>
          <w:rFonts w:ascii="宋体" w:hAnsi="宋体" w:cs="宋体"/>
          <w:color w:val="000000" w:themeColor="text1"/>
          <w:kern w:val="0"/>
          <w:szCs w:val="21"/>
          <w:highlight w:val="none"/>
          <w:lang w:val="zh-CN"/>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w:t>
      </w:r>
    </w:p>
    <w:p w14:paraId="34DCF416">
      <w:pPr>
        <w:spacing w:line="360" w:lineRule="auto"/>
        <w:jc w:val="center"/>
        <w:rPr>
          <w:color w:val="000000" w:themeColor="text1"/>
          <w:highlight w:val="none"/>
          <w14:textFill>
            <w14:solidFill>
              <w14:schemeClr w14:val="tx1"/>
            </w14:solidFill>
          </w14:textFill>
        </w:rPr>
      </w:pPr>
      <w:r>
        <w:rPr>
          <w:rFonts w:hint="eastAsia" w:ascii="宋体" w:hAnsi="宋体" w:cs="宋体"/>
          <w:color w:val="000000" w:themeColor="text1"/>
          <w:kern w:val="0"/>
          <w:szCs w:val="21"/>
          <w:highlight w:val="none"/>
          <w:lang w:val="zh-CN"/>
          <w14:textFill>
            <w14:solidFill>
              <w14:schemeClr w14:val="tx1"/>
            </w14:solidFill>
          </w14:textFill>
        </w:rPr>
        <w:t>日期：  年  月   日</w:t>
      </w:r>
    </w:p>
    <w:p w14:paraId="10965BCA">
      <w:pPr>
        <w:rPr>
          <w:rFonts w:asciiTheme="minorEastAsia" w:hAnsiTheme="minorEastAsia" w:eastAsiaTheme="minorEastAsia"/>
          <w:color w:val="000000" w:themeColor="text1"/>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p>
    <w:p w14:paraId="687FD589">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bookmarkStart w:id="178" w:name="_Toc136017664"/>
      <w:bookmarkStart w:id="179" w:name="_Toc136345125"/>
      <w:bookmarkStart w:id="180" w:name="_Toc16708"/>
      <w:r>
        <w:rPr>
          <w:rFonts w:hint="eastAsia" w:asciiTheme="minorEastAsia" w:hAnsiTheme="minorEastAsia" w:eastAsiaTheme="minorEastAsia"/>
          <w:bCs w:val="0"/>
          <w:color w:val="000000" w:themeColor="text1"/>
          <w:sz w:val="24"/>
          <w:szCs w:val="24"/>
          <w:highlight w:val="none"/>
          <w14:textFill>
            <w14:solidFill>
              <w14:schemeClr w14:val="tx1"/>
            </w14:solidFill>
          </w14:textFill>
        </w:rPr>
        <w:t>（五）技术条款偏离表</w:t>
      </w:r>
      <w:bookmarkEnd w:id="178"/>
      <w:bookmarkEnd w:id="179"/>
      <w:bookmarkEnd w:id="180"/>
    </w:p>
    <w:p w14:paraId="1E175F54">
      <w:pPr>
        <w:spacing w:line="380" w:lineRule="exact"/>
        <w:rPr>
          <w:rFonts w:asciiTheme="minorEastAsia" w:hAnsiTheme="minorEastAsia" w:eastAsiaTheme="minorEastAsia"/>
          <w:color w:val="000000" w:themeColor="text1"/>
          <w:szCs w:val="21"/>
          <w:highlight w:val="none"/>
          <w14:textFill>
            <w14:solidFill>
              <w14:schemeClr w14:val="tx1"/>
            </w14:solidFill>
          </w14:textFill>
        </w:rPr>
      </w:pPr>
    </w:p>
    <w:tbl>
      <w:tblPr>
        <w:tblStyle w:val="35"/>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3360"/>
        <w:gridCol w:w="2908"/>
        <w:gridCol w:w="1578"/>
      </w:tblGrid>
      <w:tr w14:paraId="3F5D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794" w:type="dxa"/>
            <w:vAlign w:val="center"/>
          </w:tcPr>
          <w:p w14:paraId="416135D1">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序号</w:t>
            </w:r>
          </w:p>
        </w:tc>
        <w:tc>
          <w:tcPr>
            <w:tcW w:w="3360" w:type="dxa"/>
            <w:vAlign w:val="center"/>
          </w:tcPr>
          <w:p w14:paraId="11B10BDD">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招标文件技术要求</w:t>
            </w:r>
          </w:p>
        </w:tc>
        <w:tc>
          <w:tcPr>
            <w:tcW w:w="2908" w:type="dxa"/>
            <w:vAlign w:val="center"/>
          </w:tcPr>
          <w:p w14:paraId="18C35BF9">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投标文件对应规格</w:t>
            </w:r>
          </w:p>
        </w:tc>
        <w:tc>
          <w:tcPr>
            <w:tcW w:w="1578" w:type="dxa"/>
            <w:vAlign w:val="center"/>
          </w:tcPr>
          <w:p w14:paraId="5DFDA1AE">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说明</w:t>
            </w:r>
          </w:p>
        </w:tc>
      </w:tr>
      <w:tr w14:paraId="6EE88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794" w:type="dxa"/>
            <w:vAlign w:val="center"/>
          </w:tcPr>
          <w:p w14:paraId="4E1D3BFB">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3360" w:type="dxa"/>
            <w:vAlign w:val="center"/>
          </w:tcPr>
          <w:p w14:paraId="68FF40EE">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2908" w:type="dxa"/>
            <w:vAlign w:val="center"/>
          </w:tcPr>
          <w:p w14:paraId="48AE8A45">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1578" w:type="dxa"/>
            <w:vAlign w:val="center"/>
          </w:tcPr>
          <w:p w14:paraId="0156FD01">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r>
      <w:tr w14:paraId="04FF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794" w:type="dxa"/>
            <w:vAlign w:val="center"/>
          </w:tcPr>
          <w:p w14:paraId="1348CF6A">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3360" w:type="dxa"/>
            <w:vAlign w:val="center"/>
          </w:tcPr>
          <w:p w14:paraId="3AF68FDF">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2908" w:type="dxa"/>
            <w:vAlign w:val="center"/>
          </w:tcPr>
          <w:p w14:paraId="0A0DE754">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1578" w:type="dxa"/>
            <w:vAlign w:val="center"/>
          </w:tcPr>
          <w:p w14:paraId="06D6AB46">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r>
      <w:tr w14:paraId="6724D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794" w:type="dxa"/>
            <w:vAlign w:val="center"/>
          </w:tcPr>
          <w:p w14:paraId="05F490E2">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3360" w:type="dxa"/>
            <w:vAlign w:val="center"/>
          </w:tcPr>
          <w:p w14:paraId="32091879">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2908" w:type="dxa"/>
            <w:vAlign w:val="center"/>
          </w:tcPr>
          <w:p w14:paraId="3E11FA7F">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1578" w:type="dxa"/>
            <w:vAlign w:val="center"/>
          </w:tcPr>
          <w:p w14:paraId="2E47A528">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r>
    </w:tbl>
    <w:p w14:paraId="4305CDE9">
      <w:pPr>
        <w:spacing w:line="360" w:lineRule="auto"/>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备注：1、本表应列明投标人对技术规格的偏离条款（正偏离或负偏离）；</w:t>
      </w:r>
    </w:p>
    <w:p w14:paraId="26AA10B2">
      <w:pPr>
        <w:spacing w:line="360" w:lineRule="auto"/>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2、无偏离应在本表“说明”处醒目地注明“无条款偏离”的字样。</w:t>
      </w:r>
    </w:p>
    <w:p w14:paraId="52A325AA">
      <w:pPr>
        <w:spacing w:line="360" w:lineRule="auto"/>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3、本表格供参考，投标人可根据项目实际情况自拟（增减）表格。</w:t>
      </w:r>
    </w:p>
    <w:p w14:paraId="7F3339F9">
      <w:pPr>
        <w:spacing w:line="360" w:lineRule="auto"/>
        <w:rPr>
          <w:rFonts w:asciiTheme="minorEastAsia" w:hAnsiTheme="minorEastAsia" w:eastAsiaTheme="minorEastAsia"/>
          <w:color w:val="000000" w:themeColor="text1"/>
          <w:highlight w:val="none"/>
          <w14:textFill>
            <w14:solidFill>
              <w14:schemeClr w14:val="tx1"/>
            </w14:solidFill>
          </w14:textFill>
        </w:rPr>
      </w:pPr>
    </w:p>
    <w:p w14:paraId="4B22D2E8">
      <w:pPr>
        <w:spacing w:line="380" w:lineRule="exact"/>
        <w:rPr>
          <w:rFonts w:asciiTheme="minorEastAsia" w:hAnsiTheme="minorEastAsia" w:eastAsia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投标人（公章）：</w:t>
      </w:r>
    </w:p>
    <w:p w14:paraId="38066681">
      <w:pPr>
        <w:spacing w:line="380" w:lineRule="exact"/>
        <w:rPr>
          <w:rFonts w:asciiTheme="minorEastAsia" w:hAnsiTheme="minorEastAsia" w:eastAsiaTheme="minorEastAsia"/>
          <w:color w:val="000000" w:themeColor="text1"/>
          <w:sz w:val="22"/>
          <w:szCs w:val="22"/>
          <w:highlight w:val="none"/>
          <w:u w:val="singl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投标人代表（签字或印章）：</w:t>
      </w:r>
    </w:p>
    <w:p w14:paraId="2125B0DE">
      <w:pPr>
        <w:spacing w:line="380" w:lineRule="exact"/>
        <w:rPr>
          <w:rFonts w:asciiTheme="minorEastAsia" w:hAnsiTheme="minorEastAsia" w:eastAsiaTheme="minorEastAsia"/>
          <w:color w:val="000000" w:themeColor="text1"/>
          <w:sz w:val="22"/>
          <w:szCs w:val="22"/>
          <w:highlight w:val="none"/>
          <w:u w:val="singl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日期：</w:t>
      </w:r>
    </w:p>
    <w:p w14:paraId="787E56D9">
      <w:pPr>
        <w:spacing w:line="380" w:lineRule="exact"/>
        <w:rPr>
          <w:rFonts w:asciiTheme="minorEastAsia" w:hAnsiTheme="minorEastAsia" w:eastAsiaTheme="minorEastAsia"/>
          <w:color w:val="000000" w:themeColor="text1"/>
          <w:sz w:val="24"/>
          <w:highlight w:val="none"/>
          <w14:textFill>
            <w14:solidFill>
              <w14:schemeClr w14:val="tx1"/>
            </w14:solidFill>
          </w14:textFill>
        </w:rPr>
      </w:pPr>
    </w:p>
    <w:p w14:paraId="597A36A5">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bookmarkStart w:id="181" w:name="_Toc136345126"/>
      <w:bookmarkStart w:id="182" w:name="_Toc136017665"/>
      <w:bookmarkStart w:id="183" w:name="_Toc21217"/>
      <w:r>
        <w:rPr>
          <w:rFonts w:hint="eastAsia" w:asciiTheme="minorEastAsia" w:hAnsiTheme="minorEastAsia" w:eastAsiaTheme="minorEastAsia"/>
          <w:bCs w:val="0"/>
          <w:color w:val="000000" w:themeColor="text1"/>
          <w:sz w:val="24"/>
          <w:szCs w:val="24"/>
          <w:highlight w:val="none"/>
          <w14:textFill>
            <w14:solidFill>
              <w14:schemeClr w14:val="tx1"/>
            </w14:solidFill>
          </w14:textFill>
        </w:rPr>
        <w:t>（六）商务条款偏离表</w:t>
      </w:r>
      <w:bookmarkEnd w:id="181"/>
      <w:bookmarkEnd w:id="182"/>
      <w:bookmarkEnd w:id="183"/>
    </w:p>
    <w:p w14:paraId="643094A7">
      <w:pPr>
        <w:spacing w:line="380" w:lineRule="exact"/>
        <w:rPr>
          <w:rFonts w:asciiTheme="minorEastAsia" w:hAnsiTheme="minorEastAsia" w:eastAsiaTheme="minorEastAsia"/>
          <w:color w:val="000000" w:themeColor="text1"/>
          <w:sz w:val="24"/>
          <w:highlight w:val="none"/>
          <w14:textFill>
            <w14:solidFill>
              <w14:schemeClr w14:val="tx1"/>
            </w14:solidFill>
          </w14:textFill>
        </w:rPr>
      </w:pPr>
    </w:p>
    <w:tbl>
      <w:tblPr>
        <w:tblStyle w:val="35"/>
        <w:tblW w:w="876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3418"/>
        <w:gridCol w:w="2891"/>
        <w:gridCol w:w="1618"/>
      </w:tblGrid>
      <w:tr w14:paraId="52293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835" w:type="dxa"/>
            <w:vAlign w:val="center"/>
          </w:tcPr>
          <w:p w14:paraId="19A967D2">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序号</w:t>
            </w:r>
          </w:p>
        </w:tc>
        <w:tc>
          <w:tcPr>
            <w:tcW w:w="3418" w:type="dxa"/>
            <w:vAlign w:val="center"/>
          </w:tcPr>
          <w:p w14:paraId="26D91881">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招标文件的商务条款</w:t>
            </w:r>
          </w:p>
        </w:tc>
        <w:tc>
          <w:tcPr>
            <w:tcW w:w="2891" w:type="dxa"/>
            <w:vAlign w:val="center"/>
          </w:tcPr>
          <w:p w14:paraId="6F725143">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投标文件的商务条款</w:t>
            </w:r>
          </w:p>
        </w:tc>
        <w:tc>
          <w:tcPr>
            <w:tcW w:w="1618" w:type="dxa"/>
            <w:vAlign w:val="center"/>
          </w:tcPr>
          <w:p w14:paraId="72F8B932">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说明</w:t>
            </w:r>
          </w:p>
        </w:tc>
      </w:tr>
      <w:tr w14:paraId="7F3C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835" w:type="dxa"/>
            <w:vAlign w:val="center"/>
          </w:tcPr>
          <w:p w14:paraId="61B3910F">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3418" w:type="dxa"/>
            <w:vAlign w:val="center"/>
          </w:tcPr>
          <w:p w14:paraId="2576B3B4">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2891" w:type="dxa"/>
            <w:vAlign w:val="center"/>
          </w:tcPr>
          <w:p w14:paraId="231CEC5E">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1618" w:type="dxa"/>
            <w:vAlign w:val="center"/>
          </w:tcPr>
          <w:p w14:paraId="3FC59123">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r>
      <w:tr w14:paraId="1689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835" w:type="dxa"/>
            <w:vAlign w:val="center"/>
          </w:tcPr>
          <w:p w14:paraId="32F796C7">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3418" w:type="dxa"/>
            <w:vAlign w:val="center"/>
          </w:tcPr>
          <w:p w14:paraId="390E07F3">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2891" w:type="dxa"/>
            <w:vAlign w:val="center"/>
          </w:tcPr>
          <w:p w14:paraId="51CC184F">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1618" w:type="dxa"/>
            <w:vAlign w:val="center"/>
          </w:tcPr>
          <w:p w14:paraId="24EE7463">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r>
      <w:tr w14:paraId="434F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835" w:type="dxa"/>
            <w:vAlign w:val="center"/>
          </w:tcPr>
          <w:p w14:paraId="5A95564D">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3418" w:type="dxa"/>
            <w:vAlign w:val="center"/>
          </w:tcPr>
          <w:p w14:paraId="6B848C89">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2891" w:type="dxa"/>
            <w:vAlign w:val="center"/>
          </w:tcPr>
          <w:p w14:paraId="452053CF">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c>
          <w:tcPr>
            <w:tcW w:w="1618" w:type="dxa"/>
            <w:vAlign w:val="center"/>
          </w:tcPr>
          <w:p w14:paraId="61B4B28C">
            <w:pPr>
              <w:spacing w:line="380" w:lineRule="exact"/>
              <w:jc w:val="center"/>
              <w:rPr>
                <w:rFonts w:asciiTheme="minorEastAsia" w:hAnsiTheme="minorEastAsia" w:eastAsiaTheme="minorEastAsia"/>
                <w:color w:val="000000" w:themeColor="text1"/>
                <w:sz w:val="22"/>
                <w:szCs w:val="22"/>
                <w:highlight w:val="none"/>
                <w14:textFill>
                  <w14:solidFill>
                    <w14:schemeClr w14:val="tx1"/>
                  </w14:solidFill>
                </w14:textFill>
              </w:rPr>
            </w:pPr>
          </w:p>
        </w:tc>
      </w:tr>
    </w:tbl>
    <w:p w14:paraId="0AF7C2AA">
      <w:pPr>
        <w:spacing w:line="360" w:lineRule="auto"/>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备注：1、列明招标文件的商务条款与投标文件对应响应，并说明偏离状况（正偏离或负偏离）；2、无偏离应在本表“说明”处醒目地注明“无条款偏离”的字样。</w:t>
      </w:r>
    </w:p>
    <w:p w14:paraId="5ADE098C">
      <w:pPr>
        <w:spacing w:line="360" w:lineRule="auto"/>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3、本表格供参考，投标人可根据项目实际情况自拟（增减）表格。</w:t>
      </w:r>
    </w:p>
    <w:p w14:paraId="6CB0258F">
      <w:pPr>
        <w:spacing w:line="380" w:lineRule="exact"/>
        <w:rPr>
          <w:rFonts w:asciiTheme="minorEastAsia" w:hAnsiTheme="minorEastAsia" w:eastAsiaTheme="minorEastAsia"/>
          <w:color w:val="000000" w:themeColor="text1"/>
          <w:sz w:val="22"/>
          <w:szCs w:val="22"/>
          <w:highlight w:val="none"/>
          <w14:textFill>
            <w14:solidFill>
              <w14:schemeClr w14:val="tx1"/>
            </w14:solidFill>
          </w14:textFill>
        </w:rPr>
      </w:pPr>
    </w:p>
    <w:p w14:paraId="2B414497">
      <w:pPr>
        <w:spacing w:line="380" w:lineRule="exact"/>
        <w:rPr>
          <w:rFonts w:asciiTheme="minorEastAsia" w:hAnsiTheme="minorEastAsia" w:eastAsia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投标人（公章）：</w:t>
      </w:r>
    </w:p>
    <w:p w14:paraId="3AC8E0E3">
      <w:pPr>
        <w:spacing w:line="380" w:lineRule="exact"/>
        <w:rPr>
          <w:rFonts w:asciiTheme="minorEastAsia" w:hAnsiTheme="minorEastAsia" w:eastAsiaTheme="minorEastAsia"/>
          <w:color w:val="000000" w:themeColor="text1"/>
          <w:sz w:val="22"/>
          <w:szCs w:val="22"/>
          <w:highlight w:val="none"/>
          <w:u w:val="singl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投标人代表（签字或印章）：</w:t>
      </w:r>
    </w:p>
    <w:p w14:paraId="6D1D8053">
      <w:pPr>
        <w:spacing w:line="380" w:lineRule="exact"/>
        <w:rPr>
          <w:rFonts w:asciiTheme="minorEastAsia" w:hAnsiTheme="minorEastAsia" w:eastAsiaTheme="minorEastAsia"/>
          <w:color w:val="000000" w:themeColor="text1"/>
          <w:sz w:val="22"/>
          <w:szCs w:val="22"/>
          <w:highlight w:val="none"/>
          <w:u w:val="single"/>
          <w14:textFill>
            <w14:solidFill>
              <w14:schemeClr w14:val="tx1"/>
            </w14:solidFill>
          </w14:textFill>
        </w:rPr>
      </w:pPr>
      <w:r>
        <w:rPr>
          <w:rFonts w:hint="eastAsia" w:asciiTheme="minorEastAsia" w:hAnsiTheme="minorEastAsia" w:eastAsiaTheme="minorEastAsia"/>
          <w:color w:val="000000" w:themeColor="text1"/>
          <w:sz w:val="22"/>
          <w:szCs w:val="22"/>
          <w:highlight w:val="none"/>
          <w14:textFill>
            <w14:solidFill>
              <w14:schemeClr w14:val="tx1"/>
            </w14:solidFill>
          </w14:textFill>
        </w:rPr>
        <w:t>日期：</w:t>
      </w:r>
    </w:p>
    <w:p w14:paraId="154139DE">
      <w:pPr>
        <w:spacing w:line="380" w:lineRule="exact"/>
        <w:rPr>
          <w:rFonts w:asciiTheme="minorEastAsia" w:hAnsiTheme="minorEastAsia" w:eastAsiaTheme="minorEastAsia"/>
          <w:color w:val="000000" w:themeColor="text1"/>
          <w:sz w:val="24"/>
          <w:highlight w:val="none"/>
          <w:u w:val="single"/>
          <w14:textFill>
            <w14:solidFill>
              <w14:schemeClr w14:val="tx1"/>
            </w14:solidFill>
          </w14:textFill>
        </w:rPr>
      </w:pPr>
    </w:p>
    <w:p w14:paraId="78B96EB0">
      <w:pPr>
        <w:pStyle w:val="2"/>
        <w:spacing w:line="380" w:lineRule="exact"/>
        <w:rPr>
          <w:rFonts w:asciiTheme="minorEastAsia" w:hAnsiTheme="minorEastAsia" w:eastAsiaTheme="minorEastAsia"/>
          <w:color w:val="000000" w:themeColor="text1"/>
          <w:sz w:val="24"/>
          <w:szCs w:val="24"/>
          <w:highlight w:val="none"/>
          <w14:textFill>
            <w14:solidFill>
              <w14:schemeClr w14:val="tx1"/>
            </w14:solidFill>
          </w14:textFill>
        </w:rPr>
      </w:pPr>
      <w:bookmarkStart w:id="184" w:name="_Toc136017666"/>
      <w:bookmarkStart w:id="185" w:name="_Toc10625"/>
      <w:bookmarkStart w:id="186" w:name="_Toc136345127"/>
      <w:r>
        <w:rPr>
          <w:rFonts w:hint="eastAsia" w:asciiTheme="minorEastAsia" w:hAnsiTheme="minorEastAsia" w:eastAsiaTheme="minorEastAsia"/>
          <w:color w:val="000000" w:themeColor="text1"/>
          <w:sz w:val="24"/>
          <w:szCs w:val="24"/>
          <w:highlight w:val="none"/>
          <w14:textFill>
            <w14:solidFill>
              <w14:schemeClr w14:val="tx1"/>
            </w14:solidFill>
          </w14:textFill>
        </w:rPr>
        <w:t>（七）第五部分“评标办法”中“评分标准”要求提供的资料（如有需提供）</w:t>
      </w:r>
      <w:bookmarkEnd w:id="184"/>
      <w:bookmarkEnd w:id="185"/>
      <w:bookmarkEnd w:id="186"/>
    </w:p>
    <w:p w14:paraId="478E31BA">
      <w:pPr>
        <w:jc w:val="center"/>
        <w:rPr>
          <w:rFonts w:asciiTheme="minorEastAsia" w:hAnsiTheme="minorEastAsia" w:eastAsiaTheme="minorEastAsia"/>
          <w:b/>
          <w:color w:val="000000" w:themeColor="text1"/>
          <w:sz w:val="24"/>
          <w:szCs w:val="24"/>
          <w:highlight w:val="none"/>
          <w14:textFill>
            <w14:solidFill>
              <w14:schemeClr w14:val="tx1"/>
            </w14:solidFill>
          </w14:textFill>
        </w:rPr>
      </w:pPr>
    </w:p>
    <w:p w14:paraId="241C35BB">
      <w:pPr>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1.1投标人自202</w:t>
      </w:r>
      <w:r>
        <w:rPr>
          <w:rFonts w:hint="eastAsia" w:ascii="宋体" w:hAnsi="宋体"/>
          <w:b/>
          <w:color w:val="000000" w:themeColor="text1"/>
          <w:sz w:val="24"/>
          <w:szCs w:val="24"/>
          <w:highlight w:val="none"/>
          <w:lang w:val="en-US" w:eastAsia="zh-CN"/>
          <w14:textFill>
            <w14:solidFill>
              <w14:schemeClr w14:val="tx1"/>
            </w14:solidFill>
          </w14:textFill>
        </w:rPr>
        <w:t>2</w:t>
      </w:r>
      <w:r>
        <w:rPr>
          <w:rFonts w:hint="eastAsia" w:ascii="宋体" w:hAnsi="宋体"/>
          <w:b/>
          <w:color w:val="000000" w:themeColor="text1"/>
          <w:sz w:val="24"/>
          <w:szCs w:val="24"/>
          <w:highlight w:val="none"/>
          <w14:textFill>
            <w14:solidFill>
              <w14:schemeClr w14:val="tx1"/>
            </w14:solidFill>
          </w14:textFill>
        </w:rPr>
        <w:t>年1月1日以来类似项目业绩汇总表</w:t>
      </w:r>
    </w:p>
    <w:tbl>
      <w:tblPr>
        <w:tblStyle w:val="35"/>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268"/>
        <w:gridCol w:w="2268"/>
        <w:gridCol w:w="2977"/>
      </w:tblGrid>
      <w:tr w14:paraId="0959E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42" w:type="dxa"/>
            <w:vAlign w:val="center"/>
          </w:tcPr>
          <w:p w14:paraId="6A13DBC7">
            <w:pPr>
              <w:pStyle w:val="122"/>
              <w:jc w:val="center"/>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项目序号</w:t>
            </w:r>
          </w:p>
        </w:tc>
        <w:tc>
          <w:tcPr>
            <w:tcW w:w="2268" w:type="dxa"/>
            <w:vAlign w:val="center"/>
          </w:tcPr>
          <w:p w14:paraId="1E80452C">
            <w:pPr>
              <w:pStyle w:val="122"/>
              <w:jc w:val="center"/>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项目名称</w:t>
            </w:r>
          </w:p>
        </w:tc>
        <w:tc>
          <w:tcPr>
            <w:tcW w:w="2268" w:type="dxa"/>
            <w:vAlign w:val="center"/>
          </w:tcPr>
          <w:p w14:paraId="0CDA329F">
            <w:pPr>
              <w:pStyle w:val="122"/>
              <w:jc w:val="center"/>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发包人名称</w:t>
            </w:r>
          </w:p>
        </w:tc>
        <w:tc>
          <w:tcPr>
            <w:tcW w:w="2977" w:type="dxa"/>
            <w:vAlign w:val="center"/>
          </w:tcPr>
          <w:p w14:paraId="63A3C320">
            <w:pPr>
              <w:pStyle w:val="122"/>
              <w:jc w:val="center"/>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服务开始和完成日期</w:t>
            </w:r>
          </w:p>
        </w:tc>
      </w:tr>
      <w:tr w14:paraId="333E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242" w:type="dxa"/>
            <w:vAlign w:val="center"/>
          </w:tcPr>
          <w:p w14:paraId="2805BBBD">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252D467B">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24E9CED3">
            <w:pPr>
              <w:pStyle w:val="122"/>
              <w:jc w:val="center"/>
              <w:rPr>
                <w:bCs w:val="0"/>
                <w:color w:val="000000" w:themeColor="text1"/>
                <w:sz w:val="24"/>
                <w:szCs w:val="24"/>
                <w:highlight w:val="none"/>
                <w:lang w:val="en-US"/>
                <w14:textFill>
                  <w14:solidFill>
                    <w14:schemeClr w14:val="tx1"/>
                  </w14:solidFill>
                </w14:textFill>
              </w:rPr>
            </w:pPr>
          </w:p>
        </w:tc>
        <w:tc>
          <w:tcPr>
            <w:tcW w:w="2977" w:type="dxa"/>
            <w:vAlign w:val="center"/>
          </w:tcPr>
          <w:p w14:paraId="34FAE36B">
            <w:pPr>
              <w:pStyle w:val="122"/>
              <w:jc w:val="center"/>
              <w:rPr>
                <w:bCs w:val="0"/>
                <w:color w:val="000000" w:themeColor="text1"/>
                <w:sz w:val="24"/>
                <w:szCs w:val="24"/>
                <w:highlight w:val="none"/>
                <w:lang w:val="en-US"/>
                <w14:textFill>
                  <w14:solidFill>
                    <w14:schemeClr w14:val="tx1"/>
                  </w14:solidFill>
                </w14:textFill>
              </w:rPr>
            </w:pPr>
          </w:p>
        </w:tc>
      </w:tr>
      <w:tr w14:paraId="4CEB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242" w:type="dxa"/>
            <w:vAlign w:val="center"/>
          </w:tcPr>
          <w:p w14:paraId="1FC3A5F1">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1262C216">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04516DEF">
            <w:pPr>
              <w:pStyle w:val="122"/>
              <w:jc w:val="center"/>
              <w:rPr>
                <w:bCs w:val="0"/>
                <w:color w:val="000000" w:themeColor="text1"/>
                <w:sz w:val="24"/>
                <w:szCs w:val="24"/>
                <w:highlight w:val="none"/>
                <w:lang w:val="en-US"/>
                <w14:textFill>
                  <w14:solidFill>
                    <w14:schemeClr w14:val="tx1"/>
                  </w14:solidFill>
                </w14:textFill>
              </w:rPr>
            </w:pPr>
          </w:p>
        </w:tc>
        <w:tc>
          <w:tcPr>
            <w:tcW w:w="2977" w:type="dxa"/>
            <w:vAlign w:val="center"/>
          </w:tcPr>
          <w:p w14:paraId="273B0EC5">
            <w:pPr>
              <w:pStyle w:val="122"/>
              <w:jc w:val="center"/>
              <w:rPr>
                <w:bCs w:val="0"/>
                <w:color w:val="000000" w:themeColor="text1"/>
                <w:sz w:val="24"/>
                <w:szCs w:val="24"/>
                <w:highlight w:val="none"/>
                <w:lang w:val="en-US"/>
                <w14:textFill>
                  <w14:solidFill>
                    <w14:schemeClr w14:val="tx1"/>
                  </w14:solidFill>
                </w14:textFill>
              </w:rPr>
            </w:pPr>
          </w:p>
        </w:tc>
      </w:tr>
      <w:tr w14:paraId="5080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242" w:type="dxa"/>
            <w:vAlign w:val="center"/>
          </w:tcPr>
          <w:p w14:paraId="78562828">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0FAD9999">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41AE5823">
            <w:pPr>
              <w:pStyle w:val="122"/>
              <w:jc w:val="center"/>
              <w:rPr>
                <w:bCs w:val="0"/>
                <w:color w:val="000000" w:themeColor="text1"/>
                <w:sz w:val="24"/>
                <w:szCs w:val="24"/>
                <w:highlight w:val="none"/>
                <w:lang w:val="en-US"/>
                <w14:textFill>
                  <w14:solidFill>
                    <w14:schemeClr w14:val="tx1"/>
                  </w14:solidFill>
                </w14:textFill>
              </w:rPr>
            </w:pPr>
          </w:p>
        </w:tc>
        <w:tc>
          <w:tcPr>
            <w:tcW w:w="2977" w:type="dxa"/>
            <w:vAlign w:val="center"/>
          </w:tcPr>
          <w:p w14:paraId="280EEF01">
            <w:pPr>
              <w:pStyle w:val="122"/>
              <w:jc w:val="center"/>
              <w:rPr>
                <w:bCs w:val="0"/>
                <w:color w:val="000000" w:themeColor="text1"/>
                <w:sz w:val="24"/>
                <w:szCs w:val="24"/>
                <w:highlight w:val="none"/>
                <w:lang w:val="en-US"/>
                <w14:textFill>
                  <w14:solidFill>
                    <w14:schemeClr w14:val="tx1"/>
                  </w14:solidFill>
                </w14:textFill>
              </w:rPr>
            </w:pPr>
          </w:p>
        </w:tc>
      </w:tr>
      <w:tr w14:paraId="2D23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242" w:type="dxa"/>
            <w:vAlign w:val="center"/>
          </w:tcPr>
          <w:p w14:paraId="5558198D">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3465AE65">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72546CF9">
            <w:pPr>
              <w:pStyle w:val="122"/>
              <w:jc w:val="center"/>
              <w:rPr>
                <w:bCs w:val="0"/>
                <w:color w:val="000000" w:themeColor="text1"/>
                <w:sz w:val="24"/>
                <w:szCs w:val="24"/>
                <w:highlight w:val="none"/>
                <w:lang w:val="en-US"/>
                <w14:textFill>
                  <w14:solidFill>
                    <w14:schemeClr w14:val="tx1"/>
                  </w14:solidFill>
                </w14:textFill>
              </w:rPr>
            </w:pPr>
          </w:p>
        </w:tc>
        <w:tc>
          <w:tcPr>
            <w:tcW w:w="2977" w:type="dxa"/>
            <w:vAlign w:val="center"/>
          </w:tcPr>
          <w:p w14:paraId="0593934C">
            <w:pPr>
              <w:pStyle w:val="122"/>
              <w:jc w:val="center"/>
              <w:rPr>
                <w:bCs w:val="0"/>
                <w:color w:val="000000" w:themeColor="text1"/>
                <w:sz w:val="24"/>
                <w:szCs w:val="24"/>
                <w:highlight w:val="none"/>
                <w:lang w:val="en-US"/>
                <w14:textFill>
                  <w14:solidFill>
                    <w14:schemeClr w14:val="tx1"/>
                  </w14:solidFill>
                </w14:textFill>
              </w:rPr>
            </w:pPr>
          </w:p>
        </w:tc>
      </w:tr>
      <w:tr w14:paraId="160D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242" w:type="dxa"/>
            <w:vAlign w:val="center"/>
          </w:tcPr>
          <w:p w14:paraId="19D90D8C">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20DA226E">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7F52FD4C">
            <w:pPr>
              <w:pStyle w:val="122"/>
              <w:jc w:val="center"/>
              <w:rPr>
                <w:bCs w:val="0"/>
                <w:color w:val="000000" w:themeColor="text1"/>
                <w:sz w:val="24"/>
                <w:szCs w:val="24"/>
                <w:highlight w:val="none"/>
                <w:lang w:val="en-US"/>
                <w14:textFill>
                  <w14:solidFill>
                    <w14:schemeClr w14:val="tx1"/>
                  </w14:solidFill>
                </w14:textFill>
              </w:rPr>
            </w:pPr>
          </w:p>
        </w:tc>
        <w:tc>
          <w:tcPr>
            <w:tcW w:w="2977" w:type="dxa"/>
            <w:vAlign w:val="center"/>
          </w:tcPr>
          <w:p w14:paraId="4DB1C8F9">
            <w:pPr>
              <w:pStyle w:val="122"/>
              <w:jc w:val="center"/>
              <w:rPr>
                <w:bCs w:val="0"/>
                <w:color w:val="000000" w:themeColor="text1"/>
                <w:sz w:val="24"/>
                <w:szCs w:val="24"/>
                <w:highlight w:val="none"/>
                <w:lang w:val="en-US"/>
                <w14:textFill>
                  <w14:solidFill>
                    <w14:schemeClr w14:val="tx1"/>
                  </w14:solidFill>
                </w14:textFill>
              </w:rPr>
            </w:pPr>
          </w:p>
        </w:tc>
      </w:tr>
      <w:tr w14:paraId="1BA4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242" w:type="dxa"/>
            <w:vAlign w:val="center"/>
          </w:tcPr>
          <w:p w14:paraId="3E8CEA66">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1F0D82CF">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158F82CF">
            <w:pPr>
              <w:pStyle w:val="122"/>
              <w:jc w:val="center"/>
              <w:rPr>
                <w:bCs w:val="0"/>
                <w:color w:val="000000" w:themeColor="text1"/>
                <w:sz w:val="24"/>
                <w:szCs w:val="24"/>
                <w:highlight w:val="none"/>
                <w:lang w:val="en-US"/>
                <w14:textFill>
                  <w14:solidFill>
                    <w14:schemeClr w14:val="tx1"/>
                  </w14:solidFill>
                </w14:textFill>
              </w:rPr>
            </w:pPr>
          </w:p>
        </w:tc>
        <w:tc>
          <w:tcPr>
            <w:tcW w:w="2977" w:type="dxa"/>
            <w:vAlign w:val="center"/>
          </w:tcPr>
          <w:p w14:paraId="41C158BA">
            <w:pPr>
              <w:pStyle w:val="122"/>
              <w:jc w:val="center"/>
              <w:rPr>
                <w:bCs w:val="0"/>
                <w:color w:val="000000" w:themeColor="text1"/>
                <w:sz w:val="24"/>
                <w:szCs w:val="24"/>
                <w:highlight w:val="none"/>
                <w:lang w:val="en-US"/>
                <w14:textFill>
                  <w14:solidFill>
                    <w14:schemeClr w14:val="tx1"/>
                  </w14:solidFill>
                </w14:textFill>
              </w:rPr>
            </w:pPr>
          </w:p>
        </w:tc>
      </w:tr>
      <w:tr w14:paraId="115C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242" w:type="dxa"/>
            <w:vAlign w:val="center"/>
          </w:tcPr>
          <w:p w14:paraId="15A465DB">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3F9B907A">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4384C725">
            <w:pPr>
              <w:pStyle w:val="122"/>
              <w:jc w:val="center"/>
              <w:rPr>
                <w:bCs w:val="0"/>
                <w:color w:val="000000" w:themeColor="text1"/>
                <w:sz w:val="24"/>
                <w:szCs w:val="24"/>
                <w:highlight w:val="none"/>
                <w:lang w:val="en-US"/>
                <w14:textFill>
                  <w14:solidFill>
                    <w14:schemeClr w14:val="tx1"/>
                  </w14:solidFill>
                </w14:textFill>
              </w:rPr>
            </w:pPr>
          </w:p>
        </w:tc>
        <w:tc>
          <w:tcPr>
            <w:tcW w:w="2977" w:type="dxa"/>
            <w:vAlign w:val="center"/>
          </w:tcPr>
          <w:p w14:paraId="12C9C97B">
            <w:pPr>
              <w:pStyle w:val="122"/>
              <w:jc w:val="center"/>
              <w:rPr>
                <w:bCs w:val="0"/>
                <w:color w:val="000000" w:themeColor="text1"/>
                <w:sz w:val="24"/>
                <w:szCs w:val="24"/>
                <w:highlight w:val="none"/>
                <w:lang w:val="en-US"/>
                <w14:textFill>
                  <w14:solidFill>
                    <w14:schemeClr w14:val="tx1"/>
                  </w14:solidFill>
                </w14:textFill>
              </w:rPr>
            </w:pPr>
          </w:p>
        </w:tc>
      </w:tr>
      <w:tr w14:paraId="6CDA9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242" w:type="dxa"/>
            <w:vAlign w:val="center"/>
          </w:tcPr>
          <w:p w14:paraId="70618CDA">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0671E554">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204A35FC">
            <w:pPr>
              <w:pStyle w:val="122"/>
              <w:jc w:val="center"/>
              <w:rPr>
                <w:bCs w:val="0"/>
                <w:color w:val="000000" w:themeColor="text1"/>
                <w:sz w:val="24"/>
                <w:szCs w:val="24"/>
                <w:highlight w:val="none"/>
                <w:lang w:val="en-US"/>
                <w14:textFill>
                  <w14:solidFill>
                    <w14:schemeClr w14:val="tx1"/>
                  </w14:solidFill>
                </w14:textFill>
              </w:rPr>
            </w:pPr>
          </w:p>
        </w:tc>
        <w:tc>
          <w:tcPr>
            <w:tcW w:w="2977" w:type="dxa"/>
            <w:vAlign w:val="center"/>
          </w:tcPr>
          <w:p w14:paraId="7DB1D312">
            <w:pPr>
              <w:pStyle w:val="122"/>
              <w:jc w:val="center"/>
              <w:rPr>
                <w:bCs w:val="0"/>
                <w:color w:val="000000" w:themeColor="text1"/>
                <w:sz w:val="24"/>
                <w:szCs w:val="24"/>
                <w:highlight w:val="none"/>
                <w:lang w:val="en-US"/>
                <w14:textFill>
                  <w14:solidFill>
                    <w14:schemeClr w14:val="tx1"/>
                  </w14:solidFill>
                </w14:textFill>
              </w:rPr>
            </w:pPr>
          </w:p>
        </w:tc>
      </w:tr>
      <w:tr w14:paraId="18A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1242" w:type="dxa"/>
            <w:vAlign w:val="center"/>
          </w:tcPr>
          <w:p w14:paraId="28221E8E">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0B973823">
            <w:pPr>
              <w:pStyle w:val="122"/>
              <w:jc w:val="center"/>
              <w:rPr>
                <w:bCs w:val="0"/>
                <w:color w:val="000000" w:themeColor="text1"/>
                <w:sz w:val="24"/>
                <w:szCs w:val="24"/>
                <w:highlight w:val="none"/>
                <w:lang w:val="en-US"/>
                <w14:textFill>
                  <w14:solidFill>
                    <w14:schemeClr w14:val="tx1"/>
                  </w14:solidFill>
                </w14:textFill>
              </w:rPr>
            </w:pPr>
          </w:p>
        </w:tc>
        <w:tc>
          <w:tcPr>
            <w:tcW w:w="2268" w:type="dxa"/>
            <w:vAlign w:val="center"/>
          </w:tcPr>
          <w:p w14:paraId="264F1746">
            <w:pPr>
              <w:pStyle w:val="122"/>
              <w:jc w:val="center"/>
              <w:rPr>
                <w:bCs w:val="0"/>
                <w:color w:val="000000" w:themeColor="text1"/>
                <w:sz w:val="24"/>
                <w:szCs w:val="24"/>
                <w:highlight w:val="none"/>
                <w:lang w:val="en-US"/>
                <w14:textFill>
                  <w14:solidFill>
                    <w14:schemeClr w14:val="tx1"/>
                  </w14:solidFill>
                </w14:textFill>
              </w:rPr>
            </w:pPr>
          </w:p>
        </w:tc>
        <w:tc>
          <w:tcPr>
            <w:tcW w:w="2977" w:type="dxa"/>
            <w:vAlign w:val="center"/>
          </w:tcPr>
          <w:p w14:paraId="69944A61">
            <w:pPr>
              <w:pStyle w:val="122"/>
              <w:jc w:val="center"/>
              <w:rPr>
                <w:bCs w:val="0"/>
                <w:color w:val="000000" w:themeColor="text1"/>
                <w:sz w:val="24"/>
                <w:szCs w:val="24"/>
                <w:highlight w:val="none"/>
                <w:lang w:val="en-US"/>
                <w14:textFill>
                  <w14:solidFill>
                    <w14:schemeClr w14:val="tx1"/>
                  </w14:solidFill>
                </w14:textFill>
              </w:rPr>
            </w:pPr>
          </w:p>
        </w:tc>
      </w:tr>
    </w:tbl>
    <w:p w14:paraId="639239BC">
      <w:pPr>
        <w:spacing w:line="380" w:lineRule="exact"/>
        <w:rPr>
          <w:rFonts w:ascii="宋体" w:hAnsi="宋体"/>
          <w:color w:val="000000" w:themeColor="text1"/>
          <w:sz w:val="22"/>
          <w:szCs w:val="22"/>
          <w:highlight w:val="non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投标人（公章）：</w:t>
      </w:r>
    </w:p>
    <w:p w14:paraId="0C32E1E7">
      <w:pPr>
        <w:spacing w:line="380" w:lineRule="exact"/>
        <w:rPr>
          <w:rFonts w:ascii="宋体" w:hAnsi="宋体"/>
          <w:color w:val="000000" w:themeColor="text1"/>
          <w:sz w:val="22"/>
          <w:szCs w:val="22"/>
          <w:highlight w:val="none"/>
          <w:u w:val="singl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投标人代表（签字或印章）：</w:t>
      </w:r>
    </w:p>
    <w:p w14:paraId="3ECB0842">
      <w:pPr>
        <w:spacing w:line="380" w:lineRule="exact"/>
        <w:rPr>
          <w:rFonts w:ascii="宋体" w:hAnsi="宋体"/>
          <w:color w:val="000000" w:themeColor="text1"/>
          <w:sz w:val="22"/>
          <w:szCs w:val="22"/>
          <w:highlight w:val="none"/>
          <w:u w:val="single"/>
          <w14:textFill>
            <w14:solidFill>
              <w14:schemeClr w14:val="tx1"/>
            </w14:solidFill>
          </w14:textFill>
        </w:rPr>
      </w:pPr>
      <w:r>
        <w:rPr>
          <w:rFonts w:hint="eastAsia" w:ascii="宋体"/>
          <w:color w:val="000000" w:themeColor="text1"/>
          <w:sz w:val="22"/>
          <w:szCs w:val="22"/>
          <w:highlight w:val="none"/>
          <w14:textFill>
            <w14:solidFill>
              <w14:schemeClr w14:val="tx1"/>
            </w14:solidFill>
          </w14:textFill>
        </w:rPr>
        <w:t>日期：</w:t>
      </w:r>
    </w:p>
    <w:p w14:paraId="22F4A16E">
      <w:pPr>
        <w:spacing w:after="120" w:afterLines="50"/>
        <w:jc w:val="center"/>
        <w:rPr>
          <w:rFonts w:ascii="宋体"/>
          <w:b/>
          <w:color w:val="000000" w:themeColor="text1"/>
          <w:sz w:val="24"/>
          <w:szCs w:val="24"/>
          <w:highlight w:val="none"/>
          <w14:textFill>
            <w14:solidFill>
              <w14:schemeClr w14:val="tx1"/>
            </w14:solidFill>
          </w14:textFill>
        </w:rPr>
      </w:pPr>
      <w:r>
        <w:rPr>
          <w:rFonts w:ascii="宋体" w:hAnsi="宋体"/>
          <w:b/>
          <w:color w:val="000000" w:themeColor="text1"/>
          <w:sz w:val="24"/>
          <w:szCs w:val="24"/>
          <w:highlight w:val="none"/>
          <w14:textFill>
            <w14:solidFill>
              <w14:schemeClr w14:val="tx1"/>
            </w14:solidFill>
          </w14:textFill>
        </w:rPr>
        <w:br w:type="page"/>
      </w:r>
      <w:r>
        <w:rPr>
          <w:rFonts w:hint="eastAsia" w:ascii="宋体" w:hAnsi="宋体"/>
          <w:b/>
          <w:color w:val="000000" w:themeColor="text1"/>
          <w:sz w:val="24"/>
          <w:szCs w:val="24"/>
          <w:highlight w:val="none"/>
          <w14:textFill>
            <w14:solidFill>
              <w14:schemeClr w14:val="tx1"/>
            </w14:solidFill>
          </w14:textFill>
        </w:rPr>
        <w:t>1.2投标人自202</w:t>
      </w:r>
      <w:r>
        <w:rPr>
          <w:rFonts w:hint="eastAsia" w:ascii="宋体" w:hAnsi="宋体"/>
          <w:b/>
          <w:color w:val="000000" w:themeColor="text1"/>
          <w:sz w:val="24"/>
          <w:szCs w:val="24"/>
          <w:highlight w:val="none"/>
          <w:lang w:val="en-US" w:eastAsia="zh-CN"/>
          <w14:textFill>
            <w14:solidFill>
              <w14:schemeClr w14:val="tx1"/>
            </w14:solidFill>
          </w14:textFill>
        </w:rPr>
        <w:t>2</w:t>
      </w:r>
      <w:r>
        <w:rPr>
          <w:rFonts w:hint="eastAsia" w:ascii="宋体" w:hAnsi="宋体"/>
          <w:b/>
          <w:color w:val="000000" w:themeColor="text1"/>
          <w:sz w:val="24"/>
          <w:szCs w:val="24"/>
          <w:highlight w:val="none"/>
          <w14:textFill>
            <w14:solidFill>
              <w14:schemeClr w14:val="tx1"/>
            </w14:solidFill>
          </w14:textFill>
        </w:rPr>
        <w:t>年1月1日以来类似项目业绩详细情况表</w:t>
      </w:r>
    </w:p>
    <w:p w14:paraId="6BAB0CA5">
      <w:pPr>
        <w:spacing w:after="120" w:afterLines="50"/>
        <w:jc w:val="left"/>
        <w:rPr>
          <w:rFonts w:asci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项目序号：</w:t>
      </w:r>
    </w:p>
    <w:tbl>
      <w:tblPr>
        <w:tblStyle w:val="35"/>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3"/>
        <w:gridCol w:w="6086"/>
      </w:tblGrid>
      <w:tr w14:paraId="4EE59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713" w:type="dxa"/>
            <w:vAlign w:val="center"/>
          </w:tcPr>
          <w:p w14:paraId="5124926F">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项目名称</w:t>
            </w:r>
          </w:p>
        </w:tc>
        <w:tc>
          <w:tcPr>
            <w:tcW w:w="6086" w:type="dxa"/>
          </w:tcPr>
          <w:p w14:paraId="1CFF25CC">
            <w:pPr>
              <w:pStyle w:val="122"/>
              <w:spacing w:line="360" w:lineRule="auto"/>
              <w:rPr>
                <w:bCs w:val="0"/>
                <w:color w:val="000000" w:themeColor="text1"/>
                <w:sz w:val="24"/>
                <w:szCs w:val="24"/>
                <w:highlight w:val="none"/>
                <w:lang w:val="en-US"/>
                <w14:textFill>
                  <w14:solidFill>
                    <w14:schemeClr w14:val="tx1"/>
                  </w14:solidFill>
                </w14:textFill>
              </w:rPr>
            </w:pPr>
          </w:p>
        </w:tc>
      </w:tr>
      <w:tr w14:paraId="66C4A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713" w:type="dxa"/>
            <w:vAlign w:val="center"/>
          </w:tcPr>
          <w:p w14:paraId="10BBB2AE">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项目所在地</w:t>
            </w:r>
          </w:p>
        </w:tc>
        <w:tc>
          <w:tcPr>
            <w:tcW w:w="6086" w:type="dxa"/>
          </w:tcPr>
          <w:p w14:paraId="6CCD2EA7">
            <w:pPr>
              <w:pStyle w:val="122"/>
              <w:spacing w:line="360" w:lineRule="auto"/>
              <w:rPr>
                <w:bCs w:val="0"/>
                <w:color w:val="000000" w:themeColor="text1"/>
                <w:sz w:val="24"/>
                <w:szCs w:val="24"/>
                <w:highlight w:val="none"/>
                <w:lang w:val="en-US"/>
                <w14:textFill>
                  <w14:solidFill>
                    <w14:schemeClr w14:val="tx1"/>
                  </w14:solidFill>
                </w14:textFill>
              </w:rPr>
            </w:pPr>
          </w:p>
        </w:tc>
      </w:tr>
      <w:tr w14:paraId="76B03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713" w:type="dxa"/>
            <w:vAlign w:val="center"/>
          </w:tcPr>
          <w:p w14:paraId="0912A5FE">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发包人名称</w:t>
            </w:r>
          </w:p>
        </w:tc>
        <w:tc>
          <w:tcPr>
            <w:tcW w:w="6086" w:type="dxa"/>
          </w:tcPr>
          <w:p w14:paraId="67DBC4E2">
            <w:pPr>
              <w:pStyle w:val="122"/>
              <w:spacing w:line="360" w:lineRule="auto"/>
              <w:rPr>
                <w:bCs w:val="0"/>
                <w:color w:val="000000" w:themeColor="text1"/>
                <w:sz w:val="24"/>
                <w:szCs w:val="24"/>
                <w:highlight w:val="none"/>
                <w:lang w:val="en-US"/>
                <w14:textFill>
                  <w14:solidFill>
                    <w14:schemeClr w14:val="tx1"/>
                  </w14:solidFill>
                </w14:textFill>
              </w:rPr>
            </w:pPr>
          </w:p>
        </w:tc>
      </w:tr>
      <w:tr w14:paraId="6FFB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713" w:type="dxa"/>
            <w:vAlign w:val="center"/>
          </w:tcPr>
          <w:p w14:paraId="3AFACC35">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发包人地址</w:t>
            </w:r>
          </w:p>
        </w:tc>
        <w:tc>
          <w:tcPr>
            <w:tcW w:w="6086" w:type="dxa"/>
          </w:tcPr>
          <w:p w14:paraId="04F92587">
            <w:pPr>
              <w:pStyle w:val="122"/>
              <w:spacing w:line="360" w:lineRule="auto"/>
              <w:rPr>
                <w:bCs w:val="0"/>
                <w:color w:val="000000" w:themeColor="text1"/>
                <w:sz w:val="24"/>
                <w:szCs w:val="24"/>
                <w:highlight w:val="none"/>
                <w:lang w:val="en-US"/>
                <w14:textFill>
                  <w14:solidFill>
                    <w14:schemeClr w14:val="tx1"/>
                  </w14:solidFill>
                </w14:textFill>
              </w:rPr>
            </w:pPr>
          </w:p>
        </w:tc>
      </w:tr>
      <w:tr w14:paraId="552F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713" w:type="dxa"/>
            <w:vAlign w:val="center"/>
          </w:tcPr>
          <w:p w14:paraId="352BC1BE">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发包人电话</w:t>
            </w:r>
          </w:p>
        </w:tc>
        <w:tc>
          <w:tcPr>
            <w:tcW w:w="6086" w:type="dxa"/>
          </w:tcPr>
          <w:p w14:paraId="73707859">
            <w:pPr>
              <w:pStyle w:val="122"/>
              <w:spacing w:line="360" w:lineRule="auto"/>
              <w:rPr>
                <w:bCs w:val="0"/>
                <w:color w:val="000000" w:themeColor="text1"/>
                <w:sz w:val="24"/>
                <w:szCs w:val="24"/>
                <w:highlight w:val="none"/>
                <w:lang w:val="en-US"/>
                <w14:textFill>
                  <w14:solidFill>
                    <w14:schemeClr w14:val="tx1"/>
                  </w14:solidFill>
                </w14:textFill>
              </w:rPr>
            </w:pPr>
          </w:p>
        </w:tc>
      </w:tr>
      <w:tr w14:paraId="6AA5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713" w:type="dxa"/>
            <w:vAlign w:val="center"/>
          </w:tcPr>
          <w:p w14:paraId="21B1CDBC">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主要服务内容</w:t>
            </w:r>
          </w:p>
        </w:tc>
        <w:tc>
          <w:tcPr>
            <w:tcW w:w="6086" w:type="dxa"/>
          </w:tcPr>
          <w:p w14:paraId="01DD189A">
            <w:pPr>
              <w:pStyle w:val="122"/>
              <w:spacing w:line="360" w:lineRule="auto"/>
              <w:rPr>
                <w:bCs w:val="0"/>
                <w:color w:val="000000" w:themeColor="text1"/>
                <w:sz w:val="24"/>
                <w:szCs w:val="24"/>
                <w:highlight w:val="none"/>
                <w:lang w:val="en-US"/>
                <w14:textFill>
                  <w14:solidFill>
                    <w14:schemeClr w14:val="tx1"/>
                  </w14:solidFill>
                </w14:textFill>
              </w:rPr>
            </w:pPr>
          </w:p>
        </w:tc>
      </w:tr>
      <w:tr w14:paraId="2AB8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2713" w:type="dxa"/>
            <w:vAlign w:val="center"/>
          </w:tcPr>
          <w:p w14:paraId="30AE366C">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项目金额</w:t>
            </w:r>
          </w:p>
        </w:tc>
        <w:tc>
          <w:tcPr>
            <w:tcW w:w="6086" w:type="dxa"/>
          </w:tcPr>
          <w:p w14:paraId="66A23C39">
            <w:pPr>
              <w:pStyle w:val="122"/>
              <w:spacing w:line="360" w:lineRule="auto"/>
              <w:rPr>
                <w:bCs w:val="0"/>
                <w:color w:val="000000" w:themeColor="text1"/>
                <w:sz w:val="24"/>
                <w:szCs w:val="24"/>
                <w:highlight w:val="none"/>
                <w:lang w:val="en-US"/>
                <w14:textFill>
                  <w14:solidFill>
                    <w14:schemeClr w14:val="tx1"/>
                  </w14:solidFill>
                </w14:textFill>
              </w:rPr>
            </w:pPr>
          </w:p>
        </w:tc>
      </w:tr>
      <w:tr w14:paraId="5A05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713" w:type="dxa"/>
            <w:vAlign w:val="center"/>
          </w:tcPr>
          <w:p w14:paraId="02CF1D91">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执行总编辑</w:t>
            </w:r>
          </w:p>
        </w:tc>
        <w:tc>
          <w:tcPr>
            <w:tcW w:w="6086" w:type="dxa"/>
          </w:tcPr>
          <w:p w14:paraId="2E1D7CB4">
            <w:pPr>
              <w:pStyle w:val="122"/>
              <w:spacing w:line="360" w:lineRule="auto"/>
              <w:rPr>
                <w:bCs w:val="0"/>
                <w:color w:val="000000" w:themeColor="text1"/>
                <w:sz w:val="24"/>
                <w:szCs w:val="24"/>
                <w:highlight w:val="none"/>
                <w:lang w:val="en-US"/>
                <w14:textFill>
                  <w14:solidFill>
                    <w14:schemeClr w14:val="tx1"/>
                  </w14:solidFill>
                </w14:textFill>
              </w:rPr>
            </w:pPr>
          </w:p>
        </w:tc>
      </w:tr>
      <w:tr w14:paraId="1AED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713" w:type="dxa"/>
            <w:vAlign w:val="center"/>
          </w:tcPr>
          <w:p w14:paraId="7BD5CFE7">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执行主编</w:t>
            </w:r>
          </w:p>
        </w:tc>
        <w:tc>
          <w:tcPr>
            <w:tcW w:w="6086" w:type="dxa"/>
          </w:tcPr>
          <w:p w14:paraId="7C633573">
            <w:pPr>
              <w:pStyle w:val="122"/>
              <w:spacing w:line="360" w:lineRule="auto"/>
              <w:rPr>
                <w:bCs w:val="0"/>
                <w:color w:val="000000" w:themeColor="text1"/>
                <w:sz w:val="24"/>
                <w:szCs w:val="24"/>
                <w:highlight w:val="none"/>
                <w:lang w:val="en-US"/>
                <w14:textFill>
                  <w14:solidFill>
                    <w14:schemeClr w14:val="tx1"/>
                  </w14:solidFill>
                </w14:textFill>
              </w:rPr>
            </w:pPr>
          </w:p>
        </w:tc>
      </w:tr>
      <w:tr w14:paraId="666A5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713" w:type="dxa"/>
            <w:vAlign w:val="center"/>
          </w:tcPr>
          <w:p w14:paraId="2267E1C4">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服务开始和完成时间</w:t>
            </w:r>
          </w:p>
        </w:tc>
        <w:tc>
          <w:tcPr>
            <w:tcW w:w="6086" w:type="dxa"/>
          </w:tcPr>
          <w:p w14:paraId="0608E92E">
            <w:pPr>
              <w:pStyle w:val="122"/>
              <w:spacing w:line="360" w:lineRule="auto"/>
              <w:rPr>
                <w:bCs w:val="0"/>
                <w:color w:val="000000" w:themeColor="text1"/>
                <w:sz w:val="24"/>
                <w:szCs w:val="24"/>
                <w:highlight w:val="none"/>
                <w:lang w:val="en-US"/>
                <w14:textFill>
                  <w14:solidFill>
                    <w14:schemeClr w14:val="tx1"/>
                  </w14:solidFill>
                </w14:textFill>
              </w:rPr>
            </w:pPr>
          </w:p>
        </w:tc>
      </w:tr>
      <w:tr w14:paraId="79CC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713" w:type="dxa"/>
            <w:vAlign w:val="center"/>
          </w:tcPr>
          <w:p w14:paraId="759B2E73">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服务完成情况</w:t>
            </w:r>
          </w:p>
        </w:tc>
        <w:tc>
          <w:tcPr>
            <w:tcW w:w="6086" w:type="dxa"/>
          </w:tcPr>
          <w:p w14:paraId="0DDBC633">
            <w:pPr>
              <w:pStyle w:val="122"/>
              <w:spacing w:line="360" w:lineRule="auto"/>
              <w:rPr>
                <w:bCs w:val="0"/>
                <w:color w:val="000000" w:themeColor="text1"/>
                <w:sz w:val="24"/>
                <w:szCs w:val="24"/>
                <w:highlight w:val="none"/>
                <w:lang w:val="en-US"/>
                <w14:textFill>
                  <w14:solidFill>
                    <w14:schemeClr w14:val="tx1"/>
                  </w14:solidFill>
                </w14:textFill>
              </w:rPr>
            </w:pPr>
          </w:p>
        </w:tc>
      </w:tr>
      <w:tr w14:paraId="5802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2713" w:type="dxa"/>
            <w:vAlign w:val="center"/>
          </w:tcPr>
          <w:p w14:paraId="2589CB64">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备注</w:t>
            </w:r>
          </w:p>
        </w:tc>
        <w:tc>
          <w:tcPr>
            <w:tcW w:w="6086" w:type="dxa"/>
          </w:tcPr>
          <w:p w14:paraId="5D321827">
            <w:pPr>
              <w:pStyle w:val="122"/>
              <w:spacing w:line="360" w:lineRule="auto"/>
              <w:rPr>
                <w:bCs w:val="0"/>
                <w:color w:val="000000" w:themeColor="text1"/>
                <w:sz w:val="24"/>
                <w:szCs w:val="24"/>
                <w:highlight w:val="none"/>
                <w:lang w:val="en-US"/>
                <w14:textFill>
                  <w14:solidFill>
                    <w14:schemeClr w14:val="tx1"/>
                  </w14:solidFill>
                </w14:textFill>
              </w:rPr>
            </w:pPr>
          </w:p>
        </w:tc>
      </w:tr>
    </w:tbl>
    <w:p w14:paraId="47F345CE">
      <w:pPr>
        <w:pStyle w:val="124"/>
        <w:spacing w:line="240" w:lineRule="atLeast"/>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注：</w:t>
      </w:r>
      <w:r>
        <w:rPr>
          <w:rFonts w:hint="eastAsia"/>
          <w:color w:val="000000" w:themeColor="text1"/>
          <w:spacing w:val="0"/>
          <w:kern w:val="2"/>
          <w:sz w:val="24"/>
          <w:szCs w:val="24"/>
          <w:highlight w:val="none"/>
          <w:lang w:val="en-US"/>
          <w14:textFill>
            <w14:solidFill>
              <w14:schemeClr w14:val="tx1"/>
            </w14:solidFill>
          </w14:textFill>
        </w:rPr>
        <w:t>本表应与表1.1“</w:t>
      </w:r>
      <w:r>
        <w:rPr>
          <w:rFonts w:hint="eastAsia"/>
          <w:b/>
          <w:color w:val="000000" w:themeColor="text1"/>
          <w:sz w:val="24"/>
          <w:szCs w:val="24"/>
          <w:highlight w:val="none"/>
          <w14:textFill>
            <w14:solidFill>
              <w14:schemeClr w14:val="tx1"/>
            </w14:solidFill>
          </w14:textFill>
        </w:rPr>
        <w:t>投标人自202</w:t>
      </w:r>
      <w:r>
        <w:rPr>
          <w:rFonts w:hint="eastAsia"/>
          <w:b/>
          <w:color w:val="000000" w:themeColor="text1"/>
          <w:sz w:val="24"/>
          <w:szCs w:val="24"/>
          <w:highlight w:val="none"/>
          <w:lang w:val="en-US" w:eastAsia="zh-CN"/>
          <w14:textFill>
            <w14:solidFill>
              <w14:schemeClr w14:val="tx1"/>
            </w14:solidFill>
          </w14:textFill>
        </w:rPr>
        <w:t>2</w:t>
      </w:r>
      <w:r>
        <w:rPr>
          <w:rFonts w:hint="eastAsia"/>
          <w:b/>
          <w:color w:val="000000" w:themeColor="text1"/>
          <w:sz w:val="24"/>
          <w:szCs w:val="24"/>
          <w:highlight w:val="none"/>
          <w14:textFill>
            <w14:solidFill>
              <w14:schemeClr w14:val="tx1"/>
            </w14:solidFill>
          </w14:textFill>
        </w:rPr>
        <w:t>年1月1日以来类似项目业绩汇总表</w:t>
      </w:r>
      <w:r>
        <w:rPr>
          <w:rFonts w:hint="eastAsia"/>
          <w:color w:val="000000" w:themeColor="text1"/>
          <w:spacing w:val="0"/>
          <w:kern w:val="2"/>
          <w:sz w:val="24"/>
          <w:szCs w:val="24"/>
          <w:highlight w:val="none"/>
          <w:lang w:val="en-US"/>
          <w14:textFill>
            <w14:solidFill>
              <w14:schemeClr w14:val="tx1"/>
            </w14:solidFill>
          </w14:textFill>
        </w:rPr>
        <w:t>”相对应，</w:t>
      </w:r>
      <w:r>
        <w:rPr>
          <w:rFonts w:hint="eastAsia"/>
          <w:color w:val="000000" w:themeColor="text1"/>
          <w:sz w:val="24"/>
          <w:szCs w:val="24"/>
          <w:highlight w:val="none"/>
          <w14:textFill>
            <w14:solidFill>
              <w14:schemeClr w14:val="tx1"/>
            </w14:solidFill>
          </w14:textFill>
        </w:rPr>
        <w:t>后应附</w:t>
      </w:r>
      <w:r>
        <w:rPr>
          <w:rFonts w:hint="eastAsia"/>
          <w:b/>
          <w:color w:val="000000" w:themeColor="text1"/>
          <w:sz w:val="24"/>
          <w:szCs w:val="24"/>
          <w:highlight w:val="none"/>
          <w14:textFill>
            <w14:solidFill>
              <w14:schemeClr w14:val="tx1"/>
            </w14:solidFill>
          </w14:textFill>
        </w:rPr>
        <w:t>合同的复印件并加盖公章</w:t>
      </w:r>
      <w:r>
        <w:rPr>
          <w:rFonts w:hint="eastAsia"/>
          <w:color w:val="000000" w:themeColor="text1"/>
          <w:sz w:val="24"/>
          <w:szCs w:val="24"/>
          <w:highlight w:val="none"/>
          <w14:textFill>
            <w14:solidFill>
              <w14:schemeClr w14:val="tx1"/>
            </w14:solidFill>
          </w14:textFill>
        </w:rPr>
        <w:t>。</w:t>
      </w:r>
    </w:p>
    <w:p w14:paraId="2B86EB31">
      <w:pPr>
        <w:spacing w:line="380" w:lineRule="exact"/>
        <w:rPr>
          <w:rFonts w:ascii="宋体" w:hAnsi="宋体"/>
          <w:color w:val="000000" w:themeColor="text1"/>
          <w:sz w:val="22"/>
          <w:szCs w:val="22"/>
          <w:highlight w:val="none"/>
          <w14:textFill>
            <w14:solidFill>
              <w14:schemeClr w14:val="tx1"/>
            </w14:solidFill>
          </w14:textFill>
        </w:rPr>
      </w:pPr>
    </w:p>
    <w:p w14:paraId="53F66AF1">
      <w:pPr>
        <w:spacing w:line="380" w:lineRule="exact"/>
        <w:rPr>
          <w:rFonts w:ascii="宋体" w:hAnsi="宋体"/>
          <w:color w:val="000000" w:themeColor="text1"/>
          <w:sz w:val="22"/>
          <w:szCs w:val="22"/>
          <w:highlight w:val="none"/>
          <w14:textFill>
            <w14:solidFill>
              <w14:schemeClr w14:val="tx1"/>
            </w14:solidFill>
          </w14:textFill>
        </w:rPr>
      </w:pPr>
    </w:p>
    <w:p w14:paraId="3BC01B01">
      <w:pPr>
        <w:spacing w:line="380" w:lineRule="exact"/>
        <w:rPr>
          <w:rFonts w:ascii="宋体" w:hAnsi="宋体"/>
          <w:color w:val="000000" w:themeColor="text1"/>
          <w:sz w:val="22"/>
          <w:szCs w:val="22"/>
          <w:highlight w:val="non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投标人（公章）：</w:t>
      </w:r>
    </w:p>
    <w:p w14:paraId="07F434C8">
      <w:pPr>
        <w:spacing w:line="380" w:lineRule="exact"/>
        <w:rPr>
          <w:rFonts w:ascii="宋体" w:hAnsi="宋体"/>
          <w:color w:val="000000" w:themeColor="text1"/>
          <w:sz w:val="22"/>
          <w:szCs w:val="22"/>
          <w:highlight w:val="none"/>
          <w:u w:val="singl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投标人代表（签字或印章）：</w:t>
      </w:r>
    </w:p>
    <w:p w14:paraId="51DE8E27">
      <w:pPr>
        <w:spacing w:line="380" w:lineRule="exact"/>
        <w:rPr>
          <w:rFonts w:ascii="宋体" w:hAnsi="宋体"/>
          <w:color w:val="000000" w:themeColor="text1"/>
          <w:sz w:val="22"/>
          <w:szCs w:val="22"/>
          <w:highlight w:val="none"/>
          <w:u w:val="single"/>
          <w14:textFill>
            <w14:solidFill>
              <w14:schemeClr w14:val="tx1"/>
            </w14:solidFill>
          </w14:textFill>
        </w:rPr>
      </w:pPr>
      <w:r>
        <w:rPr>
          <w:rFonts w:hint="eastAsia" w:ascii="宋体"/>
          <w:color w:val="000000" w:themeColor="text1"/>
          <w:sz w:val="22"/>
          <w:szCs w:val="22"/>
          <w:highlight w:val="none"/>
          <w14:textFill>
            <w14:solidFill>
              <w14:schemeClr w14:val="tx1"/>
            </w14:solidFill>
          </w14:textFill>
        </w:rPr>
        <w:t>日期：</w:t>
      </w:r>
    </w:p>
    <w:p w14:paraId="56C2CE7C">
      <w:pPr>
        <w:rPr>
          <w:color w:val="000000" w:themeColor="text1"/>
          <w:highlight w:val="none"/>
          <w14:textFill>
            <w14:solidFill>
              <w14:schemeClr w14:val="tx1"/>
            </w14:solidFill>
          </w14:textFill>
        </w:rPr>
      </w:pPr>
    </w:p>
    <w:p w14:paraId="6F19274A">
      <w:pPr>
        <w:rPr>
          <w:color w:val="000000" w:themeColor="text1"/>
          <w:highlight w:val="none"/>
          <w14:textFill>
            <w14:solidFill>
              <w14:schemeClr w14:val="tx1"/>
            </w14:solidFill>
          </w14:textFill>
        </w:rPr>
      </w:pPr>
    </w:p>
    <w:p w14:paraId="3C21E3C3">
      <w:pPr>
        <w:jc w:val="center"/>
        <w:rPr>
          <w:color w:val="000000" w:themeColor="text1"/>
          <w:highlight w:val="none"/>
          <w14:textFill>
            <w14:solidFill>
              <w14:schemeClr w14:val="tx1"/>
            </w14:solidFill>
          </w14:textFill>
        </w:rPr>
      </w:pPr>
    </w:p>
    <w:p w14:paraId="28954832">
      <w:pPr>
        <w:jc w:val="center"/>
        <w:rPr>
          <w:color w:val="000000" w:themeColor="text1"/>
          <w:highlight w:val="none"/>
          <w14:textFill>
            <w14:solidFill>
              <w14:schemeClr w14:val="tx1"/>
            </w14:solidFill>
          </w14:textFill>
        </w:rPr>
      </w:pPr>
    </w:p>
    <w:p w14:paraId="3E86144D">
      <w:pPr>
        <w:widowControl/>
        <w:jc w:val="center"/>
        <w:rPr>
          <w:rFonts w:ascii="宋体"/>
          <w:b/>
          <w:color w:val="000000" w:themeColor="text1"/>
          <w:sz w:val="24"/>
          <w:szCs w:val="24"/>
          <w:highlight w:val="none"/>
          <w14:textFill>
            <w14:solidFill>
              <w14:schemeClr w14:val="tx1"/>
            </w14:solidFill>
          </w14:textFill>
        </w:rPr>
      </w:pPr>
      <w:r>
        <w:rPr>
          <w:rFonts w:ascii="宋体" w:hAnsi="宋体"/>
          <w:b/>
          <w:color w:val="000000" w:themeColor="text1"/>
          <w:sz w:val="24"/>
          <w:szCs w:val="24"/>
          <w:highlight w:val="none"/>
          <w14:textFill>
            <w14:solidFill>
              <w14:schemeClr w14:val="tx1"/>
            </w14:solidFill>
          </w14:textFill>
        </w:rPr>
        <w:br w:type="page"/>
      </w:r>
      <w:r>
        <w:rPr>
          <w:rFonts w:hint="eastAsia" w:ascii="宋体" w:hAnsi="宋体"/>
          <w:b/>
          <w:color w:val="000000" w:themeColor="text1"/>
          <w:sz w:val="24"/>
          <w:szCs w:val="24"/>
          <w:highlight w:val="none"/>
          <w14:textFill>
            <w14:solidFill>
              <w14:schemeClr w14:val="tx1"/>
            </w14:solidFill>
          </w14:textFill>
        </w:rPr>
        <w:t>2.1、项目负责人资历表</w:t>
      </w:r>
    </w:p>
    <w:p w14:paraId="06DA040C">
      <w:pPr>
        <w:jc w:val="center"/>
        <w:rPr>
          <w:rFonts w:ascii="宋体"/>
          <w:color w:val="000000" w:themeColor="text1"/>
          <w:highlight w:val="none"/>
          <w14:textFill>
            <w14:solidFill>
              <w14:schemeClr w14:val="tx1"/>
            </w14:solidFill>
          </w14:textFill>
        </w:rPr>
      </w:pPr>
    </w:p>
    <w:tbl>
      <w:tblPr>
        <w:tblStyle w:val="3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885"/>
        <w:gridCol w:w="885"/>
        <w:gridCol w:w="885"/>
        <w:gridCol w:w="886"/>
        <w:gridCol w:w="886"/>
        <w:gridCol w:w="886"/>
        <w:gridCol w:w="886"/>
        <w:gridCol w:w="886"/>
        <w:gridCol w:w="886"/>
      </w:tblGrid>
      <w:tr w14:paraId="1656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gridSpan w:val="10"/>
          </w:tcPr>
          <w:p w14:paraId="4D7C51AB">
            <w:pPr>
              <w:pStyle w:val="122"/>
              <w:spacing w:line="360" w:lineRule="auto"/>
              <w:rPr>
                <w:bCs w:val="0"/>
                <w:color w:val="000000" w:themeColor="text1"/>
                <w:sz w:val="24"/>
                <w:szCs w:val="24"/>
                <w:highlight w:val="none"/>
                <w:lang w:val="en-US"/>
                <w14:textFill>
                  <w14:solidFill>
                    <w14:schemeClr w14:val="tx1"/>
                  </w14:solidFill>
                </w14:textFill>
              </w:rPr>
            </w:pPr>
            <w:r>
              <w:rPr>
                <w:bCs w:val="0"/>
                <w:color w:val="000000" w:themeColor="text1"/>
                <w:sz w:val="24"/>
                <w:szCs w:val="24"/>
                <w:highlight w:val="none"/>
                <w:lang w:val="en-US"/>
                <w14:textFill>
                  <w14:solidFill>
                    <w14:schemeClr w14:val="tx1"/>
                  </w14:solidFill>
                </w14:textFill>
              </w:rPr>
              <w:t>1.</w:t>
            </w:r>
            <w:r>
              <w:rPr>
                <w:rFonts w:hint="eastAsia"/>
                <w:bCs w:val="0"/>
                <w:color w:val="000000" w:themeColor="text1"/>
                <w:sz w:val="24"/>
                <w:szCs w:val="24"/>
                <w:highlight w:val="none"/>
                <w:lang w:val="en-US"/>
                <w14:textFill>
                  <w14:solidFill>
                    <w14:schemeClr w14:val="tx1"/>
                  </w14:solidFill>
                </w14:textFill>
              </w:rPr>
              <w:t>一般情况</w:t>
            </w:r>
          </w:p>
        </w:tc>
      </w:tr>
      <w:tr w14:paraId="55EBE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40C59372">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姓名</w:t>
            </w:r>
          </w:p>
        </w:tc>
        <w:tc>
          <w:tcPr>
            <w:tcW w:w="885" w:type="dxa"/>
          </w:tcPr>
          <w:p w14:paraId="043E3A43">
            <w:pPr>
              <w:pStyle w:val="122"/>
              <w:spacing w:line="360" w:lineRule="auto"/>
              <w:rPr>
                <w:bCs w:val="0"/>
                <w:color w:val="000000" w:themeColor="text1"/>
                <w:sz w:val="24"/>
                <w:szCs w:val="24"/>
                <w:highlight w:val="none"/>
                <w:lang w:val="en-US"/>
                <w14:textFill>
                  <w14:solidFill>
                    <w14:schemeClr w14:val="tx1"/>
                  </w14:solidFill>
                </w14:textFill>
              </w:rPr>
            </w:pPr>
          </w:p>
        </w:tc>
        <w:tc>
          <w:tcPr>
            <w:tcW w:w="885" w:type="dxa"/>
          </w:tcPr>
          <w:p w14:paraId="086744EA">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性别</w:t>
            </w:r>
          </w:p>
        </w:tc>
        <w:tc>
          <w:tcPr>
            <w:tcW w:w="885" w:type="dxa"/>
          </w:tcPr>
          <w:p w14:paraId="4F90E8E1">
            <w:pPr>
              <w:pStyle w:val="122"/>
              <w:spacing w:line="360" w:lineRule="auto"/>
              <w:rPr>
                <w:bCs w:val="0"/>
                <w:color w:val="000000" w:themeColor="text1"/>
                <w:sz w:val="24"/>
                <w:szCs w:val="24"/>
                <w:highlight w:val="none"/>
                <w:lang w:val="en-US"/>
                <w14:textFill>
                  <w14:solidFill>
                    <w14:schemeClr w14:val="tx1"/>
                  </w14:solidFill>
                </w14:textFill>
              </w:rPr>
            </w:pPr>
          </w:p>
        </w:tc>
        <w:tc>
          <w:tcPr>
            <w:tcW w:w="886" w:type="dxa"/>
          </w:tcPr>
          <w:p w14:paraId="42831B98">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年龄</w:t>
            </w:r>
          </w:p>
        </w:tc>
        <w:tc>
          <w:tcPr>
            <w:tcW w:w="886" w:type="dxa"/>
          </w:tcPr>
          <w:p w14:paraId="198EBA0F">
            <w:pPr>
              <w:pStyle w:val="122"/>
              <w:spacing w:line="360" w:lineRule="auto"/>
              <w:rPr>
                <w:bCs w:val="0"/>
                <w:color w:val="000000" w:themeColor="text1"/>
                <w:sz w:val="24"/>
                <w:szCs w:val="24"/>
                <w:highlight w:val="none"/>
                <w:lang w:val="en-US"/>
                <w14:textFill>
                  <w14:solidFill>
                    <w14:schemeClr w14:val="tx1"/>
                  </w14:solidFill>
                </w14:textFill>
              </w:rPr>
            </w:pPr>
          </w:p>
        </w:tc>
        <w:tc>
          <w:tcPr>
            <w:tcW w:w="886" w:type="dxa"/>
          </w:tcPr>
          <w:p w14:paraId="07831488">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学位</w:t>
            </w:r>
          </w:p>
        </w:tc>
        <w:tc>
          <w:tcPr>
            <w:tcW w:w="886" w:type="dxa"/>
          </w:tcPr>
          <w:p w14:paraId="03F1CC73">
            <w:pPr>
              <w:pStyle w:val="122"/>
              <w:spacing w:line="360" w:lineRule="auto"/>
              <w:rPr>
                <w:bCs w:val="0"/>
                <w:color w:val="000000" w:themeColor="text1"/>
                <w:sz w:val="24"/>
                <w:szCs w:val="24"/>
                <w:highlight w:val="none"/>
                <w:lang w:val="en-US"/>
                <w14:textFill>
                  <w14:solidFill>
                    <w14:schemeClr w14:val="tx1"/>
                  </w14:solidFill>
                </w14:textFill>
              </w:rPr>
            </w:pPr>
          </w:p>
        </w:tc>
        <w:tc>
          <w:tcPr>
            <w:tcW w:w="886" w:type="dxa"/>
          </w:tcPr>
          <w:p w14:paraId="043343FD">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身份证号</w:t>
            </w:r>
          </w:p>
        </w:tc>
        <w:tc>
          <w:tcPr>
            <w:tcW w:w="886" w:type="dxa"/>
          </w:tcPr>
          <w:p w14:paraId="2133F5B0">
            <w:pPr>
              <w:pStyle w:val="122"/>
              <w:spacing w:line="360" w:lineRule="auto"/>
              <w:rPr>
                <w:bCs w:val="0"/>
                <w:color w:val="000000" w:themeColor="text1"/>
                <w:sz w:val="24"/>
                <w:szCs w:val="24"/>
                <w:highlight w:val="none"/>
                <w:lang w:val="en-US"/>
                <w14:textFill>
                  <w14:solidFill>
                    <w14:schemeClr w14:val="tx1"/>
                  </w14:solidFill>
                </w14:textFill>
              </w:rPr>
            </w:pPr>
          </w:p>
        </w:tc>
      </w:tr>
      <w:tr w14:paraId="02EF0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2AC1DEA1">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职称</w:t>
            </w:r>
          </w:p>
        </w:tc>
        <w:tc>
          <w:tcPr>
            <w:tcW w:w="885" w:type="dxa"/>
          </w:tcPr>
          <w:p w14:paraId="2A0BBD7F">
            <w:pPr>
              <w:pStyle w:val="122"/>
              <w:spacing w:line="360" w:lineRule="auto"/>
              <w:rPr>
                <w:bCs w:val="0"/>
                <w:color w:val="000000" w:themeColor="text1"/>
                <w:sz w:val="24"/>
                <w:szCs w:val="24"/>
                <w:highlight w:val="none"/>
                <w:lang w:val="en-US"/>
                <w14:textFill>
                  <w14:solidFill>
                    <w14:schemeClr w14:val="tx1"/>
                  </w14:solidFill>
                </w14:textFill>
              </w:rPr>
            </w:pPr>
          </w:p>
        </w:tc>
        <w:tc>
          <w:tcPr>
            <w:tcW w:w="885" w:type="dxa"/>
          </w:tcPr>
          <w:p w14:paraId="64EE3F6F">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执业资格</w:t>
            </w:r>
          </w:p>
        </w:tc>
        <w:tc>
          <w:tcPr>
            <w:tcW w:w="885" w:type="dxa"/>
          </w:tcPr>
          <w:p w14:paraId="2FA95D61">
            <w:pPr>
              <w:pStyle w:val="122"/>
              <w:spacing w:line="360" w:lineRule="auto"/>
              <w:rPr>
                <w:bCs w:val="0"/>
                <w:color w:val="000000" w:themeColor="text1"/>
                <w:sz w:val="24"/>
                <w:szCs w:val="24"/>
                <w:highlight w:val="none"/>
                <w:lang w:val="en-US"/>
                <w14:textFill>
                  <w14:solidFill>
                    <w14:schemeClr w14:val="tx1"/>
                  </w14:solidFill>
                </w14:textFill>
              </w:rPr>
            </w:pPr>
          </w:p>
        </w:tc>
        <w:tc>
          <w:tcPr>
            <w:tcW w:w="1772" w:type="dxa"/>
            <w:gridSpan w:val="2"/>
          </w:tcPr>
          <w:p w14:paraId="176A5AFB">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为投标人服务年限（年）</w:t>
            </w:r>
          </w:p>
        </w:tc>
        <w:tc>
          <w:tcPr>
            <w:tcW w:w="886" w:type="dxa"/>
          </w:tcPr>
          <w:p w14:paraId="11E7FB91">
            <w:pPr>
              <w:pStyle w:val="122"/>
              <w:spacing w:line="360" w:lineRule="auto"/>
              <w:rPr>
                <w:bCs w:val="0"/>
                <w:color w:val="000000" w:themeColor="text1"/>
                <w:sz w:val="24"/>
                <w:szCs w:val="24"/>
                <w:highlight w:val="none"/>
                <w:lang w:val="en-US"/>
                <w14:textFill>
                  <w14:solidFill>
                    <w14:schemeClr w14:val="tx1"/>
                  </w14:solidFill>
                </w14:textFill>
              </w:rPr>
            </w:pPr>
          </w:p>
        </w:tc>
        <w:tc>
          <w:tcPr>
            <w:tcW w:w="1772" w:type="dxa"/>
            <w:gridSpan w:val="2"/>
          </w:tcPr>
          <w:p w14:paraId="2EBFABF9">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在本项目中拟任职</w:t>
            </w:r>
          </w:p>
        </w:tc>
        <w:tc>
          <w:tcPr>
            <w:tcW w:w="886" w:type="dxa"/>
          </w:tcPr>
          <w:p w14:paraId="46E415B2">
            <w:pPr>
              <w:pStyle w:val="122"/>
              <w:spacing w:line="360" w:lineRule="auto"/>
              <w:rPr>
                <w:bCs w:val="0"/>
                <w:color w:val="000000" w:themeColor="text1"/>
                <w:sz w:val="24"/>
                <w:szCs w:val="24"/>
                <w:highlight w:val="none"/>
                <w:lang w:val="en-US"/>
                <w14:textFill>
                  <w14:solidFill>
                    <w14:schemeClr w14:val="tx1"/>
                  </w14:solidFill>
                </w14:textFill>
              </w:rPr>
            </w:pPr>
          </w:p>
        </w:tc>
      </w:tr>
      <w:tr w14:paraId="30E93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26E92C7C">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学历</w:t>
            </w:r>
          </w:p>
        </w:tc>
        <w:tc>
          <w:tcPr>
            <w:tcW w:w="7971" w:type="dxa"/>
            <w:gridSpan w:val="9"/>
          </w:tcPr>
          <w:p w14:paraId="0D4B0160">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年毕业于（学校）（专业）</w:t>
            </w:r>
          </w:p>
        </w:tc>
      </w:tr>
      <w:tr w14:paraId="11BE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gridSpan w:val="10"/>
          </w:tcPr>
          <w:p w14:paraId="241BCB67">
            <w:pPr>
              <w:pStyle w:val="122"/>
              <w:spacing w:line="360" w:lineRule="auto"/>
              <w:rPr>
                <w:bCs w:val="0"/>
                <w:color w:val="000000" w:themeColor="text1"/>
                <w:sz w:val="24"/>
                <w:szCs w:val="24"/>
                <w:highlight w:val="none"/>
                <w:lang w:val="en-US"/>
                <w14:textFill>
                  <w14:solidFill>
                    <w14:schemeClr w14:val="tx1"/>
                  </w14:solidFill>
                </w14:textFill>
              </w:rPr>
            </w:pPr>
            <w:r>
              <w:rPr>
                <w:bCs w:val="0"/>
                <w:color w:val="000000" w:themeColor="text1"/>
                <w:sz w:val="24"/>
                <w:szCs w:val="24"/>
                <w:highlight w:val="none"/>
                <w:lang w:val="en-US"/>
                <w14:textFill>
                  <w14:solidFill>
                    <w14:schemeClr w14:val="tx1"/>
                  </w14:solidFill>
                </w14:textFill>
              </w:rPr>
              <w:t>2.</w:t>
            </w:r>
            <w:r>
              <w:rPr>
                <w:rFonts w:hint="eastAsia"/>
                <w:bCs w:val="0"/>
                <w:color w:val="000000" w:themeColor="text1"/>
                <w:sz w:val="24"/>
                <w:szCs w:val="24"/>
                <w:highlight w:val="none"/>
                <w:lang w:val="en-US"/>
                <w14:textFill>
                  <w14:solidFill>
                    <w14:schemeClr w14:val="tx1"/>
                  </w14:solidFill>
                </w14:textFill>
              </w:rPr>
              <w:t>经历</w:t>
            </w:r>
          </w:p>
        </w:tc>
      </w:tr>
      <w:tr w14:paraId="4A18A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5FDDFBCB">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时间</w:t>
            </w:r>
          </w:p>
        </w:tc>
        <w:tc>
          <w:tcPr>
            <w:tcW w:w="4427" w:type="dxa"/>
            <w:gridSpan w:val="5"/>
          </w:tcPr>
          <w:p w14:paraId="20DC8021">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负责过的主要项目（类型和金额）</w:t>
            </w:r>
          </w:p>
        </w:tc>
        <w:tc>
          <w:tcPr>
            <w:tcW w:w="1772" w:type="dxa"/>
            <w:gridSpan w:val="2"/>
          </w:tcPr>
          <w:p w14:paraId="59764B20">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该项目中任职</w:t>
            </w:r>
          </w:p>
        </w:tc>
        <w:tc>
          <w:tcPr>
            <w:tcW w:w="1772" w:type="dxa"/>
            <w:gridSpan w:val="2"/>
          </w:tcPr>
          <w:p w14:paraId="4483D980">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发包人及</w:t>
            </w:r>
          </w:p>
          <w:p w14:paraId="4227DF7A">
            <w:pPr>
              <w:pStyle w:val="122"/>
              <w:spacing w:line="360" w:lineRule="auto"/>
              <w:rPr>
                <w:bCs w:val="0"/>
                <w:color w:val="000000" w:themeColor="text1"/>
                <w:sz w:val="24"/>
                <w:szCs w:val="24"/>
                <w:highlight w:val="none"/>
                <w:lang w:val="en-US"/>
                <w14:textFill>
                  <w14:solidFill>
                    <w14:schemeClr w14:val="tx1"/>
                  </w14:solidFill>
                </w14:textFill>
              </w:rPr>
            </w:pPr>
            <w:r>
              <w:rPr>
                <w:rFonts w:hint="eastAsia"/>
                <w:bCs w:val="0"/>
                <w:color w:val="000000" w:themeColor="text1"/>
                <w:sz w:val="24"/>
                <w:szCs w:val="24"/>
                <w:highlight w:val="none"/>
                <w:lang w:val="en-US"/>
                <w14:textFill>
                  <w14:solidFill>
                    <w14:schemeClr w14:val="tx1"/>
                  </w14:solidFill>
                </w14:textFill>
              </w:rPr>
              <w:t>联系电话</w:t>
            </w:r>
          </w:p>
        </w:tc>
      </w:tr>
      <w:tr w14:paraId="5B6F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trPr>
        <w:tc>
          <w:tcPr>
            <w:tcW w:w="885" w:type="dxa"/>
          </w:tcPr>
          <w:p w14:paraId="147E3ADA">
            <w:pPr>
              <w:pStyle w:val="122"/>
              <w:spacing w:line="360" w:lineRule="auto"/>
              <w:rPr>
                <w:bCs w:val="0"/>
                <w:color w:val="000000" w:themeColor="text1"/>
                <w:sz w:val="24"/>
                <w:szCs w:val="24"/>
                <w:highlight w:val="none"/>
                <w:lang w:val="en-US"/>
                <w14:textFill>
                  <w14:solidFill>
                    <w14:schemeClr w14:val="tx1"/>
                  </w14:solidFill>
                </w14:textFill>
              </w:rPr>
            </w:pPr>
          </w:p>
        </w:tc>
        <w:tc>
          <w:tcPr>
            <w:tcW w:w="4427" w:type="dxa"/>
            <w:gridSpan w:val="5"/>
          </w:tcPr>
          <w:p w14:paraId="22F3F1BB">
            <w:pPr>
              <w:pStyle w:val="122"/>
              <w:spacing w:line="360" w:lineRule="auto"/>
              <w:rPr>
                <w:bCs w:val="0"/>
                <w:color w:val="000000" w:themeColor="text1"/>
                <w:sz w:val="24"/>
                <w:szCs w:val="24"/>
                <w:highlight w:val="none"/>
                <w:lang w:val="en-US"/>
                <w14:textFill>
                  <w14:solidFill>
                    <w14:schemeClr w14:val="tx1"/>
                  </w14:solidFill>
                </w14:textFill>
              </w:rPr>
            </w:pPr>
          </w:p>
        </w:tc>
        <w:tc>
          <w:tcPr>
            <w:tcW w:w="1772" w:type="dxa"/>
            <w:gridSpan w:val="2"/>
          </w:tcPr>
          <w:p w14:paraId="4CD49971">
            <w:pPr>
              <w:pStyle w:val="122"/>
              <w:spacing w:line="360" w:lineRule="auto"/>
              <w:rPr>
                <w:bCs w:val="0"/>
                <w:color w:val="000000" w:themeColor="text1"/>
                <w:sz w:val="24"/>
                <w:szCs w:val="24"/>
                <w:highlight w:val="none"/>
                <w:lang w:val="en-US"/>
                <w14:textFill>
                  <w14:solidFill>
                    <w14:schemeClr w14:val="tx1"/>
                  </w14:solidFill>
                </w14:textFill>
              </w:rPr>
            </w:pPr>
          </w:p>
        </w:tc>
        <w:tc>
          <w:tcPr>
            <w:tcW w:w="1772" w:type="dxa"/>
            <w:gridSpan w:val="2"/>
          </w:tcPr>
          <w:p w14:paraId="71853981">
            <w:pPr>
              <w:pStyle w:val="122"/>
              <w:spacing w:line="360" w:lineRule="auto"/>
              <w:rPr>
                <w:bCs w:val="0"/>
                <w:color w:val="000000" w:themeColor="text1"/>
                <w:sz w:val="24"/>
                <w:szCs w:val="24"/>
                <w:highlight w:val="none"/>
                <w:lang w:val="en-US"/>
                <w14:textFill>
                  <w14:solidFill>
                    <w14:schemeClr w14:val="tx1"/>
                  </w14:solidFill>
                </w14:textFill>
              </w:rPr>
            </w:pPr>
          </w:p>
        </w:tc>
      </w:tr>
      <w:tr w14:paraId="28333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gridSpan w:val="10"/>
          </w:tcPr>
          <w:p w14:paraId="1A4F797A">
            <w:pPr>
              <w:pStyle w:val="122"/>
              <w:spacing w:line="360" w:lineRule="auto"/>
              <w:rPr>
                <w:bCs w:val="0"/>
                <w:color w:val="000000" w:themeColor="text1"/>
                <w:sz w:val="24"/>
                <w:szCs w:val="24"/>
                <w:highlight w:val="none"/>
                <w:lang w:val="en-US"/>
                <w14:textFill>
                  <w14:solidFill>
                    <w14:schemeClr w14:val="tx1"/>
                  </w14:solidFill>
                </w14:textFill>
              </w:rPr>
            </w:pPr>
            <w:r>
              <w:rPr>
                <w:bCs w:val="0"/>
                <w:color w:val="000000" w:themeColor="text1"/>
                <w:sz w:val="24"/>
                <w:szCs w:val="24"/>
                <w:highlight w:val="none"/>
                <w:lang w:val="en-US"/>
                <w14:textFill>
                  <w14:solidFill>
                    <w14:schemeClr w14:val="tx1"/>
                  </w14:solidFill>
                </w14:textFill>
              </w:rPr>
              <w:t>3.</w:t>
            </w:r>
            <w:r>
              <w:rPr>
                <w:rFonts w:hint="eastAsia"/>
                <w:bCs w:val="0"/>
                <w:color w:val="000000" w:themeColor="text1"/>
                <w:sz w:val="24"/>
                <w:szCs w:val="24"/>
                <w:highlight w:val="none"/>
                <w:lang w:val="en-US"/>
                <w14:textFill>
                  <w14:solidFill>
                    <w14:schemeClr w14:val="tx1"/>
                  </w14:solidFill>
                </w14:textFill>
              </w:rPr>
              <w:t>获奖情况</w:t>
            </w:r>
          </w:p>
        </w:tc>
      </w:tr>
      <w:tr w14:paraId="23003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8856" w:type="dxa"/>
            <w:gridSpan w:val="10"/>
          </w:tcPr>
          <w:p w14:paraId="6D3878E4">
            <w:pPr>
              <w:pStyle w:val="122"/>
              <w:spacing w:line="360" w:lineRule="auto"/>
              <w:rPr>
                <w:bCs w:val="0"/>
                <w:color w:val="000000" w:themeColor="text1"/>
                <w:sz w:val="24"/>
                <w:szCs w:val="24"/>
                <w:highlight w:val="none"/>
                <w:lang w:val="en-US"/>
                <w14:textFill>
                  <w14:solidFill>
                    <w14:schemeClr w14:val="tx1"/>
                  </w14:solidFill>
                </w14:textFill>
              </w:rPr>
            </w:pPr>
          </w:p>
        </w:tc>
      </w:tr>
      <w:tr w14:paraId="02232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gridSpan w:val="10"/>
          </w:tcPr>
          <w:p w14:paraId="15E6CD81">
            <w:pPr>
              <w:pStyle w:val="122"/>
              <w:spacing w:line="360" w:lineRule="auto"/>
              <w:rPr>
                <w:bCs w:val="0"/>
                <w:color w:val="000000" w:themeColor="text1"/>
                <w:sz w:val="24"/>
                <w:szCs w:val="24"/>
                <w:highlight w:val="none"/>
                <w:lang w:val="en-US"/>
                <w14:textFill>
                  <w14:solidFill>
                    <w14:schemeClr w14:val="tx1"/>
                  </w14:solidFill>
                </w14:textFill>
              </w:rPr>
            </w:pPr>
            <w:r>
              <w:rPr>
                <w:bCs w:val="0"/>
                <w:color w:val="000000" w:themeColor="text1"/>
                <w:sz w:val="24"/>
                <w:szCs w:val="24"/>
                <w:highlight w:val="none"/>
                <w:lang w:val="en-US"/>
                <w14:textFill>
                  <w14:solidFill>
                    <w14:schemeClr w14:val="tx1"/>
                  </w14:solidFill>
                </w14:textFill>
              </w:rPr>
              <w:t>4.</w:t>
            </w:r>
            <w:r>
              <w:rPr>
                <w:rFonts w:hint="eastAsia"/>
                <w:bCs w:val="0"/>
                <w:color w:val="000000" w:themeColor="text1"/>
                <w:sz w:val="24"/>
                <w:szCs w:val="24"/>
                <w:highlight w:val="none"/>
                <w:lang w:val="en-US"/>
                <w14:textFill>
                  <w14:solidFill>
                    <w14:schemeClr w14:val="tx1"/>
                  </w14:solidFill>
                </w14:textFill>
              </w:rPr>
              <w:t>目前负责的项目</w:t>
            </w:r>
          </w:p>
        </w:tc>
      </w:tr>
      <w:tr w14:paraId="2B2B7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8856" w:type="dxa"/>
            <w:gridSpan w:val="10"/>
          </w:tcPr>
          <w:p w14:paraId="2553AC22">
            <w:pPr>
              <w:pStyle w:val="122"/>
              <w:spacing w:line="360" w:lineRule="auto"/>
              <w:rPr>
                <w:bCs w:val="0"/>
                <w:color w:val="000000" w:themeColor="text1"/>
                <w:sz w:val="24"/>
                <w:szCs w:val="24"/>
                <w:highlight w:val="none"/>
                <w:lang w:val="en-US"/>
                <w14:textFill>
                  <w14:solidFill>
                    <w14:schemeClr w14:val="tx1"/>
                  </w14:solidFill>
                </w14:textFill>
              </w:rPr>
            </w:pPr>
          </w:p>
        </w:tc>
      </w:tr>
    </w:tbl>
    <w:p w14:paraId="0F6CC45E">
      <w:pPr>
        <w:pStyle w:val="2"/>
        <w:spacing w:line="380" w:lineRule="exact"/>
        <w:rPr>
          <w:rFonts w:ascii="宋体"/>
          <w:b w:val="0"/>
          <w:color w:val="000000" w:themeColor="text1"/>
          <w:sz w:val="24"/>
          <w:szCs w:val="24"/>
          <w:highlight w:val="none"/>
          <w14:textFill>
            <w14:solidFill>
              <w14:schemeClr w14:val="tx1"/>
            </w14:solidFill>
          </w14:textFill>
        </w:rPr>
      </w:pPr>
    </w:p>
    <w:p w14:paraId="272A0293">
      <w:pPr>
        <w:jc w:val="center"/>
        <w:rPr>
          <w:rFonts w:ascii="宋体" w:hAnsi="宋体"/>
          <w:b/>
          <w:color w:val="000000" w:themeColor="text1"/>
          <w:sz w:val="24"/>
          <w:szCs w:val="24"/>
          <w:highlight w:val="none"/>
          <w14:textFill>
            <w14:solidFill>
              <w14:schemeClr w14:val="tx1"/>
            </w14:solidFill>
          </w14:textFill>
        </w:rPr>
      </w:pPr>
    </w:p>
    <w:p w14:paraId="4C8C3109">
      <w:pPr>
        <w:spacing w:line="380" w:lineRule="exact"/>
        <w:rPr>
          <w:rFonts w:ascii="宋体" w:hAnsi="宋体"/>
          <w:color w:val="000000" w:themeColor="text1"/>
          <w:sz w:val="22"/>
          <w:szCs w:val="22"/>
          <w:highlight w:val="non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投标人（公章）：</w:t>
      </w:r>
    </w:p>
    <w:p w14:paraId="454E0A55">
      <w:pPr>
        <w:spacing w:line="380" w:lineRule="exact"/>
        <w:rPr>
          <w:rFonts w:ascii="宋体" w:hAnsi="宋体"/>
          <w:color w:val="000000" w:themeColor="text1"/>
          <w:sz w:val="22"/>
          <w:szCs w:val="22"/>
          <w:highlight w:val="none"/>
          <w:u w:val="singl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投标人代表（签字或印章）：</w:t>
      </w:r>
    </w:p>
    <w:p w14:paraId="6500DA22">
      <w:pPr>
        <w:spacing w:line="380" w:lineRule="exact"/>
        <w:rPr>
          <w:rFonts w:ascii="宋体" w:hAnsi="宋体"/>
          <w:color w:val="000000" w:themeColor="text1"/>
          <w:sz w:val="22"/>
          <w:szCs w:val="22"/>
          <w:highlight w:val="none"/>
          <w:u w:val="single"/>
          <w14:textFill>
            <w14:solidFill>
              <w14:schemeClr w14:val="tx1"/>
            </w14:solidFill>
          </w14:textFill>
        </w:rPr>
      </w:pPr>
      <w:r>
        <w:rPr>
          <w:rFonts w:hint="eastAsia" w:ascii="宋体"/>
          <w:color w:val="000000" w:themeColor="text1"/>
          <w:sz w:val="22"/>
          <w:szCs w:val="22"/>
          <w:highlight w:val="none"/>
          <w14:textFill>
            <w14:solidFill>
              <w14:schemeClr w14:val="tx1"/>
            </w14:solidFill>
          </w14:textFill>
        </w:rPr>
        <w:t>日期：</w:t>
      </w:r>
    </w:p>
    <w:p w14:paraId="7BFA14E8">
      <w:pPr>
        <w:widowControl/>
        <w:jc w:val="center"/>
        <w:rPr>
          <w:rFonts w:ascii="宋体" w:hAnsi="宋体"/>
          <w:b/>
          <w:color w:val="000000" w:themeColor="text1"/>
          <w:sz w:val="24"/>
          <w:szCs w:val="24"/>
          <w:highlight w:val="none"/>
          <w14:textFill>
            <w14:solidFill>
              <w14:schemeClr w14:val="tx1"/>
            </w14:solidFill>
          </w14:textFill>
        </w:rPr>
      </w:pPr>
      <w:r>
        <w:rPr>
          <w:rFonts w:ascii="宋体" w:hAnsi="宋体"/>
          <w:b/>
          <w:color w:val="000000" w:themeColor="text1"/>
          <w:sz w:val="24"/>
          <w:szCs w:val="24"/>
          <w:highlight w:val="none"/>
          <w14:textFill>
            <w14:solidFill>
              <w14:schemeClr w14:val="tx1"/>
            </w14:solidFill>
          </w14:textFill>
        </w:rPr>
        <w:br w:type="page"/>
      </w:r>
    </w:p>
    <w:p w14:paraId="2044808F">
      <w:pPr>
        <w:jc w:val="center"/>
        <w:rPr>
          <w:rFonts w:ascii="宋体" w:hAnsi="宋体"/>
          <w:b/>
          <w:color w:val="000000" w:themeColor="text1"/>
          <w:sz w:val="24"/>
          <w:szCs w:val="24"/>
          <w:highlight w:val="none"/>
          <w14:textFill>
            <w14:solidFill>
              <w14:schemeClr w14:val="tx1"/>
            </w14:solidFill>
          </w14:textFill>
        </w:rPr>
      </w:pPr>
    </w:p>
    <w:p w14:paraId="3EDB9126">
      <w:pPr>
        <w:widowControl/>
        <w:jc w:val="center"/>
        <w:rPr>
          <w:bCs/>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2.2、拟委任的其他团队成员汇总表</w:t>
      </w:r>
    </w:p>
    <w:p w14:paraId="461A409D">
      <w:pPr>
        <w:widowControl/>
        <w:jc w:val="center"/>
        <w:rPr>
          <w:bCs/>
          <w:color w:val="000000" w:themeColor="text1"/>
          <w:sz w:val="24"/>
          <w:szCs w:val="24"/>
          <w:highlight w:val="none"/>
          <w14:textFill>
            <w14:solidFill>
              <w14:schemeClr w14:val="tx1"/>
            </w14:solidFill>
          </w14:textFill>
        </w:rPr>
      </w:pPr>
    </w:p>
    <w:tbl>
      <w:tblPr>
        <w:tblStyle w:val="3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997"/>
        <w:gridCol w:w="1545"/>
        <w:gridCol w:w="831"/>
        <w:gridCol w:w="1270"/>
        <w:gridCol w:w="955"/>
        <w:gridCol w:w="1731"/>
      </w:tblGrid>
      <w:tr w14:paraId="1AC4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47AF9DBE">
            <w:pPr>
              <w:pStyle w:val="122"/>
              <w:spacing w:line="360" w:lineRule="auto"/>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姓名</w:t>
            </w:r>
          </w:p>
        </w:tc>
        <w:tc>
          <w:tcPr>
            <w:tcW w:w="997" w:type="dxa"/>
          </w:tcPr>
          <w:p w14:paraId="3BEB2769">
            <w:pPr>
              <w:pStyle w:val="122"/>
              <w:spacing w:line="360" w:lineRule="auto"/>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年龄</w:t>
            </w:r>
          </w:p>
        </w:tc>
        <w:tc>
          <w:tcPr>
            <w:tcW w:w="1545" w:type="dxa"/>
          </w:tcPr>
          <w:p w14:paraId="5BB6B5D1">
            <w:pPr>
              <w:pStyle w:val="122"/>
              <w:spacing w:line="360" w:lineRule="auto"/>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拟在本项目中担任的职务</w:t>
            </w:r>
          </w:p>
        </w:tc>
        <w:tc>
          <w:tcPr>
            <w:tcW w:w="831" w:type="dxa"/>
          </w:tcPr>
          <w:p w14:paraId="35775391">
            <w:pPr>
              <w:pStyle w:val="122"/>
              <w:spacing w:line="360" w:lineRule="auto"/>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职称</w:t>
            </w:r>
          </w:p>
        </w:tc>
        <w:tc>
          <w:tcPr>
            <w:tcW w:w="1270" w:type="dxa"/>
          </w:tcPr>
          <w:p w14:paraId="11D9E455">
            <w:pPr>
              <w:pStyle w:val="122"/>
              <w:spacing w:line="360" w:lineRule="auto"/>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执业资格</w:t>
            </w:r>
          </w:p>
        </w:tc>
        <w:tc>
          <w:tcPr>
            <w:tcW w:w="955" w:type="dxa"/>
          </w:tcPr>
          <w:p w14:paraId="07CFA8D9">
            <w:pPr>
              <w:pStyle w:val="122"/>
              <w:spacing w:line="360" w:lineRule="auto"/>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工作年限</w:t>
            </w:r>
          </w:p>
        </w:tc>
        <w:tc>
          <w:tcPr>
            <w:tcW w:w="1731" w:type="dxa"/>
          </w:tcPr>
          <w:p w14:paraId="0BF014B3">
            <w:pPr>
              <w:pStyle w:val="122"/>
              <w:spacing w:line="360" w:lineRule="auto"/>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类似项目经验年限</w:t>
            </w:r>
          </w:p>
        </w:tc>
      </w:tr>
      <w:tr w14:paraId="5D86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1E5CAADE">
            <w:pPr>
              <w:pStyle w:val="122"/>
              <w:spacing w:line="360" w:lineRule="auto"/>
              <w:rPr>
                <w:color w:val="000000" w:themeColor="text1"/>
                <w:sz w:val="24"/>
                <w:szCs w:val="24"/>
                <w:highlight w:val="none"/>
                <w:lang w:val="en-US"/>
                <w14:textFill>
                  <w14:solidFill>
                    <w14:schemeClr w14:val="tx1"/>
                  </w14:solidFill>
                </w14:textFill>
              </w:rPr>
            </w:pPr>
          </w:p>
        </w:tc>
        <w:tc>
          <w:tcPr>
            <w:tcW w:w="997" w:type="dxa"/>
          </w:tcPr>
          <w:p w14:paraId="4C06189D">
            <w:pPr>
              <w:pStyle w:val="122"/>
              <w:spacing w:line="360" w:lineRule="auto"/>
              <w:rPr>
                <w:color w:val="000000" w:themeColor="text1"/>
                <w:sz w:val="24"/>
                <w:szCs w:val="24"/>
                <w:highlight w:val="none"/>
                <w:lang w:val="en-US"/>
                <w14:textFill>
                  <w14:solidFill>
                    <w14:schemeClr w14:val="tx1"/>
                  </w14:solidFill>
                </w14:textFill>
              </w:rPr>
            </w:pPr>
          </w:p>
        </w:tc>
        <w:tc>
          <w:tcPr>
            <w:tcW w:w="1545" w:type="dxa"/>
          </w:tcPr>
          <w:p w14:paraId="38A9B9BF">
            <w:pPr>
              <w:pStyle w:val="122"/>
              <w:spacing w:line="360" w:lineRule="auto"/>
              <w:rPr>
                <w:color w:val="000000" w:themeColor="text1"/>
                <w:sz w:val="24"/>
                <w:szCs w:val="24"/>
                <w:highlight w:val="none"/>
                <w:lang w:val="en-US"/>
                <w14:textFill>
                  <w14:solidFill>
                    <w14:schemeClr w14:val="tx1"/>
                  </w14:solidFill>
                </w14:textFill>
              </w:rPr>
            </w:pPr>
          </w:p>
        </w:tc>
        <w:tc>
          <w:tcPr>
            <w:tcW w:w="831" w:type="dxa"/>
          </w:tcPr>
          <w:p w14:paraId="58B97F8D">
            <w:pPr>
              <w:pStyle w:val="122"/>
              <w:spacing w:line="360" w:lineRule="auto"/>
              <w:rPr>
                <w:color w:val="000000" w:themeColor="text1"/>
                <w:sz w:val="24"/>
                <w:szCs w:val="24"/>
                <w:highlight w:val="none"/>
                <w:lang w:val="en-US"/>
                <w14:textFill>
                  <w14:solidFill>
                    <w14:schemeClr w14:val="tx1"/>
                  </w14:solidFill>
                </w14:textFill>
              </w:rPr>
            </w:pPr>
          </w:p>
        </w:tc>
        <w:tc>
          <w:tcPr>
            <w:tcW w:w="1270" w:type="dxa"/>
          </w:tcPr>
          <w:p w14:paraId="49FB577E">
            <w:pPr>
              <w:pStyle w:val="122"/>
              <w:spacing w:line="360" w:lineRule="auto"/>
              <w:rPr>
                <w:color w:val="000000" w:themeColor="text1"/>
                <w:sz w:val="24"/>
                <w:szCs w:val="24"/>
                <w:highlight w:val="none"/>
                <w:lang w:val="en-US"/>
                <w14:textFill>
                  <w14:solidFill>
                    <w14:schemeClr w14:val="tx1"/>
                  </w14:solidFill>
                </w14:textFill>
              </w:rPr>
            </w:pPr>
          </w:p>
        </w:tc>
        <w:tc>
          <w:tcPr>
            <w:tcW w:w="955" w:type="dxa"/>
          </w:tcPr>
          <w:p w14:paraId="007D70FF">
            <w:pPr>
              <w:pStyle w:val="122"/>
              <w:spacing w:line="360" w:lineRule="auto"/>
              <w:rPr>
                <w:color w:val="000000" w:themeColor="text1"/>
                <w:sz w:val="24"/>
                <w:szCs w:val="24"/>
                <w:highlight w:val="none"/>
                <w:lang w:val="en-US"/>
                <w14:textFill>
                  <w14:solidFill>
                    <w14:schemeClr w14:val="tx1"/>
                  </w14:solidFill>
                </w14:textFill>
              </w:rPr>
            </w:pPr>
          </w:p>
        </w:tc>
        <w:tc>
          <w:tcPr>
            <w:tcW w:w="1731" w:type="dxa"/>
          </w:tcPr>
          <w:p w14:paraId="593CDB13">
            <w:pPr>
              <w:pStyle w:val="122"/>
              <w:spacing w:line="360" w:lineRule="auto"/>
              <w:rPr>
                <w:color w:val="000000" w:themeColor="text1"/>
                <w:sz w:val="24"/>
                <w:szCs w:val="24"/>
                <w:highlight w:val="none"/>
                <w:lang w:val="en-US"/>
                <w14:textFill>
                  <w14:solidFill>
                    <w14:schemeClr w14:val="tx1"/>
                  </w14:solidFill>
                </w14:textFill>
              </w:rPr>
            </w:pPr>
          </w:p>
        </w:tc>
      </w:tr>
      <w:tr w14:paraId="27C6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7E2EC82B">
            <w:pPr>
              <w:pStyle w:val="122"/>
              <w:spacing w:line="360" w:lineRule="auto"/>
              <w:rPr>
                <w:color w:val="000000" w:themeColor="text1"/>
                <w:sz w:val="24"/>
                <w:szCs w:val="24"/>
                <w:highlight w:val="none"/>
                <w:lang w:val="en-US"/>
                <w14:textFill>
                  <w14:solidFill>
                    <w14:schemeClr w14:val="tx1"/>
                  </w14:solidFill>
                </w14:textFill>
              </w:rPr>
            </w:pPr>
          </w:p>
        </w:tc>
        <w:tc>
          <w:tcPr>
            <w:tcW w:w="997" w:type="dxa"/>
          </w:tcPr>
          <w:p w14:paraId="7634C5A3">
            <w:pPr>
              <w:pStyle w:val="122"/>
              <w:spacing w:line="360" w:lineRule="auto"/>
              <w:rPr>
                <w:color w:val="000000" w:themeColor="text1"/>
                <w:sz w:val="24"/>
                <w:szCs w:val="24"/>
                <w:highlight w:val="none"/>
                <w:lang w:val="en-US"/>
                <w14:textFill>
                  <w14:solidFill>
                    <w14:schemeClr w14:val="tx1"/>
                  </w14:solidFill>
                </w14:textFill>
              </w:rPr>
            </w:pPr>
          </w:p>
        </w:tc>
        <w:tc>
          <w:tcPr>
            <w:tcW w:w="1545" w:type="dxa"/>
          </w:tcPr>
          <w:p w14:paraId="32E171D3">
            <w:pPr>
              <w:pStyle w:val="122"/>
              <w:spacing w:line="360" w:lineRule="auto"/>
              <w:rPr>
                <w:color w:val="000000" w:themeColor="text1"/>
                <w:sz w:val="24"/>
                <w:szCs w:val="24"/>
                <w:highlight w:val="none"/>
                <w:lang w:val="en-US"/>
                <w14:textFill>
                  <w14:solidFill>
                    <w14:schemeClr w14:val="tx1"/>
                  </w14:solidFill>
                </w14:textFill>
              </w:rPr>
            </w:pPr>
          </w:p>
        </w:tc>
        <w:tc>
          <w:tcPr>
            <w:tcW w:w="831" w:type="dxa"/>
          </w:tcPr>
          <w:p w14:paraId="7686ACE1">
            <w:pPr>
              <w:pStyle w:val="122"/>
              <w:spacing w:line="360" w:lineRule="auto"/>
              <w:rPr>
                <w:color w:val="000000" w:themeColor="text1"/>
                <w:sz w:val="24"/>
                <w:szCs w:val="24"/>
                <w:highlight w:val="none"/>
                <w:lang w:val="en-US"/>
                <w14:textFill>
                  <w14:solidFill>
                    <w14:schemeClr w14:val="tx1"/>
                  </w14:solidFill>
                </w14:textFill>
              </w:rPr>
            </w:pPr>
          </w:p>
        </w:tc>
        <w:tc>
          <w:tcPr>
            <w:tcW w:w="1270" w:type="dxa"/>
          </w:tcPr>
          <w:p w14:paraId="7396E231">
            <w:pPr>
              <w:pStyle w:val="122"/>
              <w:spacing w:line="360" w:lineRule="auto"/>
              <w:rPr>
                <w:color w:val="000000" w:themeColor="text1"/>
                <w:sz w:val="24"/>
                <w:szCs w:val="24"/>
                <w:highlight w:val="none"/>
                <w:lang w:val="en-US"/>
                <w14:textFill>
                  <w14:solidFill>
                    <w14:schemeClr w14:val="tx1"/>
                  </w14:solidFill>
                </w14:textFill>
              </w:rPr>
            </w:pPr>
          </w:p>
        </w:tc>
        <w:tc>
          <w:tcPr>
            <w:tcW w:w="955" w:type="dxa"/>
          </w:tcPr>
          <w:p w14:paraId="2B8813A5">
            <w:pPr>
              <w:pStyle w:val="122"/>
              <w:spacing w:line="360" w:lineRule="auto"/>
              <w:rPr>
                <w:color w:val="000000" w:themeColor="text1"/>
                <w:sz w:val="24"/>
                <w:szCs w:val="24"/>
                <w:highlight w:val="none"/>
                <w:lang w:val="en-US"/>
                <w14:textFill>
                  <w14:solidFill>
                    <w14:schemeClr w14:val="tx1"/>
                  </w14:solidFill>
                </w14:textFill>
              </w:rPr>
            </w:pPr>
          </w:p>
        </w:tc>
        <w:tc>
          <w:tcPr>
            <w:tcW w:w="1731" w:type="dxa"/>
          </w:tcPr>
          <w:p w14:paraId="47E45763">
            <w:pPr>
              <w:pStyle w:val="122"/>
              <w:spacing w:line="360" w:lineRule="auto"/>
              <w:rPr>
                <w:color w:val="000000" w:themeColor="text1"/>
                <w:sz w:val="24"/>
                <w:szCs w:val="24"/>
                <w:highlight w:val="none"/>
                <w:lang w:val="en-US"/>
                <w14:textFill>
                  <w14:solidFill>
                    <w14:schemeClr w14:val="tx1"/>
                  </w14:solidFill>
                </w14:textFill>
              </w:rPr>
            </w:pPr>
          </w:p>
        </w:tc>
      </w:tr>
      <w:tr w14:paraId="593C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47CA13C0">
            <w:pPr>
              <w:pStyle w:val="122"/>
              <w:spacing w:line="360" w:lineRule="auto"/>
              <w:rPr>
                <w:color w:val="000000" w:themeColor="text1"/>
                <w:sz w:val="24"/>
                <w:szCs w:val="24"/>
                <w:highlight w:val="none"/>
                <w:lang w:val="en-US"/>
                <w14:textFill>
                  <w14:solidFill>
                    <w14:schemeClr w14:val="tx1"/>
                  </w14:solidFill>
                </w14:textFill>
              </w:rPr>
            </w:pPr>
          </w:p>
        </w:tc>
        <w:tc>
          <w:tcPr>
            <w:tcW w:w="997" w:type="dxa"/>
          </w:tcPr>
          <w:p w14:paraId="284DB6CC">
            <w:pPr>
              <w:pStyle w:val="122"/>
              <w:spacing w:line="360" w:lineRule="auto"/>
              <w:rPr>
                <w:color w:val="000000" w:themeColor="text1"/>
                <w:sz w:val="24"/>
                <w:szCs w:val="24"/>
                <w:highlight w:val="none"/>
                <w:lang w:val="en-US"/>
                <w14:textFill>
                  <w14:solidFill>
                    <w14:schemeClr w14:val="tx1"/>
                  </w14:solidFill>
                </w14:textFill>
              </w:rPr>
            </w:pPr>
          </w:p>
        </w:tc>
        <w:tc>
          <w:tcPr>
            <w:tcW w:w="1545" w:type="dxa"/>
          </w:tcPr>
          <w:p w14:paraId="698865FA">
            <w:pPr>
              <w:pStyle w:val="122"/>
              <w:spacing w:line="360" w:lineRule="auto"/>
              <w:rPr>
                <w:color w:val="000000" w:themeColor="text1"/>
                <w:sz w:val="24"/>
                <w:szCs w:val="24"/>
                <w:highlight w:val="none"/>
                <w:lang w:val="en-US"/>
                <w14:textFill>
                  <w14:solidFill>
                    <w14:schemeClr w14:val="tx1"/>
                  </w14:solidFill>
                </w14:textFill>
              </w:rPr>
            </w:pPr>
          </w:p>
        </w:tc>
        <w:tc>
          <w:tcPr>
            <w:tcW w:w="831" w:type="dxa"/>
          </w:tcPr>
          <w:p w14:paraId="74E79C8C">
            <w:pPr>
              <w:pStyle w:val="122"/>
              <w:spacing w:line="360" w:lineRule="auto"/>
              <w:rPr>
                <w:color w:val="000000" w:themeColor="text1"/>
                <w:sz w:val="24"/>
                <w:szCs w:val="24"/>
                <w:highlight w:val="none"/>
                <w:lang w:val="en-US"/>
                <w14:textFill>
                  <w14:solidFill>
                    <w14:schemeClr w14:val="tx1"/>
                  </w14:solidFill>
                </w14:textFill>
              </w:rPr>
            </w:pPr>
          </w:p>
        </w:tc>
        <w:tc>
          <w:tcPr>
            <w:tcW w:w="1270" w:type="dxa"/>
          </w:tcPr>
          <w:p w14:paraId="6E239D7D">
            <w:pPr>
              <w:pStyle w:val="122"/>
              <w:spacing w:line="360" w:lineRule="auto"/>
              <w:rPr>
                <w:color w:val="000000" w:themeColor="text1"/>
                <w:sz w:val="24"/>
                <w:szCs w:val="24"/>
                <w:highlight w:val="none"/>
                <w:lang w:val="en-US"/>
                <w14:textFill>
                  <w14:solidFill>
                    <w14:schemeClr w14:val="tx1"/>
                  </w14:solidFill>
                </w14:textFill>
              </w:rPr>
            </w:pPr>
          </w:p>
        </w:tc>
        <w:tc>
          <w:tcPr>
            <w:tcW w:w="955" w:type="dxa"/>
          </w:tcPr>
          <w:p w14:paraId="340996E9">
            <w:pPr>
              <w:pStyle w:val="122"/>
              <w:spacing w:line="360" w:lineRule="auto"/>
              <w:rPr>
                <w:color w:val="000000" w:themeColor="text1"/>
                <w:sz w:val="24"/>
                <w:szCs w:val="24"/>
                <w:highlight w:val="none"/>
                <w:lang w:val="en-US"/>
                <w14:textFill>
                  <w14:solidFill>
                    <w14:schemeClr w14:val="tx1"/>
                  </w14:solidFill>
                </w14:textFill>
              </w:rPr>
            </w:pPr>
          </w:p>
        </w:tc>
        <w:tc>
          <w:tcPr>
            <w:tcW w:w="1731" w:type="dxa"/>
          </w:tcPr>
          <w:p w14:paraId="242E86B1">
            <w:pPr>
              <w:pStyle w:val="122"/>
              <w:spacing w:line="360" w:lineRule="auto"/>
              <w:rPr>
                <w:color w:val="000000" w:themeColor="text1"/>
                <w:sz w:val="24"/>
                <w:szCs w:val="24"/>
                <w:highlight w:val="none"/>
                <w:lang w:val="en-US"/>
                <w14:textFill>
                  <w14:solidFill>
                    <w14:schemeClr w14:val="tx1"/>
                  </w14:solidFill>
                </w14:textFill>
              </w:rPr>
            </w:pPr>
          </w:p>
        </w:tc>
      </w:tr>
      <w:tr w14:paraId="5D88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689BC742">
            <w:pPr>
              <w:pStyle w:val="122"/>
              <w:spacing w:line="360" w:lineRule="auto"/>
              <w:rPr>
                <w:color w:val="000000" w:themeColor="text1"/>
                <w:sz w:val="24"/>
                <w:szCs w:val="24"/>
                <w:highlight w:val="none"/>
                <w:lang w:val="en-US"/>
                <w14:textFill>
                  <w14:solidFill>
                    <w14:schemeClr w14:val="tx1"/>
                  </w14:solidFill>
                </w14:textFill>
              </w:rPr>
            </w:pPr>
          </w:p>
        </w:tc>
        <w:tc>
          <w:tcPr>
            <w:tcW w:w="997" w:type="dxa"/>
          </w:tcPr>
          <w:p w14:paraId="414D92F7">
            <w:pPr>
              <w:pStyle w:val="122"/>
              <w:spacing w:line="360" w:lineRule="auto"/>
              <w:rPr>
                <w:color w:val="000000" w:themeColor="text1"/>
                <w:sz w:val="24"/>
                <w:szCs w:val="24"/>
                <w:highlight w:val="none"/>
                <w:lang w:val="en-US"/>
                <w14:textFill>
                  <w14:solidFill>
                    <w14:schemeClr w14:val="tx1"/>
                  </w14:solidFill>
                </w14:textFill>
              </w:rPr>
            </w:pPr>
          </w:p>
        </w:tc>
        <w:tc>
          <w:tcPr>
            <w:tcW w:w="1545" w:type="dxa"/>
          </w:tcPr>
          <w:p w14:paraId="49B68C20">
            <w:pPr>
              <w:pStyle w:val="122"/>
              <w:spacing w:line="360" w:lineRule="auto"/>
              <w:rPr>
                <w:color w:val="000000" w:themeColor="text1"/>
                <w:sz w:val="24"/>
                <w:szCs w:val="24"/>
                <w:highlight w:val="none"/>
                <w:lang w:val="en-US"/>
                <w14:textFill>
                  <w14:solidFill>
                    <w14:schemeClr w14:val="tx1"/>
                  </w14:solidFill>
                </w14:textFill>
              </w:rPr>
            </w:pPr>
          </w:p>
        </w:tc>
        <w:tc>
          <w:tcPr>
            <w:tcW w:w="831" w:type="dxa"/>
          </w:tcPr>
          <w:p w14:paraId="31D261CD">
            <w:pPr>
              <w:pStyle w:val="122"/>
              <w:spacing w:line="360" w:lineRule="auto"/>
              <w:rPr>
                <w:color w:val="000000" w:themeColor="text1"/>
                <w:sz w:val="24"/>
                <w:szCs w:val="24"/>
                <w:highlight w:val="none"/>
                <w:lang w:val="en-US"/>
                <w14:textFill>
                  <w14:solidFill>
                    <w14:schemeClr w14:val="tx1"/>
                  </w14:solidFill>
                </w14:textFill>
              </w:rPr>
            </w:pPr>
          </w:p>
        </w:tc>
        <w:tc>
          <w:tcPr>
            <w:tcW w:w="1270" w:type="dxa"/>
          </w:tcPr>
          <w:p w14:paraId="3DA58A23">
            <w:pPr>
              <w:pStyle w:val="122"/>
              <w:spacing w:line="360" w:lineRule="auto"/>
              <w:rPr>
                <w:color w:val="000000" w:themeColor="text1"/>
                <w:sz w:val="24"/>
                <w:szCs w:val="24"/>
                <w:highlight w:val="none"/>
                <w:lang w:val="en-US"/>
                <w14:textFill>
                  <w14:solidFill>
                    <w14:schemeClr w14:val="tx1"/>
                  </w14:solidFill>
                </w14:textFill>
              </w:rPr>
            </w:pPr>
          </w:p>
        </w:tc>
        <w:tc>
          <w:tcPr>
            <w:tcW w:w="955" w:type="dxa"/>
          </w:tcPr>
          <w:p w14:paraId="1FDD604A">
            <w:pPr>
              <w:pStyle w:val="122"/>
              <w:spacing w:line="360" w:lineRule="auto"/>
              <w:rPr>
                <w:color w:val="000000" w:themeColor="text1"/>
                <w:sz w:val="24"/>
                <w:szCs w:val="24"/>
                <w:highlight w:val="none"/>
                <w:lang w:val="en-US"/>
                <w14:textFill>
                  <w14:solidFill>
                    <w14:schemeClr w14:val="tx1"/>
                  </w14:solidFill>
                </w14:textFill>
              </w:rPr>
            </w:pPr>
          </w:p>
        </w:tc>
        <w:tc>
          <w:tcPr>
            <w:tcW w:w="1731" w:type="dxa"/>
          </w:tcPr>
          <w:p w14:paraId="4430E5AD">
            <w:pPr>
              <w:pStyle w:val="122"/>
              <w:spacing w:line="360" w:lineRule="auto"/>
              <w:rPr>
                <w:color w:val="000000" w:themeColor="text1"/>
                <w:sz w:val="24"/>
                <w:szCs w:val="24"/>
                <w:highlight w:val="none"/>
                <w:lang w:val="en-US"/>
                <w14:textFill>
                  <w14:solidFill>
                    <w14:schemeClr w14:val="tx1"/>
                  </w14:solidFill>
                </w14:textFill>
              </w:rPr>
            </w:pPr>
          </w:p>
        </w:tc>
      </w:tr>
      <w:tr w14:paraId="387C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52FB9F2C">
            <w:pPr>
              <w:pStyle w:val="122"/>
              <w:spacing w:line="360" w:lineRule="auto"/>
              <w:rPr>
                <w:color w:val="000000" w:themeColor="text1"/>
                <w:sz w:val="24"/>
                <w:szCs w:val="24"/>
                <w:highlight w:val="none"/>
                <w:lang w:val="en-US"/>
                <w14:textFill>
                  <w14:solidFill>
                    <w14:schemeClr w14:val="tx1"/>
                  </w14:solidFill>
                </w14:textFill>
              </w:rPr>
            </w:pPr>
          </w:p>
        </w:tc>
        <w:tc>
          <w:tcPr>
            <w:tcW w:w="997" w:type="dxa"/>
          </w:tcPr>
          <w:p w14:paraId="12063DBF">
            <w:pPr>
              <w:pStyle w:val="122"/>
              <w:spacing w:line="360" w:lineRule="auto"/>
              <w:rPr>
                <w:color w:val="000000" w:themeColor="text1"/>
                <w:sz w:val="24"/>
                <w:szCs w:val="24"/>
                <w:highlight w:val="none"/>
                <w:lang w:val="en-US"/>
                <w14:textFill>
                  <w14:solidFill>
                    <w14:schemeClr w14:val="tx1"/>
                  </w14:solidFill>
                </w14:textFill>
              </w:rPr>
            </w:pPr>
          </w:p>
        </w:tc>
        <w:tc>
          <w:tcPr>
            <w:tcW w:w="1545" w:type="dxa"/>
          </w:tcPr>
          <w:p w14:paraId="55FE8A5D">
            <w:pPr>
              <w:pStyle w:val="122"/>
              <w:spacing w:line="360" w:lineRule="auto"/>
              <w:rPr>
                <w:color w:val="000000" w:themeColor="text1"/>
                <w:sz w:val="24"/>
                <w:szCs w:val="24"/>
                <w:highlight w:val="none"/>
                <w:lang w:val="en-US"/>
                <w14:textFill>
                  <w14:solidFill>
                    <w14:schemeClr w14:val="tx1"/>
                  </w14:solidFill>
                </w14:textFill>
              </w:rPr>
            </w:pPr>
          </w:p>
        </w:tc>
        <w:tc>
          <w:tcPr>
            <w:tcW w:w="831" w:type="dxa"/>
          </w:tcPr>
          <w:p w14:paraId="504D3D47">
            <w:pPr>
              <w:pStyle w:val="122"/>
              <w:spacing w:line="360" w:lineRule="auto"/>
              <w:rPr>
                <w:color w:val="000000" w:themeColor="text1"/>
                <w:sz w:val="24"/>
                <w:szCs w:val="24"/>
                <w:highlight w:val="none"/>
                <w:lang w:val="en-US"/>
                <w14:textFill>
                  <w14:solidFill>
                    <w14:schemeClr w14:val="tx1"/>
                  </w14:solidFill>
                </w14:textFill>
              </w:rPr>
            </w:pPr>
          </w:p>
        </w:tc>
        <w:tc>
          <w:tcPr>
            <w:tcW w:w="1270" w:type="dxa"/>
          </w:tcPr>
          <w:p w14:paraId="695DFA9D">
            <w:pPr>
              <w:pStyle w:val="122"/>
              <w:spacing w:line="360" w:lineRule="auto"/>
              <w:rPr>
                <w:color w:val="000000" w:themeColor="text1"/>
                <w:sz w:val="24"/>
                <w:szCs w:val="24"/>
                <w:highlight w:val="none"/>
                <w:lang w:val="en-US"/>
                <w14:textFill>
                  <w14:solidFill>
                    <w14:schemeClr w14:val="tx1"/>
                  </w14:solidFill>
                </w14:textFill>
              </w:rPr>
            </w:pPr>
          </w:p>
        </w:tc>
        <w:tc>
          <w:tcPr>
            <w:tcW w:w="955" w:type="dxa"/>
          </w:tcPr>
          <w:p w14:paraId="334CCB91">
            <w:pPr>
              <w:pStyle w:val="122"/>
              <w:spacing w:line="360" w:lineRule="auto"/>
              <w:rPr>
                <w:color w:val="000000" w:themeColor="text1"/>
                <w:sz w:val="24"/>
                <w:szCs w:val="24"/>
                <w:highlight w:val="none"/>
                <w:lang w:val="en-US"/>
                <w14:textFill>
                  <w14:solidFill>
                    <w14:schemeClr w14:val="tx1"/>
                  </w14:solidFill>
                </w14:textFill>
              </w:rPr>
            </w:pPr>
          </w:p>
        </w:tc>
        <w:tc>
          <w:tcPr>
            <w:tcW w:w="1731" w:type="dxa"/>
          </w:tcPr>
          <w:p w14:paraId="4528D552">
            <w:pPr>
              <w:pStyle w:val="122"/>
              <w:spacing w:line="360" w:lineRule="auto"/>
              <w:rPr>
                <w:color w:val="000000" w:themeColor="text1"/>
                <w:sz w:val="24"/>
                <w:szCs w:val="24"/>
                <w:highlight w:val="none"/>
                <w:lang w:val="en-US"/>
                <w14:textFill>
                  <w14:solidFill>
                    <w14:schemeClr w14:val="tx1"/>
                  </w14:solidFill>
                </w14:textFill>
              </w:rPr>
            </w:pPr>
          </w:p>
        </w:tc>
      </w:tr>
      <w:tr w14:paraId="0726A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665C03EF">
            <w:pPr>
              <w:pStyle w:val="122"/>
              <w:spacing w:line="360" w:lineRule="auto"/>
              <w:rPr>
                <w:color w:val="000000" w:themeColor="text1"/>
                <w:sz w:val="24"/>
                <w:szCs w:val="24"/>
                <w:highlight w:val="none"/>
                <w:lang w:val="en-US"/>
                <w14:textFill>
                  <w14:solidFill>
                    <w14:schemeClr w14:val="tx1"/>
                  </w14:solidFill>
                </w14:textFill>
              </w:rPr>
            </w:pPr>
          </w:p>
        </w:tc>
        <w:tc>
          <w:tcPr>
            <w:tcW w:w="997" w:type="dxa"/>
          </w:tcPr>
          <w:p w14:paraId="641B7A56">
            <w:pPr>
              <w:pStyle w:val="122"/>
              <w:spacing w:line="360" w:lineRule="auto"/>
              <w:rPr>
                <w:color w:val="000000" w:themeColor="text1"/>
                <w:sz w:val="24"/>
                <w:szCs w:val="24"/>
                <w:highlight w:val="none"/>
                <w:lang w:val="en-US"/>
                <w14:textFill>
                  <w14:solidFill>
                    <w14:schemeClr w14:val="tx1"/>
                  </w14:solidFill>
                </w14:textFill>
              </w:rPr>
            </w:pPr>
          </w:p>
        </w:tc>
        <w:tc>
          <w:tcPr>
            <w:tcW w:w="1545" w:type="dxa"/>
          </w:tcPr>
          <w:p w14:paraId="445CC8F6">
            <w:pPr>
              <w:pStyle w:val="122"/>
              <w:spacing w:line="360" w:lineRule="auto"/>
              <w:rPr>
                <w:color w:val="000000" w:themeColor="text1"/>
                <w:sz w:val="24"/>
                <w:szCs w:val="24"/>
                <w:highlight w:val="none"/>
                <w:lang w:val="en-US"/>
                <w14:textFill>
                  <w14:solidFill>
                    <w14:schemeClr w14:val="tx1"/>
                  </w14:solidFill>
                </w14:textFill>
              </w:rPr>
            </w:pPr>
          </w:p>
        </w:tc>
        <w:tc>
          <w:tcPr>
            <w:tcW w:w="831" w:type="dxa"/>
          </w:tcPr>
          <w:p w14:paraId="728EB58B">
            <w:pPr>
              <w:pStyle w:val="122"/>
              <w:spacing w:line="360" w:lineRule="auto"/>
              <w:rPr>
                <w:color w:val="000000" w:themeColor="text1"/>
                <w:sz w:val="24"/>
                <w:szCs w:val="24"/>
                <w:highlight w:val="none"/>
                <w:lang w:val="en-US"/>
                <w14:textFill>
                  <w14:solidFill>
                    <w14:schemeClr w14:val="tx1"/>
                  </w14:solidFill>
                </w14:textFill>
              </w:rPr>
            </w:pPr>
          </w:p>
        </w:tc>
        <w:tc>
          <w:tcPr>
            <w:tcW w:w="1270" w:type="dxa"/>
          </w:tcPr>
          <w:p w14:paraId="05BC4434">
            <w:pPr>
              <w:pStyle w:val="122"/>
              <w:spacing w:line="360" w:lineRule="auto"/>
              <w:rPr>
                <w:color w:val="000000" w:themeColor="text1"/>
                <w:sz w:val="24"/>
                <w:szCs w:val="24"/>
                <w:highlight w:val="none"/>
                <w:lang w:val="en-US"/>
                <w14:textFill>
                  <w14:solidFill>
                    <w14:schemeClr w14:val="tx1"/>
                  </w14:solidFill>
                </w14:textFill>
              </w:rPr>
            </w:pPr>
          </w:p>
        </w:tc>
        <w:tc>
          <w:tcPr>
            <w:tcW w:w="955" w:type="dxa"/>
          </w:tcPr>
          <w:p w14:paraId="289B7B9D">
            <w:pPr>
              <w:pStyle w:val="122"/>
              <w:spacing w:line="360" w:lineRule="auto"/>
              <w:rPr>
                <w:color w:val="000000" w:themeColor="text1"/>
                <w:sz w:val="24"/>
                <w:szCs w:val="24"/>
                <w:highlight w:val="none"/>
                <w:lang w:val="en-US"/>
                <w14:textFill>
                  <w14:solidFill>
                    <w14:schemeClr w14:val="tx1"/>
                  </w14:solidFill>
                </w14:textFill>
              </w:rPr>
            </w:pPr>
          </w:p>
        </w:tc>
        <w:tc>
          <w:tcPr>
            <w:tcW w:w="1731" w:type="dxa"/>
          </w:tcPr>
          <w:p w14:paraId="356A6D05">
            <w:pPr>
              <w:pStyle w:val="122"/>
              <w:spacing w:line="360" w:lineRule="auto"/>
              <w:rPr>
                <w:color w:val="000000" w:themeColor="text1"/>
                <w:sz w:val="24"/>
                <w:szCs w:val="24"/>
                <w:highlight w:val="none"/>
                <w:lang w:val="en-US"/>
                <w14:textFill>
                  <w14:solidFill>
                    <w14:schemeClr w14:val="tx1"/>
                  </w14:solidFill>
                </w14:textFill>
              </w:rPr>
            </w:pPr>
          </w:p>
        </w:tc>
      </w:tr>
      <w:tr w14:paraId="445BE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58DDC36C">
            <w:pPr>
              <w:pStyle w:val="122"/>
              <w:spacing w:line="360" w:lineRule="auto"/>
              <w:rPr>
                <w:color w:val="000000" w:themeColor="text1"/>
                <w:sz w:val="24"/>
                <w:szCs w:val="24"/>
                <w:highlight w:val="none"/>
                <w:lang w:val="en-US"/>
                <w14:textFill>
                  <w14:solidFill>
                    <w14:schemeClr w14:val="tx1"/>
                  </w14:solidFill>
                </w14:textFill>
              </w:rPr>
            </w:pPr>
          </w:p>
        </w:tc>
        <w:tc>
          <w:tcPr>
            <w:tcW w:w="997" w:type="dxa"/>
          </w:tcPr>
          <w:p w14:paraId="57AD8404">
            <w:pPr>
              <w:pStyle w:val="122"/>
              <w:spacing w:line="360" w:lineRule="auto"/>
              <w:rPr>
                <w:color w:val="000000" w:themeColor="text1"/>
                <w:sz w:val="24"/>
                <w:szCs w:val="24"/>
                <w:highlight w:val="none"/>
                <w:lang w:val="en-US"/>
                <w14:textFill>
                  <w14:solidFill>
                    <w14:schemeClr w14:val="tx1"/>
                  </w14:solidFill>
                </w14:textFill>
              </w:rPr>
            </w:pPr>
          </w:p>
        </w:tc>
        <w:tc>
          <w:tcPr>
            <w:tcW w:w="1545" w:type="dxa"/>
          </w:tcPr>
          <w:p w14:paraId="4ED9DF46">
            <w:pPr>
              <w:pStyle w:val="122"/>
              <w:spacing w:line="360" w:lineRule="auto"/>
              <w:rPr>
                <w:color w:val="000000" w:themeColor="text1"/>
                <w:sz w:val="24"/>
                <w:szCs w:val="24"/>
                <w:highlight w:val="none"/>
                <w:lang w:val="en-US"/>
                <w14:textFill>
                  <w14:solidFill>
                    <w14:schemeClr w14:val="tx1"/>
                  </w14:solidFill>
                </w14:textFill>
              </w:rPr>
            </w:pPr>
          </w:p>
        </w:tc>
        <w:tc>
          <w:tcPr>
            <w:tcW w:w="831" w:type="dxa"/>
          </w:tcPr>
          <w:p w14:paraId="56783F80">
            <w:pPr>
              <w:pStyle w:val="122"/>
              <w:spacing w:line="360" w:lineRule="auto"/>
              <w:rPr>
                <w:color w:val="000000" w:themeColor="text1"/>
                <w:sz w:val="24"/>
                <w:szCs w:val="24"/>
                <w:highlight w:val="none"/>
                <w:lang w:val="en-US"/>
                <w14:textFill>
                  <w14:solidFill>
                    <w14:schemeClr w14:val="tx1"/>
                  </w14:solidFill>
                </w14:textFill>
              </w:rPr>
            </w:pPr>
          </w:p>
        </w:tc>
        <w:tc>
          <w:tcPr>
            <w:tcW w:w="1270" w:type="dxa"/>
          </w:tcPr>
          <w:p w14:paraId="4C11BA68">
            <w:pPr>
              <w:pStyle w:val="122"/>
              <w:spacing w:line="360" w:lineRule="auto"/>
              <w:rPr>
                <w:color w:val="000000" w:themeColor="text1"/>
                <w:sz w:val="24"/>
                <w:szCs w:val="24"/>
                <w:highlight w:val="none"/>
                <w:lang w:val="en-US"/>
                <w14:textFill>
                  <w14:solidFill>
                    <w14:schemeClr w14:val="tx1"/>
                  </w14:solidFill>
                </w14:textFill>
              </w:rPr>
            </w:pPr>
          </w:p>
        </w:tc>
        <w:tc>
          <w:tcPr>
            <w:tcW w:w="955" w:type="dxa"/>
          </w:tcPr>
          <w:p w14:paraId="21A10B04">
            <w:pPr>
              <w:pStyle w:val="122"/>
              <w:spacing w:line="360" w:lineRule="auto"/>
              <w:rPr>
                <w:color w:val="000000" w:themeColor="text1"/>
                <w:sz w:val="24"/>
                <w:szCs w:val="24"/>
                <w:highlight w:val="none"/>
                <w:lang w:val="en-US"/>
                <w14:textFill>
                  <w14:solidFill>
                    <w14:schemeClr w14:val="tx1"/>
                  </w14:solidFill>
                </w14:textFill>
              </w:rPr>
            </w:pPr>
          </w:p>
        </w:tc>
        <w:tc>
          <w:tcPr>
            <w:tcW w:w="1731" w:type="dxa"/>
          </w:tcPr>
          <w:p w14:paraId="0B041CE6">
            <w:pPr>
              <w:pStyle w:val="122"/>
              <w:spacing w:line="360" w:lineRule="auto"/>
              <w:rPr>
                <w:color w:val="000000" w:themeColor="text1"/>
                <w:sz w:val="24"/>
                <w:szCs w:val="24"/>
                <w:highlight w:val="none"/>
                <w:lang w:val="en-US"/>
                <w14:textFill>
                  <w14:solidFill>
                    <w14:schemeClr w14:val="tx1"/>
                  </w14:solidFill>
                </w14:textFill>
              </w:rPr>
            </w:pPr>
          </w:p>
        </w:tc>
      </w:tr>
      <w:tr w14:paraId="039F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6082D1B7">
            <w:pPr>
              <w:pStyle w:val="122"/>
              <w:spacing w:line="360" w:lineRule="auto"/>
              <w:rPr>
                <w:color w:val="000000" w:themeColor="text1"/>
                <w:sz w:val="24"/>
                <w:szCs w:val="24"/>
                <w:highlight w:val="none"/>
                <w:lang w:val="en-US"/>
                <w14:textFill>
                  <w14:solidFill>
                    <w14:schemeClr w14:val="tx1"/>
                  </w14:solidFill>
                </w14:textFill>
              </w:rPr>
            </w:pPr>
          </w:p>
        </w:tc>
        <w:tc>
          <w:tcPr>
            <w:tcW w:w="997" w:type="dxa"/>
          </w:tcPr>
          <w:p w14:paraId="0EC75DE0">
            <w:pPr>
              <w:pStyle w:val="122"/>
              <w:spacing w:line="360" w:lineRule="auto"/>
              <w:rPr>
                <w:color w:val="000000" w:themeColor="text1"/>
                <w:sz w:val="24"/>
                <w:szCs w:val="24"/>
                <w:highlight w:val="none"/>
                <w:lang w:val="en-US"/>
                <w14:textFill>
                  <w14:solidFill>
                    <w14:schemeClr w14:val="tx1"/>
                  </w14:solidFill>
                </w14:textFill>
              </w:rPr>
            </w:pPr>
          </w:p>
        </w:tc>
        <w:tc>
          <w:tcPr>
            <w:tcW w:w="1545" w:type="dxa"/>
          </w:tcPr>
          <w:p w14:paraId="3DA5CB86">
            <w:pPr>
              <w:pStyle w:val="122"/>
              <w:spacing w:line="360" w:lineRule="auto"/>
              <w:rPr>
                <w:color w:val="000000" w:themeColor="text1"/>
                <w:sz w:val="24"/>
                <w:szCs w:val="24"/>
                <w:highlight w:val="none"/>
                <w:lang w:val="en-US"/>
                <w14:textFill>
                  <w14:solidFill>
                    <w14:schemeClr w14:val="tx1"/>
                  </w14:solidFill>
                </w14:textFill>
              </w:rPr>
            </w:pPr>
          </w:p>
        </w:tc>
        <w:tc>
          <w:tcPr>
            <w:tcW w:w="831" w:type="dxa"/>
          </w:tcPr>
          <w:p w14:paraId="7B20AB02">
            <w:pPr>
              <w:pStyle w:val="122"/>
              <w:spacing w:line="360" w:lineRule="auto"/>
              <w:rPr>
                <w:color w:val="000000" w:themeColor="text1"/>
                <w:sz w:val="24"/>
                <w:szCs w:val="24"/>
                <w:highlight w:val="none"/>
                <w:lang w:val="en-US"/>
                <w14:textFill>
                  <w14:solidFill>
                    <w14:schemeClr w14:val="tx1"/>
                  </w14:solidFill>
                </w14:textFill>
              </w:rPr>
            </w:pPr>
          </w:p>
        </w:tc>
        <w:tc>
          <w:tcPr>
            <w:tcW w:w="1270" w:type="dxa"/>
          </w:tcPr>
          <w:p w14:paraId="380CAFBC">
            <w:pPr>
              <w:pStyle w:val="122"/>
              <w:spacing w:line="360" w:lineRule="auto"/>
              <w:rPr>
                <w:color w:val="000000" w:themeColor="text1"/>
                <w:sz w:val="24"/>
                <w:szCs w:val="24"/>
                <w:highlight w:val="none"/>
                <w:lang w:val="en-US"/>
                <w14:textFill>
                  <w14:solidFill>
                    <w14:schemeClr w14:val="tx1"/>
                  </w14:solidFill>
                </w14:textFill>
              </w:rPr>
            </w:pPr>
          </w:p>
        </w:tc>
        <w:tc>
          <w:tcPr>
            <w:tcW w:w="955" w:type="dxa"/>
          </w:tcPr>
          <w:p w14:paraId="1F743E24">
            <w:pPr>
              <w:pStyle w:val="122"/>
              <w:spacing w:line="360" w:lineRule="auto"/>
              <w:rPr>
                <w:color w:val="000000" w:themeColor="text1"/>
                <w:sz w:val="24"/>
                <w:szCs w:val="24"/>
                <w:highlight w:val="none"/>
                <w:lang w:val="en-US"/>
                <w14:textFill>
                  <w14:solidFill>
                    <w14:schemeClr w14:val="tx1"/>
                  </w14:solidFill>
                </w14:textFill>
              </w:rPr>
            </w:pPr>
          </w:p>
        </w:tc>
        <w:tc>
          <w:tcPr>
            <w:tcW w:w="1731" w:type="dxa"/>
          </w:tcPr>
          <w:p w14:paraId="7D619DCD">
            <w:pPr>
              <w:pStyle w:val="122"/>
              <w:spacing w:line="360" w:lineRule="auto"/>
              <w:rPr>
                <w:color w:val="000000" w:themeColor="text1"/>
                <w:sz w:val="24"/>
                <w:szCs w:val="24"/>
                <w:highlight w:val="none"/>
                <w:lang w:val="en-US"/>
                <w14:textFill>
                  <w14:solidFill>
                    <w14:schemeClr w14:val="tx1"/>
                  </w14:solidFill>
                </w14:textFill>
              </w:rPr>
            </w:pPr>
          </w:p>
        </w:tc>
      </w:tr>
      <w:tr w14:paraId="5724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1FC0DA53">
            <w:pPr>
              <w:pStyle w:val="122"/>
              <w:spacing w:line="360" w:lineRule="auto"/>
              <w:rPr>
                <w:color w:val="000000" w:themeColor="text1"/>
                <w:sz w:val="24"/>
                <w:szCs w:val="24"/>
                <w:highlight w:val="none"/>
                <w:lang w:val="en-US"/>
                <w14:textFill>
                  <w14:solidFill>
                    <w14:schemeClr w14:val="tx1"/>
                  </w14:solidFill>
                </w14:textFill>
              </w:rPr>
            </w:pPr>
          </w:p>
        </w:tc>
        <w:tc>
          <w:tcPr>
            <w:tcW w:w="997" w:type="dxa"/>
          </w:tcPr>
          <w:p w14:paraId="2145BC99">
            <w:pPr>
              <w:pStyle w:val="122"/>
              <w:spacing w:line="360" w:lineRule="auto"/>
              <w:rPr>
                <w:color w:val="000000" w:themeColor="text1"/>
                <w:sz w:val="24"/>
                <w:szCs w:val="24"/>
                <w:highlight w:val="none"/>
                <w:lang w:val="en-US"/>
                <w14:textFill>
                  <w14:solidFill>
                    <w14:schemeClr w14:val="tx1"/>
                  </w14:solidFill>
                </w14:textFill>
              </w:rPr>
            </w:pPr>
          </w:p>
        </w:tc>
        <w:tc>
          <w:tcPr>
            <w:tcW w:w="1545" w:type="dxa"/>
          </w:tcPr>
          <w:p w14:paraId="3D8695CB">
            <w:pPr>
              <w:pStyle w:val="122"/>
              <w:spacing w:line="360" w:lineRule="auto"/>
              <w:rPr>
                <w:color w:val="000000" w:themeColor="text1"/>
                <w:sz w:val="24"/>
                <w:szCs w:val="24"/>
                <w:highlight w:val="none"/>
                <w:lang w:val="en-US"/>
                <w14:textFill>
                  <w14:solidFill>
                    <w14:schemeClr w14:val="tx1"/>
                  </w14:solidFill>
                </w14:textFill>
              </w:rPr>
            </w:pPr>
          </w:p>
        </w:tc>
        <w:tc>
          <w:tcPr>
            <w:tcW w:w="831" w:type="dxa"/>
          </w:tcPr>
          <w:p w14:paraId="4FF48A7D">
            <w:pPr>
              <w:pStyle w:val="122"/>
              <w:spacing w:line="360" w:lineRule="auto"/>
              <w:rPr>
                <w:color w:val="000000" w:themeColor="text1"/>
                <w:sz w:val="24"/>
                <w:szCs w:val="24"/>
                <w:highlight w:val="none"/>
                <w:lang w:val="en-US"/>
                <w14:textFill>
                  <w14:solidFill>
                    <w14:schemeClr w14:val="tx1"/>
                  </w14:solidFill>
                </w14:textFill>
              </w:rPr>
            </w:pPr>
          </w:p>
        </w:tc>
        <w:tc>
          <w:tcPr>
            <w:tcW w:w="1270" w:type="dxa"/>
          </w:tcPr>
          <w:p w14:paraId="1DE003F1">
            <w:pPr>
              <w:pStyle w:val="122"/>
              <w:spacing w:line="360" w:lineRule="auto"/>
              <w:rPr>
                <w:color w:val="000000" w:themeColor="text1"/>
                <w:sz w:val="24"/>
                <w:szCs w:val="24"/>
                <w:highlight w:val="none"/>
                <w:lang w:val="en-US"/>
                <w14:textFill>
                  <w14:solidFill>
                    <w14:schemeClr w14:val="tx1"/>
                  </w14:solidFill>
                </w14:textFill>
              </w:rPr>
            </w:pPr>
          </w:p>
        </w:tc>
        <w:tc>
          <w:tcPr>
            <w:tcW w:w="955" w:type="dxa"/>
          </w:tcPr>
          <w:p w14:paraId="076657DB">
            <w:pPr>
              <w:pStyle w:val="122"/>
              <w:spacing w:line="360" w:lineRule="auto"/>
              <w:rPr>
                <w:color w:val="000000" w:themeColor="text1"/>
                <w:sz w:val="24"/>
                <w:szCs w:val="24"/>
                <w:highlight w:val="none"/>
                <w:lang w:val="en-US"/>
                <w14:textFill>
                  <w14:solidFill>
                    <w14:schemeClr w14:val="tx1"/>
                  </w14:solidFill>
                </w14:textFill>
              </w:rPr>
            </w:pPr>
          </w:p>
        </w:tc>
        <w:tc>
          <w:tcPr>
            <w:tcW w:w="1731" w:type="dxa"/>
          </w:tcPr>
          <w:p w14:paraId="2890372A">
            <w:pPr>
              <w:pStyle w:val="122"/>
              <w:spacing w:line="360" w:lineRule="auto"/>
              <w:rPr>
                <w:color w:val="000000" w:themeColor="text1"/>
                <w:sz w:val="24"/>
                <w:szCs w:val="24"/>
                <w:highlight w:val="none"/>
                <w:lang w:val="en-US"/>
                <w14:textFill>
                  <w14:solidFill>
                    <w14:schemeClr w14:val="tx1"/>
                  </w14:solidFill>
                </w14:textFill>
              </w:rPr>
            </w:pPr>
          </w:p>
        </w:tc>
      </w:tr>
      <w:tr w14:paraId="42401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04FD5807">
            <w:pPr>
              <w:pStyle w:val="122"/>
              <w:spacing w:line="360" w:lineRule="auto"/>
              <w:rPr>
                <w:color w:val="000000" w:themeColor="text1"/>
                <w:sz w:val="24"/>
                <w:szCs w:val="24"/>
                <w:highlight w:val="none"/>
                <w:lang w:val="en-US"/>
                <w14:textFill>
                  <w14:solidFill>
                    <w14:schemeClr w14:val="tx1"/>
                  </w14:solidFill>
                </w14:textFill>
              </w:rPr>
            </w:pPr>
          </w:p>
        </w:tc>
        <w:tc>
          <w:tcPr>
            <w:tcW w:w="997" w:type="dxa"/>
          </w:tcPr>
          <w:p w14:paraId="2BF4B96C">
            <w:pPr>
              <w:pStyle w:val="122"/>
              <w:spacing w:line="360" w:lineRule="auto"/>
              <w:rPr>
                <w:color w:val="000000" w:themeColor="text1"/>
                <w:sz w:val="24"/>
                <w:szCs w:val="24"/>
                <w:highlight w:val="none"/>
                <w:lang w:val="en-US"/>
                <w14:textFill>
                  <w14:solidFill>
                    <w14:schemeClr w14:val="tx1"/>
                  </w14:solidFill>
                </w14:textFill>
              </w:rPr>
            </w:pPr>
          </w:p>
        </w:tc>
        <w:tc>
          <w:tcPr>
            <w:tcW w:w="1545" w:type="dxa"/>
          </w:tcPr>
          <w:p w14:paraId="3DF27DCC">
            <w:pPr>
              <w:pStyle w:val="122"/>
              <w:spacing w:line="360" w:lineRule="auto"/>
              <w:rPr>
                <w:color w:val="000000" w:themeColor="text1"/>
                <w:sz w:val="24"/>
                <w:szCs w:val="24"/>
                <w:highlight w:val="none"/>
                <w:lang w:val="en-US"/>
                <w14:textFill>
                  <w14:solidFill>
                    <w14:schemeClr w14:val="tx1"/>
                  </w14:solidFill>
                </w14:textFill>
              </w:rPr>
            </w:pPr>
          </w:p>
        </w:tc>
        <w:tc>
          <w:tcPr>
            <w:tcW w:w="831" w:type="dxa"/>
          </w:tcPr>
          <w:p w14:paraId="46B2654C">
            <w:pPr>
              <w:pStyle w:val="122"/>
              <w:spacing w:line="360" w:lineRule="auto"/>
              <w:rPr>
                <w:color w:val="000000" w:themeColor="text1"/>
                <w:sz w:val="24"/>
                <w:szCs w:val="24"/>
                <w:highlight w:val="none"/>
                <w:lang w:val="en-US"/>
                <w14:textFill>
                  <w14:solidFill>
                    <w14:schemeClr w14:val="tx1"/>
                  </w14:solidFill>
                </w14:textFill>
              </w:rPr>
            </w:pPr>
          </w:p>
        </w:tc>
        <w:tc>
          <w:tcPr>
            <w:tcW w:w="1270" w:type="dxa"/>
          </w:tcPr>
          <w:p w14:paraId="22F6245D">
            <w:pPr>
              <w:pStyle w:val="122"/>
              <w:spacing w:line="360" w:lineRule="auto"/>
              <w:rPr>
                <w:color w:val="000000" w:themeColor="text1"/>
                <w:sz w:val="24"/>
                <w:szCs w:val="24"/>
                <w:highlight w:val="none"/>
                <w:lang w:val="en-US"/>
                <w14:textFill>
                  <w14:solidFill>
                    <w14:schemeClr w14:val="tx1"/>
                  </w14:solidFill>
                </w14:textFill>
              </w:rPr>
            </w:pPr>
          </w:p>
        </w:tc>
        <w:tc>
          <w:tcPr>
            <w:tcW w:w="955" w:type="dxa"/>
          </w:tcPr>
          <w:p w14:paraId="159668D2">
            <w:pPr>
              <w:pStyle w:val="122"/>
              <w:spacing w:line="360" w:lineRule="auto"/>
              <w:rPr>
                <w:color w:val="000000" w:themeColor="text1"/>
                <w:sz w:val="24"/>
                <w:szCs w:val="24"/>
                <w:highlight w:val="none"/>
                <w:lang w:val="en-US"/>
                <w14:textFill>
                  <w14:solidFill>
                    <w14:schemeClr w14:val="tx1"/>
                  </w14:solidFill>
                </w14:textFill>
              </w:rPr>
            </w:pPr>
          </w:p>
        </w:tc>
        <w:tc>
          <w:tcPr>
            <w:tcW w:w="1731" w:type="dxa"/>
          </w:tcPr>
          <w:p w14:paraId="5657E877">
            <w:pPr>
              <w:pStyle w:val="122"/>
              <w:spacing w:line="360" w:lineRule="auto"/>
              <w:rPr>
                <w:color w:val="000000" w:themeColor="text1"/>
                <w:sz w:val="24"/>
                <w:szCs w:val="24"/>
                <w:highlight w:val="none"/>
                <w:lang w:val="en-US"/>
                <w14:textFill>
                  <w14:solidFill>
                    <w14:schemeClr w14:val="tx1"/>
                  </w14:solidFill>
                </w14:textFill>
              </w:rPr>
            </w:pPr>
          </w:p>
        </w:tc>
      </w:tr>
      <w:tr w14:paraId="5E98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041222D4">
            <w:pPr>
              <w:pStyle w:val="122"/>
              <w:spacing w:line="360" w:lineRule="auto"/>
              <w:rPr>
                <w:color w:val="000000" w:themeColor="text1"/>
                <w:sz w:val="24"/>
                <w:szCs w:val="24"/>
                <w:highlight w:val="none"/>
                <w:lang w:val="en-US"/>
                <w14:textFill>
                  <w14:solidFill>
                    <w14:schemeClr w14:val="tx1"/>
                  </w14:solidFill>
                </w14:textFill>
              </w:rPr>
            </w:pPr>
          </w:p>
        </w:tc>
        <w:tc>
          <w:tcPr>
            <w:tcW w:w="997" w:type="dxa"/>
          </w:tcPr>
          <w:p w14:paraId="2C068495">
            <w:pPr>
              <w:pStyle w:val="122"/>
              <w:spacing w:line="360" w:lineRule="auto"/>
              <w:rPr>
                <w:color w:val="000000" w:themeColor="text1"/>
                <w:sz w:val="24"/>
                <w:szCs w:val="24"/>
                <w:highlight w:val="none"/>
                <w:lang w:val="en-US"/>
                <w14:textFill>
                  <w14:solidFill>
                    <w14:schemeClr w14:val="tx1"/>
                  </w14:solidFill>
                </w14:textFill>
              </w:rPr>
            </w:pPr>
          </w:p>
        </w:tc>
        <w:tc>
          <w:tcPr>
            <w:tcW w:w="1545" w:type="dxa"/>
          </w:tcPr>
          <w:p w14:paraId="04578628">
            <w:pPr>
              <w:pStyle w:val="122"/>
              <w:spacing w:line="360" w:lineRule="auto"/>
              <w:rPr>
                <w:color w:val="000000" w:themeColor="text1"/>
                <w:sz w:val="24"/>
                <w:szCs w:val="24"/>
                <w:highlight w:val="none"/>
                <w:lang w:val="en-US"/>
                <w14:textFill>
                  <w14:solidFill>
                    <w14:schemeClr w14:val="tx1"/>
                  </w14:solidFill>
                </w14:textFill>
              </w:rPr>
            </w:pPr>
          </w:p>
        </w:tc>
        <w:tc>
          <w:tcPr>
            <w:tcW w:w="831" w:type="dxa"/>
          </w:tcPr>
          <w:p w14:paraId="400C30CB">
            <w:pPr>
              <w:pStyle w:val="122"/>
              <w:spacing w:line="360" w:lineRule="auto"/>
              <w:rPr>
                <w:color w:val="000000" w:themeColor="text1"/>
                <w:sz w:val="24"/>
                <w:szCs w:val="24"/>
                <w:highlight w:val="none"/>
                <w:lang w:val="en-US"/>
                <w14:textFill>
                  <w14:solidFill>
                    <w14:schemeClr w14:val="tx1"/>
                  </w14:solidFill>
                </w14:textFill>
              </w:rPr>
            </w:pPr>
          </w:p>
        </w:tc>
        <w:tc>
          <w:tcPr>
            <w:tcW w:w="1270" w:type="dxa"/>
          </w:tcPr>
          <w:p w14:paraId="3A36E88E">
            <w:pPr>
              <w:pStyle w:val="122"/>
              <w:spacing w:line="360" w:lineRule="auto"/>
              <w:rPr>
                <w:color w:val="000000" w:themeColor="text1"/>
                <w:sz w:val="24"/>
                <w:szCs w:val="24"/>
                <w:highlight w:val="none"/>
                <w:lang w:val="en-US"/>
                <w14:textFill>
                  <w14:solidFill>
                    <w14:schemeClr w14:val="tx1"/>
                  </w14:solidFill>
                </w14:textFill>
              </w:rPr>
            </w:pPr>
          </w:p>
        </w:tc>
        <w:tc>
          <w:tcPr>
            <w:tcW w:w="955" w:type="dxa"/>
          </w:tcPr>
          <w:p w14:paraId="4AAAA9EE">
            <w:pPr>
              <w:pStyle w:val="122"/>
              <w:spacing w:line="360" w:lineRule="auto"/>
              <w:rPr>
                <w:color w:val="000000" w:themeColor="text1"/>
                <w:sz w:val="24"/>
                <w:szCs w:val="24"/>
                <w:highlight w:val="none"/>
                <w:lang w:val="en-US"/>
                <w14:textFill>
                  <w14:solidFill>
                    <w14:schemeClr w14:val="tx1"/>
                  </w14:solidFill>
                </w14:textFill>
              </w:rPr>
            </w:pPr>
          </w:p>
        </w:tc>
        <w:tc>
          <w:tcPr>
            <w:tcW w:w="1731" w:type="dxa"/>
          </w:tcPr>
          <w:p w14:paraId="097A2010">
            <w:pPr>
              <w:pStyle w:val="122"/>
              <w:spacing w:line="360" w:lineRule="auto"/>
              <w:rPr>
                <w:color w:val="000000" w:themeColor="text1"/>
                <w:sz w:val="24"/>
                <w:szCs w:val="24"/>
                <w:highlight w:val="none"/>
                <w:lang w:val="en-US"/>
                <w14:textFill>
                  <w14:solidFill>
                    <w14:schemeClr w14:val="tx1"/>
                  </w14:solidFill>
                </w14:textFill>
              </w:rPr>
            </w:pPr>
          </w:p>
        </w:tc>
      </w:tr>
    </w:tbl>
    <w:p w14:paraId="62F75642">
      <w:pPr>
        <w:spacing w:after="120" w:afterLines="50"/>
        <w:jc w:val="left"/>
        <w:rPr>
          <w:b/>
          <w:color w:val="000000" w:themeColor="text1"/>
          <w:sz w:val="23"/>
          <w:szCs w:val="23"/>
          <w:highlight w:val="none"/>
          <w14:textFill>
            <w14:solidFill>
              <w14:schemeClr w14:val="tx1"/>
            </w14:solidFill>
          </w14:textFill>
        </w:rPr>
      </w:pPr>
    </w:p>
    <w:p w14:paraId="607D1D26">
      <w:pPr>
        <w:spacing w:line="380" w:lineRule="exact"/>
        <w:rPr>
          <w:rFonts w:ascii="宋体" w:hAnsi="宋体"/>
          <w:color w:val="000000" w:themeColor="text1"/>
          <w:sz w:val="22"/>
          <w:szCs w:val="22"/>
          <w:highlight w:val="non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投标人（公章）：</w:t>
      </w:r>
    </w:p>
    <w:p w14:paraId="5BD5E47C">
      <w:pPr>
        <w:spacing w:line="380" w:lineRule="exact"/>
        <w:rPr>
          <w:rFonts w:ascii="宋体" w:hAnsi="宋体"/>
          <w:color w:val="000000" w:themeColor="text1"/>
          <w:sz w:val="22"/>
          <w:szCs w:val="22"/>
          <w:highlight w:val="none"/>
          <w:u w:val="singl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投标人代表（签字或印章）：</w:t>
      </w:r>
    </w:p>
    <w:p w14:paraId="3A2A919A">
      <w:pPr>
        <w:jc w:val="center"/>
        <w:rPr>
          <w:rFonts w:asciiTheme="minorEastAsia" w:hAnsiTheme="minorEastAsia" w:eastAsiaTheme="minorEastAsia"/>
          <w:b/>
          <w:color w:val="000000" w:themeColor="text1"/>
          <w:sz w:val="24"/>
          <w:szCs w:val="24"/>
          <w:highlight w:val="none"/>
          <w14:textFill>
            <w14:solidFill>
              <w14:schemeClr w14:val="tx1"/>
            </w14:solidFill>
          </w14:textFill>
        </w:rPr>
      </w:pPr>
      <w:r>
        <w:rPr>
          <w:rFonts w:hint="eastAsia" w:ascii="宋体"/>
          <w:color w:val="000000" w:themeColor="text1"/>
          <w:sz w:val="22"/>
          <w:szCs w:val="22"/>
          <w:highlight w:val="none"/>
          <w14:textFill>
            <w14:solidFill>
              <w14:schemeClr w14:val="tx1"/>
            </w14:solidFill>
          </w14:textFill>
        </w:rPr>
        <w:t>日期：</w:t>
      </w:r>
    </w:p>
    <w:p w14:paraId="352F7C69">
      <w:pPr>
        <w:jc w:val="center"/>
        <w:rPr>
          <w:rFonts w:asciiTheme="minorEastAsia" w:hAnsiTheme="minorEastAsia" w:eastAsiaTheme="minorEastAsia"/>
          <w:b/>
          <w:color w:val="000000" w:themeColor="text1"/>
          <w:sz w:val="24"/>
          <w:szCs w:val="24"/>
          <w:highlight w:val="none"/>
          <w14:textFill>
            <w14:solidFill>
              <w14:schemeClr w14:val="tx1"/>
            </w14:solidFill>
          </w14:textFill>
        </w:rPr>
      </w:pPr>
    </w:p>
    <w:p w14:paraId="0EDD924F">
      <w:pPr>
        <w:jc w:val="center"/>
        <w:rPr>
          <w:rFonts w:asciiTheme="minorEastAsia" w:hAnsiTheme="minorEastAsia" w:eastAsiaTheme="minorEastAsia"/>
          <w:b/>
          <w:color w:val="000000" w:themeColor="text1"/>
          <w:sz w:val="24"/>
          <w:szCs w:val="24"/>
          <w:highlight w:val="none"/>
          <w14:textFill>
            <w14:solidFill>
              <w14:schemeClr w14:val="tx1"/>
            </w14:solidFill>
          </w14:textFill>
        </w:rPr>
      </w:pPr>
    </w:p>
    <w:p w14:paraId="0861E448">
      <w:pPr>
        <w:spacing w:line="380" w:lineRule="exact"/>
        <w:rPr>
          <w:rFonts w:asciiTheme="minorEastAsia" w:hAnsiTheme="minorEastAsia" w:eastAsiaTheme="minorEastAsia"/>
          <w:color w:val="000000" w:themeColor="text1"/>
          <w:sz w:val="22"/>
          <w:szCs w:val="22"/>
          <w:highlight w:val="none"/>
          <w:u w:val="single"/>
          <w14:textFill>
            <w14:solidFill>
              <w14:schemeClr w14:val="tx1"/>
            </w14:solidFill>
          </w14:textFill>
        </w:rPr>
      </w:pPr>
    </w:p>
    <w:p w14:paraId="31808C47">
      <w:pPr>
        <w:spacing w:after="120" w:afterLines="50"/>
        <w:jc w:val="left"/>
        <w:rPr>
          <w:rFonts w:asciiTheme="minorEastAsia" w:hAnsiTheme="minorEastAsia" w:eastAsiaTheme="minorEastAsia"/>
          <w:color w:val="000000" w:themeColor="text1"/>
          <w:sz w:val="22"/>
          <w:szCs w:val="22"/>
          <w:highlight w:val="none"/>
          <w:u w:val="single"/>
          <w14:textFill>
            <w14:solidFill>
              <w14:schemeClr w14:val="tx1"/>
            </w14:solidFill>
          </w14:textFill>
        </w:rPr>
        <w:sectPr>
          <w:pgSz w:w="11907" w:h="16840"/>
          <w:pgMar w:top="1304" w:right="1588" w:bottom="1560" w:left="1588" w:header="720" w:footer="720" w:gutter="0"/>
          <w:cols w:space="720" w:num="1"/>
          <w:docGrid w:linePitch="285" w:charSpace="0"/>
        </w:sectPr>
      </w:pPr>
    </w:p>
    <w:p w14:paraId="2B29F241">
      <w:pPr>
        <w:spacing w:after="120" w:afterLines="50"/>
        <w:jc w:val="center"/>
        <w:rPr>
          <w:rFonts w:asciiTheme="minorEastAsia" w:hAnsiTheme="minorEastAsia" w:eastAsiaTheme="minorEastAsia"/>
          <w:b/>
          <w:color w:val="000000" w:themeColor="text1"/>
          <w:sz w:val="24"/>
          <w:szCs w:val="24"/>
          <w:highlight w:val="none"/>
          <w14:textFill>
            <w14:solidFill>
              <w14:schemeClr w14:val="tx1"/>
            </w14:solidFill>
          </w14:textFill>
        </w:rPr>
      </w:pPr>
    </w:p>
    <w:p w14:paraId="3820DE0C">
      <w:pPr>
        <w:spacing w:after="120" w:afterLines="50"/>
        <w:jc w:val="center"/>
        <w:rPr>
          <w:rFonts w:asci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3、服务方案</w:t>
      </w:r>
    </w:p>
    <w:p w14:paraId="60CDAD14">
      <w:pPr>
        <w:pStyle w:val="120"/>
        <w:ind w:firstLine="0"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主要内容包括，但不限于：</w:t>
      </w:r>
    </w:p>
    <w:p w14:paraId="2A00E4F8">
      <w:pPr>
        <w:spacing w:after="120" w:afterLines="50"/>
        <w:jc w:val="center"/>
        <w:rPr>
          <w:rFonts w:asciiTheme="minorEastAsia" w:hAnsiTheme="minorEastAsia" w:eastAsiaTheme="minorEastAsia"/>
          <w:b/>
          <w:color w:val="000000" w:themeColor="text1"/>
          <w:sz w:val="24"/>
          <w:szCs w:val="24"/>
          <w:highlight w:val="none"/>
          <w14:textFill>
            <w14:solidFill>
              <w14:schemeClr w14:val="tx1"/>
            </w14:solidFill>
          </w14:textFill>
        </w:rPr>
      </w:pPr>
    </w:p>
    <w:p w14:paraId="4B2820CA">
      <w:pPr>
        <w:spacing w:line="360" w:lineRule="auto"/>
        <w:jc w:val="left"/>
        <w:rPr>
          <w:rFonts w:asciiTheme="minorEastAsia" w:hAnsiTheme="minorEastAsia" w:eastAsiaTheme="minorEastAsia"/>
          <w:b/>
          <w:color w:val="000000" w:themeColor="text1"/>
          <w:sz w:val="24"/>
          <w:szCs w:val="24"/>
          <w:highlight w:val="none"/>
          <w14:textFill>
            <w14:solidFill>
              <w14:schemeClr w14:val="tx1"/>
            </w14:solidFill>
          </w14:textFill>
        </w:rPr>
      </w:pPr>
      <w:r>
        <w:rPr>
          <w:rFonts w:asciiTheme="minorEastAsia" w:hAnsiTheme="minorEastAsia" w:eastAsiaTheme="minorEastAsia"/>
          <w:b/>
          <w:color w:val="000000" w:themeColor="text1"/>
          <w:sz w:val="24"/>
          <w:szCs w:val="24"/>
          <w:highlight w:val="none"/>
          <w14:textFill>
            <w14:solidFill>
              <w14:schemeClr w14:val="tx1"/>
            </w14:solidFill>
          </w14:textFill>
        </w:rPr>
        <w:br w:type="page"/>
      </w:r>
    </w:p>
    <w:p w14:paraId="63599931">
      <w:pPr>
        <w:spacing w:after="120" w:afterLines="50"/>
        <w:jc w:val="center"/>
        <w:rPr>
          <w:rFonts w:asciiTheme="minorEastAsia" w:hAnsiTheme="minorEastAsia" w:eastAsiaTheme="minorEastAsia"/>
          <w:b/>
          <w:color w:val="000000" w:themeColor="text1"/>
          <w:sz w:val="24"/>
          <w:szCs w:val="24"/>
          <w:highlight w:val="none"/>
          <w14:textFill>
            <w14:solidFill>
              <w14:schemeClr w14:val="tx1"/>
            </w14:solidFill>
          </w14:textFill>
        </w:rPr>
      </w:pPr>
    </w:p>
    <w:p w14:paraId="2A94C995">
      <w:pPr>
        <w:widowControl/>
        <w:jc w:val="left"/>
        <w:rPr>
          <w:rFonts w:cs="宋体" w:asciiTheme="minorEastAsia" w:hAnsiTheme="minorEastAsia" w:eastAsiaTheme="minorEastAsia"/>
          <w:b/>
          <w:bCs/>
          <w:color w:val="000000" w:themeColor="text1"/>
          <w:kern w:val="0"/>
          <w:szCs w:val="21"/>
          <w:highlight w:val="none"/>
          <w14:textFill>
            <w14:solidFill>
              <w14:schemeClr w14:val="tx1"/>
            </w14:solidFill>
          </w14:textFill>
        </w:rPr>
      </w:pPr>
    </w:p>
    <w:p w14:paraId="7AED5FA4">
      <w:pPr>
        <w:widowControl/>
        <w:spacing w:line="360" w:lineRule="auto"/>
        <w:jc w:val="left"/>
        <w:rPr>
          <w:rFonts w:cs="宋体" w:asciiTheme="minorEastAsia" w:hAnsiTheme="minorEastAsia" w:eastAsiaTheme="minorEastAsia"/>
          <w:color w:val="000000" w:themeColor="text1"/>
          <w:kern w:val="0"/>
          <w:sz w:val="24"/>
          <w:highlight w:val="none"/>
          <w14:textFill>
            <w14:solidFill>
              <w14:schemeClr w14:val="tx1"/>
            </w14:solidFill>
          </w14:textFill>
        </w:rPr>
      </w:pPr>
      <w:r>
        <w:rPr>
          <w:rFonts w:hint="eastAsia" w:cs="宋体" w:asciiTheme="minorEastAsia" w:hAnsiTheme="minorEastAsia" w:eastAsiaTheme="minorEastAsia"/>
          <w:b/>
          <w:bCs/>
          <w:color w:val="000000" w:themeColor="text1"/>
          <w:kern w:val="0"/>
          <w:szCs w:val="21"/>
          <w:highlight w:val="none"/>
          <w14:textFill>
            <w14:solidFill>
              <w14:schemeClr w14:val="tx1"/>
            </w14:solidFill>
          </w14:textFill>
        </w:rPr>
        <w:t>报价文件组成：</w:t>
      </w:r>
    </w:p>
    <w:p w14:paraId="44F5E9A3">
      <w:pPr>
        <w:tabs>
          <w:tab w:val="left" w:pos="1418"/>
        </w:tabs>
        <w:spacing w:line="360" w:lineRule="auto"/>
        <w:ind w:firstLine="420" w:firstLineChars="200"/>
        <w:contextualSpacing/>
        <w:rPr>
          <w:rFonts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（1）</w:t>
      </w:r>
      <w:r>
        <w:rPr>
          <w:rFonts w:hint="eastAsia" w:asciiTheme="minorEastAsia" w:hAnsiTheme="minorEastAsia" w:eastAsiaTheme="minorEastAsia"/>
          <w:color w:val="000000" w:themeColor="text1"/>
          <w:szCs w:val="21"/>
          <w:highlight w:val="none"/>
          <w14:textFill>
            <w14:solidFill>
              <w14:schemeClr w14:val="tx1"/>
            </w14:solidFill>
          </w14:textFill>
        </w:rPr>
        <w:t>投标函；</w:t>
      </w:r>
    </w:p>
    <w:p w14:paraId="0FA0F6D8">
      <w:pPr>
        <w:tabs>
          <w:tab w:val="left" w:pos="1418"/>
        </w:tabs>
        <w:spacing w:line="360" w:lineRule="auto"/>
        <w:ind w:firstLine="420" w:firstLineChars="200"/>
        <w:contextualSpacing/>
        <w:rPr>
          <w:rFonts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（2）</w:t>
      </w:r>
      <w:r>
        <w:rPr>
          <w:rFonts w:hint="eastAsia" w:asciiTheme="minorEastAsia" w:hAnsiTheme="minorEastAsia" w:eastAsiaTheme="minorEastAsia"/>
          <w:color w:val="000000" w:themeColor="text1"/>
          <w:szCs w:val="21"/>
          <w:highlight w:val="none"/>
          <w14:textFill>
            <w14:solidFill>
              <w14:schemeClr w14:val="tx1"/>
            </w14:solidFill>
          </w14:textFill>
        </w:rPr>
        <w:t>开标一览表；</w:t>
      </w:r>
    </w:p>
    <w:p w14:paraId="737BA757">
      <w:pPr>
        <w:tabs>
          <w:tab w:val="left" w:pos="1418"/>
        </w:tabs>
        <w:spacing w:line="360" w:lineRule="auto"/>
        <w:ind w:firstLine="420" w:firstLineChars="200"/>
        <w:contextualSpacing/>
        <w:rPr>
          <w:rFonts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（3）</w:t>
      </w:r>
      <w:r>
        <w:rPr>
          <w:rFonts w:hint="eastAsia" w:asciiTheme="minorEastAsia" w:hAnsiTheme="minorEastAsia" w:eastAsiaTheme="minorEastAsia"/>
          <w:color w:val="000000" w:themeColor="text1"/>
          <w:szCs w:val="21"/>
          <w:highlight w:val="none"/>
          <w14:textFill>
            <w14:solidFill>
              <w14:schemeClr w14:val="tx1"/>
            </w14:solidFill>
          </w14:textFill>
        </w:rPr>
        <w:t>投标分项报价表；</w:t>
      </w:r>
    </w:p>
    <w:p w14:paraId="0DCA5265">
      <w:pPr>
        <w:tabs>
          <w:tab w:val="left" w:pos="1418"/>
        </w:tabs>
        <w:spacing w:line="360" w:lineRule="auto"/>
        <w:ind w:firstLine="420" w:firstLineChars="200"/>
        <w:contextualSpacing/>
        <w:rPr>
          <w:rFonts w:cs="宋体" w:asciiTheme="minorEastAsia" w:hAnsiTheme="minorEastAsia" w:eastAsiaTheme="minorEastAsia"/>
          <w:color w:val="000000" w:themeColor="text1"/>
          <w:kern w:val="0"/>
          <w:szCs w:val="21"/>
          <w:highlight w:val="none"/>
          <w14:textFill>
            <w14:solidFill>
              <w14:schemeClr w14:val="tx1"/>
            </w14:solidFill>
          </w14:textFill>
        </w:rPr>
      </w:pPr>
      <w:r>
        <w:rPr>
          <w:rFonts w:hint="eastAsia" w:cs="宋体" w:asciiTheme="minorEastAsia" w:hAnsiTheme="minorEastAsia" w:eastAsiaTheme="minorEastAsia"/>
          <w:color w:val="000000" w:themeColor="text1"/>
          <w:kern w:val="0"/>
          <w:szCs w:val="21"/>
          <w:highlight w:val="none"/>
          <w14:textFill>
            <w14:solidFill>
              <w14:schemeClr w14:val="tx1"/>
            </w14:solidFill>
          </w14:textFill>
        </w:rPr>
        <w:t>（4）享受政府采购价格优惠政策需提供的证明资料（如有)</w:t>
      </w:r>
    </w:p>
    <w:p w14:paraId="503BC6B7">
      <w:pPr>
        <w:tabs>
          <w:tab w:val="left" w:pos="1418"/>
        </w:tabs>
        <w:spacing w:line="360" w:lineRule="auto"/>
        <w:ind w:firstLine="420" w:firstLineChars="200"/>
        <w:contextualSpacing/>
        <w:rPr>
          <w:rFonts w:asciiTheme="minorEastAsia" w:hAnsiTheme="minorEastAsia" w:eastAsiaTheme="minorEastAsia"/>
          <w:color w:val="000000" w:themeColor="text1"/>
          <w:szCs w:val="21"/>
          <w:highlight w:val="none"/>
          <w14:textFill>
            <w14:solidFill>
              <w14:schemeClr w14:val="tx1"/>
            </w14:solidFill>
          </w14:textFill>
        </w:rPr>
      </w:pPr>
    </w:p>
    <w:p w14:paraId="73ECF5B8">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p>
    <w:p w14:paraId="6E86DA05">
      <w:pPr>
        <w:widowControl/>
        <w:jc w:val="left"/>
        <w:rPr>
          <w:rFonts w:asciiTheme="minorEastAsia" w:hAnsiTheme="minorEastAsia" w:eastAsiaTheme="minorEastAsia"/>
          <w:b/>
          <w:color w:val="000000" w:themeColor="text1"/>
          <w:sz w:val="24"/>
          <w:szCs w:val="24"/>
          <w:highlight w:val="none"/>
          <w14:textFill>
            <w14:solidFill>
              <w14:schemeClr w14:val="tx1"/>
            </w14:solidFill>
          </w14:textFill>
        </w:rPr>
      </w:pPr>
      <w:r>
        <w:rPr>
          <w:rFonts w:asciiTheme="minorEastAsia" w:hAnsiTheme="minorEastAsia" w:eastAsiaTheme="minorEastAsia"/>
          <w:bCs/>
          <w:color w:val="000000" w:themeColor="text1"/>
          <w:sz w:val="24"/>
          <w:szCs w:val="24"/>
          <w:highlight w:val="none"/>
          <w14:textFill>
            <w14:solidFill>
              <w14:schemeClr w14:val="tx1"/>
            </w14:solidFill>
          </w14:textFill>
        </w:rPr>
        <w:br w:type="page"/>
      </w:r>
    </w:p>
    <w:p w14:paraId="0EC44B03">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p>
    <w:p w14:paraId="286FADCF">
      <w:pPr>
        <w:pStyle w:val="2"/>
        <w:spacing w:line="380" w:lineRule="exact"/>
        <w:rPr>
          <w:rFonts w:asciiTheme="minorEastAsia" w:hAnsiTheme="minorEastAsia" w:eastAsiaTheme="minorEastAsia"/>
          <w:b w:val="0"/>
          <w:color w:val="000000" w:themeColor="text1"/>
          <w:sz w:val="24"/>
          <w:szCs w:val="24"/>
          <w:highlight w:val="none"/>
          <w14:textFill>
            <w14:solidFill>
              <w14:schemeClr w14:val="tx1"/>
            </w14:solidFill>
          </w14:textFill>
        </w:rPr>
      </w:pPr>
      <w:bookmarkStart w:id="187" w:name="_Toc136017667"/>
      <w:bookmarkStart w:id="188" w:name="_Toc136345128"/>
      <w:bookmarkStart w:id="189" w:name="_Toc20714"/>
      <w:r>
        <w:rPr>
          <w:rFonts w:hint="eastAsia" w:asciiTheme="minorEastAsia" w:hAnsiTheme="minorEastAsia" w:eastAsiaTheme="minorEastAsia"/>
          <w:bCs w:val="0"/>
          <w:color w:val="000000" w:themeColor="text1"/>
          <w:sz w:val="24"/>
          <w:szCs w:val="24"/>
          <w:highlight w:val="none"/>
          <w14:textFill>
            <w14:solidFill>
              <w14:schemeClr w14:val="tx1"/>
            </w14:solidFill>
          </w14:textFill>
        </w:rPr>
        <w:t>（一） 投 标 函</w:t>
      </w:r>
      <w:bookmarkEnd w:id="187"/>
      <w:bookmarkEnd w:id="188"/>
      <w:bookmarkEnd w:id="189"/>
    </w:p>
    <w:p w14:paraId="30BC8777">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u w:val="single"/>
          <w14:textFill>
            <w14:solidFill>
              <w14:schemeClr w14:val="tx1"/>
            </w14:solidFill>
          </w14:textFill>
        </w:rPr>
        <w:t xml:space="preserve">   致</w:t>
      </w:r>
      <w:r>
        <w:rPr>
          <w:rFonts w:hint="eastAsia" w:asciiTheme="minorEastAsia" w:hAnsiTheme="minorEastAsia" w:eastAsiaTheme="minorEastAsia"/>
          <w:i/>
          <w:color w:val="000000" w:themeColor="text1"/>
          <w:sz w:val="21"/>
          <w:szCs w:val="21"/>
          <w:highlight w:val="none"/>
          <w:u w:val="single"/>
          <w14:textFill>
            <w14:solidFill>
              <w14:schemeClr w14:val="tx1"/>
            </w14:solidFill>
          </w14:textFill>
        </w:rPr>
        <w:t xml:space="preserve">（采购人） </w:t>
      </w:r>
      <w:r>
        <w:rPr>
          <w:rFonts w:hint="eastAsia" w:asciiTheme="minorEastAsia" w:hAnsiTheme="minorEastAsia" w:eastAsiaTheme="minorEastAsia"/>
          <w:color w:val="000000" w:themeColor="text1"/>
          <w:sz w:val="21"/>
          <w:szCs w:val="21"/>
          <w:highlight w:val="none"/>
          <w14:textFill>
            <w14:solidFill>
              <w14:schemeClr w14:val="tx1"/>
            </w14:solidFill>
          </w14:textFill>
        </w:rPr>
        <w:t>：</w:t>
      </w:r>
    </w:p>
    <w:p w14:paraId="52709056">
      <w:pPr>
        <w:pStyle w:val="17"/>
        <w:ind w:firstLine="0"/>
        <w:rPr>
          <w:rFonts w:asciiTheme="minorEastAsia" w:hAnsiTheme="minorEastAsia" w:eastAsiaTheme="minorEastAsia"/>
          <w:color w:val="000000" w:themeColor="text1"/>
          <w:sz w:val="21"/>
          <w:szCs w:val="21"/>
          <w:highlight w:val="none"/>
          <w:u w:val="single"/>
          <w14:textFill>
            <w14:solidFill>
              <w14:schemeClr w14:val="tx1"/>
            </w14:solidFill>
          </w14:textFill>
        </w:rPr>
      </w:pPr>
      <w:r>
        <w:rPr>
          <w:rFonts w:hint="eastAsia" w:asciiTheme="minorEastAsia" w:hAnsiTheme="minorEastAsia" w:eastAsiaTheme="minorEastAsia"/>
          <w:i/>
          <w:color w:val="000000" w:themeColor="text1"/>
          <w:sz w:val="21"/>
          <w:szCs w:val="21"/>
          <w:highlight w:val="none"/>
          <w:u w:val="single"/>
          <w14:textFill>
            <w14:solidFill>
              <w14:schemeClr w14:val="tx1"/>
            </w14:solidFill>
          </w14:textFill>
        </w:rPr>
        <w:t xml:space="preserve"> （投标人全称）</w:t>
      </w:r>
      <w:r>
        <w:rPr>
          <w:rFonts w:hint="eastAsia" w:asciiTheme="minorEastAsia" w:hAnsiTheme="minorEastAsia" w:eastAsiaTheme="minorEastAsia"/>
          <w:color w:val="000000" w:themeColor="text1"/>
          <w:sz w:val="21"/>
          <w:szCs w:val="21"/>
          <w:highlight w:val="none"/>
          <w14:textFill>
            <w14:solidFill>
              <w14:schemeClr w14:val="tx1"/>
            </w14:solidFill>
          </w14:textFill>
        </w:rPr>
        <w:t xml:space="preserve"> 参加贵方组织的 </w:t>
      </w:r>
      <w:r>
        <w:rPr>
          <w:rFonts w:hint="eastAsia" w:asciiTheme="minorEastAsia" w:hAnsiTheme="minorEastAsia" w:eastAsiaTheme="minorEastAsia"/>
          <w:i/>
          <w:color w:val="000000" w:themeColor="text1"/>
          <w:sz w:val="21"/>
          <w:szCs w:val="21"/>
          <w:highlight w:val="none"/>
          <w:u w:val="single"/>
          <w14:textFill>
            <w14:solidFill>
              <w14:schemeClr w14:val="tx1"/>
            </w14:solidFill>
          </w14:textFill>
        </w:rPr>
        <w:t>（招标编号、招标项目名称）</w:t>
      </w:r>
      <w:r>
        <w:rPr>
          <w:rFonts w:hint="eastAsia" w:asciiTheme="minorEastAsia" w:hAnsiTheme="minorEastAsia" w:eastAsiaTheme="minorEastAsia"/>
          <w:color w:val="000000" w:themeColor="text1"/>
          <w:sz w:val="21"/>
          <w:szCs w:val="21"/>
          <w:highlight w:val="none"/>
          <w14:textFill>
            <w14:solidFill>
              <w14:schemeClr w14:val="tx1"/>
            </w14:solidFill>
          </w14:textFill>
        </w:rPr>
        <w:t>招投标活动，代表本公司处理招投标活动中的一切事宜，现对</w:t>
      </w:r>
      <w:r>
        <w:rPr>
          <w:rFonts w:hint="eastAsia" w:asciiTheme="minorEastAsia" w:hAnsiTheme="minorEastAsia" w:eastAsiaTheme="minorEastAsia"/>
          <w:i/>
          <w:color w:val="000000" w:themeColor="text1"/>
          <w:sz w:val="21"/>
          <w:szCs w:val="21"/>
          <w:highlight w:val="none"/>
          <w:u w:val="single"/>
          <w14:textFill>
            <w14:solidFill>
              <w14:schemeClr w14:val="tx1"/>
            </w14:solidFill>
          </w14:textFill>
        </w:rPr>
        <w:t>（项目名称）</w:t>
      </w:r>
      <w:r>
        <w:rPr>
          <w:rFonts w:hint="eastAsia" w:asciiTheme="minorEastAsia" w:hAnsiTheme="minorEastAsia" w:eastAsiaTheme="minorEastAsia"/>
          <w:color w:val="000000" w:themeColor="text1"/>
          <w:sz w:val="21"/>
          <w:szCs w:val="21"/>
          <w:highlight w:val="none"/>
          <w14:textFill>
            <w14:solidFill>
              <w14:schemeClr w14:val="tx1"/>
            </w14:solidFill>
          </w14:textFill>
        </w:rPr>
        <w:t>进行投标，在此：</w:t>
      </w:r>
    </w:p>
    <w:p w14:paraId="58979873">
      <w:pPr>
        <w:pStyle w:val="17"/>
        <w:numPr>
          <w:ilvl w:val="0"/>
          <w:numId w:val="25"/>
        </w:numPr>
        <w:tabs>
          <w:tab w:val="left" w:pos="525"/>
        </w:tabs>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提供招标文件中“投标人须知”规定的全部投标文件。</w:t>
      </w:r>
    </w:p>
    <w:p w14:paraId="30039575">
      <w:pPr>
        <w:pStyle w:val="17"/>
        <w:tabs>
          <w:tab w:val="left" w:pos="525"/>
        </w:tabs>
        <w:ind w:firstLine="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2、据此函，签字代表宣布并承诺如下：</w:t>
      </w:r>
    </w:p>
    <w:p w14:paraId="76652A5C">
      <w:pPr>
        <w:pStyle w:val="17"/>
        <w:numPr>
          <w:ilvl w:val="0"/>
          <w:numId w:val="26"/>
        </w:numPr>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投标总价为（大写）：人民币元。</w:t>
      </w:r>
    </w:p>
    <w:p w14:paraId="0651DB94">
      <w:pPr>
        <w:pStyle w:val="17"/>
        <w:ind w:firstLine="420" w:firstLineChars="20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本报价已经包含了所供货物及服务应纳的税金及招标文件规定的报价方式应包含的其它费用。本报价在投标有效期内固定不变，并在合同有效期内不受利率波动的影响。</w:t>
      </w:r>
    </w:p>
    <w:p w14:paraId="15AD9751">
      <w:pPr>
        <w:pStyle w:val="17"/>
        <w:numPr>
          <w:ilvl w:val="0"/>
          <w:numId w:val="26"/>
        </w:numPr>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本投标自开标之日起90天内有效。</w:t>
      </w:r>
    </w:p>
    <w:p w14:paraId="551753D1">
      <w:pPr>
        <w:pStyle w:val="17"/>
        <w:numPr>
          <w:ilvl w:val="0"/>
          <w:numId w:val="26"/>
        </w:numPr>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我们已详细审查全部招标文件及有关的澄清/修改文件(若有的话)，我们完全理解并同意放弃对这方面提出任何异议的权利，保证遵守招标文件有关条款规定。</w:t>
      </w:r>
    </w:p>
    <w:p w14:paraId="7AC201BC">
      <w:pPr>
        <w:pStyle w:val="17"/>
        <w:numPr>
          <w:ilvl w:val="0"/>
          <w:numId w:val="26"/>
        </w:numPr>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保证遵守招标文件有关条款规定。</w:t>
      </w:r>
    </w:p>
    <w:p w14:paraId="7D8075FA">
      <w:pPr>
        <w:pStyle w:val="17"/>
        <w:numPr>
          <w:ilvl w:val="0"/>
          <w:numId w:val="26"/>
        </w:numPr>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保证在中标后忠实地执行与采购人所签署的合同，并承担合同规定的责任义务。保证在中标后按照招标文件的规定支付中标服务费。</w:t>
      </w:r>
    </w:p>
    <w:p w14:paraId="7E7D3837">
      <w:pPr>
        <w:pStyle w:val="17"/>
        <w:numPr>
          <w:ilvl w:val="0"/>
          <w:numId w:val="26"/>
        </w:numPr>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承诺应贵方要求提供任何与该项目投标有关的数据、情况和技术资料。</w:t>
      </w:r>
    </w:p>
    <w:p w14:paraId="2DF031D6">
      <w:pPr>
        <w:pStyle w:val="17"/>
        <w:numPr>
          <w:ilvl w:val="0"/>
          <w:numId w:val="26"/>
        </w:numPr>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我们承诺，与为采购人采购本项目进行设计、编制规范和其他文件所委托的咨询公司或其附属机构无任何直接或间接的关联。</w:t>
      </w:r>
    </w:p>
    <w:p w14:paraId="46659A79">
      <w:pPr>
        <w:pStyle w:val="17"/>
        <w:numPr>
          <w:ilvl w:val="0"/>
          <w:numId w:val="26"/>
        </w:numPr>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我们郑重声明：我公司符合政府采购法规定的参加采购活动应当具备的条件：具有独立承担民事责任的能力、具有良好的商业信誉和健全的财务会计制度、具有履行合同所必需的设备和专业技术能力、有依法缴纳税收和社会保障资金的良好记录、参加本次采购活动前的三年内，在经营活动中没有重大违法记录。</w:t>
      </w:r>
    </w:p>
    <w:p w14:paraId="4A98EBB9">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4、与本投标有关的一切往来通讯请寄：</w:t>
      </w:r>
    </w:p>
    <w:p w14:paraId="3C338B85">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地址：</w:t>
      </w:r>
    </w:p>
    <w:p w14:paraId="4F07E8A3">
      <w:pPr>
        <w:pStyle w:val="17"/>
        <w:ind w:firstLine="0"/>
        <w:rPr>
          <w:rFonts w:asciiTheme="minorEastAsia" w:hAnsiTheme="minorEastAsia" w:eastAsiaTheme="minorEastAsia"/>
          <w:color w:val="000000" w:themeColor="text1"/>
          <w:sz w:val="21"/>
          <w:szCs w:val="21"/>
          <w:highlight w:val="none"/>
          <w:u w:val="singl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邮编：电话：传真：</w:t>
      </w:r>
    </w:p>
    <w:p w14:paraId="7C3ED8D5">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p>
    <w:p w14:paraId="4C87D7D7">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投标人（公章）：                  投标人代表（签字或印章）：</w:t>
      </w:r>
    </w:p>
    <w:p w14:paraId="3522B49C">
      <w:pPr>
        <w:pStyle w:val="17"/>
        <w:tabs>
          <w:tab w:val="left" w:pos="4841"/>
        </w:tabs>
        <w:ind w:firstLine="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 xml:space="preserve">                                           日      期：     年   月   日</w:t>
      </w:r>
    </w:p>
    <w:p w14:paraId="566507E7">
      <w:pPr>
        <w:pStyle w:val="17"/>
        <w:tabs>
          <w:tab w:val="left" w:pos="4841"/>
        </w:tabs>
        <w:ind w:firstLine="0"/>
        <w:rPr>
          <w:rFonts w:asciiTheme="minorEastAsia" w:hAnsiTheme="minorEastAsia" w:eastAsiaTheme="minorEastAsia"/>
          <w:color w:val="000000" w:themeColor="text1"/>
          <w:sz w:val="21"/>
          <w:szCs w:val="21"/>
          <w:highlight w:val="none"/>
          <w14:textFill>
            <w14:solidFill>
              <w14:schemeClr w14:val="tx1"/>
            </w14:solidFill>
          </w14:textFill>
        </w:rPr>
      </w:pPr>
    </w:p>
    <w:p w14:paraId="19148A5D">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r>
        <w:rPr>
          <w:rFonts w:asciiTheme="minorEastAsia" w:hAnsiTheme="minorEastAsia" w:eastAsiaTheme="minorEastAsia"/>
          <w:bCs w:val="0"/>
          <w:color w:val="000000" w:themeColor="text1"/>
          <w:sz w:val="24"/>
          <w:szCs w:val="24"/>
          <w:highlight w:val="none"/>
          <w14:textFill>
            <w14:solidFill>
              <w14:schemeClr w14:val="tx1"/>
            </w14:solidFill>
          </w14:textFill>
        </w:rPr>
        <w:br w:type="page"/>
      </w:r>
    </w:p>
    <w:p w14:paraId="4ED82609">
      <w:pPr>
        <w:rPr>
          <w:rFonts w:asciiTheme="minorEastAsia" w:hAnsiTheme="minorEastAsia" w:eastAsiaTheme="minorEastAsia"/>
          <w:color w:val="000000" w:themeColor="text1"/>
          <w:highlight w:val="none"/>
          <w14:textFill>
            <w14:solidFill>
              <w14:schemeClr w14:val="tx1"/>
            </w14:solidFill>
          </w14:textFill>
        </w:rPr>
      </w:pPr>
    </w:p>
    <w:p w14:paraId="421DC18B">
      <w:pPr>
        <w:rPr>
          <w:rFonts w:asciiTheme="minorEastAsia" w:hAnsiTheme="minorEastAsia" w:eastAsiaTheme="minorEastAsia"/>
          <w:color w:val="000000" w:themeColor="text1"/>
          <w:highlight w:val="none"/>
          <w14:textFill>
            <w14:solidFill>
              <w14:schemeClr w14:val="tx1"/>
            </w14:solidFill>
          </w14:textFill>
        </w:rPr>
      </w:pPr>
    </w:p>
    <w:p w14:paraId="7D437E6C">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bookmarkStart w:id="190" w:name="_Toc136345129"/>
      <w:bookmarkStart w:id="191" w:name="_Toc12227"/>
      <w:bookmarkStart w:id="192" w:name="_Toc136017668"/>
      <w:r>
        <w:rPr>
          <w:rFonts w:hint="eastAsia" w:asciiTheme="minorEastAsia" w:hAnsiTheme="minorEastAsia" w:eastAsiaTheme="minorEastAsia"/>
          <w:bCs w:val="0"/>
          <w:color w:val="000000" w:themeColor="text1"/>
          <w:sz w:val="24"/>
          <w:szCs w:val="24"/>
          <w:highlight w:val="none"/>
          <w14:textFill>
            <w14:solidFill>
              <w14:schemeClr w14:val="tx1"/>
            </w14:solidFill>
          </w14:textFill>
        </w:rPr>
        <w:t>（二）开标一览表</w:t>
      </w:r>
      <w:bookmarkEnd w:id="190"/>
      <w:bookmarkEnd w:id="191"/>
      <w:bookmarkEnd w:id="192"/>
    </w:p>
    <w:p w14:paraId="3E37140E">
      <w:pPr>
        <w:spacing w:line="400" w:lineRule="exact"/>
        <w:ind w:left="525"/>
        <w:rPr>
          <w:rFonts w:asciiTheme="minorEastAsia" w:hAnsiTheme="minorEastAsia" w:eastAsiaTheme="minorEastAsia"/>
          <w:color w:val="000000" w:themeColor="text1"/>
          <w:szCs w:val="21"/>
          <w:highlight w:val="none"/>
          <w14:textFill>
            <w14:solidFill>
              <w14:schemeClr w14:val="tx1"/>
            </w14:solidFill>
          </w14:textFill>
        </w:rPr>
      </w:pPr>
    </w:p>
    <w:p w14:paraId="6F130BE3">
      <w:pPr>
        <w:rPr>
          <w:rFonts w:asciiTheme="minorEastAsia" w:hAnsiTheme="minorEastAsia" w:eastAsiaTheme="minorEastAsia"/>
          <w:color w:val="000000" w:themeColor="text1"/>
          <w:szCs w:val="21"/>
          <w:highlight w:val="none"/>
          <w14:textFill>
            <w14:solidFill>
              <w14:schemeClr w14:val="tx1"/>
            </w14:solidFill>
          </w14:textFill>
        </w:rPr>
      </w:pPr>
    </w:p>
    <w:p w14:paraId="62DA1148">
      <w:pPr>
        <w:rPr>
          <w:rFonts w:asciiTheme="minorEastAsia" w:hAnsiTheme="minorEastAsia" w:eastAsiaTheme="minorEastAsia"/>
          <w:color w:val="000000" w:themeColor="text1"/>
          <w:szCs w:val="21"/>
          <w:highlight w:val="none"/>
          <w14:textFill>
            <w14:solidFill>
              <w14:schemeClr w14:val="tx1"/>
            </w14:solidFill>
          </w14:textFill>
        </w:rPr>
      </w:pPr>
    </w:p>
    <w:p w14:paraId="4FF72BB9">
      <w:pPr>
        <w:rPr>
          <w:rFonts w:asciiTheme="minorEastAsia" w:hAnsiTheme="minorEastAsia" w:eastAsiaTheme="minorEastAsia"/>
          <w:color w:val="000000" w:themeColor="text1"/>
          <w:szCs w:val="21"/>
          <w:highlight w:val="none"/>
          <w14:textFill>
            <w14:solidFill>
              <w14:schemeClr w14:val="tx1"/>
            </w14:solidFill>
          </w14:textFill>
        </w:rPr>
      </w:pPr>
    </w:p>
    <w:p w14:paraId="3334C592">
      <w:pPr>
        <w:spacing w:line="380" w:lineRule="exact"/>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项目名称：招标编号：</w:t>
      </w:r>
    </w:p>
    <w:p w14:paraId="4C629D6B">
      <w:pPr>
        <w:spacing w:line="380" w:lineRule="exact"/>
        <w:rPr>
          <w:rFonts w:asciiTheme="minorEastAsia" w:hAnsiTheme="minorEastAsia" w:eastAsiaTheme="minorEastAsia"/>
          <w:color w:val="000000" w:themeColor="text1"/>
          <w:szCs w:val="21"/>
          <w:highlight w:val="none"/>
          <w:u w:val="single"/>
          <w14:textFill>
            <w14:solidFill>
              <w14:schemeClr w14:val="tx1"/>
            </w14:solidFill>
          </w14:textFill>
        </w:rPr>
      </w:pPr>
    </w:p>
    <w:tbl>
      <w:tblPr>
        <w:tblStyle w:val="35"/>
        <w:tblW w:w="91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791"/>
        <w:gridCol w:w="2831"/>
        <w:gridCol w:w="2582"/>
        <w:gridCol w:w="1275"/>
      </w:tblGrid>
      <w:tr w14:paraId="6C103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6"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7D2F9F89">
            <w:pPr>
              <w:jc w:val="center"/>
              <w:rPr>
                <w:rFonts w:cs="宋体" w:asciiTheme="minorEastAsia" w:hAnsiTheme="minorEastAsia" w:eastAsiaTheme="minorEastAsia"/>
                <w:i/>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标项</w:t>
            </w:r>
          </w:p>
        </w:tc>
        <w:tc>
          <w:tcPr>
            <w:tcW w:w="1791" w:type="dxa"/>
            <w:tcBorders>
              <w:top w:val="single" w:color="000000" w:sz="4" w:space="0"/>
              <w:left w:val="single" w:color="000000" w:sz="4" w:space="0"/>
              <w:bottom w:val="single" w:color="000000" w:sz="4" w:space="0"/>
              <w:right w:val="single" w:color="000000" w:sz="4" w:space="0"/>
            </w:tcBorders>
            <w:vAlign w:val="center"/>
          </w:tcPr>
          <w:p w14:paraId="0442A088">
            <w:pPr>
              <w:jc w:val="center"/>
              <w:rPr>
                <w:rFonts w:cs="宋体" w:asciiTheme="minorEastAsia" w:hAnsiTheme="minorEastAsia" w:eastAsiaTheme="minorEastAsia"/>
                <w:color w:val="000000" w:themeColor="text1"/>
                <w:sz w:val="24"/>
                <w:highlight w:val="none"/>
                <w14:textFill>
                  <w14:solidFill>
                    <w14:schemeClr w14:val="tx1"/>
                  </w14:solidFill>
                </w14:textFill>
              </w:rPr>
            </w:pPr>
            <w:r>
              <w:rPr>
                <w:rFonts w:cs="宋体" w:asciiTheme="minorEastAsia" w:hAnsiTheme="minorEastAsia" w:eastAsiaTheme="minorEastAsia"/>
                <w:color w:val="000000" w:themeColor="text1"/>
                <w:sz w:val="24"/>
                <w:highlight w:val="none"/>
                <w14:textFill>
                  <w14:solidFill>
                    <w14:schemeClr w14:val="tx1"/>
                  </w14:solidFill>
                </w14:textFill>
              </w:rPr>
              <w:t>项目内容</w:t>
            </w:r>
          </w:p>
        </w:tc>
        <w:tc>
          <w:tcPr>
            <w:tcW w:w="2831" w:type="dxa"/>
            <w:tcBorders>
              <w:top w:val="single" w:color="000000" w:sz="4" w:space="0"/>
              <w:left w:val="single" w:color="000000" w:sz="4" w:space="0"/>
              <w:bottom w:val="single" w:color="000000" w:sz="4" w:space="0"/>
              <w:right w:val="single" w:color="000000" w:sz="4" w:space="0"/>
            </w:tcBorders>
            <w:vAlign w:val="center"/>
          </w:tcPr>
          <w:p w14:paraId="6363636F">
            <w:pPr>
              <w:jc w:val="center"/>
              <w:rPr>
                <w:rFonts w:cs="宋体" w:asciiTheme="minorEastAsia" w:hAnsiTheme="minorEastAsia" w:eastAsiaTheme="minorEastAsia"/>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投标</w:t>
            </w:r>
            <w:r>
              <w:rPr>
                <w:rFonts w:cs="宋体" w:asciiTheme="minorEastAsia" w:hAnsiTheme="minorEastAsia" w:eastAsiaTheme="minorEastAsia"/>
                <w:color w:val="000000" w:themeColor="text1"/>
                <w:sz w:val="24"/>
                <w:highlight w:val="none"/>
                <w14:textFill>
                  <w14:solidFill>
                    <w14:schemeClr w14:val="tx1"/>
                  </w14:solidFill>
                </w14:textFill>
              </w:rPr>
              <w:t>报价（单位：元）</w:t>
            </w:r>
          </w:p>
        </w:tc>
        <w:tc>
          <w:tcPr>
            <w:tcW w:w="2582" w:type="dxa"/>
            <w:tcBorders>
              <w:top w:val="single" w:color="000000" w:sz="4" w:space="0"/>
              <w:left w:val="single" w:color="000000" w:sz="4" w:space="0"/>
              <w:bottom w:val="single" w:color="000000" w:sz="4" w:space="0"/>
              <w:right w:val="single" w:color="000000" w:sz="4" w:space="0"/>
            </w:tcBorders>
            <w:vAlign w:val="center"/>
          </w:tcPr>
          <w:p w14:paraId="0D6079D3">
            <w:pPr>
              <w:jc w:val="center"/>
              <w:rPr>
                <w:rFonts w:cs="宋体" w:asciiTheme="minorEastAsia" w:hAnsiTheme="minorEastAsia" w:eastAsiaTheme="minorEastAsia"/>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合同履约期限</w:t>
            </w:r>
          </w:p>
        </w:tc>
        <w:tc>
          <w:tcPr>
            <w:tcW w:w="1275" w:type="dxa"/>
            <w:tcBorders>
              <w:top w:val="single" w:color="000000" w:sz="4" w:space="0"/>
              <w:left w:val="single" w:color="000000" w:sz="4" w:space="0"/>
              <w:bottom w:val="single" w:color="000000" w:sz="4" w:space="0"/>
              <w:right w:val="single" w:color="000000" w:sz="4" w:space="0"/>
            </w:tcBorders>
            <w:vAlign w:val="center"/>
          </w:tcPr>
          <w:p w14:paraId="72936BCF">
            <w:pPr>
              <w:jc w:val="center"/>
              <w:rPr>
                <w:rFonts w:cs="宋体" w:asciiTheme="minorEastAsia" w:hAnsiTheme="minorEastAsia" w:eastAsiaTheme="minorEastAsia"/>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投标声明</w:t>
            </w:r>
          </w:p>
        </w:tc>
      </w:tr>
      <w:tr w14:paraId="1D2DD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4" w:hRule="atLeast"/>
          <w:jc w:val="center"/>
        </w:trPr>
        <w:tc>
          <w:tcPr>
            <w:tcW w:w="709" w:type="dxa"/>
            <w:tcBorders>
              <w:top w:val="single" w:color="000000" w:sz="4" w:space="0"/>
              <w:left w:val="single" w:color="000000" w:sz="4" w:space="0"/>
              <w:right w:val="single" w:color="000000" w:sz="4" w:space="0"/>
            </w:tcBorders>
            <w:vAlign w:val="center"/>
          </w:tcPr>
          <w:p w14:paraId="09E66008">
            <w:pPr>
              <w:jc w:val="center"/>
              <w:rPr>
                <w:rFonts w:cs="宋体" w:asciiTheme="minorEastAsia" w:hAnsiTheme="minorEastAsia" w:eastAsiaTheme="minorEastAsia"/>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1</w:t>
            </w:r>
          </w:p>
        </w:tc>
        <w:tc>
          <w:tcPr>
            <w:tcW w:w="1791" w:type="dxa"/>
            <w:tcBorders>
              <w:top w:val="single" w:color="000000" w:sz="4" w:space="0"/>
              <w:left w:val="single" w:color="000000" w:sz="4" w:space="0"/>
              <w:bottom w:val="single" w:color="000000" w:sz="4" w:space="0"/>
              <w:right w:val="single" w:color="000000" w:sz="4" w:space="0"/>
            </w:tcBorders>
            <w:vAlign w:val="center"/>
          </w:tcPr>
          <w:p w14:paraId="20517A36">
            <w:pPr>
              <w:snapToGrid w:val="0"/>
              <w:spacing w:line="26" w:lineRule="atLeast"/>
              <w:jc w:val="center"/>
              <w:rPr>
                <w:rFonts w:cs="宋体" w:asciiTheme="minorEastAsia" w:hAnsiTheme="minorEastAsia" w:eastAsiaTheme="minorEastAsia"/>
                <w:color w:val="000000" w:themeColor="text1"/>
                <w:sz w:val="24"/>
                <w:highlight w:val="none"/>
                <w14:textFill>
                  <w14:solidFill>
                    <w14:schemeClr w14:val="tx1"/>
                  </w14:solidFill>
                </w14:textFill>
              </w:rPr>
            </w:pPr>
          </w:p>
        </w:tc>
        <w:tc>
          <w:tcPr>
            <w:tcW w:w="2831" w:type="dxa"/>
            <w:tcBorders>
              <w:top w:val="single" w:color="000000" w:sz="4" w:space="0"/>
              <w:left w:val="single" w:color="000000" w:sz="4" w:space="0"/>
              <w:bottom w:val="single" w:color="000000" w:sz="4" w:space="0"/>
              <w:right w:val="single" w:color="000000" w:sz="4" w:space="0"/>
            </w:tcBorders>
            <w:vAlign w:val="center"/>
          </w:tcPr>
          <w:p w14:paraId="66A8D0D2">
            <w:pPr>
              <w:snapToGrid w:val="0"/>
              <w:spacing w:line="26" w:lineRule="atLeast"/>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大</w:t>
            </w:r>
            <w:r>
              <w:rPr>
                <w:rFonts w:asciiTheme="minorEastAsia" w:hAnsiTheme="minorEastAsia" w:eastAsiaTheme="minorEastAsia"/>
                <w:color w:val="000000" w:themeColor="text1"/>
                <w:highlight w:val="none"/>
                <w14:textFill>
                  <w14:solidFill>
                    <w14:schemeClr w14:val="tx1"/>
                  </w14:solidFill>
                </w14:textFill>
              </w:rPr>
              <w:t>写</w:t>
            </w:r>
            <w:r>
              <w:rPr>
                <w:rFonts w:hint="eastAsia" w:asciiTheme="minorEastAsia" w:hAnsiTheme="minorEastAsia" w:eastAsiaTheme="minorEastAsia"/>
                <w:color w:val="000000" w:themeColor="text1"/>
                <w:highlight w:val="none"/>
                <w14:textFill>
                  <w14:solidFill>
                    <w14:schemeClr w14:val="tx1"/>
                  </w14:solidFill>
                </w14:textFill>
              </w:rPr>
              <w:t>：</w:t>
            </w:r>
          </w:p>
          <w:p w14:paraId="0B388556">
            <w:pPr>
              <w:snapToGrid w:val="0"/>
              <w:spacing w:line="26" w:lineRule="atLeast"/>
              <w:ind w:firstLine="210" w:firstLineChars="100"/>
              <w:rPr>
                <w:rFonts w:asciiTheme="minorEastAsia" w:hAnsiTheme="minorEastAsia" w:eastAsiaTheme="minorEastAsia"/>
                <w:color w:val="000000" w:themeColor="text1"/>
                <w:highlight w:val="none"/>
                <w14:textFill>
                  <w14:solidFill>
                    <w14:schemeClr w14:val="tx1"/>
                  </w14:solidFill>
                </w14:textFill>
              </w:rPr>
            </w:pPr>
          </w:p>
          <w:p w14:paraId="7A144478">
            <w:pPr>
              <w:snapToGrid w:val="0"/>
              <w:spacing w:line="26" w:lineRule="atLeast"/>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小写：¥</w:t>
            </w:r>
          </w:p>
        </w:tc>
        <w:tc>
          <w:tcPr>
            <w:tcW w:w="2582" w:type="dxa"/>
            <w:tcBorders>
              <w:top w:val="single" w:color="000000" w:sz="4" w:space="0"/>
              <w:left w:val="single" w:color="000000" w:sz="4" w:space="0"/>
              <w:right w:val="single" w:color="000000" w:sz="4" w:space="0"/>
            </w:tcBorders>
            <w:vAlign w:val="center"/>
          </w:tcPr>
          <w:p w14:paraId="4891DCF5">
            <w:pPr>
              <w:snapToGrid w:val="0"/>
              <w:spacing w:line="26" w:lineRule="atLeast"/>
              <w:jc w:val="center"/>
              <w:rPr>
                <w:rFonts w:asciiTheme="minorEastAsia" w:hAnsiTheme="minorEastAsia" w:eastAsiaTheme="minorEastAsia"/>
                <w:color w:val="000000" w:themeColor="text1"/>
                <w:highlight w:val="none"/>
                <w14:textFill>
                  <w14:solidFill>
                    <w14:schemeClr w14:val="tx1"/>
                  </w14:solidFill>
                </w14:textFill>
              </w:rPr>
            </w:pPr>
          </w:p>
        </w:tc>
        <w:tc>
          <w:tcPr>
            <w:tcW w:w="1275" w:type="dxa"/>
            <w:tcBorders>
              <w:top w:val="single" w:color="000000" w:sz="4" w:space="0"/>
              <w:left w:val="single" w:color="000000" w:sz="4" w:space="0"/>
              <w:right w:val="single" w:color="000000" w:sz="4" w:space="0"/>
            </w:tcBorders>
            <w:vAlign w:val="center"/>
          </w:tcPr>
          <w:p w14:paraId="55781E56">
            <w:pPr>
              <w:jc w:val="center"/>
              <w:rPr>
                <w:rFonts w:cs="宋体" w:asciiTheme="minorEastAsia" w:hAnsiTheme="minorEastAsia" w:eastAsiaTheme="minorEastAsia"/>
                <w:color w:val="000000" w:themeColor="text1"/>
                <w:sz w:val="24"/>
                <w:highlight w:val="none"/>
                <w14:textFill>
                  <w14:solidFill>
                    <w14:schemeClr w14:val="tx1"/>
                  </w14:solidFill>
                </w14:textFill>
              </w:rPr>
            </w:pPr>
          </w:p>
        </w:tc>
      </w:tr>
    </w:tbl>
    <w:p w14:paraId="4A962F48">
      <w:pPr>
        <w:spacing w:line="380" w:lineRule="exact"/>
        <w:rPr>
          <w:rFonts w:asciiTheme="minorEastAsia" w:hAnsiTheme="minorEastAsia" w:eastAsiaTheme="minorEastAsia"/>
          <w:color w:val="000000" w:themeColor="text1"/>
          <w:szCs w:val="21"/>
          <w:highlight w:val="none"/>
          <w:u w:val="single"/>
          <w14:textFill>
            <w14:solidFill>
              <w14:schemeClr w14:val="tx1"/>
            </w14:solidFill>
          </w14:textFill>
        </w:rPr>
      </w:pPr>
    </w:p>
    <w:p w14:paraId="6214FF66">
      <w:pPr>
        <w:spacing w:line="380" w:lineRule="exact"/>
        <w:rPr>
          <w:rFonts w:asciiTheme="minorEastAsia" w:hAnsiTheme="minorEastAsia" w:eastAsiaTheme="minorEastAsia"/>
          <w:color w:val="000000" w:themeColor="text1"/>
          <w:szCs w:val="21"/>
          <w:highlight w:val="none"/>
          <w14:textFill>
            <w14:solidFill>
              <w14:schemeClr w14:val="tx1"/>
            </w14:solidFill>
          </w14:textFill>
        </w:rPr>
      </w:pPr>
    </w:p>
    <w:p w14:paraId="3E611968">
      <w:pPr>
        <w:spacing w:line="380" w:lineRule="exac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投  标  人（公章）：</w:t>
      </w:r>
    </w:p>
    <w:p w14:paraId="386F0C5C">
      <w:pPr>
        <w:spacing w:line="380" w:lineRule="exact"/>
        <w:rPr>
          <w:rFonts w:asciiTheme="minorEastAsia" w:hAnsiTheme="minorEastAsia" w:eastAsiaTheme="minorEastAsia"/>
          <w:color w:val="000000" w:themeColor="text1"/>
          <w:szCs w:val="21"/>
          <w:highlight w:val="none"/>
          <w14:textFill>
            <w14:solidFill>
              <w14:schemeClr w14:val="tx1"/>
            </w14:solidFill>
          </w14:textFill>
        </w:rPr>
      </w:pPr>
    </w:p>
    <w:p w14:paraId="7189E3F9">
      <w:pPr>
        <w:spacing w:line="380" w:lineRule="exac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投标人代表（签字或印章）：</w:t>
      </w:r>
    </w:p>
    <w:p w14:paraId="5ED840E9">
      <w:pPr>
        <w:spacing w:line="380" w:lineRule="exact"/>
        <w:rPr>
          <w:rFonts w:asciiTheme="minorEastAsia" w:hAnsiTheme="minorEastAsia" w:eastAsiaTheme="minorEastAsia"/>
          <w:color w:val="000000" w:themeColor="text1"/>
          <w:szCs w:val="21"/>
          <w:highlight w:val="none"/>
          <w14:textFill>
            <w14:solidFill>
              <w14:schemeClr w14:val="tx1"/>
            </w14:solidFill>
          </w14:textFill>
        </w:rPr>
      </w:pPr>
    </w:p>
    <w:p w14:paraId="69BF0C9B">
      <w:pPr>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日期：</w:t>
      </w:r>
    </w:p>
    <w:p w14:paraId="74400C61">
      <w:pPr>
        <w:rPr>
          <w:rFonts w:asciiTheme="minorEastAsia" w:hAnsiTheme="minorEastAsia" w:eastAsiaTheme="minorEastAsia"/>
          <w:color w:val="000000" w:themeColor="text1"/>
          <w:highlight w:val="none"/>
          <w14:textFill>
            <w14:solidFill>
              <w14:schemeClr w14:val="tx1"/>
            </w14:solidFill>
          </w14:textFill>
        </w:rPr>
      </w:pPr>
    </w:p>
    <w:p w14:paraId="73E6F8AB">
      <w:pPr>
        <w:rPr>
          <w:rFonts w:asciiTheme="minorEastAsia" w:hAnsiTheme="minorEastAsia" w:eastAsiaTheme="minorEastAsia"/>
          <w:color w:val="000000" w:themeColor="text1"/>
          <w:highlight w:val="none"/>
          <w14:textFill>
            <w14:solidFill>
              <w14:schemeClr w14:val="tx1"/>
            </w14:solidFill>
          </w14:textFill>
        </w:rPr>
      </w:pPr>
    </w:p>
    <w:p w14:paraId="502AB387">
      <w:pPr>
        <w:rPr>
          <w:rFonts w:asciiTheme="minorEastAsia" w:hAnsiTheme="minorEastAsia" w:eastAsiaTheme="minorEastAsia"/>
          <w:color w:val="000000" w:themeColor="text1"/>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p>
    <w:p w14:paraId="1EA0E57F">
      <w:pPr>
        <w:rPr>
          <w:rFonts w:asciiTheme="minorEastAsia" w:hAnsiTheme="minorEastAsia" w:eastAsiaTheme="minorEastAsia"/>
          <w:color w:val="000000" w:themeColor="text1"/>
          <w:highlight w:val="none"/>
          <w14:textFill>
            <w14:solidFill>
              <w14:schemeClr w14:val="tx1"/>
            </w14:solidFill>
          </w14:textFill>
        </w:rPr>
      </w:pPr>
    </w:p>
    <w:p w14:paraId="2C82C273">
      <w:pPr>
        <w:rPr>
          <w:rFonts w:asciiTheme="minorEastAsia" w:hAnsiTheme="minorEastAsia" w:eastAsiaTheme="minorEastAsia"/>
          <w:color w:val="000000" w:themeColor="text1"/>
          <w:highlight w:val="none"/>
          <w14:textFill>
            <w14:solidFill>
              <w14:schemeClr w14:val="tx1"/>
            </w14:solidFill>
          </w14:textFill>
        </w:rPr>
      </w:pPr>
    </w:p>
    <w:p w14:paraId="57117F88">
      <w:pPr>
        <w:jc w:val="center"/>
        <w:rPr>
          <w:rFonts w:asciiTheme="minorEastAsia" w:hAnsiTheme="minorEastAsia" w:eastAsiaTheme="minorEastAsia"/>
          <w:b/>
          <w:color w:val="000000" w:themeColor="text1"/>
          <w:sz w:val="24"/>
          <w:szCs w:val="24"/>
          <w:highlight w:val="none"/>
          <w14:textFill>
            <w14:solidFill>
              <w14:schemeClr w14:val="tx1"/>
            </w14:solidFill>
          </w14:textFill>
        </w:rPr>
      </w:pPr>
      <w:r>
        <w:rPr>
          <w:rFonts w:hint="eastAsia" w:asciiTheme="minorEastAsia" w:hAnsiTheme="minorEastAsia" w:eastAsiaTheme="minorEastAsia"/>
          <w:b/>
          <w:color w:val="000000" w:themeColor="text1"/>
          <w:sz w:val="24"/>
          <w:szCs w:val="24"/>
          <w:highlight w:val="none"/>
          <w14:textFill>
            <w14:solidFill>
              <w14:schemeClr w14:val="tx1"/>
            </w14:solidFill>
          </w14:textFill>
        </w:rPr>
        <w:t>（三）投标分项报价表</w:t>
      </w:r>
    </w:p>
    <w:p w14:paraId="69635A5D">
      <w:pPr>
        <w:ind w:firstLine="3089"/>
        <w:rPr>
          <w:rFonts w:asciiTheme="minorEastAsia" w:hAnsiTheme="minorEastAsia" w:eastAsiaTheme="minorEastAsia"/>
          <w:b/>
          <w:color w:val="000000" w:themeColor="text1"/>
          <w:sz w:val="28"/>
          <w:highlight w:val="none"/>
          <w14:textFill>
            <w14:solidFill>
              <w14:schemeClr w14:val="tx1"/>
            </w14:solidFill>
          </w14:textFill>
        </w:rPr>
      </w:pPr>
    </w:p>
    <w:p w14:paraId="0D812A96">
      <w:pPr>
        <w:pStyle w:val="17"/>
        <w:rPr>
          <w:rFonts w:hint="eastAsia" w:asciiTheme="minorEastAsia" w:hAnsiTheme="minorEastAsia" w:eastAsiaTheme="minorEastAsia"/>
          <w:color w:val="000000" w:themeColor="text1"/>
          <w:sz w:val="21"/>
          <w:szCs w:val="21"/>
          <w:highlight w:val="none"/>
          <w14:textFill>
            <w14:solidFill>
              <w14:schemeClr w14:val="tx1"/>
            </w14:solidFill>
          </w14:textFill>
        </w:rPr>
      </w:pPr>
    </w:p>
    <w:p w14:paraId="68DFD0E1">
      <w:pPr>
        <w:pStyle w:val="17"/>
        <w:rPr>
          <w:rFonts w:hint="eastAsia" w:asciiTheme="minorEastAsia" w:hAnsiTheme="minorEastAsia" w:eastAsiaTheme="minorEastAsia"/>
          <w:color w:val="000000" w:themeColor="text1"/>
          <w:sz w:val="21"/>
          <w:szCs w:val="21"/>
          <w:highlight w:val="none"/>
          <w14:textFill>
            <w14:solidFill>
              <w14:schemeClr w14:val="tx1"/>
            </w14:solidFill>
          </w14:textFill>
        </w:rPr>
      </w:pPr>
    </w:p>
    <w:p w14:paraId="54A6236F">
      <w:pPr>
        <w:pStyle w:val="17"/>
        <w:jc w:val="center"/>
        <w:rPr>
          <w:rFonts w:hint="eastAsia"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根据提供的“工程量清单”填写。</w:t>
      </w:r>
    </w:p>
    <w:p w14:paraId="40B14F04">
      <w:pPr>
        <w:pStyle w:val="17"/>
        <w:rPr>
          <w:rFonts w:hint="eastAsia" w:asciiTheme="minorEastAsia" w:hAnsiTheme="minorEastAsia" w:eastAsiaTheme="minorEastAsia"/>
          <w:color w:val="000000" w:themeColor="text1"/>
          <w:sz w:val="21"/>
          <w:szCs w:val="21"/>
          <w:highlight w:val="none"/>
          <w14:textFill>
            <w14:solidFill>
              <w14:schemeClr w14:val="tx1"/>
            </w14:solidFill>
          </w14:textFill>
        </w:rPr>
      </w:pPr>
    </w:p>
    <w:p w14:paraId="4AD0EA50">
      <w:pPr>
        <w:pStyle w:val="17"/>
        <w:ind w:left="0" w:leftChars="0" w:firstLine="0" w:firstLineChars="0"/>
        <w:rPr>
          <w:rFonts w:hint="eastAsia" w:asciiTheme="minorEastAsia" w:hAnsiTheme="minorEastAsia" w:eastAsiaTheme="minorEastAsia"/>
          <w:color w:val="000000" w:themeColor="text1"/>
          <w:sz w:val="21"/>
          <w:szCs w:val="21"/>
          <w:highlight w:val="none"/>
          <w14:textFill>
            <w14:solidFill>
              <w14:schemeClr w14:val="tx1"/>
            </w14:solidFill>
          </w14:textFill>
        </w:rPr>
      </w:pPr>
    </w:p>
    <w:p w14:paraId="1F38692A">
      <w:pPr>
        <w:pStyle w:val="17"/>
        <w:rPr>
          <w:rFonts w:hint="eastAsia" w:asciiTheme="minorEastAsia" w:hAnsiTheme="minorEastAsia" w:eastAsiaTheme="minorEastAsia"/>
          <w:color w:val="000000" w:themeColor="text1"/>
          <w:sz w:val="21"/>
          <w:szCs w:val="21"/>
          <w:highlight w:val="none"/>
          <w14:textFill>
            <w14:solidFill>
              <w14:schemeClr w14:val="tx1"/>
            </w14:solidFill>
          </w14:textFill>
        </w:rPr>
      </w:pPr>
    </w:p>
    <w:p w14:paraId="46E6299F">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注：1、投标人不得修改工程量清单中除投标报价综合单价、合计、备注以外的内容，否则视为缺项、漏项；</w:t>
      </w:r>
    </w:p>
    <w:p w14:paraId="70E4ABA8">
      <w:pPr>
        <w:pStyle w:val="17"/>
        <w:ind w:firstLine="0"/>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2、表格可自行扩展。</w:t>
      </w:r>
    </w:p>
    <w:p w14:paraId="0645F55D">
      <w:pPr>
        <w:pStyle w:val="17"/>
        <w:ind w:left="440"/>
        <w:rPr>
          <w:rFonts w:asciiTheme="minorEastAsia" w:hAnsiTheme="minorEastAsia" w:eastAsiaTheme="minorEastAsia"/>
          <w:color w:val="000000" w:themeColor="text1"/>
          <w:szCs w:val="24"/>
          <w:highlight w:val="none"/>
          <w14:textFill>
            <w14:solidFill>
              <w14:schemeClr w14:val="tx1"/>
            </w14:solidFill>
          </w14:textFill>
        </w:rPr>
      </w:pPr>
    </w:p>
    <w:p w14:paraId="24F37C79">
      <w:pPr>
        <w:spacing w:line="380" w:lineRule="exac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投  标  人（公章）：</w:t>
      </w:r>
    </w:p>
    <w:p w14:paraId="1CF2A03D">
      <w:pPr>
        <w:spacing w:line="380" w:lineRule="exact"/>
        <w:rPr>
          <w:rFonts w:asciiTheme="minorEastAsia" w:hAnsiTheme="minorEastAsia" w:eastAsiaTheme="minorEastAsia"/>
          <w:color w:val="000000" w:themeColor="text1"/>
          <w:szCs w:val="21"/>
          <w:highlight w:val="none"/>
          <w14:textFill>
            <w14:solidFill>
              <w14:schemeClr w14:val="tx1"/>
            </w14:solidFill>
          </w14:textFill>
        </w:rPr>
      </w:pPr>
    </w:p>
    <w:p w14:paraId="629372A0">
      <w:pPr>
        <w:spacing w:line="380" w:lineRule="exac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投标人代表（签字或印章）：</w:t>
      </w:r>
    </w:p>
    <w:p w14:paraId="74825353">
      <w:pPr>
        <w:spacing w:line="380" w:lineRule="exact"/>
        <w:rPr>
          <w:rFonts w:asciiTheme="minorEastAsia" w:hAnsiTheme="minorEastAsia" w:eastAsiaTheme="minorEastAsia"/>
          <w:color w:val="000000" w:themeColor="text1"/>
          <w:szCs w:val="21"/>
          <w:highlight w:val="none"/>
          <w14:textFill>
            <w14:solidFill>
              <w14:schemeClr w14:val="tx1"/>
            </w14:solidFill>
          </w14:textFill>
        </w:rPr>
      </w:pPr>
    </w:p>
    <w:p w14:paraId="267E7854">
      <w:pPr>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日期：</w:t>
      </w:r>
    </w:p>
    <w:p w14:paraId="624150A8">
      <w:pPr>
        <w:pStyle w:val="17"/>
        <w:ind w:right="-315" w:firstLine="482"/>
        <w:jc w:val="center"/>
        <w:rPr>
          <w:rFonts w:asciiTheme="minorEastAsia" w:hAnsiTheme="minorEastAsia" w:eastAsiaTheme="minorEastAsia"/>
          <w:b/>
          <w:bCs/>
          <w:color w:val="000000" w:themeColor="text1"/>
          <w:highlight w:val="none"/>
          <w14:textFill>
            <w14:solidFill>
              <w14:schemeClr w14:val="tx1"/>
            </w14:solidFill>
          </w14:textFill>
        </w:rPr>
      </w:pPr>
    </w:p>
    <w:p w14:paraId="050FFD23">
      <w:pPr>
        <w:rPr>
          <w:rFonts w:asciiTheme="minorEastAsia" w:hAnsiTheme="minorEastAsia" w:eastAsiaTheme="minorEastAsia"/>
          <w:b/>
          <w:bCs/>
          <w:color w:val="000000" w:themeColor="text1"/>
          <w:highlight w:val="none"/>
          <w14:textFill>
            <w14:solidFill>
              <w14:schemeClr w14:val="tx1"/>
            </w14:solidFill>
          </w14:textFill>
        </w:rPr>
      </w:pPr>
      <w:r>
        <w:rPr>
          <w:rFonts w:asciiTheme="minorEastAsia" w:hAnsiTheme="minorEastAsia" w:eastAsiaTheme="minorEastAsia"/>
          <w:b/>
          <w:bCs/>
          <w:color w:val="000000" w:themeColor="text1"/>
          <w:highlight w:val="none"/>
          <w14:textFill>
            <w14:solidFill>
              <w14:schemeClr w14:val="tx1"/>
            </w14:solidFill>
          </w14:textFill>
        </w:rPr>
        <w:br w:type="page"/>
      </w:r>
    </w:p>
    <w:p w14:paraId="7CB1D4C1">
      <w:pPr>
        <w:autoSpaceDE w:val="0"/>
        <w:autoSpaceDN w:val="0"/>
        <w:jc w:val="center"/>
        <w:rPr>
          <w:rFonts w:ascii="宋体" w:hAnsi="宋体" w:cs="宋体"/>
          <w:b/>
          <w:color w:val="000000" w:themeColor="text1"/>
          <w:kern w:val="0"/>
          <w:sz w:val="28"/>
          <w:szCs w:val="28"/>
          <w:highlight w:val="none"/>
          <w14:textFill>
            <w14:solidFill>
              <w14:schemeClr w14:val="tx1"/>
            </w14:solidFill>
          </w14:textFill>
        </w:rPr>
      </w:pPr>
    </w:p>
    <w:p w14:paraId="42BFF581">
      <w:pPr>
        <w:autoSpaceDE w:val="0"/>
        <w:autoSpaceDN w:val="0"/>
        <w:jc w:val="center"/>
        <w:rPr>
          <w:rFonts w:ascii="宋体" w:hAnsi="宋体" w:cs="宋体"/>
          <w:b/>
          <w:color w:val="000000" w:themeColor="text1"/>
          <w:kern w:val="0"/>
          <w:sz w:val="28"/>
          <w:szCs w:val="28"/>
          <w:highlight w:val="none"/>
          <w14:textFill>
            <w14:solidFill>
              <w14:schemeClr w14:val="tx1"/>
            </w14:solidFill>
          </w14:textFill>
        </w:rPr>
      </w:pPr>
    </w:p>
    <w:p w14:paraId="7F863319">
      <w:pPr>
        <w:autoSpaceDE w:val="0"/>
        <w:autoSpaceDN w:val="0"/>
        <w:jc w:val="center"/>
        <w:rPr>
          <w:rFonts w:ascii="宋体" w:hAnsi="宋体" w:cs="宋体"/>
          <w:b/>
          <w:color w:val="000000" w:themeColor="text1"/>
          <w:kern w:val="0"/>
          <w:sz w:val="28"/>
          <w:szCs w:val="28"/>
          <w:highlight w:val="none"/>
          <w14:textFill>
            <w14:solidFill>
              <w14:schemeClr w14:val="tx1"/>
            </w14:solidFill>
          </w14:textFill>
        </w:rPr>
      </w:pPr>
      <w:r>
        <w:rPr>
          <w:rFonts w:hint="eastAsia" w:ascii="宋体" w:hAnsi="宋体" w:cs="宋体"/>
          <w:b/>
          <w:color w:val="000000" w:themeColor="text1"/>
          <w:kern w:val="0"/>
          <w:sz w:val="28"/>
          <w:szCs w:val="28"/>
          <w:highlight w:val="none"/>
          <w14:textFill>
            <w14:solidFill>
              <w14:schemeClr w14:val="tx1"/>
            </w14:solidFill>
          </w14:textFill>
        </w:rPr>
        <w:t>（四）享受政府采购价格优惠政策需提供的证明资料</w:t>
      </w:r>
    </w:p>
    <w:p w14:paraId="277772AC">
      <w:pPr>
        <w:spacing w:line="360" w:lineRule="auto"/>
        <w:rPr>
          <w:rFonts w:cs="仿宋_GB2312" w:asciiTheme="minorEastAsia" w:hAnsiTheme="minorEastAsia" w:eastAsiaTheme="minorEastAsia"/>
          <w:color w:val="000000" w:themeColor="text1"/>
          <w:sz w:val="24"/>
          <w:highlight w:val="none"/>
          <w14:textFill>
            <w14:solidFill>
              <w14:schemeClr w14:val="tx1"/>
            </w14:solidFill>
          </w14:textFill>
        </w:rPr>
      </w:pPr>
    </w:p>
    <w:p w14:paraId="5CB76F3F">
      <w:pPr>
        <w:rPr>
          <w:rFonts w:asciiTheme="minorEastAsia" w:hAnsiTheme="minorEastAsia" w:eastAsiaTheme="minorEastAsia"/>
          <w:color w:val="000000" w:themeColor="text1"/>
          <w:highlight w:val="none"/>
          <w14:textFill>
            <w14:solidFill>
              <w14:schemeClr w14:val="tx1"/>
            </w14:solidFill>
          </w14:textFill>
        </w:rPr>
      </w:pPr>
      <w:r>
        <w:rPr>
          <w:rFonts w:hint="eastAsia" w:cs="仿宋_GB2312" w:asciiTheme="minorEastAsia" w:hAnsiTheme="minorEastAsia" w:eastAsiaTheme="minorEastAsia"/>
          <w:color w:val="000000" w:themeColor="text1"/>
          <w:sz w:val="24"/>
          <w:highlight w:val="none"/>
          <w14:textFill>
            <w14:solidFill>
              <w14:schemeClr w14:val="tx1"/>
            </w14:solidFill>
          </w14:textFill>
        </w:rPr>
        <w:t>（招标公告落实政府采购政策需满足的资格要求为“无”即本项目或标项未预留份额专门面向中小企业时，符合《政府采购促进中小企业发展管理办法》规定的小微企业拟享受价格扣除政策的，</w:t>
      </w:r>
      <w:r>
        <w:rPr>
          <w:rFonts w:hint="eastAsia" w:asciiTheme="minorEastAsia" w:hAnsiTheme="minorEastAsia" w:eastAsiaTheme="minorEastAsia"/>
          <w:color w:val="000000" w:themeColor="text1"/>
          <w:sz w:val="24"/>
          <w:highlight w:val="none"/>
          <w14:textFill>
            <w14:solidFill>
              <w14:schemeClr w14:val="tx1"/>
            </w14:solidFill>
          </w14:textFill>
        </w:rPr>
        <w:t>需提供相应的</w:t>
      </w:r>
      <w:r>
        <w:rPr>
          <w:rFonts w:hint="eastAsia" w:cs="仿宋_GB2312" w:asciiTheme="minorEastAsia" w:hAnsiTheme="minorEastAsia" w:eastAsiaTheme="minorEastAsia"/>
          <w:color w:val="000000" w:themeColor="text1"/>
          <w:sz w:val="24"/>
          <w:highlight w:val="none"/>
          <w14:textFill>
            <w14:solidFill>
              <w14:schemeClr w14:val="tx1"/>
            </w14:solidFill>
          </w14:textFill>
        </w:rPr>
        <w:t>中小企业声明函（附件1）、</w:t>
      </w:r>
      <w:r>
        <w:rPr>
          <w:rFonts w:hint="eastAsia" w:asciiTheme="minorEastAsia" w:hAnsiTheme="minorEastAsia" w:eastAsiaTheme="minorEastAsia"/>
          <w:color w:val="000000" w:themeColor="text1"/>
          <w:sz w:val="22"/>
          <w:highlight w:val="none"/>
          <w14:textFill>
            <w14:solidFill>
              <w14:schemeClr w14:val="tx1"/>
            </w14:solidFill>
          </w14:textFill>
        </w:rPr>
        <w:t>残疾人福利性单位声明函（附件2）</w:t>
      </w:r>
      <w:r>
        <w:rPr>
          <w:rFonts w:hint="eastAsia" w:asciiTheme="minorEastAsia" w:hAnsiTheme="minorEastAsia" w:eastAsiaTheme="minorEastAsia"/>
          <w:color w:val="000000" w:themeColor="text1"/>
          <w:sz w:val="24"/>
          <w:highlight w:val="none"/>
          <w14:textFill>
            <w14:solidFill>
              <w14:schemeClr w14:val="tx1"/>
            </w14:solidFill>
          </w14:textFill>
        </w:rPr>
        <w:t>；无法享受的，无需提供</w:t>
      </w:r>
      <w:r>
        <w:rPr>
          <w:rFonts w:hint="eastAsia" w:cs="仿宋_GB2312" w:asciiTheme="minorEastAsia" w:hAnsiTheme="minorEastAsia" w:eastAsiaTheme="minorEastAsia"/>
          <w:color w:val="000000" w:themeColor="text1"/>
          <w:sz w:val="24"/>
          <w:highlight w:val="none"/>
          <w14:textFill>
            <w14:solidFill>
              <w14:schemeClr w14:val="tx1"/>
            </w14:solidFill>
          </w14:textFill>
        </w:rPr>
        <w:t>）</w:t>
      </w:r>
      <w:r>
        <w:rPr>
          <w:rFonts w:asciiTheme="minorEastAsia" w:hAnsiTheme="minorEastAsia" w:eastAsiaTheme="minorEastAsia"/>
          <w:color w:val="000000" w:themeColor="text1"/>
          <w:highlight w:val="none"/>
          <w14:textFill>
            <w14:solidFill>
              <w14:schemeClr w14:val="tx1"/>
            </w14:solidFill>
          </w14:textFill>
        </w:rPr>
        <w:br w:type="page"/>
      </w:r>
    </w:p>
    <w:p w14:paraId="5A3DC892">
      <w:pPr>
        <w:pStyle w:val="2"/>
        <w:rPr>
          <w:color w:val="000000" w:themeColor="text1"/>
          <w:highlight w:val="none"/>
          <w14:textFill>
            <w14:solidFill>
              <w14:schemeClr w14:val="tx1"/>
            </w14:solidFill>
          </w14:textFill>
        </w:rPr>
      </w:pPr>
    </w:p>
    <w:p w14:paraId="7875665B">
      <w:pPr>
        <w:pStyle w:val="2"/>
        <w:spacing w:line="380" w:lineRule="exact"/>
        <w:rPr>
          <w:rFonts w:asciiTheme="minorEastAsia" w:hAnsiTheme="minorEastAsia" w:eastAsiaTheme="minorEastAsia"/>
          <w:color w:val="000000" w:themeColor="text1"/>
          <w:sz w:val="28"/>
          <w:szCs w:val="28"/>
          <w:highlight w:val="none"/>
          <w14:textFill>
            <w14:solidFill>
              <w14:schemeClr w14:val="tx1"/>
            </w14:solidFill>
          </w14:textFill>
        </w:rPr>
      </w:pPr>
      <w:bookmarkStart w:id="193" w:name="_Toc136017669"/>
      <w:bookmarkStart w:id="194" w:name="_Toc20265"/>
      <w:bookmarkStart w:id="195" w:name="_Toc136345130"/>
      <w:r>
        <w:rPr>
          <w:rFonts w:hint="eastAsia" w:asciiTheme="minorEastAsia" w:hAnsiTheme="minorEastAsia" w:eastAsiaTheme="minorEastAsia"/>
          <w:color w:val="000000" w:themeColor="text1"/>
          <w:sz w:val="28"/>
          <w:szCs w:val="28"/>
          <w:highlight w:val="none"/>
          <w14:textFill>
            <w14:solidFill>
              <w14:schemeClr w14:val="tx1"/>
            </w14:solidFill>
          </w14:textFill>
        </w:rPr>
        <w:t>附  件</w:t>
      </w:r>
      <w:bookmarkEnd w:id="193"/>
      <w:bookmarkEnd w:id="194"/>
      <w:bookmarkEnd w:id="195"/>
    </w:p>
    <w:p w14:paraId="0F0952A0">
      <w:pPr>
        <w:pStyle w:val="2"/>
        <w:spacing w:line="380" w:lineRule="exact"/>
        <w:rPr>
          <w:rFonts w:asciiTheme="minorEastAsia" w:hAnsiTheme="minorEastAsia" w:eastAsiaTheme="minorEastAsia"/>
          <w:color w:val="000000" w:themeColor="text1"/>
          <w:sz w:val="24"/>
          <w:szCs w:val="24"/>
          <w:highlight w:val="none"/>
          <w14:textFill>
            <w14:solidFill>
              <w14:schemeClr w14:val="tx1"/>
            </w14:solidFill>
          </w14:textFill>
        </w:rPr>
      </w:pPr>
    </w:p>
    <w:p w14:paraId="477FC1F2">
      <w:pPr>
        <w:pStyle w:val="2"/>
        <w:spacing w:line="380" w:lineRule="exact"/>
        <w:jc w:val="both"/>
        <w:rPr>
          <w:rFonts w:asciiTheme="minorEastAsia" w:hAnsiTheme="minorEastAsia" w:eastAsiaTheme="minorEastAsia"/>
          <w:color w:val="000000" w:themeColor="text1"/>
          <w:sz w:val="24"/>
          <w:szCs w:val="24"/>
          <w:highlight w:val="none"/>
          <w14:textFill>
            <w14:solidFill>
              <w14:schemeClr w14:val="tx1"/>
            </w14:solidFill>
          </w14:textFill>
        </w:rPr>
      </w:pPr>
      <w:bookmarkStart w:id="196" w:name="_Toc19350"/>
      <w:bookmarkStart w:id="197" w:name="_Toc136345131"/>
      <w:bookmarkStart w:id="198" w:name="_Toc136017670"/>
      <w:r>
        <w:rPr>
          <w:rFonts w:hint="eastAsia" w:asciiTheme="minorEastAsia" w:hAnsiTheme="minorEastAsia" w:eastAsiaTheme="minorEastAsia"/>
          <w:color w:val="000000" w:themeColor="text1"/>
          <w:sz w:val="24"/>
          <w:szCs w:val="24"/>
          <w:highlight w:val="none"/>
          <w14:textFill>
            <w14:solidFill>
              <w14:schemeClr w14:val="tx1"/>
            </w14:solidFill>
          </w14:textFill>
        </w:rPr>
        <w:t>附件1                       中小企业声明函</w:t>
      </w:r>
      <w:bookmarkEnd w:id="196"/>
      <w:bookmarkEnd w:id="197"/>
      <w:bookmarkEnd w:id="198"/>
    </w:p>
    <w:p w14:paraId="5EAEF29D">
      <w:pPr>
        <w:rPr>
          <w:rFonts w:asciiTheme="minorEastAsia" w:hAnsiTheme="minorEastAsia" w:eastAsiaTheme="minorEastAsia"/>
          <w:color w:val="000000" w:themeColor="text1"/>
          <w:highlight w:val="none"/>
          <w14:textFill>
            <w14:solidFill>
              <w14:schemeClr w14:val="tx1"/>
            </w14:solidFill>
          </w14:textFill>
        </w:rPr>
      </w:pPr>
    </w:p>
    <w:p w14:paraId="5756EE04">
      <w:pPr>
        <w:spacing w:line="360" w:lineRule="auto"/>
        <w:ind w:firstLine="444" w:firstLineChars="200"/>
        <w:rPr>
          <w:rFonts w:asciiTheme="minorEastAsia" w:hAnsiTheme="minorEastAsia" w:eastAsiaTheme="minorEastAsia"/>
          <w:color w:val="000000" w:themeColor="text1"/>
          <w:spacing w:val="6"/>
          <w:szCs w:val="21"/>
          <w:highlight w:val="none"/>
          <w14:textFill>
            <w14:solidFill>
              <w14:schemeClr w14:val="tx1"/>
            </w14:solidFill>
          </w14:textFill>
        </w:rPr>
      </w:pPr>
      <w:r>
        <w:rPr>
          <w:rFonts w:hint="eastAsia" w:asciiTheme="minorEastAsia" w:hAnsiTheme="minorEastAsia" w:eastAsiaTheme="minorEastAsia"/>
          <w:color w:val="000000" w:themeColor="text1"/>
          <w:spacing w:val="6"/>
          <w:szCs w:val="21"/>
          <w:highlight w:val="none"/>
          <w14:textFill>
            <w14:solidFill>
              <w14:schemeClr w14:val="tx1"/>
            </w14:solidFill>
          </w14:textFill>
        </w:rPr>
        <w:t>本公司（</w:t>
      </w:r>
      <w:r>
        <w:rPr>
          <w:rFonts w:hint="eastAsia" w:asciiTheme="minorEastAsia" w:hAnsiTheme="minorEastAsia" w:eastAsiaTheme="minorEastAsia"/>
          <w:i/>
          <w:iCs/>
          <w:color w:val="000000" w:themeColor="text1"/>
          <w:spacing w:val="6"/>
          <w:szCs w:val="21"/>
          <w:highlight w:val="none"/>
          <w14:textFill>
            <w14:solidFill>
              <w14:schemeClr w14:val="tx1"/>
            </w14:solidFill>
          </w14:textFill>
        </w:rPr>
        <w:t>联合体</w:t>
      </w:r>
      <w:r>
        <w:rPr>
          <w:rFonts w:hint="eastAsia" w:asciiTheme="minorEastAsia" w:hAnsiTheme="minorEastAsia" w:eastAsiaTheme="minorEastAsia"/>
          <w:color w:val="000000" w:themeColor="text1"/>
          <w:spacing w:val="6"/>
          <w:szCs w:val="21"/>
          <w:highlight w:val="none"/>
          <w14:textFill>
            <w14:solidFill>
              <w14:schemeClr w14:val="tx1"/>
            </w14:solidFill>
          </w14:textFill>
        </w:rPr>
        <w:t>）郑重声明，根据《政府采购促进中小企业发展管理办法》（财库[2020]46号）的规定，本公司（</w:t>
      </w:r>
      <w:r>
        <w:rPr>
          <w:rFonts w:hint="eastAsia" w:asciiTheme="minorEastAsia" w:hAnsiTheme="minorEastAsia" w:eastAsiaTheme="minorEastAsia"/>
          <w:i/>
          <w:iCs/>
          <w:color w:val="000000" w:themeColor="text1"/>
          <w:spacing w:val="6"/>
          <w:szCs w:val="21"/>
          <w:highlight w:val="none"/>
          <w14:textFill>
            <w14:solidFill>
              <w14:schemeClr w14:val="tx1"/>
            </w14:solidFill>
          </w14:textFill>
        </w:rPr>
        <w:t>联合体</w:t>
      </w:r>
      <w:r>
        <w:rPr>
          <w:rFonts w:hint="eastAsia" w:asciiTheme="minorEastAsia" w:hAnsiTheme="minorEastAsia" w:eastAsiaTheme="minorEastAsia"/>
          <w:color w:val="000000" w:themeColor="text1"/>
          <w:spacing w:val="6"/>
          <w:szCs w:val="21"/>
          <w:highlight w:val="none"/>
          <w14:textFill>
            <w14:solidFill>
              <w14:schemeClr w14:val="tx1"/>
            </w14:solidFill>
          </w14:textFill>
        </w:rPr>
        <w:t>）参加</w:t>
      </w:r>
      <w:r>
        <w:rPr>
          <w:rFonts w:hint="eastAsia" w:asciiTheme="minorEastAsia" w:hAnsiTheme="minorEastAsia" w:eastAsiaTheme="minorEastAsia"/>
          <w:i/>
          <w:color w:val="000000" w:themeColor="text1"/>
          <w:spacing w:val="6"/>
          <w:szCs w:val="21"/>
          <w:highlight w:val="none"/>
          <w:u w:val="single"/>
          <w14:textFill>
            <w14:solidFill>
              <w14:schemeClr w14:val="tx1"/>
            </w14:solidFill>
          </w14:textFill>
        </w:rPr>
        <w:t>（单位名称）</w:t>
      </w:r>
      <w:r>
        <w:rPr>
          <w:rFonts w:hint="eastAsia" w:asciiTheme="minorEastAsia" w:hAnsiTheme="minorEastAsia" w:eastAsiaTheme="minorEastAsia"/>
          <w:color w:val="000000" w:themeColor="text1"/>
          <w:spacing w:val="6"/>
          <w:szCs w:val="21"/>
          <w:highlight w:val="none"/>
          <w14:textFill>
            <w14:solidFill>
              <w14:schemeClr w14:val="tx1"/>
            </w14:solidFill>
          </w14:textFill>
        </w:rPr>
        <w:t>的</w:t>
      </w:r>
      <w:r>
        <w:rPr>
          <w:rFonts w:hint="eastAsia" w:asciiTheme="minorEastAsia" w:hAnsiTheme="minorEastAsia" w:eastAsiaTheme="minorEastAsia"/>
          <w:i/>
          <w:color w:val="000000" w:themeColor="text1"/>
          <w:spacing w:val="6"/>
          <w:szCs w:val="21"/>
          <w:highlight w:val="none"/>
          <w:u w:val="single"/>
          <w14:textFill>
            <w14:solidFill>
              <w14:schemeClr w14:val="tx1"/>
            </w14:solidFill>
          </w14:textFill>
        </w:rPr>
        <w:t>（项目名称）</w:t>
      </w:r>
      <w:r>
        <w:rPr>
          <w:rFonts w:hint="eastAsia" w:asciiTheme="minorEastAsia" w:hAnsiTheme="minorEastAsia" w:eastAsiaTheme="minorEastAsia"/>
          <w:color w:val="000000" w:themeColor="text1"/>
          <w:spacing w:val="6"/>
          <w:szCs w:val="21"/>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3B88C0C2">
      <w:pPr>
        <w:spacing w:line="360" w:lineRule="auto"/>
        <w:ind w:firstLine="444" w:firstLineChars="200"/>
        <w:rPr>
          <w:rFonts w:asciiTheme="minorEastAsia" w:hAnsiTheme="minorEastAsia" w:eastAsiaTheme="minorEastAsia"/>
          <w:color w:val="000000" w:themeColor="text1"/>
          <w:spacing w:val="6"/>
          <w:szCs w:val="21"/>
          <w:highlight w:val="none"/>
          <w:u w:val="single"/>
          <w14:textFill>
            <w14:solidFill>
              <w14:schemeClr w14:val="tx1"/>
            </w14:solidFill>
          </w14:textFill>
        </w:rPr>
      </w:pPr>
      <w:r>
        <w:rPr>
          <w:rFonts w:hint="eastAsia" w:asciiTheme="minorEastAsia" w:hAnsiTheme="minorEastAsia" w:eastAsiaTheme="minorEastAsia"/>
          <w:color w:val="000000" w:themeColor="text1"/>
          <w:spacing w:val="6"/>
          <w:szCs w:val="21"/>
          <w:highlight w:val="none"/>
          <w14:textFill>
            <w14:solidFill>
              <w14:schemeClr w14:val="tx1"/>
            </w14:solidFill>
          </w14:textFill>
        </w:rPr>
        <w:t>1.</w:t>
      </w:r>
      <w:r>
        <w:rPr>
          <w:rFonts w:hint="eastAsia" w:asciiTheme="minorEastAsia" w:hAnsiTheme="minorEastAsia" w:eastAsiaTheme="minorEastAsia"/>
          <w:color w:val="000000" w:themeColor="text1"/>
          <w:spacing w:val="6"/>
          <w:szCs w:val="21"/>
          <w:highlight w:val="none"/>
          <w:u w:val="single"/>
          <w:lang w:eastAsia="zh-CN"/>
          <w14:textFill>
            <w14:solidFill>
              <w14:schemeClr w14:val="tx1"/>
            </w14:solidFill>
          </w14:textFill>
        </w:rPr>
        <w:t>2025年大榭市政道路及排水管网综合养护项目</w:t>
      </w:r>
      <w:r>
        <w:rPr>
          <w:rFonts w:hint="eastAsia" w:asciiTheme="minorEastAsia" w:hAnsiTheme="minorEastAsia" w:eastAsiaTheme="minorEastAsia"/>
          <w:color w:val="000000" w:themeColor="text1"/>
          <w:spacing w:val="6"/>
          <w:szCs w:val="21"/>
          <w:highlight w:val="none"/>
          <w14:textFill>
            <w14:solidFill>
              <w14:schemeClr w14:val="tx1"/>
            </w14:solidFill>
          </w14:textFill>
        </w:rPr>
        <w:t>，属于</w:t>
      </w:r>
      <w:r>
        <w:rPr>
          <w:rFonts w:hint="eastAsia" w:asciiTheme="minorEastAsia" w:hAnsiTheme="minorEastAsia" w:eastAsiaTheme="minorEastAsia"/>
          <w:color w:val="000000" w:themeColor="text1"/>
          <w:spacing w:val="6"/>
          <w:szCs w:val="21"/>
          <w:highlight w:val="none"/>
          <w:u w:val="single"/>
          <w14:textFill>
            <w14:solidFill>
              <w14:schemeClr w14:val="tx1"/>
            </w14:solidFill>
          </w14:textFill>
        </w:rPr>
        <w:t>其他未列明行业</w:t>
      </w:r>
      <w:r>
        <w:rPr>
          <w:rFonts w:hint="eastAsia" w:asciiTheme="minorEastAsia" w:hAnsiTheme="minorEastAsia" w:eastAsiaTheme="minorEastAsia"/>
          <w:color w:val="000000" w:themeColor="text1"/>
          <w:spacing w:val="6"/>
          <w:szCs w:val="21"/>
          <w:highlight w:val="none"/>
          <w14:textFill>
            <w14:solidFill>
              <w14:schemeClr w14:val="tx1"/>
            </w14:solidFill>
          </w14:textFill>
        </w:rPr>
        <w:t>；承建（承接）企业为</w:t>
      </w:r>
      <w:r>
        <w:rPr>
          <w:rFonts w:hint="eastAsia" w:asciiTheme="minorEastAsia" w:hAnsiTheme="minorEastAsia" w:eastAsiaTheme="minorEastAsia"/>
          <w:i/>
          <w:color w:val="000000" w:themeColor="text1"/>
          <w:spacing w:val="6"/>
          <w:szCs w:val="21"/>
          <w:highlight w:val="none"/>
          <w:u w:val="single"/>
          <w14:textFill>
            <w14:solidFill>
              <w14:schemeClr w14:val="tx1"/>
            </w14:solidFill>
          </w14:textFill>
        </w:rPr>
        <w:t>（企业名称）</w:t>
      </w:r>
      <w:r>
        <w:rPr>
          <w:rFonts w:hint="eastAsia" w:asciiTheme="minorEastAsia" w:hAnsiTheme="minorEastAsia" w:eastAsiaTheme="minorEastAsia"/>
          <w:color w:val="000000" w:themeColor="text1"/>
          <w:spacing w:val="6"/>
          <w:szCs w:val="21"/>
          <w:highlight w:val="none"/>
          <w14:textFill>
            <w14:solidFill>
              <w14:schemeClr w14:val="tx1"/>
            </w14:solidFill>
          </w14:textFill>
        </w:rPr>
        <w:t>，从业人员</w:t>
      </w:r>
      <w:r>
        <w:rPr>
          <w:rFonts w:hint="eastAsia" w:asciiTheme="minorEastAsia" w:hAnsiTheme="minorEastAsia" w:eastAsiaTheme="minorEastAsia"/>
          <w:color w:val="000000" w:themeColor="text1"/>
          <w:spacing w:val="6"/>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pacing w:val="6"/>
          <w:szCs w:val="21"/>
          <w:highlight w:val="none"/>
          <w14:textFill>
            <w14:solidFill>
              <w14:schemeClr w14:val="tx1"/>
            </w14:solidFill>
          </w14:textFill>
        </w:rPr>
        <w:t>人，营业收入为</w:t>
      </w:r>
      <w:r>
        <w:rPr>
          <w:rFonts w:hint="eastAsia" w:asciiTheme="minorEastAsia" w:hAnsiTheme="minorEastAsia" w:eastAsiaTheme="minorEastAsia"/>
          <w:color w:val="000000" w:themeColor="text1"/>
          <w:spacing w:val="6"/>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pacing w:val="6"/>
          <w:szCs w:val="21"/>
          <w:highlight w:val="none"/>
          <w14:textFill>
            <w14:solidFill>
              <w14:schemeClr w14:val="tx1"/>
            </w14:solidFill>
          </w14:textFill>
        </w:rPr>
        <w:t>万元，资产总额为</w:t>
      </w:r>
      <w:r>
        <w:rPr>
          <w:rFonts w:hint="eastAsia" w:asciiTheme="minorEastAsia" w:hAnsiTheme="minorEastAsia" w:eastAsiaTheme="minorEastAsia"/>
          <w:color w:val="000000" w:themeColor="text1"/>
          <w:spacing w:val="6"/>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pacing w:val="6"/>
          <w:szCs w:val="21"/>
          <w:highlight w:val="none"/>
          <w14:textFill>
            <w14:solidFill>
              <w14:schemeClr w14:val="tx1"/>
            </w14:solidFill>
          </w14:textFill>
        </w:rPr>
        <w:t>万元，属于</w:t>
      </w:r>
      <w:r>
        <w:rPr>
          <w:rFonts w:hint="eastAsia" w:asciiTheme="minorEastAsia" w:hAnsiTheme="minorEastAsia" w:eastAsiaTheme="minorEastAsia"/>
          <w:i/>
          <w:color w:val="000000" w:themeColor="text1"/>
          <w:spacing w:val="6"/>
          <w:szCs w:val="21"/>
          <w:highlight w:val="none"/>
          <w:u w:val="single"/>
          <w14:textFill>
            <w14:solidFill>
              <w14:schemeClr w14:val="tx1"/>
            </w14:solidFill>
          </w14:textFill>
        </w:rPr>
        <w:t>（中型企业、小型企业、微型企业）</w:t>
      </w:r>
      <w:r>
        <w:rPr>
          <w:rFonts w:hint="eastAsia" w:asciiTheme="minorEastAsia" w:hAnsiTheme="minorEastAsia" w:eastAsiaTheme="minorEastAsia"/>
          <w:color w:val="000000" w:themeColor="text1"/>
          <w:spacing w:val="6"/>
          <w:szCs w:val="21"/>
          <w:highlight w:val="none"/>
          <w14:textFill>
            <w14:solidFill>
              <w14:schemeClr w14:val="tx1"/>
            </w14:solidFill>
          </w14:textFill>
        </w:rPr>
        <w:t>；</w:t>
      </w:r>
    </w:p>
    <w:p w14:paraId="7381A4C7">
      <w:pPr>
        <w:spacing w:line="360" w:lineRule="auto"/>
        <w:ind w:firstLine="444" w:firstLineChars="200"/>
        <w:rPr>
          <w:rFonts w:asciiTheme="minorEastAsia" w:hAnsiTheme="minorEastAsia" w:eastAsiaTheme="minorEastAsia"/>
          <w:color w:val="000000" w:themeColor="text1"/>
          <w:spacing w:val="6"/>
          <w:szCs w:val="21"/>
          <w:highlight w:val="none"/>
          <w14:textFill>
            <w14:solidFill>
              <w14:schemeClr w14:val="tx1"/>
            </w14:solidFill>
          </w14:textFill>
        </w:rPr>
      </w:pPr>
      <w:r>
        <w:rPr>
          <w:rFonts w:hint="eastAsia" w:asciiTheme="minorEastAsia" w:hAnsiTheme="minorEastAsia" w:eastAsiaTheme="minorEastAsia"/>
          <w:color w:val="000000" w:themeColor="text1"/>
          <w:spacing w:val="6"/>
          <w:szCs w:val="21"/>
          <w:highlight w:val="none"/>
          <w14:textFill>
            <w14:solidFill>
              <w14:schemeClr w14:val="tx1"/>
            </w14:solidFill>
          </w14:textFill>
        </w:rPr>
        <w:t>……</w:t>
      </w:r>
    </w:p>
    <w:p w14:paraId="4463D85C">
      <w:pPr>
        <w:spacing w:line="360" w:lineRule="auto"/>
        <w:ind w:firstLine="444" w:firstLineChars="200"/>
        <w:rPr>
          <w:rFonts w:asciiTheme="minorEastAsia" w:hAnsiTheme="minorEastAsia" w:eastAsiaTheme="minorEastAsia"/>
          <w:color w:val="000000" w:themeColor="text1"/>
          <w:spacing w:val="6"/>
          <w:szCs w:val="21"/>
          <w:highlight w:val="none"/>
          <w14:textFill>
            <w14:solidFill>
              <w14:schemeClr w14:val="tx1"/>
            </w14:solidFill>
          </w14:textFill>
        </w:rPr>
      </w:pPr>
      <w:r>
        <w:rPr>
          <w:rFonts w:hint="eastAsia" w:asciiTheme="minorEastAsia" w:hAnsiTheme="minorEastAsia" w:eastAsiaTheme="minorEastAsia"/>
          <w:color w:val="000000" w:themeColor="text1"/>
          <w:spacing w:val="6"/>
          <w:szCs w:val="21"/>
          <w:highlight w:val="none"/>
          <w14:textFill>
            <w14:solidFill>
              <w14:schemeClr w14:val="tx1"/>
            </w14:solidFill>
          </w14:textFill>
        </w:rPr>
        <w:t>以上企业，不属于大企业的分支机构，不存在控股股东为大企业的情形，也不存在与大企业的负责人为同一人的情形。</w:t>
      </w:r>
    </w:p>
    <w:p w14:paraId="11250DE7">
      <w:pPr>
        <w:spacing w:line="360" w:lineRule="auto"/>
        <w:ind w:firstLine="444" w:firstLineChars="200"/>
        <w:rPr>
          <w:rFonts w:asciiTheme="minorEastAsia" w:hAnsiTheme="minorEastAsia" w:eastAsiaTheme="minorEastAsia"/>
          <w:color w:val="000000" w:themeColor="text1"/>
          <w:spacing w:val="6"/>
          <w:szCs w:val="21"/>
          <w:highlight w:val="none"/>
          <w14:textFill>
            <w14:solidFill>
              <w14:schemeClr w14:val="tx1"/>
            </w14:solidFill>
          </w14:textFill>
        </w:rPr>
      </w:pPr>
      <w:r>
        <w:rPr>
          <w:rFonts w:hint="eastAsia" w:asciiTheme="minorEastAsia" w:hAnsiTheme="minorEastAsia" w:eastAsiaTheme="minorEastAsia"/>
          <w:color w:val="000000" w:themeColor="text1"/>
          <w:spacing w:val="6"/>
          <w:szCs w:val="21"/>
          <w:highlight w:val="none"/>
          <w14:textFill>
            <w14:solidFill>
              <w14:schemeClr w14:val="tx1"/>
            </w14:solidFill>
          </w14:textFill>
        </w:rPr>
        <w:t>本企业对上述声明内容的真实性负责。如有虚假，将依法承担相应责任。</w:t>
      </w:r>
    </w:p>
    <w:p w14:paraId="3B425659">
      <w:pPr>
        <w:tabs>
          <w:tab w:val="left" w:pos="4860"/>
        </w:tabs>
        <w:spacing w:line="360" w:lineRule="auto"/>
        <w:ind w:right="-58" w:firstLine="999" w:firstLineChars="450"/>
        <w:rPr>
          <w:rFonts w:asciiTheme="minorEastAsia" w:hAnsiTheme="minorEastAsia" w:eastAsiaTheme="minorEastAsia"/>
          <w:color w:val="000000" w:themeColor="text1"/>
          <w:spacing w:val="6"/>
          <w:szCs w:val="21"/>
          <w:highlight w:val="none"/>
          <w14:textFill>
            <w14:solidFill>
              <w14:schemeClr w14:val="tx1"/>
            </w14:solidFill>
          </w14:textFill>
        </w:rPr>
      </w:pPr>
    </w:p>
    <w:p w14:paraId="4E6260D8">
      <w:pPr>
        <w:tabs>
          <w:tab w:val="left" w:pos="4860"/>
        </w:tabs>
        <w:spacing w:line="360" w:lineRule="auto"/>
        <w:ind w:right="-58" w:firstLine="4773" w:firstLineChars="2150"/>
        <w:rPr>
          <w:rFonts w:asciiTheme="minorEastAsia" w:hAnsiTheme="minorEastAsia" w:eastAsiaTheme="minorEastAsia"/>
          <w:color w:val="000000" w:themeColor="text1"/>
          <w:spacing w:val="6"/>
          <w:szCs w:val="21"/>
          <w:highlight w:val="none"/>
          <w14:textFill>
            <w14:solidFill>
              <w14:schemeClr w14:val="tx1"/>
            </w14:solidFill>
          </w14:textFill>
        </w:rPr>
      </w:pPr>
      <w:r>
        <w:rPr>
          <w:rFonts w:hint="eastAsia" w:asciiTheme="minorEastAsia" w:hAnsiTheme="minorEastAsia" w:eastAsiaTheme="minorEastAsia"/>
          <w:color w:val="000000" w:themeColor="text1"/>
          <w:spacing w:val="6"/>
          <w:szCs w:val="21"/>
          <w:highlight w:val="none"/>
          <w14:textFill>
            <w14:solidFill>
              <w14:schemeClr w14:val="tx1"/>
            </w14:solidFill>
          </w14:textFill>
        </w:rPr>
        <w:t xml:space="preserve">企业名称（公章）：                </w:t>
      </w:r>
    </w:p>
    <w:p w14:paraId="328056FD">
      <w:pPr>
        <w:tabs>
          <w:tab w:val="left" w:pos="4860"/>
        </w:tabs>
        <w:spacing w:line="360" w:lineRule="auto"/>
        <w:ind w:right="-58" w:firstLine="4773" w:firstLineChars="2150"/>
        <w:rPr>
          <w:rFonts w:asciiTheme="minorEastAsia" w:hAnsiTheme="minorEastAsia" w:eastAsiaTheme="minorEastAsia"/>
          <w:color w:val="000000" w:themeColor="text1"/>
          <w:spacing w:val="6"/>
          <w:szCs w:val="21"/>
          <w:highlight w:val="none"/>
          <w14:textFill>
            <w14:solidFill>
              <w14:schemeClr w14:val="tx1"/>
            </w14:solidFill>
          </w14:textFill>
        </w:rPr>
      </w:pPr>
      <w:r>
        <w:rPr>
          <w:rFonts w:hint="eastAsia" w:asciiTheme="minorEastAsia" w:hAnsiTheme="minorEastAsia" w:eastAsiaTheme="minorEastAsia"/>
          <w:color w:val="000000" w:themeColor="text1"/>
          <w:spacing w:val="6"/>
          <w:szCs w:val="21"/>
          <w:highlight w:val="none"/>
          <w14:textFill>
            <w14:solidFill>
              <w14:schemeClr w14:val="tx1"/>
            </w14:solidFill>
          </w14:textFill>
        </w:rPr>
        <w:t xml:space="preserve">日期：  </w:t>
      </w:r>
    </w:p>
    <w:p w14:paraId="2B2F1006">
      <w:pPr>
        <w:spacing w:line="360" w:lineRule="auto"/>
        <w:ind w:right="420" w:firstLine="444" w:firstLineChars="200"/>
        <w:rPr>
          <w:rFonts w:asciiTheme="minorEastAsia" w:hAnsiTheme="minorEastAsia" w:eastAsiaTheme="minorEastAsia"/>
          <w:color w:val="000000" w:themeColor="text1"/>
          <w:spacing w:val="6"/>
          <w:szCs w:val="21"/>
          <w:highlight w:val="none"/>
          <w14:textFill>
            <w14:solidFill>
              <w14:schemeClr w14:val="tx1"/>
            </w14:solidFill>
          </w14:textFill>
        </w:rPr>
      </w:pPr>
      <w:r>
        <w:rPr>
          <w:rFonts w:hint="eastAsia" w:asciiTheme="minorEastAsia" w:hAnsiTheme="minorEastAsia" w:eastAsiaTheme="minorEastAsia"/>
          <w:color w:val="000000" w:themeColor="text1"/>
          <w:spacing w:val="6"/>
          <w:szCs w:val="21"/>
          <w:highlight w:val="none"/>
          <w14:textFill>
            <w14:solidFill>
              <w14:schemeClr w14:val="tx1"/>
            </w14:solidFill>
          </w14:textFill>
        </w:rPr>
        <w:t>注：1、填写要求：①“标的名称”、“招标文件中明确的所属行业”依据招标文件第三部分投标资料表中“采购标的对应的中小企业划分标准所属行业”填写，不得缺漏；②从业人员、营业收入、资产总额填报上一年度数据，无上一年度数据的新成立企业可不填报；③中型企业、小型企业、微型企业等3种企业类型，结合以上数据，依据《中小企业划型标准规定》（工信部联企业〔2011〕300号）确定；</w:t>
      </w:r>
      <w:r>
        <w:rPr>
          <w:rFonts w:hint="eastAsia" w:asciiTheme="minorEastAsia" w:hAnsiTheme="minorEastAsia" w:eastAsiaTheme="minorEastAsia"/>
          <w:b/>
          <w:bCs/>
          <w:color w:val="000000" w:themeColor="text1"/>
          <w:spacing w:val="6"/>
          <w:szCs w:val="21"/>
          <w:highlight w:val="none"/>
          <w:u w:val="double"/>
          <w14:textFill>
            <w14:solidFill>
              <w14:schemeClr w14:val="tx1"/>
            </w14:solidFill>
          </w14:textFill>
        </w:rPr>
        <w:t>④投标人提供的《中小企业声明函》与实际情况不符的或者未按以上要求填写的，《中小企业声明函》无效，不享受中小企业扶持政策。声明内容不实的，属于提供虚假材料谋取中标、成交的，依法承担法律责任。</w:t>
      </w:r>
    </w:p>
    <w:p w14:paraId="37E47FCB">
      <w:pPr>
        <w:spacing w:line="360" w:lineRule="auto"/>
        <w:ind w:right="420" w:firstLine="444" w:firstLineChars="200"/>
        <w:rPr>
          <w:rFonts w:asciiTheme="minorEastAsia" w:hAnsiTheme="minorEastAsia" w:eastAsiaTheme="minorEastAsia"/>
          <w:color w:val="000000" w:themeColor="text1"/>
          <w:sz w:val="28"/>
          <w:szCs w:val="28"/>
          <w:highlight w:val="none"/>
          <w14:textFill>
            <w14:solidFill>
              <w14:schemeClr w14:val="tx1"/>
            </w14:solidFill>
          </w14:textFill>
        </w:rPr>
        <w:sectPr>
          <w:headerReference r:id="rId18" w:type="default"/>
          <w:pgSz w:w="11907" w:h="16840"/>
          <w:pgMar w:top="1304" w:right="1588" w:bottom="1304" w:left="1588" w:header="720" w:footer="720" w:gutter="0"/>
          <w:cols w:space="720" w:num="1"/>
          <w:docGrid w:linePitch="285" w:charSpace="0"/>
        </w:sectPr>
      </w:pPr>
      <w:r>
        <w:rPr>
          <w:rFonts w:hint="eastAsia" w:asciiTheme="minorEastAsia" w:hAnsiTheme="minorEastAsia" w:eastAsiaTheme="minorEastAsia"/>
          <w:color w:val="000000" w:themeColor="text1"/>
          <w:spacing w:val="6"/>
          <w:szCs w:val="21"/>
          <w:highlight w:val="none"/>
          <w14:textFill>
            <w14:solidFill>
              <w14:schemeClr w14:val="tx1"/>
            </w14:solidFill>
          </w14:textFill>
        </w:rPr>
        <w:t>2、符合《关于促进残疾人就业政府采购政策的通知》（财库〔2017〕141号）规定的条件并提供《残疾人福利性单位声明函》（附件2）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r>
        <w:rPr>
          <w:rFonts w:cs="仿宋_GB2312" w:asciiTheme="minorEastAsia" w:hAnsiTheme="minorEastAsia" w:eastAsiaTheme="minorEastAsia"/>
          <w:color w:val="000000" w:themeColor="text1"/>
          <w:szCs w:val="21"/>
          <w:highlight w:val="none"/>
          <w14:textFill>
            <w14:solidFill>
              <w14:schemeClr w14:val="tx1"/>
            </w14:solidFill>
          </w14:textFill>
        </w:rPr>
        <w:t>。</w:t>
      </w:r>
    </w:p>
    <w:p w14:paraId="0999F469">
      <w:pPr>
        <w:rPr>
          <w:rFonts w:asciiTheme="minorEastAsia" w:hAnsiTheme="minorEastAsia" w:eastAsiaTheme="minorEastAsia"/>
          <w:b/>
          <w:color w:val="000000" w:themeColor="text1"/>
          <w:spacing w:val="6"/>
          <w:sz w:val="28"/>
          <w:szCs w:val="28"/>
          <w:highlight w:val="none"/>
          <w14:textFill>
            <w14:solidFill>
              <w14:schemeClr w14:val="tx1"/>
            </w14:solidFill>
          </w14:textFill>
        </w:rPr>
      </w:pPr>
    </w:p>
    <w:p w14:paraId="4440D312">
      <w:pPr>
        <w:jc w:val="center"/>
        <w:rPr>
          <w:rStyle w:val="129"/>
          <w:rFonts w:hint="default" w:asciiTheme="minorEastAsia" w:hAnsiTheme="minorEastAsia" w:eastAsiaTheme="minorEastAsia"/>
          <w:color w:val="000000" w:themeColor="text1"/>
          <w:sz w:val="28"/>
          <w:szCs w:val="28"/>
          <w:highlight w:val="none"/>
          <w14:textFill>
            <w14:solidFill>
              <w14:schemeClr w14:val="tx1"/>
            </w14:solidFill>
          </w14:textFill>
        </w:rPr>
      </w:pPr>
      <w:r>
        <w:rPr>
          <w:rFonts w:hint="eastAsia" w:cs="宋体" w:asciiTheme="minorEastAsia" w:hAnsiTheme="minorEastAsia" w:eastAsiaTheme="minorEastAsia"/>
          <w:b/>
          <w:color w:val="000000" w:themeColor="text1"/>
          <w:kern w:val="0"/>
          <w:sz w:val="28"/>
          <w:szCs w:val="28"/>
          <w:highlight w:val="none"/>
          <w14:textFill>
            <w14:solidFill>
              <w14:schemeClr w14:val="tx1"/>
            </w14:solidFill>
          </w14:textFill>
        </w:rPr>
        <w:t>中小微行业划型标准规定</w:t>
      </w:r>
      <w:r>
        <w:rPr>
          <w:rStyle w:val="129"/>
          <w:rFonts w:hint="default" w:asciiTheme="minorEastAsia" w:hAnsiTheme="minorEastAsia" w:eastAsiaTheme="minorEastAsia"/>
          <w:color w:val="000000" w:themeColor="text1"/>
          <w:sz w:val="28"/>
          <w:szCs w:val="28"/>
          <w:highlight w:val="none"/>
          <w14:textFill>
            <w14:solidFill>
              <w14:schemeClr w14:val="tx1"/>
            </w14:solidFill>
          </w14:textFill>
        </w:rPr>
        <w:t>（根据工信部联企业〔2011〕300号制定）</w:t>
      </w:r>
    </w:p>
    <w:tbl>
      <w:tblPr>
        <w:tblStyle w:val="35"/>
        <w:tblW w:w="15008" w:type="dxa"/>
        <w:tblInd w:w="0" w:type="dxa"/>
        <w:tblLayout w:type="fixed"/>
        <w:tblCellMar>
          <w:top w:w="15" w:type="dxa"/>
          <w:left w:w="15" w:type="dxa"/>
          <w:bottom w:w="15" w:type="dxa"/>
          <w:right w:w="15" w:type="dxa"/>
        </w:tblCellMar>
      </w:tblPr>
      <w:tblGrid>
        <w:gridCol w:w="2153"/>
        <w:gridCol w:w="1320"/>
        <w:gridCol w:w="1560"/>
        <w:gridCol w:w="1500"/>
        <w:gridCol w:w="1320"/>
        <w:gridCol w:w="1500"/>
        <w:gridCol w:w="1406"/>
        <w:gridCol w:w="1264"/>
        <w:gridCol w:w="1470"/>
        <w:gridCol w:w="1515"/>
      </w:tblGrid>
      <w:tr w14:paraId="04F9CD03">
        <w:tblPrEx>
          <w:tblCellMar>
            <w:top w:w="15" w:type="dxa"/>
            <w:left w:w="15" w:type="dxa"/>
            <w:bottom w:w="15" w:type="dxa"/>
            <w:right w:w="15" w:type="dxa"/>
          </w:tblCellMar>
        </w:tblPrEx>
        <w:trPr>
          <w:trHeight w:val="90" w:hRule="atLeast"/>
        </w:trPr>
        <w:tc>
          <w:tcPr>
            <w:tcW w:w="2153" w:type="dxa"/>
            <w:vMerge w:val="restart"/>
            <w:tcBorders>
              <w:top w:val="single" w:color="000000" w:sz="12" w:space="0"/>
              <w:left w:val="single" w:color="000000" w:sz="12" w:space="0"/>
              <w:bottom w:val="single" w:color="000000" w:sz="4" w:space="0"/>
              <w:right w:val="single" w:color="000000" w:sz="12" w:space="0"/>
            </w:tcBorders>
            <w:vAlign w:val="center"/>
          </w:tcPr>
          <w:p w14:paraId="4BCC702B">
            <w:pPr>
              <w:widowControl/>
              <w:jc w:val="center"/>
              <w:textAlignment w:val="center"/>
              <w:rPr>
                <w:rFonts w:cs="宋体" w:asciiTheme="minorEastAsia" w:hAnsiTheme="minorEastAsia" w:eastAsiaTheme="minorEastAsia"/>
                <w:b/>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b/>
                <w:color w:val="000000" w:themeColor="text1"/>
                <w:kern w:val="0"/>
                <w:sz w:val="18"/>
                <w:szCs w:val="18"/>
                <w:highlight w:val="none"/>
                <w14:textFill>
                  <w14:solidFill>
                    <w14:schemeClr w14:val="tx1"/>
                  </w14:solidFill>
                </w14:textFill>
              </w:rPr>
              <w:t>行业</w:t>
            </w:r>
          </w:p>
        </w:tc>
        <w:tc>
          <w:tcPr>
            <w:tcW w:w="4380" w:type="dxa"/>
            <w:gridSpan w:val="3"/>
            <w:tcBorders>
              <w:top w:val="single" w:color="000000" w:sz="12" w:space="0"/>
              <w:left w:val="single" w:color="000000" w:sz="12" w:space="0"/>
              <w:bottom w:val="single" w:color="000000" w:sz="4" w:space="0"/>
              <w:right w:val="single" w:color="000000" w:sz="12" w:space="0"/>
            </w:tcBorders>
            <w:vAlign w:val="bottom"/>
          </w:tcPr>
          <w:p w14:paraId="7301E6F8">
            <w:pPr>
              <w:widowControl/>
              <w:jc w:val="center"/>
              <w:textAlignment w:val="bottom"/>
              <w:rPr>
                <w:rFonts w:cs="宋体" w:asciiTheme="minorEastAsia" w:hAnsiTheme="minorEastAsia" w:eastAsiaTheme="minorEastAsia"/>
                <w:b/>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b/>
                <w:color w:val="000000" w:themeColor="text1"/>
                <w:kern w:val="0"/>
                <w:sz w:val="18"/>
                <w:szCs w:val="18"/>
                <w:highlight w:val="none"/>
                <w14:textFill>
                  <w14:solidFill>
                    <w14:schemeClr w14:val="tx1"/>
                  </w14:solidFill>
                </w14:textFill>
              </w:rPr>
              <w:t>中型企业</w:t>
            </w:r>
          </w:p>
        </w:tc>
        <w:tc>
          <w:tcPr>
            <w:tcW w:w="4226" w:type="dxa"/>
            <w:gridSpan w:val="3"/>
            <w:tcBorders>
              <w:top w:val="single" w:color="000000" w:sz="12" w:space="0"/>
              <w:left w:val="single" w:color="000000" w:sz="12" w:space="0"/>
              <w:bottom w:val="single" w:color="000000" w:sz="4" w:space="0"/>
              <w:right w:val="single" w:color="000000" w:sz="12" w:space="0"/>
            </w:tcBorders>
            <w:vAlign w:val="bottom"/>
          </w:tcPr>
          <w:p w14:paraId="7C55C6EA">
            <w:pPr>
              <w:widowControl/>
              <w:jc w:val="center"/>
              <w:textAlignment w:val="bottom"/>
              <w:rPr>
                <w:rFonts w:cs="宋体" w:asciiTheme="minorEastAsia" w:hAnsiTheme="minorEastAsia" w:eastAsiaTheme="minorEastAsia"/>
                <w:b/>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b/>
                <w:color w:val="000000" w:themeColor="text1"/>
                <w:kern w:val="0"/>
                <w:sz w:val="18"/>
                <w:szCs w:val="18"/>
                <w:highlight w:val="none"/>
                <w14:textFill>
                  <w14:solidFill>
                    <w14:schemeClr w14:val="tx1"/>
                  </w14:solidFill>
                </w14:textFill>
              </w:rPr>
              <w:t>小型企业</w:t>
            </w:r>
          </w:p>
        </w:tc>
        <w:tc>
          <w:tcPr>
            <w:tcW w:w="4249" w:type="dxa"/>
            <w:gridSpan w:val="3"/>
            <w:tcBorders>
              <w:top w:val="single" w:color="000000" w:sz="12" w:space="0"/>
              <w:left w:val="single" w:color="000000" w:sz="12" w:space="0"/>
              <w:bottom w:val="single" w:color="000000" w:sz="4" w:space="0"/>
              <w:right w:val="single" w:color="000000" w:sz="12" w:space="0"/>
            </w:tcBorders>
            <w:vAlign w:val="bottom"/>
          </w:tcPr>
          <w:p w14:paraId="0145CD4C">
            <w:pPr>
              <w:widowControl/>
              <w:jc w:val="center"/>
              <w:textAlignment w:val="bottom"/>
              <w:rPr>
                <w:rFonts w:cs="宋体" w:asciiTheme="minorEastAsia" w:hAnsiTheme="minorEastAsia" w:eastAsiaTheme="minorEastAsia"/>
                <w:b/>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b/>
                <w:color w:val="000000" w:themeColor="text1"/>
                <w:kern w:val="0"/>
                <w:sz w:val="18"/>
                <w:szCs w:val="18"/>
                <w:highlight w:val="none"/>
                <w14:textFill>
                  <w14:solidFill>
                    <w14:schemeClr w14:val="tx1"/>
                  </w14:solidFill>
                </w14:textFill>
              </w:rPr>
              <w:t>微型企业</w:t>
            </w:r>
          </w:p>
        </w:tc>
      </w:tr>
      <w:tr w14:paraId="367AB8B5">
        <w:tblPrEx>
          <w:tblCellMar>
            <w:top w:w="15" w:type="dxa"/>
            <w:left w:w="15" w:type="dxa"/>
            <w:bottom w:w="15" w:type="dxa"/>
            <w:right w:w="15" w:type="dxa"/>
          </w:tblCellMar>
        </w:tblPrEx>
        <w:trPr>
          <w:trHeight w:val="354" w:hRule="atLeast"/>
        </w:trPr>
        <w:tc>
          <w:tcPr>
            <w:tcW w:w="2153" w:type="dxa"/>
            <w:vMerge w:val="continue"/>
            <w:tcBorders>
              <w:top w:val="single" w:color="000000" w:sz="12" w:space="0"/>
              <w:left w:val="single" w:color="000000" w:sz="12" w:space="0"/>
              <w:bottom w:val="single" w:color="000000" w:sz="4" w:space="0"/>
              <w:right w:val="single" w:color="000000" w:sz="12" w:space="0"/>
            </w:tcBorders>
            <w:vAlign w:val="center"/>
          </w:tcPr>
          <w:p w14:paraId="3C4C05F8">
            <w:pPr>
              <w:jc w:val="center"/>
              <w:rPr>
                <w:rFonts w:cs="宋体" w:asciiTheme="minorEastAsia" w:hAnsiTheme="minorEastAsia" w:eastAsiaTheme="minorEastAsia"/>
                <w:b/>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5A3686EE">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从业人员X（人）</w:t>
            </w:r>
          </w:p>
        </w:tc>
        <w:tc>
          <w:tcPr>
            <w:tcW w:w="1560" w:type="dxa"/>
            <w:tcBorders>
              <w:top w:val="single" w:color="000000" w:sz="4" w:space="0"/>
              <w:left w:val="single" w:color="000000" w:sz="4" w:space="0"/>
              <w:bottom w:val="single" w:color="000000" w:sz="4" w:space="0"/>
              <w:right w:val="single" w:color="000000" w:sz="4" w:space="0"/>
            </w:tcBorders>
            <w:vAlign w:val="bottom"/>
          </w:tcPr>
          <w:p w14:paraId="26511440">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营业收入 Y（万元）</w:t>
            </w:r>
          </w:p>
        </w:tc>
        <w:tc>
          <w:tcPr>
            <w:tcW w:w="1500" w:type="dxa"/>
            <w:tcBorders>
              <w:top w:val="single" w:color="000000" w:sz="4" w:space="0"/>
              <w:left w:val="single" w:color="000000" w:sz="4" w:space="0"/>
              <w:bottom w:val="single" w:color="000000" w:sz="4" w:space="0"/>
              <w:right w:val="single" w:color="000000" w:sz="12" w:space="0"/>
            </w:tcBorders>
            <w:vAlign w:val="bottom"/>
          </w:tcPr>
          <w:p w14:paraId="1CAE9E3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资产总额 Z（万元）</w:t>
            </w:r>
          </w:p>
        </w:tc>
        <w:tc>
          <w:tcPr>
            <w:tcW w:w="1320" w:type="dxa"/>
            <w:tcBorders>
              <w:top w:val="single" w:color="000000" w:sz="4" w:space="0"/>
              <w:left w:val="single" w:color="000000" w:sz="12" w:space="0"/>
              <w:bottom w:val="single" w:color="000000" w:sz="4" w:space="0"/>
              <w:right w:val="single" w:color="000000" w:sz="4" w:space="0"/>
            </w:tcBorders>
            <w:vAlign w:val="bottom"/>
          </w:tcPr>
          <w:p w14:paraId="35480D35">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从业人员X（人）</w:t>
            </w:r>
          </w:p>
        </w:tc>
        <w:tc>
          <w:tcPr>
            <w:tcW w:w="1500" w:type="dxa"/>
            <w:tcBorders>
              <w:top w:val="single" w:color="000000" w:sz="4" w:space="0"/>
              <w:left w:val="single" w:color="000000" w:sz="4" w:space="0"/>
              <w:bottom w:val="single" w:color="000000" w:sz="4" w:space="0"/>
              <w:right w:val="single" w:color="000000" w:sz="4" w:space="0"/>
            </w:tcBorders>
            <w:vAlign w:val="bottom"/>
          </w:tcPr>
          <w:p w14:paraId="2E5562F2">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营业收入Y（万元）</w:t>
            </w:r>
          </w:p>
        </w:tc>
        <w:tc>
          <w:tcPr>
            <w:tcW w:w="1406" w:type="dxa"/>
            <w:tcBorders>
              <w:top w:val="single" w:color="000000" w:sz="4" w:space="0"/>
              <w:left w:val="single" w:color="000000" w:sz="4" w:space="0"/>
              <w:bottom w:val="single" w:color="000000" w:sz="4" w:space="0"/>
              <w:right w:val="single" w:color="000000" w:sz="12" w:space="0"/>
            </w:tcBorders>
            <w:vAlign w:val="bottom"/>
          </w:tcPr>
          <w:p w14:paraId="6DF8765C">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资产总额Z（万元）</w:t>
            </w:r>
          </w:p>
        </w:tc>
        <w:tc>
          <w:tcPr>
            <w:tcW w:w="1264" w:type="dxa"/>
            <w:tcBorders>
              <w:top w:val="single" w:color="000000" w:sz="4" w:space="0"/>
              <w:left w:val="single" w:color="000000" w:sz="12" w:space="0"/>
              <w:bottom w:val="single" w:color="000000" w:sz="4" w:space="0"/>
              <w:right w:val="single" w:color="000000" w:sz="4" w:space="0"/>
            </w:tcBorders>
            <w:vAlign w:val="bottom"/>
          </w:tcPr>
          <w:p w14:paraId="7E75ED52">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从业人员X（人）</w:t>
            </w:r>
          </w:p>
        </w:tc>
        <w:tc>
          <w:tcPr>
            <w:tcW w:w="1470" w:type="dxa"/>
            <w:tcBorders>
              <w:top w:val="single" w:color="000000" w:sz="4" w:space="0"/>
              <w:left w:val="single" w:color="000000" w:sz="4" w:space="0"/>
              <w:bottom w:val="single" w:color="000000" w:sz="4" w:space="0"/>
              <w:right w:val="single" w:color="000000" w:sz="4" w:space="0"/>
            </w:tcBorders>
            <w:vAlign w:val="bottom"/>
          </w:tcPr>
          <w:p w14:paraId="6DBFC41D">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营业收入Y（万元）</w:t>
            </w:r>
          </w:p>
        </w:tc>
        <w:tc>
          <w:tcPr>
            <w:tcW w:w="1515" w:type="dxa"/>
            <w:tcBorders>
              <w:top w:val="single" w:color="000000" w:sz="4" w:space="0"/>
              <w:left w:val="single" w:color="000000" w:sz="4" w:space="0"/>
              <w:bottom w:val="single" w:color="000000" w:sz="4" w:space="0"/>
              <w:right w:val="single" w:color="000000" w:sz="12" w:space="0"/>
            </w:tcBorders>
            <w:vAlign w:val="bottom"/>
          </w:tcPr>
          <w:p w14:paraId="3CE52402">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资产总额Z（万元）</w:t>
            </w:r>
          </w:p>
        </w:tc>
      </w:tr>
      <w:tr w14:paraId="0CF8E3FB">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31452370">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1、农林牧渔业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0F5C8420">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vAlign w:val="bottom"/>
          </w:tcPr>
          <w:p w14:paraId="39AFE98A">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500≤Y＜20000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2B3B414D">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70DEB562">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500" w:type="dxa"/>
            <w:tcBorders>
              <w:top w:val="single" w:color="000000" w:sz="4" w:space="0"/>
              <w:left w:val="single" w:color="000000" w:sz="4" w:space="0"/>
              <w:bottom w:val="single" w:color="000000" w:sz="4" w:space="0"/>
              <w:right w:val="single" w:color="000000" w:sz="4" w:space="0"/>
            </w:tcBorders>
            <w:vAlign w:val="bottom"/>
          </w:tcPr>
          <w:p w14:paraId="2DD5F11A">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50≤Y＜500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7B3E4A59">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517D270E">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470" w:type="dxa"/>
            <w:tcBorders>
              <w:top w:val="single" w:color="000000" w:sz="4" w:space="0"/>
              <w:left w:val="single" w:color="000000" w:sz="4" w:space="0"/>
              <w:bottom w:val="single" w:color="000000" w:sz="4" w:space="0"/>
              <w:right w:val="single" w:color="000000" w:sz="4" w:space="0"/>
            </w:tcBorders>
            <w:vAlign w:val="bottom"/>
          </w:tcPr>
          <w:p w14:paraId="69EB0125">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Y＜50</w:t>
            </w:r>
          </w:p>
        </w:tc>
        <w:tc>
          <w:tcPr>
            <w:tcW w:w="1515" w:type="dxa"/>
            <w:tcBorders>
              <w:top w:val="single" w:color="000000" w:sz="4" w:space="0"/>
              <w:left w:val="single" w:color="000000" w:sz="4" w:space="0"/>
              <w:bottom w:val="single" w:color="000000" w:sz="4" w:space="0"/>
              <w:right w:val="single" w:color="000000" w:sz="12" w:space="0"/>
            </w:tcBorders>
            <w:vAlign w:val="bottom"/>
          </w:tcPr>
          <w:p w14:paraId="0F582D24">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60A8B5FD">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1580AE13">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2、工业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472D4E10">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300≤X＜1000</w:t>
            </w:r>
          </w:p>
        </w:tc>
        <w:tc>
          <w:tcPr>
            <w:tcW w:w="1560" w:type="dxa"/>
            <w:tcBorders>
              <w:top w:val="single" w:color="000000" w:sz="4" w:space="0"/>
              <w:left w:val="single" w:color="000000" w:sz="4" w:space="0"/>
              <w:bottom w:val="single" w:color="000000" w:sz="4" w:space="0"/>
              <w:right w:val="single" w:color="000000" w:sz="4" w:space="0"/>
            </w:tcBorders>
            <w:vAlign w:val="bottom"/>
          </w:tcPr>
          <w:p w14:paraId="14DD175B">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2000≤Y＜40000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445C153C">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26266F1C">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20≤X＜300</w:t>
            </w:r>
          </w:p>
        </w:tc>
        <w:tc>
          <w:tcPr>
            <w:tcW w:w="1500" w:type="dxa"/>
            <w:tcBorders>
              <w:top w:val="single" w:color="000000" w:sz="4" w:space="0"/>
              <w:left w:val="single" w:color="000000" w:sz="4" w:space="0"/>
              <w:bottom w:val="single" w:color="000000" w:sz="4" w:space="0"/>
              <w:right w:val="single" w:color="000000" w:sz="4" w:space="0"/>
            </w:tcBorders>
            <w:vAlign w:val="bottom"/>
          </w:tcPr>
          <w:p w14:paraId="6905E48B">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300≤Y＜2000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74FF2CCC">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764A79CC">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X＜20</w:t>
            </w:r>
          </w:p>
        </w:tc>
        <w:tc>
          <w:tcPr>
            <w:tcW w:w="1470" w:type="dxa"/>
            <w:tcBorders>
              <w:top w:val="single" w:color="000000" w:sz="4" w:space="0"/>
              <w:left w:val="single" w:color="000000" w:sz="4" w:space="0"/>
              <w:bottom w:val="single" w:color="000000" w:sz="4" w:space="0"/>
              <w:right w:val="single" w:color="000000" w:sz="4" w:space="0"/>
            </w:tcBorders>
            <w:vAlign w:val="bottom"/>
          </w:tcPr>
          <w:p w14:paraId="43E1D8F5">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Y＜300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7FB596BB">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244BD055">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290E3768">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3、建筑业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4845A79A">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vAlign w:val="bottom"/>
          </w:tcPr>
          <w:p w14:paraId="53B5ECC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6000≤Y＜80000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3569333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5000≤Z＜80000</w:t>
            </w:r>
          </w:p>
        </w:tc>
        <w:tc>
          <w:tcPr>
            <w:tcW w:w="1320" w:type="dxa"/>
            <w:tcBorders>
              <w:top w:val="single" w:color="000000" w:sz="4" w:space="0"/>
              <w:left w:val="single" w:color="000000" w:sz="12" w:space="0"/>
              <w:bottom w:val="single" w:color="000000" w:sz="4" w:space="0"/>
              <w:right w:val="single" w:color="000000" w:sz="4" w:space="0"/>
            </w:tcBorders>
            <w:vAlign w:val="bottom"/>
          </w:tcPr>
          <w:p w14:paraId="43612212">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500" w:type="dxa"/>
            <w:tcBorders>
              <w:top w:val="single" w:color="000000" w:sz="4" w:space="0"/>
              <w:left w:val="single" w:color="000000" w:sz="4" w:space="0"/>
              <w:bottom w:val="single" w:color="000000" w:sz="4" w:space="0"/>
              <w:right w:val="single" w:color="000000" w:sz="4" w:space="0"/>
            </w:tcBorders>
            <w:vAlign w:val="bottom"/>
          </w:tcPr>
          <w:p w14:paraId="3C5194B1">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300≤Y＜6000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08812035">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300≤Z＜5000</w:t>
            </w:r>
          </w:p>
        </w:tc>
        <w:tc>
          <w:tcPr>
            <w:tcW w:w="1264" w:type="dxa"/>
            <w:tcBorders>
              <w:top w:val="single" w:color="000000" w:sz="4" w:space="0"/>
              <w:left w:val="single" w:color="000000" w:sz="12" w:space="0"/>
              <w:bottom w:val="single" w:color="000000" w:sz="4" w:space="0"/>
              <w:right w:val="single" w:color="000000" w:sz="4" w:space="0"/>
            </w:tcBorders>
            <w:vAlign w:val="bottom"/>
          </w:tcPr>
          <w:p w14:paraId="725D6618">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470" w:type="dxa"/>
            <w:tcBorders>
              <w:top w:val="single" w:color="000000" w:sz="4" w:space="0"/>
              <w:left w:val="single" w:color="000000" w:sz="4" w:space="0"/>
              <w:bottom w:val="single" w:color="000000" w:sz="4" w:space="0"/>
              <w:right w:val="single" w:color="000000" w:sz="4" w:space="0"/>
            </w:tcBorders>
            <w:vAlign w:val="bottom"/>
          </w:tcPr>
          <w:p w14:paraId="6E7F2119">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Y＜300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420C539D">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Z＜300</w:t>
            </w:r>
          </w:p>
        </w:tc>
      </w:tr>
      <w:tr w14:paraId="7D977EC6">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66BDBC1F">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4、批发业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31B4077A">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20≤X＜200</w:t>
            </w:r>
          </w:p>
        </w:tc>
        <w:tc>
          <w:tcPr>
            <w:tcW w:w="1560" w:type="dxa"/>
            <w:tcBorders>
              <w:top w:val="single" w:color="000000" w:sz="4" w:space="0"/>
              <w:left w:val="single" w:color="000000" w:sz="4" w:space="0"/>
              <w:bottom w:val="single" w:color="000000" w:sz="4" w:space="0"/>
              <w:right w:val="single" w:color="000000" w:sz="4" w:space="0"/>
            </w:tcBorders>
            <w:vAlign w:val="bottom"/>
          </w:tcPr>
          <w:p w14:paraId="403B3EA1">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5000≤Y＜40000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10BB6CD5">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28A43A9A">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5≤X＜20</w:t>
            </w:r>
          </w:p>
        </w:tc>
        <w:tc>
          <w:tcPr>
            <w:tcW w:w="1500" w:type="dxa"/>
            <w:tcBorders>
              <w:top w:val="single" w:color="000000" w:sz="4" w:space="0"/>
              <w:left w:val="single" w:color="000000" w:sz="4" w:space="0"/>
              <w:bottom w:val="single" w:color="000000" w:sz="4" w:space="0"/>
              <w:right w:val="single" w:color="000000" w:sz="4" w:space="0"/>
            </w:tcBorders>
            <w:vAlign w:val="bottom"/>
          </w:tcPr>
          <w:p w14:paraId="0D18A08B">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1000≤Y＜5000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7F318FA5">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03943BF1">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X＜5</w:t>
            </w:r>
          </w:p>
        </w:tc>
        <w:tc>
          <w:tcPr>
            <w:tcW w:w="1470" w:type="dxa"/>
            <w:tcBorders>
              <w:top w:val="single" w:color="000000" w:sz="4" w:space="0"/>
              <w:left w:val="single" w:color="000000" w:sz="4" w:space="0"/>
              <w:bottom w:val="single" w:color="000000" w:sz="4" w:space="0"/>
              <w:right w:val="single" w:color="000000" w:sz="4" w:space="0"/>
            </w:tcBorders>
            <w:vAlign w:val="bottom"/>
          </w:tcPr>
          <w:p w14:paraId="043D6DC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Y＜1000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5BC76B7F">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3566DDD3">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13D41F50">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5、零售业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591030A8">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50≤X＜300</w:t>
            </w:r>
          </w:p>
        </w:tc>
        <w:tc>
          <w:tcPr>
            <w:tcW w:w="1560" w:type="dxa"/>
            <w:tcBorders>
              <w:top w:val="single" w:color="000000" w:sz="4" w:space="0"/>
              <w:left w:val="single" w:color="000000" w:sz="4" w:space="0"/>
              <w:bottom w:val="single" w:color="000000" w:sz="4" w:space="0"/>
              <w:right w:val="single" w:color="000000" w:sz="4" w:space="0"/>
            </w:tcBorders>
            <w:vAlign w:val="bottom"/>
          </w:tcPr>
          <w:p w14:paraId="0C601CF6">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500≤Y＜20000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0A21B0B0">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3DF098CC">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10≤X＜50</w:t>
            </w:r>
          </w:p>
        </w:tc>
        <w:tc>
          <w:tcPr>
            <w:tcW w:w="1500" w:type="dxa"/>
            <w:tcBorders>
              <w:top w:val="single" w:color="000000" w:sz="4" w:space="0"/>
              <w:left w:val="single" w:color="000000" w:sz="4" w:space="0"/>
              <w:bottom w:val="single" w:color="000000" w:sz="4" w:space="0"/>
              <w:right w:val="single" w:color="000000" w:sz="4" w:space="0"/>
            </w:tcBorders>
            <w:vAlign w:val="bottom"/>
          </w:tcPr>
          <w:p w14:paraId="6C7A5F6C">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100≤Y＜500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2E604BBE">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750DF521">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X＜10</w:t>
            </w:r>
          </w:p>
        </w:tc>
        <w:tc>
          <w:tcPr>
            <w:tcW w:w="1470" w:type="dxa"/>
            <w:tcBorders>
              <w:top w:val="single" w:color="000000" w:sz="4" w:space="0"/>
              <w:left w:val="single" w:color="000000" w:sz="4" w:space="0"/>
              <w:bottom w:val="single" w:color="000000" w:sz="4" w:space="0"/>
              <w:right w:val="single" w:color="000000" w:sz="4" w:space="0"/>
            </w:tcBorders>
            <w:vAlign w:val="bottom"/>
          </w:tcPr>
          <w:p w14:paraId="5FE5F3C8">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Y＜100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43775A9A">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2C9EBFD1">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475CAFCA">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6、交通运输业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752CABE2">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300≤X＜1000</w:t>
            </w:r>
          </w:p>
        </w:tc>
        <w:tc>
          <w:tcPr>
            <w:tcW w:w="1560" w:type="dxa"/>
            <w:tcBorders>
              <w:top w:val="single" w:color="000000" w:sz="4" w:space="0"/>
              <w:left w:val="single" w:color="000000" w:sz="4" w:space="0"/>
              <w:bottom w:val="single" w:color="000000" w:sz="4" w:space="0"/>
              <w:right w:val="single" w:color="000000" w:sz="4" w:space="0"/>
            </w:tcBorders>
            <w:vAlign w:val="bottom"/>
          </w:tcPr>
          <w:p w14:paraId="60100E8B">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3000≤Y＜30000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744BD113">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6D1F05E0">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20≤X＜300</w:t>
            </w:r>
          </w:p>
        </w:tc>
        <w:tc>
          <w:tcPr>
            <w:tcW w:w="1500" w:type="dxa"/>
            <w:tcBorders>
              <w:top w:val="single" w:color="000000" w:sz="4" w:space="0"/>
              <w:left w:val="single" w:color="000000" w:sz="4" w:space="0"/>
              <w:bottom w:val="single" w:color="000000" w:sz="4" w:space="0"/>
              <w:right w:val="single" w:color="000000" w:sz="4" w:space="0"/>
            </w:tcBorders>
            <w:vAlign w:val="bottom"/>
          </w:tcPr>
          <w:p w14:paraId="201308E1">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200≤Y＜3000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339A2398">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38969EDB">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X＜20</w:t>
            </w:r>
          </w:p>
        </w:tc>
        <w:tc>
          <w:tcPr>
            <w:tcW w:w="1470" w:type="dxa"/>
            <w:tcBorders>
              <w:top w:val="single" w:color="000000" w:sz="4" w:space="0"/>
              <w:left w:val="single" w:color="000000" w:sz="4" w:space="0"/>
              <w:bottom w:val="single" w:color="000000" w:sz="4" w:space="0"/>
              <w:right w:val="single" w:color="000000" w:sz="4" w:space="0"/>
            </w:tcBorders>
            <w:vAlign w:val="bottom"/>
          </w:tcPr>
          <w:p w14:paraId="7162D58C">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V＜200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36F45CE0">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41C1E72A">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1BBE91ED">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7、仓储业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0635F436">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100≤X＜200</w:t>
            </w:r>
          </w:p>
        </w:tc>
        <w:tc>
          <w:tcPr>
            <w:tcW w:w="1560" w:type="dxa"/>
            <w:tcBorders>
              <w:top w:val="single" w:color="000000" w:sz="4" w:space="0"/>
              <w:left w:val="single" w:color="000000" w:sz="4" w:space="0"/>
              <w:bottom w:val="single" w:color="000000" w:sz="4" w:space="0"/>
              <w:right w:val="single" w:color="000000" w:sz="4" w:space="0"/>
            </w:tcBorders>
            <w:vAlign w:val="bottom"/>
          </w:tcPr>
          <w:p w14:paraId="3A5CF156">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1000≤Y＜30000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2FB4B210">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2AECED2F">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20≤X＜100</w:t>
            </w:r>
          </w:p>
        </w:tc>
        <w:tc>
          <w:tcPr>
            <w:tcW w:w="1500" w:type="dxa"/>
            <w:tcBorders>
              <w:top w:val="single" w:color="000000" w:sz="4" w:space="0"/>
              <w:left w:val="single" w:color="000000" w:sz="4" w:space="0"/>
              <w:bottom w:val="single" w:color="000000" w:sz="4" w:space="0"/>
              <w:right w:val="single" w:color="000000" w:sz="4" w:space="0"/>
            </w:tcBorders>
            <w:vAlign w:val="bottom"/>
          </w:tcPr>
          <w:p w14:paraId="7562591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100≤Y＜1000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79C0EE63">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1AB9715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X＜20</w:t>
            </w:r>
          </w:p>
        </w:tc>
        <w:tc>
          <w:tcPr>
            <w:tcW w:w="1470" w:type="dxa"/>
            <w:tcBorders>
              <w:top w:val="single" w:color="000000" w:sz="4" w:space="0"/>
              <w:left w:val="single" w:color="000000" w:sz="4" w:space="0"/>
              <w:bottom w:val="single" w:color="000000" w:sz="4" w:space="0"/>
              <w:right w:val="single" w:color="000000" w:sz="4" w:space="0"/>
            </w:tcBorders>
            <w:vAlign w:val="bottom"/>
          </w:tcPr>
          <w:p w14:paraId="1C2B389D">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Y＜100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523D8850">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791B3391">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3F544836">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8、邮政业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2ADE3763">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300≤X＜1000</w:t>
            </w:r>
          </w:p>
        </w:tc>
        <w:tc>
          <w:tcPr>
            <w:tcW w:w="1560" w:type="dxa"/>
            <w:tcBorders>
              <w:top w:val="single" w:color="000000" w:sz="4" w:space="0"/>
              <w:left w:val="single" w:color="000000" w:sz="4" w:space="0"/>
              <w:bottom w:val="single" w:color="000000" w:sz="4" w:space="0"/>
              <w:right w:val="single" w:color="000000" w:sz="4" w:space="0"/>
            </w:tcBorders>
            <w:vAlign w:val="bottom"/>
          </w:tcPr>
          <w:p w14:paraId="11B607D6">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2000≤Y＜30000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0323EE72">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0B75E119">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20≤X＜300</w:t>
            </w:r>
          </w:p>
        </w:tc>
        <w:tc>
          <w:tcPr>
            <w:tcW w:w="1500" w:type="dxa"/>
            <w:tcBorders>
              <w:top w:val="single" w:color="000000" w:sz="4" w:space="0"/>
              <w:left w:val="single" w:color="000000" w:sz="4" w:space="0"/>
              <w:bottom w:val="single" w:color="000000" w:sz="4" w:space="0"/>
              <w:right w:val="single" w:color="000000" w:sz="4" w:space="0"/>
            </w:tcBorders>
            <w:vAlign w:val="bottom"/>
          </w:tcPr>
          <w:p w14:paraId="5F5B8B08">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100≤Y＜2000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0A38071F">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15953D68">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X＜20</w:t>
            </w:r>
          </w:p>
        </w:tc>
        <w:tc>
          <w:tcPr>
            <w:tcW w:w="1470" w:type="dxa"/>
            <w:tcBorders>
              <w:top w:val="single" w:color="000000" w:sz="4" w:space="0"/>
              <w:left w:val="single" w:color="000000" w:sz="4" w:space="0"/>
              <w:bottom w:val="single" w:color="000000" w:sz="4" w:space="0"/>
              <w:right w:val="single" w:color="000000" w:sz="4" w:space="0"/>
            </w:tcBorders>
            <w:vAlign w:val="bottom"/>
          </w:tcPr>
          <w:p w14:paraId="11F2F0A9">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Y＜100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1D7137EF">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3FC4B343">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1C167DA6">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9、住宿业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5A112EE2">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100≤X＜300</w:t>
            </w:r>
          </w:p>
        </w:tc>
        <w:tc>
          <w:tcPr>
            <w:tcW w:w="1560" w:type="dxa"/>
            <w:tcBorders>
              <w:top w:val="single" w:color="000000" w:sz="4" w:space="0"/>
              <w:left w:val="single" w:color="000000" w:sz="4" w:space="0"/>
              <w:bottom w:val="single" w:color="000000" w:sz="4" w:space="0"/>
              <w:right w:val="single" w:color="000000" w:sz="4" w:space="0"/>
            </w:tcBorders>
            <w:vAlign w:val="bottom"/>
          </w:tcPr>
          <w:p w14:paraId="2209DF6B">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2000≤Y＜10000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6B383DA0">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152715BE">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10≤X＜100</w:t>
            </w:r>
          </w:p>
        </w:tc>
        <w:tc>
          <w:tcPr>
            <w:tcW w:w="1500" w:type="dxa"/>
            <w:tcBorders>
              <w:top w:val="single" w:color="000000" w:sz="4" w:space="0"/>
              <w:left w:val="single" w:color="000000" w:sz="4" w:space="0"/>
              <w:bottom w:val="single" w:color="000000" w:sz="4" w:space="0"/>
              <w:right w:val="single" w:color="000000" w:sz="4" w:space="0"/>
            </w:tcBorders>
            <w:vAlign w:val="bottom"/>
          </w:tcPr>
          <w:p w14:paraId="5892E261">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100≤Y＜2000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5B41EEDB">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7AFF676D">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X＜10</w:t>
            </w:r>
          </w:p>
        </w:tc>
        <w:tc>
          <w:tcPr>
            <w:tcW w:w="1470" w:type="dxa"/>
            <w:tcBorders>
              <w:top w:val="single" w:color="000000" w:sz="4" w:space="0"/>
              <w:left w:val="single" w:color="000000" w:sz="4" w:space="0"/>
              <w:bottom w:val="single" w:color="000000" w:sz="4" w:space="0"/>
              <w:right w:val="single" w:color="000000" w:sz="4" w:space="0"/>
            </w:tcBorders>
            <w:vAlign w:val="bottom"/>
          </w:tcPr>
          <w:p w14:paraId="105046FC">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Y＜100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43B402BA">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07B50DBA">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2754DBAF">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10、餐饮业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54E8FCEE">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100≤X＜300</w:t>
            </w:r>
          </w:p>
        </w:tc>
        <w:tc>
          <w:tcPr>
            <w:tcW w:w="1560" w:type="dxa"/>
            <w:tcBorders>
              <w:top w:val="single" w:color="000000" w:sz="4" w:space="0"/>
              <w:left w:val="single" w:color="000000" w:sz="4" w:space="0"/>
              <w:bottom w:val="single" w:color="000000" w:sz="4" w:space="0"/>
              <w:right w:val="single" w:color="000000" w:sz="4" w:space="0"/>
            </w:tcBorders>
            <w:vAlign w:val="bottom"/>
          </w:tcPr>
          <w:p w14:paraId="1380209A">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2000≤Y＜10000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72D89E21">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24DBA291">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10≤X＜100</w:t>
            </w:r>
          </w:p>
        </w:tc>
        <w:tc>
          <w:tcPr>
            <w:tcW w:w="1500" w:type="dxa"/>
            <w:tcBorders>
              <w:top w:val="single" w:color="000000" w:sz="4" w:space="0"/>
              <w:left w:val="single" w:color="000000" w:sz="4" w:space="0"/>
              <w:bottom w:val="single" w:color="000000" w:sz="4" w:space="0"/>
              <w:right w:val="single" w:color="000000" w:sz="4" w:space="0"/>
            </w:tcBorders>
            <w:vAlign w:val="bottom"/>
          </w:tcPr>
          <w:p w14:paraId="63EFEAA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100≤Y＜2000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4523CC33">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38374D55">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X＜10</w:t>
            </w:r>
          </w:p>
        </w:tc>
        <w:tc>
          <w:tcPr>
            <w:tcW w:w="1470" w:type="dxa"/>
            <w:tcBorders>
              <w:top w:val="single" w:color="000000" w:sz="4" w:space="0"/>
              <w:left w:val="single" w:color="000000" w:sz="4" w:space="0"/>
              <w:bottom w:val="single" w:color="000000" w:sz="4" w:space="0"/>
              <w:right w:val="single" w:color="000000" w:sz="4" w:space="0"/>
            </w:tcBorders>
            <w:vAlign w:val="bottom"/>
          </w:tcPr>
          <w:p w14:paraId="7DD1C87C">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V＜100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57928BFD">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26BDE6FC">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4453D4B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11、信息传输业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237391ED">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100≤X＜2000</w:t>
            </w:r>
          </w:p>
        </w:tc>
        <w:tc>
          <w:tcPr>
            <w:tcW w:w="1560" w:type="dxa"/>
            <w:tcBorders>
              <w:top w:val="single" w:color="000000" w:sz="4" w:space="0"/>
              <w:left w:val="single" w:color="000000" w:sz="4" w:space="0"/>
              <w:bottom w:val="single" w:color="000000" w:sz="4" w:space="0"/>
              <w:right w:val="single" w:color="000000" w:sz="4" w:space="0"/>
            </w:tcBorders>
            <w:vAlign w:val="bottom"/>
          </w:tcPr>
          <w:p w14:paraId="0F9056A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1000≤Y＜100000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655489A0">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7B372E65">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10≤X＜100</w:t>
            </w:r>
          </w:p>
        </w:tc>
        <w:tc>
          <w:tcPr>
            <w:tcW w:w="1500" w:type="dxa"/>
            <w:tcBorders>
              <w:top w:val="single" w:color="000000" w:sz="4" w:space="0"/>
              <w:left w:val="single" w:color="000000" w:sz="4" w:space="0"/>
              <w:bottom w:val="single" w:color="000000" w:sz="4" w:space="0"/>
              <w:right w:val="single" w:color="000000" w:sz="4" w:space="0"/>
            </w:tcBorders>
            <w:vAlign w:val="bottom"/>
          </w:tcPr>
          <w:p w14:paraId="2B93E059">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100≤Y＜1000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517895E4">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7120AB78">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X＜10</w:t>
            </w:r>
          </w:p>
        </w:tc>
        <w:tc>
          <w:tcPr>
            <w:tcW w:w="1470" w:type="dxa"/>
            <w:tcBorders>
              <w:top w:val="single" w:color="000000" w:sz="4" w:space="0"/>
              <w:left w:val="single" w:color="000000" w:sz="4" w:space="0"/>
              <w:bottom w:val="single" w:color="000000" w:sz="4" w:space="0"/>
              <w:right w:val="single" w:color="000000" w:sz="4" w:space="0"/>
            </w:tcBorders>
            <w:vAlign w:val="bottom"/>
          </w:tcPr>
          <w:p w14:paraId="54E81F4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Y＜100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73F90BDF">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4F45EC10">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084705C9">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12、软件和信息技术服务业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6DA1D668">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100≤X＜300</w:t>
            </w:r>
          </w:p>
        </w:tc>
        <w:tc>
          <w:tcPr>
            <w:tcW w:w="1560" w:type="dxa"/>
            <w:tcBorders>
              <w:top w:val="single" w:color="000000" w:sz="4" w:space="0"/>
              <w:left w:val="single" w:color="000000" w:sz="4" w:space="0"/>
              <w:bottom w:val="single" w:color="000000" w:sz="4" w:space="0"/>
              <w:right w:val="single" w:color="000000" w:sz="4" w:space="0"/>
            </w:tcBorders>
            <w:vAlign w:val="bottom"/>
          </w:tcPr>
          <w:p w14:paraId="1D6491F5">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1000≤Y＜10000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40C93A0D">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09C02754">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10≤X＜100</w:t>
            </w:r>
          </w:p>
        </w:tc>
        <w:tc>
          <w:tcPr>
            <w:tcW w:w="1500" w:type="dxa"/>
            <w:tcBorders>
              <w:top w:val="single" w:color="000000" w:sz="4" w:space="0"/>
              <w:left w:val="single" w:color="000000" w:sz="4" w:space="0"/>
              <w:bottom w:val="single" w:color="000000" w:sz="4" w:space="0"/>
              <w:right w:val="single" w:color="000000" w:sz="4" w:space="0"/>
            </w:tcBorders>
            <w:vAlign w:val="bottom"/>
          </w:tcPr>
          <w:p w14:paraId="4074BB2D">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50≤Y＜1000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51E9CAF4">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48B011BE">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X＜10</w:t>
            </w:r>
          </w:p>
        </w:tc>
        <w:tc>
          <w:tcPr>
            <w:tcW w:w="1470" w:type="dxa"/>
            <w:tcBorders>
              <w:top w:val="single" w:color="000000" w:sz="4" w:space="0"/>
              <w:left w:val="single" w:color="000000" w:sz="4" w:space="0"/>
              <w:bottom w:val="single" w:color="000000" w:sz="4" w:space="0"/>
              <w:right w:val="single" w:color="000000" w:sz="4" w:space="0"/>
            </w:tcBorders>
            <w:vAlign w:val="bottom"/>
          </w:tcPr>
          <w:p w14:paraId="26BF00A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Y＜50</w:t>
            </w:r>
          </w:p>
        </w:tc>
        <w:tc>
          <w:tcPr>
            <w:tcW w:w="1515" w:type="dxa"/>
            <w:tcBorders>
              <w:top w:val="single" w:color="000000" w:sz="4" w:space="0"/>
              <w:left w:val="single" w:color="000000" w:sz="4" w:space="0"/>
              <w:bottom w:val="single" w:color="000000" w:sz="4" w:space="0"/>
              <w:right w:val="single" w:color="000000" w:sz="12" w:space="0"/>
            </w:tcBorders>
            <w:vAlign w:val="bottom"/>
          </w:tcPr>
          <w:p w14:paraId="60B4B257">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1E0D6204">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3DC2401B">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13、房地产开发经营</w:t>
            </w:r>
          </w:p>
        </w:tc>
        <w:tc>
          <w:tcPr>
            <w:tcW w:w="1320" w:type="dxa"/>
            <w:tcBorders>
              <w:top w:val="single" w:color="000000" w:sz="4" w:space="0"/>
              <w:left w:val="single" w:color="000000" w:sz="12" w:space="0"/>
              <w:bottom w:val="single" w:color="000000" w:sz="4" w:space="0"/>
              <w:right w:val="single" w:color="000000" w:sz="4" w:space="0"/>
            </w:tcBorders>
            <w:vAlign w:val="bottom"/>
          </w:tcPr>
          <w:p w14:paraId="26CF6883">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vAlign w:val="bottom"/>
          </w:tcPr>
          <w:p w14:paraId="0E5A5B5B">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1000≤Y＜200000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709BEE3E">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5000≤Z＜10000</w:t>
            </w:r>
          </w:p>
        </w:tc>
        <w:tc>
          <w:tcPr>
            <w:tcW w:w="1320" w:type="dxa"/>
            <w:tcBorders>
              <w:top w:val="single" w:color="000000" w:sz="4" w:space="0"/>
              <w:left w:val="single" w:color="000000" w:sz="12" w:space="0"/>
              <w:bottom w:val="single" w:color="000000" w:sz="4" w:space="0"/>
              <w:right w:val="single" w:color="000000" w:sz="4" w:space="0"/>
            </w:tcBorders>
            <w:vAlign w:val="bottom"/>
          </w:tcPr>
          <w:p w14:paraId="2058CCFD">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500" w:type="dxa"/>
            <w:tcBorders>
              <w:top w:val="single" w:color="000000" w:sz="4" w:space="0"/>
              <w:left w:val="single" w:color="000000" w:sz="4" w:space="0"/>
              <w:bottom w:val="single" w:color="000000" w:sz="4" w:space="0"/>
              <w:right w:val="single" w:color="000000" w:sz="4" w:space="0"/>
            </w:tcBorders>
            <w:vAlign w:val="bottom"/>
          </w:tcPr>
          <w:p w14:paraId="7D27579E">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100≤Y＜1000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011AEA1B">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2000≤Z＜5000</w:t>
            </w:r>
          </w:p>
        </w:tc>
        <w:tc>
          <w:tcPr>
            <w:tcW w:w="1264" w:type="dxa"/>
            <w:tcBorders>
              <w:top w:val="single" w:color="000000" w:sz="4" w:space="0"/>
              <w:left w:val="single" w:color="000000" w:sz="12" w:space="0"/>
              <w:bottom w:val="single" w:color="000000" w:sz="4" w:space="0"/>
              <w:right w:val="single" w:color="000000" w:sz="4" w:space="0"/>
            </w:tcBorders>
            <w:vAlign w:val="bottom"/>
          </w:tcPr>
          <w:p w14:paraId="49A4AB1B">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470" w:type="dxa"/>
            <w:tcBorders>
              <w:top w:val="single" w:color="000000" w:sz="4" w:space="0"/>
              <w:left w:val="single" w:color="000000" w:sz="4" w:space="0"/>
              <w:bottom w:val="single" w:color="000000" w:sz="4" w:space="0"/>
              <w:right w:val="single" w:color="000000" w:sz="4" w:space="0"/>
            </w:tcBorders>
            <w:vAlign w:val="bottom"/>
          </w:tcPr>
          <w:p w14:paraId="58EA595F">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Y＜100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179BC4F5">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Z＜2000</w:t>
            </w:r>
          </w:p>
        </w:tc>
      </w:tr>
      <w:tr w14:paraId="6BF7DDCF">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5F83EC52">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14、物业管理</w:t>
            </w:r>
          </w:p>
        </w:tc>
        <w:tc>
          <w:tcPr>
            <w:tcW w:w="1320" w:type="dxa"/>
            <w:tcBorders>
              <w:top w:val="single" w:color="000000" w:sz="4" w:space="0"/>
              <w:left w:val="single" w:color="000000" w:sz="12" w:space="0"/>
              <w:bottom w:val="single" w:color="000000" w:sz="4" w:space="0"/>
              <w:right w:val="single" w:color="000000" w:sz="4" w:space="0"/>
            </w:tcBorders>
            <w:vAlign w:val="bottom"/>
          </w:tcPr>
          <w:p w14:paraId="489ACC5E">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300≤X＜1000</w:t>
            </w:r>
          </w:p>
        </w:tc>
        <w:tc>
          <w:tcPr>
            <w:tcW w:w="1560" w:type="dxa"/>
            <w:tcBorders>
              <w:top w:val="single" w:color="000000" w:sz="4" w:space="0"/>
              <w:left w:val="single" w:color="000000" w:sz="4" w:space="0"/>
              <w:bottom w:val="single" w:color="000000" w:sz="4" w:space="0"/>
              <w:right w:val="single" w:color="000000" w:sz="4" w:space="0"/>
            </w:tcBorders>
            <w:vAlign w:val="bottom"/>
          </w:tcPr>
          <w:p w14:paraId="3B1173CF">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1000≤Y＜5000</w:t>
            </w:r>
          </w:p>
        </w:tc>
        <w:tc>
          <w:tcPr>
            <w:tcW w:w="1500" w:type="dxa"/>
            <w:tcBorders>
              <w:top w:val="single" w:color="000000" w:sz="4" w:space="0"/>
              <w:left w:val="single" w:color="000000" w:sz="4" w:space="0"/>
              <w:bottom w:val="single" w:color="000000" w:sz="4" w:space="0"/>
              <w:right w:val="single" w:color="000000" w:sz="12" w:space="0"/>
            </w:tcBorders>
            <w:vAlign w:val="bottom"/>
          </w:tcPr>
          <w:p w14:paraId="7923349E">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4" w:space="0"/>
              <w:right w:val="single" w:color="000000" w:sz="4" w:space="0"/>
            </w:tcBorders>
            <w:vAlign w:val="bottom"/>
          </w:tcPr>
          <w:p w14:paraId="74DC3013">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100≤X＜300</w:t>
            </w:r>
          </w:p>
        </w:tc>
        <w:tc>
          <w:tcPr>
            <w:tcW w:w="1500" w:type="dxa"/>
            <w:tcBorders>
              <w:top w:val="single" w:color="000000" w:sz="4" w:space="0"/>
              <w:left w:val="single" w:color="000000" w:sz="4" w:space="0"/>
              <w:bottom w:val="single" w:color="000000" w:sz="4" w:space="0"/>
              <w:right w:val="single" w:color="000000" w:sz="4" w:space="0"/>
            </w:tcBorders>
            <w:vAlign w:val="bottom"/>
          </w:tcPr>
          <w:p w14:paraId="279982DD">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500≤Y＜1000</w:t>
            </w:r>
          </w:p>
        </w:tc>
        <w:tc>
          <w:tcPr>
            <w:tcW w:w="1406" w:type="dxa"/>
            <w:tcBorders>
              <w:top w:val="single" w:color="000000" w:sz="4" w:space="0"/>
              <w:left w:val="single" w:color="000000" w:sz="4" w:space="0"/>
              <w:bottom w:val="single" w:color="000000" w:sz="4" w:space="0"/>
              <w:right w:val="single" w:color="000000" w:sz="12" w:space="0"/>
            </w:tcBorders>
            <w:vAlign w:val="bottom"/>
          </w:tcPr>
          <w:p w14:paraId="6DB545CB">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4" w:space="0"/>
              <w:right w:val="single" w:color="000000" w:sz="4" w:space="0"/>
            </w:tcBorders>
            <w:vAlign w:val="bottom"/>
          </w:tcPr>
          <w:p w14:paraId="4ECDD79F">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X＜100</w:t>
            </w:r>
          </w:p>
        </w:tc>
        <w:tc>
          <w:tcPr>
            <w:tcW w:w="1470" w:type="dxa"/>
            <w:tcBorders>
              <w:top w:val="single" w:color="000000" w:sz="4" w:space="0"/>
              <w:left w:val="single" w:color="000000" w:sz="4" w:space="0"/>
              <w:bottom w:val="single" w:color="000000" w:sz="4" w:space="0"/>
              <w:right w:val="single" w:color="000000" w:sz="4" w:space="0"/>
            </w:tcBorders>
            <w:vAlign w:val="bottom"/>
          </w:tcPr>
          <w:p w14:paraId="315371FE">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Y＜500</w:t>
            </w:r>
          </w:p>
        </w:tc>
        <w:tc>
          <w:tcPr>
            <w:tcW w:w="1515" w:type="dxa"/>
            <w:tcBorders>
              <w:top w:val="single" w:color="000000" w:sz="4" w:space="0"/>
              <w:left w:val="single" w:color="000000" w:sz="4" w:space="0"/>
              <w:bottom w:val="single" w:color="000000" w:sz="4" w:space="0"/>
              <w:right w:val="single" w:color="000000" w:sz="12" w:space="0"/>
            </w:tcBorders>
            <w:vAlign w:val="bottom"/>
          </w:tcPr>
          <w:p w14:paraId="51EF62AF">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r w14:paraId="4B8ED402">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4" w:space="0"/>
              <w:right w:val="single" w:color="000000" w:sz="12" w:space="0"/>
            </w:tcBorders>
            <w:vAlign w:val="bottom"/>
          </w:tcPr>
          <w:p w14:paraId="6544A02B">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15、租赁和商务服务业</w:t>
            </w:r>
          </w:p>
        </w:tc>
        <w:tc>
          <w:tcPr>
            <w:tcW w:w="1320" w:type="dxa"/>
            <w:tcBorders>
              <w:top w:val="single" w:color="000000" w:sz="4" w:space="0"/>
              <w:left w:val="single" w:color="000000" w:sz="12" w:space="0"/>
              <w:bottom w:val="single" w:color="000000" w:sz="4" w:space="0"/>
              <w:right w:val="single" w:color="000000" w:sz="4" w:space="0"/>
            </w:tcBorders>
            <w:vAlign w:val="bottom"/>
          </w:tcPr>
          <w:p w14:paraId="40206BC5">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100≤X＜300</w:t>
            </w:r>
          </w:p>
        </w:tc>
        <w:tc>
          <w:tcPr>
            <w:tcW w:w="1560" w:type="dxa"/>
            <w:tcBorders>
              <w:top w:val="single" w:color="000000" w:sz="4" w:space="0"/>
              <w:left w:val="single" w:color="000000" w:sz="4" w:space="0"/>
              <w:bottom w:val="single" w:color="000000" w:sz="4" w:space="0"/>
              <w:right w:val="single" w:color="000000" w:sz="4" w:space="0"/>
            </w:tcBorders>
            <w:vAlign w:val="bottom"/>
          </w:tcPr>
          <w:p w14:paraId="31E423B7">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500" w:type="dxa"/>
            <w:tcBorders>
              <w:top w:val="single" w:color="000000" w:sz="4" w:space="0"/>
              <w:left w:val="single" w:color="000000" w:sz="4" w:space="0"/>
              <w:bottom w:val="single" w:color="000000" w:sz="4" w:space="0"/>
              <w:right w:val="single" w:color="000000" w:sz="12" w:space="0"/>
            </w:tcBorders>
            <w:vAlign w:val="bottom"/>
          </w:tcPr>
          <w:p w14:paraId="4E76CBD8">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8000≤Z＜120000</w:t>
            </w:r>
          </w:p>
        </w:tc>
        <w:tc>
          <w:tcPr>
            <w:tcW w:w="1320" w:type="dxa"/>
            <w:tcBorders>
              <w:top w:val="single" w:color="000000" w:sz="4" w:space="0"/>
              <w:left w:val="single" w:color="000000" w:sz="12" w:space="0"/>
              <w:bottom w:val="single" w:color="000000" w:sz="4" w:space="0"/>
              <w:right w:val="single" w:color="000000" w:sz="4" w:space="0"/>
            </w:tcBorders>
            <w:vAlign w:val="bottom"/>
          </w:tcPr>
          <w:p w14:paraId="7500A420">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10≤X＜100</w:t>
            </w:r>
          </w:p>
        </w:tc>
        <w:tc>
          <w:tcPr>
            <w:tcW w:w="1500" w:type="dxa"/>
            <w:tcBorders>
              <w:top w:val="single" w:color="000000" w:sz="4" w:space="0"/>
              <w:left w:val="single" w:color="000000" w:sz="4" w:space="0"/>
              <w:bottom w:val="single" w:color="000000" w:sz="4" w:space="0"/>
              <w:right w:val="single" w:color="000000" w:sz="4" w:space="0"/>
            </w:tcBorders>
            <w:vAlign w:val="bottom"/>
          </w:tcPr>
          <w:p w14:paraId="4EE94BE8">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406" w:type="dxa"/>
            <w:tcBorders>
              <w:top w:val="single" w:color="000000" w:sz="4" w:space="0"/>
              <w:left w:val="single" w:color="000000" w:sz="4" w:space="0"/>
              <w:bottom w:val="single" w:color="000000" w:sz="4" w:space="0"/>
              <w:right w:val="single" w:color="000000" w:sz="12" w:space="0"/>
            </w:tcBorders>
            <w:vAlign w:val="bottom"/>
          </w:tcPr>
          <w:p w14:paraId="430D82B7">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 xml:space="preserve"> 100≤Z＜8000</w:t>
            </w:r>
          </w:p>
        </w:tc>
        <w:tc>
          <w:tcPr>
            <w:tcW w:w="1264" w:type="dxa"/>
            <w:tcBorders>
              <w:top w:val="single" w:color="000000" w:sz="4" w:space="0"/>
              <w:left w:val="single" w:color="000000" w:sz="12" w:space="0"/>
              <w:bottom w:val="single" w:color="000000" w:sz="4" w:space="0"/>
              <w:right w:val="single" w:color="000000" w:sz="4" w:space="0"/>
            </w:tcBorders>
            <w:vAlign w:val="bottom"/>
          </w:tcPr>
          <w:p w14:paraId="5CAA4461">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X＜10</w:t>
            </w:r>
          </w:p>
        </w:tc>
        <w:tc>
          <w:tcPr>
            <w:tcW w:w="1470" w:type="dxa"/>
            <w:tcBorders>
              <w:top w:val="single" w:color="000000" w:sz="4" w:space="0"/>
              <w:left w:val="single" w:color="000000" w:sz="4" w:space="0"/>
              <w:bottom w:val="single" w:color="000000" w:sz="4" w:space="0"/>
              <w:right w:val="single" w:color="000000" w:sz="4" w:space="0"/>
            </w:tcBorders>
            <w:vAlign w:val="bottom"/>
          </w:tcPr>
          <w:p w14:paraId="3BDCEB8C">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515" w:type="dxa"/>
            <w:tcBorders>
              <w:top w:val="single" w:color="000000" w:sz="4" w:space="0"/>
              <w:left w:val="single" w:color="000000" w:sz="4" w:space="0"/>
              <w:bottom w:val="single" w:color="000000" w:sz="4" w:space="0"/>
              <w:right w:val="single" w:color="000000" w:sz="12" w:space="0"/>
            </w:tcBorders>
            <w:vAlign w:val="bottom"/>
          </w:tcPr>
          <w:p w14:paraId="3BF7BB2D">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Z＜100</w:t>
            </w:r>
          </w:p>
        </w:tc>
      </w:tr>
      <w:tr w14:paraId="66548123">
        <w:tblPrEx>
          <w:tblCellMar>
            <w:top w:w="15" w:type="dxa"/>
            <w:left w:w="15" w:type="dxa"/>
            <w:bottom w:w="15" w:type="dxa"/>
            <w:right w:w="15" w:type="dxa"/>
          </w:tblCellMar>
        </w:tblPrEx>
        <w:trPr>
          <w:trHeight w:val="306" w:hRule="atLeast"/>
        </w:trPr>
        <w:tc>
          <w:tcPr>
            <w:tcW w:w="2153" w:type="dxa"/>
            <w:tcBorders>
              <w:top w:val="single" w:color="000000" w:sz="4" w:space="0"/>
              <w:left w:val="single" w:color="000000" w:sz="12" w:space="0"/>
              <w:bottom w:val="single" w:color="000000" w:sz="12" w:space="0"/>
              <w:right w:val="single" w:color="000000" w:sz="12" w:space="0"/>
            </w:tcBorders>
            <w:vAlign w:val="bottom"/>
          </w:tcPr>
          <w:p w14:paraId="26B4D771">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16、其他未列明行业</w:t>
            </w:r>
          </w:p>
        </w:tc>
        <w:tc>
          <w:tcPr>
            <w:tcW w:w="1320" w:type="dxa"/>
            <w:tcBorders>
              <w:top w:val="single" w:color="000000" w:sz="4" w:space="0"/>
              <w:left w:val="single" w:color="000000" w:sz="12" w:space="0"/>
              <w:bottom w:val="single" w:color="000000" w:sz="12" w:space="0"/>
              <w:right w:val="single" w:color="000000" w:sz="4" w:space="0"/>
            </w:tcBorders>
            <w:vAlign w:val="bottom"/>
          </w:tcPr>
          <w:p w14:paraId="40D44090">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100≤X＜300</w:t>
            </w:r>
          </w:p>
        </w:tc>
        <w:tc>
          <w:tcPr>
            <w:tcW w:w="1560" w:type="dxa"/>
            <w:tcBorders>
              <w:top w:val="single" w:color="000000" w:sz="4" w:space="0"/>
              <w:left w:val="single" w:color="000000" w:sz="4" w:space="0"/>
              <w:bottom w:val="single" w:color="000000" w:sz="12" w:space="0"/>
              <w:right w:val="single" w:color="000000" w:sz="4" w:space="0"/>
            </w:tcBorders>
            <w:vAlign w:val="bottom"/>
          </w:tcPr>
          <w:p w14:paraId="7697233B">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500" w:type="dxa"/>
            <w:tcBorders>
              <w:top w:val="single" w:color="000000" w:sz="4" w:space="0"/>
              <w:left w:val="single" w:color="000000" w:sz="4" w:space="0"/>
              <w:bottom w:val="single" w:color="000000" w:sz="12" w:space="0"/>
              <w:right w:val="single" w:color="000000" w:sz="12" w:space="0"/>
            </w:tcBorders>
            <w:vAlign w:val="bottom"/>
          </w:tcPr>
          <w:p w14:paraId="2210989C">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320" w:type="dxa"/>
            <w:tcBorders>
              <w:top w:val="single" w:color="000000" w:sz="4" w:space="0"/>
              <w:left w:val="single" w:color="000000" w:sz="12" w:space="0"/>
              <w:bottom w:val="single" w:color="000000" w:sz="12" w:space="0"/>
              <w:right w:val="single" w:color="000000" w:sz="4" w:space="0"/>
            </w:tcBorders>
            <w:vAlign w:val="bottom"/>
          </w:tcPr>
          <w:p w14:paraId="4C4341EE">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10≤X＜100</w:t>
            </w:r>
          </w:p>
        </w:tc>
        <w:tc>
          <w:tcPr>
            <w:tcW w:w="1500" w:type="dxa"/>
            <w:tcBorders>
              <w:top w:val="single" w:color="000000" w:sz="4" w:space="0"/>
              <w:left w:val="single" w:color="000000" w:sz="4" w:space="0"/>
              <w:bottom w:val="single" w:color="000000" w:sz="12" w:space="0"/>
              <w:right w:val="single" w:color="000000" w:sz="4" w:space="0"/>
            </w:tcBorders>
            <w:vAlign w:val="bottom"/>
          </w:tcPr>
          <w:p w14:paraId="57422D10">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406" w:type="dxa"/>
            <w:tcBorders>
              <w:top w:val="single" w:color="000000" w:sz="4" w:space="0"/>
              <w:left w:val="single" w:color="000000" w:sz="4" w:space="0"/>
              <w:bottom w:val="single" w:color="000000" w:sz="12" w:space="0"/>
              <w:right w:val="single" w:color="000000" w:sz="12" w:space="0"/>
            </w:tcBorders>
            <w:vAlign w:val="bottom"/>
          </w:tcPr>
          <w:p w14:paraId="5AE1540C">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264" w:type="dxa"/>
            <w:tcBorders>
              <w:top w:val="single" w:color="000000" w:sz="4" w:space="0"/>
              <w:left w:val="single" w:color="000000" w:sz="12" w:space="0"/>
              <w:bottom w:val="single" w:color="000000" w:sz="12" w:space="0"/>
              <w:right w:val="single" w:color="000000" w:sz="4" w:space="0"/>
            </w:tcBorders>
            <w:vAlign w:val="bottom"/>
          </w:tcPr>
          <w:p w14:paraId="652C0788">
            <w:pPr>
              <w:widowControl/>
              <w:jc w:val="left"/>
              <w:textAlignment w:val="bottom"/>
              <w:rPr>
                <w:rFonts w:cs="宋体" w:asciiTheme="minorEastAsia" w:hAnsiTheme="minorEastAsia" w:eastAsiaTheme="minorEastAsia"/>
                <w:color w:val="000000" w:themeColor="text1"/>
                <w:sz w:val="18"/>
                <w:szCs w:val="1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X＜10</w:t>
            </w:r>
          </w:p>
        </w:tc>
        <w:tc>
          <w:tcPr>
            <w:tcW w:w="1470" w:type="dxa"/>
            <w:tcBorders>
              <w:top w:val="single" w:color="000000" w:sz="4" w:space="0"/>
              <w:left w:val="single" w:color="000000" w:sz="4" w:space="0"/>
              <w:bottom w:val="single" w:color="000000" w:sz="12" w:space="0"/>
              <w:right w:val="single" w:color="000000" w:sz="4" w:space="0"/>
            </w:tcBorders>
            <w:vAlign w:val="bottom"/>
          </w:tcPr>
          <w:p w14:paraId="7DDBB875">
            <w:pPr>
              <w:rPr>
                <w:rFonts w:cs="宋体" w:asciiTheme="minorEastAsia" w:hAnsiTheme="minorEastAsia" w:eastAsiaTheme="minorEastAsia"/>
                <w:color w:val="000000" w:themeColor="text1"/>
                <w:sz w:val="18"/>
                <w:szCs w:val="18"/>
                <w:highlight w:val="none"/>
                <w14:textFill>
                  <w14:solidFill>
                    <w14:schemeClr w14:val="tx1"/>
                  </w14:solidFill>
                </w14:textFill>
              </w:rPr>
            </w:pPr>
          </w:p>
        </w:tc>
        <w:tc>
          <w:tcPr>
            <w:tcW w:w="1515" w:type="dxa"/>
            <w:tcBorders>
              <w:top w:val="single" w:color="000000" w:sz="4" w:space="0"/>
              <w:left w:val="single" w:color="000000" w:sz="4" w:space="0"/>
              <w:bottom w:val="single" w:color="000000" w:sz="12" w:space="0"/>
              <w:right w:val="single" w:color="000000" w:sz="12" w:space="0"/>
            </w:tcBorders>
            <w:vAlign w:val="bottom"/>
          </w:tcPr>
          <w:p w14:paraId="0E2D4BDB">
            <w:pPr>
              <w:rPr>
                <w:rFonts w:cs="宋体" w:asciiTheme="minorEastAsia" w:hAnsiTheme="minorEastAsia" w:eastAsiaTheme="minorEastAsia"/>
                <w:color w:val="000000" w:themeColor="text1"/>
                <w:sz w:val="18"/>
                <w:szCs w:val="18"/>
                <w:highlight w:val="none"/>
                <w14:textFill>
                  <w14:solidFill>
                    <w14:schemeClr w14:val="tx1"/>
                  </w14:solidFill>
                </w14:textFill>
              </w:rPr>
            </w:pPr>
          </w:p>
        </w:tc>
      </w:tr>
    </w:tbl>
    <w:p w14:paraId="0F5FC9EA">
      <w:pPr>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cs="宋体" w:asciiTheme="minorEastAsia" w:hAnsiTheme="minorEastAsia" w:eastAsiaTheme="minorEastAsia"/>
          <w:color w:val="000000" w:themeColor="text1"/>
          <w:kern w:val="0"/>
          <w:sz w:val="18"/>
          <w:szCs w:val="18"/>
          <w:highlight w:val="none"/>
          <w14:textFill>
            <w14:solidFill>
              <w14:schemeClr w14:val="tx1"/>
            </w14:solidFill>
          </w14:textFill>
        </w:rPr>
        <w:t>说明　1、企业类型的划分以统计部门的统计数据为依据。2、个体工商户和本规定以外的行业，参照本规定进行划型。3、本规定的中型企业标准上限即为大型企业标准的下限。</w:t>
      </w:r>
    </w:p>
    <w:p w14:paraId="5A71D545">
      <w:pPr>
        <w:pStyle w:val="4"/>
        <w:spacing w:line="380" w:lineRule="exact"/>
        <w:rPr>
          <w:rFonts w:asciiTheme="minorEastAsia" w:hAnsiTheme="minorEastAsia" w:eastAsiaTheme="minorEastAsia"/>
          <w:color w:val="000000" w:themeColor="text1"/>
          <w:sz w:val="28"/>
          <w:szCs w:val="28"/>
          <w:highlight w:val="none"/>
          <w14:textFill>
            <w14:solidFill>
              <w14:schemeClr w14:val="tx1"/>
            </w14:solidFill>
          </w14:textFill>
        </w:rPr>
        <w:sectPr>
          <w:headerReference r:id="rId19" w:type="default"/>
          <w:pgSz w:w="16840" w:h="11907" w:orient="landscape"/>
          <w:pgMar w:top="1588" w:right="1304" w:bottom="1588" w:left="1304" w:header="720" w:footer="720" w:gutter="0"/>
          <w:cols w:space="720" w:num="1"/>
          <w:docGrid w:linePitch="285" w:charSpace="0"/>
        </w:sectPr>
      </w:pPr>
    </w:p>
    <w:p w14:paraId="566BD580">
      <w:pPr>
        <w:pStyle w:val="2"/>
        <w:spacing w:line="380" w:lineRule="exact"/>
        <w:rPr>
          <w:rFonts w:asciiTheme="minorEastAsia" w:hAnsiTheme="minorEastAsia" w:eastAsiaTheme="minorEastAsia"/>
          <w:color w:val="000000" w:themeColor="text1"/>
          <w:sz w:val="24"/>
          <w:szCs w:val="24"/>
          <w:highlight w:val="none"/>
          <w14:textFill>
            <w14:solidFill>
              <w14:schemeClr w14:val="tx1"/>
            </w14:solidFill>
          </w14:textFill>
        </w:rPr>
      </w:pPr>
    </w:p>
    <w:p w14:paraId="23C96DB0">
      <w:pPr>
        <w:pStyle w:val="2"/>
        <w:spacing w:line="380" w:lineRule="exact"/>
        <w:jc w:val="both"/>
        <w:rPr>
          <w:rFonts w:asciiTheme="minorEastAsia" w:hAnsiTheme="minorEastAsia" w:eastAsiaTheme="minorEastAsia"/>
          <w:color w:val="000000" w:themeColor="text1"/>
          <w:sz w:val="24"/>
          <w:szCs w:val="24"/>
          <w:highlight w:val="none"/>
          <w14:textFill>
            <w14:solidFill>
              <w14:schemeClr w14:val="tx1"/>
            </w14:solidFill>
          </w14:textFill>
        </w:rPr>
      </w:pPr>
      <w:bookmarkStart w:id="199" w:name="_Toc136345132"/>
      <w:bookmarkStart w:id="200" w:name="_Toc136017671"/>
      <w:bookmarkStart w:id="201" w:name="_Toc23333"/>
      <w:r>
        <w:rPr>
          <w:rFonts w:hint="eastAsia" w:asciiTheme="minorEastAsia" w:hAnsiTheme="minorEastAsia" w:eastAsiaTheme="minorEastAsia"/>
          <w:color w:val="000000" w:themeColor="text1"/>
          <w:sz w:val="24"/>
          <w:szCs w:val="24"/>
          <w:highlight w:val="none"/>
          <w14:textFill>
            <w14:solidFill>
              <w14:schemeClr w14:val="tx1"/>
            </w14:solidFill>
          </w14:textFill>
        </w:rPr>
        <w:t>附件2              残疾人福利性单位声明函（如有需提供）</w:t>
      </w:r>
      <w:bookmarkEnd w:id="199"/>
      <w:bookmarkEnd w:id="200"/>
      <w:bookmarkEnd w:id="201"/>
    </w:p>
    <w:p w14:paraId="31BB7EB8">
      <w:pPr>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p>
    <w:p w14:paraId="1B648DA8">
      <w:pPr>
        <w:spacing w:line="588" w:lineRule="exact"/>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0D1CD81">
      <w:pPr>
        <w:spacing w:line="588" w:lineRule="exact"/>
        <w:ind w:firstLine="42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本单位对上述声明的真实性负责。如有虚假，将依法承担相应责任。</w:t>
      </w:r>
    </w:p>
    <w:p w14:paraId="4342B110">
      <w:pPr>
        <w:tabs>
          <w:tab w:val="left" w:pos="4860"/>
        </w:tabs>
        <w:spacing w:line="588" w:lineRule="exact"/>
        <w:ind w:right="1560" w:firstLine="420" w:firstLineChars="200"/>
        <w:jc w:val="center"/>
        <w:rPr>
          <w:rFonts w:asciiTheme="minorEastAsia" w:hAnsiTheme="minorEastAsia" w:eastAsiaTheme="minorEastAsia"/>
          <w:color w:val="000000" w:themeColor="text1"/>
          <w:szCs w:val="21"/>
          <w:highlight w:val="none"/>
          <w14:textFill>
            <w14:solidFill>
              <w14:schemeClr w14:val="tx1"/>
            </w14:solidFill>
          </w14:textFill>
        </w:rPr>
      </w:pPr>
    </w:p>
    <w:p w14:paraId="2522C453">
      <w:pPr>
        <w:tabs>
          <w:tab w:val="left" w:pos="4860"/>
        </w:tabs>
        <w:spacing w:line="588" w:lineRule="exact"/>
        <w:ind w:right="1560" w:firstLine="420" w:firstLineChars="200"/>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 xml:space="preserve">               单位名称（公章）：</w:t>
      </w:r>
    </w:p>
    <w:p w14:paraId="5CA22D92">
      <w:pPr>
        <w:spacing w:line="380" w:lineRule="exac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 xml:space="preserve">                                   日  期：</w:t>
      </w:r>
    </w:p>
    <w:p w14:paraId="5623A012">
      <w:pPr>
        <w:spacing w:line="400" w:lineRule="exact"/>
        <w:ind w:firstLine="422" w:firstLineChars="200"/>
        <w:rPr>
          <w:rFonts w:asciiTheme="minorEastAsia" w:hAnsiTheme="minorEastAsia" w:eastAsiaTheme="minorEastAsia"/>
          <w:b/>
          <w:color w:val="000000" w:themeColor="text1"/>
          <w:szCs w:val="21"/>
          <w:highlight w:val="none"/>
          <w14:textFill>
            <w14:solidFill>
              <w14:schemeClr w14:val="tx1"/>
            </w14:solidFill>
          </w14:textFill>
        </w:rPr>
      </w:pPr>
    </w:p>
    <w:p w14:paraId="6424C81D">
      <w:pPr>
        <w:spacing w:line="400" w:lineRule="exact"/>
        <w:ind w:firstLine="422" w:firstLineChars="200"/>
        <w:rPr>
          <w:rFonts w:asciiTheme="minorEastAsia" w:hAnsiTheme="minorEastAsia" w:eastAsia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b/>
          <w:color w:val="000000" w:themeColor="text1"/>
          <w:szCs w:val="21"/>
          <w:highlight w:val="none"/>
          <w14:textFill>
            <w14:solidFill>
              <w14:schemeClr w14:val="tx1"/>
            </w14:solidFill>
          </w14:textFill>
        </w:rPr>
        <w:t>注：</w:t>
      </w:r>
    </w:p>
    <w:p w14:paraId="3C69C3B2">
      <w:pPr>
        <w:spacing w:line="400" w:lineRule="exact"/>
        <w:ind w:firstLine="422" w:firstLineChars="200"/>
        <w:rPr>
          <w:rFonts w:asciiTheme="minorEastAsia" w:hAnsiTheme="minorEastAsia" w:eastAsia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b/>
          <w:color w:val="000000" w:themeColor="text1"/>
          <w:szCs w:val="21"/>
          <w:highlight w:val="none"/>
          <w14:textFill>
            <w14:solidFill>
              <w14:schemeClr w14:val="tx1"/>
            </w14:solidFill>
          </w14:textFill>
        </w:rPr>
        <w:t>享受政府采购支持政策的残疾人福利性单位应当同时满足以下条件：</w:t>
      </w:r>
    </w:p>
    <w:p w14:paraId="40D2A5DA">
      <w:pPr>
        <w:spacing w:line="400" w:lineRule="exact"/>
        <w:ind w:firstLine="422" w:firstLineChars="200"/>
        <w:rPr>
          <w:rFonts w:asciiTheme="minorEastAsia" w:hAnsiTheme="minorEastAsia" w:eastAsia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b/>
          <w:color w:val="000000" w:themeColor="text1"/>
          <w:szCs w:val="21"/>
          <w:highlight w:val="none"/>
          <w14:textFill>
            <w14:solidFill>
              <w14:schemeClr w14:val="tx1"/>
            </w14:solidFill>
          </w14:textFill>
        </w:rPr>
        <w:t>（一）安置的残疾人占本单位在职职工人数的比例不低于</w:t>
      </w:r>
      <w:r>
        <w:rPr>
          <w:rFonts w:asciiTheme="minorEastAsia" w:hAnsiTheme="minorEastAsia" w:eastAsiaTheme="minorEastAsia"/>
          <w:b/>
          <w:color w:val="000000" w:themeColor="text1"/>
          <w:szCs w:val="21"/>
          <w:highlight w:val="none"/>
          <w14:textFill>
            <w14:solidFill>
              <w14:schemeClr w14:val="tx1"/>
            </w14:solidFill>
          </w14:textFill>
        </w:rPr>
        <w:t>25%</w:t>
      </w:r>
      <w:r>
        <w:rPr>
          <w:rFonts w:hint="eastAsia" w:asciiTheme="minorEastAsia" w:hAnsiTheme="minorEastAsia" w:eastAsiaTheme="minorEastAsia"/>
          <w:b/>
          <w:color w:val="000000" w:themeColor="text1"/>
          <w:szCs w:val="21"/>
          <w:highlight w:val="none"/>
          <w14:textFill>
            <w14:solidFill>
              <w14:schemeClr w14:val="tx1"/>
            </w14:solidFill>
          </w14:textFill>
        </w:rPr>
        <w:t>（含</w:t>
      </w:r>
      <w:r>
        <w:rPr>
          <w:rFonts w:asciiTheme="minorEastAsia" w:hAnsiTheme="minorEastAsia" w:eastAsiaTheme="minorEastAsia"/>
          <w:b/>
          <w:color w:val="000000" w:themeColor="text1"/>
          <w:szCs w:val="21"/>
          <w:highlight w:val="none"/>
          <w14:textFill>
            <w14:solidFill>
              <w14:schemeClr w14:val="tx1"/>
            </w14:solidFill>
          </w14:textFill>
        </w:rPr>
        <w:t>25%</w:t>
      </w:r>
      <w:r>
        <w:rPr>
          <w:rFonts w:hint="eastAsia" w:asciiTheme="minorEastAsia" w:hAnsiTheme="minorEastAsia" w:eastAsiaTheme="minorEastAsia"/>
          <w:b/>
          <w:color w:val="000000" w:themeColor="text1"/>
          <w:szCs w:val="21"/>
          <w:highlight w:val="none"/>
          <w14:textFill>
            <w14:solidFill>
              <w14:schemeClr w14:val="tx1"/>
            </w14:solidFill>
          </w14:textFill>
        </w:rPr>
        <w:t>），并且安置的残疾人人数不少于</w:t>
      </w:r>
      <w:r>
        <w:rPr>
          <w:rFonts w:asciiTheme="minorEastAsia" w:hAnsiTheme="minorEastAsia" w:eastAsiaTheme="minorEastAsia"/>
          <w:b/>
          <w:color w:val="000000" w:themeColor="text1"/>
          <w:szCs w:val="21"/>
          <w:highlight w:val="none"/>
          <w14:textFill>
            <w14:solidFill>
              <w14:schemeClr w14:val="tx1"/>
            </w14:solidFill>
          </w14:textFill>
        </w:rPr>
        <w:t>10</w:t>
      </w:r>
      <w:r>
        <w:rPr>
          <w:rFonts w:hint="eastAsia" w:asciiTheme="minorEastAsia" w:hAnsiTheme="minorEastAsia" w:eastAsiaTheme="minorEastAsia"/>
          <w:b/>
          <w:color w:val="000000" w:themeColor="text1"/>
          <w:szCs w:val="21"/>
          <w:highlight w:val="none"/>
          <w14:textFill>
            <w14:solidFill>
              <w14:schemeClr w14:val="tx1"/>
            </w14:solidFill>
          </w14:textFill>
        </w:rPr>
        <w:t>人（含</w:t>
      </w:r>
      <w:r>
        <w:rPr>
          <w:rFonts w:asciiTheme="minorEastAsia" w:hAnsiTheme="minorEastAsia" w:eastAsiaTheme="minorEastAsia"/>
          <w:b/>
          <w:color w:val="000000" w:themeColor="text1"/>
          <w:szCs w:val="21"/>
          <w:highlight w:val="none"/>
          <w14:textFill>
            <w14:solidFill>
              <w14:schemeClr w14:val="tx1"/>
            </w14:solidFill>
          </w14:textFill>
        </w:rPr>
        <w:t>10</w:t>
      </w:r>
      <w:r>
        <w:rPr>
          <w:rFonts w:hint="eastAsia" w:asciiTheme="minorEastAsia" w:hAnsiTheme="minorEastAsia" w:eastAsiaTheme="minorEastAsia"/>
          <w:b/>
          <w:color w:val="000000" w:themeColor="text1"/>
          <w:szCs w:val="21"/>
          <w:highlight w:val="none"/>
          <w14:textFill>
            <w14:solidFill>
              <w14:schemeClr w14:val="tx1"/>
            </w14:solidFill>
          </w14:textFill>
        </w:rPr>
        <w:t>人）；</w:t>
      </w:r>
    </w:p>
    <w:p w14:paraId="46117307">
      <w:pPr>
        <w:spacing w:line="400" w:lineRule="exact"/>
        <w:ind w:firstLine="422" w:firstLineChars="200"/>
        <w:rPr>
          <w:rFonts w:asciiTheme="minorEastAsia" w:hAnsiTheme="minorEastAsia" w:eastAsia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b/>
          <w:color w:val="000000" w:themeColor="text1"/>
          <w:szCs w:val="21"/>
          <w:highlight w:val="none"/>
          <w14:textFill>
            <w14:solidFill>
              <w14:schemeClr w14:val="tx1"/>
            </w14:solidFill>
          </w14:textFill>
        </w:rPr>
        <w:t>（二）依法与安置的每位残疾人签订了一年以上（含一年）的劳动合同或服务协议；</w:t>
      </w:r>
    </w:p>
    <w:p w14:paraId="00337418">
      <w:pPr>
        <w:spacing w:line="400" w:lineRule="exact"/>
        <w:ind w:firstLine="422" w:firstLineChars="200"/>
        <w:rPr>
          <w:rFonts w:asciiTheme="minorEastAsia" w:hAnsiTheme="minorEastAsia" w:eastAsia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b/>
          <w:color w:val="000000" w:themeColor="text1"/>
          <w:szCs w:val="21"/>
          <w:highlight w:val="none"/>
          <w14:textFill>
            <w14:solidFill>
              <w14:schemeClr w14:val="tx1"/>
            </w14:solidFill>
          </w14:textFill>
        </w:rPr>
        <w:t>（三）为安置的每位残疾人按月足额缴纳了基本养老保险、基本医疗保险、失业保险、工伤保险和生育保险等社会保险费；</w:t>
      </w:r>
    </w:p>
    <w:p w14:paraId="2BF8F8C1">
      <w:pPr>
        <w:spacing w:line="400" w:lineRule="exact"/>
        <w:ind w:firstLine="422" w:firstLineChars="200"/>
        <w:rPr>
          <w:rFonts w:asciiTheme="minorEastAsia" w:hAnsiTheme="minorEastAsia" w:eastAsia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b/>
          <w:color w:val="000000" w:themeColor="text1"/>
          <w:szCs w:val="21"/>
          <w:highlight w:val="none"/>
          <w14:textFill>
            <w14:solidFill>
              <w14:schemeClr w14:val="tx1"/>
            </w14:solidFill>
          </w14:textFill>
        </w:rPr>
        <w:t>（四）通过银行等金融机构向安置的每位残疾人，按月支付了不低于单位所在区县适用的经省级人民政府批准的月最低工资标准的工资；</w:t>
      </w:r>
    </w:p>
    <w:p w14:paraId="23F4C99A">
      <w:pPr>
        <w:spacing w:line="400" w:lineRule="exact"/>
        <w:ind w:firstLine="422" w:firstLineChars="200"/>
        <w:rPr>
          <w:rFonts w:asciiTheme="minorEastAsia" w:hAnsiTheme="minorEastAsia" w:eastAsia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b/>
          <w:color w:val="000000" w:themeColor="text1"/>
          <w:szCs w:val="21"/>
          <w:highlight w:val="none"/>
          <w14:textFill>
            <w14:solidFill>
              <w14:schemeClr w14:val="tx1"/>
            </w14:solidFill>
          </w14:textFill>
        </w:rPr>
        <w:t>（五）提供本单位制造的货物、承担的工程或者服务（以下简称产品），或者提供其他残疾人福利性单位制造的货物（不包括使用非残疾人福利性单位注册商标的货物）。</w:t>
      </w:r>
    </w:p>
    <w:p w14:paraId="3F92E0E9">
      <w:pPr>
        <w:spacing w:line="380" w:lineRule="exact"/>
        <w:rPr>
          <w:rFonts w:asciiTheme="minorEastAsia" w:hAnsiTheme="minorEastAsia" w:eastAsiaTheme="minorEastAsia"/>
          <w:b/>
          <w:color w:val="000000" w:themeColor="text1"/>
          <w:sz w:val="24"/>
          <w:szCs w:val="24"/>
          <w:highlight w:val="none"/>
          <w14:textFill>
            <w14:solidFill>
              <w14:schemeClr w14:val="tx1"/>
            </w14:solidFill>
          </w14:textFill>
        </w:rPr>
      </w:pPr>
      <w:r>
        <w:rPr>
          <w:rFonts w:hint="eastAsia" w:asciiTheme="minorEastAsia" w:hAnsiTheme="minorEastAsia" w:eastAsiaTheme="minorEastAsia"/>
          <w:b/>
          <w:color w:val="000000" w:themeColor="text1"/>
          <w:szCs w:val="21"/>
          <w:highlight w:val="none"/>
          <w14:textFill>
            <w14:solidFill>
              <w14:schemeClr w14:val="tx1"/>
            </w14:solidFill>
          </w14:textFill>
        </w:rPr>
        <w:t>前款所称残疾人是指法定劳动年龄内，持有《中华人民共和国残疾人证》或者《中华人民共和国残疾军人证（</w:t>
      </w:r>
      <w:r>
        <w:rPr>
          <w:rFonts w:asciiTheme="minorEastAsia" w:hAnsiTheme="minorEastAsia" w:eastAsiaTheme="minorEastAsia"/>
          <w:b/>
          <w:color w:val="000000" w:themeColor="text1"/>
          <w:szCs w:val="21"/>
          <w:highlight w:val="none"/>
          <w14:textFill>
            <w14:solidFill>
              <w14:schemeClr w14:val="tx1"/>
            </w14:solidFill>
          </w14:textFill>
        </w:rPr>
        <w:t>1</w:t>
      </w:r>
      <w:r>
        <w:rPr>
          <w:rFonts w:hint="eastAsia" w:asciiTheme="minorEastAsia" w:hAnsiTheme="minorEastAsia" w:eastAsiaTheme="minorEastAsia"/>
          <w:b/>
          <w:color w:val="000000" w:themeColor="text1"/>
          <w:szCs w:val="21"/>
          <w:highlight w:val="none"/>
          <w14:textFill>
            <w14:solidFill>
              <w14:schemeClr w14:val="tx1"/>
            </w14:solidFill>
          </w14:textFill>
        </w:rPr>
        <w:t>至</w:t>
      </w:r>
      <w:r>
        <w:rPr>
          <w:rFonts w:asciiTheme="minorEastAsia" w:hAnsiTheme="minorEastAsia" w:eastAsiaTheme="minorEastAsia"/>
          <w:b/>
          <w:color w:val="000000" w:themeColor="text1"/>
          <w:szCs w:val="21"/>
          <w:highlight w:val="none"/>
          <w14:textFill>
            <w14:solidFill>
              <w14:schemeClr w14:val="tx1"/>
            </w14:solidFill>
          </w14:textFill>
        </w:rPr>
        <w:t>8</w:t>
      </w:r>
      <w:r>
        <w:rPr>
          <w:rFonts w:hint="eastAsia" w:asciiTheme="minorEastAsia" w:hAnsiTheme="minorEastAsia" w:eastAsiaTheme="minorEastAsia"/>
          <w:b/>
          <w:color w:val="000000" w:themeColor="text1"/>
          <w:szCs w:val="21"/>
          <w:highlight w:val="none"/>
          <w14:textFill>
            <w14:solidFill>
              <w14:schemeClr w14:val="tx1"/>
            </w14:solidFill>
          </w14:textFill>
        </w:rPr>
        <w:t>级）》的自然人，包括具有劳动条件和劳动意愿的精神残疾人。在职职工人数是指与残疾人福利性单位建立劳动关系并依法签订劳动合同或者服务协议的雇员人数。</w:t>
      </w:r>
    </w:p>
    <w:p w14:paraId="590AD549">
      <w:pPr>
        <w:pStyle w:val="2"/>
        <w:spacing w:line="380" w:lineRule="exact"/>
        <w:rPr>
          <w:rFonts w:asciiTheme="minorEastAsia" w:hAnsiTheme="minorEastAsia" w:eastAsiaTheme="minorEastAsia"/>
          <w:bCs w:val="0"/>
          <w:color w:val="000000" w:themeColor="text1"/>
          <w:sz w:val="24"/>
          <w:szCs w:val="24"/>
          <w:highlight w:val="none"/>
          <w14:textFill>
            <w14:solidFill>
              <w14:schemeClr w14:val="tx1"/>
            </w14:solidFill>
          </w14:textFill>
        </w:rPr>
      </w:pPr>
    </w:p>
    <w:p w14:paraId="63863163">
      <w:pPr>
        <w:widowControl/>
        <w:spacing w:line="360" w:lineRule="auto"/>
        <w:ind w:firstLine="420" w:firstLineChars="200"/>
        <w:jc w:val="left"/>
        <w:rPr>
          <w:rFonts w:cs="宋体" w:asciiTheme="minorEastAsia" w:hAnsiTheme="minorEastAsia" w:eastAsiaTheme="minorEastAsia"/>
          <w:color w:val="000000" w:themeColor="text1"/>
          <w:kern w:val="0"/>
          <w:szCs w:val="21"/>
          <w:highlight w:val="none"/>
          <w14:textFill>
            <w14:solidFill>
              <w14:schemeClr w14:val="tx1"/>
            </w14:solidFill>
          </w14:textFill>
        </w:rPr>
      </w:pPr>
    </w:p>
    <w:p w14:paraId="0A4A8C14">
      <w:pPr>
        <w:pStyle w:val="3"/>
        <w:spacing w:before="240" w:after="240"/>
        <w:rPr>
          <w:color w:val="000000" w:themeColor="text1"/>
          <w:highlight w:val="none"/>
          <w14:textFill>
            <w14:solidFill>
              <w14:schemeClr w14:val="tx1"/>
            </w14:solidFill>
          </w14:textFill>
        </w:rPr>
      </w:pPr>
    </w:p>
    <w:p w14:paraId="2FC08DFA">
      <w:pPr>
        <w:rPr>
          <w:color w:val="000000" w:themeColor="text1"/>
          <w:highlight w:val="none"/>
          <w14:textFill>
            <w14:solidFill>
              <w14:schemeClr w14:val="tx1"/>
            </w14:solidFill>
          </w14:textFill>
        </w:rPr>
      </w:pPr>
    </w:p>
    <w:p w14:paraId="2E673595">
      <w:pPr>
        <w:pStyle w:val="3"/>
        <w:spacing w:before="240" w:after="240"/>
        <w:rPr>
          <w:color w:val="000000" w:themeColor="text1"/>
          <w:highlight w:val="none"/>
          <w14:textFill>
            <w14:solidFill>
              <w14:schemeClr w14:val="tx1"/>
            </w14:solidFill>
          </w14:textFill>
        </w:rPr>
      </w:pPr>
    </w:p>
    <w:sectPr>
      <w:headerReference r:id="rId20" w:type="default"/>
      <w:pgSz w:w="11907" w:h="16840"/>
      <w:pgMar w:top="1304" w:right="1588" w:bottom="1418" w:left="1588" w:header="720" w:footer="720" w:gutter="0"/>
      <w:cols w:space="720"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Garamond">
    <w:panose1 w:val="02020404030301010803"/>
    <w:charset w:val="00"/>
    <w:family w:val="roman"/>
    <w:pitch w:val="default"/>
    <w:sig w:usb0="00000287" w:usb1="00000000" w:usb2="00000000" w:usb3="00000000" w:csb0="0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21A5B">
    <w:pPr>
      <w:pStyle w:val="2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8C677">
    <w:pPr>
      <w:pStyle w:val="24"/>
      <w:jc w:val="center"/>
    </w:pPr>
    <w:r>
      <w:fldChar w:fldCharType="begin"/>
    </w:r>
    <w:r>
      <w:instrText xml:space="preserve"> PAGE   \* MERGEFORMAT </w:instrText>
    </w:r>
    <w:r>
      <w:fldChar w:fldCharType="separate"/>
    </w:r>
    <w:r>
      <w:rPr>
        <w:lang w:val="zh-CN"/>
      </w:rPr>
      <w:t>9</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335842"/>
    </w:sdtPr>
    <w:sdtContent>
      <w:p w14:paraId="4C3D652A">
        <w:pPr>
          <w:pStyle w:val="24"/>
          <w:jc w:val="center"/>
        </w:pPr>
        <w:r>
          <w:fldChar w:fldCharType="begin"/>
        </w:r>
        <w:r>
          <w:instrText xml:space="preserve"> PAGE   \* MERGEFORMAT </w:instrText>
        </w:r>
        <w:r>
          <w:fldChar w:fldCharType="separate"/>
        </w:r>
        <w:r>
          <w:rPr>
            <w:lang w:val="zh-CN"/>
          </w:rPr>
          <w:t>32</w:t>
        </w:r>
        <w:r>
          <w:rPr>
            <w:lang w:val="zh-CN"/>
          </w:rPr>
          <w:fldChar w:fldCharType="end"/>
        </w:r>
      </w:p>
    </w:sdtContent>
  </w:sdt>
  <w:p w14:paraId="3C54E13A"/>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E997B">
    <w:pPr>
      <w:pStyle w:val="25"/>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59698">
    <w:pPr>
      <w:rPr>
        <w:u w:val="single"/>
      </w:rPr>
    </w:pPr>
    <w:r>
      <w:rPr>
        <w:rFonts w:hint="eastAsia"/>
        <w:u w:val="single"/>
      </w:rPr>
      <w:t>政府采购公开招标招标文件                                                 评分办法</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E59C4">
    <w:pPr>
      <w:rPr>
        <w:u w:val="single"/>
      </w:rPr>
    </w:pPr>
    <w:r>
      <w:rPr>
        <w:rFonts w:hint="eastAsia"/>
        <w:u w:val="single"/>
      </w:rPr>
      <w:t>政府采购公开招标招标文件                                                 合同格式</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4D0CB">
    <w:pPr>
      <w:rPr>
        <w:u w:val="single"/>
      </w:rPr>
    </w:pPr>
    <w:r>
      <w:rPr>
        <w:rFonts w:hint="eastAsia"/>
        <w:u w:val="single"/>
      </w:rPr>
      <w:t>政府采购公开招标招标文件                                               投标文件格式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62D80">
    <w:pPr>
      <w:pStyle w:val="25"/>
      <w:jc w:val="both"/>
      <w:rPr>
        <w:sz w:val="21"/>
        <w:szCs w:val="21"/>
      </w:rPr>
    </w:pPr>
    <w:r>
      <w:rPr>
        <w:rFonts w:hint="eastAsia"/>
        <w:sz w:val="21"/>
        <w:szCs w:val="21"/>
      </w:rPr>
      <w:t>政府采购公开招标招标文件                                               投标文件格式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9E719">
    <w:pPr>
      <w:rPr>
        <w:u w:val="single"/>
      </w:rPr>
    </w:pPr>
    <w:r>
      <w:rPr>
        <w:rFonts w:hint="eastAsia"/>
        <w:u w:val="single"/>
      </w:rPr>
      <w:t>政府采购公开招标招标文件                                                                                                   投标文件格式</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8F1D3">
    <w:pPr>
      <w:rPr>
        <w:u w:val="single"/>
      </w:rPr>
    </w:pPr>
    <w:r>
      <w:rPr>
        <w:rFonts w:hint="eastAsia"/>
        <w:u w:val="single"/>
      </w:rPr>
      <w:t>政府采购公开招标招标文件                                               投标文件格式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C42CF">
    <w:pPr>
      <w:pStyle w:val="2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59CCF">
    <w:pPr>
      <w:pStyle w:val="25"/>
      <w:jc w:val="both"/>
      <w:rPr>
        <w:sz w:val="21"/>
        <w:szCs w:val="21"/>
      </w:rPr>
    </w:pPr>
    <w:r>
      <w:rPr>
        <w:rFonts w:hint="eastAsia"/>
        <w:sz w:val="21"/>
        <w:szCs w:val="21"/>
      </w:rPr>
      <w:t>政府采购国内公开招标文件合同格式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B47DD">
    <w:pPr>
      <w:rPr>
        <w:u w:val="single"/>
      </w:rPr>
    </w:pPr>
    <w:r>
      <w:rPr>
        <w:rFonts w:hint="eastAsia"/>
        <w:u w:val="single"/>
      </w:rPr>
      <w:t>政府采购公开招标招标文件                                                 采购公告</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243C4">
    <w:pPr>
      <w:rPr>
        <w:rFonts w:hint="eastAsia" w:eastAsia="宋体"/>
        <w:u w:val="single"/>
        <w:lang w:eastAsia="zh-CN"/>
      </w:rPr>
    </w:pPr>
    <w:r>
      <w:rPr>
        <w:rFonts w:hint="eastAsia"/>
        <w:u w:val="single"/>
      </w:rPr>
      <w:t xml:space="preserve">政府采购公开招标招标文件                                           </w:t>
    </w:r>
    <w:r>
      <w:rPr>
        <w:rFonts w:hint="eastAsia"/>
        <w:u w:val="single"/>
        <w:lang w:val="en-US" w:eastAsia="zh-CN"/>
      </w:rPr>
      <w:t xml:space="preserve">招标项目需求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DE834">
    <w:pPr>
      <w:rPr>
        <w:u w:val="single"/>
      </w:rPr>
    </w:pPr>
    <w:r>
      <w:rPr>
        <w:rFonts w:hint="eastAsia"/>
        <w:u w:val="single"/>
      </w:rPr>
      <w:t>政府采购公开招标招标文件                                             招标项目需求</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8FD2F">
    <w:pPr>
      <w:rPr>
        <w:u w:val="single"/>
      </w:rPr>
    </w:pPr>
    <w:r>
      <w:rPr>
        <w:rFonts w:hint="eastAsia"/>
        <w:u w:val="single"/>
      </w:rPr>
      <w:t>政府采购公开招标招标文件                                               投标资料表</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0278B"/>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96150">
    <w:pPr>
      <w:rPr>
        <w:u w:val="single"/>
      </w:rPr>
    </w:pPr>
    <w:r>
      <w:rPr>
        <w:rFonts w:hint="eastAsia"/>
        <w:u w:val="single"/>
      </w:rPr>
      <w:t>政府采购公开招标招标文件                                               投标人须知</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5D118"/>
    <w:multiLevelType w:val="singleLevel"/>
    <w:tmpl w:val="D2A5D118"/>
    <w:lvl w:ilvl="0" w:tentative="0">
      <w:start w:val="2"/>
      <w:numFmt w:val="decimal"/>
      <w:suff w:val="nothing"/>
      <w:lvlText w:val="%1．"/>
      <w:lvlJc w:val="left"/>
    </w:lvl>
  </w:abstractNum>
  <w:abstractNum w:abstractNumId="1">
    <w:nsid w:val="DB02A339"/>
    <w:multiLevelType w:val="singleLevel"/>
    <w:tmpl w:val="DB02A339"/>
    <w:lvl w:ilvl="0" w:tentative="0">
      <w:start w:val="2"/>
      <w:numFmt w:val="decimal"/>
      <w:suff w:val="nothing"/>
      <w:lvlText w:val="（%1）"/>
      <w:lvlJc w:val="left"/>
    </w:lvl>
  </w:abstractNum>
  <w:abstractNum w:abstractNumId="2">
    <w:nsid w:val="0000000B"/>
    <w:multiLevelType w:val="singleLevel"/>
    <w:tmpl w:val="0000000B"/>
    <w:lvl w:ilvl="0" w:tentative="0">
      <w:start w:val="1"/>
      <w:numFmt w:val="upperLetter"/>
      <w:suff w:val="nothing"/>
      <w:lvlText w:val="%1、"/>
      <w:lvlJc w:val="left"/>
    </w:lvl>
  </w:abstractNum>
  <w:abstractNum w:abstractNumId="3">
    <w:nsid w:val="00000012"/>
    <w:multiLevelType w:val="singleLevel"/>
    <w:tmpl w:val="00000012"/>
    <w:lvl w:ilvl="0" w:tentative="0">
      <w:start w:val="1"/>
      <w:numFmt w:val="decimal"/>
      <w:suff w:val="nothing"/>
      <w:lvlText w:val="%1）"/>
      <w:lvlJc w:val="left"/>
      <w:pPr>
        <w:ind w:left="26" w:firstLine="400"/>
      </w:pPr>
      <w:rPr>
        <w:rFonts w:hint="default"/>
      </w:rPr>
    </w:lvl>
  </w:abstractNum>
  <w:abstractNum w:abstractNumId="4">
    <w:nsid w:val="00000015"/>
    <w:multiLevelType w:val="singleLevel"/>
    <w:tmpl w:val="00000015"/>
    <w:lvl w:ilvl="0" w:tentative="0">
      <w:start w:val="1"/>
      <w:numFmt w:val="decimal"/>
      <w:suff w:val="nothing"/>
      <w:lvlText w:val="%1、"/>
      <w:lvlJc w:val="left"/>
      <w:pPr>
        <w:ind w:left="26" w:firstLine="400"/>
      </w:pPr>
      <w:rPr>
        <w:rFonts w:hint="default"/>
      </w:rPr>
    </w:lvl>
  </w:abstractNum>
  <w:abstractNum w:abstractNumId="5">
    <w:nsid w:val="00000019"/>
    <w:multiLevelType w:val="singleLevel"/>
    <w:tmpl w:val="00000019"/>
    <w:lvl w:ilvl="0" w:tentative="0">
      <w:start w:val="1"/>
      <w:numFmt w:val="decimal"/>
      <w:suff w:val="nothing"/>
      <w:lvlText w:val="（%1）"/>
      <w:lvlJc w:val="left"/>
      <w:pPr>
        <w:ind w:left="0" w:firstLine="400"/>
      </w:pPr>
      <w:rPr>
        <w:rFonts w:hint="default"/>
      </w:rPr>
    </w:lvl>
  </w:abstractNum>
  <w:abstractNum w:abstractNumId="6">
    <w:nsid w:val="0000001F"/>
    <w:multiLevelType w:val="singleLevel"/>
    <w:tmpl w:val="0000001F"/>
    <w:lvl w:ilvl="0" w:tentative="0">
      <w:start w:val="1"/>
      <w:numFmt w:val="decimal"/>
      <w:suff w:val="nothing"/>
      <w:lvlText w:val="%1、"/>
      <w:lvlJc w:val="left"/>
      <w:pPr>
        <w:ind w:left="0" w:firstLine="400"/>
      </w:pPr>
      <w:rPr>
        <w:rFonts w:hint="default"/>
      </w:rPr>
    </w:lvl>
  </w:abstractNum>
  <w:abstractNum w:abstractNumId="7">
    <w:nsid w:val="00000020"/>
    <w:multiLevelType w:val="singleLevel"/>
    <w:tmpl w:val="00000020"/>
    <w:lvl w:ilvl="0" w:tentative="0">
      <w:start w:val="1"/>
      <w:numFmt w:val="chineseCounting"/>
      <w:suff w:val="nothing"/>
      <w:lvlText w:val="（%1）"/>
      <w:lvlJc w:val="left"/>
    </w:lvl>
  </w:abstractNum>
  <w:abstractNum w:abstractNumId="8">
    <w:nsid w:val="00000021"/>
    <w:multiLevelType w:val="singleLevel"/>
    <w:tmpl w:val="00000021"/>
    <w:lvl w:ilvl="0" w:tentative="0">
      <w:start w:val="1"/>
      <w:numFmt w:val="decimal"/>
      <w:suff w:val="nothing"/>
      <w:lvlText w:val="（%1）"/>
      <w:lvlJc w:val="left"/>
      <w:pPr>
        <w:ind w:left="0" w:firstLine="400"/>
      </w:pPr>
      <w:rPr>
        <w:rFonts w:hint="default"/>
      </w:rPr>
    </w:lvl>
  </w:abstractNum>
  <w:abstractNum w:abstractNumId="9">
    <w:nsid w:val="00000022"/>
    <w:multiLevelType w:val="multilevel"/>
    <w:tmpl w:val="00000022"/>
    <w:lvl w:ilvl="0" w:tentative="0">
      <w:start w:val="1"/>
      <w:numFmt w:val="decimal"/>
      <w:lvlText w:val="%1."/>
      <w:lvlJc w:val="left"/>
      <w:pPr>
        <w:tabs>
          <w:tab w:val="left" w:pos="1200"/>
        </w:tabs>
        <w:ind w:left="1200" w:hanging="360"/>
      </w:pPr>
    </w:lvl>
    <w:lvl w:ilvl="1" w:tentative="0">
      <w:start w:val="1"/>
      <w:numFmt w:val="decimal"/>
      <w:suff w:val="nothing"/>
      <w:lvlText w:val="%2. "/>
      <w:lvlJc w:val="left"/>
      <w:rPr>
        <w:rFonts w:hint="eastAsia"/>
        <w:b w:val="0"/>
        <w:i w:val="0"/>
        <w:sz w:val="24"/>
      </w:rPr>
    </w:lvl>
    <w:lvl w:ilvl="2" w:tentative="0">
      <w:start w:val="1"/>
      <w:numFmt w:val="none"/>
      <w:suff w:val="nothing"/>
      <w:lvlText w:val=""/>
      <w:lvlJc w:val="left"/>
      <w:rPr>
        <w:rFonts w:hint="eastAsia"/>
      </w:rPr>
    </w:lvl>
    <w:lvl w:ilvl="3" w:tentative="0">
      <w:start w:val="1"/>
      <w:numFmt w:val="none"/>
      <w:suff w:val="nothing"/>
      <w:lvlText w:val=""/>
      <w:lvlJc w:val="left"/>
      <w:rPr>
        <w:rFonts w:hint="eastAsia"/>
      </w:rPr>
    </w:lvl>
    <w:lvl w:ilvl="4" w:tentative="0">
      <w:start w:val="1"/>
      <w:numFmt w:val="none"/>
      <w:suff w:val="nothing"/>
      <w:lvlText w:val=""/>
      <w:lvlJc w:val="left"/>
      <w:rPr>
        <w:rFonts w:hint="eastAsia"/>
      </w:rPr>
    </w:lvl>
    <w:lvl w:ilvl="5" w:tentative="0">
      <w:start w:val="1"/>
      <w:numFmt w:val="none"/>
      <w:suff w:val="nothing"/>
      <w:lvlText w:val=""/>
      <w:lvlJc w:val="left"/>
      <w:rPr>
        <w:rFonts w:hint="eastAsia"/>
      </w:rPr>
    </w:lvl>
    <w:lvl w:ilvl="6" w:tentative="0">
      <w:start w:val="1"/>
      <w:numFmt w:val="none"/>
      <w:suff w:val="nothing"/>
      <w:lvlText w:val=""/>
      <w:lvlJc w:val="left"/>
      <w:rPr>
        <w:rFonts w:hint="eastAsia"/>
      </w:rPr>
    </w:lvl>
    <w:lvl w:ilvl="7" w:tentative="0">
      <w:start w:val="1"/>
      <w:numFmt w:val="none"/>
      <w:suff w:val="nothing"/>
      <w:lvlText w:val=""/>
      <w:lvlJc w:val="left"/>
      <w:rPr>
        <w:rFonts w:hint="eastAsia"/>
      </w:rPr>
    </w:lvl>
    <w:lvl w:ilvl="8" w:tentative="0">
      <w:start w:val="1"/>
      <w:numFmt w:val="none"/>
      <w:suff w:val="nothing"/>
      <w:lvlText w:val=""/>
      <w:lvlJc w:val="left"/>
      <w:rPr>
        <w:rFonts w:hint="eastAsia"/>
      </w:rPr>
    </w:lvl>
  </w:abstractNum>
  <w:abstractNum w:abstractNumId="10">
    <w:nsid w:val="00000023"/>
    <w:multiLevelType w:val="singleLevel"/>
    <w:tmpl w:val="00000023"/>
    <w:lvl w:ilvl="0" w:tentative="0">
      <w:start w:val="1"/>
      <w:numFmt w:val="decimal"/>
      <w:suff w:val="nothing"/>
      <w:lvlText w:val="%1）"/>
      <w:lvlJc w:val="left"/>
      <w:pPr>
        <w:ind w:left="0" w:firstLine="400"/>
      </w:pPr>
      <w:rPr>
        <w:rFonts w:hint="default"/>
        <w:color w:val="auto"/>
      </w:rPr>
    </w:lvl>
  </w:abstractNum>
  <w:abstractNum w:abstractNumId="11">
    <w:nsid w:val="0000002C"/>
    <w:multiLevelType w:val="singleLevel"/>
    <w:tmpl w:val="0000002C"/>
    <w:lvl w:ilvl="0" w:tentative="0">
      <w:start w:val="1"/>
      <w:numFmt w:val="decimal"/>
      <w:suff w:val="nothing"/>
      <w:lvlText w:val="%1）"/>
      <w:lvlJc w:val="left"/>
      <w:pPr>
        <w:ind w:left="0" w:firstLine="400"/>
      </w:pPr>
      <w:rPr>
        <w:rFonts w:hint="default"/>
      </w:rPr>
    </w:lvl>
  </w:abstractNum>
  <w:abstractNum w:abstractNumId="12">
    <w:nsid w:val="00000030"/>
    <w:multiLevelType w:val="singleLevel"/>
    <w:tmpl w:val="00000030"/>
    <w:lvl w:ilvl="0" w:tentative="0">
      <w:start w:val="1"/>
      <w:numFmt w:val="decimal"/>
      <w:suff w:val="nothing"/>
      <w:lvlText w:val="%1）"/>
      <w:lvlJc w:val="left"/>
      <w:pPr>
        <w:ind w:left="0" w:firstLine="400"/>
      </w:pPr>
      <w:rPr>
        <w:rFonts w:hint="default"/>
      </w:rPr>
    </w:lvl>
  </w:abstractNum>
  <w:abstractNum w:abstractNumId="13">
    <w:nsid w:val="0000003B"/>
    <w:multiLevelType w:val="singleLevel"/>
    <w:tmpl w:val="0000003B"/>
    <w:lvl w:ilvl="0" w:tentative="0">
      <w:start w:val="1"/>
      <w:numFmt w:val="lowerLetter"/>
      <w:lvlText w:val="%1."/>
      <w:lvlJc w:val="left"/>
      <w:pPr>
        <w:tabs>
          <w:tab w:val="left" w:pos="425"/>
        </w:tabs>
        <w:ind w:left="425" w:hanging="425"/>
      </w:pPr>
      <w:rPr>
        <w:rFonts w:hint="default"/>
      </w:rPr>
    </w:lvl>
  </w:abstractNum>
  <w:abstractNum w:abstractNumId="14">
    <w:nsid w:val="0000003C"/>
    <w:multiLevelType w:val="singleLevel"/>
    <w:tmpl w:val="0000003C"/>
    <w:lvl w:ilvl="0" w:tentative="0">
      <w:start w:val="1"/>
      <w:numFmt w:val="decimal"/>
      <w:suff w:val="nothing"/>
      <w:lvlText w:val="%1）"/>
      <w:lvlJc w:val="left"/>
      <w:pPr>
        <w:ind w:left="0" w:firstLine="400"/>
      </w:pPr>
      <w:rPr>
        <w:rFonts w:hint="default"/>
      </w:rPr>
    </w:lvl>
  </w:abstractNum>
  <w:abstractNum w:abstractNumId="15">
    <w:nsid w:val="00000042"/>
    <w:multiLevelType w:val="singleLevel"/>
    <w:tmpl w:val="00000042"/>
    <w:lvl w:ilvl="0" w:tentative="0">
      <w:start w:val="1"/>
      <w:numFmt w:val="decimal"/>
      <w:suff w:val="nothing"/>
      <w:lvlText w:val="（%1）"/>
      <w:lvlJc w:val="left"/>
      <w:pPr>
        <w:ind w:left="20" w:firstLine="400"/>
      </w:pPr>
      <w:rPr>
        <w:rFonts w:hint="default"/>
      </w:rPr>
    </w:lvl>
  </w:abstractNum>
  <w:abstractNum w:abstractNumId="16">
    <w:nsid w:val="00000043"/>
    <w:multiLevelType w:val="singleLevel"/>
    <w:tmpl w:val="00000043"/>
    <w:lvl w:ilvl="0" w:tentative="0">
      <w:start w:val="1"/>
      <w:numFmt w:val="decimal"/>
      <w:suff w:val="nothing"/>
      <w:lvlText w:val="%1）"/>
      <w:lvlJc w:val="left"/>
      <w:pPr>
        <w:ind w:left="0" w:firstLine="400"/>
      </w:pPr>
      <w:rPr>
        <w:rFonts w:hint="default"/>
        <w:sz w:val="20"/>
        <w:szCs w:val="20"/>
      </w:rPr>
    </w:lvl>
  </w:abstractNum>
  <w:abstractNum w:abstractNumId="17">
    <w:nsid w:val="0000005B"/>
    <w:multiLevelType w:val="singleLevel"/>
    <w:tmpl w:val="0000005B"/>
    <w:lvl w:ilvl="0" w:tentative="0">
      <w:start w:val="1"/>
      <w:numFmt w:val="lowerLetter"/>
      <w:lvlText w:val="%1."/>
      <w:lvlJc w:val="left"/>
      <w:pPr>
        <w:tabs>
          <w:tab w:val="left" w:pos="425"/>
        </w:tabs>
        <w:ind w:left="425" w:hanging="425"/>
      </w:pPr>
      <w:rPr>
        <w:rFonts w:hint="default"/>
      </w:rPr>
    </w:lvl>
  </w:abstractNum>
  <w:abstractNum w:abstractNumId="18">
    <w:nsid w:val="0000005C"/>
    <w:multiLevelType w:val="singleLevel"/>
    <w:tmpl w:val="0000005C"/>
    <w:lvl w:ilvl="0" w:tentative="0">
      <w:start w:val="1"/>
      <w:numFmt w:val="decimal"/>
      <w:suff w:val="nothing"/>
      <w:lvlText w:val="%1、"/>
      <w:lvlJc w:val="left"/>
      <w:pPr>
        <w:ind w:left="0" w:firstLine="400"/>
      </w:pPr>
      <w:rPr>
        <w:rFonts w:hint="default"/>
      </w:rPr>
    </w:lvl>
  </w:abstractNum>
  <w:abstractNum w:abstractNumId="19">
    <w:nsid w:val="0000005D"/>
    <w:multiLevelType w:val="singleLevel"/>
    <w:tmpl w:val="0000005D"/>
    <w:lvl w:ilvl="0" w:tentative="0">
      <w:start w:val="1"/>
      <w:numFmt w:val="decimal"/>
      <w:suff w:val="nothing"/>
      <w:lvlText w:val="%1）"/>
      <w:lvlJc w:val="left"/>
      <w:pPr>
        <w:ind w:left="0" w:firstLine="400"/>
      </w:pPr>
      <w:rPr>
        <w:rFonts w:hint="default"/>
      </w:rPr>
    </w:lvl>
  </w:abstractNum>
  <w:abstractNum w:abstractNumId="20">
    <w:nsid w:val="13305CFE"/>
    <w:multiLevelType w:val="multilevel"/>
    <w:tmpl w:val="13305CF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1B7528A5"/>
    <w:multiLevelType w:val="singleLevel"/>
    <w:tmpl w:val="1B7528A5"/>
    <w:lvl w:ilvl="0" w:tentative="0">
      <w:start w:val="1"/>
      <w:numFmt w:val="decimal"/>
      <w:lvlText w:val="%1."/>
      <w:lvlJc w:val="left"/>
      <w:pPr>
        <w:tabs>
          <w:tab w:val="left" w:pos="312"/>
        </w:tabs>
      </w:pPr>
    </w:lvl>
  </w:abstractNum>
  <w:abstractNum w:abstractNumId="22">
    <w:nsid w:val="20D32724"/>
    <w:multiLevelType w:val="singleLevel"/>
    <w:tmpl w:val="20D32724"/>
    <w:lvl w:ilvl="0" w:tentative="0">
      <w:start w:val="2"/>
      <w:numFmt w:val="decimal"/>
      <w:suff w:val="nothing"/>
      <w:lvlText w:val="%1）"/>
      <w:lvlJc w:val="left"/>
    </w:lvl>
  </w:abstractNum>
  <w:abstractNum w:abstractNumId="23">
    <w:nsid w:val="3B5F78C6"/>
    <w:multiLevelType w:val="multilevel"/>
    <w:tmpl w:val="3B5F78C6"/>
    <w:lvl w:ilvl="0" w:tentative="0">
      <w:start w:val="1"/>
      <w:numFmt w:val="decimal"/>
      <w:lvlText w:val="（%1）"/>
      <w:lvlJc w:val="left"/>
      <w:pPr>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653F87E5"/>
    <w:multiLevelType w:val="singleLevel"/>
    <w:tmpl w:val="653F87E5"/>
    <w:lvl w:ilvl="0" w:tentative="0">
      <w:start w:val="1"/>
      <w:numFmt w:val="decimal"/>
      <w:suff w:val="nothing"/>
      <w:lvlText w:val="%1、"/>
      <w:lvlJc w:val="left"/>
    </w:lvl>
  </w:abstractNum>
  <w:abstractNum w:abstractNumId="25">
    <w:nsid w:val="7A68BAFA"/>
    <w:multiLevelType w:val="singleLevel"/>
    <w:tmpl w:val="7A68BAFA"/>
    <w:lvl w:ilvl="0" w:tentative="0">
      <w:start w:val="1"/>
      <w:numFmt w:val="chineseCounting"/>
      <w:suff w:val="nothing"/>
      <w:lvlText w:val="%1、"/>
      <w:lvlJc w:val="left"/>
      <w:rPr>
        <w:rFonts w:hint="eastAsia"/>
      </w:rPr>
    </w:lvl>
  </w:abstractNum>
  <w:num w:numId="1">
    <w:abstractNumId w:val="6"/>
  </w:num>
  <w:num w:numId="2">
    <w:abstractNumId w:val="4"/>
  </w:num>
  <w:num w:numId="3">
    <w:abstractNumId w:val="2"/>
  </w:num>
  <w:num w:numId="4">
    <w:abstractNumId w:val="9"/>
  </w:num>
  <w:num w:numId="5">
    <w:abstractNumId w:val="15"/>
  </w:num>
  <w:num w:numId="6">
    <w:abstractNumId w:val="10"/>
  </w:num>
  <w:num w:numId="7">
    <w:abstractNumId w:val="11"/>
  </w:num>
  <w:num w:numId="8">
    <w:abstractNumId w:val="14"/>
  </w:num>
  <w:num w:numId="9">
    <w:abstractNumId w:val="12"/>
  </w:num>
  <w:num w:numId="10">
    <w:abstractNumId w:val="3"/>
  </w:num>
  <w:num w:numId="11">
    <w:abstractNumId w:val="13"/>
  </w:num>
  <w:num w:numId="12">
    <w:abstractNumId w:val="17"/>
  </w:num>
  <w:num w:numId="13">
    <w:abstractNumId w:val="19"/>
  </w:num>
  <w:num w:numId="14">
    <w:abstractNumId w:val="8"/>
  </w:num>
  <w:num w:numId="15">
    <w:abstractNumId w:val="5"/>
  </w:num>
  <w:num w:numId="16">
    <w:abstractNumId w:val="16"/>
  </w:num>
  <w:num w:numId="17">
    <w:abstractNumId w:val="18"/>
  </w:num>
  <w:num w:numId="18">
    <w:abstractNumId w:val="1"/>
  </w:num>
  <w:num w:numId="19">
    <w:abstractNumId w:val="22"/>
  </w:num>
  <w:num w:numId="20">
    <w:abstractNumId w:val="21"/>
  </w:num>
  <w:num w:numId="21">
    <w:abstractNumId w:val="7"/>
  </w:num>
  <w:num w:numId="22">
    <w:abstractNumId w:val="0"/>
  </w:num>
  <w:num w:numId="23">
    <w:abstractNumId w:val="25"/>
  </w:num>
  <w:num w:numId="24">
    <w:abstractNumId w:val="24"/>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4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iYzg4OGE1MTY2MzcwZTdiNzEzNzA3MzcxNjdmNGUifQ=="/>
  </w:docVars>
  <w:rsids>
    <w:rsidRoot w:val="00172A27"/>
    <w:rsid w:val="0000154C"/>
    <w:rsid w:val="000026B7"/>
    <w:rsid w:val="00002A2A"/>
    <w:rsid w:val="000033D9"/>
    <w:rsid w:val="000038FC"/>
    <w:rsid w:val="000059B7"/>
    <w:rsid w:val="0000638F"/>
    <w:rsid w:val="00006413"/>
    <w:rsid w:val="00006955"/>
    <w:rsid w:val="00007EB7"/>
    <w:rsid w:val="0001295F"/>
    <w:rsid w:val="00014CB0"/>
    <w:rsid w:val="00014F3E"/>
    <w:rsid w:val="0001514B"/>
    <w:rsid w:val="00015180"/>
    <w:rsid w:val="0001522C"/>
    <w:rsid w:val="0001578F"/>
    <w:rsid w:val="00016B63"/>
    <w:rsid w:val="00016FB3"/>
    <w:rsid w:val="000176A0"/>
    <w:rsid w:val="00020537"/>
    <w:rsid w:val="000207EE"/>
    <w:rsid w:val="00020F9A"/>
    <w:rsid w:val="00022DBD"/>
    <w:rsid w:val="0002342D"/>
    <w:rsid w:val="00023F09"/>
    <w:rsid w:val="0002496A"/>
    <w:rsid w:val="00024DDD"/>
    <w:rsid w:val="00025826"/>
    <w:rsid w:val="000261D4"/>
    <w:rsid w:val="000270E0"/>
    <w:rsid w:val="00027FD3"/>
    <w:rsid w:val="0003107C"/>
    <w:rsid w:val="0003280D"/>
    <w:rsid w:val="00032902"/>
    <w:rsid w:val="00032AB1"/>
    <w:rsid w:val="00033FCA"/>
    <w:rsid w:val="0003457C"/>
    <w:rsid w:val="000364B5"/>
    <w:rsid w:val="00037B77"/>
    <w:rsid w:val="000407DB"/>
    <w:rsid w:val="000435FF"/>
    <w:rsid w:val="00044026"/>
    <w:rsid w:val="00045BF5"/>
    <w:rsid w:val="0004663F"/>
    <w:rsid w:val="000516E1"/>
    <w:rsid w:val="00051830"/>
    <w:rsid w:val="000533FA"/>
    <w:rsid w:val="0005540C"/>
    <w:rsid w:val="00055E8C"/>
    <w:rsid w:val="00055EEA"/>
    <w:rsid w:val="00057A4B"/>
    <w:rsid w:val="00057C77"/>
    <w:rsid w:val="00060096"/>
    <w:rsid w:val="00061107"/>
    <w:rsid w:val="00062360"/>
    <w:rsid w:val="00062718"/>
    <w:rsid w:val="00062DAC"/>
    <w:rsid w:val="00063818"/>
    <w:rsid w:val="00063B83"/>
    <w:rsid w:val="00063DC0"/>
    <w:rsid w:val="000652EC"/>
    <w:rsid w:val="00066197"/>
    <w:rsid w:val="000667AC"/>
    <w:rsid w:val="000667E6"/>
    <w:rsid w:val="00067049"/>
    <w:rsid w:val="00067545"/>
    <w:rsid w:val="000678E6"/>
    <w:rsid w:val="00067BEE"/>
    <w:rsid w:val="00071A90"/>
    <w:rsid w:val="000729D5"/>
    <w:rsid w:val="00073E03"/>
    <w:rsid w:val="00080353"/>
    <w:rsid w:val="000806C0"/>
    <w:rsid w:val="00080713"/>
    <w:rsid w:val="000811E6"/>
    <w:rsid w:val="000818C4"/>
    <w:rsid w:val="0008191D"/>
    <w:rsid w:val="00082A4E"/>
    <w:rsid w:val="00082CDD"/>
    <w:rsid w:val="00083803"/>
    <w:rsid w:val="00083FC6"/>
    <w:rsid w:val="00084B92"/>
    <w:rsid w:val="00084EE6"/>
    <w:rsid w:val="00086FC5"/>
    <w:rsid w:val="00087328"/>
    <w:rsid w:val="00090A64"/>
    <w:rsid w:val="00090FAB"/>
    <w:rsid w:val="00091070"/>
    <w:rsid w:val="00091E8C"/>
    <w:rsid w:val="00093976"/>
    <w:rsid w:val="00094113"/>
    <w:rsid w:val="00094656"/>
    <w:rsid w:val="00094A54"/>
    <w:rsid w:val="00094AD7"/>
    <w:rsid w:val="00095780"/>
    <w:rsid w:val="00096B3E"/>
    <w:rsid w:val="000973AA"/>
    <w:rsid w:val="0009789A"/>
    <w:rsid w:val="00097D71"/>
    <w:rsid w:val="000A07DC"/>
    <w:rsid w:val="000A0861"/>
    <w:rsid w:val="000A0CAD"/>
    <w:rsid w:val="000A1C2F"/>
    <w:rsid w:val="000A386A"/>
    <w:rsid w:val="000A4F52"/>
    <w:rsid w:val="000A51AC"/>
    <w:rsid w:val="000A778E"/>
    <w:rsid w:val="000A7953"/>
    <w:rsid w:val="000B0372"/>
    <w:rsid w:val="000B20FA"/>
    <w:rsid w:val="000B2452"/>
    <w:rsid w:val="000B2CD2"/>
    <w:rsid w:val="000B37C5"/>
    <w:rsid w:val="000B380B"/>
    <w:rsid w:val="000B4340"/>
    <w:rsid w:val="000B6CB5"/>
    <w:rsid w:val="000C02D0"/>
    <w:rsid w:val="000C05C2"/>
    <w:rsid w:val="000C189C"/>
    <w:rsid w:val="000C213B"/>
    <w:rsid w:val="000C3E90"/>
    <w:rsid w:val="000C5CF1"/>
    <w:rsid w:val="000C5D8A"/>
    <w:rsid w:val="000C6B2B"/>
    <w:rsid w:val="000C7390"/>
    <w:rsid w:val="000D1E32"/>
    <w:rsid w:val="000D1F67"/>
    <w:rsid w:val="000D3D09"/>
    <w:rsid w:val="000D4C59"/>
    <w:rsid w:val="000D54FF"/>
    <w:rsid w:val="000D62AB"/>
    <w:rsid w:val="000D68F1"/>
    <w:rsid w:val="000D6D10"/>
    <w:rsid w:val="000D7878"/>
    <w:rsid w:val="000E0C2E"/>
    <w:rsid w:val="000E0D05"/>
    <w:rsid w:val="000E0D25"/>
    <w:rsid w:val="000E1023"/>
    <w:rsid w:val="000E1097"/>
    <w:rsid w:val="000E269D"/>
    <w:rsid w:val="000E449E"/>
    <w:rsid w:val="000E5C6B"/>
    <w:rsid w:val="000E6C56"/>
    <w:rsid w:val="000E7057"/>
    <w:rsid w:val="000E77A1"/>
    <w:rsid w:val="000F0DA1"/>
    <w:rsid w:val="000F0F6F"/>
    <w:rsid w:val="000F16E8"/>
    <w:rsid w:val="000F1B10"/>
    <w:rsid w:val="000F4C08"/>
    <w:rsid w:val="000F4F74"/>
    <w:rsid w:val="000F5518"/>
    <w:rsid w:val="000F57BD"/>
    <w:rsid w:val="000F5E42"/>
    <w:rsid w:val="000F5E86"/>
    <w:rsid w:val="000F721F"/>
    <w:rsid w:val="000F78A0"/>
    <w:rsid w:val="000F798A"/>
    <w:rsid w:val="0010043B"/>
    <w:rsid w:val="0010075F"/>
    <w:rsid w:val="00100AEF"/>
    <w:rsid w:val="00100B95"/>
    <w:rsid w:val="00100F5A"/>
    <w:rsid w:val="00101B47"/>
    <w:rsid w:val="00102E82"/>
    <w:rsid w:val="00103906"/>
    <w:rsid w:val="00103FA5"/>
    <w:rsid w:val="00104008"/>
    <w:rsid w:val="001046A8"/>
    <w:rsid w:val="00106ABC"/>
    <w:rsid w:val="001101A3"/>
    <w:rsid w:val="001103BB"/>
    <w:rsid w:val="001108A8"/>
    <w:rsid w:val="00110AF2"/>
    <w:rsid w:val="001125BE"/>
    <w:rsid w:val="0011290C"/>
    <w:rsid w:val="00115B8D"/>
    <w:rsid w:val="001163EC"/>
    <w:rsid w:val="00116F3B"/>
    <w:rsid w:val="00117216"/>
    <w:rsid w:val="00117F87"/>
    <w:rsid w:val="0012010C"/>
    <w:rsid w:val="0012185F"/>
    <w:rsid w:val="00122ACB"/>
    <w:rsid w:val="00124605"/>
    <w:rsid w:val="001247A2"/>
    <w:rsid w:val="00124963"/>
    <w:rsid w:val="00124B80"/>
    <w:rsid w:val="001254F0"/>
    <w:rsid w:val="0012584B"/>
    <w:rsid w:val="001258B9"/>
    <w:rsid w:val="0012645C"/>
    <w:rsid w:val="001265C7"/>
    <w:rsid w:val="001268AC"/>
    <w:rsid w:val="001279F2"/>
    <w:rsid w:val="001316A9"/>
    <w:rsid w:val="001325A7"/>
    <w:rsid w:val="00133163"/>
    <w:rsid w:val="001331FC"/>
    <w:rsid w:val="00133D9E"/>
    <w:rsid w:val="0013425B"/>
    <w:rsid w:val="00137625"/>
    <w:rsid w:val="001378ED"/>
    <w:rsid w:val="00141804"/>
    <w:rsid w:val="00141D2C"/>
    <w:rsid w:val="00141FDD"/>
    <w:rsid w:val="00143B92"/>
    <w:rsid w:val="0014483F"/>
    <w:rsid w:val="00145BE2"/>
    <w:rsid w:val="00146872"/>
    <w:rsid w:val="001469BF"/>
    <w:rsid w:val="00147025"/>
    <w:rsid w:val="00147092"/>
    <w:rsid w:val="001474E7"/>
    <w:rsid w:val="0014750F"/>
    <w:rsid w:val="001505D7"/>
    <w:rsid w:val="001510C0"/>
    <w:rsid w:val="0015204A"/>
    <w:rsid w:val="00152DC9"/>
    <w:rsid w:val="00152DDA"/>
    <w:rsid w:val="00153030"/>
    <w:rsid w:val="00154BF5"/>
    <w:rsid w:val="001564EF"/>
    <w:rsid w:val="001564F6"/>
    <w:rsid w:val="00157A8C"/>
    <w:rsid w:val="001602DE"/>
    <w:rsid w:val="001604EA"/>
    <w:rsid w:val="0016172B"/>
    <w:rsid w:val="00162DD6"/>
    <w:rsid w:val="00163340"/>
    <w:rsid w:val="00163690"/>
    <w:rsid w:val="001654A4"/>
    <w:rsid w:val="00166232"/>
    <w:rsid w:val="0016634C"/>
    <w:rsid w:val="00166686"/>
    <w:rsid w:val="0016706C"/>
    <w:rsid w:val="00170473"/>
    <w:rsid w:val="00170D8C"/>
    <w:rsid w:val="00172A27"/>
    <w:rsid w:val="001734C2"/>
    <w:rsid w:val="001755E5"/>
    <w:rsid w:val="00175773"/>
    <w:rsid w:val="00175F86"/>
    <w:rsid w:val="0017650C"/>
    <w:rsid w:val="001765A8"/>
    <w:rsid w:val="001777A0"/>
    <w:rsid w:val="00177910"/>
    <w:rsid w:val="001816EF"/>
    <w:rsid w:val="00182175"/>
    <w:rsid w:val="00183609"/>
    <w:rsid w:val="00184098"/>
    <w:rsid w:val="00184E49"/>
    <w:rsid w:val="0018740C"/>
    <w:rsid w:val="00187887"/>
    <w:rsid w:val="0019037E"/>
    <w:rsid w:val="001905A5"/>
    <w:rsid w:val="00190CE6"/>
    <w:rsid w:val="00191D5E"/>
    <w:rsid w:val="0019302F"/>
    <w:rsid w:val="00194A4F"/>
    <w:rsid w:val="00194E39"/>
    <w:rsid w:val="001955A9"/>
    <w:rsid w:val="001974DD"/>
    <w:rsid w:val="00197899"/>
    <w:rsid w:val="00197F50"/>
    <w:rsid w:val="001A03A1"/>
    <w:rsid w:val="001A0629"/>
    <w:rsid w:val="001A06CA"/>
    <w:rsid w:val="001A2470"/>
    <w:rsid w:val="001A45CC"/>
    <w:rsid w:val="001A542C"/>
    <w:rsid w:val="001A555F"/>
    <w:rsid w:val="001A5A06"/>
    <w:rsid w:val="001A6059"/>
    <w:rsid w:val="001A7040"/>
    <w:rsid w:val="001B049D"/>
    <w:rsid w:val="001B3F78"/>
    <w:rsid w:val="001B46E4"/>
    <w:rsid w:val="001B55CF"/>
    <w:rsid w:val="001B5801"/>
    <w:rsid w:val="001B60F7"/>
    <w:rsid w:val="001B7060"/>
    <w:rsid w:val="001B7D86"/>
    <w:rsid w:val="001C0D22"/>
    <w:rsid w:val="001C0EF7"/>
    <w:rsid w:val="001C1099"/>
    <w:rsid w:val="001C1A4F"/>
    <w:rsid w:val="001C22FD"/>
    <w:rsid w:val="001C23EA"/>
    <w:rsid w:val="001C2A36"/>
    <w:rsid w:val="001C3540"/>
    <w:rsid w:val="001C4873"/>
    <w:rsid w:val="001C67DF"/>
    <w:rsid w:val="001C7961"/>
    <w:rsid w:val="001D1258"/>
    <w:rsid w:val="001D27B2"/>
    <w:rsid w:val="001D36A1"/>
    <w:rsid w:val="001D480F"/>
    <w:rsid w:val="001D4BC0"/>
    <w:rsid w:val="001D52CE"/>
    <w:rsid w:val="001D5805"/>
    <w:rsid w:val="001D6C14"/>
    <w:rsid w:val="001D7611"/>
    <w:rsid w:val="001E0C96"/>
    <w:rsid w:val="001E0EB6"/>
    <w:rsid w:val="001E1641"/>
    <w:rsid w:val="001E308D"/>
    <w:rsid w:val="001E315A"/>
    <w:rsid w:val="001E3FCB"/>
    <w:rsid w:val="001E4CDD"/>
    <w:rsid w:val="001E58AC"/>
    <w:rsid w:val="001E6BCE"/>
    <w:rsid w:val="001E79D9"/>
    <w:rsid w:val="001F0DF0"/>
    <w:rsid w:val="001F1B15"/>
    <w:rsid w:val="001F1DCF"/>
    <w:rsid w:val="001F1EA7"/>
    <w:rsid w:val="001F1F79"/>
    <w:rsid w:val="001F2107"/>
    <w:rsid w:val="001F284E"/>
    <w:rsid w:val="001F2D3D"/>
    <w:rsid w:val="001F68E9"/>
    <w:rsid w:val="001F74FF"/>
    <w:rsid w:val="002030EE"/>
    <w:rsid w:val="00203783"/>
    <w:rsid w:val="002039E0"/>
    <w:rsid w:val="002043F2"/>
    <w:rsid w:val="00204B2F"/>
    <w:rsid w:val="0020535A"/>
    <w:rsid w:val="00206DB5"/>
    <w:rsid w:val="00206FF9"/>
    <w:rsid w:val="002071F2"/>
    <w:rsid w:val="0021030F"/>
    <w:rsid w:val="00210DD3"/>
    <w:rsid w:val="0021177F"/>
    <w:rsid w:val="00211C78"/>
    <w:rsid w:val="00213338"/>
    <w:rsid w:val="00213575"/>
    <w:rsid w:val="00213C57"/>
    <w:rsid w:val="00213D92"/>
    <w:rsid w:val="00214478"/>
    <w:rsid w:val="002147D6"/>
    <w:rsid w:val="00214BE7"/>
    <w:rsid w:val="002154C8"/>
    <w:rsid w:val="002166F2"/>
    <w:rsid w:val="00216A4A"/>
    <w:rsid w:val="002205D0"/>
    <w:rsid w:val="00220A5A"/>
    <w:rsid w:val="0022197F"/>
    <w:rsid w:val="00222021"/>
    <w:rsid w:val="00222445"/>
    <w:rsid w:val="00222A2D"/>
    <w:rsid w:val="00222D78"/>
    <w:rsid w:val="002243C9"/>
    <w:rsid w:val="00224D60"/>
    <w:rsid w:val="00224E40"/>
    <w:rsid w:val="00225102"/>
    <w:rsid w:val="00226C2C"/>
    <w:rsid w:val="002300D9"/>
    <w:rsid w:val="002301D6"/>
    <w:rsid w:val="002308FF"/>
    <w:rsid w:val="00230926"/>
    <w:rsid w:val="002309AD"/>
    <w:rsid w:val="00231355"/>
    <w:rsid w:val="002315E6"/>
    <w:rsid w:val="00231D2D"/>
    <w:rsid w:val="00233C76"/>
    <w:rsid w:val="0023455E"/>
    <w:rsid w:val="00234C1F"/>
    <w:rsid w:val="002365C9"/>
    <w:rsid w:val="00236613"/>
    <w:rsid w:val="00241EFB"/>
    <w:rsid w:val="00241FFA"/>
    <w:rsid w:val="002429A8"/>
    <w:rsid w:val="002446D4"/>
    <w:rsid w:val="002452A0"/>
    <w:rsid w:val="0024622B"/>
    <w:rsid w:val="002473A8"/>
    <w:rsid w:val="00247AC1"/>
    <w:rsid w:val="00250076"/>
    <w:rsid w:val="00250248"/>
    <w:rsid w:val="00250D24"/>
    <w:rsid w:val="00251456"/>
    <w:rsid w:val="0025338C"/>
    <w:rsid w:val="00253C90"/>
    <w:rsid w:val="00254A09"/>
    <w:rsid w:val="00254BD5"/>
    <w:rsid w:val="00254C5D"/>
    <w:rsid w:val="002565D0"/>
    <w:rsid w:val="00257C4D"/>
    <w:rsid w:val="00260ED7"/>
    <w:rsid w:val="00261512"/>
    <w:rsid w:val="00261B83"/>
    <w:rsid w:val="00262066"/>
    <w:rsid w:val="002628EE"/>
    <w:rsid w:val="002645ED"/>
    <w:rsid w:val="00265B3A"/>
    <w:rsid w:val="00266D88"/>
    <w:rsid w:val="00267454"/>
    <w:rsid w:val="00267A9A"/>
    <w:rsid w:val="002705C7"/>
    <w:rsid w:val="002715DF"/>
    <w:rsid w:val="002731CA"/>
    <w:rsid w:val="002747F2"/>
    <w:rsid w:val="00274FD3"/>
    <w:rsid w:val="002758DB"/>
    <w:rsid w:val="00276348"/>
    <w:rsid w:val="00276EC2"/>
    <w:rsid w:val="002771BE"/>
    <w:rsid w:val="00277A6F"/>
    <w:rsid w:val="00280A32"/>
    <w:rsid w:val="002813D9"/>
    <w:rsid w:val="00282ACA"/>
    <w:rsid w:val="00282CDE"/>
    <w:rsid w:val="00283328"/>
    <w:rsid w:val="00283964"/>
    <w:rsid w:val="00287021"/>
    <w:rsid w:val="002871A8"/>
    <w:rsid w:val="00287ED8"/>
    <w:rsid w:val="002911DC"/>
    <w:rsid w:val="00292929"/>
    <w:rsid w:val="0029294B"/>
    <w:rsid w:val="00294ED9"/>
    <w:rsid w:val="00297EA6"/>
    <w:rsid w:val="002A0466"/>
    <w:rsid w:val="002A0558"/>
    <w:rsid w:val="002A05CD"/>
    <w:rsid w:val="002A18C2"/>
    <w:rsid w:val="002A214D"/>
    <w:rsid w:val="002A2D23"/>
    <w:rsid w:val="002A31F5"/>
    <w:rsid w:val="002A36CE"/>
    <w:rsid w:val="002A450E"/>
    <w:rsid w:val="002A4578"/>
    <w:rsid w:val="002A47C9"/>
    <w:rsid w:val="002A55B9"/>
    <w:rsid w:val="002A5DA9"/>
    <w:rsid w:val="002A6321"/>
    <w:rsid w:val="002A66B4"/>
    <w:rsid w:val="002A6F0E"/>
    <w:rsid w:val="002A7332"/>
    <w:rsid w:val="002A73E0"/>
    <w:rsid w:val="002B0F0C"/>
    <w:rsid w:val="002B1C78"/>
    <w:rsid w:val="002B218C"/>
    <w:rsid w:val="002B2698"/>
    <w:rsid w:val="002B28C1"/>
    <w:rsid w:val="002B2FB6"/>
    <w:rsid w:val="002B3848"/>
    <w:rsid w:val="002B4B77"/>
    <w:rsid w:val="002B4F37"/>
    <w:rsid w:val="002B517A"/>
    <w:rsid w:val="002B5E02"/>
    <w:rsid w:val="002C0018"/>
    <w:rsid w:val="002C1206"/>
    <w:rsid w:val="002C16C5"/>
    <w:rsid w:val="002C1717"/>
    <w:rsid w:val="002C1851"/>
    <w:rsid w:val="002C27E6"/>
    <w:rsid w:val="002C518E"/>
    <w:rsid w:val="002C5920"/>
    <w:rsid w:val="002C5A3D"/>
    <w:rsid w:val="002C6A74"/>
    <w:rsid w:val="002C739C"/>
    <w:rsid w:val="002C7668"/>
    <w:rsid w:val="002D03D9"/>
    <w:rsid w:val="002D06AA"/>
    <w:rsid w:val="002D0CEB"/>
    <w:rsid w:val="002D19ED"/>
    <w:rsid w:val="002D2085"/>
    <w:rsid w:val="002D2837"/>
    <w:rsid w:val="002D3715"/>
    <w:rsid w:val="002D4C2E"/>
    <w:rsid w:val="002D62E5"/>
    <w:rsid w:val="002D6702"/>
    <w:rsid w:val="002E0449"/>
    <w:rsid w:val="002E0762"/>
    <w:rsid w:val="002E0FBD"/>
    <w:rsid w:val="002E1172"/>
    <w:rsid w:val="002E1369"/>
    <w:rsid w:val="002E18E4"/>
    <w:rsid w:val="002E2392"/>
    <w:rsid w:val="002E3956"/>
    <w:rsid w:val="002E3C3A"/>
    <w:rsid w:val="002E61E8"/>
    <w:rsid w:val="002E6EFD"/>
    <w:rsid w:val="002E791C"/>
    <w:rsid w:val="002F0D78"/>
    <w:rsid w:val="002F142F"/>
    <w:rsid w:val="002F1744"/>
    <w:rsid w:val="002F2DCB"/>
    <w:rsid w:val="002F45E3"/>
    <w:rsid w:val="002F4ED2"/>
    <w:rsid w:val="002F58D8"/>
    <w:rsid w:val="002F5BBE"/>
    <w:rsid w:val="002F61A9"/>
    <w:rsid w:val="002F6B39"/>
    <w:rsid w:val="0030035F"/>
    <w:rsid w:val="003029E0"/>
    <w:rsid w:val="00302FEE"/>
    <w:rsid w:val="00303D51"/>
    <w:rsid w:val="00303F1F"/>
    <w:rsid w:val="00304904"/>
    <w:rsid w:val="003056BD"/>
    <w:rsid w:val="003064A2"/>
    <w:rsid w:val="00306613"/>
    <w:rsid w:val="00307048"/>
    <w:rsid w:val="00307A9E"/>
    <w:rsid w:val="003108FE"/>
    <w:rsid w:val="00311237"/>
    <w:rsid w:val="00311A45"/>
    <w:rsid w:val="00311E68"/>
    <w:rsid w:val="00314C48"/>
    <w:rsid w:val="00315C0A"/>
    <w:rsid w:val="00316296"/>
    <w:rsid w:val="00316DA2"/>
    <w:rsid w:val="00320426"/>
    <w:rsid w:val="00320879"/>
    <w:rsid w:val="003213E2"/>
    <w:rsid w:val="00321B29"/>
    <w:rsid w:val="00322736"/>
    <w:rsid w:val="00325783"/>
    <w:rsid w:val="00326D49"/>
    <w:rsid w:val="00326E5D"/>
    <w:rsid w:val="003272E5"/>
    <w:rsid w:val="003277E7"/>
    <w:rsid w:val="00331A5E"/>
    <w:rsid w:val="00333053"/>
    <w:rsid w:val="0033372B"/>
    <w:rsid w:val="00334939"/>
    <w:rsid w:val="00335A2F"/>
    <w:rsid w:val="0033668D"/>
    <w:rsid w:val="00337064"/>
    <w:rsid w:val="0033707D"/>
    <w:rsid w:val="00340752"/>
    <w:rsid w:val="00340785"/>
    <w:rsid w:val="0034196C"/>
    <w:rsid w:val="0034277B"/>
    <w:rsid w:val="00342F88"/>
    <w:rsid w:val="0034519C"/>
    <w:rsid w:val="00345599"/>
    <w:rsid w:val="00346306"/>
    <w:rsid w:val="00347004"/>
    <w:rsid w:val="003470CC"/>
    <w:rsid w:val="003501BA"/>
    <w:rsid w:val="00353D47"/>
    <w:rsid w:val="00354107"/>
    <w:rsid w:val="00354F62"/>
    <w:rsid w:val="00354FA5"/>
    <w:rsid w:val="00356065"/>
    <w:rsid w:val="00356520"/>
    <w:rsid w:val="003568EB"/>
    <w:rsid w:val="0035794A"/>
    <w:rsid w:val="003579D7"/>
    <w:rsid w:val="00360235"/>
    <w:rsid w:val="003607EE"/>
    <w:rsid w:val="00360EB6"/>
    <w:rsid w:val="00361975"/>
    <w:rsid w:val="00362847"/>
    <w:rsid w:val="00363C77"/>
    <w:rsid w:val="0036695F"/>
    <w:rsid w:val="00367900"/>
    <w:rsid w:val="003679DE"/>
    <w:rsid w:val="00367C0F"/>
    <w:rsid w:val="003718D6"/>
    <w:rsid w:val="003720C9"/>
    <w:rsid w:val="00372490"/>
    <w:rsid w:val="00373150"/>
    <w:rsid w:val="00374D32"/>
    <w:rsid w:val="003769F5"/>
    <w:rsid w:val="00376DE4"/>
    <w:rsid w:val="00380518"/>
    <w:rsid w:val="003810D6"/>
    <w:rsid w:val="0038191C"/>
    <w:rsid w:val="0038359E"/>
    <w:rsid w:val="003837A1"/>
    <w:rsid w:val="00383D36"/>
    <w:rsid w:val="00383F37"/>
    <w:rsid w:val="0038441C"/>
    <w:rsid w:val="0038453E"/>
    <w:rsid w:val="00385556"/>
    <w:rsid w:val="0038559C"/>
    <w:rsid w:val="00385943"/>
    <w:rsid w:val="00386CCD"/>
    <w:rsid w:val="00386FA8"/>
    <w:rsid w:val="0039091B"/>
    <w:rsid w:val="00390FD8"/>
    <w:rsid w:val="00391A11"/>
    <w:rsid w:val="003926FF"/>
    <w:rsid w:val="00393C08"/>
    <w:rsid w:val="0039408A"/>
    <w:rsid w:val="00394E6D"/>
    <w:rsid w:val="00395507"/>
    <w:rsid w:val="003965A6"/>
    <w:rsid w:val="00397B7D"/>
    <w:rsid w:val="003A03AF"/>
    <w:rsid w:val="003A11D1"/>
    <w:rsid w:val="003A2585"/>
    <w:rsid w:val="003A2590"/>
    <w:rsid w:val="003A3754"/>
    <w:rsid w:val="003A3B3B"/>
    <w:rsid w:val="003A4184"/>
    <w:rsid w:val="003A47F3"/>
    <w:rsid w:val="003A7B15"/>
    <w:rsid w:val="003A7C7B"/>
    <w:rsid w:val="003B005C"/>
    <w:rsid w:val="003B0066"/>
    <w:rsid w:val="003B090A"/>
    <w:rsid w:val="003B1560"/>
    <w:rsid w:val="003B200B"/>
    <w:rsid w:val="003B234C"/>
    <w:rsid w:val="003B405D"/>
    <w:rsid w:val="003B475D"/>
    <w:rsid w:val="003B6046"/>
    <w:rsid w:val="003B735A"/>
    <w:rsid w:val="003C01C1"/>
    <w:rsid w:val="003C1E32"/>
    <w:rsid w:val="003C1EB3"/>
    <w:rsid w:val="003C2376"/>
    <w:rsid w:val="003C3117"/>
    <w:rsid w:val="003C35AB"/>
    <w:rsid w:val="003C3E08"/>
    <w:rsid w:val="003C44B8"/>
    <w:rsid w:val="003C59BA"/>
    <w:rsid w:val="003C6ABC"/>
    <w:rsid w:val="003D132C"/>
    <w:rsid w:val="003D1AC4"/>
    <w:rsid w:val="003D2A94"/>
    <w:rsid w:val="003D554F"/>
    <w:rsid w:val="003D7C83"/>
    <w:rsid w:val="003D7EE0"/>
    <w:rsid w:val="003E00B3"/>
    <w:rsid w:val="003E0549"/>
    <w:rsid w:val="003E07D5"/>
    <w:rsid w:val="003E0C54"/>
    <w:rsid w:val="003E1772"/>
    <w:rsid w:val="003E18DA"/>
    <w:rsid w:val="003E22FE"/>
    <w:rsid w:val="003E3D88"/>
    <w:rsid w:val="003E4836"/>
    <w:rsid w:val="003E4A8E"/>
    <w:rsid w:val="003E4DC9"/>
    <w:rsid w:val="003E4DF8"/>
    <w:rsid w:val="003E5225"/>
    <w:rsid w:val="003E5457"/>
    <w:rsid w:val="003E6D60"/>
    <w:rsid w:val="003E73CA"/>
    <w:rsid w:val="003F010F"/>
    <w:rsid w:val="003F019B"/>
    <w:rsid w:val="003F09ED"/>
    <w:rsid w:val="003F1A0C"/>
    <w:rsid w:val="003F22C8"/>
    <w:rsid w:val="003F24AA"/>
    <w:rsid w:val="003F4286"/>
    <w:rsid w:val="003F4FC0"/>
    <w:rsid w:val="003F6427"/>
    <w:rsid w:val="003F69A8"/>
    <w:rsid w:val="003F72BB"/>
    <w:rsid w:val="003F7435"/>
    <w:rsid w:val="0040072B"/>
    <w:rsid w:val="00400C4B"/>
    <w:rsid w:val="0040100B"/>
    <w:rsid w:val="00401EA7"/>
    <w:rsid w:val="00402578"/>
    <w:rsid w:val="00402D31"/>
    <w:rsid w:val="0040363E"/>
    <w:rsid w:val="00403CCC"/>
    <w:rsid w:val="004049A7"/>
    <w:rsid w:val="00404CE6"/>
    <w:rsid w:val="00404F9E"/>
    <w:rsid w:val="0040506C"/>
    <w:rsid w:val="00406261"/>
    <w:rsid w:val="00406290"/>
    <w:rsid w:val="0040751C"/>
    <w:rsid w:val="0040768D"/>
    <w:rsid w:val="00411686"/>
    <w:rsid w:val="00412E93"/>
    <w:rsid w:val="004132F6"/>
    <w:rsid w:val="00413450"/>
    <w:rsid w:val="00413FF8"/>
    <w:rsid w:val="0041593F"/>
    <w:rsid w:val="00415BE7"/>
    <w:rsid w:val="00416953"/>
    <w:rsid w:val="00417D26"/>
    <w:rsid w:val="00417EA0"/>
    <w:rsid w:val="0042074C"/>
    <w:rsid w:val="00420B33"/>
    <w:rsid w:val="0042247B"/>
    <w:rsid w:val="00422537"/>
    <w:rsid w:val="004225FE"/>
    <w:rsid w:val="00422880"/>
    <w:rsid w:val="0042377D"/>
    <w:rsid w:val="00423C85"/>
    <w:rsid w:val="00423CAE"/>
    <w:rsid w:val="004243AA"/>
    <w:rsid w:val="004246D2"/>
    <w:rsid w:val="00424724"/>
    <w:rsid w:val="00427A37"/>
    <w:rsid w:val="00430B3D"/>
    <w:rsid w:val="004313B2"/>
    <w:rsid w:val="004315E2"/>
    <w:rsid w:val="00432704"/>
    <w:rsid w:val="004332D5"/>
    <w:rsid w:val="0043469C"/>
    <w:rsid w:val="00434B05"/>
    <w:rsid w:val="004359BB"/>
    <w:rsid w:val="00435AEC"/>
    <w:rsid w:val="00435D35"/>
    <w:rsid w:val="004370B8"/>
    <w:rsid w:val="00437880"/>
    <w:rsid w:val="00437EFD"/>
    <w:rsid w:val="0044001F"/>
    <w:rsid w:val="0044040E"/>
    <w:rsid w:val="0044055E"/>
    <w:rsid w:val="00440635"/>
    <w:rsid w:val="00440CF6"/>
    <w:rsid w:val="004417F1"/>
    <w:rsid w:val="00441BDC"/>
    <w:rsid w:val="0044367E"/>
    <w:rsid w:val="00445007"/>
    <w:rsid w:val="00446014"/>
    <w:rsid w:val="00446087"/>
    <w:rsid w:val="0044688C"/>
    <w:rsid w:val="0044693E"/>
    <w:rsid w:val="00447100"/>
    <w:rsid w:val="004501C6"/>
    <w:rsid w:val="0045255B"/>
    <w:rsid w:val="00453717"/>
    <w:rsid w:val="00455231"/>
    <w:rsid w:val="00456C70"/>
    <w:rsid w:val="00460013"/>
    <w:rsid w:val="00460775"/>
    <w:rsid w:val="00460F16"/>
    <w:rsid w:val="00461860"/>
    <w:rsid w:val="00462031"/>
    <w:rsid w:val="0046225E"/>
    <w:rsid w:val="00462BA3"/>
    <w:rsid w:val="0046475C"/>
    <w:rsid w:val="00464E4F"/>
    <w:rsid w:val="004700C0"/>
    <w:rsid w:val="00471CCA"/>
    <w:rsid w:val="00472873"/>
    <w:rsid w:val="00472908"/>
    <w:rsid w:val="00472D35"/>
    <w:rsid w:val="00473728"/>
    <w:rsid w:val="0047411C"/>
    <w:rsid w:val="00474B5D"/>
    <w:rsid w:val="004751B9"/>
    <w:rsid w:val="00475537"/>
    <w:rsid w:val="00475930"/>
    <w:rsid w:val="00475CC1"/>
    <w:rsid w:val="00475FA8"/>
    <w:rsid w:val="00476928"/>
    <w:rsid w:val="00476AE1"/>
    <w:rsid w:val="00476BD7"/>
    <w:rsid w:val="004776B5"/>
    <w:rsid w:val="00477BE0"/>
    <w:rsid w:val="00477F2F"/>
    <w:rsid w:val="0048378D"/>
    <w:rsid w:val="00483A74"/>
    <w:rsid w:val="00485298"/>
    <w:rsid w:val="00485548"/>
    <w:rsid w:val="004860F4"/>
    <w:rsid w:val="00487106"/>
    <w:rsid w:val="00487A5A"/>
    <w:rsid w:val="0049110F"/>
    <w:rsid w:val="00491495"/>
    <w:rsid w:val="00491B36"/>
    <w:rsid w:val="00491ED6"/>
    <w:rsid w:val="00491F94"/>
    <w:rsid w:val="0049203B"/>
    <w:rsid w:val="0049399A"/>
    <w:rsid w:val="004942E7"/>
    <w:rsid w:val="00494B98"/>
    <w:rsid w:val="00497B40"/>
    <w:rsid w:val="004A1846"/>
    <w:rsid w:val="004A1E50"/>
    <w:rsid w:val="004A2582"/>
    <w:rsid w:val="004A3A98"/>
    <w:rsid w:val="004A3ABD"/>
    <w:rsid w:val="004A4403"/>
    <w:rsid w:val="004A4D80"/>
    <w:rsid w:val="004A5618"/>
    <w:rsid w:val="004A5C59"/>
    <w:rsid w:val="004A5F6C"/>
    <w:rsid w:val="004A6A20"/>
    <w:rsid w:val="004B1826"/>
    <w:rsid w:val="004B1E38"/>
    <w:rsid w:val="004B20C8"/>
    <w:rsid w:val="004B272D"/>
    <w:rsid w:val="004B38A0"/>
    <w:rsid w:val="004B3D00"/>
    <w:rsid w:val="004B5670"/>
    <w:rsid w:val="004B568B"/>
    <w:rsid w:val="004B6B8A"/>
    <w:rsid w:val="004B71D1"/>
    <w:rsid w:val="004B79CE"/>
    <w:rsid w:val="004B7B62"/>
    <w:rsid w:val="004B7CF3"/>
    <w:rsid w:val="004C09B8"/>
    <w:rsid w:val="004C0B5E"/>
    <w:rsid w:val="004C2765"/>
    <w:rsid w:val="004C276C"/>
    <w:rsid w:val="004C5573"/>
    <w:rsid w:val="004C5FA6"/>
    <w:rsid w:val="004C7170"/>
    <w:rsid w:val="004C7F2F"/>
    <w:rsid w:val="004D1DCF"/>
    <w:rsid w:val="004D3DD9"/>
    <w:rsid w:val="004D5044"/>
    <w:rsid w:val="004D5411"/>
    <w:rsid w:val="004D5D22"/>
    <w:rsid w:val="004D6595"/>
    <w:rsid w:val="004D6C37"/>
    <w:rsid w:val="004D7372"/>
    <w:rsid w:val="004E04FE"/>
    <w:rsid w:val="004E10EA"/>
    <w:rsid w:val="004E16D7"/>
    <w:rsid w:val="004E1B5B"/>
    <w:rsid w:val="004E267C"/>
    <w:rsid w:val="004E288E"/>
    <w:rsid w:val="004E2AB2"/>
    <w:rsid w:val="004E42D1"/>
    <w:rsid w:val="004E5211"/>
    <w:rsid w:val="004E5AD1"/>
    <w:rsid w:val="004E64E1"/>
    <w:rsid w:val="004E72A2"/>
    <w:rsid w:val="004E7D00"/>
    <w:rsid w:val="004F0449"/>
    <w:rsid w:val="004F25CE"/>
    <w:rsid w:val="004F2A41"/>
    <w:rsid w:val="004F2DE5"/>
    <w:rsid w:val="004F46F5"/>
    <w:rsid w:val="004F5631"/>
    <w:rsid w:val="004F6270"/>
    <w:rsid w:val="004F68E9"/>
    <w:rsid w:val="00500C19"/>
    <w:rsid w:val="00500CCB"/>
    <w:rsid w:val="00501FF0"/>
    <w:rsid w:val="005020D4"/>
    <w:rsid w:val="005025C0"/>
    <w:rsid w:val="0050269E"/>
    <w:rsid w:val="005028D9"/>
    <w:rsid w:val="005031F6"/>
    <w:rsid w:val="00503236"/>
    <w:rsid w:val="005045CC"/>
    <w:rsid w:val="0050588B"/>
    <w:rsid w:val="00506401"/>
    <w:rsid w:val="005070CE"/>
    <w:rsid w:val="005072B6"/>
    <w:rsid w:val="005076E9"/>
    <w:rsid w:val="00510051"/>
    <w:rsid w:val="005116FC"/>
    <w:rsid w:val="00511BF0"/>
    <w:rsid w:val="00512404"/>
    <w:rsid w:val="00512BF6"/>
    <w:rsid w:val="00513488"/>
    <w:rsid w:val="00514204"/>
    <w:rsid w:val="00516654"/>
    <w:rsid w:val="005169FA"/>
    <w:rsid w:val="00517C6E"/>
    <w:rsid w:val="00521209"/>
    <w:rsid w:val="0052206B"/>
    <w:rsid w:val="0052404B"/>
    <w:rsid w:val="005260F4"/>
    <w:rsid w:val="0052665B"/>
    <w:rsid w:val="00527AF1"/>
    <w:rsid w:val="005316FB"/>
    <w:rsid w:val="00532143"/>
    <w:rsid w:val="005325FF"/>
    <w:rsid w:val="00532761"/>
    <w:rsid w:val="00533D84"/>
    <w:rsid w:val="00534916"/>
    <w:rsid w:val="00535220"/>
    <w:rsid w:val="00541BA8"/>
    <w:rsid w:val="00542514"/>
    <w:rsid w:val="00542741"/>
    <w:rsid w:val="005441D8"/>
    <w:rsid w:val="0054479C"/>
    <w:rsid w:val="0054614D"/>
    <w:rsid w:val="0055082F"/>
    <w:rsid w:val="00551363"/>
    <w:rsid w:val="00552003"/>
    <w:rsid w:val="00552206"/>
    <w:rsid w:val="0055269D"/>
    <w:rsid w:val="00552FE0"/>
    <w:rsid w:val="0055364F"/>
    <w:rsid w:val="00554DBE"/>
    <w:rsid w:val="00554F7F"/>
    <w:rsid w:val="005551AE"/>
    <w:rsid w:val="00556E8C"/>
    <w:rsid w:val="005602B7"/>
    <w:rsid w:val="005605FE"/>
    <w:rsid w:val="00560819"/>
    <w:rsid w:val="00561C00"/>
    <w:rsid w:val="005625A4"/>
    <w:rsid w:val="00563660"/>
    <w:rsid w:val="00563BE9"/>
    <w:rsid w:val="00563D20"/>
    <w:rsid w:val="00563DE0"/>
    <w:rsid w:val="00564300"/>
    <w:rsid w:val="00564D6F"/>
    <w:rsid w:val="00571539"/>
    <w:rsid w:val="00572312"/>
    <w:rsid w:val="00575252"/>
    <w:rsid w:val="00575265"/>
    <w:rsid w:val="00575481"/>
    <w:rsid w:val="005764C6"/>
    <w:rsid w:val="00577261"/>
    <w:rsid w:val="0058031B"/>
    <w:rsid w:val="00580B75"/>
    <w:rsid w:val="005810D4"/>
    <w:rsid w:val="00582CAE"/>
    <w:rsid w:val="00583658"/>
    <w:rsid w:val="00586E2C"/>
    <w:rsid w:val="00586E59"/>
    <w:rsid w:val="00590626"/>
    <w:rsid w:val="00591D2F"/>
    <w:rsid w:val="00592284"/>
    <w:rsid w:val="005924CD"/>
    <w:rsid w:val="0059370E"/>
    <w:rsid w:val="00594206"/>
    <w:rsid w:val="00594332"/>
    <w:rsid w:val="0059503A"/>
    <w:rsid w:val="00595A49"/>
    <w:rsid w:val="005972D9"/>
    <w:rsid w:val="005976C5"/>
    <w:rsid w:val="00597FC9"/>
    <w:rsid w:val="005A16D2"/>
    <w:rsid w:val="005A4177"/>
    <w:rsid w:val="005A42D1"/>
    <w:rsid w:val="005A4984"/>
    <w:rsid w:val="005A59B2"/>
    <w:rsid w:val="005A61D6"/>
    <w:rsid w:val="005A6F6F"/>
    <w:rsid w:val="005A74D3"/>
    <w:rsid w:val="005A7752"/>
    <w:rsid w:val="005A7765"/>
    <w:rsid w:val="005A7B2F"/>
    <w:rsid w:val="005B0BF1"/>
    <w:rsid w:val="005B13B1"/>
    <w:rsid w:val="005B25AA"/>
    <w:rsid w:val="005B272D"/>
    <w:rsid w:val="005B33F2"/>
    <w:rsid w:val="005B49BF"/>
    <w:rsid w:val="005B513E"/>
    <w:rsid w:val="005B60D5"/>
    <w:rsid w:val="005B674F"/>
    <w:rsid w:val="005B677C"/>
    <w:rsid w:val="005B6B37"/>
    <w:rsid w:val="005B7158"/>
    <w:rsid w:val="005B728C"/>
    <w:rsid w:val="005B7EFF"/>
    <w:rsid w:val="005B7F15"/>
    <w:rsid w:val="005C0FCD"/>
    <w:rsid w:val="005C11DE"/>
    <w:rsid w:val="005C30B1"/>
    <w:rsid w:val="005C3209"/>
    <w:rsid w:val="005C344D"/>
    <w:rsid w:val="005C5488"/>
    <w:rsid w:val="005C5B21"/>
    <w:rsid w:val="005C5B2A"/>
    <w:rsid w:val="005C5F49"/>
    <w:rsid w:val="005C639B"/>
    <w:rsid w:val="005C661B"/>
    <w:rsid w:val="005C66FB"/>
    <w:rsid w:val="005C7721"/>
    <w:rsid w:val="005C77E1"/>
    <w:rsid w:val="005D01B5"/>
    <w:rsid w:val="005D0ED2"/>
    <w:rsid w:val="005D10B0"/>
    <w:rsid w:val="005D30AF"/>
    <w:rsid w:val="005D36A9"/>
    <w:rsid w:val="005D5AAB"/>
    <w:rsid w:val="005E2CDD"/>
    <w:rsid w:val="005E4372"/>
    <w:rsid w:val="005E4898"/>
    <w:rsid w:val="005E4FF0"/>
    <w:rsid w:val="005F08D0"/>
    <w:rsid w:val="005F0C3F"/>
    <w:rsid w:val="005F1C6C"/>
    <w:rsid w:val="005F2C2C"/>
    <w:rsid w:val="005F65DC"/>
    <w:rsid w:val="005F6BD6"/>
    <w:rsid w:val="0060068F"/>
    <w:rsid w:val="00602999"/>
    <w:rsid w:val="006035CB"/>
    <w:rsid w:val="00603D9A"/>
    <w:rsid w:val="00603DE3"/>
    <w:rsid w:val="006040AE"/>
    <w:rsid w:val="006047AE"/>
    <w:rsid w:val="00604F05"/>
    <w:rsid w:val="006073A7"/>
    <w:rsid w:val="00610250"/>
    <w:rsid w:val="00610A58"/>
    <w:rsid w:val="00610A74"/>
    <w:rsid w:val="00610F87"/>
    <w:rsid w:val="00612578"/>
    <w:rsid w:val="00612A2C"/>
    <w:rsid w:val="0061350B"/>
    <w:rsid w:val="006135F6"/>
    <w:rsid w:val="0061420F"/>
    <w:rsid w:val="006162E0"/>
    <w:rsid w:val="006170FF"/>
    <w:rsid w:val="00617584"/>
    <w:rsid w:val="00617D85"/>
    <w:rsid w:val="00620CF0"/>
    <w:rsid w:val="006216A3"/>
    <w:rsid w:val="00621C19"/>
    <w:rsid w:val="00623BCA"/>
    <w:rsid w:val="006242BE"/>
    <w:rsid w:val="006242C6"/>
    <w:rsid w:val="00626AEB"/>
    <w:rsid w:val="0063084B"/>
    <w:rsid w:val="006350F3"/>
    <w:rsid w:val="006355A0"/>
    <w:rsid w:val="006356EB"/>
    <w:rsid w:val="00636792"/>
    <w:rsid w:val="006368E3"/>
    <w:rsid w:val="00637127"/>
    <w:rsid w:val="00641F89"/>
    <w:rsid w:val="006423DF"/>
    <w:rsid w:val="006435A1"/>
    <w:rsid w:val="00644114"/>
    <w:rsid w:val="0064584A"/>
    <w:rsid w:val="00650182"/>
    <w:rsid w:val="006513E0"/>
    <w:rsid w:val="0065177C"/>
    <w:rsid w:val="00652EB8"/>
    <w:rsid w:val="00653A4A"/>
    <w:rsid w:val="00653ACF"/>
    <w:rsid w:val="00653BD3"/>
    <w:rsid w:val="00653DC2"/>
    <w:rsid w:val="00653F21"/>
    <w:rsid w:val="00654069"/>
    <w:rsid w:val="00654365"/>
    <w:rsid w:val="00654617"/>
    <w:rsid w:val="00654EC8"/>
    <w:rsid w:val="00656AC3"/>
    <w:rsid w:val="00657DAB"/>
    <w:rsid w:val="00661B59"/>
    <w:rsid w:val="00662DB8"/>
    <w:rsid w:val="00664317"/>
    <w:rsid w:val="00666216"/>
    <w:rsid w:val="00666B53"/>
    <w:rsid w:val="00670C9C"/>
    <w:rsid w:val="00670D25"/>
    <w:rsid w:val="00671008"/>
    <w:rsid w:val="0067142E"/>
    <w:rsid w:val="006714A1"/>
    <w:rsid w:val="00672A61"/>
    <w:rsid w:val="00675469"/>
    <w:rsid w:val="00676109"/>
    <w:rsid w:val="006768FA"/>
    <w:rsid w:val="006769C1"/>
    <w:rsid w:val="00677710"/>
    <w:rsid w:val="00677A4C"/>
    <w:rsid w:val="00681C2F"/>
    <w:rsid w:val="00682023"/>
    <w:rsid w:val="006829EB"/>
    <w:rsid w:val="00682F97"/>
    <w:rsid w:val="00683750"/>
    <w:rsid w:val="00683AAA"/>
    <w:rsid w:val="0068697F"/>
    <w:rsid w:val="0069017C"/>
    <w:rsid w:val="006903A5"/>
    <w:rsid w:val="00692086"/>
    <w:rsid w:val="00692412"/>
    <w:rsid w:val="0069296E"/>
    <w:rsid w:val="00693A99"/>
    <w:rsid w:val="00697022"/>
    <w:rsid w:val="00697FB3"/>
    <w:rsid w:val="006A0C2E"/>
    <w:rsid w:val="006A1095"/>
    <w:rsid w:val="006A18CB"/>
    <w:rsid w:val="006A2E12"/>
    <w:rsid w:val="006A3FFF"/>
    <w:rsid w:val="006A41B6"/>
    <w:rsid w:val="006A4747"/>
    <w:rsid w:val="006A4C46"/>
    <w:rsid w:val="006A64D0"/>
    <w:rsid w:val="006A6620"/>
    <w:rsid w:val="006A77FC"/>
    <w:rsid w:val="006B033E"/>
    <w:rsid w:val="006B07B1"/>
    <w:rsid w:val="006B0B38"/>
    <w:rsid w:val="006B1C57"/>
    <w:rsid w:val="006B1E81"/>
    <w:rsid w:val="006B4345"/>
    <w:rsid w:val="006B49D1"/>
    <w:rsid w:val="006B4C8B"/>
    <w:rsid w:val="006B4DB8"/>
    <w:rsid w:val="006B6E53"/>
    <w:rsid w:val="006B7EC7"/>
    <w:rsid w:val="006C03FE"/>
    <w:rsid w:val="006C061F"/>
    <w:rsid w:val="006C0F6D"/>
    <w:rsid w:val="006C3AD0"/>
    <w:rsid w:val="006D0068"/>
    <w:rsid w:val="006D0700"/>
    <w:rsid w:val="006D1B84"/>
    <w:rsid w:val="006D2032"/>
    <w:rsid w:val="006D2919"/>
    <w:rsid w:val="006D2BD1"/>
    <w:rsid w:val="006D38FD"/>
    <w:rsid w:val="006D4630"/>
    <w:rsid w:val="006D46EC"/>
    <w:rsid w:val="006D49C3"/>
    <w:rsid w:val="006D5F4B"/>
    <w:rsid w:val="006D6CB8"/>
    <w:rsid w:val="006D6E71"/>
    <w:rsid w:val="006D7118"/>
    <w:rsid w:val="006D7827"/>
    <w:rsid w:val="006E14F0"/>
    <w:rsid w:val="006E2193"/>
    <w:rsid w:val="006E2D74"/>
    <w:rsid w:val="006E36CE"/>
    <w:rsid w:val="006E4D9E"/>
    <w:rsid w:val="006E59AF"/>
    <w:rsid w:val="006E6EF9"/>
    <w:rsid w:val="006F0430"/>
    <w:rsid w:val="006F0C4A"/>
    <w:rsid w:val="006F2811"/>
    <w:rsid w:val="006F2AD4"/>
    <w:rsid w:val="006F3771"/>
    <w:rsid w:val="006F460E"/>
    <w:rsid w:val="006F47FD"/>
    <w:rsid w:val="006F530B"/>
    <w:rsid w:val="006F60A2"/>
    <w:rsid w:val="00700552"/>
    <w:rsid w:val="00700E85"/>
    <w:rsid w:val="00700F66"/>
    <w:rsid w:val="00704682"/>
    <w:rsid w:val="00705B01"/>
    <w:rsid w:val="00706A50"/>
    <w:rsid w:val="00706DB7"/>
    <w:rsid w:val="00707702"/>
    <w:rsid w:val="00710941"/>
    <w:rsid w:val="00713800"/>
    <w:rsid w:val="00713B34"/>
    <w:rsid w:val="00713D98"/>
    <w:rsid w:val="007146B9"/>
    <w:rsid w:val="007155D3"/>
    <w:rsid w:val="00716598"/>
    <w:rsid w:val="0071741F"/>
    <w:rsid w:val="007174DB"/>
    <w:rsid w:val="007177F8"/>
    <w:rsid w:val="007178FA"/>
    <w:rsid w:val="00720433"/>
    <w:rsid w:val="00721182"/>
    <w:rsid w:val="00721D8E"/>
    <w:rsid w:val="007226AB"/>
    <w:rsid w:val="00722D55"/>
    <w:rsid w:val="00726280"/>
    <w:rsid w:val="007278AC"/>
    <w:rsid w:val="00727EFC"/>
    <w:rsid w:val="00731E7B"/>
    <w:rsid w:val="007329FB"/>
    <w:rsid w:val="00732D07"/>
    <w:rsid w:val="00733CBD"/>
    <w:rsid w:val="0073556F"/>
    <w:rsid w:val="007358AE"/>
    <w:rsid w:val="00735BAA"/>
    <w:rsid w:val="0073631B"/>
    <w:rsid w:val="00736761"/>
    <w:rsid w:val="0073715E"/>
    <w:rsid w:val="00737961"/>
    <w:rsid w:val="00740176"/>
    <w:rsid w:val="007415B4"/>
    <w:rsid w:val="0074268E"/>
    <w:rsid w:val="00744DF7"/>
    <w:rsid w:val="00744FF0"/>
    <w:rsid w:val="00745383"/>
    <w:rsid w:val="007461B6"/>
    <w:rsid w:val="0075076F"/>
    <w:rsid w:val="00750B65"/>
    <w:rsid w:val="00750B8D"/>
    <w:rsid w:val="0075195E"/>
    <w:rsid w:val="00752E4B"/>
    <w:rsid w:val="007535E3"/>
    <w:rsid w:val="0075432E"/>
    <w:rsid w:val="007571D6"/>
    <w:rsid w:val="007574D6"/>
    <w:rsid w:val="00757735"/>
    <w:rsid w:val="007579BF"/>
    <w:rsid w:val="00757A8D"/>
    <w:rsid w:val="00761375"/>
    <w:rsid w:val="007633F6"/>
    <w:rsid w:val="00765C6E"/>
    <w:rsid w:val="007668C9"/>
    <w:rsid w:val="00766D67"/>
    <w:rsid w:val="00767DE3"/>
    <w:rsid w:val="007712B1"/>
    <w:rsid w:val="00771852"/>
    <w:rsid w:val="00772B6D"/>
    <w:rsid w:val="007735F2"/>
    <w:rsid w:val="0077451B"/>
    <w:rsid w:val="00774774"/>
    <w:rsid w:val="00775330"/>
    <w:rsid w:val="00776EE8"/>
    <w:rsid w:val="00777BCF"/>
    <w:rsid w:val="00777BE9"/>
    <w:rsid w:val="007803AE"/>
    <w:rsid w:val="00781DFF"/>
    <w:rsid w:val="00783C9C"/>
    <w:rsid w:val="0078450E"/>
    <w:rsid w:val="00784829"/>
    <w:rsid w:val="00784E47"/>
    <w:rsid w:val="00786B31"/>
    <w:rsid w:val="007870F3"/>
    <w:rsid w:val="007902D5"/>
    <w:rsid w:val="007909DA"/>
    <w:rsid w:val="007916FA"/>
    <w:rsid w:val="007920C4"/>
    <w:rsid w:val="00792C6B"/>
    <w:rsid w:val="00792EFF"/>
    <w:rsid w:val="00793D97"/>
    <w:rsid w:val="00793EA6"/>
    <w:rsid w:val="007944CA"/>
    <w:rsid w:val="007946E6"/>
    <w:rsid w:val="00796AE0"/>
    <w:rsid w:val="007A2BD7"/>
    <w:rsid w:val="007A64A6"/>
    <w:rsid w:val="007A6A3B"/>
    <w:rsid w:val="007A730E"/>
    <w:rsid w:val="007B00A8"/>
    <w:rsid w:val="007B0859"/>
    <w:rsid w:val="007B0CD6"/>
    <w:rsid w:val="007B0EB2"/>
    <w:rsid w:val="007B2148"/>
    <w:rsid w:val="007B2B0D"/>
    <w:rsid w:val="007B49B9"/>
    <w:rsid w:val="007B4AA4"/>
    <w:rsid w:val="007B51F7"/>
    <w:rsid w:val="007B59DD"/>
    <w:rsid w:val="007B628B"/>
    <w:rsid w:val="007B63F5"/>
    <w:rsid w:val="007C0235"/>
    <w:rsid w:val="007C048F"/>
    <w:rsid w:val="007C1BAA"/>
    <w:rsid w:val="007C21F4"/>
    <w:rsid w:val="007C58D8"/>
    <w:rsid w:val="007C742D"/>
    <w:rsid w:val="007D1219"/>
    <w:rsid w:val="007D1469"/>
    <w:rsid w:val="007D1B95"/>
    <w:rsid w:val="007D200D"/>
    <w:rsid w:val="007D370F"/>
    <w:rsid w:val="007D4A45"/>
    <w:rsid w:val="007D4F00"/>
    <w:rsid w:val="007D5191"/>
    <w:rsid w:val="007D56AC"/>
    <w:rsid w:val="007D60E8"/>
    <w:rsid w:val="007D644C"/>
    <w:rsid w:val="007D6CC5"/>
    <w:rsid w:val="007D774C"/>
    <w:rsid w:val="007D7BAC"/>
    <w:rsid w:val="007E0C4F"/>
    <w:rsid w:val="007E11E4"/>
    <w:rsid w:val="007E12C3"/>
    <w:rsid w:val="007E337C"/>
    <w:rsid w:val="007E3AF8"/>
    <w:rsid w:val="007E3C6C"/>
    <w:rsid w:val="007E3DEE"/>
    <w:rsid w:val="007E50C3"/>
    <w:rsid w:val="007E5254"/>
    <w:rsid w:val="007E666B"/>
    <w:rsid w:val="007E7112"/>
    <w:rsid w:val="007E7253"/>
    <w:rsid w:val="007E7474"/>
    <w:rsid w:val="007F1667"/>
    <w:rsid w:val="007F1818"/>
    <w:rsid w:val="007F3D1C"/>
    <w:rsid w:val="007F78E8"/>
    <w:rsid w:val="008008F4"/>
    <w:rsid w:val="00800E22"/>
    <w:rsid w:val="00800E58"/>
    <w:rsid w:val="008015C1"/>
    <w:rsid w:val="00801FEC"/>
    <w:rsid w:val="008021DE"/>
    <w:rsid w:val="00802481"/>
    <w:rsid w:val="008026E1"/>
    <w:rsid w:val="008036EB"/>
    <w:rsid w:val="00803C4C"/>
    <w:rsid w:val="00805384"/>
    <w:rsid w:val="00807499"/>
    <w:rsid w:val="00807A46"/>
    <w:rsid w:val="008100EA"/>
    <w:rsid w:val="00810971"/>
    <w:rsid w:val="00810B14"/>
    <w:rsid w:val="00810B22"/>
    <w:rsid w:val="0081115D"/>
    <w:rsid w:val="00811222"/>
    <w:rsid w:val="00811F49"/>
    <w:rsid w:val="00812BDA"/>
    <w:rsid w:val="00812DCF"/>
    <w:rsid w:val="0081314D"/>
    <w:rsid w:val="0081413F"/>
    <w:rsid w:val="008142E9"/>
    <w:rsid w:val="00815557"/>
    <w:rsid w:val="00815BA8"/>
    <w:rsid w:val="008167C4"/>
    <w:rsid w:val="00816FEC"/>
    <w:rsid w:val="00820D73"/>
    <w:rsid w:val="00822731"/>
    <w:rsid w:val="008234E5"/>
    <w:rsid w:val="0082381D"/>
    <w:rsid w:val="00825540"/>
    <w:rsid w:val="00825DD6"/>
    <w:rsid w:val="00826ACB"/>
    <w:rsid w:val="00827409"/>
    <w:rsid w:val="00830738"/>
    <w:rsid w:val="0083163A"/>
    <w:rsid w:val="00832AC7"/>
    <w:rsid w:val="00833B7E"/>
    <w:rsid w:val="00834789"/>
    <w:rsid w:val="00834BA7"/>
    <w:rsid w:val="0083587C"/>
    <w:rsid w:val="00835AA3"/>
    <w:rsid w:val="008367C4"/>
    <w:rsid w:val="00837FF0"/>
    <w:rsid w:val="00840126"/>
    <w:rsid w:val="008401A8"/>
    <w:rsid w:val="008402FE"/>
    <w:rsid w:val="00841BF6"/>
    <w:rsid w:val="00842FAC"/>
    <w:rsid w:val="008459BA"/>
    <w:rsid w:val="0084659B"/>
    <w:rsid w:val="0084671E"/>
    <w:rsid w:val="00847606"/>
    <w:rsid w:val="00847E5C"/>
    <w:rsid w:val="00851132"/>
    <w:rsid w:val="00855011"/>
    <w:rsid w:val="00856167"/>
    <w:rsid w:val="00856267"/>
    <w:rsid w:val="00856D32"/>
    <w:rsid w:val="0085760B"/>
    <w:rsid w:val="008577E5"/>
    <w:rsid w:val="00860040"/>
    <w:rsid w:val="008614BF"/>
    <w:rsid w:val="008614E0"/>
    <w:rsid w:val="00863AF4"/>
    <w:rsid w:val="00863BEB"/>
    <w:rsid w:val="00864269"/>
    <w:rsid w:val="00864F2B"/>
    <w:rsid w:val="00865290"/>
    <w:rsid w:val="008652D2"/>
    <w:rsid w:val="00865E09"/>
    <w:rsid w:val="0086603B"/>
    <w:rsid w:val="0086634A"/>
    <w:rsid w:val="008668D7"/>
    <w:rsid w:val="00867954"/>
    <w:rsid w:val="0087043A"/>
    <w:rsid w:val="00870A83"/>
    <w:rsid w:val="00870AE7"/>
    <w:rsid w:val="00870FB6"/>
    <w:rsid w:val="0087142B"/>
    <w:rsid w:val="0087160D"/>
    <w:rsid w:val="00871C70"/>
    <w:rsid w:val="00872C2A"/>
    <w:rsid w:val="0087353F"/>
    <w:rsid w:val="00873C0A"/>
    <w:rsid w:val="00874060"/>
    <w:rsid w:val="008753E6"/>
    <w:rsid w:val="0087640A"/>
    <w:rsid w:val="00876741"/>
    <w:rsid w:val="008801A3"/>
    <w:rsid w:val="00880280"/>
    <w:rsid w:val="0088047C"/>
    <w:rsid w:val="0088053F"/>
    <w:rsid w:val="0088080C"/>
    <w:rsid w:val="0088086B"/>
    <w:rsid w:val="00881868"/>
    <w:rsid w:val="00882581"/>
    <w:rsid w:val="00882B19"/>
    <w:rsid w:val="00883687"/>
    <w:rsid w:val="00883E95"/>
    <w:rsid w:val="008841C6"/>
    <w:rsid w:val="00885E14"/>
    <w:rsid w:val="00887545"/>
    <w:rsid w:val="00887FB0"/>
    <w:rsid w:val="00890385"/>
    <w:rsid w:val="00890569"/>
    <w:rsid w:val="008921C5"/>
    <w:rsid w:val="00892373"/>
    <w:rsid w:val="00892744"/>
    <w:rsid w:val="008937C0"/>
    <w:rsid w:val="00894843"/>
    <w:rsid w:val="00894D9D"/>
    <w:rsid w:val="00895104"/>
    <w:rsid w:val="00895778"/>
    <w:rsid w:val="0089578D"/>
    <w:rsid w:val="00895E96"/>
    <w:rsid w:val="00897004"/>
    <w:rsid w:val="00897AE5"/>
    <w:rsid w:val="008A052C"/>
    <w:rsid w:val="008A06DB"/>
    <w:rsid w:val="008A08B7"/>
    <w:rsid w:val="008A2D30"/>
    <w:rsid w:val="008A30BF"/>
    <w:rsid w:val="008A357B"/>
    <w:rsid w:val="008A412F"/>
    <w:rsid w:val="008A480C"/>
    <w:rsid w:val="008A4911"/>
    <w:rsid w:val="008A54A8"/>
    <w:rsid w:val="008A54AC"/>
    <w:rsid w:val="008A61B6"/>
    <w:rsid w:val="008A666D"/>
    <w:rsid w:val="008A6C64"/>
    <w:rsid w:val="008B00F6"/>
    <w:rsid w:val="008B1504"/>
    <w:rsid w:val="008B2AD7"/>
    <w:rsid w:val="008B2B28"/>
    <w:rsid w:val="008B2EF9"/>
    <w:rsid w:val="008B3990"/>
    <w:rsid w:val="008B3D7A"/>
    <w:rsid w:val="008B4C49"/>
    <w:rsid w:val="008B55EE"/>
    <w:rsid w:val="008B5E3F"/>
    <w:rsid w:val="008B6131"/>
    <w:rsid w:val="008B692F"/>
    <w:rsid w:val="008B7634"/>
    <w:rsid w:val="008C0FA4"/>
    <w:rsid w:val="008C1C84"/>
    <w:rsid w:val="008C2E36"/>
    <w:rsid w:val="008C3FB3"/>
    <w:rsid w:val="008C6366"/>
    <w:rsid w:val="008C773C"/>
    <w:rsid w:val="008C7C1F"/>
    <w:rsid w:val="008D171D"/>
    <w:rsid w:val="008D24B0"/>
    <w:rsid w:val="008D2AB8"/>
    <w:rsid w:val="008D2CD9"/>
    <w:rsid w:val="008D2F60"/>
    <w:rsid w:val="008D313D"/>
    <w:rsid w:val="008D48B0"/>
    <w:rsid w:val="008D6193"/>
    <w:rsid w:val="008D7216"/>
    <w:rsid w:val="008E075B"/>
    <w:rsid w:val="008E2E80"/>
    <w:rsid w:val="008E38E1"/>
    <w:rsid w:val="008E477D"/>
    <w:rsid w:val="008E4DCB"/>
    <w:rsid w:val="008E5AFB"/>
    <w:rsid w:val="008E678D"/>
    <w:rsid w:val="008E68EC"/>
    <w:rsid w:val="008E696D"/>
    <w:rsid w:val="008E7EE0"/>
    <w:rsid w:val="008F10AC"/>
    <w:rsid w:val="008F2338"/>
    <w:rsid w:val="008F2668"/>
    <w:rsid w:val="008F267D"/>
    <w:rsid w:val="008F346A"/>
    <w:rsid w:val="008F55EE"/>
    <w:rsid w:val="008F6CFD"/>
    <w:rsid w:val="008F7645"/>
    <w:rsid w:val="0090009C"/>
    <w:rsid w:val="0090065D"/>
    <w:rsid w:val="0090089C"/>
    <w:rsid w:val="0090115E"/>
    <w:rsid w:val="009012D1"/>
    <w:rsid w:val="00902346"/>
    <w:rsid w:val="0090295A"/>
    <w:rsid w:val="009029FC"/>
    <w:rsid w:val="00902FEF"/>
    <w:rsid w:val="00903AF3"/>
    <w:rsid w:val="00904D86"/>
    <w:rsid w:val="00905687"/>
    <w:rsid w:val="00906533"/>
    <w:rsid w:val="00907B73"/>
    <w:rsid w:val="0091040F"/>
    <w:rsid w:val="00910868"/>
    <w:rsid w:val="00910B9A"/>
    <w:rsid w:val="0091176C"/>
    <w:rsid w:val="00912C86"/>
    <w:rsid w:val="00913563"/>
    <w:rsid w:val="00914058"/>
    <w:rsid w:val="00914692"/>
    <w:rsid w:val="00914782"/>
    <w:rsid w:val="00915B4B"/>
    <w:rsid w:val="00916A1A"/>
    <w:rsid w:val="00920426"/>
    <w:rsid w:val="00921012"/>
    <w:rsid w:val="00921D3F"/>
    <w:rsid w:val="00922B53"/>
    <w:rsid w:val="00923FE8"/>
    <w:rsid w:val="00924194"/>
    <w:rsid w:val="00924297"/>
    <w:rsid w:val="00926523"/>
    <w:rsid w:val="009265D0"/>
    <w:rsid w:val="009276E3"/>
    <w:rsid w:val="00927764"/>
    <w:rsid w:val="0093134D"/>
    <w:rsid w:val="00931A50"/>
    <w:rsid w:val="009358FF"/>
    <w:rsid w:val="00935BA2"/>
    <w:rsid w:val="00936198"/>
    <w:rsid w:val="0093659B"/>
    <w:rsid w:val="009373FE"/>
    <w:rsid w:val="00937DB8"/>
    <w:rsid w:val="0094187B"/>
    <w:rsid w:val="00941DE8"/>
    <w:rsid w:val="00941E26"/>
    <w:rsid w:val="00942217"/>
    <w:rsid w:val="00942F1E"/>
    <w:rsid w:val="009437B6"/>
    <w:rsid w:val="00944088"/>
    <w:rsid w:val="00944980"/>
    <w:rsid w:val="00944EA6"/>
    <w:rsid w:val="009450FE"/>
    <w:rsid w:val="00950928"/>
    <w:rsid w:val="00950C9A"/>
    <w:rsid w:val="00951847"/>
    <w:rsid w:val="009519A1"/>
    <w:rsid w:val="00952306"/>
    <w:rsid w:val="00953B6B"/>
    <w:rsid w:val="00953FC5"/>
    <w:rsid w:val="00955EDB"/>
    <w:rsid w:val="00956EBD"/>
    <w:rsid w:val="00957043"/>
    <w:rsid w:val="009570E7"/>
    <w:rsid w:val="009578AD"/>
    <w:rsid w:val="00960606"/>
    <w:rsid w:val="00960C0D"/>
    <w:rsid w:val="00961521"/>
    <w:rsid w:val="00963413"/>
    <w:rsid w:val="00963477"/>
    <w:rsid w:val="009634A1"/>
    <w:rsid w:val="00963660"/>
    <w:rsid w:val="00963BE8"/>
    <w:rsid w:val="00964FFB"/>
    <w:rsid w:val="00965038"/>
    <w:rsid w:val="00965BD4"/>
    <w:rsid w:val="00965FA3"/>
    <w:rsid w:val="00965FE7"/>
    <w:rsid w:val="009662A6"/>
    <w:rsid w:val="00966E67"/>
    <w:rsid w:val="009670AA"/>
    <w:rsid w:val="009678CF"/>
    <w:rsid w:val="00970117"/>
    <w:rsid w:val="00971CBF"/>
    <w:rsid w:val="00972AA9"/>
    <w:rsid w:val="00973644"/>
    <w:rsid w:val="0097386D"/>
    <w:rsid w:val="00973F9B"/>
    <w:rsid w:val="00973FCA"/>
    <w:rsid w:val="00974218"/>
    <w:rsid w:val="009767EF"/>
    <w:rsid w:val="009775DD"/>
    <w:rsid w:val="00977861"/>
    <w:rsid w:val="00980C8C"/>
    <w:rsid w:val="009811AB"/>
    <w:rsid w:val="00981F0A"/>
    <w:rsid w:val="00981FD8"/>
    <w:rsid w:val="0098298D"/>
    <w:rsid w:val="00982AC0"/>
    <w:rsid w:val="00982AF4"/>
    <w:rsid w:val="009830FA"/>
    <w:rsid w:val="00983158"/>
    <w:rsid w:val="009839F7"/>
    <w:rsid w:val="00984682"/>
    <w:rsid w:val="009857B5"/>
    <w:rsid w:val="00985C8B"/>
    <w:rsid w:val="00986B04"/>
    <w:rsid w:val="00986BFD"/>
    <w:rsid w:val="009871A0"/>
    <w:rsid w:val="00987720"/>
    <w:rsid w:val="00990F5F"/>
    <w:rsid w:val="009917BB"/>
    <w:rsid w:val="0099183D"/>
    <w:rsid w:val="00991D1C"/>
    <w:rsid w:val="00992127"/>
    <w:rsid w:val="00992958"/>
    <w:rsid w:val="0099326A"/>
    <w:rsid w:val="00993EA6"/>
    <w:rsid w:val="00994033"/>
    <w:rsid w:val="009947F4"/>
    <w:rsid w:val="00994C1A"/>
    <w:rsid w:val="009962FA"/>
    <w:rsid w:val="009A0433"/>
    <w:rsid w:val="009A05D1"/>
    <w:rsid w:val="009A3808"/>
    <w:rsid w:val="009A52AB"/>
    <w:rsid w:val="009A772F"/>
    <w:rsid w:val="009A77E3"/>
    <w:rsid w:val="009B04A3"/>
    <w:rsid w:val="009B19E4"/>
    <w:rsid w:val="009B2A99"/>
    <w:rsid w:val="009B31E8"/>
    <w:rsid w:val="009B461E"/>
    <w:rsid w:val="009B4BB3"/>
    <w:rsid w:val="009B4C5B"/>
    <w:rsid w:val="009B57D8"/>
    <w:rsid w:val="009B6C3D"/>
    <w:rsid w:val="009B6D2F"/>
    <w:rsid w:val="009B72FB"/>
    <w:rsid w:val="009C05DF"/>
    <w:rsid w:val="009C3391"/>
    <w:rsid w:val="009C4A44"/>
    <w:rsid w:val="009C4E53"/>
    <w:rsid w:val="009C5432"/>
    <w:rsid w:val="009C6933"/>
    <w:rsid w:val="009C6B87"/>
    <w:rsid w:val="009C71BB"/>
    <w:rsid w:val="009C776F"/>
    <w:rsid w:val="009C7D43"/>
    <w:rsid w:val="009D11FE"/>
    <w:rsid w:val="009D2284"/>
    <w:rsid w:val="009D2DB0"/>
    <w:rsid w:val="009D3978"/>
    <w:rsid w:val="009D499A"/>
    <w:rsid w:val="009D4BDC"/>
    <w:rsid w:val="009D52BE"/>
    <w:rsid w:val="009D5AE4"/>
    <w:rsid w:val="009D5DA7"/>
    <w:rsid w:val="009D6098"/>
    <w:rsid w:val="009D747C"/>
    <w:rsid w:val="009D78BE"/>
    <w:rsid w:val="009E15F8"/>
    <w:rsid w:val="009E2C5C"/>
    <w:rsid w:val="009E45C1"/>
    <w:rsid w:val="009E5711"/>
    <w:rsid w:val="009E63E8"/>
    <w:rsid w:val="009E6CBE"/>
    <w:rsid w:val="009F04FD"/>
    <w:rsid w:val="009F0538"/>
    <w:rsid w:val="009F0A63"/>
    <w:rsid w:val="009F0C64"/>
    <w:rsid w:val="009F27F9"/>
    <w:rsid w:val="009F28B6"/>
    <w:rsid w:val="009F38D3"/>
    <w:rsid w:val="009F3E58"/>
    <w:rsid w:val="009F57D9"/>
    <w:rsid w:val="009F6A18"/>
    <w:rsid w:val="009F6B02"/>
    <w:rsid w:val="009F7310"/>
    <w:rsid w:val="009F7E98"/>
    <w:rsid w:val="00A01641"/>
    <w:rsid w:val="00A027CC"/>
    <w:rsid w:val="00A03517"/>
    <w:rsid w:val="00A040B4"/>
    <w:rsid w:val="00A051E7"/>
    <w:rsid w:val="00A06817"/>
    <w:rsid w:val="00A074E5"/>
    <w:rsid w:val="00A12995"/>
    <w:rsid w:val="00A12C39"/>
    <w:rsid w:val="00A135EC"/>
    <w:rsid w:val="00A14F9E"/>
    <w:rsid w:val="00A14FD6"/>
    <w:rsid w:val="00A1610D"/>
    <w:rsid w:val="00A166AF"/>
    <w:rsid w:val="00A16F6E"/>
    <w:rsid w:val="00A17E4D"/>
    <w:rsid w:val="00A2224C"/>
    <w:rsid w:val="00A22E8A"/>
    <w:rsid w:val="00A2469D"/>
    <w:rsid w:val="00A25BC0"/>
    <w:rsid w:val="00A26242"/>
    <w:rsid w:val="00A26627"/>
    <w:rsid w:val="00A27276"/>
    <w:rsid w:val="00A30651"/>
    <w:rsid w:val="00A32D8F"/>
    <w:rsid w:val="00A32F5F"/>
    <w:rsid w:val="00A34FDB"/>
    <w:rsid w:val="00A355AF"/>
    <w:rsid w:val="00A35D06"/>
    <w:rsid w:val="00A37C88"/>
    <w:rsid w:val="00A4133A"/>
    <w:rsid w:val="00A42168"/>
    <w:rsid w:val="00A421C5"/>
    <w:rsid w:val="00A428AD"/>
    <w:rsid w:val="00A42A6E"/>
    <w:rsid w:val="00A439CF"/>
    <w:rsid w:val="00A45459"/>
    <w:rsid w:val="00A45C61"/>
    <w:rsid w:val="00A471C7"/>
    <w:rsid w:val="00A50E3E"/>
    <w:rsid w:val="00A520BF"/>
    <w:rsid w:val="00A534AB"/>
    <w:rsid w:val="00A57714"/>
    <w:rsid w:val="00A6127D"/>
    <w:rsid w:val="00A62E3E"/>
    <w:rsid w:val="00A63002"/>
    <w:rsid w:val="00A63106"/>
    <w:rsid w:val="00A636C7"/>
    <w:rsid w:val="00A647C0"/>
    <w:rsid w:val="00A6676E"/>
    <w:rsid w:val="00A6761A"/>
    <w:rsid w:val="00A67FE1"/>
    <w:rsid w:val="00A70A87"/>
    <w:rsid w:val="00A70FBD"/>
    <w:rsid w:val="00A71880"/>
    <w:rsid w:val="00A719E4"/>
    <w:rsid w:val="00A7216B"/>
    <w:rsid w:val="00A730EB"/>
    <w:rsid w:val="00A731CF"/>
    <w:rsid w:val="00A73768"/>
    <w:rsid w:val="00A7484C"/>
    <w:rsid w:val="00A762BD"/>
    <w:rsid w:val="00A76396"/>
    <w:rsid w:val="00A76A44"/>
    <w:rsid w:val="00A76A81"/>
    <w:rsid w:val="00A801A3"/>
    <w:rsid w:val="00A81CAD"/>
    <w:rsid w:val="00A8223C"/>
    <w:rsid w:val="00A82BE0"/>
    <w:rsid w:val="00A838F7"/>
    <w:rsid w:val="00A84246"/>
    <w:rsid w:val="00A84E33"/>
    <w:rsid w:val="00A8692E"/>
    <w:rsid w:val="00A873CC"/>
    <w:rsid w:val="00A9020B"/>
    <w:rsid w:val="00A90DC5"/>
    <w:rsid w:val="00A912E5"/>
    <w:rsid w:val="00A918A4"/>
    <w:rsid w:val="00A92761"/>
    <w:rsid w:val="00A93FA0"/>
    <w:rsid w:val="00A94B20"/>
    <w:rsid w:val="00A9567C"/>
    <w:rsid w:val="00A95FBD"/>
    <w:rsid w:val="00A977B3"/>
    <w:rsid w:val="00AA0929"/>
    <w:rsid w:val="00AA21C8"/>
    <w:rsid w:val="00AA27B2"/>
    <w:rsid w:val="00AA2E1D"/>
    <w:rsid w:val="00AA343D"/>
    <w:rsid w:val="00AA43A8"/>
    <w:rsid w:val="00AA572E"/>
    <w:rsid w:val="00AA616A"/>
    <w:rsid w:val="00AA68BD"/>
    <w:rsid w:val="00AB0F4D"/>
    <w:rsid w:val="00AB10B2"/>
    <w:rsid w:val="00AB1564"/>
    <w:rsid w:val="00AB1F25"/>
    <w:rsid w:val="00AB2088"/>
    <w:rsid w:val="00AB334C"/>
    <w:rsid w:val="00AB3576"/>
    <w:rsid w:val="00AB69A3"/>
    <w:rsid w:val="00AC0518"/>
    <w:rsid w:val="00AC2297"/>
    <w:rsid w:val="00AC2361"/>
    <w:rsid w:val="00AC24DF"/>
    <w:rsid w:val="00AC4E8A"/>
    <w:rsid w:val="00AC529B"/>
    <w:rsid w:val="00AC595E"/>
    <w:rsid w:val="00AC5A15"/>
    <w:rsid w:val="00AC61DF"/>
    <w:rsid w:val="00AD009C"/>
    <w:rsid w:val="00AD1A1E"/>
    <w:rsid w:val="00AD3036"/>
    <w:rsid w:val="00AD406C"/>
    <w:rsid w:val="00AD4278"/>
    <w:rsid w:val="00AD5589"/>
    <w:rsid w:val="00AD6211"/>
    <w:rsid w:val="00AE2C24"/>
    <w:rsid w:val="00AE302E"/>
    <w:rsid w:val="00AE3161"/>
    <w:rsid w:val="00AE3648"/>
    <w:rsid w:val="00AE546D"/>
    <w:rsid w:val="00AE5C6D"/>
    <w:rsid w:val="00AE6B24"/>
    <w:rsid w:val="00AE6C42"/>
    <w:rsid w:val="00AE7238"/>
    <w:rsid w:val="00AE745E"/>
    <w:rsid w:val="00AF178F"/>
    <w:rsid w:val="00AF2E18"/>
    <w:rsid w:val="00AF47F6"/>
    <w:rsid w:val="00AF4D8E"/>
    <w:rsid w:val="00AF6066"/>
    <w:rsid w:val="00B0036C"/>
    <w:rsid w:val="00B015CC"/>
    <w:rsid w:val="00B01DE1"/>
    <w:rsid w:val="00B02040"/>
    <w:rsid w:val="00B021D8"/>
    <w:rsid w:val="00B02624"/>
    <w:rsid w:val="00B02695"/>
    <w:rsid w:val="00B03336"/>
    <w:rsid w:val="00B03CD5"/>
    <w:rsid w:val="00B06550"/>
    <w:rsid w:val="00B06FF2"/>
    <w:rsid w:val="00B071AF"/>
    <w:rsid w:val="00B07EAA"/>
    <w:rsid w:val="00B105FF"/>
    <w:rsid w:val="00B10E9C"/>
    <w:rsid w:val="00B13803"/>
    <w:rsid w:val="00B138CC"/>
    <w:rsid w:val="00B14545"/>
    <w:rsid w:val="00B15175"/>
    <w:rsid w:val="00B15A48"/>
    <w:rsid w:val="00B15B2F"/>
    <w:rsid w:val="00B15D19"/>
    <w:rsid w:val="00B17D6E"/>
    <w:rsid w:val="00B205F5"/>
    <w:rsid w:val="00B219E8"/>
    <w:rsid w:val="00B21B89"/>
    <w:rsid w:val="00B23E6C"/>
    <w:rsid w:val="00B26463"/>
    <w:rsid w:val="00B26819"/>
    <w:rsid w:val="00B27766"/>
    <w:rsid w:val="00B278F1"/>
    <w:rsid w:val="00B312B5"/>
    <w:rsid w:val="00B32DEA"/>
    <w:rsid w:val="00B32DEE"/>
    <w:rsid w:val="00B344D5"/>
    <w:rsid w:val="00B34BFD"/>
    <w:rsid w:val="00B34CEB"/>
    <w:rsid w:val="00B35317"/>
    <w:rsid w:val="00B35A72"/>
    <w:rsid w:val="00B36809"/>
    <w:rsid w:val="00B3681C"/>
    <w:rsid w:val="00B36D7D"/>
    <w:rsid w:val="00B36EED"/>
    <w:rsid w:val="00B400A9"/>
    <w:rsid w:val="00B40EE7"/>
    <w:rsid w:val="00B4221B"/>
    <w:rsid w:val="00B42D34"/>
    <w:rsid w:val="00B42DD3"/>
    <w:rsid w:val="00B43583"/>
    <w:rsid w:val="00B435B2"/>
    <w:rsid w:val="00B43DED"/>
    <w:rsid w:val="00B473F7"/>
    <w:rsid w:val="00B47804"/>
    <w:rsid w:val="00B50528"/>
    <w:rsid w:val="00B505FA"/>
    <w:rsid w:val="00B50A1F"/>
    <w:rsid w:val="00B5103D"/>
    <w:rsid w:val="00B513A1"/>
    <w:rsid w:val="00B51696"/>
    <w:rsid w:val="00B51D60"/>
    <w:rsid w:val="00B5240F"/>
    <w:rsid w:val="00B535AC"/>
    <w:rsid w:val="00B53AB1"/>
    <w:rsid w:val="00B53AE6"/>
    <w:rsid w:val="00B54460"/>
    <w:rsid w:val="00B548C4"/>
    <w:rsid w:val="00B54FC8"/>
    <w:rsid w:val="00B55099"/>
    <w:rsid w:val="00B5637F"/>
    <w:rsid w:val="00B60071"/>
    <w:rsid w:val="00B60676"/>
    <w:rsid w:val="00B60780"/>
    <w:rsid w:val="00B60AD9"/>
    <w:rsid w:val="00B61727"/>
    <w:rsid w:val="00B637A5"/>
    <w:rsid w:val="00B64F39"/>
    <w:rsid w:val="00B65A00"/>
    <w:rsid w:val="00B66092"/>
    <w:rsid w:val="00B67551"/>
    <w:rsid w:val="00B70378"/>
    <w:rsid w:val="00B71389"/>
    <w:rsid w:val="00B71534"/>
    <w:rsid w:val="00B7156B"/>
    <w:rsid w:val="00B73ED9"/>
    <w:rsid w:val="00B7626E"/>
    <w:rsid w:val="00B767B8"/>
    <w:rsid w:val="00B76C27"/>
    <w:rsid w:val="00B81433"/>
    <w:rsid w:val="00B8161B"/>
    <w:rsid w:val="00B8364E"/>
    <w:rsid w:val="00B84EF9"/>
    <w:rsid w:val="00B86347"/>
    <w:rsid w:val="00B873D9"/>
    <w:rsid w:val="00B911FF"/>
    <w:rsid w:val="00B9129C"/>
    <w:rsid w:val="00B91727"/>
    <w:rsid w:val="00B93157"/>
    <w:rsid w:val="00B93E93"/>
    <w:rsid w:val="00B943E5"/>
    <w:rsid w:val="00B94A05"/>
    <w:rsid w:val="00B95663"/>
    <w:rsid w:val="00B9591A"/>
    <w:rsid w:val="00B95B4C"/>
    <w:rsid w:val="00B975DA"/>
    <w:rsid w:val="00BA1CFE"/>
    <w:rsid w:val="00BA2B0E"/>
    <w:rsid w:val="00BA2C2A"/>
    <w:rsid w:val="00BA2FD7"/>
    <w:rsid w:val="00BA3A5C"/>
    <w:rsid w:val="00BA45D3"/>
    <w:rsid w:val="00BA6EE9"/>
    <w:rsid w:val="00BA709C"/>
    <w:rsid w:val="00BA76CC"/>
    <w:rsid w:val="00BA7DE5"/>
    <w:rsid w:val="00BB032F"/>
    <w:rsid w:val="00BB0AA2"/>
    <w:rsid w:val="00BB2218"/>
    <w:rsid w:val="00BB2274"/>
    <w:rsid w:val="00BB24E4"/>
    <w:rsid w:val="00BB4536"/>
    <w:rsid w:val="00BB4A4C"/>
    <w:rsid w:val="00BB51CE"/>
    <w:rsid w:val="00BB5B10"/>
    <w:rsid w:val="00BB610E"/>
    <w:rsid w:val="00BB61B1"/>
    <w:rsid w:val="00BB6F98"/>
    <w:rsid w:val="00BB77B0"/>
    <w:rsid w:val="00BB79FA"/>
    <w:rsid w:val="00BC04BA"/>
    <w:rsid w:val="00BC0E8F"/>
    <w:rsid w:val="00BC2EAC"/>
    <w:rsid w:val="00BC32CA"/>
    <w:rsid w:val="00BC3B25"/>
    <w:rsid w:val="00BC5396"/>
    <w:rsid w:val="00BC54E6"/>
    <w:rsid w:val="00BC5738"/>
    <w:rsid w:val="00BC5821"/>
    <w:rsid w:val="00BD1458"/>
    <w:rsid w:val="00BD1977"/>
    <w:rsid w:val="00BD1B1F"/>
    <w:rsid w:val="00BD2ED3"/>
    <w:rsid w:val="00BD30AB"/>
    <w:rsid w:val="00BD4995"/>
    <w:rsid w:val="00BD5145"/>
    <w:rsid w:val="00BD525E"/>
    <w:rsid w:val="00BD571E"/>
    <w:rsid w:val="00BD75EE"/>
    <w:rsid w:val="00BD79F7"/>
    <w:rsid w:val="00BE1515"/>
    <w:rsid w:val="00BE1F3C"/>
    <w:rsid w:val="00BE219E"/>
    <w:rsid w:val="00BE2AC3"/>
    <w:rsid w:val="00BE3F41"/>
    <w:rsid w:val="00BE418E"/>
    <w:rsid w:val="00BE4960"/>
    <w:rsid w:val="00BE5736"/>
    <w:rsid w:val="00BE5D0C"/>
    <w:rsid w:val="00BE637F"/>
    <w:rsid w:val="00BE643A"/>
    <w:rsid w:val="00BE7B9F"/>
    <w:rsid w:val="00BF2F02"/>
    <w:rsid w:val="00BF5081"/>
    <w:rsid w:val="00BF53AE"/>
    <w:rsid w:val="00BF5483"/>
    <w:rsid w:val="00BF5C66"/>
    <w:rsid w:val="00BF68D7"/>
    <w:rsid w:val="00BF6D22"/>
    <w:rsid w:val="00BF6D40"/>
    <w:rsid w:val="00BF7928"/>
    <w:rsid w:val="00BF7A75"/>
    <w:rsid w:val="00C024B5"/>
    <w:rsid w:val="00C026E1"/>
    <w:rsid w:val="00C033FC"/>
    <w:rsid w:val="00C036D3"/>
    <w:rsid w:val="00C03B65"/>
    <w:rsid w:val="00C05237"/>
    <w:rsid w:val="00C06581"/>
    <w:rsid w:val="00C06BBD"/>
    <w:rsid w:val="00C07378"/>
    <w:rsid w:val="00C0753C"/>
    <w:rsid w:val="00C07E3C"/>
    <w:rsid w:val="00C10183"/>
    <w:rsid w:val="00C11393"/>
    <w:rsid w:val="00C128E7"/>
    <w:rsid w:val="00C12B9A"/>
    <w:rsid w:val="00C12DDE"/>
    <w:rsid w:val="00C1384E"/>
    <w:rsid w:val="00C1454C"/>
    <w:rsid w:val="00C14EFF"/>
    <w:rsid w:val="00C15F82"/>
    <w:rsid w:val="00C16813"/>
    <w:rsid w:val="00C16D63"/>
    <w:rsid w:val="00C17353"/>
    <w:rsid w:val="00C20A76"/>
    <w:rsid w:val="00C20D66"/>
    <w:rsid w:val="00C218CA"/>
    <w:rsid w:val="00C2221F"/>
    <w:rsid w:val="00C22945"/>
    <w:rsid w:val="00C244E7"/>
    <w:rsid w:val="00C25745"/>
    <w:rsid w:val="00C26FF1"/>
    <w:rsid w:val="00C27B7D"/>
    <w:rsid w:val="00C27FEC"/>
    <w:rsid w:val="00C30F85"/>
    <w:rsid w:val="00C33156"/>
    <w:rsid w:val="00C34F1D"/>
    <w:rsid w:val="00C358E4"/>
    <w:rsid w:val="00C3595D"/>
    <w:rsid w:val="00C36B98"/>
    <w:rsid w:val="00C36DA9"/>
    <w:rsid w:val="00C37020"/>
    <w:rsid w:val="00C3768C"/>
    <w:rsid w:val="00C4023C"/>
    <w:rsid w:val="00C41AC4"/>
    <w:rsid w:val="00C42ECF"/>
    <w:rsid w:val="00C43824"/>
    <w:rsid w:val="00C43C10"/>
    <w:rsid w:val="00C43C45"/>
    <w:rsid w:val="00C4543F"/>
    <w:rsid w:val="00C45F43"/>
    <w:rsid w:val="00C4619F"/>
    <w:rsid w:val="00C461EE"/>
    <w:rsid w:val="00C477D4"/>
    <w:rsid w:val="00C502E4"/>
    <w:rsid w:val="00C523EE"/>
    <w:rsid w:val="00C52AEB"/>
    <w:rsid w:val="00C52B0F"/>
    <w:rsid w:val="00C557A3"/>
    <w:rsid w:val="00C55C68"/>
    <w:rsid w:val="00C57475"/>
    <w:rsid w:val="00C613C8"/>
    <w:rsid w:val="00C619A2"/>
    <w:rsid w:val="00C61CE1"/>
    <w:rsid w:val="00C62113"/>
    <w:rsid w:val="00C62E3B"/>
    <w:rsid w:val="00C65085"/>
    <w:rsid w:val="00C65832"/>
    <w:rsid w:val="00C6773B"/>
    <w:rsid w:val="00C67B4A"/>
    <w:rsid w:val="00C71064"/>
    <w:rsid w:val="00C71B1A"/>
    <w:rsid w:val="00C71F2A"/>
    <w:rsid w:val="00C723B2"/>
    <w:rsid w:val="00C72E11"/>
    <w:rsid w:val="00C744F0"/>
    <w:rsid w:val="00C74B96"/>
    <w:rsid w:val="00C74E8D"/>
    <w:rsid w:val="00C758B3"/>
    <w:rsid w:val="00C76861"/>
    <w:rsid w:val="00C76A95"/>
    <w:rsid w:val="00C76F38"/>
    <w:rsid w:val="00C7736F"/>
    <w:rsid w:val="00C77D45"/>
    <w:rsid w:val="00C80807"/>
    <w:rsid w:val="00C80D4D"/>
    <w:rsid w:val="00C812E0"/>
    <w:rsid w:val="00C8213F"/>
    <w:rsid w:val="00C82DC7"/>
    <w:rsid w:val="00C83D87"/>
    <w:rsid w:val="00C86172"/>
    <w:rsid w:val="00C867CB"/>
    <w:rsid w:val="00C86A5A"/>
    <w:rsid w:val="00C87AFD"/>
    <w:rsid w:val="00C9174A"/>
    <w:rsid w:val="00C92C3C"/>
    <w:rsid w:val="00C93CAD"/>
    <w:rsid w:val="00C944E6"/>
    <w:rsid w:val="00C949C8"/>
    <w:rsid w:val="00C94B5C"/>
    <w:rsid w:val="00C94F37"/>
    <w:rsid w:val="00C951CA"/>
    <w:rsid w:val="00C95261"/>
    <w:rsid w:val="00C95A43"/>
    <w:rsid w:val="00C95F91"/>
    <w:rsid w:val="00C96E84"/>
    <w:rsid w:val="00C971F0"/>
    <w:rsid w:val="00CA007D"/>
    <w:rsid w:val="00CA2325"/>
    <w:rsid w:val="00CA23FB"/>
    <w:rsid w:val="00CA497C"/>
    <w:rsid w:val="00CA5838"/>
    <w:rsid w:val="00CA5FF3"/>
    <w:rsid w:val="00CA79F9"/>
    <w:rsid w:val="00CA7EEE"/>
    <w:rsid w:val="00CB20EB"/>
    <w:rsid w:val="00CB27C1"/>
    <w:rsid w:val="00CB3E26"/>
    <w:rsid w:val="00CB43F4"/>
    <w:rsid w:val="00CB44C2"/>
    <w:rsid w:val="00CB5712"/>
    <w:rsid w:val="00CB7F91"/>
    <w:rsid w:val="00CC34DA"/>
    <w:rsid w:val="00CC3DCB"/>
    <w:rsid w:val="00CC53AA"/>
    <w:rsid w:val="00CC6200"/>
    <w:rsid w:val="00CC6700"/>
    <w:rsid w:val="00CC7468"/>
    <w:rsid w:val="00CD1370"/>
    <w:rsid w:val="00CD1B0E"/>
    <w:rsid w:val="00CD21D4"/>
    <w:rsid w:val="00CD314C"/>
    <w:rsid w:val="00CD3A7E"/>
    <w:rsid w:val="00CD4D60"/>
    <w:rsid w:val="00CD4EB5"/>
    <w:rsid w:val="00CD4FE1"/>
    <w:rsid w:val="00CD5D83"/>
    <w:rsid w:val="00CD7094"/>
    <w:rsid w:val="00CD72EB"/>
    <w:rsid w:val="00CE0A1E"/>
    <w:rsid w:val="00CE15C8"/>
    <w:rsid w:val="00CE47D6"/>
    <w:rsid w:val="00CE5430"/>
    <w:rsid w:val="00CE5D4E"/>
    <w:rsid w:val="00CE5F09"/>
    <w:rsid w:val="00CE651E"/>
    <w:rsid w:val="00CE6C17"/>
    <w:rsid w:val="00CE722D"/>
    <w:rsid w:val="00CE7E38"/>
    <w:rsid w:val="00CF042F"/>
    <w:rsid w:val="00CF07A8"/>
    <w:rsid w:val="00CF0ACA"/>
    <w:rsid w:val="00CF1000"/>
    <w:rsid w:val="00CF1E5B"/>
    <w:rsid w:val="00CF2359"/>
    <w:rsid w:val="00CF2BE4"/>
    <w:rsid w:val="00CF4705"/>
    <w:rsid w:val="00CF703F"/>
    <w:rsid w:val="00CF7FA0"/>
    <w:rsid w:val="00D01E56"/>
    <w:rsid w:val="00D024C8"/>
    <w:rsid w:val="00D02CE1"/>
    <w:rsid w:val="00D02D39"/>
    <w:rsid w:val="00D03F02"/>
    <w:rsid w:val="00D05E90"/>
    <w:rsid w:val="00D068E2"/>
    <w:rsid w:val="00D077DA"/>
    <w:rsid w:val="00D07E51"/>
    <w:rsid w:val="00D10262"/>
    <w:rsid w:val="00D10E32"/>
    <w:rsid w:val="00D142FA"/>
    <w:rsid w:val="00D148D6"/>
    <w:rsid w:val="00D17228"/>
    <w:rsid w:val="00D17DE4"/>
    <w:rsid w:val="00D2082C"/>
    <w:rsid w:val="00D213BD"/>
    <w:rsid w:val="00D223F3"/>
    <w:rsid w:val="00D23830"/>
    <w:rsid w:val="00D24314"/>
    <w:rsid w:val="00D24B47"/>
    <w:rsid w:val="00D250C3"/>
    <w:rsid w:val="00D30242"/>
    <w:rsid w:val="00D30DC0"/>
    <w:rsid w:val="00D310F5"/>
    <w:rsid w:val="00D318A4"/>
    <w:rsid w:val="00D32200"/>
    <w:rsid w:val="00D335F0"/>
    <w:rsid w:val="00D34A02"/>
    <w:rsid w:val="00D37439"/>
    <w:rsid w:val="00D37596"/>
    <w:rsid w:val="00D40F15"/>
    <w:rsid w:val="00D40F2A"/>
    <w:rsid w:val="00D41C41"/>
    <w:rsid w:val="00D4202E"/>
    <w:rsid w:val="00D420FA"/>
    <w:rsid w:val="00D422EA"/>
    <w:rsid w:val="00D4277C"/>
    <w:rsid w:val="00D428DB"/>
    <w:rsid w:val="00D42E43"/>
    <w:rsid w:val="00D431D6"/>
    <w:rsid w:val="00D43393"/>
    <w:rsid w:val="00D44030"/>
    <w:rsid w:val="00D454E6"/>
    <w:rsid w:val="00D471C7"/>
    <w:rsid w:val="00D47408"/>
    <w:rsid w:val="00D52ADC"/>
    <w:rsid w:val="00D53195"/>
    <w:rsid w:val="00D532ED"/>
    <w:rsid w:val="00D5511E"/>
    <w:rsid w:val="00D564B5"/>
    <w:rsid w:val="00D56AB7"/>
    <w:rsid w:val="00D60DB3"/>
    <w:rsid w:val="00D644D1"/>
    <w:rsid w:val="00D64995"/>
    <w:rsid w:val="00D65161"/>
    <w:rsid w:val="00D67A93"/>
    <w:rsid w:val="00D67C04"/>
    <w:rsid w:val="00D7133A"/>
    <w:rsid w:val="00D71B9B"/>
    <w:rsid w:val="00D72937"/>
    <w:rsid w:val="00D73B30"/>
    <w:rsid w:val="00D74958"/>
    <w:rsid w:val="00D74E20"/>
    <w:rsid w:val="00D75032"/>
    <w:rsid w:val="00D75C41"/>
    <w:rsid w:val="00D75E0D"/>
    <w:rsid w:val="00D762A7"/>
    <w:rsid w:val="00D76569"/>
    <w:rsid w:val="00D76D7F"/>
    <w:rsid w:val="00D80663"/>
    <w:rsid w:val="00D855BF"/>
    <w:rsid w:val="00D85C40"/>
    <w:rsid w:val="00D863E7"/>
    <w:rsid w:val="00D8689F"/>
    <w:rsid w:val="00D904A2"/>
    <w:rsid w:val="00D90AA5"/>
    <w:rsid w:val="00D91496"/>
    <w:rsid w:val="00D92D03"/>
    <w:rsid w:val="00D950E3"/>
    <w:rsid w:val="00D96375"/>
    <w:rsid w:val="00D964DD"/>
    <w:rsid w:val="00D964E2"/>
    <w:rsid w:val="00DA03B6"/>
    <w:rsid w:val="00DA0D8E"/>
    <w:rsid w:val="00DA10B6"/>
    <w:rsid w:val="00DA132C"/>
    <w:rsid w:val="00DA1886"/>
    <w:rsid w:val="00DA231F"/>
    <w:rsid w:val="00DA2ADB"/>
    <w:rsid w:val="00DA2F2B"/>
    <w:rsid w:val="00DA3484"/>
    <w:rsid w:val="00DA4357"/>
    <w:rsid w:val="00DA6BF3"/>
    <w:rsid w:val="00DA75A0"/>
    <w:rsid w:val="00DA77A4"/>
    <w:rsid w:val="00DB0838"/>
    <w:rsid w:val="00DB0895"/>
    <w:rsid w:val="00DB08E1"/>
    <w:rsid w:val="00DB208A"/>
    <w:rsid w:val="00DB2698"/>
    <w:rsid w:val="00DB2D09"/>
    <w:rsid w:val="00DB2F59"/>
    <w:rsid w:val="00DB34D8"/>
    <w:rsid w:val="00DB383E"/>
    <w:rsid w:val="00DB395D"/>
    <w:rsid w:val="00DB5DA9"/>
    <w:rsid w:val="00DB64AE"/>
    <w:rsid w:val="00DB6804"/>
    <w:rsid w:val="00DB6AED"/>
    <w:rsid w:val="00DB6E98"/>
    <w:rsid w:val="00DB7E54"/>
    <w:rsid w:val="00DC0743"/>
    <w:rsid w:val="00DC172C"/>
    <w:rsid w:val="00DC1A7E"/>
    <w:rsid w:val="00DC1B7D"/>
    <w:rsid w:val="00DC1D08"/>
    <w:rsid w:val="00DC25AE"/>
    <w:rsid w:val="00DC2AC1"/>
    <w:rsid w:val="00DC2CAC"/>
    <w:rsid w:val="00DC41A9"/>
    <w:rsid w:val="00DC457A"/>
    <w:rsid w:val="00DC5352"/>
    <w:rsid w:val="00DC6353"/>
    <w:rsid w:val="00DC691B"/>
    <w:rsid w:val="00DD0317"/>
    <w:rsid w:val="00DD237C"/>
    <w:rsid w:val="00DD2524"/>
    <w:rsid w:val="00DD2CF9"/>
    <w:rsid w:val="00DD3AA2"/>
    <w:rsid w:val="00DD3CD0"/>
    <w:rsid w:val="00DD3D44"/>
    <w:rsid w:val="00DD445B"/>
    <w:rsid w:val="00DD53E3"/>
    <w:rsid w:val="00DD551F"/>
    <w:rsid w:val="00DD556C"/>
    <w:rsid w:val="00DD5584"/>
    <w:rsid w:val="00DD5591"/>
    <w:rsid w:val="00DD6738"/>
    <w:rsid w:val="00DD6DE2"/>
    <w:rsid w:val="00DE0B80"/>
    <w:rsid w:val="00DE0BC6"/>
    <w:rsid w:val="00DE1675"/>
    <w:rsid w:val="00DE192E"/>
    <w:rsid w:val="00DE1D0E"/>
    <w:rsid w:val="00DE1DAC"/>
    <w:rsid w:val="00DE30F9"/>
    <w:rsid w:val="00DE41A4"/>
    <w:rsid w:val="00DE4EB1"/>
    <w:rsid w:val="00DE4FF3"/>
    <w:rsid w:val="00DE5BA2"/>
    <w:rsid w:val="00DE5C22"/>
    <w:rsid w:val="00DE7048"/>
    <w:rsid w:val="00DE7362"/>
    <w:rsid w:val="00DE7415"/>
    <w:rsid w:val="00DE7AF6"/>
    <w:rsid w:val="00DE7F8E"/>
    <w:rsid w:val="00DF1A28"/>
    <w:rsid w:val="00DF1F9C"/>
    <w:rsid w:val="00DF35FF"/>
    <w:rsid w:val="00DF4028"/>
    <w:rsid w:val="00DF4D03"/>
    <w:rsid w:val="00DF4E35"/>
    <w:rsid w:val="00DF5D27"/>
    <w:rsid w:val="00DF6A1E"/>
    <w:rsid w:val="00DF77FA"/>
    <w:rsid w:val="00DF7A52"/>
    <w:rsid w:val="00E00ACA"/>
    <w:rsid w:val="00E00C4C"/>
    <w:rsid w:val="00E01CF8"/>
    <w:rsid w:val="00E01FCA"/>
    <w:rsid w:val="00E02E5A"/>
    <w:rsid w:val="00E0459D"/>
    <w:rsid w:val="00E04DE9"/>
    <w:rsid w:val="00E05442"/>
    <w:rsid w:val="00E059CD"/>
    <w:rsid w:val="00E05A3D"/>
    <w:rsid w:val="00E0681F"/>
    <w:rsid w:val="00E069B4"/>
    <w:rsid w:val="00E10C29"/>
    <w:rsid w:val="00E10E31"/>
    <w:rsid w:val="00E11D86"/>
    <w:rsid w:val="00E12E17"/>
    <w:rsid w:val="00E13469"/>
    <w:rsid w:val="00E13888"/>
    <w:rsid w:val="00E1481E"/>
    <w:rsid w:val="00E15C8C"/>
    <w:rsid w:val="00E15E8E"/>
    <w:rsid w:val="00E20575"/>
    <w:rsid w:val="00E2064A"/>
    <w:rsid w:val="00E20E7C"/>
    <w:rsid w:val="00E216C0"/>
    <w:rsid w:val="00E2182A"/>
    <w:rsid w:val="00E21C4C"/>
    <w:rsid w:val="00E220B2"/>
    <w:rsid w:val="00E22317"/>
    <w:rsid w:val="00E24272"/>
    <w:rsid w:val="00E243EE"/>
    <w:rsid w:val="00E249DE"/>
    <w:rsid w:val="00E24F69"/>
    <w:rsid w:val="00E2534B"/>
    <w:rsid w:val="00E25397"/>
    <w:rsid w:val="00E26A9C"/>
    <w:rsid w:val="00E274BF"/>
    <w:rsid w:val="00E27901"/>
    <w:rsid w:val="00E30D31"/>
    <w:rsid w:val="00E31018"/>
    <w:rsid w:val="00E31E2B"/>
    <w:rsid w:val="00E31F51"/>
    <w:rsid w:val="00E32104"/>
    <w:rsid w:val="00E338D7"/>
    <w:rsid w:val="00E343BE"/>
    <w:rsid w:val="00E35C09"/>
    <w:rsid w:val="00E36A91"/>
    <w:rsid w:val="00E3719D"/>
    <w:rsid w:val="00E37251"/>
    <w:rsid w:val="00E418D0"/>
    <w:rsid w:val="00E4225D"/>
    <w:rsid w:val="00E4235C"/>
    <w:rsid w:val="00E424D9"/>
    <w:rsid w:val="00E42D07"/>
    <w:rsid w:val="00E43A28"/>
    <w:rsid w:val="00E453FF"/>
    <w:rsid w:val="00E4611C"/>
    <w:rsid w:val="00E50B54"/>
    <w:rsid w:val="00E51145"/>
    <w:rsid w:val="00E51839"/>
    <w:rsid w:val="00E522BB"/>
    <w:rsid w:val="00E533B7"/>
    <w:rsid w:val="00E534BA"/>
    <w:rsid w:val="00E57D2A"/>
    <w:rsid w:val="00E60672"/>
    <w:rsid w:val="00E60FC3"/>
    <w:rsid w:val="00E62C15"/>
    <w:rsid w:val="00E63407"/>
    <w:rsid w:val="00E65E91"/>
    <w:rsid w:val="00E65FF9"/>
    <w:rsid w:val="00E67230"/>
    <w:rsid w:val="00E7059F"/>
    <w:rsid w:val="00E70A95"/>
    <w:rsid w:val="00E71254"/>
    <w:rsid w:val="00E73602"/>
    <w:rsid w:val="00E74D34"/>
    <w:rsid w:val="00E75A71"/>
    <w:rsid w:val="00E76EE3"/>
    <w:rsid w:val="00E80281"/>
    <w:rsid w:val="00E8215D"/>
    <w:rsid w:val="00E82378"/>
    <w:rsid w:val="00E8425F"/>
    <w:rsid w:val="00E854B0"/>
    <w:rsid w:val="00E859AB"/>
    <w:rsid w:val="00E85E93"/>
    <w:rsid w:val="00E86DE6"/>
    <w:rsid w:val="00E91447"/>
    <w:rsid w:val="00E91C19"/>
    <w:rsid w:val="00E92073"/>
    <w:rsid w:val="00E92617"/>
    <w:rsid w:val="00E94558"/>
    <w:rsid w:val="00E9480D"/>
    <w:rsid w:val="00E9532F"/>
    <w:rsid w:val="00E95582"/>
    <w:rsid w:val="00E9558A"/>
    <w:rsid w:val="00E968CE"/>
    <w:rsid w:val="00EA2152"/>
    <w:rsid w:val="00EA2221"/>
    <w:rsid w:val="00EA42F3"/>
    <w:rsid w:val="00EA4BA3"/>
    <w:rsid w:val="00EA5141"/>
    <w:rsid w:val="00EA718A"/>
    <w:rsid w:val="00EB00E6"/>
    <w:rsid w:val="00EB020E"/>
    <w:rsid w:val="00EB18CE"/>
    <w:rsid w:val="00EB2857"/>
    <w:rsid w:val="00EB29E3"/>
    <w:rsid w:val="00EB419F"/>
    <w:rsid w:val="00EB4824"/>
    <w:rsid w:val="00EB4F91"/>
    <w:rsid w:val="00EB5069"/>
    <w:rsid w:val="00EB5F87"/>
    <w:rsid w:val="00EB6389"/>
    <w:rsid w:val="00EB663A"/>
    <w:rsid w:val="00EB6AB9"/>
    <w:rsid w:val="00EB744C"/>
    <w:rsid w:val="00EB7CD2"/>
    <w:rsid w:val="00EC017A"/>
    <w:rsid w:val="00EC0B20"/>
    <w:rsid w:val="00EC0B25"/>
    <w:rsid w:val="00EC0D7C"/>
    <w:rsid w:val="00EC0E20"/>
    <w:rsid w:val="00EC1805"/>
    <w:rsid w:val="00EC252B"/>
    <w:rsid w:val="00EC2ED9"/>
    <w:rsid w:val="00EC2FD9"/>
    <w:rsid w:val="00EC368E"/>
    <w:rsid w:val="00EC3C9B"/>
    <w:rsid w:val="00EC44FA"/>
    <w:rsid w:val="00EC4E79"/>
    <w:rsid w:val="00ED01E6"/>
    <w:rsid w:val="00ED0E77"/>
    <w:rsid w:val="00ED252D"/>
    <w:rsid w:val="00ED3186"/>
    <w:rsid w:val="00ED4BEA"/>
    <w:rsid w:val="00ED683F"/>
    <w:rsid w:val="00ED69B0"/>
    <w:rsid w:val="00ED6A3E"/>
    <w:rsid w:val="00ED74B4"/>
    <w:rsid w:val="00ED7C9F"/>
    <w:rsid w:val="00EE0228"/>
    <w:rsid w:val="00EE034E"/>
    <w:rsid w:val="00EE0EAF"/>
    <w:rsid w:val="00EE1173"/>
    <w:rsid w:val="00EE25EF"/>
    <w:rsid w:val="00EE3462"/>
    <w:rsid w:val="00EE5874"/>
    <w:rsid w:val="00EE6ABE"/>
    <w:rsid w:val="00EF0F2C"/>
    <w:rsid w:val="00EF1700"/>
    <w:rsid w:val="00EF1BBB"/>
    <w:rsid w:val="00EF2C8B"/>
    <w:rsid w:val="00EF35B8"/>
    <w:rsid w:val="00EF5580"/>
    <w:rsid w:val="00EF5D1C"/>
    <w:rsid w:val="00EF6E69"/>
    <w:rsid w:val="00EF76D6"/>
    <w:rsid w:val="00F00FE5"/>
    <w:rsid w:val="00F0153D"/>
    <w:rsid w:val="00F01F7C"/>
    <w:rsid w:val="00F03270"/>
    <w:rsid w:val="00F043E2"/>
    <w:rsid w:val="00F044C7"/>
    <w:rsid w:val="00F06A96"/>
    <w:rsid w:val="00F071C6"/>
    <w:rsid w:val="00F07983"/>
    <w:rsid w:val="00F109CA"/>
    <w:rsid w:val="00F11017"/>
    <w:rsid w:val="00F1213D"/>
    <w:rsid w:val="00F1279B"/>
    <w:rsid w:val="00F12A6E"/>
    <w:rsid w:val="00F13F6D"/>
    <w:rsid w:val="00F14FE3"/>
    <w:rsid w:val="00F154AD"/>
    <w:rsid w:val="00F16CCA"/>
    <w:rsid w:val="00F17003"/>
    <w:rsid w:val="00F17750"/>
    <w:rsid w:val="00F17E49"/>
    <w:rsid w:val="00F20035"/>
    <w:rsid w:val="00F2010E"/>
    <w:rsid w:val="00F20572"/>
    <w:rsid w:val="00F20697"/>
    <w:rsid w:val="00F208AD"/>
    <w:rsid w:val="00F20A44"/>
    <w:rsid w:val="00F20CD5"/>
    <w:rsid w:val="00F21044"/>
    <w:rsid w:val="00F23A62"/>
    <w:rsid w:val="00F23F40"/>
    <w:rsid w:val="00F24508"/>
    <w:rsid w:val="00F2543F"/>
    <w:rsid w:val="00F25CC9"/>
    <w:rsid w:val="00F26E84"/>
    <w:rsid w:val="00F30147"/>
    <w:rsid w:val="00F30347"/>
    <w:rsid w:val="00F307D4"/>
    <w:rsid w:val="00F30B3A"/>
    <w:rsid w:val="00F31A11"/>
    <w:rsid w:val="00F31EAE"/>
    <w:rsid w:val="00F3367B"/>
    <w:rsid w:val="00F33700"/>
    <w:rsid w:val="00F33A88"/>
    <w:rsid w:val="00F34884"/>
    <w:rsid w:val="00F34954"/>
    <w:rsid w:val="00F35B72"/>
    <w:rsid w:val="00F36A49"/>
    <w:rsid w:val="00F37177"/>
    <w:rsid w:val="00F3735A"/>
    <w:rsid w:val="00F377FB"/>
    <w:rsid w:val="00F37DFC"/>
    <w:rsid w:val="00F415A6"/>
    <w:rsid w:val="00F41906"/>
    <w:rsid w:val="00F42D1E"/>
    <w:rsid w:val="00F42EBA"/>
    <w:rsid w:val="00F43E68"/>
    <w:rsid w:val="00F44F81"/>
    <w:rsid w:val="00F46669"/>
    <w:rsid w:val="00F46A72"/>
    <w:rsid w:val="00F46F5F"/>
    <w:rsid w:val="00F47943"/>
    <w:rsid w:val="00F47B47"/>
    <w:rsid w:val="00F504BA"/>
    <w:rsid w:val="00F50989"/>
    <w:rsid w:val="00F51190"/>
    <w:rsid w:val="00F5179E"/>
    <w:rsid w:val="00F52C48"/>
    <w:rsid w:val="00F52CFE"/>
    <w:rsid w:val="00F53E51"/>
    <w:rsid w:val="00F54081"/>
    <w:rsid w:val="00F54E30"/>
    <w:rsid w:val="00F54EF0"/>
    <w:rsid w:val="00F55CD7"/>
    <w:rsid w:val="00F560AA"/>
    <w:rsid w:val="00F5798F"/>
    <w:rsid w:val="00F60870"/>
    <w:rsid w:val="00F62001"/>
    <w:rsid w:val="00F62784"/>
    <w:rsid w:val="00F64817"/>
    <w:rsid w:val="00F655A9"/>
    <w:rsid w:val="00F65B9D"/>
    <w:rsid w:val="00F66309"/>
    <w:rsid w:val="00F66B4A"/>
    <w:rsid w:val="00F66EB2"/>
    <w:rsid w:val="00F676FA"/>
    <w:rsid w:val="00F67AA3"/>
    <w:rsid w:val="00F7232E"/>
    <w:rsid w:val="00F754F2"/>
    <w:rsid w:val="00F758B4"/>
    <w:rsid w:val="00F75D6C"/>
    <w:rsid w:val="00F75F8E"/>
    <w:rsid w:val="00F80AD2"/>
    <w:rsid w:val="00F81BB5"/>
    <w:rsid w:val="00F81E7C"/>
    <w:rsid w:val="00F8244F"/>
    <w:rsid w:val="00F82510"/>
    <w:rsid w:val="00F82B62"/>
    <w:rsid w:val="00F82CD7"/>
    <w:rsid w:val="00F82F64"/>
    <w:rsid w:val="00F850A4"/>
    <w:rsid w:val="00F860BB"/>
    <w:rsid w:val="00F86BB4"/>
    <w:rsid w:val="00F87593"/>
    <w:rsid w:val="00F87ABE"/>
    <w:rsid w:val="00F90BD8"/>
    <w:rsid w:val="00F914AE"/>
    <w:rsid w:val="00F929FA"/>
    <w:rsid w:val="00F92D6E"/>
    <w:rsid w:val="00F941C0"/>
    <w:rsid w:val="00F94885"/>
    <w:rsid w:val="00F94984"/>
    <w:rsid w:val="00F94B38"/>
    <w:rsid w:val="00F94BEB"/>
    <w:rsid w:val="00F974D8"/>
    <w:rsid w:val="00F97B09"/>
    <w:rsid w:val="00FA0C66"/>
    <w:rsid w:val="00FA0DE8"/>
    <w:rsid w:val="00FA228B"/>
    <w:rsid w:val="00FA2E8F"/>
    <w:rsid w:val="00FA3525"/>
    <w:rsid w:val="00FA4BC4"/>
    <w:rsid w:val="00FB0C78"/>
    <w:rsid w:val="00FB1576"/>
    <w:rsid w:val="00FB1954"/>
    <w:rsid w:val="00FB35CE"/>
    <w:rsid w:val="00FB388E"/>
    <w:rsid w:val="00FB3BFA"/>
    <w:rsid w:val="00FB6FD9"/>
    <w:rsid w:val="00FC01B8"/>
    <w:rsid w:val="00FC0510"/>
    <w:rsid w:val="00FC17AD"/>
    <w:rsid w:val="00FC1BAE"/>
    <w:rsid w:val="00FC3217"/>
    <w:rsid w:val="00FC4D04"/>
    <w:rsid w:val="00FC5394"/>
    <w:rsid w:val="00FC7A69"/>
    <w:rsid w:val="00FC7A70"/>
    <w:rsid w:val="00FD194C"/>
    <w:rsid w:val="00FD3DE6"/>
    <w:rsid w:val="00FD49FD"/>
    <w:rsid w:val="00FD4CE2"/>
    <w:rsid w:val="00FD73E5"/>
    <w:rsid w:val="00FD7760"/>
    <w:rsid w:val="00FD77C0"/>
    <w:rsid w:val="00FD7BA8"/>
    <w:rsid w:val="00FE0AE2"/>
    <w:rsid w:val="00FE1B10"/>
    <w:rsid w:val="00FE1EF4"/>
    <w:rsid w:val="00FE2555"/>
    <w:rsid w:val="00FE33AF"/>
    <w:rsid w:val="00FE445E"/>
    <w:rsid w:val="00FE4899"/>
    <w:rsid w:val="00FE5103"/>
    <w:rsid w:val="00FE69DB"/>
    <w:rsid w:val="00FF04EC"/>
    <w:rsid w:val="00FF0804"/>
    <w:rsid w:val="00FF1F6D"/>
    <w:rsid w:val="00FF443A"/>
    <w:rsid w:val="00FF4A74"/>
    <w:rsid w:val="00FF6BE0"/>
    <w:rsid w:val="00FF6CCB"/>
    <w:rsid w:val="00FF7F70"/>
    <w:rsid w:val="021250F2"/>
    <w:rsid w:val="022479BF"/>
    <w:rsid w:val="03A956E5"/>
    <w:rsid w:val="03EC0177"/>
    <w:rsid w:val="03EE0393"/>
    <w:rsid w:val="0491109A"/>
    <w:rsid w:val="049B247D"/>
    <w:rsid w:val="04C6147B"/>
    <w:rsid w:val="05080FE1"/>
    <w:rsid w:val="05970C81"/>
    <w:rsid w:val="06580D37"/>
    <w:rsid w:val="06851E05"/>
    <w:rsid w:val="06CE3597"/>
    <w:rsid w:val="08FA42A7"/>
    <w:rsid w:val="09BF06F0"/>
    <w:rsid w:val="0A860A29"/>
    <w:rsid w:val="0A917CCA"/>
    <w:rsid w:val="0B184192"/>
    <w:rsid w:val="0B970DE5"/>
    <w:rsid w:val="0BBC3F02"/>
    <w:rsid w:val="0BE87F23"/>
    <w:rsid w:val="0DDF0FDF"/>
    <w:rsid w:val="0DE346C5"/>
    <w:rsid w:val="0DE469F3"/>
    <w:rsid w:val="0DF05006"/>
    <w:rsid w:val="0F143499"/>
    <w:rsid w:val="101552DD"/>
    <w:rsid w:val="104B658D"/>
    <w:rsid w:val="12130CCF"/>
    <w:rsid w:val="122E739E"/>
    <w:rsid w:val="13755A68"/>
    <w:rsid w:val="13CC58CF"/>
    <w:rsid w:val="13D0003E"/>
    <w:rsid w:val="145204CA"/>
    <w:rsid w:val="15130B7D"/>
    <w:rsid w:val="156C05A2"/>
    <w:rsid w:val="15AD0FD1"/>
    <w:rsid w:val="16265028"/>
    <w:rsid w:val="16595D68"/>
    <w:rsid w:val="165D794D"/>
    <w:rsid w:val="16B32726"/>
    <w:rsid w:val="16C073EA"/>
    <w:rsid w:val="16DE635F"/>
    <w:rsid w:val="17287E88"/>
    <w:rsid w:val="174232A4"/>
    <w:rsid w:val="179D5D3C"/>
    <w:rsid w:val="1800023D"/>
    <w:rsid w:val="18773013"/>
    <w:rsid w:val="1888270D"/>
    <w:rsid w:val="18EC00CF"/>
    <w:rsid w:val="19067AD5"/>
    <w:rsid w:val="1A01190C"/>
    <w:rsid w:val="1A826984"/>
    <w:rsid w:val="1ADB3611"/>
    <w:rsid w:val="1B7C7BDB"/>
    <w:rsid w:val="1B946BE7"/>
    <w:rsid w:val="1CD766A8"/>
    <w:rsid w:val="1D352C93"/>
    <w:rsid w:val="1D714A0B"/>
    <w:rsid w:val="1E3D6448"/>
    <w:rsid w:val="1E474D4D"/>
    <w:rsid w:val="1ED20A0E"/>
    <w:rsid w:val="1FA134B3"/>
    <w:rsid w:val="1FFC753C"/>
    <w:rsid w:val="20143080"/>
    <w:rsid w:val="205C35B9"/>
    <w:rsid w:val="206B7589"/>
    <w:rsid w:val="211010CC"/>
    <w:rsid w:val="211F1734"/>
    <w:rsid w:val="212240F3"/>
    <w:rsid w:val="21BF0821"/>
    <w:rsid w:val="21CA604C"/>
    <w:rsid w:val="21EC21E7"/>
    <w:rsid w:val="22AD2307"/>
    <w:rsid w:val="231B3512"/>
    <w:rsid w:val="231D7560"/>
    <w:rsid w:val="23A14683"/>
    <w:rsid w:val="245C67FB"/>
    <w:rsid w:val="24635E7D"/>
    <w:rsid w:val="24B14B5B"/>
    <w:rsid w:val="24D64800"/>
    <w:rsid w:val="258D5AAF"/>
    <w:rsid w:val="260777CB"/>
    <w:rsid w:val="2609649A"/>
    <w:rsid w:val="263C0693"/>
    <w:rsid w:val="268D462B"/>
    <w:rsid w:val="274176DD"/>
    <w:rsid w:val="27543939"/>
    <w:rsid w:val="278B2413"/>
    <w:rsid w:val="27E743CA"/>
    <w:rsid w:val="27F118E5"/>
    <w:rsid w:val="27FB1276"/>
    <w:rsid w:val="282B2188"/>
    <w:rsid w:val="28523318"/>
    <w:rsid w:val="28590917"/>
    <w:rsid w:val="28AE6D65"/>
    <w:rsid w:val="28CB15D7"/>
    <w:rsid w:val="293263B3"/>
    <w:rsid w:val="2949275E"/>
    <w:rsid w:val="2A015E1B"/>
    <w:rsid w:val="2A6B0ED0"/>
    <w:rsid w:val="2BD30778"/>
    <w:rsid w:val="2C1F2A1F"/>
    <w:rsid w:val="2C730B86"/>
    <w:rsid w:val="2D6A53A3"/>
    <w:rsid w:val="2D8E56CE"/>
    <w:rsid w:val="2DA5159B"/>
    <w:rsid w:val="2DA63B8C"/>
    <w:rsid w:val="2E26328B"/>
    <w:rsid w:val="2E2E2324"/>
    <w:rsid w:val="2E71013A"/>
    <w:rsid w:val="2F1E1CFF"/>
    <w:rsid w:val="2FC37F17"/>
    <w:rsid w:val="2FCB57E4"/>
    <w:rsid w:val="300E1BA8"/>
    <w:rsid w:val="303529BA"/>
    <w:rsid w:val="322F493E"/>
    <w:rsid w:val="33F22F90"/>
    <w:rsid w:val="34487CF9"/>
    <w:rsid w:val="35C228FA"/>
    <w:rsid w:val="35F65B88"/>
    <w:rsid w:val="36724D02"/>
    <w:rsid w:val="36EB4F5A"/>
    <w:rsid w:val="37BE184F"/>
    <w:rsid w:val="37F52EE9"/>
    <w:rsid w:val="394D0F3D"/>
    <w:rsid w:val="39FC4A44"/>
    <w:rsid w:val="3A9D5E85"/>
    <w:rsid w:val="3B3C77EA"/>
    <w:rsid w:val="3BA26D92"/>
    <w:rsid w:val="3C192416"/>
    <w:rsid w:val="3C74540B"/>
    <w:rsid w:val="3CA4187F"/>
    <w:rsid w:val="3D157604"/>
    <w:rsid w:val="3D191474"/>
    <w:rsid w:val="3D4023D8"/>
    <w:rsid w:val="3E681366"/>
    <w:rsid w:val="3E783C60"/>
    <w:rsid w:val="3E9D06E7"/>
    <w:rsid w:val="3EC05EAD"/>
    <w:rsid w:val="3FFB0793"/>
    <w:rsid w:val="40270D63"/>
    <w:rsid w:val="40332294"/>
    <w:rsid w:val="40592330"/>
    <w:rsid w:val="410A40C6"/>
    <w:rsid w:val="411A1168"/>
    <w:rsid w:val="414164AA"/>
    <w:rsid w:val="41823F00"/>
    <w:rsid w:val="427F7566"/>
    <w:rsid w:val="42CF234F"/>
    <w:rsid w:val="43610F7C"/>
    <w:rsid w:val="4397201D"/>
    <w:rsid w:val="43CF7267"/>
    <w:rsid w:val="43E574D9"/>
    <w:rsid w:val="44A43B7B"/>
    <w:rsid w:val="464C5D5E"/>
    <w:rsid w:val="467B2A76"/>
    <w:rsid w:val="46B66F71"/>
    <w:rsid w:val="46E74DE9"/>
    <w:rsid w:val="47160567"/>
    <w:rsid w:val="488F2F34"/>
    <w:rsid w:val="48EF0478"/>
    <w:rsid w:val="4935502F"/>
    <w:rsid w:val="495F3893"/>
    <w:rsid w:val="49E84F30"/>
    <w:rsid w:val="4A2E5198"/>
    <w:rsid w:val="4AF13892"/>
    <w:rsid w:val="4AFF7D5D"/>
    <w:rsid w:val="4BBF2226"/>
    <w:rsid w:val="4BC81235"/>
    <w:rsid w:val="4CCF2F3B"/>
    <w:rsid w:val="4CD61BE0"/>
    <w:rsid w:val="4D1A3483"/>
    <w:rsid w:val="4DA43A02"/>
    <w:rsid w:val="4E0D35E9"/>
    <w:rsid w:val="4EB82EEB"/>
    <w:rsid w:val="4F0C1F2F"/>
    <w:rsid w:val="4F2C0D29"/>
    <w:rsid w:val="4F652159"/>
    <w:rsid w:val="502136CA"/>
    <w:rsid w:val="50CA7193"/>
    <w:rsid w:val="515C5068"/>
    <w:rsid w:val="51937771"/>
    <w:rsid w:val="522968FD"/>
    <w:rsid w:val="524B6656"/>
    <w:rsid w:val="525F5585"/>
    <w:rsid w:val="52630BD1"/>
    <w:rsid w:val="536D4005"/>
    <w:rsid w:val="53710C04"/>
    <w:rsid w:val="542B11E0"/>
    <w:rsid w:val="5463070C"/>
    <w:rsid w:val="54AA6D09"/>
    <w:rsid w:val="54D25434"/>
    <w:rsid w:val="551A519E"/>
    <w:rsid w:val="551E55B5"/>
    <w:rsid w:val="55DF0246"/>
    <w:rsid w:val="55F6162D"/>
    <w:rsid w:val="565A6340"/>
    <w:rsid w:val="570B5E72"/>
    <w:rsid w:val="570E72ED"/>
    <w:rsid w:val="57720022"/>
    <w:rsid w:val="584C374D"/>
    <w:rsid w:val="58BD0A48"/>
    <w:rsid w:val="598918A5"/>
    <w:rsid w:val="59A03372"/>
    <w:rsid w:val="5A266FC0"/>
    <w:rsid w:val="5A9474FC"/>
    <w:rsid w:val="5AD7388B"/>
    <w:rsid w:val="5AF30F60"/>
    <w:rsid w:val="5B003AC0"/>
    <w:rsid w:val="5B162181"/>
    <w:rsid w:val="5B3466C4"/>
    <w:rsid w:val="5B410690"/>
    <w:rsid w:val="5BA6155E"/>
    <w:rsid w:val="5C1F21B2"/>
    <w:rsid w:val="5CB14E71"/>
    <w:rsid w:val="5CB4245B"/>
    <w:rsid w:val="5E445F05"/>
    <w:rsid w:val="5E993BCD"/>
    <w:rsid w:val="5EC12F08"/>
    <w:rsid w:val="5F2049FB"/>
    <w:rsid w:val="5F2D2C93"/>
    <w:rsid w:val="5FA502CA"/>
    <w:rsid w:val="5FD27710"/>
    <w:rsid w:val="60D00B30"/>
    <w:rsid w:val="6117122F"/>
    <w:rsid w:val="61AC36FA"/>
    <w:rsid w:val="61FD25A1"/>
    <w:rsid w:val="62F30EEC"/>
    <w:rsid w:val="63DC35A6"/>
    <w:rsid w:val="642701AC"/>
    <w:rsid w:val="64E132F6"/>
    <w:rsid w:val="652E6D08"/>
    <w:rsid w:val="656A04B9"/>
    <w:rsid w:val="65835E7B"/>
    <w:rsid w:val="659A37F1"/>
    <w:rsid w:val="659E32B5"/>
    <w:rsid w:val="65EC0A86"/>
    <w:rsid w:val="66230FB3"/>
    <w:rsid w:val="664F5ADA"/>
    <w:rsid w:val="66BD6B7E"/>
    <w:rsid w:val="66E511A9"/>
    <w:rsid w:val="671D7D71"/>
    <w:rsid w:val="679D028A"/>
    <w:rsid w:val="67E82CD1"/>
    <w:rsid w:val="67F67331"/>
    <w:rsid w:val="68585004"/>
    <w:rsid w:val="68592C4A"/>
    <w:rsid w:val="68AB0123"/>
    <w:rsid w:val="68E84EF2"/>
    <w:rsid w:val="690F638E"/>
    <w:rsid w:val="69773283"/>
    <w:rsid w:val="69C20EDA"/>
    <w:rsid w:val="69FD0DD4"/>
    <w:rsid w:val="6A2D0931"/>
    <w:rsid w:val="6A670B9B"/>
    <w:rsid w:val="6B2C72F9"/>
    <w:rsid w:val="6BAF6759"/>
    <w:rsid w:val="6D107750"/>
    <w:rsid w:val="6D77157D"/>
    <w:rsid w:val="6DDF30E4"/>
    <w:rsid w:val="6E5A4C84"/>
    <w:rsid w:val="6EA000C5"/>
    <w:rsid w:val="6EBE1D77"/>
    <w:rsid w:val="6EDC63AB"/>
    <w:rsid w:val="6F5C3995"/>
    <w:rsid w:val="6F7278D8"/>
    <w:rsid w:val="6FE10BDC"/>
    <w:rsid w:val="700C06A3"/>
    <w:rsid w:val="7091578D"/>
    <w:rsid w:val="70A37E16"/>
    <w:rsid w:val="70BB77CA"/>
    <w:rsid w:val="70F2135C"/>
    <w:rsid w:val="70FB0C71"/>
    <w:rsid w:val="711F2CDA"/>
    <w:rsid w:val="71F17EDB"/>
    <w:rsid w:val="72175B12"/>
    <w:rsid w:val="7289422C"/>
    <w:rsid w:val="728D720C"/>
    <w:rsid w:val="74E83E15"/>
    <w:rsid w:val="74ED3DA4"/>
    <w:rsid w:val="757C3D47"/>
    <w:rsid w:val="75E03B34"/>
    <w:rsid w:val="75EE6384"/>
    <w:rsid w:val="761656E6"/>
    <w:rsid w:val="764B63E7"/>
    <w:rsid w:val="76A33CAD"/>
    <w:rsid w:val="76D756CE"/>
    <w:rsid w:val="776B3A1B"/>
    <w:rsid w:val="78853310"/>
    <w:rsid w:val="78AD41E5"/>
    <w:rsid w:val="79F62071"/>
    <w:rsid w:val="7A394528"/>
    <w:rsid w:val="7B007056"/>
    <w:rsid w:val="7B6650AE"/>
    <w:rsid w:val="7C731F58"/>
    <w:rsid w:val="7E154B08"/>
    <w:rsid w:val="7E517E56"/>
    <w:rsid w:val="7EDA3BF4"/>
    <w:rsid w:val="7F6E4E2D"/>
    <w:rsid w:val="7FAB59B3"/>
    <w:rsid w:val="7FCD3F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99" w:semiHidden="0"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44"/>
    <w:autoRedefine/>
    <w:qFormat/>
    <w:uiPriority w:val="9"/>
    <w:pPr>
      <w:keepNext/>
      <w:keepLines/>
      <w:spacing w:beforeLines="100" w:afterLines="100" w:line="400" w:lineRule="exact"/>
      <w:jc w:val="center"/>
      <w:outlineLvl w:val="0"/>
    </w:pPr>
    <w:rPr>
      <w:b/>
      <w:bCs/>
      <w:kern w:val="44"/>
      <w:sz w:val="44"/>
      <w:szCs w:val="44"/>
    </w:rPr>
  </w:style>
  <w:style w:type="paragraph" w:styleId="2">
    <w:name w:val="heading 2"/>
    <w:basedOn w:val="1"/>
    <w:next w:val="1"/>
    <w:link w:val="45"/>
    <w:autoRedefine/>
    <w:qFormat/>
    <w:uiPriority w:val="0"/>
    <w:pPr>
      <w:keepNext/>
      <w:jc w:val="center"/>
      <w:outlineLvl w:val="1"/>
    </w:pPr>
    <w:rPr>
      <w:rFonts w:ascii="Cambria" w:hAnsi="Cambria"/>
      <w:b/>
      <w:bCs/>
      <w:sz w:val="30"/>
      <w:szCs w:val="32"/>
    </w:rPr>
  </w:style>
  <w:style w:type="paragraph" w:styleId="4">
    <w:name w:val="heading 3"/>
    <w:basedOn w:val="1"/>
    <w:next w:val="1"/>
    <w:link w:val="46"/>
    <w:autoRedefine/>
    <w:qFormat/>
    <w:uiPriority w:val="9"/>
    <w:pPr>
      <w:keepNext/>
      <w:tabs>
        <w:tab w:val="left" w:pos="720"/>
      </w:tabs>
      <w:spacing w:line="240" w:lineRule="atLeast"/>
      <w:ind w:left="720" w:hanging="720"/>
      <w:jc w:val="center"/>
      <w:outlineLvl w:val="2"/>
    </w:pPr>
    <w:rPr>
      <w:b/>
      <w:bCs/>
      <w:kern w:val="0"/>
      <w:sz w:val="32"/>
      <w:szCs w:val="32"/>
    </w:rPr>
  </w:style>
  <w:style w:type="paragraph" w:styleId="5">
    <w:name w:val="heading 4"/>
    <w:basedOn w:val="1"/>
    <w:next w:val="1"/>
    <w:link w:val="47"/>
    <w:autoRedefine/>
    <w:qFormat/>
    <w:uiPriority w:val="9"/>
    <w:pPr>
      <w:keepNext/>
      <w:keepLines/>
      <w:spacing w:before="280" w:after="290" w:line="374" w:lineRule="auto"/>
      <w:outlineLvl w:val="3"/>
    </w:pPr>
    <w:rPr>
      <w:rFonts w:ascii="Cambria" w:hAnsi="Cambria"/>
      <w:b/>
      <w:bCs/>
      <w:kern w:val="0"/>
      <w:sz w:val="28"/>
      <w:szCs w:val="28"/>
    </w:rPr>
  </w:style>
  <w:style w:type="paragraph" w:styleId="6">
    <w:name w:val="heading 5"/>
    <w:basedOn w:val="1"/>
    <w:next w:val="1"/>
    <w:link w:val="48"/>
    <w:autoRedefine/>
    <w:semiHidden/>
    <w:unhideWhenUsed/>
    <w:qFormat/>
    <w:uiPriority w:val="9"/>
    <w:pPr>
      <w:keepNext/>
      <w:keepLines/>
      <w:spacing w:line="372" w:lineRule="auto"/>
      <w:ind w:left="1008" w:hanging="1008"/>
      <w:outlineLvl w:val="4"/>
    </w:pPr>
    <w:rPr>
      <w:rFonts w:asciiTheme="minorHAnsi" w:hAnsiTheme="minorHAnsi" w:eastAsiaTheme="minorEastAsia" w:cstheme="minorBidi"/>
      <w:b/>
      <w:sz w:val="28"/>
      <w:szCs w:val="22"/>
    </w:rPr>
  </w:style>
  <w:style w:type="paragraph" w:styleId="7">
    <w:name w:val="heading 6"/>
    <w:basedOn w:val="1"/>
    <w:next w:val="1"/>
    <w:link w:val="132"/>
    <w:autoRedefine/>
    <w:semiHidden/>
    <w:unhideWhenUsed/>
    <w:qFormat/>
    <w:uiPriority w:val="9"/>
    <w:pPr>
      <w:keepNext/>
      <w:keepLines/>
      <w:spacing w:line="317" w:lineRule="auto"/>
      <w:ind w:left="1151" w:hanging="1151"/>
      <w:outlineLvl w:val="5"/>
    </w:pPr>
    <w:rPr>
      <w:rFonts w:ascii="Arial" w:hAnsi="Arial" w:eastAsia="黑体" w:cstheme="minorBidi"/>
      <w:b/>
      <w:sz w:val="24"/>
      <w:szCs w:val="22"/>
    </w:rPr>
  </w:style>
  <w:style w:type="paragraph" w:styleId="8">
    <w:name w:val="heading 7"/>
    <w:basedOn w:val="1"/>
    <w:next w:val="1"/>
    <w:link w:val="133"/>
    <w:autoRedefine/>
    <w:semiHidden/>
    <w:unhideWhenUsed/>
    <w:qFormat/>
    <w:uiPriority w:val="9"/>
    <w:pPr>
      <w:keepNext/>
      <w:keepLines/>
      <w:spacing w:line="317" w:lineRule="auto"/>
      <w:ind w:left="1296" w:hanging="1296"/>
      <w:outlineLvl w:val="6"/>
    </w:pPr>
    <w:rPr>
      <w:rFonts w:asciiTheme="minorHAnsi" w:hAnsiTheme="minorHAnsi" w:eastAsiaTheme="minorEastAsia" w:cstheme="minorBidi"/>
      <w:b/>
      <w:sz w:val="24"/>
      <w:szCs w:val="22"/>
    </w:rPr>
  </w:style>
  <w:style w:type="paragraph" w:styleId="9">
    <w:name w:val="heading 8"/>
    <w:basedOn w:val="1"/>
    <w:next w:val="1"/>
    <w:link w:val="134"/>
    <w:autoRedefine/>
    <w:semiHidden/>
    <w:unhideWhenUsed/>
    <w:qFormat/>
    <w:uiPriority w:val="9"/>
    <w:pPr>
      <w:keepNext/>
      <w:keepLines/>
      <w:spacing w:line="317" w:lineRule="auto"/>
      <w:ind w:left="1440" w:hanging="1440"/>
      <w:outlineLvl w:val="7"/>
    </w:pPr>
    <w:rPr>
      <w:rFonts w:ascii="Arial" w:hAnsi="Arial" w:eastAsia="黑体" w:cstheme="minorBidi"/>
      <w:sz w:val="24"/>
      <w:szCs w:val="22"/>
    </w:rPr>
  </w:style>
  <w:style w:type="paragraph" w:styleId="10">
    <w:name w:val="heading 9"/>
    <w:basedOn w:val="1"/>
    <w:next w:val="1"/>
    <w:link w:val="135"/>
    <w:autoRedefine/>
    <w:semiHidden/>
    <w:unhideWhenUsed/>
    <w:qFormat/>
    <w:uiPriority w:val="9"/>
    <w:pPr>
      <w:keepNext/>
      <w:keepLines/>
      <w:spacing w:line="317" w:lineRule="auto"/>
      <w:ind w:left="1583" w:hanging="1583"/>
      <w:outlineLvl w:val="8"/>
    </w:pPr>
    <w:rPr>
      <w:rFonts w:ascii="Arial" w:hAnsi="Arial" w:eastAsia="黑体" w:cstheme="minorBidi"/>
      <w:szCs w:val="22"/>
    </w:rPr>
  </w:style>
  <w:style w:type="character" w:default="1" w:styleId="37">
    <w:name w:val="Default Paragraph Font"/>
    <w:autoRedefine/>
    <w:semiHidden/>
    <w:unhideWhenUsed/>
    <w:qFormat/>
    <w:uiPriority w:val="1"/>
  </w:style>
  <w:style w:type="table" w:default="1" w:styleId="35">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link w:val="49"/>
    <w:autoRedefine/>
    <w:qFormat/>
    <w:uiPriority w:val="0"/>
    <w:pPr>
      <w:widowControl/>
      <w:adjustRightInd w:val="0"/>
      <w:snapToGrid w:val="0"/>
      <w:spacing w:line="480" w:lineRule="exact"/>
      <w:ind w:firstLine="567"/>
    </w:pPr>
    <w:rPr>
      <w:rFonts w:ascii="宋体"/>
      <w:snapToGrid w:val="0"/>
      <w:color w:val="000000"/>
      <w:kern w:val="28"/>
      <w:sz w:val="28"/>
    </w:rPr>
  </w:style>
  <w:style w:type="paragraph" w:styleId="12">
    <w:name w:val="Document Map"/>
    <w:basedOn w:val="1"/>
    <w:link w:val="50"/>
    <w:autoRedefine/>
    <w:qFormat/>
    <w:uiPriority w:val="0"/>
    <w:pPr>
      <w:shd w:val="clear" w:color="auto" w:fill="000080"/>
    </w:pPr>
    <w:rPr>
      <w:kern w:val="0"/>
      <w:sz w:val="2"/>
    </w:rPr>
  </w:style>
  <w:style w:type="paragraph" w:styleId="13">
    <w:name w:val="toa heading"/>
    <w:basedOn w:val="1"/>
    <w:next w:val="1"/>
    <w:autoRedefine/>
    <w:semiHidden/>
    <w:unhideWhenUsed/>
    <w:qFormat/>
    <w:uiPriority w:val="99"/>
    <w:pPr>
      <w:spacing w:before="120"/>
    </w:pPr>
    <w:rPr>
      <w:rFonts w:ascii="Arial" w:hAnsi="Arial" w:cs="Arial"/>
      <w:sz w:val="24"/>
      <w:szCs w:val="24"/>
    </w:rPr>
  </w:style>
  <w:style w:type="paragraph" w:styleId="14">
    <w:name w:val="annotation text"/>
    <w:basedOn w:val="1"/>
    <w:link w:val="51"/>
    <w:autoRedefine/>
    <w:qFormat/>
    <w:uiPriority w:val="0"/>
    <w:pPr>
      <w:jc w:val="left"/>
    </w:pPr>
  </w:style>
  <w:style w:type="paragraph" w:styleId="15">
    <w:name w:val="Body Text"/>
    <w:basedOn w:val="1"/>
    <w:next w:val="16"/>
    <w:link w:val="52"/>
    <w:autoRedefine/>
    <w:qFormat/>
    <w:uiPriority w:val="0"/>
    <w:rPr>
      <w:kern w:val="0"/>
      <w:sz w:val="20"/>
    </w:rPr>
  </w:style>
  <w:style w:type="paragraph" w:customStyle="1" w:styleId="16">
    <w:name w:val="自动更正"/>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17">
    <w:name w:val="Body Text Indent"/>
    <w:basedOn w:val="1"/>
    <w:link w:val="53"/>
    <w:autoRedefine/>
    <w:qFormat/>
    <w:uiPriority w:val="0"/>
    <w:pPr>
      <w:spacing w:line="380" w:lineRule="exact"/>
      <w:ind w:firstLine="480"/>
    </w:pPr>
    <w:rPr>
      <w:kern w:val="0"/>
      <w:sz w:val="20"/>
    </w:rPr>
  </w:style>
  <w:style w:type="paragraph" w:styleId="18">
    <w:name w:val="Block Text"/>
    <w:basedOn w:val="1"/>
    <w:autoRedefine/>
    <w:qFormat/>
    <w:uiPriority w:val="0"/>
    <w:pPr>
      <w:adjustRightInd w:val="0"/>
      <w:snapToGrid w:val="0"/>
      <w:spacing w:line="360" w:lineRule="auto"/>
      <w:ind w:left="567" w:leftChars="270" w:right="-315" w:rightChars="-150" w:firstLine="480" w:firstLineChars="200"/>
    </w:pPr>
    <w:rPr>
      <w:rFonts w:ascii="宋体"/>
      <w:sz w:val="24"/>
      <w:szCs w:val="24"/>
    </w:rPr>
  </w:style>
  <w:style w:type="paragraph" w:styleId="19">
    <w:name w:val="toc 3"/>
    <w:basedOn w:val="1"/>
    <w:next w:val="1"/>
    <w:autoRedefine/>
    <w:qFormat/>
    <w:uiPriority w:val="39"/>
    <w:pPr>
      <w:ind w:left="840" w:leftChars="400"/>
    </w:pPr>
  </w:style>
  <w:style w:type="paragraph" w:styleId="20">
    <w:name w:val="Plain Text"/>
    <w:basedOn w:val="1"/>
    <w:link w:val="54"/>
    <w:autoRedefine/>
    <w:qFormat/>
    <w:uiPriority w:val="0"/>
    <w:rPr>
      <w:rFonts w:ascii="宋体" w:hAnsi="Courier New"/>
      <w:kern w:val="0"/>
      <w:szCs w:val="21"/>
    </w:rPr>
  </w:style>
  <w:style w:type="paragraph" w:styleId="21">
    <w:name w:val="Date"/>
    <w:basedOn w:val="1"/>
    <w:next w:val="1"/>
    <w:link w:val="55"/>
    <w:autoRedefine/>
    <w:qFormat/>
    <w:uiPriority w:val="0"/>
    <w:rPr>
      <w:sz w:val="28"/>
    </w:rPr>
  </w:style>
  <w:style w:type="paragraph" w:styleId="22">
    <w:name w:val="Body Text Indent 2"/>
    <w:basedOn w:val="1"/>
    <w:link w:val="56"/>
    <w:autoRedefine/>
    <w:qFormat/>
    <w:uiPriority w:val="0"/>
    <w:pPr>
      <w:tabs>
        <w:tab w:val="left" w:pos="240"/>
        <w:tab w:val="left" w:pos="480"/>
      </w:tabs>
      <w:ind w:left="630" w:leftChars="300"/>
    </w:pPr>
    <w:rPr>
      <w:kern w:val="0"/>
      <w:sz w:val="20"/>
    </w:rPr>
  </w:style>
  <w:style w:type="paragraph" w:styleId="23">
    <w:name w:val="Balloon Text"/>
    <w:basedOn w:val="1"/>
    <w:link w:val="57"/>
    <w:autoRedefine/>
    <w:qFormat/>
    <w:uiPriority w:val="0"/>
    <w:rPr>
      <w:sz w:val="18"/>
      <w:szCs w:val="18"/>
    </w:rPr>
  </w:style>
  <w:style w:type="paragraph" w:styleId="24">
    <w:name w:val="footer"/>
    <w:basedOn w:val="1"/>
    <w:link w:val="58"/>
    <w:autoRedefine/>
    <w:qFormat/>
    <w:uiPriority w:val="99"/>
    <w:pPr>
      <w:tabs>
        <w:tab w:val="center" w:pos="4153"/>
        <w:tab w:val="right" w:pos="8306"/>
      </w:tabs>
      <w:snapToGrid w:val="0"/>
      <w:jc w:val="left"/>
    </w:pPr>
    <w:rPr>
      <w:kern w:val="0"/>
      <w:sz w:val="18"/>
      <w:szCs w:val="18"/>
    </w:rPr>
  </w:style>
  <w:style w:type="paragraph" w:styleId="25">
    <w:name w:val="header"/>
    <w:basedOn w:val="1"/>
    <w:link w:val="59"/>
    <w:autoRedefine/>
    <w:qFormat/>
    <w:uiPriority w:val="99"/>
    <w:pPr>
      <w:pBdr>
        <w:bottom w:val="single" w:color="auto" w:sz="6" w:space="1"/>
      </w:pBdr>
      <w:tabs>
        <w:tab w:val="center" w:pos="4153"/>
        <w:tab w:val="right" w:pos="8306"/>
      </w:tabs>
      <w:snapToGrid w:val="0"/>
      <w:jc w:val="center"/>
    </w:pPr>
    <w:rPr>
      <w:kern w:val="0"/>
      <w:sz w:val="18"/>
      <w:szCs w:val="18"/>
    </w:rPr>
  </w:style>
  <w:style w:type="paragraph" w:styleId="26">
    <w:name w:val="toc 1"/>
    <w:basedOn w:val="1"/>
    <w:next w:val="1"/>
    <w:autoRedefine/>
    <w:qFormat/>
    <w:uiPriority w:val="39"/>
    <w:rPr>
      <w:sz w:val="24"/>
    </w:rPr>
  </w:style>
  <w:style w:type="paragraph" w:styleId="27">
    <w:name w:val="Body Text Indent 3"/>
    <w:basedOn w:val="1"/>
    <w:link w:val="60"/>
    <w:autoRedefine/>
    <w:qFormat/>
    <w:uiPriority w:val="0"/>
    <w:pPr>
      <w:spacing w:after="120"/>
      <w:ind w:left="420" w:leftChars="200"/>
    </w:pPr>
    <w:rPr>
      <w:sz w:val="16"/>
      <w:szCs w:val="16"/>
    </w:rPr>
  </w:style>
  <w:style w:type="paragraph" w:styleId="28">
    <w:name w:val="toc 2"/>
    <w:basedOn w:val="1"/>
    <w:next w:val="1"/>
    <w:autoRedefine/>
    <w:qFormat/>
    <w:uiPriority w:val="39"/>
    <w:pPr>
      <w:ind w:left="420" w:leftChars="200"/>
    </w:pPr>
  </w:style>
  <w:style w:type="paragraph" w:styleId="29">
    <w:name w:val="Body Text 2"/>
    <w:basedOn w:val="1"/>
    <w:link w:val="61"/>
    <w:autoRedefine/>
    <w:qFormat/>
    <w:uiPriority w:val="0"/>
    <w:pPr>
      <w:spacing w:after="120" w:line="480" w:lineRule="auto"/>
    </w:pPr>
    <w:rPr>
      <w:kern w:val="0"/>
      <w:sz w:val="20"/>
    </w:rPr>
  </w:style>
  <w:style w:type="paragraph" w:styleId="30">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styleId="31">
    <w:name w:val="Title"/>
    <w:basedOn w:val="1"/>
    <w:next w:val="1"/>
    <w:autoRedefine/>
    <w:qFormat/>
    <w:uiPriority w:val="0"/>
    <w:pPr>
      <w:spacing w:before="240" w:after="60"/>
      <w:outlineLvl w:val="0"/>
    </w:pPr>
    <w:rPr>
      <w:rFonts w:ascii="等线 Light" w:hAnsi="等线 Light" w:eastAsia="黑体"/>
      <w:bCs/>
      <w:sz w:val="28"/>
      <w:szCs w:val="32"/>
    </w:rPr>
  </w:style>
  <w:style w:type="paragraph" w:styleId="32">
    <w:name w:val="annotation subject"/>
    <w:basedOn w:val="14"/>
    <w:next w:val="14"/>
    <w:link w:val="62"/>
    <w:autoRedefine/>
    <w:qFormat/>
    <w:uiPriority w:val="0"/>
    <w:rPr>
      <w:b/>
      <w:bCs/>
    </w:rPr>
  </w:style>
  <w:style w:type="paragraph" w:styleId="33">
    <w:name w:val="Body Text First Indent"/>
    <w:basedOn w:val="15"/>
    <w:link w:val="63"/>
    <w:autoRedefine/>
    <w:unhideWhenUsed/>
    <w:qFormat/>
    <w:uiPriority w:val="99"/>
    <w:pPr>
      <w:spacing w:after="120"/>
      <w:ind w:firstLine="420" w:firstLineChars="100"/>
    </w:pPr>
    <w:rPr>
      <w:kern w:val="2"/>
      <w:sz w:val="21"/>
    </w:rPr>
  </w:style>
  <w:style w:type="paragraph" w:styleId="34">
    <w:name w:val="Body Text First Indent 2"/>
    <w:basedOn w:val="17"/>
    <w:next w:val="1"/>
    <w:autoRedefine/>
    <w:unhideWhenUsed/>
    <w:qFormat/>
    <w:uiPriority w:val="0"/>
    <w:pPr>
      <w:spacing w:after="120" w:line="240" w:lineRule="auto"/>
      <w:ind w:left="420" w:leftChars="200" w:firstLine="420" w:firstLineChars="200"/>
    </w:pPr>
    <w:rPr>
      <w:rFonts w:ascii="Calibri" w:hAnsi="Calibri"/>
      <w:sz w:val="21"/>
      <w:szCs w:val="24"/>
    </w:rPr>
  </w:style>
  <w:style w:type="table" w:styleId="36">
    <w:name w:val="Table Grid"/>
    <w:basedOn w:val="35"/>
    <w:autoRedefine/>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38">
    <w:name w:val="Strong"/>
    <w:autoRedefine/>
    <w:qFormat/>
    <w:uiPriority w:val="0"/>
    <w:rPr>
      <w:b/>
      <w:bCs/>
    </w:rPr>
  </w:style>
  <w:style w:type="character" w:styleId="39">
    <w:name w:val="page number"/>
    <w:basedOn w:val="37"/>
    <w:autoRedefine/>
    <w:qFormat/>
    <w:uiPriority w:val="0"/>
    <w:rPr>
      <w:rFonts w:cs="Times New Roman"/>
    </w:rPr>
  </w:style>
  <w:style w:type="character" w:styleId="40">
    <w:name w:val="FollowedHyperlink"/>
    <w:autoRedefine/>
    <w:qFormat/>
    <w:uiPriority w:val="99"/>
    <w:rPr>
      <w:rFonts w:cs="Times New Roman"/>
      <w:color w:val="800080"/>
      <w:u w:val="single"/>
    </w:rPr>
  </w:style>
  <w:style w:type="character" w:styleId="41">
    <w:name w:val="HTML Typewriter"/>
    <w:autoRedefine/>
    <w:qFormat/>
    <w:uiPriority w:val="99"/>
    <w:rPr>
      <w:rFonts w:ascii="Courier New" w:hAnsi="Courier New" w:cs="Courier New"/>
      <w:sz w:val="20"/>
      <w:szCs w:val="20"/>
    </w:rPr>
  </w:style>
  <w:style w:type="character" w:styleId="42">
    <w:name w:val="Hyperlink"/>
    <w:autoRedefine/>
    <w:qFormat/>
    <w:uiPriority w:val="99"/>
    <w:rPr>
      <w:rFonts w:cs="Times New Roman"/>
      <w:color w:val="0000FF"/>
      <w:u w:val="single"/>
    </w:rPr>
  </w:style>
  <w:style w:type="character" w:styleId="43">
    <w:name w:val="annotation reference"/>
    <w:basedOn w:val="37"/>
    <w:autoRedefine/>
    <w:qFormat/>
    <w:uiPriority w:val="99"/>
    <w:rPr>
      <w:sz w:val="21"/>
      <w:szCs w:val="21"/>
    </w:rPr>
  </w:style>
  <w:style w:type="character" w:customStyle="1" w:styleId="44">
    <w:name w:val="标题 1 字符"/>
    <w:link w:val="3"/>
    <w:autoRedefine/>
    <w:qFormat/>
    <w:uiPriority w:val="0"/>
    <w:rPr>
      <w:rFonts w:cs="Times New Roman"/>
      <w:b/>
      <w:bCs/>
      <w:kern w:val="44"/>
      <w:sz w:val="44"/>
      <w:szCs w:val="44"/>
    </w:rPr>
  </w:style>
  <w:style w:type="character" w:customStyle="1" w:styleId="45">
    <w:name w:val="标题 2 字符"/>
    <w:link w:val="2"/>
    <w:autoRedefine/>
    <w:qFormat/>
    <w:uiPriority w:val="0"/>
    <w:rPr>
      <w:rFonts w:ascii="Cambria" w:hAnsi="Cambria"/>
      <w:b/>
      <w:bCs/>
      <w:kern w:val="2"/>
      <w:sz w:val="30"/>
      <w:szCs w:val="32"/>
    </w:rPr>
  </w:style>
  <w:style w:type="character" w:customStyle="1" w:styleId="46">
    <w:name w:val="标题 3 字符"/>
    <w:link w:val="4"/>
    <w:autoRedefine/>
    <w:qFormat/>
    <w:uiPriority w:val="0"/>
    <w:rPr>
      <w:rFonts w:cs="Times New Roman"/>
      <w:b/>
      <w:bCs/>
      <w:sz w:val="32"/>
      <w:szCs w:val="32"/>
    </w:rPr>
  </w:style>
  <w:style w:type="character" w:customStyle="1" w:styleId="47">
    <w:name w:val="标题 4 字符"/>
    <w:link w:val="5"/>
    <w:autoRedefine/>
    <w:qFormat/>
    <w:uiPriority w:val="0"/>
    <w:rPr>
      <w:rFonts w:ascii="Cambria" w:hAnsi="Cambria" w:eastAsia="宋体" w:cs="Times New Roman"/>
      <w:b/>
      <w:bCs/>
      <w:sz w:val="28"/>
      <w:szCs w:val="28"/>
    </w:rPr>
  </w:style>
  <w:style w:type="character" w:customStyle="1" w:styleId="48">
    <w:name w:val="标题 5 字符"/>
    <w:basedOn w:val="37"/>
    <w:link w:val="6"/>
    <w:autoRedefine/>
    <w:semiHidden/>
    <w:qFormat/>
    <w:uiPriority w:val="9"/>
    <w:rPr>
      <w:rFonts w:asciiTheme="minorHAnsi" w:hAnsiTheme="minorHAnsi" w:eastAsiaTheme="minorEastAsia" w:cstheme="minorBidi"/>
      <w:b/>
      <w:kern w:val="2"/>
      <w:sz w:val="28"/>
      <w:szCs w:val="22"/>
    </w:rPr>
  </w:style>
  <w:style w:type="character" w:customStyle="1" w:styleId="49">
    <w:name w:val="正文缩进 字符"/>
    <w:link w:val="11"/>
    <w:autoRedefine/>
    <w:qFormat/>
    <w:uiPriority w:val="0"/>
    <w:rPr>
      <w:rFonts w:ascii="宋体" w:eastAsia="宋体"/>
      <w:snapToGrid w:val="0"/>
      <w:color w:val="000000"/>
      <w:kern w:val="28"/>
      <w:sz w:val="28"/>
      <w:lang w:val="en-US" w:eastAsia="zh-CN" w:bidi="ar-SA"/>
    </w:rPr>
  </w:style>
  <w:style w:type="character" w:customStyle="1" w:styleId="50">
    <w:name w:val="文档结构图 字符"/>
    <w:link w:val="12"/>
    <w:autoRedefine/>
    <w:qFormat/>
    <w:uiPriority w:val="0"/>
    <w:rPr>
      <w:rFonts w:cs="Times New Roman"/>
      <w:sz w:val="2"/>
    </w:rPr>
  </w:style>
  <w:style w:type="character" w:customStyle="1" w:styleId="51">
    <w:name w:val="批注文字 字符"/>
    <w:basedOn w:val="37"/>
    <w:link w:val="14"/>
    <w:autoRedefine/>
    <w:qFormat/>
    <w:uiPriority w:val="99"/>
    <w:rPr>
      <w:kern w:val="2"/>
      <w:sz w:val="21"/>
    </w:rPr>
  </w:style>
  <w:style w:type="character" w:customStyle="1" w:styleId="52">
    <w:name w:val="正文文本 字符"/>
    <w:link w:val="15"/>
    <w:autoRedefine/>
    <w:qFormat/>
    <w:uiPriority w:val="0"/>
    <w:rPr>
      <w:rFonts w:cs="Times New Roman"/>
      <w:sz w:val="20"/>
      <w:szCs w:val="20"/>
    </w:rPr>
  </w:style>
  <w:style w:type="character" w:customStyle="1" w:styleId="53">
    <w:name w:val="正文文本缩进 字符"/>
    <w:link w:val="17"/>
    <w:autoRedefine/>
    <w:qFormat/>
    <w:uiPriority w:val="0"/>
    <w:rPr>
      <w:rFonts w:cs="Times New Roman"/>
      <w:sz w:val="20"/>
      <w:szCs w:val="20"/>
    </w:rPr>
  </w:style>
  <w:style w:type="character" w:customStyle="1" w:styleId="54">
    <w:name w:val="纯文本 字符"/>
    <w:link w:val="20"/>
    <w:autoRedefine/>
    <w:qFormat/>
    <w:uiPriority w:val="0"/>
    <w:rPr>
      <w:rFonts w:ascii="宋体" w:hAnsi="Courier New" w:cs="Courier New"/>
      <w:sz w:val="21"/>
      <w:szCs w:val="21"/>
    </w:rPr>
  </w:style>
  <w:style w:type="character" w:customStyle="1" w:styleId="55">
    <w:name w:val="日期 字符"/>
    <w:link w:val="21"/>
    <w:autoRedefine/>
    <w:qFormat/>
    <w:uiPriority w:val="0"/>
    <w:rPr>
      <w:rFonts w:cs="Times New Roman"/>
      <w:kern w:val="2"/>
      <w:sz w:val="28"/>
    </w:rPr>
  </w:style>
  <w:style w:type="character" w:customStyle="1" w:styleId="56">
    <w:name w:val="正文文本缩进 2 字符"/>
    <w:link w:val="22"/>
    <w:autoRedefine/>
    <w:qFormat/>
    <w:uiPriority w:val="0"/>
    <w:rPr>
      <w:rFonts w:cs="Times New Roman"/>
      <w:sz w:val="20"/>
      <w:szCs w:val="20"/>
    </w:rPr>
  </w:style>
  <w:style w:type="character" w:customStyle="1" w:styleId="57">
    <w:name w:val="批注框文本 字符"/>
    <w:basedOn w:val="37"/>
    <w:link w:val="23"/>
    <w:autoRedefine/>
    <w:qFormat/>
    <w:uiPriority w:val="0"/>
    <w:rPr>
      <w:rFonts w:ascii="Times New Roman" w:hAnsi="Times New Roman" w:eastAsia="宋体" w:cs="Times New Roman"/>
      <w:kern w:val="2"/>
      <w:sz w:val="18"/>
      <w:szCs w:val="18"/>
    </w:rPr>
  </w:style>
  <w:style w:type="character" w:customStyle="1" w:styleId="58">
    <w:name w:val="页脚 字符"/>
    <w:link w:val="24"/>
    <w:autoRedefine/>
    <w:qFormat/>
    <w:uiPriority w:val="99"/>
    <w:rPr>
      <w:rFonts w:cs="Times New Roman"/>
      <w:sz w:val="18"/>
      <w:szCs w:val="18"/>
    </w:rPr>
  </w:style>
  <w:style w:type="character" w:customStyle="1" w:styleId="59">
    <w:name w:val="页眉 字符"/>
    <w:link w:val="25"/>
    <w:autoRedefine/>
    <w:qFormat/>
    <w:uiPriority w:val="99"/>
    <w:rPr>
      <w:rFonts w:cs="Times New Roman"/>
      <w:sz w:val="18"/>
      <w:szCs w:val="18"/>
    </w:rPr>
  </w:style>
  <w:style w:type="character" w:customStyle="1" w:styleId="60">
    <w:name w:val="正文文本缩进 3 字符"/>
    <w:link w:val="27"/>
    <w:autoRedefine/>
    <w:qFormat/>
    <w:uiPriority w:val="0"/>
    <w:rPr>
      <w:rFonts w:cs="Times New Roman"/>
      <w:kern w:val="2"/>
      <w:sz w:val="16"/>
      <w:szCs w:val="16"/>
    </w:rPr>
  </w:style>
  <w:style w:type="character" w:customStyle="1" w:styleId="61">
    <w:name w:val="正文文本 2 字符"/>
    <w:link w:val="29"/>
    <w:autoRedefine/>
    <w:qFormat/>
    <w:uiPriority w:val="0"/>
    <w:rPr>
      <w:rFonts w:cs="Times New Roman"/>
      <w:sz w:val="20"/>
      <w:szCs w:val="20"/>
    </w:rPr>
  </w:style>
  <w:style w:type="character" w:customStyle="1" w:styleId="62">
    <w:name w:val="批注主题 字符"/>
    <w:basedOn w:val="51"/>
    <w:link w:val="32"/>
    <w:autoRedefine/>
    <w:qFormat/>
    <w:uiPriority w:val="0"/>
    <w:rPr>
      <w:b/>
      <w:bCs/>
      <w:kern w:val="2"/>
      <w:sz w:val="21"/>
    </w:rPr>
  </w:style>
  <w:style w:type="character" w:customStyle="1" w:styleId="63">
    <w:name w:val="正文文本首行缩进 字符"/>
    <w:link w:val="33"/>
    <w:autoRedefine/>
    <w:qFormat/>
    <w:uiPriority w:val="99"/>
    <w:rPr>
      <w:rFonts w:cs="Times New Roman"/>
      <w:kern w:val="2"/>
      <w:sz w:val="21"/>
      <w:szCs w:val="20"/>
    </w:rPr>
  </w:style>
  <w:style w:type="character" w:customStyle="1" w:styleId="64">
    <w:name w:val="普通文字 Char Char2"/>
    <w:autoRedefine/>
    <w:qFormat/>
    <w:locked/>
    <w:uiPriority w:val="0"/>
    <w:rPr>
      <w:rFonts w:ascii="宋体" w:hAnsi="Courier New" w:eastAsia="宋体" w:cs="Times New Roman"/>
      <w:kern w:val="2"/>
      <w:sz w:val="21"/>
      <w:lang w:val="en-US" w:eastAsia="zh-CN" w:bidi="ar-SA"/>
    </w:rPr>
  </w:style>
  <w:style w:type="character" w:customStyle="1" w:styleId="65">
    <w:name w:val="_正文段落 Char"/>
    <w:link w:val="66"/>
    <w:autoRedefine/>
    <w:qFormat/>
    <w:uiPriority w:val="0"/>
    <w:rPr>
      <w:rFonts w:ascii="仿宋_GB2312" w:eastAsia="仿宋_GB2312"/>
      <w:sz w:val="28"/>
      <w:szCs w:val="24"/>
    </w:rPr>
  </w:style>
  <w:style w:type="paragraph" w:customStyle="1" w:styleId="66">
    <w:name w:val="_正文段落"/>
    <w:basedOn w:val="1"/>
    <w:link w:val="65"/>
    <w:autoRedefine/>
    <w:qFormat/>
    <w:uiPriority w:val="0"/>
    <w:pPr>
      <w:spacing w:line="360" w:lineRule="auto"/>
      <w:ind w:firstLine="200" w:firstLineChars="200"/>
    </w:pPr>
    <w:rPr>
      <w:rFonts w:ascii="仿宋_GB2312" w:eastAsia="仿宋_GB2312"/>
      <w:kern w:val="0"/>
      <w:sz w:val="28"/>
      <w:szCs w:val="24"/>
    </w:rPr>
  </w:style>
  <w:style w:type="character" w:customStyle="1" w:styleId="67">
    <w:name w:val="内容"/>
    <w:autoRedefine/>
    <w:qFormat/>
    <w:uiPriority w:val="0"/>
    <w:rPr>
      <w:rFonts w:ascii="华文细黑" w:eastAsia="华文细黑"/>
      <w:color w:val="75787B"/>
      <w:sz w:val="20"/>
      <w:u w:val="none"/>
    </w:rPr>
  </w:style>
  <w:style w:type="character" w:customStyle="1" w:styleId="68">
    <w:name w:val="纯文本 Char1"/>
    <w:autoRedefine/>
    <w:qFormat/>
    <w:uiPriority w:val="99"/>
    <w:rPr>
      <w:rFonts w:ascii="宋体" w:hAnsi="Courier New" w:eastAsia="宋体"/>
      <w:kern w:val="2"/>
      <w:sz w:val="21"/>
      <w:lang w:val="en-US" w:eastAsia="zh-CN" w:bidi="ar-SA"/>
    </w:rPr>
  </w:style>
  <w:style w:type="character" w:customStyle="1" w:styleId="69">
    <w:name w:val="ca-31"/>
    <w:autoRedefine/>
    <w:qFormat/>
    <w:uiPriority w:val="0"/>
    <w:rPr>
      <w:rFonts w:hint="eastAsia" w:ascii="宋体" w:hAnsi="宋体" w:eastAsia="宋体"/>
      <w:sz w:val="21"/>
      <w:szCs w:val="21"/>
    </w:rPr>
  </w:style>
  <w:style w:type="character" w:customStyle="1" w:styleId="70">
    <w:name w:val="正文2 Char Char"/>
    <w:link w:val="71"/>
    <w:autoRedefine/>
    <w:qFormat/>
    <w:uiPriority w:val="0"/>
    <w:rPr>
      <w:rFonts w:eastAsia="宋体"/>
      <w:kern w:val="2"/>
      <w:sz w:val="24"/>
      <w:lang w:val="en-US" w:eastAsia="zh-CN" w:bidi="ar-SA"/>
    </w:rPr>
  </w:style>
  <w:style w:type="paragraph" w:customStyle="1" w:styleId="71">
    <w:name w:val="正文2"/>
    <w:basedOn w:val="1"/>
    <w:link w:val="70"/>
    <w:autoRedefine/>
    <w:qFormat/>
    <w:uiPriority w:val="0"/>
    <w:pPr>
      <w:spacing w:before="156" w:line="360" w:lineRule="auto"/>
      <w:ind w:firstLine="510" w:firstLineChars="200"/>
    </w:pPr>
    <w:rPr>
      <w:sz w:val="24"/>
    </w:rPr>
  </w:style>
  <w:style w:type="character" w:customStyle="1" w:styleId="72">
    <w:name w:val="ca-51"/>
    <w:autoRedefine/>
    <w:qFormat/>
    <w:uiPriority w:val="0"/>
    <w:rPr>
      <w:rFonts w:hint="eastAsia" w:ascii="宋体" w:hAnsi="宋体" w:eastAsia="宋体"/>
      <w:color w:val="FF0000"/>
      <w:sz w:val="21"/>
      <w:szCs w:val="21"/>
    </w:rPr>
  </w:style>
  <w:style w:type="paragraph" w:customStyle="1" w:styleId="73">
    <w:name w:val="纸短情长，再祈珍重！"/>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4">
    <w:name w:val="主题:"/>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5">
    <w:name w:val="分手多日，近况如何？"/>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6">
    <w:name w:val="Char1"/>
    <w:basedOn w:val="12"/>
    <w:autoRedefine/>
    <w:qFormat/>
    <w:uiPriority w:val="0"/>
    <w:pPr>
      <w:adjustRightInd w:val="0"/>
      <w:spacing w:line="436" w:lineRule="exact"/>
      <w:ind w:left="357"/>
      <w:jc w:val="left"/>
      <w:outlineLvl w:val="3"/>
    </w:pPr>
  </w:style>
  <w:style w:type="paragraph" w:customStyle="1" w:styleId="77">
    <w:name w:val="创建日期"/>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8">
    <w:name w:val="机密、页码、日期"/>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9">
    <w:name w:val="xl28"/>
    <w:basedOn w:val="1"/>
    <w:autoRedefine/>
    <w:qFormat/>
    <w:uiPriority w:val="0"/>
    <w:pPr>
      <w:widowControl/>
      <w:pBdr>
        <w:bottom w:val="single" w:color="auto" w:sz="4" w:space="0"/>
      </w:pBdr>
      <w:spacing w:before="100" w:beforeAutospacing="1" w:after="100" w:afterAutospacing="1"/>
      <w:jc w:val="left"/>
    </w:pPr>
    <w:rPr>
      <w:rFonts w:ascii="宋体" w:hAnsi="宋体"/>
      <w:kern w:val="0"/>
      <w:sz w:val="24"/>
      <w:szCs w:val="24"/>
    </w:rPr>
  </w:style>
  <w:style w:type="paragraph" w:customStyle="1" w:styleId="80">
    <w:name w:val="奉读大示，心折殊深。"/>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1">
    <w:name w:val="文件名和路径"/>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2">
    <w:name w:val="匆此先复，余容后禀。"/>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3">
    <w:name w:val="叩请金安！"/>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4">
    <w:name w:val="参考:"/>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5">
    <w:name w:val="Char Char Char Char Char Char"/>
    <w:basedOn w:val="1"/>
    <w:autoRedefine/>
    <w:qFormat/>
    <w:uiPriority w:val="0"/>
    <w:pPr>
      <w:ind w:firstLine="200" w:firstLineChars="200"/>
    </w:pPr>
    <w:rPr>
      <w:rFonts w:ascii="Tahoma" w:hAnsi="Tahoma"/>
      <w:sz w:val="24"/>
    </w:rPr>
  </w:style>
  <w:style w:type="paragraph" w:styleId="86">
    <w:name w:val="No Spacing"/>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7">
    <w:name w:val="音问久疏，唯愿一切康适。"/>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8">
    <w:name w:val="Char2 Char Char"/>
    <w:basedOn w:val="1"/>
    <w:autoRedefine/>
    <w:qFormat/>
    <w:uiPriority w:val="0"/>
    <w:rPr>
      <w:rFonts w:ascii="Tahoma" w:hAnsi="Tahoma"/>
      <w:sz w:val="24"/>
    </w:rPr>
  </w:style>
  <w:style w:type="paragraph" w:customStyle="1" w:styleId="89">
    <w:name w:val="惠书敬悉，迟复为歉。"/>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0">
    <w:name w:val="- 页码 -"/>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1">
    <w:name w:val="近来寒暑不常，希自珍慰。"/>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2">
    <w:name w:val="Char Char Char"/>
    <w:basedOn w:val="1"/>
    <w:autoRedefine/>
    <w:qFormat/>
    <w:uiPriority w:val="0"/>
    <w:rPr>
      <w:rFonts w:ascii="Tahoma" w:hAnsi="Tahoma"/>
      <w:sz w:val="24"/>
    </w:rPr>
  </w:style>
  <w:style w:type="paragraph" w:customStyle="1" w:styleId="93">
    <w:name w:val="知尊恙复发，心甚念之。"/>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4">
    <w:name w:val="奉恳之事，乞速复为荷。"/>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5">
    <w:name w:val="请勿折叠！"/>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96">
    <w:name w:val="List Paragraph"/>
    <w:basedOn w:val="1"/>
    <w:autoRedefine/>
    <w:qFormat/>
    <w:uiPriority w:val="34"/>
    <w:pPr>
      <w:ind w:firstLine="420" w:firstLineChars="200"/>
    </w:pPr>
  </w:style>
  <w:style w:type="paragraph" w:customStyle="1" w:styleId="97">
    <w:name w:val="上次保存者"/>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8">
    <w:name w:val="作者、页码、日期"/>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9">
    <w:name w:val="答复:"/>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0">
    <w:name w:val="TOC 标题1"/>
    <w:basedOn w:val="3"/>
    <w:next w:val="1"/>
    <w:autoRedefine/>
    <w:qFormat/>
    <w:uiPriority w:val="0"/>
    <w:pPr>
      <w:widowControl/>
      <w:spacing w:beforeLines="0" w:line="276" w:lineRule="auto"/>
      <w:jc w:val="left"/>
      <w:outlineLvl w:val="9"/>
    </w:pPr>
    <w:rPr>
      <w:rFonts w:ascii="Cambria" w:hAnsi="Cambria"/>
      <w:bCs w:val="0"/>
      <w:color w:val="365F91"/>
      <w:kern w:val="0"/>
      <w:sz w:val="28"/>
      <w:szCs w:val="28"/>
    </w:rPr>
  </w:style>
  <w:style w:type="paragraph" w:customStyle="1" w:styleId="101">
    <w:name w:val="先生/女士："/>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2">
    <w:name w:val="文件名"/>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3">
    <w:name w:val="reader-word-layer"/>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04">
    <w:name w:val="关于:"/>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5">
    <w:name w:val="敬启者："/>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6">
    <w:name w:val="第 X 页 共 Y 页"/>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7">
    <w:name w:val="上次打印时间"/>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8">
    <w:name w:val="Char"/>
    <w:basedOn w:val="1"/>
    <w:autoRedefine/>
    <w:qFormat/>
    <w:uiPriority w:val="0"/>
    <w:pPr>
      <w:widowControl/>
      <w:spacing w:line="400" w:lineRule="exact"/>
      <w:jc w:val="center"/>
    </w:pPr>
    <w:rPr>
      <w:rFonts w:ascii="Verdana" w:hAnsi="Verdana"/>
      <w:kern w:val="0"/>
      <w:lang w:eastAsia="en-US"/>
    </w:rPr>
  </w:style>
  <w:style w:type="paragraph" w:customStyle="1" w:styleId="109">
    <w:name w:val="Char2"/>
    <w:basedOn w:val="1"/>
    <w:autoRedefine/>
    <w:qFormat/>
    <w:uiPriority w:val="0"/>
    <w:pPr>
      <w:tabs>
        <w:tab w:val="left" w:pos="720"/>
      </w:tabs>
      <w:ind w:left="720" w:hanging="360"/>
    </w:pPr>
    <w:rPr>
      <w:sz w:val="24"/>
      <w:szCs w:val="24"/>
    </w:rPr>
  </w:style>
  <w:style w:type="paragraph" w:customStyle="1" w:styleId="110">
    <w:name w:val="作者"/>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1">
    <w:name w:val="前上一函，谅达雅鉴，迄今未闻复音。"/>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2">
    <w:name w:val="临书仓促，不尽欲言。"/>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3">
    <w:name w:val="久不通函，至以为念。"/>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4">
    <w:name w:val="Char11"/>
    <w:basedOn w:val="12"/>
    <w:autoRedefine/>
    <w:qFormat/>
    <w:uiPriority w:val="0"/>
    <w:pPr>
      <w:adjustRightInd w:val="0"/>
      <w:spacing w:line="436" w:lineRule="exact"/>
      <w:ind w:left="357"/>
      <w:jc w:val="left"/>
      <w:outlineLvl w:val="3"/>
    </w:pPr>
    <w:rPr>
      <w:rFonts w:ascii="Tahoma" w:hAnsi="Tahoma"/>
      <w:b/>
      <w:sz w:val="24"/>
      <w:szCs w:val="24"/>
    </w:rPr>
  </w:style>
  <w:style w:type="paragraph" w:customStyle="1" w:styleId="115">
    <w:name w:val="尊意如何，请即示知。"/>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6">
    <w:name w:val="亲启"/>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7">
    <w:name w:val="顺颂商祺！"/>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8">
    <w:name w:val="Char Char2"/>
    <w:basedOn w:val="1"/>
    <w:autoRedefine/>
    <w:qFormat/>
    <w:uiPriority w:val="0"/>
    <w:rPr>
      <w:rFonts w:ascii="宋体" w:hAnsi="宋体"/>
      <w:b/>
      <w:sz w:val="28"/>
      <w:szCs w:val="28"/>
    </w:rPr>
  </w:style>
  <w:style w:type="paragraph" w:customStyle="1" w:styleId="119">
    <w:name w:val="表"/>
    <w:basedOn w:val="1"/>
    <w:autoRedefine/>
    <w:qFormat/>
    <w:uiPriority w:val="0"/>
    <w:pPr>
      <w:spacing w:line="360" w:lineRule="auto"/>
    </w:pPr>
    <w:rPr>
      <w:rFonts w:cs="Garamond"/>
      <w:b/>
      <w:bCs/>
      <w:color w:val="FF0000"/>
    </w:rPr>
  </w:style>
  <w:style w:type="paragraph" w:customStyle="1" w:styleId="120">
    <w:name w:val="主体"/>
    <w:basedOn w:val="1"/>
    <w:link w:val="121"/>
    <w:autoRedefine/>
    <w:qFormat/>
    <w:uiPriority w:val="99"/>
    <w:pPr>
      <w:spacing w:line="360" w:lineRule="auto"/>
      <w:ind w:firstLine="480" w:firstLineChars="200"/>
    </w:pPr>
    <w:rPr>
      <w:rFonts w:ascii="宋体" w:hAnsi="宋体"/>
      <w:kern w:val="58"/>
      <w:sz w:val="24"/>
      <w:szCs w:val="24"/>
    </w:rPr>
  </w:style>
  <w:style w:type="character" w:customStyle="1" w:styleId="121">
    <w:name w:val="主体 Char Char"/>
    <w:link w:val="120"/>
    <w:autoRedefine/>
    <w:qFormat/>
    <w:uiPriority w:val="99"/>
    <w:rPr>
      <w:rFonts w:ascii="宋体" w:hAnsi="宋体"/>
      <w:kern w:val="58"/>
      <w:sz w:val="24"/>
      <w:szCs w:val="24"/>
    </w:rPr>
  </w:style>
  <w:style w:type="paragraph" w:customStyle="1" w:styleId="122">
    <w:name w:val="表格文字"/>
    <w:basedOn w:val="1"/>
    <w:link w:val="123"/>
    <w:autoRedefine/>
    <w:qFormat/>
    <w:uiPriority w:val="0"/>
    <w:pPr>
      <w:jc w:val="left"/>
    </w:pPr>
    <w:rPr>
      <w:rFonts w:ascii="宋体" w:hAnsi="宋体"/>
      <w:bCs/>
      <w:spacing w:val="-4"/>
      <w:kern w:val="0"/>
      <w:sz w:val="32"/>
      <w:szCs w:val="32"/>
      <w:lang w:val="zh-CN"/>
    </w:rPr>
  </w:style>
  <w:style w:type="character" w:customStyle="1" w:styleId="123">
    <w:name w:val="表格文字 Char Char"/>
    <w:link w:val="122"/>
    <w:autoRedefine/>
    <w:qFormat/>
    <w:uiPriority w:val="99"/>
    <w:rPr>
      <w:rFonts w:ascii="宋体" w:hAnsi="宋体"/>
      <w:bCs/>
      <w:spacing w:val="-4"/>
      <w:sz w:val="32"/>
      <w:szCs w:val="32"/>
      <w:lang w:val="zh-CN"/>
    </w:rPr>
  </w:style>
  <w:style w:type="paragraph" w:customStyle="1" w:styleId="124">
    <w:name w:val="表格文字2"/>
    <w:basedOn w:val="122"/>
    <w:autoRedefine/>
    <w:qFormat/>
    <w:uiPriority w:val="99"/>
    <w:pPr>
      <w:jc w:val="both"/>
    </w:pPr>
  </w:style>
  <w:style w:type="character" w:customStyle="1" w:styleId="125">
    <w:name w:val="标准正文 Char"/>
    <w:autoRedefine/>
    <w:qFormat/>
    <w:uiPriority w:val="0"/>
    <w:rPr>
      <w:kern w:val="2"/>
      <w:sz w:val="24"/>
      <w:szCs w:val="24"/>
    </w:rPr>
  </w:style>
  <w:style w:type="paragraph" w:customStyle="1" w:styleId="126">
    <w:name w:val="标题2"/>
    <w:basedOn w:val="1"/>
    <w:link w:val="127"/>
    <w:autoRedefine/>
    <w:qFormat/>
    <w:uiPriority w:val="0"/>
    <w:pPr>
      <w:keepNext/>
      <w:widowControl/>
      <w:tabs>
        <w:tab w:val="left" w:pos="450"/>
      </w:tabs>
      <w:autoSpaceDE w:val="0"/>
      <w:autoSpaceDN w:val="0"/>
      <w:adjustRightInd w:val="0"/>
      <w:spacing w:before="120" w:after="120"/>
      <w:jc w:val="left"/>
      <w:textAlignment w:val="center"/>
    </w:pPr>
    <w:rPr>
      <w:rFonts w:ascii="宋体"/>
      <w:b/>
      <w:kern w:val="0"/>
      <w:sz w:val="24"/>
    </w:rPr>
  </w:style>
  <w:style w:type="character" w:customStyle="1" w:styleId="127">
    <w:name w:val="标题2 Char Char"/>
    <w:link w:val="126"/>
    <w:autoRedefine/>
    <w:qFormat/>
    <w:uiPriority w:val="0"/>
    <w:rPr>
      <w:rFonts w:ascii="宋体"/>
      <w:b/>
      <w:sz w:val="24"/>
    </w:rPr>
  </w:style>
  <w:style w:type="paragraph" w:customStyle="1" w:styleId="128">
    <w:name w:val="修订1"/>
    <w:autoRedefine/>
    <w:hidden/>
    <w:unhideWhenUsed/>
    <w:qFormat/>
    <w:uiPriority w:val="99"/>
    <w:rPr>
      <w:rFonts w:ascii="Times New Roman" w:hAnsi="Times New Roman" w:eastAsia="宋体" w:cs="Times New Roman"/>
      <w:kern w:val="2"/>
      <w:sz w:val="21"/>
      <w:lang w:val="en-US" w:eastAsia="zh-CN" w:bidi="ar-SA"/>
    </w:rPr>
  </w:style>
  <w:style w:type="character" w:customStyle="1" w:styleId="129">
    <w:name w:val="font01"/>
    <w:basedOn w:val="37"/>
    <w:autoRedefine/>
    <w:qFormat/>
    <w:uiPriority w:val="0"/>
    <w:rPr>
      <w:rFonts w:hint="eastAsia" w:ascii="宋体" w:hAnsi="宋体" w:eastAsia="宋体" w:cs="宋体"/>
      <w:b/>
      <w:color w:val="333333"/>
      <w:sz w:val="24"/>
      <w:szCs w:val="24"/>
      <w:u w:val="none"/>
    </w:rPr>
  </w:style>
  <w:style w:type="paragraph" w:customStyle="1" w:styleId="130">
    <w:name w:val="普通(网站)1"/>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131">
    <w:name w:val="修订2"/>
    <w:autoRedefine/>
    <w:hidden/>
    <w:unhideWhenUsed/>
    <w:qFormat/>
    <w:uiPriority w:val="99"/>
    <w:rPr>
      <w:rFonts w:ascii="Times New Roman" w:hAnsi="Times New Roman" w:eastAsia="宋体" w:cs="Times New Roman"/>
      <w:kern w:val="2"/>
      <w:sz w:val="21"/>
      <w:lang w:val="en-US" w:eastAsia="zh-CN" w:bidi="ar-SA"/>
    </w:rPr>
  </w:style>
  <w:style w:type="character" w:customStyle="1" w:styleId="132">
    <w:name w:val="标题 6 字符"/>
    <w:basedOn w:val="37"/>
    <w:link w:val="7"/>
    <w:autoRedefine/>
    <w:semiHidden/>
    <w:qFormat/>
    <w:uiPriority w:val="9"/>
    <w:rPr>
      <w:rFonts w:ascii="Arial" w:hAnsi="Arial" w:eastAsia="黑体" w:cstheme="minorBidi"/>
      <w:b/>
      <w:kern w:val="2"/>
      <w:sz w:val="24"/>
      <w:szCs w:val="22"/>
    </w:rPr>
  </w:style>
  <w:style w:type="character" w:customStyle="1" w:styleId="133">
    <w:name w:val="标题 7 字符"/>
    <w:basedOn w:val="37"/>
    <w:link w:val="8"/>
    <w:autoRedefine/>
    <w:semiHidden/>
    <w:qFormat/>
    <w:uiPriority w:val="9"/>
    <w:rPr>
      <w:rFonts w:asciiTheme="minorHAnsi" w:hAnsiTheme="minorHAnsi" w:eastAsiaTheme="minorEastAsia" w:cstheme="minorBidi"/>
      <w:b/>
      <w:kern w:val="2"/>
      <w:sz w:val="24"/>
      <w:szCs w:val="22"/>
    </w:rPr>
  </w:style>
  <w:style w:type="character" w:customStyle="1" w:styleId="134">
    <w:name w:val="标题 8 字符"/>
    <w:basedOn w:val="37"/>
    <w:link w:val="9"/>
    <w:autoRedefine/>
    <w:semiHidden/>
    <w:qFormat/>
    <w:uiPriority w:val="9"/>
    <w:rPr>
      <w:rFonts w:ascii="Arial" w:hAnsi="Arial" w:eastAsia="黑体" w:cstheme="minorBidi"/>
      <w:kern w:val="2"/>
      <w:sz w:val="24"/>
      <w:szCs w:val="22"/>
    </w:rPr>
  </w:style>
  <w:style w:type="character" w:customStyle="1" w:styleId="135">
    <w:name w:val="标题 9 字符"/>
    <w:basedOn w:val="37"/>
    <w:link w:val="10"/>
    <w:autoRedefine/>
    <w:semiHidden/>
    <w:qFormat/>
    <w:uiPriority w:val="9"/>
    <w:rPr>
      <w:rFonts w:ascii="Arial" w:hAnsi="Arial" w:eastAsia="黑体" w:cstheme="minorBidi"/>
      <w:kern w:val="2"/>
      <w:sz w:val="21"/>
      <w:szCs w:val="22"/>
    </w:rPr>
  </w:style>
  <w:style w:type="paragraph" w:customStyle="1" w:styleId="136">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137">
    <w:name w:val="正文缩进1"/>
    <w:basedOn w:val="1"/>
    <w:next w:val="17"/>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138">
    <w:name w:val="索引 11"/>
    <w:basedOn w:val="1"/>
    <w:next w:val="1"/>
    <w:autoRedefine/>
    <w:qFormat/>
    <w:uiPriority w:val="99"/>
    <w:pPr>
      <w:spacing w:line="360" w:lineRule="auto"/>
    </w:pPr>
    <w:rPr>
      <w:rFonts w:ascii="仿宋_GB2312" w:eastAsia="仿宋_GB2312"/>
      <w:sz w:val="24"/>
    </w:rPr>
  </w:style>
  <w:style w:type="paragraph" w:customStyle="1" w:styleId="139">
    <w:name w:val="纯文本1"/>
    <w:basedOn w:val="1"/>
    <w:autoRedefine/>
    <w:qFormat/>
    <w:uiPriority w:val="0"/>
    <w:rPr>
      <w:rFonts w:ascii="宋体" w:hAnsi="Courier New"/>
      <w:kern w:val="0"/>
      <w:sz w:val="20"/>
    </w:rPr>
  </w:style>
  <w:style w:type="paragraph" w:customStyle="1" w:styleId="140">
    <w:name w:val="text-tag"/>
    <w:basedOn w:val="1"/>
    <w:autoRedefine/>
    <w:semiHidden/>
    <w:qFormat/>
    <w:uiPriority w:val="99"/>
    <w:pPr>
      <w:widowControl/>
      <w:spacing w:before="100" w:beforeAutospacing="1" w:after="100" w:afterAutospacing="1"/>
      <w:jc w:val="left"/>
    </w:pPr>
    <w:rPr>
      <w:rFonts w:ascii="宋体" w:hAnsi="宋体" w:cs="宋体"/>
      <w:kern w:val="0"/>
      <w:sz w:val="24"/>
    </w:rPr>
  </w:style>
  <w:style w:type="character" w:customStyle="1" w:styleId="141">
    <w:name w:val="批注文字 Char1"/>
    <w:autoRedefine/>
    <w:qFormat/>
    <w:uiPriority w:val="0"/>
    <w:rPr>
      <w:rFonts w:ascii="Times New Roman" w:hAnsi="Times New Roman" w:eastAsia="宋体" w:cs="Times New Roman"/>
      <w:szCs w:val="20"/>
    </w:rPr>
  </w:style>
  <w:style w:type="paragraph" w:customStyle="1" w:styleId="142">
    <w:name w:val="正文段"/>
    <w:basedOn w:val="1"/>
    <w:qFormat/>
    <w:uiPriority w:val="0"/>
    <w:pPr>
      <w:widowControl/>
      <w:snapToGrid w:val="0"/>
      <w:spacing w:after="156" w:afterLines="50"/>
      <w:ind w:firstLine="200" w:firstLineChars="200"/>
    </w:pPr>
    <w:rPr>
      <w:kern w:val="0"/>
      <w:sz w:val="24"/>
      <w:szCs w:val="20"/>
    </w:rPr>
  </w:style>
  <w:style w:type="paragraph" w:customStyle="1" w:styleId="143">
    <w:name w:val="Body text|1"/>
    <w:basedOn w:val="1"/>
    <w:qFormat/>
    <w:uiPriority w:val="0"/>
    <w:pPr>
      <w:widowControl w:val="0"/>
      <w:shd w:val="clear" w:color="auto" w:fill="auto"/>
      <w:spacing w:after="300"/>
      <w:jc w:val="center"/>
    </w:pPr>
    <w:rPr>
      <w:rFonts w:ascii="宋体" w:hAnsi="宋体" w:eastAsia="宋体" w:cs="宋体"/>
      <w:sz w:val="19"/>
      <w:szCs w:val="19"/>
      <w:u w:val="none"/>
      <w:shd w:val="clear" w:color="auto" w:fill="auto"/>
      <w:lang w:val="zh-TW" w:eastAsia="zh-TW" w:bidi="zh-TW"/>
    </w:rPr>
  </w:style>
  <w:style w:type="paragraph" w:customStyle="1" w:styleId="144">
    <w:name w:val="Other|1"/>
    <w:basedOn w:val="1"/>
    <w:qFormat/>
    <w:uiPriority w:val="0"/>
    <w:pPr>
      <w:widowControl w:val="0"/>
      <w:shd w:val="clear" w:color="auto" w:fill="auto"/>
    </w:pPr>
    <w:rPr>
      <w:rFonts w:ascii="宋体" w:hAnsi="宋体" w:eastAsia="宋体" w:cs="宋体"/>
      <w:sz w:val="11"/>
      <w:szCs w:val="11"/>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theme" Target="theme/theme1.xml"/><Relationship Id="rId20" Type="http://schemas.openxmlformats.org/officeDocument/2006/relationships/header" Target="header15.xml"/><Relationship Id="rId2" Type="http://schemas.openxmlformats.org/officeDocument/2006/relationships/settings" Target="settings.xml"/><Relationship Id="rId19" Type="http://schemas.openxmlformats.org/officeDocument/2006/relationships/header" Target="header14.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footer" Target="footer3.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宁波市国际招标有限公司</Company>
  <Pages>97</Pages>
  <Words>7676</Words>
  <Characters>8502</Characters>
  <Lines>286</Lines>
  <Paragraphs>80</Paragraphs>
  <TotalTime>212</TotalTime>
  <ScaleCrop>false</ScaleCrop>
  <LinksUpToDate>false</LinksUpToDate>
  <CharactersWithSpaces>8619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2024-03-22T10:22:00Z</dcterms:created>
  <dc:creator>vivian</dc:creator>
  <cp:lastModifiedBy>WPS_1732267793</cp:lastModifiedBy>
  <cp:lastPrinted>2025-04-24T07:06:00Z</cp:lastPrinted>
  <dcterms:modified xsi:type="dcterms:W3CDTF">2025-06-16T09:20:50Z</dcterms:modified>
  <dc:title>政 府 采 购 招 标 项 目</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B24C4D3767304D1197889792355F3E05</vt:lpwstr>
  </property>
  <property fmtid="{D5CDD505-2E9C-101B-9397-08002B2CF9AE}" pid="4" name="KSOTemplateDocerSaveRecord">
    <vt:lpwstr>eyJoZGlkIjoiZGRjZjI2YTY2NzY1ZjhlMmMyZmZjZmRiOWE5ZjczOTUiLCJ1c2VySWQiOiIxNjU4OTkzODA5In0=</vt:lpwstr>
  </property>
</Properties>
</file>